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D9987" w14:textId="2B720E68" w:rsidR="00C350A1" w:rsidRPr="00C350A1" w:rsidRDefault="002E350F" w:rsidP="008107A4">
      <w:pPr>
        <w:jc w:val="center"/>
      </w:pPr>
      <w:r>
        <w:rPr>
          <w:noProof/>
        </w:rPr>
        <w:drawing>
          <wp:inline distT="0" distB="0" distL="0" distR="0" wp14:anchorId="74B3A52A" wp14:editId="4721D61E">
            <wp:extent cx="5870038" cy="8302081"/>
            <wp:effectExtent l="0" t="0" r="0" b="3810"/>
            <wp:docPr id="9" name="Picture 9" descr="C:\Users\AndreaA\AppData\Local\Microsoft\Windows\INetCache\Content.Word\Covers for Forest repor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AppData\Local\Microsoft\Windows\INetCache\Content.Word\Covers for Forest report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7337" cy="8312404"/>
                    </a:xfrm>
                    <a:prstGeom prst="rect">
                      <a:avLst/>
                    </a:prstGeom>
                    <a:noFill/>
                    <a:ln>
                      <a:noFill/>
                    </a:ln>
                  </pic:spPr>
                </pic:pic>
              </a:graphicData>
            </a:graphic>
          </wp:inline>
        </w:drawing>
      </w:r>
    </w:p>
    <w:p w14:paraId="26ABC645" w14:textId="1F507DE3" w:rsidR="00F96CDA" w:rsidRDefault="00F96CDA" w:rsidP="006C32D2">
      <w:pPr>
        <w:rPr>
          <w:rFonts w:cs="Segoe UI"/>
        </w:rPr>
      </w:pPr>
    </w:p>
    <w:p w14:paraId="6DFA218A" w14:textId="77777777" w:rsidR="002E350F" w:rsidRPr="00CE60B2" w:rsidRDefault="002E350F" w:rsidP="006C32D2">
      <w:pPr>
        <w:rPr>
          <w:rFonts w:cs="Segoe UI"/>
        </w:rPr>
        <w:sectPr w:rsidR="002E350F" w:rsidRPr="00CE60B2" w:rsidSect="008107A4">
          <w:footerReference w:type="default" r:id="rId13"/>
          <w:headerReference w:type="first" r:id="rId14"/>
          <w:pgSz w:w="11906" w:h="16838" w:code="9"/>
          <w:pgMar w:top="1276" w:right="1440" w:bottom="709" w:left="1440" w:header="1134" w:footer="1418" w:gutter="0"/>
          <w:pgNumType w:start="1"/>
          <w:cols w:space="708"/>
          <w:titlePg/>
          <w:docGrid w:linePitch="360"/>
        </w:sectPr>
      </w:pPr>
    </w:p>
    <w:p w14:paraId="26ABC648" w14:textId="77777777" w:rsidR="0056568A" w:rsidRPr="00CE60B2" w:rsidRDefault="0056568A" w:rsidP="0056568A">
      <w:pPr>
        <w:rPr>
          <w:rFonts w:cs="Segoe UI"/>
        </w:rPr>
      </w:pPr>
    </w:p>
    <w:p w14:paraId="26ABC649" w14:textId="77777777" w:rsidR="000F4C66" w:rsidRPr="00CE60B2" w:rsidRDefault="000F4C66" w:rsidP="0056568A">
      <w:pPr>
        <w:rPr>
          <w:rFonts w:cs="Segoe UI"/>
        </w:rPr>
        <w:sectPr w:rsidR="000F4C66" w:rsidRPr="00CE60B2" w:rsidSect="0056568A">
          <w:headerReference w:type="even" r:id="rId15"/>
          <w:headerReference w:type="default" r:id="rId16"/>
          <w:headerReference w:type="first" r:id="rId17"/>
          <w:footerReference w:type="first" r:id="rId18"/>
          <w:type w:val="continuous"/>
          <w:pgSz w:w="11906" w:h="16838" w:code="9"/>
          <w:pgMar w:top="1418" w:right="1418" w:bottom="993" w:left="1418" w:header="737" w:footer="680" w:gutter="0"/>
          <w:pgNumType w:start="1"/>
          <w:cols w:space="708"/>
          <w:docGrid w:linePitch="360"/>
        </w:sectPr>
      </w:pPr>
    </w:p>
    <w:p w14:paraId="26ABC64A" w14:textId="77777777" w:rsidR="0056568A" w:rsidRPr="00CE60B2" w:rsidRDefault="0056568A" w:rsidP="0056568A">
      <w:pPr>
        <w:rPr>
          <w:rFonts w:cs="Segoe UI"/>
        </w:rPr>
      </w:pPr>
      <w:r w:rsidRPr="00CE60B2">
        <w:rPr>
          <w:rFonts w:cs="Segoe UI"/>
          <w:noProof/>
          <w:lang w:eastAsia="en-AU"/>
        </w:rPr>
        <w:lastRenderedPageBreak/>
        <mc:AlternateContent>
          <mc:Choice Requires="wps">
            <w:drawing>
              <wp:inline distT="0" distB="0" distL="0" distR="0" wp14:anchorId="26ABE250" wp14:editId="26023E61">
                <wp:extent cx="5738400" cy="8728363"/>
                <wp:effectExtent l="0" t="0" r="0" b="0"/>
                <wp:docPr id="680" name="Publication Details" descr="Contains publication details as well as copyright and disclaimer information." title="Publication Details"/>
                <wp:cNvGraphicFramePr/>
                <a:graphic xmlns:a="http://schemas.openxmlformats.org/drawingml/2006/main">
                  <a:graphicData uri="http://schemas.microsoft.com/office/word/2010/wordprocessingShape">
                    <wps:wsp>
                      <wps:cNvSpPr txBox="1"/>
                      <wps:spPr>
                        <a:xfrm>
                          <a:off x="0" y="0"/>
                          <a:ext cx="5738400" cy="8728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10D59" w14:textId="77777777" w:rsidR="00DD7487" w:rsidRDefault="00DD7487" w:rsidP="00F83487">
                            <w:pPr>
                              <w:pStyle w:val="imprintheading"/>
                            </w:pPr>
                            <w:r w:rsidRPr="00516013">
                              <w:t xml:space="preserve">Published </w:t>
                            </w:r>
                            <w:r>
                              <w:t>by:</w:t>
                            </w:r>
                          </w:p>
                          <w:p w14:paraId="26ABE2AF" w14:textId="58EE9117" w:rsidR="00DD7487" w:rsidRPr="00516013" w:rsidRDefault="00DD7487" w:rsidP="00F83487">
                            <w:pPr>
                              <w:pStyle w:val="imprintheading"/>
                            </w:pPr>
                            <w:r>
                              <w:t>Western Australian Department of Biodiversity, Conservation and Attractions</w:t>
                            </w:r>
                          </w:p>
                          <w:p w14:paraId="65D947B4" w14:textId="77777777" w:rsidR="00DD7487" w:rsidRDefault="00DD7487" w:rsidP="00F83487">
                            <w:pPr>
                              <w:pStyle w:val="Header"/>
                              <w:spacing w:after="120"/>
                              <w:jc w:val="left"/>
                              <w:rPr>
                                <w:color w:val="auto"/>
                                <w:sz w:val="20"/>
                                <w:szCs w:val="20"/>
                              </w:rPr>
                            </w:pPr>
                            <w:r w:rsidRPr="007F5C84">
                              <w:rPr>
                                <w:color w:val="auto"/>
                                <w:sz w:val="20"/>
                                <w:szCs w:val="20"/>
                              </w:rPr>
                              <w:t>Title Assessment of matters pertaining to renewal of the Regional Forest Agreement for the</w:t>
                            </w:r>
                          </w:p>
                          <w:p w14:paraId="768F773F" w14:textId="1D07BCD2" w:rsidR="00DD7487" w:rsidRDefault="00DD7487" w:rsidP="00F83487">
                            <w:pPr>
                              <w:pStyle w:val="Header"/>
                              <w:spacing w:after="120"/>
                              <w:jc w:val="left"/>
                              <w:rPr>
                                <w:color w:val="auto"/>
                                <w:sz w:val="20"/>
                                <w:szCs w:val="20"/>
                              </w:rPr>
                            </w:pPr>
                            <w:r w:rsidRPr="007F5C84">
                              <w:rPr>
                                <w:color w:val="auto"/>
                                <w:sz w:val="20"/>
                                <w:szCs w:val="20"/>
                              </w:rPr>
                              <w:t>South-West Forest Region of Western Australia</w:t>
                            </w:r>
                          </w:p>
                          <w:p w14:paraId="4CE38ED8" w14:textId="124E3685" w:rsidR="008107A4" w:rsidRDefault="008107A4" w:rsidP="00F83487">
                            <w:pPr>
                              <w:pStyle w:val="Header"/>
                              <w:spacing w:after="120"/>
                              <w:jc w:val="left"/>
                              <w:rPr>
                                <w:color w:val="auto"/>
                                <w:sz w:val="20"/>
                                <w:szCs w:val="20"/>
                              </w:rPr>
                            </w:pPr>
                            <w:r>
                              <w:rPr>
                                <w:color w:val="auto"/>
                                <w:sz w:val="20"/>
                                <w:szCs w:val="20"/>
                              </w:rPr>
                              <w:t>Finalised December 2018</w:t>
                            </w:r>
                          </w:p>
                          <w:p w14:paraId="4CAFF6D8" w14:textId="6732350B" w:rsidR="00DD7487" w:rsidRDefault="00DD7487" w:rsidP="00F83487">
                            <w:pPr>
                              <w:pStyle w:val="Header"/>
                              <w:spacing w:after="120"/>
                              <w:jc w:val="left"/>
                              <w:rPr>
                                <w:vanish/>
                                <w:color w:val="auto"/>
                                <w:sz w:val="20"/>
                                <w:szCs w:val="20"/>
                              </w:rPr>
                            </w:pPr>
                          </w:p>
                          <w:p w14:paraId="0C29D106" w14:textId="45EF3762" w:rsidR="00DD7487" w:rsidRPr="007F5C84" w:rsidRDefault="00DD7487" w:rsidP="00F83487">
                            <w:pPr>
                              <w:pStyle w:val="Header"/>
                              <w:spacing w:after="120"/>
                              <w:jc w:val="left"/>
                              <w:rPr>
                                <w:vanish/>
                                <w:color w:val="auto"/>
                                <w:sz w:val="20"/>
                                <w:szCs w:val="20"/>
                              </w:rPr>
                            </w:pPr>
                            <w:r>
                              <w:rPr>
                                <w:vanish/>
                                <w:color w:val="auto"/>
                                <w:sz w:val="20"/>
                                <w:szCs w:val="20"/>
                              </w:rPr>
                              <w:t>Approved December 2018</w:t>
                            </w:r>
                          </w:p>
                          <w:p w14:paraId="26ABE2B1" w14:textId="410090CA" w:rsidR="00DD7487" w:rsidRDefault="00DD7487" w:rsidP="0056568A">
                            <w:pPr>
                              <w:pStyle w:val="imprinttext"/>
                            </w:pPr>
                            <w:r w:rsidRPr="001C33C1">
                              <w:t>First published</w:t>
                            </w:r>
                            <w:r>
                              <w:t xml:space="preserve"> March 2019</w:t>
                            </w:r>
                          </w:p>
                          <w:p w14:paraId="4DBF79F0" w14:textId="2FB0F544" w:rsidR="00C46602" w:rsidRPr="003C7091" w:rsidRDefault="00C46602" w:rsidP="0056568A">
                            <w:pPr>
                              <w:pStyle w:val="imprinttext"/>
                            </w:pPr>
                          </w:p>
                          <w:p w14:paraId="32BE0600" w14:textId="63AD4A18" w:rsidR="00C46602" w:rsidRPr="003C7091" w:rsidRDefault="003C7091" w:rsidP="0056568A">
                            <w:pPr>
                              <w:pStyle w:val="imprinttext"/>
                            </w:pPr>
                            <w:r>
                              <w:rPr>
                                <w:rFonts w:eastAsia="Times New Roman"/>
                              </w:rPr>
                              <w:t>ISBN 978-1</w:t>
                            </w:r>
                            <w:bookmarkStart w:id="0" w:name="_GoBack"/>
                            <w:bookmarkEnd w:id="0"/>
                            <w:r>
                              <w:rPr>
                                <w:rFonts w:eastAsia="Times New Roman"/>
                              </w:rPr>
                              <w:t>-921703-92-8</w:t>
                            </w:r>
                          </w:p>
                          <w:p w14:paraId="26ABE2B3" w14:textId="77777777" w:rsidR="00DD7487" w:rsidRPr="001C33C1" w:rsidRDefault="00DD7487" w:rsidP="0056568A">
                            <w:pPr>
                              <w:pStyle w:val="imprinttext"/>
                            </w:pPr>
                          </w:p>
                          <w:p w14:paraId="26ABE2B4" w14:textId="77777777" w:rsidR="00DD7487" w:rsidRPr="001C33C1" w:rsidRDefault="00DD7487" w:rsidP="0056568A">
                            <w:pPr>
                              <w:pStyle w:val="imprintheading"/>
                            </w:pPr>
                            <w:r w:rsidRPr="001C33C1">
                              <w:t>More information</w:t>
                            </w:r>
                          </w:p>
                          <w:p w14:paraId="26ABE2B5" w14:textId="41E89288" w:rsidR="00DD7487" w:rsidRDefault="00DD7487" w:rsidP="0056568A">
                            <w:pPr>
                              <w:pStyle w:val="imprinttext"/>
                            </w:pPr>
                            <w:r>
                              <w:t>Questions regarding the use of this material should be directed to:</w:t>
                            </w:r>
                          </w:p>
                          <w:p w14:paraId="26ABE2B6" w14:textId="25DC3AE7" w:rsidR="00DD7487" w:rsidRDefault="00DD7487" w:rsidP="0056568A">
                            <w:pPr>
                              <w:pStyle w:val="imprinttext"/>
                            </w:pPr>
                            <w:r>
                              <w:t>Conservation and Ecosystem Management, Parks and Wildlife Service</w:t>
                            </w:r>
                          </w:p>
                          <w:p w14:paraId="26ABE2B7" w14:textId="5F13224A" w:rsidR="00DD7487" w:rsidRDefault="00DD7487" w:rsidP="0056568A">
                            <w:pPr>
                              <w:pStyle w:val="imprinttext"/>
                            </w:pPr>
                            <w:r>
                              <w:t>Department of Biodiversity, Conservation and Attractions</w:t>
                            </w:r>
                          </w:p>
                          <w:p w14:paraId="7C175F06" w14:textId="052A69BF" w:rsidR="00DD7487" w:rsidRDefault="00DD7487" w:rsidP="0056568A">
                            <w:pPr>
                              <w:pStyle w:val="imprinttext"/>
                            </w:pPr>
                            <w:r>
                              <w:t>Locked Bag 104</w:t>
                            </w:r>
                          </w:p>
                          <w:p w14:paraId="47278A98" w14:textId="534C1861" w:rsidR="00DD7487" w:rsidRDefault="00DD7487" w:rsidP="0056568A">
                            <w:pPr>
                              <w:pStyle w:val="imprinttext"/>
                            </w:pPr>
                            <w:r>
                              <w:t>Bentley Delivery Centre WA 6983</w:t>
                            </w:r>
                          </w:p>
                          <w:p w14:paraId="295020EC" w14:textId="77D9142E" w:rsidR="00DD7487" w:rsidRDefault="00DD7487" w:rsidP="0056568A">
                            <w:pPr>
                              <w:pStyle w:val="imprinttext"/>
                            </w:pPr>
                            <w:r>
                              <w:t>Phone 08 9219 9000</w:t>
                            </w:r>
                          </w:p>
                          <w:p w14:paraId="071575E6" w14:textId="2B0A933F" w:rsidR="00DD7487" w:rsidRPr="00643A67" w:rsidRDefault="00DD7487" w:rsidP="0056568A">
                            <w:pPr>
                              <w:pStyle w:val="imprinttext"/>
                              <w:rPr>
                                <w:rFonts w:cs="Segoe UI"/>
                              </w:rPr>
                            </w:pPr>
                            <w:r w:rsidRPr="00643A67">
                              <w:rPr>
                                <w:rFonts w:cs="Segoe UI"/>
                              </w:rPr>
                              <w:t xml:space="preserve">Email: </w:t>
                            </w:r>
                            <w:hyperlink r:id="rId19" w:history="1">
                              <w:r w:rsidRPr="00643A67">
                                <w:rPr>
                                  <w:rStyle w:val="Hyperlink"/>
                                  <w:rFonts w:cs="Segoe UI"/>
                                  <w:color w:val="auto"/>
                                  <w:shd w:val="clear" w:color="auto" w:fill="FFFFFF"/>
                                </w:rPr>
                                <w:t>enquiries@dbca.wa.gov.au</w:t>
                              </w:r>
                            </w:hyperlink>
                          </w:p>
                          <w:p w14:paraId="26ABE2B8" w14:textId="77777777" w:rsidR="00DD7487" w:rsidRPr="00643A67" w:rsidRDefault="00DD7487" w:rsidP="0056568A">
                            <w:pPr>
                              <w:pStyle w:val="imprinttext"/>
                            </w:pPr>
                          </w:p>
                          <w:p w14:paraId="26ABE2B9" w14:textId="77777777" w:rsidR="00DD7487" w:rsidRPr="001C33C1" w:rsidRDefault="00DD7487" w:rsidP="0056568A">
                            <w:pPr>
                              <w:pStyle w:val="imprintheading"/>
                            </w:pPr>
                            <w:r w:rsidRPr="001C33C1">
                              <w:t>www.</w:t>
                            </w:r>
                            <w:r>
                              <w:t>wa.gov.au</w:t>
                            </w:r>
                          </w:p>
                          <w:p w14:paraId="26ABE2BA" w14:textId="77777777" w:rsidR="00DD7487" w:rsidRDefault="00DD7487" w:rsidP="00C07FF5">
                            <w:pPr>
                              <w:pStyle w:val="imprintheading"/>
                            </w:pPr>
                            <w:r w:rsidRPr="001C33C1">
                              <w:t>Acknowledgments</w:t>
                            </w:r>
                          </w:p>
                          <w:p w14:paraId="26ABE2BB" w14:textId="77777777" w:rsidR="00DD7487" w:rsidRDefault="00DD7487" w:rsidP="00C07FF5">
                            <w:pPr>
                              <w:pStyle w:val="imprinttext"/>
                            </w:pPr>
                            <w:r>
                              <w:t>Australian Bureau of Agricultural and Resource Economics and Sciences (Australian Government)</w:t>
                            </w:r>
                          </w:p>
                          <w:p w14:paraId="26ABE2BC" w14:textId="77777777" w:rsidR="00DD7487" w:rsidRDefault="00DD7487" w:rsidP="00C07FF5">
                            <w:pPr>
                              <w:pStyle w:val="imprinttext"/>
                            </w:pPr>
                            <w:r>
                              <w:t>Department of Agriculture and Water Resources (Australian Government)</w:t>
                            </w:r>
                          </w:p>
                          <w:p w14:paraId="26ABE2BD" w14:textId="77777777" w:rsidR="00DD7487" w:rsidRDefault="00DD7487" w:rsidP="00C07FF5">
                            <w:pPr>
                              <w:pStyle w:val="imprinttext"/>
                            </w:pPr>
                            <w:r>
                              <w:t>Department of the Environment and Energy (Australian Government)</w:t>
                            </w:r>
                          </w:p>
                          <w:p w14:paraId="39BC224E" w14:textId="531A2727" w:rsidR="00DD7487" w:rsidRDefault="00DD7487" w:rsidP="00C07FF5">
                            <w:pPr>
                              <w:pStyle w:val="imprinttext"/>
                            </w:pPr>
                            <w:r>
                              <w:t>Department of Biodiversity, Conservation and Attractions (Western Australia)</w:t>
                            </w:r>
                          </w:p>
                          <w:p w14:paraId="26ABE2BF" w14:textId="77777777" w:rsidR="00DD7487" w:rsidRPr="00940BDD" w:rsidRDefault="00DD7487" w:rsidP="00DC40FC">
                            <w:pPr>
                              <w:pStyle w:val="imprinttext"/>
                            </w:pPr>
                            <w:r>
                              <w:t>Forest Products Commission (Western Australia)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type w14:anchorId="26ABE250" id="_x0000_t202" coordsize="21600,21600" o:spt="202" path="m,l,21600r21600,l21600,xe">
                <v:stroke joinstyle="miter"/>
                <v:path gradientshapeok="t" o:connecttype="rect"/>
              </v:shapetype>
              <v:shape id="Publication Details" o:spid="_x0000_s1026" type="#_x0000_t202" alt="Title: Publication Details - Description: Contains publication details as well as copyright and disclaimer information." style="width:451.85pt;height:687.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" fillcolor="white [3201]" stroked="f" strokeweight=".5pt">
                <v:textbox inset="0,0,0,0">
                  <w:txbxContent>
                    <w:p w14:paraId="53410D59" w14:textId="77777777" w:rsidR="00DD7487" w:rsidRDefault="00DD7487" w:rsidP="00F83487">
                      <w:pPr>
                        <w:pStyle w:val="imprintheading"/>
                      </w:pPr>
                      <w:r w:rsidRPr="00516013">
                        <w:t xml:space="preserve">Published </w:t>
                      </w:r>
                      <w:r>
                        <w:t>by:</w:t>
                      </w:r>
                    </w:p>
                    <w:p w14:paraId="26ABE2AF" w14:textId="58EE9117" w:rsidR="00DD7487" w:rsidRPr="00516013" w:rsidRDefault="00DD7487" w:rsidP="00F83487">
                      <w:pPr>
                        <w:pStyle w:val="imprintheading"/>
                      </w:pPr>
                      <w:r>
                        <w:t>Western Australian Department of Biodiversity, Conservation and Attractions</w:t>
                      </w:r>
                    </w:p>
                    <w:p w14:paraId="65D947B4" w14:textId="77777777" w:rsidR="00DD7487" w:rsidRDefault="00DD7487" w:rsidP="00F83487">
                      <w:pPr>
                        <w:pStyle w:val="Header"/>
                        <w:spacing w:after="120"/>
                        <w:jc w:val="left"/>
                        <w:rPr>
                          <w:color w:val="auto"/>
                          <w:sz w:val="20"/>
                          <w:szCs w:val="20"/>
                        </w:rPr>
                      </w:pPr>
                      <w:r w:rsidRPr="007F5C84">
                        <w:rPr>
                          <w:color w:val="auto"/>
                          <w:sz w:val="20"/>
                          <w:szCs w:val="20"/>
                        </w:rPr>
                        <w:t>Title Assessment of matters pertaining to renewal of the Regional Forest Agreement for the</w:t>
                      </w:r>
                    </w:p>
                    <w:p w14:paraId="768F773F" w14:textId="1D07BCD2" w:rsidR="00DD7487" w:rsidRDefault="00DD7487" w:rsidP="00F83487">
                      <w:pPr>
                        <w:pStyle w:val="Header"/>
                        <w:spacing w:after="120"/>
                        <w:jc w:val="left"/>
                        <w:rPr>
                          <w:color w:val="auto"/>
                          <w:sz w:val="20"/>
                          <w:szCs w:val="20"/>
                        </w:rPr>
                      </w:pPr>
                      <w:r w:rsidRPr="007F5C84">
                        <w:rPr>
                          <w:color w:val="auto"/>
                          <w:sz w:val="20"/>
                          <w:szCs w:val="20"/>
                        </w:rPr>
                        <w:t>South-West Forest Region of Western Australia</w:t>
                      </w:r>
                    </w:p>
                    <w:p w14:paraId="4CE38ED8" w14:textId="124E3685" w:rsidR="008107A4" w:rsidRDefault="008107A4" w:rsidP="00F83487">
                      <w:pPr>
                        <w:pStyle w:val="Header"/>
                        <w:spacing w:after="120"/>
                        <w:jc w:val="left"/>
                        <w:rPr>
                          <w:color w:val="auto"/>
                          <w:sz w:val="20"/>
                          <w:szCs w:val="20"/>
                        </w:rPr>
                      </w:pPr>
                      <w:r>
                        <w:rPr>
                          <w:color w:val="auto"/>
                          <w:sz w:val="20"/>
                          <w:szCs w:val="20"/>
                        </w:rPr>
                        <w:t>Finalised December 2018</w:t>
                      </w:r>
                    </w:p>
                    <w:p w14:paraId="4CAFF6D8" w14:textId="6732350B" w:rsidR="00DD7487" w:rsidRDefault="00DD7487" w:rsidP="00F83487">
                      <w:pPr>
                        <w:pStyle w:val="Header"/>
                        <w:spacing w:after="120"/>
                        <w:jc w:val="left"/>
                        <w:rPr>
                          <w:vanish/>
                          <w:color w:val="auto"/>
                          <w:sz w:val="20"/>
                          <w:szCs w:val="20"/>
                        </w:rPr>
                      </w:pPr>
                    </w:p>
                    <w:p w14:paraId="0C29D106" w14:textId="45EF3762" w:rsidR="00DD7487" w:rsidRPr="007F5C84" w:rsidRDefault="00DD7487" w:rsidP="00F83487">
                      <w:pPr>
                        <w:pStyle w:val="Header"/>
                        <w:spacing w:after="120"/>
                        <w:jc w:val="left"/>
                        <w:rPr>
                          <w:vanish/>
                          <w:color w:val="auto"/>
                          <w:sz w:val="20"/>
                          <w:szCs w:val="20"/>
                        </w:rPr>
                      </w:pPr>
                      <w:r>
                        <w:rPr>
                          <w:vanish/>
                          <w:color w:val="auto"/>
                          <w:sz w:val="20"/>
                          <w:szCs w:val="20"/>
                        </w:rPr>
                        <w:t>Approved December 2018</w:t>
                      </w:r>
                    </w:p>
                    <w:p w14:paraId="26ABE2B1" w14:textId="410090CA" w:rsidR="00DD7487" w:rsidRDefault="00DD7487" w:rsidP="0056568A">
                      <w:pPr>
                        <w:pStyle w:val="imprinttext"/>
                      </w:pPr>
                      <w:r w:rsidRPr="001C33C1">
                        <w:t>First published</w:t>
                      </w:r>
                      <w:r>
                        <w:t xml:space="preserve"> March 2019</w:t>
                      </w:r>
                    </w:p>
                    <w:p w14:paraId="4DBF79F0" w14:textId="2FB0F544" w:rsidR="00C46602" w:rsidRPr="003C7091" w:rsidRDefault="00C46602" w:rsidP="0056568A">
                      <w:pPr>
                        <w:pStyle w:val="imprinttext"/>
                      </w:pPr>
                    </w:p>
                    <w:p w14:paraId="32BE0600" w14:textId="63AD4A18" w:rsidR="00C46602" w:rsidRPr="003C7091" w:rsidRDefault="003C7091" w:rsidP="0056568A">
                      <w:pPr>
                        <w:pStyle w:val="imprinttext"/>
                      </w:pPr>
                      <w:r>
                        <w:rPr>
                          <w:rFonts w:eastAsia="Times New Roman"/>
                        </w:rPr>
                        <w:t>ISBN 978-1</w:t>
                      </w:r>
                      <w:bookmarkStart w:id="1" w:name="_GoBack"/>
                      <w:bookmarkEnd w:id="1"/>
                      <w:r>
                        <w:rPr>
                          <w:rFonts w:eastAsia="Times New Roman"/>
                        </w:rPr>
                        <w:t>-921703-92-8</w:t>
                      </w:r>
                    </w:p>
                    <w:p w14:paraId="26ABE2B3" w14:textId="77777777" w:rsidR="00DD7487" w:rsidRPr="001C33C1" w:rsidRDefault="00DD7487" w:rsidP="0056568A">
                      <w:pPr>
                        <w:pStyle w:val="imprinttext"/>
                      </w:pPr>
                    </w:p>
                    <w:p w14:paraId="26ABE2B4" w14:textId="77777777" w:rsidR="00DD7487" w:rsidRPr="001C33C1" w:rsidRDefault="00DD7487" w:rsidP="0056568A">
                      <w:pPr>
                        <w:pStyle w:val="imprintheading"/>
                      </w:pPr>
                      <w:r w:rsidRPr="001C33C1">
                        <w:t>More information</w:t>
                      </w:r>
                    </w:p>
                    <w:p w14:paraId="26ABE2B5" w14:textId="41E89288" w:rsidR="00DD7487" w:rsidRDefault="00DD7487" w:rsidP="0056568A">
                      <w:pPr>
                        <w:pStyle w:val="imprinttext"/>
                      </w:pPr>
                      <w:r>
                        <w:t>Questions regarding the use of this material should be directed to:</w:t>
                      </w:r>
                    </w:p>
                    <w:p w14:paraId="26ABE2B6" w14:textId="25DC3AE7" w:rsidR="00DD7487" w:rsidRDefault="00DD7487" w:rsidP="0056568A">
                      <w:pPr>
                        <w:pStyle w:val="imprinttext"/>
                      </w:pPr>
                      <w:r>
                        <w:t>Conservation and Ecosystem Management, Parks and Wildlife Service</w:t>
                      </w:r>
                    </w:p>
                    <w:p w14:paraId="26ABE2B7" w14:textId="5F13224A" w:rsidR="00DD7487" w:rsidRDefault="00DD7487" w:rsidP="0056568A">
                      <w:pPr>
                        <w:pStyle w:val="imprinttext"/>
                      </w:pPr>
                      <w:r>
                        <w:t>Department of Biodiversity, Conservation and Attractions</w:t>
                      </w:r>
                    </w:p>
                    <w:p w14:paraId="7C175F06" w14:textId="052A69BF" w:rsidR="00DD7487" w:rsidRDefault="00DD7487" w:rsidP="0056568A">
                      <w:pPr>
                        <w:pStyle w:val="imprinttext"/>
                      </w:pPr>
                      <w:r>
                        <w:t>Locked Bag 104</w:t>
                      </w:r>
                    </w:p>
                    <w:p w14:paraId="47278A98" w14:textId="534C1861" w:rsidR="00DD7487" w:rsidRDefault="00DD7487" w:rsidP="0056568A">
                      <w:pPr>
                        <w:pStyle w:val="imprinttext"/>
                      </w:pPr>
                      <w:r>
                        <w:t>Bentley Delivery Centre WA 6983</w:t>
                      </w:r>
                    </w:p>
                    <w:p w14:paraId="295020EC" w14:textId="77D9142E" w:rsidR="00DD7487" w:rsidRDefault="00DD7487" w:rsidP="0056568A">
                      <w:pPr>
                        <w:pStyle w:val="imprinttext"/>
                      </w:pPr>
                      <w:r>
                        <w:t>Phone 08 9219 9000</w:t>
                      </w:r>
                    </w:p>
                    <w:p w14:paraId="071575E6" w14:textId="2B0A933F" w:rsidR="00DD7487" w:rsidRPr="00643A67" w:rsidRDefault="00DD7487" w:rsidP="0056568A">
                      <w:pPr>
                        <w:pStyle w:val="imprinttext"/>
                        <w:rPr>
                          <w:rFonts w:cs="Segoe UI"/>
                        </w:rPr>
                      </w:pPr>
                      <w:r w:rsidRPr="00643A67">
                        <w:rPr>
                          <w:rFonts w:cs="Segoe UI"/>
                        </w:rPr>
                        <w:t xml:space="preserve">Email: </w:t>
                      </w:r>
                      <w:hyperlink r:id="rId20" w:history="1">
                        <w:r w:rsidRPr="00643A67">
                          <w:rPr>
                            <w:rStyle w:val="Hyperlink"/>
                            <w:rFonts w:cs="Segoe UI"/>
                            <w:color w:val="auto"/>
                            <w:shd w:val="clear" w:color="auto" w:fill="FFFFFF"/>
                          </w:rPr>
                          <w:t>enquiries@dbca.wa.gov.au</w:t>
                        </w:r>
                      </w:hyperlink>
                    </w:p>
                    <w:p w14:paraId="26ABE2B8" w14:textId="77777777" w:rsidR="00DD7487" w:rsidRPr="00643A67" w:rsidRDefault="00DD7487" w:rsidP="0056568A">
                      <w:pPr>
                        <w:pStyle w:val="imprinttext"/>
                      </w:pPr>
                    </w:p>
                    <w:p w14:paraId="26ABE2B9" w14:textId="77777777" w:rsidR="00DD7487" w:rsidRPr="001C33C1" w:rsidRDefault="00DD7487" w:rsidP="0056568A">
                      <w:pPr>
                        <w:pStyle w:val="imprintheading"/>
                      </w:pPr>
                      <w:r w:rsidRPr="001C33C1">
                        <w:t>www.</w:t>
                      </w:r>
                      <w:r>
                        <w:t>wa.gov.au</w:t>
                      </w:r>
                    </w:p>
                    <w:p w14:paraId="26ABE2BA" w14:textId="77777777" w:rsidR="00DD7487" w:rsidRDefault="00DD7487" w:rsidP="00C07FF5">
                      <w:pPr>
                        <w:pStyle w:val="imprintheading"/>
                      </w:pPr>
                      <w:r w:rsidRPr="001C33C1">
                        <w:t>Acknowledgments</w:t>
                      </w:r>
                    </w:p>
                    <w:p w14:paraId="26ABE2BB" w14:textId="77777777" w:rsidR="00DD7487" w:rsidRDefault="00DD7487" w:rsidP="00C07FF5">
                      <w:pPr>
                        <w:pStyle w:val="imprinttext"/>
                      </w:pPr>
                      <w:r>
                        <w:t>Australian Bureau of Agricultural and Resource Economics and Sciences (Australian Government)</w:t>
                      </w:r>
                    </w:p>
                    <w:p w14:paraId="26ABE2BC" w14:textId="77777777" w:rsidR="00DD7487" w:rsidRDefault="00DD7487" w:rsidP="00C07FF5">
                      <w:pPr>
                        <w:pStyle w:val="imprinttext"/>
                      </w:pPr>
                      <w:r>
                        <w:t>Department of Agriculture and Water Resources (Australian Government)</w:t>
                      </w:r>
                    </w:p>
                    <w:p w14:paraId="26ABE2BD" w14:textId="77777777" w:rsidR="00DD7487" w:rsidRDefault="00DD7487" w:rsidP="00C07FF5">
                      <w:pPr>
                        <w:pStyle w:val="imprinttext"/>
                      </w:pPr>
                      <w:r>
                        <w:t>Department of the Environment and Energy (Australian Government)</w:t>
                      </w:r>
                    </w:p>
                    <w:p w14:paraId="39BC224E" w14:textId="531A2727" w:rsidR="00DD7487" w:rsidRDefault="00DD7487" w:rsidP="00C07FF5">
                      <w:pPr>
                        <w:pStyle w:val="imprinttext"/>
                      </w:pPr>
                      <w:r>
                        <w:t>Department of Biodiversity, Conservation and Attractions (Western Australia)</w:t>
                      </w:r>
                    </w:p>
                    <w:p w14:paraId="26ABE2BF" w14:textId="77777777" w:rsidR="00DD7487" w:rsidRPr="00940BDD" w:rsidRDefault="00DD7487" w:rsidP="00DC40FC">
                      <w:pPr>
                        <w:pStyle w:val="imprinttext"/>
                      </w:pPr>
                      <w:r>
                        <w:t>Forest Products Commission (Western Australia)</w:t>
                      </w:r>
                    </w:p>
                  </w:txbxContent>
                </v:textbox>
                <w10:anchorlock/>
              </v:shape>
            </w:pict>
          </mc:Fallback>
        </mc:AlternateContent>
      </w:r>
    </w:p>
    <w:p w14:paraId="26ABC64B" w14:textId="6039FFE0" w:rsidR="006E61DE" w:rsidRPr="00CE60B2" w:rsidRDefault="002B25BB" w:rsidP="000D6EE0">
      <w:pPr>
        <w:pStyle w:val="silentheading"/>
        <w:tabs>
          <w:tab w:val="left" w:pos="5180"/>
        </w:tabs>
        <w:spacing w:after="360"/>
      </w:pPr>
      <w:r w:rsidRPr="00CE60B2">
        <w:lastRenderedPageBreak/>
        <w:t>Contents</w:t>
      </w:r>
    </w:p>
    <w:p w14:paraId="663409A8" w14:textId="7C3F453E" w:rsidR="00DD7487" w:rsidRDefault="00C54A27">
      <w:pPr>
        <w:pStyle w:val="TOC2"/>
        <w:rPr>
          <w:rFonts w:asciiTheme="minorHAnsi" w:eastAsiaTheme="minorEastAsia" w:hAnsiTheme="minorHAnsi"/>
          <w:noProof/>
          <w:lang w:eastAsia="en-AU"/>
        </w:rPr>
      </w:pPr>
      <w:r>
        <w:fldChar w:fldCharType="begin"/>
      </w:r>
      <w:r>
        <w:instrText xml:space="preserve"> TOC \o "1-3" \h \z \u </w:instrText>
      </w:r>
      <w:r>
        <w:fldChar w:fldCharType="separate"/>
      </w:r>
      <w:hyperlink w:anchor="_Toc2776020" w:history="1">
        <w:r w:rsidR="00DD7487" w:rsidRPr="0002218A">
          <w:rPr>
            <w:rStyle w:val="Hyperlink"/>
            <w:noProof/>
          </w:rPr>
          <w:t>List of Figures</w:t>
        </w:r>
        <w:r w:rsidR="00DD7487">
          <w:rPr>
            <w:noProof/>
            <w:webHidden/>
          </w:rPr>
          <w:tab/>
        </w:r>
        <w:r w:rsidR="00DD7487">
          <w:rPr>
            <w:noProof/>
            <w:webHidden/>
          </w:rPr>
          <w:fldChar w:fldCharType="begin"/>
        </w:r>
        <w:r w:rsidR="00DD7487">
          <w:rPr>
            <w:noProof/>
            <w:webHidden/>
          </w:rPr>
          <w:instrText xml:space="preserve"> PAGEREF _Toc2776020 \h </w:instrText>
        </w:r>
        <w:r w:rsidR="00DD7487">
          <w:rPr>
            <w:noProof/>
            <w:webHidden/>
          </w:rPr>
        </w:r>
        <w:r w:rsidR="00DD7487">
          <w:rPr>
            <w:noProof/>
            <w:webHidden/>
          </w:rPr>
          <w:fldChar w:fldCharType="separate"/>
        </w:r>
        <w:r w:rsidR="003C7091">
          <w:rPr>
            <w:noProof/>
            <w:webHidden/>
          </w:rPr>
          <w:t>6</w:t>
        </w:r>
        <w:r w:rsidR="00DD7487">
          <w:rPr>
            <w:noProof/>
            <w:webHidden/>
          </w:rPr>
          <w:fldChar w:fldCharType="end"/>
        </w:r>
      </w:hyperlink>
    </w:p>
    <w:p w14:paraId="756350E3" w14:textId="4952E340" w:rsidR="00DD7487" w:rsidRDefault="00DD7487">
      <w:pPr>
        <w:pStyle w:val="TOC2"/>
        <w:rPr>
          <w:rFonts w:asciiTheme="minorHAnsi" w:eastAsiaTheme="minorEastAsia" w:hAnsiTheme="minorHAnsi"/>
          <w:noProof/>
          <w:lang w:eastAsia="en-AU"/>
        </w:rPr>
      </w:pPr>
      <w:hyperlink w:anchor="_Toc2776021" w:history="1">
        <w:r w:rsidRPr="0002218A">
          <w:rPr>
            <w:rStyle w:val="Hyperlink"/>
            <w:noProof/>
          </w:rPr>
          <w:t>List of Tables</w:t>
        </w:r>
        <w:r>
          <w:rPr>
            <w:noProof/>
            <w:webHidden/>
          </w:rPr>
          <w:tab/>
        </w:r>
        <w:r>
          <w:rPr>
            <w:noProof/>
            <w:webHidden/>
          </w:rPr>
          <w:fldChar w:fldCharType="begin"/>
        </w:r>
        <w:r>
          <w:rPr>
            <w:noProof/>
            <w:webHidden/>
          </w:rPr>
          <w:instrText xml:space="preserve"> PAGEREF _Toc2776021 \h </w:instrText>
        </w:r>
        <w:r>
          <w:rPr>
            <w:noProof/>
            <w:webHidden/>
          </w:rPr>
        </w:r>
        <w:r>
          <w:rPr>
            <w:noProof/>
            <w:webHidden/>
          </w:rPr>
          <w:fldChar w:fldCharType="separate"/>
        </w:r>
        <w:r w:rsidR="003C7091">
          <w:rPr>
            <w:noProof/>
            <w:webHidden/>
          </w:rPr>
          <w:t>7</w:t>
        </w:r>
        <w:r>
          <w:rPr>
            <w:noProof/>
            <w:webHidden/>
          </w:rPr>
          <w:fldChar w:fldCharType="end"/>
        </w:r>
      </w:hyperlink>
    </w:p>
    <w:p w14:paraId="7E231304" w14:textId="683C6765" w:rsidR="00DD7487" w:rsidRDefault="00DD7487">
      <w:pPr>
        <w:pStyle w:val="TOC2"/>
        <w:rPr>
          <w:rFonts w:asciiTheme="minorHAnsi" w:eastAsiaTheme="minorEastAsia" w:hAnsiTheme="minorHAnsi"/>
          <w:noProof/>
          <w:lang w:eastAsia="en-AU"/>
        </w:rPr>
      </w:pPr>
      <w:hyperlink w:anchor="_Toc2776022" w:history="1">
        <w:r w:rsidRPr="0002218A">
          <w:rPr>
            <w:rStyle w:val="Hyperlink"/>
            <w:noProof/>
          </w:rPr>
          <w:t>Abbreviations</w:t>
        </w:r>
        <w:r>
          <w:rPr>
            <w:noProof/>
            <w:webHidden/>
          </w:rPr>
          <w:tab/>
        </w:r>
        <w:r>
          <w:rPr>
            <w:noProof/>
            <w:webHidden/>
          </w:rPr>
          <w:fldChar w:fldCharType="begin"/>
        </w:r>
        <w:r>
          <w:rPr>
            <w:noProof/>
            <w:webHidden/>
          </w:rPr>
          <w:instrText xml:space="preserve"> PAGEREF _Toc2776022 \h </w:instrText>
        </w:r>
        <w:r>
          <w:rPr>
            <w:noProof/>
            <w:webHidden/>
          </w:rPr>
        </w:r>
        <w:r>
          <w:rPr>
            <w:noProof/>
            <w:webHidden/>
          </w:rPr>
          <w:fldChar w:fldCharType="separate"/>
        </w:r>
        <w:r w:rsidR="003C7091">
          <w:rPr>
            <w:noProof/>
            <w:webHidden/>
          </w:rPr>
          <w:t>9</w:t>
        </w:r>
        <w:r>
          <w:rPr>
            <w:noProof/>
            <w:webHidden/>
          </w:rPr>
          <w:fldChar w:fldCharType="end"/>
        </w:r>
      </w:hyperlink>
    </w:p>
    <w:p w14:paraId="229D78B7" w14:textId="6A081A91" w:rsidR="00DD7487" w:rsidRDefault="00DD7487">
      <w:pPr>
        <w:pStyle w:val="TOC2"/>
        <w:rPr>
          <w:rFonts w:asciiTheme="minorHAnsi" w:eastAsiaTheme="minorEastAsia" w:hAnsiTheme="minorHAnsi"/>
          <w:noProof/>
          <w:lang w:eastAsia="en-AU"/>
        </w:rPr>
      </w:pPr>
      <w:hyperlink w:anchor="_Toc2776023" w:history="1">
        <w:r w:rsidRPr="0002218A">
          <w:rPr>
            <w:rStyle w:val="Hyperlink"/>
            <w:noProof/>
          </w:rPr>
          <w:t>Introduction</w:t>
        </w:r>
        <w:r>
          <w:rPr>
            <w:noProof/>
            <w:webHidden/>
          </w:rPr>
          <w:tab/>
        </w:r>
        <w:r>
          <w:rPr>
            <w:noProof/>
            <w:webHidden/>
          </w:rPr>
          <w:fldChar w:fldCharType="begin"/>
        </w:r>
        <w:r>
          <w:rPr>
            <w:noProof/>
            <w:webHidden/>
          </w:rPr>
          <w:instrText xml:space="preserve"> PAGEREF _Toc2776023 \h </w:instrText>
        </w:r>
        <w:r>
          <w:rPr>
            <w:noProof/>
            <w:webHidden/>
          </w:rPr>
        </w:r>
        <w:r>
          <w:rPr>
            <w:noProof/>
            <w:webHidden/>
          </w:rPr>
          <w:fldChar w:fldCharType="separate"/>
        </w:r>
        <w:r w:rsidR="003C7091">
          <w:rPr>
            <w:noProof/>
            <w:webHidden/>
          </w:rPr>
          <w:t>13</w:t>
        </w:r>
        <w:r>
          <w:rPr>
            <w:noProof/>
            <w:webHidden/>
          </w:rPr>
          <w:fldChar w:fldCharType="end"/>
        </w:r>
      </w:hyperlink>
    </w:p>
    <w:p w14:paraId="0E2CCC7D" w14:textId="3F780B1A" w:rsidR="00DD7487" w:rsidRDefault="00DD7487">
      <w:pPr>
        <w:pStyle w:val="TOC3"/>
        <w:tabs>
          <w:tab w:val="right" w:leader="dot" w:pos="9016"/>
        </w:tabs>
        <w:rPr>
          <w:rFonts w:asciiTheme="minorHAnsi" w:eastAsiaTheme="minorEastAsia" w:hAnsiTheme="minorHAnsi"/>
          <w:noProof/>
          <w:lang w:eastAsia="en-AU"/>
        </w:rPr>
      </w:pPr>
      <w:hyperlink w:anchor="_Toc2776024" w:history="1">
        <w:r w:rsidRPr="0002218A">
          <w:rPr>
            <w:rStyle w:val="Hyperlink"/>
            <w:noProof/>
          </w:rPr>
          <w:t>Background</w:t>
        </w:r>
        <w:r>
          <w:rPr>
            <w:noProof/>
            <w:webHidden/>
          </w:rPr>
          <w:tab/>
        </w:r>
        <w:r>
          <w:rPr>
            <w:noProof/>
            <w:webHidden/>
          </w:rPr>
          <w:fldChar w:fldCharType="begin"/>
        </w:r>
        <w:r>
          <w:rPr>
            <w:noProof/>
            <w:webHidden/>
          </w:rPr>
          <w:instrText xml:space="preserve"> PAGEREF _Toc2776024 \h </w:instrText>
        </w:r>
        <w:r>
          <w:rPr>
            <w:noProof/>
            <w:webHidden/>
          </w:rPr>
        </w:r>
        <w:r>
          <w:rPr>
            <w:noProof/>
            <w:webHidden/>
          </w:rPr>
          <w:fldChar w:fldCharType="separate"/>
        </w:r>
        <w:r w:rsidR="003C7091">
          <w:rPr>
            <w:noProof/>
            <w:webHidden/>
          </w:rPr>
          <w:t>14</w:t>
        </w:r>
        <w:r>
          <w:rPr>
            <w:noProof/>
            <w:webHidden/>
          </w:rPr>
          <w:fldChar w:fldCharType="end"/>
        </w:r>
      </w:hyperlink>
    </w:p>
    <w:p w14:paraId="67ADA03D" w14:textId="15431B13" w:rsidR="00DD7487" w:rsidRDefault="00DD7487">
      <w:pPr>
        <w:pStyle w:val="TOC3"/>
        <w:tabs>
          <w:tab w:val="right" w:leader="dot" w:pos="9016"/>
        </w:tabs>
        <w:rPr>
          <w:rFonts w:asciiTheme="minorHAnsi" w:eastAsiaTheme="minorEastAsia" w:hAnsiTheme="minorHAnsi"/>
          <w:noProof/>
          <w:lang w:eastAsia="en-AU"/>
        </w:rPr>
      </w:pPr>
      <w:hyperlink w:anchor="_Toc2776025" w:history="1">
        <w:r w:rsidRPr="0002218A">
          <w:rPr>
            <w:rStyle w:val="Hyperlink"/>
            <w:noProof/>
          </w:rPr>
          <w:t>WA RFA region</w:t>
        </w:r>
        <w:r>
          <w:rPr>
            <w:noProof/>
            <w:webHidden/>
          </w:rPr>
          <w:tab/>
        </w:r>
        <w:r>
          <w:rPr>
            <w:noProof/>
            <w:webHidden/>
          </w:rPr>
          <w:fldChar w:fldCharType="begin"/>
        </w:r>
        <w:r>
          <w:rPr>
            <w:noProof/>
            <w:webHidden/>
          </w:rPr>
          <w:instrText xml:space="preserve"> PAGEREF _Toc2776025 \h </w:instrText>
        </w:r>
        <w:r>
          <w:rPr>
            <w:noProof/>
            <w:webHidden/>
          </w:rPr>
        </w:r>
        <w:r>
          <w:rPr>
            <w:noProof/>
            <w:webHidden/>
          </w:rPr>
          <w:fldChar w:fldCharType="separate"/>
        </w:r>
        <w:r w:rsidR="003C7091">
          <w:rPr>
            <w:noProof/>
            <w:webHidden/>
          </w:rPr>
          <w:t>15</w:t>
        </w:r>
        <w:r>
          <w:rPr>
            <w:noProof/>
            <w:webHidden/>
          </w:rPr>
          <w:fldChar w:fldCharType="end"/>
        </w:r>
      </w:hyperlink>
    </w:p>
    <w:p w14:paraId="0AE93348" w14:textId="24053D6D" w:rsidR="00DD7487" w:rsidRDefault="00DD7487">
      <w:pPr>
        <w:pStyle w:val="TOC3"/>
        <w:tabs>
          <w:tab w:val="right" w:leader="dot" w:pos="9016"/>
        </w:tabs>
        <w:rPr>
          <w:rFonts w:asciiTheme="minorHAnsi" w:eastAsiaTheme="minorEastAsia" w:hAnsiTheme="minorHAnsi"/>
          <w:noProof/>
          <w:lang w:eastAsia="en-AU"/>
        </w:rPr>
      </w:pPr>
      <w:hyperlink w:anchor="_Toc2776026" w:history="1">
        <w:r w:rsidRPr="0002218A">
          <w:rPr>
            <w:rStyle w:val="Hyperlink"/>
            <w:noProof/>
          </w:rPr>
          <w:t>Method</w:t>
        </w:r>
        <w:r>
          <w:rPr>
            <w:noProof/>
            <w:webHidden/>
          </w:rPr>
          <w:tab/>
        </w:r>
        <w:r>
          <w:rPr>
            <w:noProof/>
            <w:webHidden/>
          </w:rPr>
          <w:fldChar w:fldCharType="begin"/>
        </w:r>
        <w:r>
          <w:rPr>
            <w:noProof/>
            <w:webHidden/>
          </w:rPr>
          <w:instrText xml:space="preserve"> PAGEREF _Toc2776026 \h </w:instrText>
        </w:r>
        <w:r>
          <w:rPr>
            <w:noProof/>
            <w:webHidden/>
          </w:rPr>
        </w:r>
        <w:r>
          <w:rPr>
            <w:noProof/>
            <w:webHidden/>
          </w:rPr>
          <w:fldChar w:fldCharType="separate"/>
        </w:r>
        <w:r w:rsidR="003C7091">
          <w:rPr>
            <w:noProof/>
            <w:webHidden/>
          </w:rPr>
          <w:t>17</w:t>
        </w:r>
        <w:r>
          <w:rPr>
            <w:noProof/>
            <w:webHidden/>
          </w:rPr>
          <w:fldChar w:fldCharType="end"/>
        </w:r>
      </w:hyperlink>
    </w:p>
    <w:p w14:paraId="2F6112F2" w14:textId="6D4B923E" w:rsidR="00DD7487" w:rsidRDefault="00DD7487">
      <w:pPr>
        <w:pStyle w:val="TOC3"/>
        <w:tabs>
          <w:tab w:val="right" w:leader="dot" w:pos="9016"/>
        </w:tabs>
        <w:rPr>
          <w:rFonts w:asciiTheme="minorHAnsi" w:eastAsiaTheme="minorEastAsia" w:hAnsiTheme="minorHAnsi"/>
          <w:noProof/>
          <w:lang w:eastAsia="en-AU"/>
        </w:rPr>
      </w:pPr>
      <w:hyperlink w:anchor="_Toc2776027" w:history="1">
        <w:r w:rsidRPr="0002218A">
          <w:rPr>
            <w:rStyle w:val="Hyperlink"/>
            <w:noProof/>
            <w:lang w:eastAsia="en-AU"/>
          </w:rPr>
          <w:t>Linkages to other Processes</w:t>
        </w:r>
        <w:r>
          <w:rPr>
            <w:noProof/>
            <w:webHidden/>
          </w:rPr>
          <w:tab/>
        </w:r>
        <w:r>
          <w:rPr>
            <w:noProof/>
            <w:webHidden/>
          </w:rPr>
          <w:fldChar w:fldCharType="begin"/>
        </w:r>
        <w:r>
          <w:rPr>
            <w:noProof/>
            <w:webHidden/>
          </w:rPr>
          <w:instrText xml:space="preserve"> PAGEREF _Toc2776027 \h </w:instrText>
        </w:r>
        <w:r>
          <w:rPr>
            <w:noProof/>
            <w:webHidden/>
          </w:rPr>
        </w:r>
        <w:r>
          <w:rPr>
            <w:noProof/>
            <w:webHidden/>
          </w:rPr>
          <w:fldChar w:fldCharType="separate"/>
        </w:r>
        <w:r w:rsidR="003C7091">
          <w:rPr>
            <w:noProof/>
            <w:webHidden/>
          </w:rPr>
          <w:t>18</w:t>
        </w:r>
        <w:r>
          <w:rPr>
            <w:noProof/>
            <w:webHidden/>
          </w:rPr>
          <w:fldChar w:fldCharType="end"/>
        </w:r>
      </w:hyperlink>
    </w:p>
    <w:p w14:paraId="3A2093D3" w14:textId="4AADB1B2" w:rsidR="00DD7487" w:rsidRDefault="00DD7487">
      <w:pPr>
        <w:pStyle w:val="TOC2"/>
        <w:rPr>
          <w:rFonts w:asciiTheme="minorHAnsi" w:eastAsiaTheme="minorEastAsia" w:hAnsiTheme="minorHAnsi"/>
          <w:noProof/>
          <w:lang w:eastAsia="en-AU"/>
        </w:rPr>
      </w:pPr>
      <w:hyperlink w:anchor="_Toc2776028" w:history="1">
        <w:r w:rsidRPr="0002218A">
          <w:rPr>
            <w:rStyle w:val="Hyperlink"/>
            <w:noProof/>
          </w:rPr>
          <w:t>Section 1: Environmental Values</w:t>
        </w:r>
        <w:r>
          <w:rPr>
            <w:noProof/>
            <w:webHidden/>
          </w:rPr>
          <w:tab/>
        </w:r>
        <w:r>
          <w:rPr>
            <w:noProof/>
            <w:webHidden/>
          </w:rPr>
          <w:fldChar w:fldCharType="begin"/>
        </w:r>
        <w:r>
          <w:rPr>
            <w:noProof/>
            <w:webHidden/>
          </w:rPr>
          <w:instrText xml:space="preserve"> PAGEREF _Toc2776028 \h </w:instrText>
        </w:r>
        <w:r>
          <w:rPr>
            <w:noProof/>
            <w:webHidden/>
          </w:rPr>
        </w:r>
        <w:r>
          <w:rPr>
            <w:noProof/>
            <w:webHidden/>
          </w:rPr>
          <w:fldChar w:fldCharType="separate"/>
        </w:r>
        <w:r w:rsidR="003C7091">
          <w:rPr>
            <w:noProof/>
            <w:webHidden/>
          </w:rPr>
          <w:t>20</w:t>
        </w:r>
        <w:r>
          <w:rPr>
            <w:noProof/>
            <w:webHidden/>
          </w:rPr>
          <w:fldChar w:fldCharType="end"/>
        </w:r>
      </w:hyperlink>
    </w:p>
    <w:p w14:paraId="0ED3CB30" w14:textId="445B62CD" w:rsidR="00DD7487" w:rsidRDefault="00DD7487">
      <w:pPr>
        <w:pStyle w:val="TOC3"/>
        <w:tabs>
          <w:tab w:val="right" w:leader="dot" w:pos="9016"/>
        </w:tabs>
        <w:rPr>
          <w:rFonts w:asciiTheme="minorHAnsi" w:eastAsiaTheme="minorEastAsia" w:hAnsiTheme="minorHAnsi"/>
          <w:noProof/>
          <w:lang w:eastAsia="en-AU"/>
        </w:rPr>
      </w:pPr>
      <w:hyperlink w:anchor="_Toc2776029" w:history="1">
        <w:r w:rsidRPr="0002218A">
          <w:rPr>
            <w:rStyle w:val="Hyperlink"/>
            <w:noProof/>
          </w:rPr>
          <w:t>Old-Growth Values</w:t>
        </w:r>
        <w:r>
          <w:rPr>
            <w:noProof/>
            <w:webHidden/>
          </w:rPr>
          <w:tab/>
        </w:r>
        <w:r>
          <w:rPr>
            <w:noProof/>
            <w:webHidden/>
          </w:rPr>
          <w:fldChar w:fldCharType="begin"/>
        </w:r>
        <w:r>
          <w:rPr>
            <w:noProof/>
            <w:webHidden/>
          </w:rPr>
          <w:instrText xml:space="preserve"> PAGEREF _Toc2776029 \h </w:instrText>
        </w:r>
        <w:r>
          <w:rPr>
            <w:noProof/>
            <w:webHidden/>
          </w:rPr>
        </w:r>
        <w:r>
          <w:rPr>
            <w:noProof/>
            <w:webHidden/>
          </w:rPr>
          <w:fldChar w:fldCharType="separate"/>
        </w:r>
        <w:r w:rsidR="003C7091">
          <w:rPr>
            <w:noProof/>
            <w:webHidden/>
          </w:rPr>
          <w:t>20</w:t>
        </w:r>
        <w:r>
          <w:rPr>
            <w:noProof/>
            <w:webHidden/>
          </w:rPr>
          <w:fldChar w:fldCharType="end"/>
        </w:r>
      </w:hyperlink>
    </w:p>
    <w:p w14:paraId="6E26B97D" w14:textId="331D25F3" w:rsidR="00DD7487" w:rsidRDefault="00DD7487">
      <w:pPr>
        <w:pStyle w:val="TOC3"/>
        <w:tabs>
          <w:tab w:val="right" w:leader="dot" w:pos="9016"/>
        </w:tabs>
        <w:rPr>
          <w:rFonts w:asciiTheme="minorHAnsi" w:eastAsiaTheme="minorEastAsia" w:hAnsiTheme="minorHAnsi"/>
          <w:noProof/>
          <w:lang w:eastAsia="en-AU"/>
        </w:rPr>
      </w:pPr>
      <w:hyperlink w:anchor="_Toc2776030" w:history="1">
        <w:r w:rsidRPr="0002218A">
          <w:rPr>
            <w:rStyle w:val="Hyperlink"/>
            <w:noProof/>
          </w:rPr>
          <w:t>Wilderness values</w:t>
        </w:r>
        <w:r>
          <w:rPr>
            <w:noProof/>
            <w:webHidden/>
          </w:rPr>
          <w:tab/>
        </w:r>
        <w:r>
          <w:rPr>
            <w:noProof/>
            <w:webHidden/>
          </w:rPr>
          <w:fldChar w:fldCharType="begin"/>
        </w:r>
        <w:r>
          <w:rPr>
            <w:noProof/>
            <w:webHidden/>
          </w:rPr>
          <w:instrText xml:space="preserve"> PAGEREF _Toc2776030 \h </w:instrText>
        </w:r>
        <w:r>
          <w:rPr>
            <w:noProof/>
            <w:webHidden/>
          </w:rPr>
        </w:r>
        <w:r>
          <w:rPr>
            <w:noProof/>
            <w:webHidden/>
          </w:rPr>
          <w:fldChar w:fldCharType="separate"/>
        </w:r>
        <w:r w:rsidR="003C7091">
          <w:rPr>
            <w:noProof/>
            <w:webHidden/>
          </w:rPr>
          <w:t>25</w:t>
        </w:r>
        <w:r>
          <w:rPr>
            <w:noProof/>
            <w:webHidden/>
          </w:rPr>
          <w:fldChar w:fldCharType="end"/>
        </w:r>
      </w:hyperlink>
    </w:p>
    <w:p w14:paraId="5EA6F46F" w14:textId="0D563C2B" w:rsidR="00DD7487" w:rsidRDefault="00DD7487">
      <w:pPr>
        <w:pStyle w:val="TOC3"/>
        <w:tabs>
          <w:tab w:val="right" w:leader="dot" w:pos="9016"/>
        </w:tabs>
        <w:rPr>
          <w:rFonts w:asciiTheme="minorHAnsi" w:eastAsiaTheme="minorEastAsia" w:hAnsiTheme="minorHAnsi"/>
          <w:noProof/>
          <w:lang w:eastAsia="en-AU"/>
        </w:rPr>
      </w:pPr>
      <w:hyperlink w:anchor="_Toc2776031" w:history="1">
        <w:r w:rsidRPr="0002218A">
          <w:rPr>
            <w:rStyle w:val="Hyperlink"/>
            <w:noProof/>
            <w:lang w:eastAsia="en-AU"/>
          </w:rPr>
          <w:t>Endangered species values</w:t>
        </w:r>
        <w:r>
          <w:rPr>
            <w:noProof/>
            <w:webHidden/>
          </w:rPr>
          <w:tab/>
        </w:r>
        <w:r>
          <w:rPr>
            <w:noProof/>
            <w:webHidden/>
          </w:rPr>
          <w:fldChar w:fldCharType="begin"/>
        </w:r>
        <w:r>
          <w:rPr>
            <w:noProof/>
            <w:webHidden/>
          </w:rPr>
          <w:instrText xml:space="preserve"> PAGEREF _Toc2776031 \h </w:instrText>
        </w:r>
        <w:r>
          <w:rPr>
            <w:noProof/>
            <w:webHidden/>
          </w:rPr>
        </w:r>
        <w:r>
          <w:rPr>
            <w:noProof/>
            <w:webHidden/>
          </w:rPr>
          <w:fldChar w:fldCharType="separate"/>
        </w:r>
        <w:r w:rsidR="003C7091">
          <w:rPr>
            <w:noProof/>
            <w:webHidden/>
          </w:rPr>
          <w:t>28</w:t>
        </w:r>
        <w:r>
          <w:rPr>
            <w:noProof/>
            <w:webHidden/>
          </w:rPr>
          <w:fldChar w:fldCharType="end"/>
        </w:r>
      </w:hyperlink>
    </w:p>
    <w:p w14:paraId="45FC2243" w14:textId="3311F333" w:rsidR="00DD7487" w:rsidRDefault="00DD7487">
      <w:pPr>
        <w:pStyle w:val="TOC3"/>
        <w:tabs>
          <w:tab w:val="right" w:leader="dot" w:pos="9016"/>
        </w:tabs>
        <w:rPr>
          <w:rFonts w:asciiTheme="minorHAnsi" w:eastAsiaTheme="minorEastAsia" w:hAnsiTheme="minorHAnsi"/>
          <w:noProof/>
          <w:lang w:eastAsia="en-AU"/>
        </w:rPr>
      </w:pPr>
      <w:hyperlink w:anchor="_Toc2776032" w:history="1">
        <w:r w:rsidRPr="0002218A">
          <w:rPr>
            <w:rStyle w:val="Hyperlink"/>
            <w:noProof/>
            <w:lang w:eastAsia="en-AU"/>
          </w:rPr>
          <w:t>National Estate values</w:t>
        </w:r>
        <w:r>
          <w:rPr>
            <w:noProof/>
            <w:webHidden/>
          </w:rPr>
          <w:tab/>
        </w:r>
        <w:r>
          <w:rPr>
            <w:noProof/>
            <w:webHidden/>
          </w:rPr>
          <w:fldChar w:fldCharType="begin"/>
        </w:r>
        <w:r>
          <w:rPr>
            <w:noProof/>
            <w:webHidden/>
          </w:rPr>
          <w:instrText xml:space="preserve"> PAGEREF _Toc2776032 \h </w:instrText>
        </w:r>
        <w:r>
          <w:rPr>
            <w:noProof/>
            <w:webHidden/>
          </w:rPr>
        </w:r>
        <w:r>
          <w:rPr>
            <w:noProof/>
            <w:webHidden/>
          </w:rPr>
          <w:fldChar w:fldCharType="separate"/>
        </w:r>
        <w:r w:rsidR="003C7091">
          <w:rPr>
            <w:noProof/>
            <w:webHidden/>
          </w:rPr>
          <w:t>34</w:t>
        </w:r>
        <w:r>
          <w:rPr>
            <w:noProof/>
            <w:webHidden/>
          </w:rPr>
          <w:fldChar w:fldCharType="end"/>
        </w:r>
      </w:hyperlink>
    </w:p>
    <w:p w14:paraId="74BB394E" w14:textId="228E9B05"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33" w:history="1">
        <w:r w:rsidRPr="0002218A">
          <w:rPr>
            <w:rStyle w:val="Hyperlink"/>
            <w:noProof/>
          </w:rPr>
          <w:t xml:space="preserve">Indicator </w:t>
        </w:r>
        <w:r w:rsidRPr="0002218A">
          <w:rPr>
            <w:rStyle w:val="Hyperlink"/>
            <w:noProof/>
            <w:lang w:eastAsia="en-AU"/>
          </w:rPr>
          <w:t>6.4b</w:t>
        </w:r>
        <w:r>
          <w:rPr>
            <w:rFonts w:asciiTheme="minorHAnsi" w:eastAsiaTheme="minorEastAsia" w:hAnsiTheme="minorHAnsi"/>
            <w:noProof/>
            <w:lang w:eastAsia="en-AU"/>
          </w:rPr>
          <w:tab/>
        </w:r>
        <w:r w:rsidRPr="0002218A">
          <w:rPr>
            <w:rStyle w:val="Hyperlink"/>
            <w:noProof/>
            <w:lang w:eastAsia="en-AU"/>
          </w:rPr>
          <w:t>Registered places of non-Indigenous cultural value in forests that are formally managed to protect those values</w:t>
        </w:r>
        <w:r>
          <w:rPr>
            <w:noProof/>
            <w:webHidden/>
          </w:rPr>
          <w:tab/>
        </w:r>
        <w:r>
          <w:rPr>
            <w:noProof/>
            <w:webHidden/>
          </w:rPr>
          <w:fldChar w:fldCharType="begin"/>
        </w:r>
        <w:r>
          <w:rPr>
            <w:noProof/>
            <w:webHidden/>
          </w:rPr>
          <w:instrText xml:space="preserve"> PAGEREF _Toc2776033 \h </w:instrText>
        </w:r>
        <w:r>
          <w:rPr>
            <w:noProof/>
            <w:webHidden/>
          </w:rPr>
        </w:r>
        <w:r>
          <w:rPr>
            <w:noProof/>
            <w:webHidden/>
          </w:rPr>
          <w:fldChar w:fldCharType="separate"/>
        </w:r>
        <w:r w:rsidR="003C7091">
          <w:rPr>
            <w:noProof/>
            <w:webHidden/>
          </w:rPr>
          <w:t>36</w:t>
        </w:r>
        <w:r>
          <w:rPr>
            <w:noProof/>
            <w:webHidden/>
          </w:rPr>
          <w:fldChar w:fldCharType="end"/>
        </w:r>
      </w:hyperlink>
    </w:p>
    <w:p w14:paraId="4D9264CA" w14:textId="022232FE" w:rsidR="00DD7487" w:rsidRDefault="00DD7487">
      <w:pPr>
        <w:pStyle w:val="TOC3"/>
        <w:tabs>
          <w:tab w:val="right" w:leader="dot" w:pos="9016"/>
        </w:tabs>
        <w:rPr>
          <w:rFonts w:asciiTheme="minorHAnsi" w:eastAsiaTheme="minorEastAsia" w:hAnsiTheme="minorHAnsi"/>
          <w:noProof/>
          <w:lang w:eastAsia="en-AU"/>
        </w:rPr>
      </w:pPr>
      <w:hyperlink w:anchor="_Toc2776034" w:history="1">
        <w:r w:rsidRPr="0002218A">
          <w:rPr>
            <w:rStyle w:val="Hyperlink"/>
            <w:noProof/>
          </w:rPr>
          <w:t>World Heritage values</w:t>
        </w:r>
        <w:r>
          <w:rPr>
            <w:noProof/>
            <w:webHidden/>
          </w:rPr>
          <w:tab/>
        </w:r>
        <w:r>
          <w:rPr>
            <w:noProof/>
            <w:webHidden/>
          </w:rPr>
          <w:fldChar w:fldCharType="begin"/>
        </w:r>
        <w:r>
          <w:rPr>
            <w:noProof/>
            <w:webHidden/>
          </w:rPr>
          <w:instrText xml:space="preserve"> PAGEREF _Toc2776034 \h </w:instrText>
        </w:r>
        <w:r>
          <w:rPr>
            <w:noProof/>
            <w:webHidden/>
          </w:rPr>
        </w:r>
        <w:r>
          <w:rPr>
            <w:noProof/>
            <w:webHidden/>
          </w:rPr>
          <w:fldChar w:fldCharType="separate"/>
        </w:r>
        <w:r w:rsidR="003C7091">
          <w:rPr>
            <w:noProof/>
            <w:webHidden/>
          </w:rPr>
          <w:t>39</w:t>
        </w:r>
        <w:r>
          <w:rPr>
            <w:noProof/>
            <w:webHidden/>
          </w:rPr>
          <w:fldChar w:fldCharType="end"/>
        </w:r>
      </w:hyperlink>
    </w:p>
    <w:p w14:paraId="0431722D" w14:textId="406C439F" w:rsidR="00DD7487" w:rsidRDefault="00DD7487">
      <w:pPr>
        <w:pStyle w:val="TOC3"/>
        <w:tabs>
          <w:tab w:val="right" w:leader="dot" w:pos="9016"/>
        </w:tabs>
        <w:rPr>
          <w:rFonts w:asciiTheme="minorHAnsi" w:eastAsiaTheme="minorEastAsia" w:hAnsiTheme="minorHAnsi"/>
          <w:noProof/>
          <w:lang w:eastAsia="en-AU"/>
        </w:rPr>
      </w:pPr>
      <w:hyperlink w:anchor="_Toc2776035" w:history="1">
        <w:r w:rsidRPr="0002218A">
          <w:rPr>
            <w:rStyle w:val="Hyperlink"/>
            <w:noProof/>
            <w:lang w:eastAsia="en-AU"/>
          </w:rPr>
          <w:t>Biodiversity Values</w:t>
        </w:r>
        <w:r>
          <w:rPr>
            <w:noProof/>
            <w:webHidden/>
          </w:rPr>
          <w:tab/>
        </w:r>
        <w:r>
          <w:rPr>
            <w:noProof/>
            <w:webHidden/>
          </w:rPr>
          <w:fldChar w:fldCharType="begin"/>
        </w:r>
        <w:r>
          <w:rPr>
            <w:noProof/>
            <w:webHidden/>
          </w:rPr>
          <w:instrText xml:space="preserve"> PAGEREF _Toc2776035 \h </w:instrText>
        </w:r>
        <w:r>
          <w:rPr>
            <w:noProof/>
            <w:webHidden/>
          </w:rPr>
        </w:r>
        <w:r>
          <w:rPr>
            <w:noProof/>
            <w:webHidden/>
          </w:rPr>
          <w:fldChar w:fldCharType="separate"/>
        </w:r>
        <w:r w:rsidR="003C7091">
          <w:rPr>
            <w:noProof/>
            <w:webHidden/>
          </w:rPr>
          <w:t>40</w:t>
        </w:r>
        <w:r>
          <w:rPr>
            <w:noProof/>
            <w:webHidden/>
          </w:rPr>
          <w:fldChar w:fldCharType="end"/>
        </w:r>
      </w:hyperlink>
    </w:p>
    <w:p w14:paraId="77F5E530" w14:textId="68575CB8"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36" w:history="1">
        <w:r w:rsidRPr="0002218A">
          <w:rPr>
            <w:rStyle w:val="Hyperlink"/>
            <w:noProof/>
          </w:rPr>
          <w:t xml:space="preserve">Indicator </w:t>
        </w:r>
        <w:r w:rsidRPr="0002218A">
          <w:rPr>
            <w:rStyle w:val="Hyperlink"/>
            <w:noProof/>
            <w:lang w:eastAsia="en-AU"/>
          </w:rPr>
          <w:t>1.1a</w:t>
        </w:r>
        <w:r>
          <w:rPr>
            <w:rFonts w:asciiTheme="minorHAnsi" w:eastAsiaTheme="minorEastAsia" w:hAnsiTheme="minorHAnsi"/>
            <w:noProof/>
            <w:lang w:eastAsia="en-AU"/>
          </w:rPr>
          <w:tab/>
        </w:r>
        <w:r w:rsidRPr="0002218A">
          <w:rPr>
            <w:rStyle w:val="Hyperlink"/>
            <w:noProof/>
            <w:lang w:eastAsia="en-AU"/>
          </w:rPr>
          <w:t>Area of forest by forest type and tenure</w:t>
        </w:r>
        <w:r>
          <w:rPr>
            <w:noProof/>
            <w:webHidden/>
          </w:rPr>
          <w:tab/>
        </w:r>
        <w:r>
          <w:rPr>
            <w:noProof/>
            <w:webHidden/>
          </w:rPr>
          <w:fldChar w:fldCharType="begin"/>
        </w:r>
        <w:r>
          <w:rPr>
            <w:noProof/>
            <w:webHidden/>
          </w:rPr>
          <w:instrText xml:space="preserve"> PAGEREF _Toc2776036 \h </w:instrText>
        </w:r>
        <w:r>
          <w:rPr>
            <w:noProof/>
            <w:webHidden/>
          </w:rPr>
        </w:r>
        <w:r>
          <w:rPr>
            <w:noProof/>
            <w:webHidden/>
          </w:rPr>
          <w:fldChar w:fldCharType="separate"/>
        </w:r>
        <w:r w:rsidR="003C7091">
          <w:rPr>
            <w:noProof/>
            <w:webHidden/>
          </w:rPr>
          <w:t>40</w:t>
        </w:r>
        <w:r>
          <w:rPr>
            <w:noProof/>
            <w:webHidden/>
          </w:rPr>
          <w:fldChar w:fldCharType="end"/>
        </w:r>
      </w:hyperlink>
    </w:p>
    <w:p w14:paraId="2F664F29" w14:textId="0BA31DBF" w:rsidR="00DD7487" w:rsidRDefault="00DD7487">
      <w:pPr>
        <w:pStyle w:val="TOC3"/>
        <w:tabs>
          <w:tab w:val="left" w:pos="1966"/>
          <w:tab w:val="right" w:leader="dot" w:pos="9016"/>
        </w:tabs>
        <w:rPr>
          <w:rFonts w:asciiTheme="minorHAnsi" w:eastAsiaTheme="minorEastAsia" w:hAnsiTheme="minorHAnsi"/>
          <w:noProof/>
          <w:lang w:eastAsia="en-AU"/>
        </w:rPr>
      </w:pPr>
      <w:hyperlink w:anchor="_Toc2776037" w:history="1">
        <w:r w:rsidRPr="0002218A">
          <w:rPr>
            <w:rStyle w:val="Hyperlink"/>
            <w:noProof/>
          </w:rPr>
          <w:t xml:space="preserve">Indicator </w:t>
        </w:r>
        <w:r w:rsidRPr="0002218A">
          <w:rPr>
            <w:rStyle w:val="Hyperlink"/>
            <w:noProof/>
            <w:lang w:eastAsia="en-AU"/>
          </w:rPr>
          <w:t>1.1c</w:t>
        </w:r>
        <w:r>
          <w:rPr>
            <w:rFonts w:asciiTheme="minorHAnsi" w:eastAsiaTheme="minorEastAsia" w:hAnsiTheme="minorHAnsi"/>
            <w:noProof/>
            <w:lang w:eastAsia="en-AU"/>
          </w:rPr>
          <w:tab/>
        </w:r>
        <w:r w:rsidRPr="0002218A">
          <w:rPr>
            <w:rStyle w:val="Hyperlink"/>
            <w:noProof/>
            <w:lang w:eastAsia="en-AU"/>
          </w:rPr>
          <w:t>Area of forest in protected area categories</w:t>
        </w:r>
        <w:r>
          <w:rPr>
            <w:noProof/>
            <w:webHidden/>
          </w:rPr>
          <w:tab/>
        </w:r>
        <w:r>
          <w:rPr>
            <w:noProof/>
            <w:webHidden/>
          </w:rPr>
          <w:fldChar w:fldCharType="begin"/>
        </w:r>
        <w:r>
          <w:rPr>
            <w:noProof/>
            <w:webHidden/>
          </w:rPr>
          <w:instrText xml:space="preserve"> PAGEREF _Toc2776037 \h </w:instrText>
        </w:r>
        <w:r>
          <w:rPr>
            <w:noProof/>
            <w:webHidden/>
          </w:rPr>
        </w:r>
        <w:r>
          <w:rPr>
            <w:noProof/>
            <w:webHidden/>
          </w:rPr>
          <w:fldChar w:fldCharType="separate"/>
        </w:r>
        <w:r w:rsidR="003C7091">
          <w:rPr>
            <w:noProof/>
            <w:webHidden/>
          </w:rPr>
          <w:t>44</w:t>
        </w:r>
        <w:r>
          <w:rPr>
            <w:noProof/>
            <w:webHidden/>
          </w:rPr>
          <w:fldChar w:fldCharType="end"/>
        </w:r>
      </w:hyperlink>
    </w:p>
    <w:p w14:paraId="02F7A0F4" w14:textId="4CE609D2"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38" w:history="1">
        <w:r w:rsidRPr="0002218A">
          <w:rPr>
            <w:rStyle w:val="Hyperlink"/>
            <w:noProof/>
          </w:rPr>
          <w:t xml:space="preserve">Indicator </w:t>
        </w:r>
        <w:r w:rsidRPr="0002218A">
          <w:rPr>
            <w:rStyle w:val="Hyperlink"/>
            <w:noProof/>
            <w:lang w:eastAsia="en-AU"/>
          </w:rPr>
          <w:t>1.2a</w:t>
        </w:r>
        <w:r>
          <w:rPr>
            <w:rFonts w:asciiTheme="minorHAnsi" w:eastAsiaTheme="minorEastAsia" w:hAnsiTheme="minorHAnsi"/>
            <w:noProof/>
            <w:lang w:eastAsia="en-AU"/>
          </w:rPr>
          <w:tab/>
        </w:r>
        <w:r w:rsidRPr="0002218A">
          <w:rPr>
            <w:rStyle w:val="Hyperlink"/>
            <w:noProof/>
            <w:lang w:eastAsia="en-AU"/>
          </w:rPr>
          <w:t>Forest dwelling species for which ecological information is available</w:t>
        </w:r>
        <w:r>
          <w:rPr>
            <w:noProof/>
            <w:webHidden/>
          </w:rPr>
          <w:tab/>
        </w:r>
        <w:r>
          <w:rPr>
            <w:noProof/>
            <w:webHidden/>
          </w:rPr>
          <w:fldChar w:fldCharType="begin"/>
        </w:r>
        <w:r>
          <w:rPr>
            <w:noProof/>
            <w:webHidden/>
          </w:rPr>
          <w:instrText xml:space="preserve"> PAGEREF _Toc2776038 \h </w:instrText>
        </w:r>
        <w:r>
          <w:rPr>
            <w:noProof/>
            <w:webHidden/>
          </w:rPr>
        </w:r>
        <w:r>
          <w:rPr>
            <w:noProof/>
            <w:webHidden/>
          </w:rPr>
          <w:fldChar w:fldCharType="separate"/>
        </w:r>
        <w:r w:rsidR="003C7091">
          <w:rPr>
            <w:noProof/>
            <w:webHidden/>
          </w:rPr>
          <w:t>47</w:t>
        </w:r>
        <w:r>
          <w:rPr>
            <w:noProof/>
            <w:webHidden/>
          </w:rPr>
          <w:fldChar w:fldCharType="end"/>
        </w:r>
      </w:hyperlink>
    </w:p>
    <w:p w14:paraId="70E667EF" w14:textId="7AAADDE2" w:rsidR="00DD7487" w:rsidRDefault="00DD7487">
      <w:pPr>
        <w:pStyle w:val="TOC3"/>
        <w:tabs>
          <w:tab w:val="left" w:pos="1966"/>
          <w:tab w:val="right" w:leader="dot" w:pos="9016"/>
        </w:tabs>
        <w:rPr>
          <w:rFonts w:asciiTheme="minorHAnsi" w:eastAsiaTheme="minorEastAsia" w:hAnsiTheme="minorHAnsi"/>
          <w:noProof/>
          <w:lang w:eastAsia="en-AU"/>
        </w:rPr>
      </w:pPr>
      <w:hyperlink w:anchor="_Toc2776039" w:history="1">
        <w:r w:rsidRPr="0002218A">
          <w:rPr>
            <w:rStyle w:val="Hyperlink"/>
            <w:noProof/>
          </w:rPr>
          <w:t xml:space="preserve">Indicator </w:t>
        </w:r>
        <w:r w:rsidRPr="0002218A">
          <w:rPr>
            <w:rStyle w:val="Hyperlink"/>
            <w:noProof/>
            <w:lang w:eastAsia="en-AU"/>
          </w:rPr>
          <w:t>1.2c</w:t>
        </w:r>
        <w:r>
          <w:rPr>
            <w:rFonts w:asciiTheme="minorHAnsi" w:eastAsiaTheme="minorEastAsia" w:hAnsiTheme="minorHAnsi"/>
            <w:noProof/>
            <w:lang w:eastAsia="en-AU"/>
          </w:rPr>
          <w:tab/>
        </w:r>
        <w:r w:rsidRPr="0002218A">
          <w:rPr>
            <w:rStyle w:val="Hyperlink"/>
            <w:noProof/>
            <w:lang w:eastAsia="en-AU"/>
          </w:rPr>
          <w:t>Representative species from a range of habitats monitored at scales relevant to regional forest management</w:t>
        </w:r>
        <w:r>
          <w:rPr>
            <w:noProof/>
            <w:webHidden/>
          </w:rPr>
          <w:tab/>
        </w:r>
        <w:r>
          <w:rPr>
            <w:noProof/>
            <w:webHidden/>
          </w:rPr>
          <w:fldChar w:fldCharType="begin"/>
        </w:r>
        <w:r>
          <w:rPr>
            <w:noProof/>
            <w:webHidden/>
          </w:rPr>
          <w:instrText xml:space="preserve"> PAGEREF _Toc2776039 \h </w:instrText>
        </w:r>
        <w:r>
          <w:rPr>
            <w:noProof/>
            <w:webHidden/>
          </w:rPr>
        </w:r>
        <w:r>
          <w:rPr>
            <w:noProof/>
            <w:webHidden/>
          </w:rPr>
          <w:fldChar w:fldCharType="separate"/>
        </w:r>
        <w:r w:rsidR="003C7091">
          <w:rPr>
            <w:noProof/>
            <w:webHidden/>
          </w:rPr>
          <w:t>49</w:t>
        </w:r>
        <w:r>
          <w:rPr>
            <w:noProof/>
            <w:webHidden/>
          </w:rPr>
          <w:fldChar w:fldCharType="end"/>
        </w:r>
      </w:hyperlink>
    </w:p>
    <w:p w14:paraId="522E3DFA" w14:textId="449DD889"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40" w:history="1">
        <w:r w:rsidRPr="0002218A">
          <w:rPr>
            <w:rStyle w:val="Hyperlink"/>
            <w:noProof/>
          </w:rPr>
          <w:t xml:space="preserve">Indicator </w:t>
        </w:r>
        <w:r w:rsidRPr="0002218A">
          <w:rPr>
            <w:rStyle w:val="Hyperlink"/>
            <w:noProof/>
            <w:lang w:eastAsia="en-AU"/>
          </w:rPr>
          <w:t>1.3a</w:t>
        </w:r>
        <w:r>
          <w:rPr>
            <w:rFonts w:asciiTheme="minorHAnsi" w:eastAsiaTheme="minorEastAsia" w:hAnsiTheme="minorHAnsi"/>
            <w:noProof/>
            <w:lang w:eastAsia="en-AU"/>
          </w:rPr>
          <w:tab/>
        </w:r>
        <w:r w:rsidRPr="0002218A">
          <w:rPr>
            <w:rStyle w:val="Hyperlink"/>
            <w:noProof/>
            <w:lang w:eastAsia="en-AU"/>
          </w:rPr>
          <w:t>Forest associated species at risk from isolation and the loss of genetic variation, and conservation efforts for those species</w:t>
        </w:r>
        <w:r>
          <w:rPr>
            <w:noProof/>
            <w:webHidden/>
          </w:rPr>
          <w:tab/>
        </w:r>
        <w:r>
          <w:rPr>
            <w:noProof/>
            <w:webHidden/>
          </w:rPr>
          <w:fldChar w:fldCharType="begin"/>
        </w:r>
        <w:r>
          <w:rPr>
            <w:noProof/>
            <w:webHidden/>
          </w:rPr>
          <w:instrText xml:space="preserve"> PAGEREF _Toc2776040 \h </w:instrText>
        </w:r>
        <w:r>
          <w:rPr>
            <w:noProof/>
            <w:webHidden/>
          </w:rPr>
        </w:r>
        <w:r>
          <w:rPr>
            <w:noProof/>
            <w:webHidden/>
          </w:rPr>
          <w:fldChar w:fldCharType="separate"/>
        </w:r>
        <w:r w:rsidR="003C7091">
          <w:rPr>
            <w:noProof/>
            <w:webHidden/>
          </w:rPr>
          <w:t>51</w:t>
        </w:r>
        <w:r>
          <w:rPr>
            <w:noProof/>
            <w:webHidden/>
          </w:rPr>
          <w:fldChar w:fldCharType="end"/>
        </w:r>
      </w:hyperlink>
    </w:p>
    <w:p w14:paraId="530C7DDB" w14:textId="7C9515E2" w:rsidR="00DD7487" w:rsidRDefault="00DD7487">
      <w:pPr>
        <w:pStyle w:val="TOC3"/>
        <w:tabs>
          <w:tab w:val="right" w:leader="dot" w:pos="9016"/>
        </w:tabs>
        <w:rPr>
          <w:rFonts w:asciiTheme="minorHAnsi" w:eastAsiaTheme="minorEastAsia" w:hAnsiTheme="minorHAnsi"/>
          <w:noProof/>
          <w:lang w:eastAsia="en-AU"/>
        </w:rPr>
      </w:pPr>
      <w:hyperlink w:anchor="_Toc2776041" w:history="1">
        <w:r w:rsidRPr="0002218A">
          <w:rPr>
            <w:rStyle w:val="Hyperlink"/>
            <w:noProof/>
            <w:lang w:eastAsia="en-AU"/>
          </w:rPr>
          <w:t>Wetland values</w:t>
        </w:r>
        <w:r>
          <w:rPr>
            <w:noProof/>
            <w:webHidden/>
          </w:rPr>
          <w:tab/>
        </w:r>
        <w:r>
          <w:rPr>
            <w:noProof/>
            <w:webHidden/>
          </w:rPr>
          <w:fldChar w:fldCharType="begin"/>
        </w:r>
        <w:r>
          <w:rPr>
            <w:noProof/>
            <w:webHidden/>
          </w:rPr>
          <w:instrText xml:space="preserve"> PAGEREF _Toc2776041 \h </w:instrText>
        </w:r>
        <w:r>
          <w:rPr>
            <w:noProof/>
            <w:webHidden/>
          </w:rPr>
        </w:r>
        <w:r>
          <w:rPr>
            <w:noProof/>
            <w:webHidden/>
          </w:rPr>
          <w:fldChar w:fldCharType="separate"/>
        </w:r>
        <w:r w:rsidR="003C7091">
          <w:rPr>
            <w:noProof/>
            <w:webHidden/>
          </w:rPr>
          <w:t>51</w:t>
        </w:r>
        <w:r>
          <w:rPr>
            <w:noProof/>
            <w:webHidden/>
          </w:rPr>
          <w:fldChar w:fldCharType="end"/>
        </w:r>
      </w:hyperlink>
    </w:p>
    <w:p w14:paraId="214512D4" w14:textId="79B086F7"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42" w:history="1">
        <w:r w:rsidRPr="0002218A">
          <w:rPr>
            <w:rStyle w:val="Hyperlink"/>
            <w:noProof/>
          </w:rPr>
          <w:t xml:space="preserve">Indicator </w:t>
        </w:r>
        <w:r w:rsidRPr="0002218A">
          <w:rPr>
            <w:rStyle w:val="Hyperlink"/>
            <w:noProof/>
            <w:lang w:eastAsia="en-AU"/>
          </w:rPr>
          <w:t>4.1a</w:t>
        </w:r>
        <w:r>
          <w:rPr>
            <w:rFonts w:asciiTheme="minorHAnsi" w:eastAsiaTheme="minorEastAsia" w:hAnsiTheme="minorHAnsi"/>
            <w:noProof/>
            <w:lang w:eastAsia="en-AU"/>
          </w:rPr>
          <w:tab/>
        </w:r>
        <w:r w:rsidRPr="0002218A">
          <w:rPr>
            <w:rStyle w:val="Hyperlink"/>
            <w:noProof/>
            <w:lang w:eastAsia="en-AU"/>
          </w:rPr>
          <w:t>Area of forest land managed primarily for protective functions</w:t>
        </w:r>
        <w:r>
          <w:rPr>
            <w:noProof/>
            <w:webHidden/>
          </w:rPr>
          <w:tab/>
        </w:r>
        <w:r>
          <w:rPr>
            <w:noProof/>
            <w:webHidden/>
          </w:rPr>
          <w:fldChar w:fldCharType="begin"/>
        </w:r>
        <w:r>
          <w:rPr>
            <w:noProof/>
            <w:webHidden/>
          </w:rPr>
          <w:instrText xml:space="preserve"> PAGEREF _Toc2776042 \h </w:instrText>
        </w:r>
        <w:r>
          <w:rPr>
            <w:noProof/>
            <w:webHidden/>
          </w:rPr>
        </w:r>
        <w:r>
          <w:rPr>
            <w:noProof/>
            <w:webHidden/>
          </w:rPr>
          <w:fldChar w:fldCharType="separate"/>
        </w:r>
        <w:r w:rsidR="003C7091">
          <w:rPr>
            <w:noProof/>
            <w:webHidden/>
          </w:rPr>
          <w:t>59</w:t>
        </w:r>
        <w:r>
          <w:rPr>
            <w:noProof/>
            <w:webHidden/>
          </w:rPr>
          <w:fldChar w:fldCharType="end"/>
        </w:r>
      </w:hyperlink>
    </w:p>
    <w:p w14:paraId="71F00171" w14:textId="3D66DCD6"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43" w:history="1">
        <w:r w:rsidRPr="0002218A">
          <w:rPr>
            <w:rStyle w:val="Hyperlink"/>
            <w:noProof/>
          </w:rPr>
          <w:t xml:space="preserve">Indicator </w:t>
        </w:r>
        <w:r w:rsidRPr="0002218A">
          <w:rPr>
            <w:rStyle w:val="Hyperlink"/>
            <w:noProof/>
            <w:lang w:eastAsia="en-AU"/>
          </w:rPr>
          <w:t>4.1b</w:t>
        </w:r>
        <w:r>
          <w:rPr>
            <w:rFonts w:asciiTheme="minorHAnsi" w:eastAsiaTheme="minorEastAsia" w:hAnsiTheme="minorHAnsi"/>
            <w:noProof/>
            <w:lang w:eastAsia="en-AU"/>
          </w:rPr>
          <w:tab/>
        </w:r>
        <w:r w:rsidRPr="0002218A">
          <w:rPr>
            <w:rStyle w:val="Hyperlink"/>
            <w:noProof/>
            <w:lang w:eastAsia="en-AU"/>
          </w:rPr>
          <w:t>Management of the risk to soil and water values in forests</w:t>
        </w:r>
        <w:r>
          <w:rPr>
            <w:noProof/>
            <w:webHidden/>
          </w:rPr>
          <w:tab/>
        </w:r>
        <w:r>
          <w:rPr>
            <w:noProof/>
            <w:webHidden/>
          </w:rPr>
          <w:fldChar w:fldCharType="begin"/>
        </w:r>
        <w:r>
          <w:rPr>
            <w:noProof/>
            <w:webHidden/>
          </w:rPr>
          <w:instrText xml:space="preserve"> PAGEREF _Toc2776043 \h </w:instrText>
        </w:r>
        <w:r>
          <w:rPr>
            <w:noProof/>
            <w:webHidden/>
          </w:rPr>
        </w:r>
        <w:r>
          <w:rPr>
            <w:noProof/>
            <w:webHidden/>
          </w:rPr>
          <w:fldChar w:fldCharType="separate"/>
        </w:r>
        <w:r w:rsidR="003C7091">
          <w:rPr>
            <w:noProof/>
            <w:webHidden/>
          </w:rPr>
          <w:t>60</w:t>
        </w:r>
        <w:r>
          <w:rPr>
            <w:noProof/>
            <w:webHidden/>
          </w:rPr>
          <w:fldChar w:fldCharType="end"/>
        </w:r>
      </w:hyperlink>
    </w:p>
    <w:p w14:paraId="1F742F42" w14:textId="6E2F3030" w:rsidR="00DD7487" w:rsidRDefault="00DD7487">
      <w:pPr>
        <w:pStyle w:val="TOC3"/>
        <w:tabs>
          <w:tab w:val="right" w:leader="dot" w:pos="9016"/>
        </w:tabs>
        <w:rPr>
          <w:rFonts w:asciiTheme="minorHAnsi" w:eastAsiaTheme="minorEastAsia" w:hAnsiTheme="minorHAnsi"/>
          <w:noProof/>
          <w:lang w:eastAsia="en-AU"/>
        </w:rPr>
      </w:pPr>
      <w:hyperlink w:anchor="_Toc2776044" w:history="1">
        <w:r w:rsidRPr="0002218A">
          <w:rPr>
            <w:rStyle w:val="Hyperlink"/>
            <w:noProof/>
            <w:lang w:eastAsia="en-AU"/>
          </w:rPr>
          <w:t>Summary and future management of environmental values</w:t>
        </w:r>
        <w:r>
          <w:rPr>
            <w:noProof/>
            <w:webHidden/>
          </w:rPr>
          <w:tab/>
        </w:r>
        <w:r>
          <w:rPr>
            <w:noProof/>
            <w:webHidden/>
          </w:rPr>
          <w:fldChar w:fldCharType="begin"/>
        </w:r>
        <w:r>
          <w:rPr>
            <w:noProof/>
            <w:webHidden/>
          </w:rPr>
          <w:instrText xml:space="preserve"> PAGEREF _Toc2776044 \h </w:instrText>
        </w:r>
        <w:r>
          <w:rPr>
            <w:noProof/>
            <w:webHidden/>
          </w:rPr>
        </w:r>
        <w:r>
          <w:rPr>
            <w:noProof/>
            <w:webHidden/>
          </w:rPr>
          <w:fldChar w:fldCharType="separate"/>
        </w:r>
        <w:r w:rsidR="003C7091">
          <w:rPr>
            <w:noProof/>
            <w:webHidden/>
          </w:rPr>
          <w:t>63</w:t>
        </w:r>
        <w:r>
          <w:rPr>
            <w:noProof/>
            <w:webHidden/>
          </w:rPr>
          <w:fldChar w:fldCharType="end"/>
        </w:r>
      </w:hyperlink>
    </w:p>
    <w:p w14:paraId="4745BD56" w14:textId="18ED9189" w:rsidR="00DD7487" w:rsidRDefault="00DD7487">
      <w:pPr>
        <w:pStyle w:val="TOC2"/>
        <w:rPr>
          <w:rFonts w:asciiTheme="minorHAnsi" w:eastAsiaTheme="minorEastAsia" w:hAnsiTheme="minorHAnsi"/>
          <w:noProof/>
          <w:lang w:eastAsia="en-AU"/>
        </w:rPr>
      </w:pPr>
      <w:hyperlink w:anchor="_Toc2776045" w:history="1">
        <w:r w:rsidRPr="0002218A">
          <w:rPr>
            <w:rStyle w:val="Hyperlink"/>
            <w:noProof/>
          </w:rPr>
          <w:t>Section 2: Indigenous Heritage Values</w:t>
        </w:r>
        <w:r>
          <w:rPr>
            <w:noProof/>
            <w:webHidden/>
          </w:rPr>
          <w:tab/>
        </w:r>
        <w:r>
          <w:rPr>
            <w:noProof/>
            <w:webHidden/>
          </w:rPr>
          <w:fldChar w:fldCharType="begin"/>
        </w:r>
        <w:r>
          <w:rPr>
            <w:noProof/>
            <w:webHidden/>
          </w:rPr>
          <w:instrText xml:space="preserve"> PAGEREF _Toc2776045 \h </w:instrText>
        </w:r>
        <w:r>
          <w:rPr>
            <w:noProof/>
            <w:webHidden/>
          </w:rPr>
        </w:r>
        <w:r>
          <w:rPr>
            <w:noProof/>
            <w:webHidden/>
          </w:rPr>
          <w:fldChar w:fldCharType="separate"/>
        </w:r>
        <w:r w:rsidR="003C7091">
          <w:rPr>
            <w:noProof/>
            <w:webHidden/>
          </w:rPr>
          <w:t>68</w:t>
        </w:r>
        <w:r>
          <w:rPr>
            <w:noProof/>
            <w:webHidden/>
          </w:rPr>
          <w:fldChar w:fldCharType="end"/>
        </w:r>
      </w:hyperlink>
    </w:p>
    <w:p w14:paraId="597D5539" w14:textId="0A08AFDD"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46" w:history="1">
        <w:r w:rsidRPr="0002218A">
          <w:rPr>
            <w:rStyle w:val="Hyperlink"/>
            <w:noProof/>
            <w:lang w:eastAsia="en-AU"/>
          </w:rPr>
          <w:t>Indicator 6.4a</w:t>
        </w:r>
        <w:r>
          <w:rPr>
            <w:rFonts w:asciiTheme="minorHAnsi" w:eastAsiaTheme="minorEastAsia" w:hAnsiTheme="minorHAnsi"/>
            <w:noProof/>
            <w:lang w:eastAsia="en-AU"/>
          </w:rPr>
          <w:tab/>
        </w:r>
        <w:r w:rsidRPr="0002218A">
          <w:rPr>
            <w:rStyle w:val="Hyperlink"/>
            <w:noProof/>
            <w:lang w:eastAsia="en-AU"/>
          </w:rPr>
          <w:t>Area of forest to which Indigenous people have use and rights that protect their special values and are recognised through formal and informal management regimes</w:t>
        </w:r>
        <w:r>
          <w:rPr>
            <w:noProof/>
            <w:webHidden/>
          </w:rPr>
          <w:tab/>
        </w:r>
        <w:r>
          <w:rPr>
            <w:noProof/>
            <w:webHidden/>
          </w:rPr>
          <w:fldChar w:fldCharType="begin"/>
        </w:r>
        <w:r>
          <w:rPr>
            <w:noProof/>
            <w:webHidden/>
          </w:rPr>
          <w:instrText xml:space="preserve"> PAGEREF _Toc2776046 \h </w:instrText>
        </w:r>
        <w:r>
          <w:rPr>
            <w:noProof/>
            <w:webHidden/>
          </w:rPr>
        </w:r>
        <w:r>
          <w:rPr>
            <w:noProof/>
            <w:webHidden/>
          </w:rPr>
          <w:fldChar w:fldCharType="separate"/>
        </w:r>
        <w:r w:rsidR="003C7091">
          <w:rPr>
            <w:noProof/>
            <w:webHidden/>
          </w:rPr>
          <w:t>68</w:t>
        </w:r>
        <w:r>
          <w:rPr>
            <w:noProof/>
            <w:webHidden/>
          </w:rPr>
          <w:fldChar w:fldCharType="end"/>
        </w:r>
      </w:hyperlink>
    </w:p>
    <w:p w14:paraId="383B4266" w14:textId="251E0464" w:rsidR="00DD7487" w:rsidRDefault="00DD7487">
      <w:pPr>
        <w:pStyle w:val="TOC3"/>
        <w:tabs>
          <w:tab w:val="left" w:pos="1966"/>
          <w:tab w:val="right" w:leader="dot" w:pos="9016"/>
        </w:tabs>
        <w:rPr>
          <w:rFonts w:asciiTheme="minorHAnsi" w:eastAsiaTheme="minorEastAsia" w:hAnsiTheme="minorHAnsi"/>
          <w:noProof/>
          <w:lang w:eastAsia="en-AU"/>
        </w:rPr>
      </w:pPr>
      <w:hyperlink w:anchor="_Toc2776047" w:history="1">
        <w:r w:rsidRPr="0002218A">
          <w:rPr>
            <w:rStyle w:val="Hyperlink"/>
            <w:noProof/>
            <w:lang w:eastAsia="en-AU"/>
          </w:rPr>
          <w:t>Indicator 6.4c</w:t>
        </w:r>
        <w:r>
          <w:rPr>
            <w:rFonts w:asciiTheme="minorHAnsi" w:eastAsiaTheme="minorEastAsia" w:hAnsiTheme="minorHAnsi"/>
            <w:noProof/>
            <w:lang w:eastAsia="en-AU"/>
          </w:rPr>
          <w:tab/>
        </w:r>
        <w:r w:rsidRPr="0002218A">
          <w:rPr>
            <w:rStyle w:val="Hyperlink"/>
            <w:noProof/>
            <w:lang w:eastAsia="en-AU"/>
          </w:rPr>
          <w:t>The extent to which Indigenous values are protected, maintained and enhanced through Indigenous participation in forest management</w:t>
        </w:r>
        <w:r>
          <w:rPr>
            <w:noProof/>
            <w:webHidden/>
          </w:rPr>
          <w:tab/>
        </w:r>
        <w:r>
          <w:rPr>
            <w:noProof/>
            <w:webHidden/>
          </w:rPr>
          <w:fldChar w:fldCharType="begin"/>
        </w:r>
        <w:r>
          <w:rPr>
            <w:noProof/>
            <w:webHidden/>
          </w:rPr>
          <w:instrText xml:space="preserve"> PAGEREF _Toc2776047 \h </w:instrText>
        </w:r>
        <w:r>
          <w:rPr>
            <w:noProof/>
            <w:webHidden/>
          </w:rPr>
        </w:r>
        <w:r>
          <w:rPr>
            <w:noProof/>
            <w:webHidden/>
          </w:rPr>
          <w:fldChar w:fldCharType="separate"/>
        </w:r>
        <w:r w:rsidR="003C7091">
          <w:rPr>
            <w:noProof/>
            <w:webHidden/>
          </w:rPr>
          <w:t>73</w:t>
        </w:r>
        <w:r>
          <w:rPr>
            <w:noProof/>
            <w:webHidden/>
          </w:rPr>
          <w:fldChar w:fldCharType="end"/>
        </w:r>
      </w:hyperlink>
    </w:p>
    <w:p w14:paraId="546F22F6" w14:textId="5B62D45E" w:rsidR="00DD7487" w:rsidRDefault="00DD7487">
      <w:pPr>
        <w:pStyle w:val="TOC3"/>
        <w:tabs>
          <w:tab w:val="right" w:leader="dot" w:pos="9016"/>
        </w:tabs>
        <w:rPr>
          <w:rFonts w:asciiTheme="minorHAnsi" w:eastAsiaTheme="minorEastAsia" w:hAnsiTheme="minorHAnsi"/>
          <w:noProof/>
          <w:lang w:eastAsia="en-AU"/>
        </w:rPr>
      </w:pPr>
      <w:hyperlink w:anchor="_Toc2776048" w:history="1">
        <w:r w:rsidRPr="0002218A">
          <w:rPr>
            <w:rStyle w:val="Hyperlink"/>
            <w:noProof/>
            <w:lang w:eastAsia="en-AU"/>
          </w:rPr>
          <w:t>Summary and future management of Indigenous heritage values</w:t>
        </w:r>
        <w:r>
          <w:rPr>
            <w:noProof/>
            <w:webHidden/>
          </w:rPr>
          <w:tab/>
        </w:r>
        <w:r>
          <w:rPr>
            <w:noProof/>
            <w:webHidden/>
          </w:rPr>
          <w:fldChar w:fldCharType="begin"/>
        </w:r>
        <w:r>
          <w:rPr>
            <w:noProof/>
            <w:webHidden/>
          </w:rPr>
          <w:instrText xml:space="preserve"> PAGEREF _Toc2776048 \h </w:instrText>
        </w:r>
        <w:r>
          <w:rPr>
            <w:noProof/>
            <w:webHidden/>
          </w:rPr>
        </w:r>
        <w:r>
          <w:rPr>
            <w:noProof/>
            <w:webHidden/>
          </w:rPr>
          <w:fldChar w:fldCharType="separate"/>
        </w:r>
        <w:r w:rsidR="003C7091">
          <w:rPr>
            <w:noProof/>
            <w:webHidden/>
          </w:rPr>
          <w:t>74</w:t>
        </w:r>
        <w:r>
          <w:rPr>
            <w:noProof/>
            <w:webHidden/>
          </w:rPr>
          <w:fldChar w:fldCharType="end"/>
        </w:r>
      </w:hyperlink>
    </w:p>
    <w:p w14:paraId="469D2463" w14:textId="57163CA2" w:rsidR="00DD7487" w:rsidRDefault="00DD7487">
      <w:pPr>
        <w:pStyle w:val="TOC2"/>
        <w:rPr>
          <w:rFonts w:asciiTheme="minorHAnsi" w:eastAsiaTheme="minorEastAsia" w:hAnsiTheme="minorHAnsi"/>
          <w:noProof/>
          <w:lang w:eastAsia="en-AU"/>
        </w:rPr>
      </w:pPr>
      <w:hyperlink w:anchor="_Toc2776049" w:history="1">
        <w:r w:rsidRPr="0002218A">
          <w:rPr>
            <w:rStyle w:val="Hyperlink"/>
            <w:noProof/>
          </w:rPr>
          <w:t>Section 3: Economic Values</w:t>
        </w:r>
        <w:r>
          <w:rPr>
            <w:noProof/>
            <w:webHidden/>
          </w:rPr>
          <w:tab/>
        </w:r>
        <w:r>
          <w:rPr>
            <w:noProof/>
            <w:webHidden/>
          </w:rPr>
          <w:fldChar w:fldCharType="begin"/>
        </w:r>
        <w:r>
          <w:rPr>
            <w:noProof/>
            <w:webHidden/>
          </w:rPr>
          <w:instrText xml:space="preserve"> PAGEREF _Toc2776049 \h </w:instrText>
        </w:r>
        <w:r>
          <w:rPr>
            <w:noProof/>
            <w:webHidden/>
          </w:rPr>
        </w:r>
        <w:r>
          <w:rPr>
            <w:noProof/>
            <w:webHidden/>
          </w:rPr>
          <w:fldChar w:fldCharType="separate"/>
        </w:r>
        <w:r w:rsidR="003C7091">
          <w:rPr>
            <w:noProof/>
            <w:webHidden/>
          </w:rPr>
          <w:t>76</w:t>
        </w:r>
        <w:r>
          <w:rPr>
            <w:noProof/>
            <w:webHidden/>
          </w:rPr>
          <w:fldChar w:fldCharType="end"/>
        </w:r>
      </w:hyperlink>
    </w:p>
    <w:p w14:paraId="1589CED2" w14:textId="096A10DF"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50" w:history="1">
        <w:r w:rsidRPr="0002218A">
          <w:rPr>
            <w:rStyle w:val="Hyperlink"/>
            <w:noProof/>
            <w:lang w:eastAsia="en-AU"/>
          </w:rPr>
          <w:t>Indicator 2.1a</w:t>
        </w:r>
        <w:r>
          <w:rPr>
            <w:rFonts w:asciiTheme="minorHAnsi" w:eastAsiaTheme="minorEastAsia" w:hAnsiTheme="minorHAnsi"/>
            <w:noProof/>
            <w:lang w:eastAsia="en-AU"/>
          </w:rPr>
          <w:tab/>
        </w:r>
        <w:r w:rsidRPr="0002218A">
          <w:rPr>
            <w:rStyle w:val="Hyperlink"/>
            <w:noProof/>
            <w:lang w:eastAsia="en-AU"/>
          </w:rPr>
          <w:t>Native forest available for wood production, area harvested, and growing stock of merchantable and non-merchantable tree species</w:t>
        </w:r>
        <w:r>
          <w:rPr>
            <w:noProof/>
            <w:webHidden/>
          </w:rPr>
          <w:tab/>
        </w:r>
        <w:r>
          <w:rPr>
            <w:noProof/>
            <w:webHidden/>
          </w:rPr>
          <w:fldChar w:fldCharType="begin"/>
        </w:r>
        <w:r>
          <w:rPr>
            <w:noProof/>
            <w:webHidden/>
          </w:rPr>
          <w:instrText xml:space="preserve"> PAGEREF _Toc2776050 \h </w:instrText>
        </w:r>
        <w:r>
          <w:rPr>
            <w:noProof/>
            <w:webHidden/>
          </w:rPr>
        </w:r>
        <w:r>
          <w:rPr>
            <w:noProof/>
            <w:webHidden/>
          </w:rPr>
          <w:fldChar w:fldCharType="separate"/>
        </w:r>
        <w:r w:rsidR="003C7091">
          <w:rPr>
            <w:noProof/>
            <w:webHidden/>
          </w:rPr>
          <w:t>77</w:t>
        </w:r>
        <w:r>
          <w:rPr>
            <w:noProof/>
            <w:webHidden/>
          </w:rPr>
          <w:fldChar w:fldCharType="end"/>
        </w:r>
      </w:hyperlink>
    </w:p>
    <w:p w14:paraId="62D0147F" w14:textId="77C6A7EC"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51" w:history="1">
        <w:r w:rsidRPr="0002218A">
          <w:rPr>
            <w:rStyle w:val="Hyperlink"/>
            <w:noProof/>
            <w:lang w:eastAsia="en-AU"/>
          </w:rPr>
          <w:t>Indicator 2.1b</w:t>
        </w:r>
        <w:r>
          <w:rPr>
            <w:rFonts w:asciiTheme="minorHAnsi" w:eastAsiaTheme="minorEastAsia" w:hAnsiTheme="minorHAnsi"/>
            <w:noProof/>
            <w:lang w:eastAsia="en-AU"/>
          </w:rPr>
          <w:tab/>
        </w:r>
        <w:r w:rsidRPr="0002218A">
          <w:rPr>
            <w:rStyle w:val="Hyperlink"/>
            <w:noProof/>
            <w:lang w:eastAsia="en-AU"/>
          </w:rPr>
          <w:t>Age class and growing stock of plantations</w:t>
        </w:r>
        <w:r>
          <w:rPr>
            <w:noProof/>
            <w:webHidden/>
          </w:rPr>
          <w:tab/>
        </w:r>
        <w:r>
          <w:rPr>
            <w:noProof/>
            <w:webHidden/>
          </w:rPr>
          <w:fldChar w:fldCharType="begin"/>
        </w:r>
        <w:r>
          <w:rPr>
            <w:noProof/>
            <w:webHidden/>
          </w:rPr>
          <w:instrText xml:space="preserve"> PAGEREF _Toc2776051 \h </w:instrText>
        </w:r>
        <w:r>
          <w:rPr>
            <w:noProof/>
            <w:webHidden/>
          </w:rPr>
        </w:r>
        <w:r>
          <w:rPr>
            <w:noProof/>
            <w:webHidden/>
          </w:rPr>
          <w:fldChar w:fldCharType="separate"/>
        </w:r>
        <w:r w:rsidR="003C7091">
          <w:rPr>
            <w:noProof/>
            <w:webHidden/>
          </w:rPr>
          <w:t>79</w:t>
        </w:r>
        <w:r>
          <w:rPr>
            <w:noProof/>
            <w:webHidden/>
          </w:rPr>
          <w:fldChar w:fldCharType="end"/>
        </w:r>
      </w:hyperlink>
    </w:p>
    <w:p w14:paraId="63AF2D8B" w14:textId="738D56B2" w:rsidR="00DD7487" w:rsidRDefault="00DD7487">
      <w:pPr>
        <w:pStyle w:val="TOC3"/>
        <w:tabs>
          <w:tab w:val="left" w:pos="1966"/>
          <w:tab w:val="right" w:leader="dot" w:pos="9016"/>
        </w:tabs>
        <w:rPr>
          <w:rFonts w:asciiTheme="minorHAnsi" w:eastAsiaTheme="minorEastAsia" w:hAnsiTheme="minorHAnsi"/>
          <w:noProof/>
          <w:lang w:eastAsia="en-AU"/>
        </w:rPr>
      </w:pPr>
      <w:hyperlink w:anchor="_Toc2776052" w:history="1">
        <w:r w:rsidRPr="0002218A">
          <w:rPr>
            <w:rStyle w:val="Hyperlink"/>
            <w:noProof/>
            <w:lang w:eastAsia="en-AU"/>
          </w:rPr>
          <w:t>Indicator 2.1c</w:t>
        </w:r>
        <w:r>
          <w:rPr>
            <w:rFonts w:asciiTheme="minorHAnsi" w:eastAsiaTheme="minorEastAsia" w:hAnsiTheme="minorHAnsi"/>
            <w:noProof/>
            <w:lang w:eastAsia="en-AU"/>
          </w:rPr>
          <w:tab/>
        </w:r>
        <w:r w:rsidRPr="0002218A">
          <w:rPr>
            <w:rStyle w:val="Hyperlink"/>
            <w:noProof/>
            <w:lang w:eastAsia="en-AU"/>
          </w:rPr>
          <w:t>Annual removal of wood products compared to the volume determined to be sustainable for native forests and future yields for plantations</w:t>
        </w:r>
        <w:r>
          <w:rPr>
            <w:noProof/>
            <w:webHidden/>
          </w:rPr>
          <w:tab/>
        </w:r>
        <w:r>
          <w:rPr>
            <w:noProof/>
            <w:webHidden/>
          </w:rPr>
          <w:fldChar w:fldCharType="begin"/>
        </w:r>
        <w:r>
          <w:rPr>
            <w:noProof/>
            <w:webHidden/>
          </w:rPr>
          <w:instrText xml:space="preserve"> PAGEREF _Toc2776052 \h </w:instrText>
        </w:r>
        <w:r>
          <w:rPr>
            <w:noProof/>
            <w:webHidden/>
          </w:rPr>
        </w:r>
        <w:r>
          <w:rPr>
            <w:noProof/>
            <w:webHidden/>
          </w:rPr>
          <w:fldChar w:fldCharType="separate"/>
        </w:r>
        <w:r w:rsidR="003C7091">
          <w:rPr>
            <w:noProof/>
            <w:webHidden/>
          </w:rPr>
          <w:t>80</w:t>
        </w:r>
        <w:r>
          <w:rPr>
            <w:noProof/>
            <w:webHidden/>
          </w:rPr>
          <w:fldChar w:fldCharType="end"/>
        </w:r>
      </w:hyperlink>
    </w:p>
    <w:p w14:paraId="52730C6E" w14:textId="15ECD720"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53" w:history="1">
        <w:r w:rsidRPr="0002218A">
          <w:rPr>
            <w:rStyle w:val="Hyperlink"/>
            <w:noProof/>
            <w:lang w:eastAsia="en-AU"/>
          </w:rPr>
          <w:t>Indicator 2.1d</w:t>
        </w:r>
        <w:r>
          <w:rPr>
            <w:rFonts w:asciiTheme="minorHAnsi" w:eastAsiaTheme="minorEastAsia" w:hAnsiTheme="minorHAnsi"/>
            <w:noProof/>
            <w:lang w:eastAsia="en-AU"/>
          </w:rPr>
          <w:tab/>
        </w:r>
        <w:r w:rsidRPr="0002218A">
          <w:rPr>
            <w:rStyle w:val="Hyperlink"/>
            <w:noProof/>
            <w:lang w:eastAsia="en-AU"/>
          </w:rPr>
          <w:t>Annual removal of non-wood forest products compared to the level determined to be sustainable</w:t>
        </w:r>
        <w:r>
          <w:rPr>
            <w:noProof/>
            <w:webHidden/>
          </w:rPr>
          <w:tab/>
        </w:r>
        <w:r>
          <w:rPr>
            <w:noProof/>
            <w:webHidden/>
          </w:rPr>
          <w:fldChar w:fldCharType="begin"/>
        </w:r>
        <w:r>
          <w:rPr>
            <w:noProof/>
            <w:webHidden/>
          </w:rPr>
          <w:instrText xml:space="preserve"> PAGEREF _Toc2776053 \h </w:instrText>
        </w:r>
        <w:r>
          <w:rPr>
            <w:noProof/>
            <w:webHidden/>
          </w:rPr>
        </w:r>
        <w:r>
          <w:rPr>
            <w:noProof/>
            <w:webHidden/>
          </w:rPr>
          <w:fldChar w:fldCharType="separate"/>
        </w:r>
        <w:r w:rsidR="003C7091">
          <w:rPr>
            <w:noProof/>
            <w:webHidden/>
          </w:rPr>
          <w:t>82</w:t>
        </w:r>
        <w:r>
          <w:rPr>
            <w:noProof/>
            <w:webHidden/>
          </w:rPr>
          <w:fldChar w:fldCharType="end"/>
        </w:r>
      </w:hyperlink>
    </w:p>
    <w:p w14:paraId="22B0B71F" w14:textId="02DED5AA" w:rsidR="00DD7487" w:rsidRDefault="00DD7487">
      <w:pPr>
        <w:pStyle w:val="TOC3"/>
        <w:tabs>
          <w:tab w:val="left" w:pos="1980"/>
          <w:tab w:val="right" w:leader="dot" w:pos="9016"/>
        </w:tabs>
        <w:rPr>
          <w:rFonts w:asciiTheme="minorHAnsi" w:eastAsiaTheme="minorEastAsia" w:hAnsiTheme="minorHAnsi"/>
          <w:noProof/>
          <w:lang w:eastAsia="en-AU"/>
        </w:rPr>
      </w:pPr>
      <w:hyperlink w:anchor="_Toc2776054" w:history="1">
        <w:r w:rsidRPr="0002218A">
          <w:rPr>
            <w:rStyle w:val="Hyperlink"/>
            <w:noProof/>
            <w:lang w:eastAsia="en-AU"/>
          </w:rPr>
          <w:t>Indicator 2.1e</w:t>
        </w:r>
        <w:r>
          <w:rPr>
            <w:rFonts w:asciiTheme="minorHAnsi" w:eastAsiaTheme="minorEastAsia" w:hAnsiTheme="minorHAnsi"/>
            <w:noProof/>
            <w:lang w:eastAsia="en-AU"/>
          </w:rPr>
          <w:tab/>
        </w:r>
        <w:r w:rsidRPr="0002218A">
          <w:rPr>
            <w:rStyle w:val="Hyperlink"/>
            <w:noProof/>
            <w:lang w:eastAsia="en-AU"/>
          </w:rPr>
          <w:t>The area of native forest harvested and the proportion of that effectively regenerated, and the area of plantation harvested and the proportion of that effectively re-established</w:t>
        </w:r>
        <w:r>
          <w:rPr>
            <w:noProof/>
            <w:webHidden/>
          </w:rPr>
          <w:tab/>
        </w:r>
        <w:r>
          <w:rPr>
            <w:noProof/>
            <w:webHidden/>
          </w:rPr>
          <w:fldChar w:fldCharType="begin"/>
        </w:r>
        <w:r>
          <w:rPr>
            <w:noProof/>
            <w:webHidden/>
          </w:rPr>
          <w:instrText xml:space="preserve"> PAGEREF _Toc2776054 \h </w:instrText>
        </w:r>
        <w:r>
          <w:rPr>
            <w:noProof/>
            <w:webHidden/>
          </w:rPr>
        </w:r>
        <w:r>
          <w:rPr>
            <w:noProof/>
            <w:webHidden/>
          </w:rPr>
          <w:fldChar w:fldCharType="separate"/>
        </w:r>
        <w:r w:rsidR="003C7091">
          <w:rPr>
            <w:noProof/>
            <w:webHidden/>
          </w:rPr>
          <w:t>83</w:t>
        </w:r>
        <w:r>
          <w:rPr>
            <w:noProof/>
            <w:webHidden/>
          </w:rPr>
          <w:fldChar w:fldCharType="end"/>
        </w:r>
      </w:hyperlink>
    </w:p>
    <w:p w14:paraId="706DEDF6" w14:textId="54312A71"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55" w:history="1">
        <w:r w:rsidRPr="0002218A">
          <w:rPr>
            <w:rStyle w:val="Hyperlink"/>
            <w:noProof/>
            <w:lang w:eastAsia="en-AU"/>
          </w:rPr>
          <w:t>Indicator 6.1a</w:t>
        </w:r>
        <w:r>
          <w:rPr>
            <w:rFonts w:asciiTheme="minorHAnsi" w:eastAsiaTheme="minorEastAsia" w:hAnsiTheme="minorHAnsi"/>
            <w:noProof/>
            <w:lang w:eastAsia="en-AU"/>
          </w:rPr>
          <w:tab/>
        </w:r>
        <w:r w:rsidRPr="0002218A">
          <w:rPr>
            <w:rStyle w:val="Hyperlink"/>
            <w:noProof/>
            <w:lang w:eastAsia="en-AU"/>
          </w:rPr>
          <w:t>Value and volume of wood and wood products</w:t>
        </w:r>
        <w:r>
          <w:rPr>
            <w:noProof/>
            <w:webHidden/>
          </w:rPr>
          <w:tab/>
        </w:r>
        <w:r>
          <w:rPr>
            <w:noProof/>
            <w:webHidden/>
          </w:rPr>
          <w:fldChar w:fldCharType="begin"/>
        </w:r>
        <w:r>
          <w:rPr>
            <w:noProof/>
            <w:webHidden/>
          </w:rPr>
          <w:instrText xml:space="preserve"> PAGEREF _Toc2776055 \h </w:instrText>
        </w:r>
        <w:r>
          <w:rPr>
            <w:noProof/>
            <w:webHidden/>
          </w:rPr>
        </w:r>
        <w:r>
          <w:rPr>
            <w:noProof/>
            <w:webHidden/>
          </w:rPr>
          <w:fldChar w:fldCharType="separate"/>
        </w:r>
        <w:r w:rsidR="003C7091">
          <w:rPr>
            <w:noProof/>
            <w:webHidden/>
          </w:rPr>
          <w:t>85</w:t>
        </w:r>
        <w:r>
          <w:rPr>
            <w:noProof/>
            <w:webHidden/>
          </w:rPr>
          <w:fldChar w:fldCharType="end"/>
        </w:r>
      </w:hyperlink>
    </w:p>
    <w:p w14:paraId="444EDE11" w14:textId="1E15D573"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56" w:history="1">
        <w:r w:rsidRPr="0002218A">
          <w:rPr>
            <w:rStyle w:val="Hyperlink"/>
            <w:noProof/>
            <w:lang w:eastAsia="en-AU"/>
          </w:rPr>
          <w:t>Indicator 6.1b</w:t>
        </w:r>
        <w:r>
          <w:rPr>
            <w:rFonts w:asciiTheme="minorHAnsi" w:eastAsiaTheme="minorEastAsia" w:hAnsiTheme="minorHAnsi"/>
            <w:noProof/>
            <w:lang w:eastAsia="en-AU"/>
          </w:rPr>
          <w:tab/>
        </w:r>
        <w:r w:rsidRPr="0002218A">
          <w:rPr>
            <w:rStyle w:val="Hyperlink"/>
            <w:noProof/>
            <w:lang w:eastAsia="en-AU"/>
          </w:rPr>
          <w:t>Values, quantities and use of non-wood forest products</w:t>
        </w:r>
        <w:r>
          <w:rPr>
            <w:noProof/>
            <w:webHidden/>
          </w:rPr>
          <w:tab/>
        </w:r>
        <w:r>
          <w:rPr>
            <w:noProof/>
            <w:webHidden/>
          </w:rPr>
          <w:fldChar w:fldCharType="begin"/>
        </w:r>
        <w:r>
          <w:rPr>
            <w:noProof/>
            <w:webHidden/>
          </w:rPr>
          <w:instrText xml:space="preserve"> PAGEREF _Toc2776056 \h </w:instrText>
        </w:r>
        <w:r>
          <w:rPr>
            <w:noProof/>
            <w:webHidden/>
          </w:rPr>
        </w:r>
        <w:r>
          <w:rPr>
            <w:noProof/>
            <w:webHidden/>
          </w:rPr>
          <w:fldChar w:fldCharType="separate"/>
        </w:r>
        <w:r w:rsidR="003C7091">
          <w:rPr>
            <w:noProof/>
            <w:webHidden/>
          </w:rPr>
          <w:t>87</w:t>
        </w:r>
        <w:r>
          <w:rPr>
            <w:noProof/>
            <w:webHidden/>
          </w:rPr>
          <w:fldChar w:fldCharType="end"/>
        </w:r>
      </w:hyperlink>
    </w:p>
    <w:p w14:paraId="20AA1B01" w14:textId="11878040" w:rsidR="00DD7487" w:rsidRDefault="00DD7487">
      <w:pPr>
        <w:pStyle w:val="TOC3"/>
        <w:tabs>
          <w:tab w:val="left" w:pos="1966"/>
          <w:tab w:val="right" w:leader="dot" w:pos="9016"/>
        </w:tabs>
        <w:rPr>
          <w:rFonts w:asciiTheme="minorHAnsi" w:eastAsiaTheme="minorEastAsia" w:hAnsiTheme="minorHAnsi"/>
          <w:noProof/>
          <w:lang w:eastAsia="en-AU"/>
        </w:rPr>
      </w:pPr>
      <w:hyperlink w:anchor="_Toc2776057" w:history="1">
        <w:r w:rsidRPr="0002218A">
          <w:rPr>
            <w:rStyle w:val="Hyperlink"/>
            <w:noProof/>
            <w:lang w:eastAsia="en-AU"/>
          </w:rPr>
          <w:t>Indicator 6.1c</w:t>
        </w:r>
        <w:r>
          <w:rPr>
            <w:rFonts w:asciiTheme="minorHAnsi" w:eastAsiaTheme="minorEastAsia" w:hAnsiTheme="minorHAnsi"/>
            <w:noProof/>
            <w:lang w:eastAsia="en-AU"/>
          </w:rPr>
          <w:tab/>
        </w:r>
        <w:r w:rsidRPr="0002218A">
          <w:rPr>
            <w:rStyle w:val="Hyperlink"/>
            <w:noProof/>
            <w:lang w:eastAsia="en-AU"/>
          </w:rPr>
          <w:t>Value of forest based services</w:t>
        </w:r>
        <w:r>
          <w:rPr>
            <w:noProof/>
            <w:webHidden/>
          </w:rPr>
          <w:tab/>
        </w:r>
        <w:r>
          <w:rPr>
            <w:noProof/>
            <w:webHidden/>
          </w:rPr>
          <w:fldChar w:fldCharType="begin"/>
        </w:r>
        <w:r>
          <w:rPr>
            <w:noProof/>
            <w:webHidden/>
          </w:rPr>
          <w:instrText xml:space="preserve"> PAGEREF _Toc2776057 \h </w:instrText>
        </w:r>
        <w:r>
          <w:rPr>
            <w:noProof/>
            <w:webHidden/>
          </w:rPr>
        </w:r>
        <w:r>
          <w:rPr>
            <w:noProof/>
            <w:webHidden/>
          </w:rPr>
          <w:fldChar w:fldCharType="separate"/>
        </w:r>
        <w:r w:rsidR="003C7091">
          <w:rPr>
            <w:noProof/>
            <w:webHidden/>
          </w:rPr>
          <w:t>90</w:t>
        </w:r>
        <w:r>
          <w:rPr>
            <w:noProof/>
            <w:webHidden/>
          </w:rPr>
          <w:fldChar w:fldCharType="end"/>
        </w:r>
      </w:hyperlink>
    </w:p>
    <w:p w14:paraId="38DAAD43" w14:textId="0F51C589"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58" w:history="1">
        <w:r w:rsidRPr="0002218A">
          <w:rPr>
            <w:rStyle w:val="Hyperlink"/>
            <w:noProof/>
            <w:lang w:eastAsia="en-AU"/>
          </w:rPr>
          <w:t>Indicator 6.1d</w:t>
        </w:r>
        <w:r>
          <w:rPr>
            <w:rFonts w:asciiTheme="minorHAnsi" w:eastAsiaTheme="minorEastAsia" w:hAnsiTheme="minorHAnsi"/>
            <w:noProof/>
            <w:lang w:eastAsia="en-AU"/>
          </w:rPr>
          <w:tab/>
        </w:r>
        <w:r w:rsidRPr="0002218A">
          <w:rPr>
            <w:rStyle w:val="Hyperlink"/>
            <w:noProof/>
            <w:lang w:eastAsia="en-AU"/>
          </w:rPr>
          <w:t>Production and consumption and import/export of wood, wood products and non-wood products</w:t>
        </w:r>
        <w:r>
          <w:rPr>
            <w:noProof/>
            <w:webHidden/>
          </w:rPr>
          <w:tab/>
        </w:r>
        <w:r>
          <w:rPr>
            <w:noProof/>
            <w:webHidden/>
          </w:rPr>
          <w:fldChar w:fldCharType="begin"/>
        </w:r>
        <w:r>
          <w:rPr>
            <w:noProof/>
            <w:webHidden/>
          </w:rPr>
          <w:instrText xml:space="preserve"> PAGEREF _Toc2776058 \h </w:instrText>
        </w:r>
        <w:r>
          <w:rPr>
            <w:noProof/>
            <w:webHidden/>
          </w:rPr>
        </w:r>
        <w:r>
          <w:rPr>
            <w:noProof/>
            <w:webHidden/>
          </w:rPr>
          <w:fldChar w:fldCharType="separate"/>
        </w:r>
        <w:r w:rsidR="003C7091">
          <w:rPr>
            <w:noProof/>
            <w:webHidden/>
          </w:rPr>
          <w:t>90</w:t>
        </w:r>
        <w:r>
          <w:rPr>
            <w:noProof/>
            <w:webHidden/>
          </w:rPr>
          <w:fldChar w:fldCharType="end"/>
        </w:r>
      </w:hyperlink>
    </w:p>
    <w:p w14:paraId="3835AA26" w14:textId="4904B6BA" w:rsidR="00DD7487" w:rsidRDefault="00DD7487">
      <w:pPr>
        <w:pStyle w:val="TOC3"/>
        <w:tabs>
          <w:tab w:val="left" w:pos="1980"/>
          <w:tab w:val="right" w:leader="dot" w:pos="9016"/>
        </w:tabs>
        <w:rPr>
          <w:rFonts w:asciiTheme="minorHAnsi" w:eastAsiaTheme="minorEastAsia" w:hAnsiTheme="minorHAnsi"/>
          <w:noProof/>
          <w:lang w:eastAsia="en-AU"/>
        </w:rPr>
      </w:pPr>
      <w:hyperlink w:anchor="_Toc2776059" w:history="1">
        <w:r w:rsidRPr="0002218A">
          <w:rPr>
            <w:rStyle w:val="Hyperlink"/>
            <w:noProof/>
            <w:lang w:eastAsia="en-AU"/>
          </w:rPr>
          <w:t>Indicator 6.1e</w:t>
        </w:r>
        <w:r>
          <w:rPr>
            <w:rFonts w:asciiTheme="minorHAnsi" w:eastAsiaTheme="minorEastAsia" w:hAnsiTheme="minorHAnsi"/>
            <w:noProof/>
            <w:lang w:eastAsia="en-AU"/>
          </w:rPr>
          <w:tab/>
        </w:r>
        <w:r w:rsidRPr="0002218A">
          <w:rPr>
            <w:rStyle w:val="Hyperlink"/>
            <w:noProof/>
            <w:lang w:eastAsia="en-AU"/>
          </w:rPr>
          <w:t>Degree of recycling of forest products</w:t>
        </w:r>
        <w:r>
          <w:rPr>
            <w:noProof/>
            <w:webHidden/>
          </w:rPr>
          <w:tab/>
        </w:r>
        <w:r>
          <w:rPr>
            <w:noProof/>
            <w:webHidden/>
          </w:rPr>
          <w:fldChar w:fldCharType="begin"/>
        </w:r>
        <w:r>
          <w:rPr>
            <w:noProof/>
            <w:webHidden/>
          </w:rPr>
          <w:instrText xml:space="preserve"> PAGEREF _Toc2776059 \h </w:instrText>
        </w:r>
        <w:r>
          <w:rPr>
            <w:noProof/>
            <w:webHidden/>
          </w:rPr>
        </w:r>
        <w:r>
          <w:rPr>
            <w:noProof/>
            <w:webHidden/>
          </w:rPr>
          <w:fldChar w:fldCharType="separate"/>
        </w:r>
        <w:r w:rsidR="003C7091">
          <w:rPr>
            <w:noProof/>
            <w:webHidden/>
          </w:rPr>
          <w:t>91</w:t>
        </w:r>
        <w:r>
          <w:rPr>
            <w:noProof/>
            <w:webHidden/>
          </w:rPr>
          <w:fldChar w:fldCharType="end"/>
        </w:r>
      </w:hyperlink>
    </w:p>
    <w:p w14:paraId="7DCD403A" w14:textId="1CDEEF49"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60" w:history="1">
        <w:r w:rsidRPr="0002218A">
          <w:rPr>
            <w:rStyle w:val="Hyperlink"/>
            <w:noProof/>
            <w:lang w:eastAsia="en-AU"/>
          </w:rPr>
          <w:t>Indicator 6.2a</w:t>
        </w:r>
        <w:r>
          <w:rPr>
            <w:rFonts w:asciiTheme="minorHAnsi" w:eastAsiaTheme="minorEastAsia" w:hAnsiTheme="minorHAnsi"/>
            <w:noProof/>
            <w:lang w:eastAsia="en-AU"/>
          </w:rPr>
          <w:tab/>
        </w:r>
        <w:r w:rsidRPr="0002218A">
          <w:rPr>
            <w:rStyle w:val="Hyperlink"/>
            <w:noProof/>
            <w:lang w:eastAsia="en-AU"/>
          </w:rPr>
          <w:t>Investment and expenditure in forest management</w:t>
        </w:r>
        <w:r>
          <w:rPr>
            <w:noProof/>
            <w:webHidden/>
          </w:rPr>
          <w:tab/>
        </w:r>
        <w:r>
          <w:rPr>
            <w:noProof/>
            <w:webHidden/>
          </w:rPr>
          <w:fldChar w:fldCharType="begin"/>
        </w:r>
        <w:r>
          <w:rPr>
            <w:noProof/>
            <w:webHidden/>
          </w:rPr>
          <w:instrText xml:space="preserve"> PAGEREF _Toc2776060 \h </w:instrText>
        </w:r>
        <w:r>
          <w:rPr>
            <w:noProof/>
            <w:webHidden/>
          </w:rPr>
        </w:r>
        <w:r>
          <w:rPr>
            <w:noProof/>
            <w:webHidden/>
          </w:rPr>
          <w:fldChar w:fldCharType="separate"/>
        </w:r>
        <w:r w:rsidR="003C7091">
          <w:rPr>
            <w:noProof/>
            <w:webHidden/>
          </w:rPr>
          <w:t>95</w:t>
        </w:r>
        <w:r>
          <w:rPr>
            <w:noProof/>
            <w:webHidden/>
          </w:rPr>
          <w:fldChar w:fldCharType="end"/>
        </w:r>
      </w:hyperlink>
    </w:p>
    <w:p w14:paraId="4625FBC3" w14:textId="0988CE84"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61" w:history="1">
        <w:r w:rsidRPr="0002218A">
          <w:rPr>
            <w:rStyle w:val="Hyperlink"/>
            <w:noProof/>
            <w:lang w:eastAsia="en-AU"/>
          </w:rPr>
          <w:t>Indicator 6.2b</w:t>
        </w:r>
        <w:r>
          <w:rPr>
            <w:rFonts w:asciiTheme="minorHAnsi" w:eastAsiaTheme="minorEastAsia" w:hAnsiTheme="minorHAnsi"/>
            <w:noProof/>
            <w:lang w:eastAsia="en-AU"/>
          </w:rPr>
          <w:tab/>
        </w:r>
        <w:r w:rsidRPr="0002218A">
          <w:rPr>
            <w:rStyle w:val="Hyperlink"/>
            <w:noProof/>
            <w:lang w:eastAsia="en-AU"/>
          </w:rPr>
          <w:t>Investment in research, development, extension and use of new and improved technologies</w:t>
        </w:r>
        <w:r>
          <w:rPr>
            <w:noProof/>
            <w:webHidden/>
          </w:rPr>
          <w:tab/>
        </w:r>
        <w:r>
          <w:rPr>
            <w:noProof/>
            <w:webHidden/>
          </w:rPr>
          <w:fldChar w:fldCharType="begin"/>
        </w:r>
        <w:r>
          <w:rPr>
            <w:noProof/>
            <w:webHidden/>
          </w:rPr>
          <w:instrText xml:space="preserve"> PAGEREF _Toc2776061 \h </w:instrText>
        </w:r>
        <w:r>
          <w:rPr>
            <w:noProof/>
            <w:webHidden/>
          </w:rPr>
        </w:r>
        <w:r>
          <w:rPr>
            <w:noProof/>
            <w:webHidden/>
          </w:rPr>
          <w:fldChar w:fldCharType="separate"/>
        </w:r>
        <w:r w:rsidR="003C7091">
          <w:rPr>
            <w:noProof/>
            <w:webHidden/>
          </w:rPr>
          <w:t>96</w:t>
        </w:r>
        <w:r>
          <w:rPr>
            <w:noProof/>
            <w:webHidden/>
          </w:rPr>
          <w:fldChar w:fldCharType="end"/>
        </w:r>
      </w:hyperlink>
    </w:p>
    <w:p w14:paraId="3A384A12" w14:textId="77F36BE3" w:rsidR="00DD7487" w:rsidRDefault="00DD7487">
      <w:pPr>
        <w:pStyle w:val="TOC3"/>
        <w:tabs>
          <w:tab w:val="right" w:leader="dot" w:pos="9016"/>
        </w:tabs>
        <w:rPr>
          <w:rFonts w:asciiTheme="minorHAnsi" w:eastAsiaTheme="minorEastAsia" w:hAnsiTheme="minorHAnsi"/>
          <w:noProof/>
          <w:lang w:eastAsia="en-AU"/>
        </w:rPr>
      </w:pPr>
      <w:hyperlink w:anchor="_Toc2776062" w:history="1">
        <w:r w:rsidRPr="0002218A">
          <w:rPr>
            <w:rStyle w:val="Hyperlink"/>
            <w:noProof/>
            <w:lang w:eastAsia="en-AU"/>
          </w:rPr>
          <w:t>Summary and future management of economic values</w:t>
        </w:r>
        <w:r>
          <w:rPr>
            <w:noProof/>
            <w:webHidden/>
          </w:rPr>
          <w:tab/>
        </w:r>
        <w:r>
          <w:rPr>
            <w:noProof/>
            <w:webHidden/>
          </w:rPr>
          <w:fldChar w:fldCharType="begin"/>
        </w:r>
        <w:r>
          <w:rPr>
            <w:noProof/>
            <w:webHidden/>
          </w:rPr>
          <w:instrText xml:space="preserve"> PAGEREF _Toc2776062 \h </w:instrText>
        </w:r>
        <w:r>
          <w:rPr>
            <w:noProof/>
            <w:webHidden/>
          </w:rPr>
        </w:r>
        <w:r>
          <w:rPr>
            <w:noProof/>
            <w:webHidden/>
          </w:rPr>
          <w:fldChar w:fldCharType="separate"/>
        </w:r>
        <w:r w:rsidR="003C7091">
          <w:rPr>
            <w:noProof/>
            <w:webHidden/>
          </w:rPr>
          <w:t>99</w:t>
        </w:r>
        <w:r>
          <w:rPr>
            <w:noProof/>
            <w:webHidden/>
          </w:rPr>
          <w:fldChar w:fldCharType="end"/>
        </w:r>
      </w:hyperlink>
    </w:p>
    <w:p w14:paraId="1C7E7367" w14:textId="2D7579F1" w:rsidR="00DD7487" w:rsidRDefault="00DD7487">
      <w:pPr>
        <w:pStyle w:val="TOC2"/>
        <w:rPr>
          <w:rFonts w:asciiTheme="minorHAnsi" w:eastAsiaTheme="minorEastAsia" w:hAnsiTheme="minorHAnsi"/>
          <w:noProof/>
          <w:lang w:eastAsia="en-AU"/>
        </w:rPr>
      </w:pPr>
      <w:hyperlink w:anchor="_Toc2776063" w:history="1">
        <w:r w:rsidRPr="0002218A">
          <w:rPr>
            <w:rStyle w:val="Hyperlink"/>
            <w:noProof/>
          </w:rPr>
          <w:t>Section 4: Social Values</w:t>
        </w:r>
        <w:r>
          <w:rPr>
            <w:noProof/>
            <w:webHidden/>
          </w:rPr>
          <w:tab/>
        </w:r>
        <w:r>
          <w:rPr>
            <w:noProof/>
            <w:webHidden/>
          </w:rPr>
          <w:fldChar w:fldCharType="begin"/>
        </w:r>
        <w:r>
          <w:rPr>
            <w:noProof/>
            <w:webHidden/>
          </w:rPr>
          <w:instrText xml:space="preserve"> PAGEREF _Toc2776063 \h </w:instrText>
        </w:r>
        <w:r>
          <w:rPr>
            <w:noProof/>
            <w:webHidden/>
          </w:rPr>
        </w:r>
        <w:r>
          <w:rPr>
            <w:noProof/>
            <w:webHidden/>
          </w:rPr>
          <w:fldChar w:fldCharType="separate"/>
        </w:r>
        <w:r w:rsidR="003C7091">
          <w:rPr>
            <w:noProof/>
            <w:webHidden/>
          </w:rPr>
          <w:t>104</w:t>
        </w:r>
        <w:r>
          <w:rPr>
            <w:noProof/>
            <w:webHidden/>
          </w:rPr>
          <w:fldChar w:fldCharType="end"/>
        </w:r>
      </w:hyperlink>
    </w:p>
    <w:p w14:paraId="3A1DE83F" w14:textId="6F635510"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64" w:history="1">
        <w:r w:rsidRPr="0002218A">
          <w:rPr>
            <w:rStyle w:val="Hyperlink"/>
            <w:noProof/>
            <w:lang w:eastAsia="en-AU"/>
          </w:rPr>
          <w:t>Indicator 6.3a</w:t>
        </w:r>
        <w:r>
          <w:rPr>
            <w:rFonts w:asciiTheme="minorHAnsi" w:eastAsiaTheme="minorEastAsia" w:hAnsiTheme="minorHAnsi"/>
            <w:noProof/>
            <w:lang w:eastAsia="en-AU"/>
          </w:rPr>
          <w:tab/>
        </w:r>
        <w:r w:rsidRPr="0002218A">
          <w:rPr>
            <w:rStyle w:val="Hyperlink"/>
            <w:noProof/>
            <w:lang w:eastAsia="en-AU"/>
          </w:rPr>
          <w:t>Area of forest available for public recreation and tourism</w:t>
        </w:r>
        <w:r>
          <w:rPr>
            <w:noProof/>
            <w:webHidden/>
          </w:rPr>
          <w:tab/>
        </w:r>
        <w:r>
          <w:rPr>
            <w:noProof/>
            <w:webHidden/>
          </w:rPr>
          <w:fldChar w:fldCharType="begin"/>
        </w:r>
        <w:r>
          <w:rPr>
            <w:noProof/>
            <w:webHidden/>
          </w:rPr>
          <w:instrText xml:space="preserve"> PAGEREF _Toc2776064 \h </w:instrText>
        </w:r>
        <w:r>
          <w:rPr>
            <w:noProof/>
            <w:webHidden/>
          </w:rPr>
        </w:r>
        <w:r>
          <w:rPr>
            <w:noProof/>
            <w:webHidden/>
          </w:rPr>
          <w:fldChar w:fldCharType="separate"/>
        </w:r>
        <w:r w:rsidR="003C7091">
          <w:rPr>
            <w:noProof/>
            <w:webHidden/>
          </w:rPr>
          <w:t>104</w:t>
        </w:r>
        <w:r>
          <w:rPr>
            <w:noProof/>
            <w:webHidden/>
          </w:rPr>
          <w:fldChar w:fldCharType="end"/>
        </w:r>
      </w:hyperlink>
    </w:p>
    <w:p w14:paraId="28638AB6" w14:textId="6D26A608"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65" w:history="1">
        <w:r w:rsidRPr="0002218A">
          <w:rPr>
            <w:rStyle w:val="Hyperlink"/>
            <w:noProof/>
            <w:lang w:eastAsia="en-AU"/>
          </w:rPr>
          <w:t>Indicator 6.3b</w:t>
        </w:r>
        <w:r>
          <w:rPr>
            <w:rFonts w:asciiTheme="minorHAnsi" w:eastAsiaTheme="minorEastAsia" w:hAnsiTheme="minorHAnsi"/>
            <w:noProof/>
            <w:lang w:eastAsia="en-AU"/>
          </w:rPr>
          <w:tab/>
        </w:r>
        <w:r w:rsidRPr="0002218A">
          <w:rPr>
            <w:rStyle w:val="Hyperlink"/>
            <w:noProof/>
            <w:lang w:eastAsia="en-AU"/>
          </w:rPr>
          <w:t>Range and use of recreation/ tourism activities available</w:t>
        </w:r>
        <w:r>
          <w:rPr>
            <w:noProof/>
            <w:webHidden/>
          </w:rPr>
          <w:tab/>
        </w:r>
        <w:r>
          <w:rPr>
            <w:noProof/>
            <w:webHidden/>
          </w:rPr>
          <w:fldChar w:fldCharType="begin"/>
        </w:r>
        <w:r>
          <w:rPr>
            <w:noProof/>
            <w:webHidden/>
          </w:rPr>
          <w:instrText xml:space="preserve"> PAGEREF _Toc2776065 \h </w:instrText>
        </w:r>
        <w:r>
          <w:rPr>
            <w:noProof/>
            <w:webHidden/>
          </w:rPr>
        </w:r>
        <w:r>
          <w:rPr>
            <w:noProof/>
            <w:webHidden/>
          </w:rPr>
          <w:fldChar w:fldCharType="separate"/>
        </w:r>
        <w:r w:rsidR="003C7091">
          <w:rPr>
            <w:noProof/>
            <w:webHidden/>
          </w:rPr>
          <w:t>105</w:t>
        </w:r>
        <w:r>
          <w:rPr>
            <w:noProof/>
            <w:webHidden/>
          </w:rPr>
          <w:fldChar w:fldCharType="end"/>
        </w:r>
      </w:hyperlink>
    </w:p>
    <w:p w14:paraId="0DCD2915" w14:textId="1C1A35E4"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66" w:history="1">
        <w:r w:rsidRPr="0002218A">
          <w:rPr>
            <w:rStyle w:val="Hyperlink"/>
            <w:noProof/>
            <w:lang w:eastAsia="en-AU"/>
          </w:rPr>
          <w:t>Indicator 6.4d</w:t>
        </w:r>
        <w:r>
          <w:rPr>
            <w:rFonts w:asciiTheme="minorHAnsi" w:eastAsiaTheme="minorEastAsia" w:hAnsiTheme="minorHAnsi"/>
            <w:noProof/>
            <w:lang w:eastAsia="en-AU"/>
          </w:rPr>
          <w:tab/>
        </w:r>
        <w:r w:rsidRPr="0002218A">
          <w:rPr>
            <w:rStyle w:val="Hyperlink"/>
            <w:noProof/>
            <w:lang w:eastAsia="en-AU"/>
          </w:rPr>
          <w:t>The importance of forests to people</w:t>
        </w:r>
        <w:r>
          <w:rPr>
            <w:noProof/>
            <w:webHidden/>
          </w:rPr>
          <w:tab/>
        </w:r>
        <w:r>
          <w:rPr>
            <w:noProof/>
            <w:webHidden/>
          </w:rPr>
          <w:fldChar w:fldCharType="begin"/>
        </w:r>
        <w:r>
          <w:rPr>
            <w:noProof/>
            <w:webHidden/>
          </w:rPr>
          <w:instrText xml:space="preserve"> PAGEREF _Toc2776066 \h </w:instrText>
        </w:r>
        <w:r>
          <w:rPr>
            <w:noProof/>
            <w:webHidden/>
          </w:rPr>
        </w:r>
        <w:r>
          <w:rPr>
            <w:noProof/>
            <w:webHidden/>
          </w:rPr>
          <w:fldChar w:fldCharType="separate"/>
        </w:r>
        <w:r w:rsidR="003C7091">
          <w:rPr>
            <w:noProof/>
            <w:webHidden/>
          </w:rPr>
          <w:t>109</w:t>
        </w:r>
        <w:r>
          <w:rPr>
            <w:noProof/>
            <w:webHidden/>
          </w:rPr>
          <w:fldChar w:fldCharType="end"/>
        </w:r>
      </w:hyperlink>
    </w:p>
    <w:p w14:paraId="12ADD09D" w14:textId="667131DE"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67" w:history="1">
        <w:r w:rsidRPr="0002218A">
          <w:rPr>
            <w:rStyle w:val="Hyperlink"/>
            <w:noProof/>
            <w:lang w:eastAsia="en-AU"/>
          </w:rPr>
          <w:t>Indicator 6.5b</w:t>
        </w:r>
        <w:r>
          <w:rPr>
            <w:rFonts w:asciiTheme="minorHAnsi" w:eastAsiaTheme="minorEastAsia" w:hAnsiTheme="minorHAnsi"/>
            <w:noProof/>
            <w:lang w:eastAsia="en-AU"/>
          </w:rPr>
          <w:tab/>
        </w:r>
        <w:r w:rsidRPr="0002218A">
          <w:rPr>
            <w:rStyle w:val="Hyperlink"/>
            <w:noProof/>
            <w:lang w:eastAsia="en-AU"/>
          </w:rPr>
          <w:t>Wage rates and injury rates within the forest sector</w:t>
        </w:r>
        <w:r>
          <w:rPr>
            <w:noProof/>
            <w:webHidden/>
          </w:rPr>
          <w:tab/>
        </w:r>
        <w:r>
          <w:rPr>
            <w:noProof/>
            <w:webHidden/>
          </w:rPr>
          <w:fldChar w:fldCharType="begin"/>
        </w:r>
        <w:r>
          <w:rPr>
            <w:noProof/>
            <w:webHidden/>
          </w:rPr>
          <w:instrText xml:space="preserve"> PAGEREF _Toc2776067 \h </w:instrText>
        </w:r>
        <w:r>
          <w:rPr>
            <w:noProof/>
            <w:webHidden/>
          </w:rPr>
        </w:r>
        <w:r>
          <w:rPr>
            <w:noProof/>
            <w:webHidden/>
          </w:rPr>
          <w:fldChar w:fldCharType="separate"/>
        </w:r>
        <w:r w:rsidR="003C7091">
          <w:rPr>
            <w:noProof/>
            <w:webHidden/>
          </w:rPr>
          <w:t>112</w:t>
        </w:r>
        <w:r>
          <w:rPr>
            <w:noProof/>
            <w:webHidden/>
          </w:rPr>
          <w:fldChar w:fldCharType="end"/>
        </w:r>
      </w:hyperlink>
    </w:p>
    <w:p w14:paraId="3128E38A" w14:textId="62E52622"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68" w:history="1">
        <w:r w:rsidRPr="0002218A">
          <w:rPr>
            <w:rStyle w:val="Hyperlink"/>
            <w:noProof/>
            <w:lang w:eastAsia="en-AU"/>
          </w:rPr>
          <w:t>Indicator 6.5a</w:t>
        </w:r>
        <w:r>
          <w:rPr>
            <w:rFonts w:asciiTheme="minorHAnsi" w:eastAsiaTheme="minorEastAsia" w:hAnsiTheme="minorHAnsi"/>
            <w:noProof/>
            <w:lang w:eastAsia="en-AU"/>
          </w:rPr>
          <w:tab/>
        </w:r>
        <w:r w:rsidRPr="0002218A">
          <w:rPr>
            <w:rStyle w:val="Hyperlink"/>
            <w:noProof/>
            <w:lang w:eastAsia="en-AU"/>
          </w:rPr>
          <w:t>Direct and indirect employment in the forest sector</w:t>
        </w:r>
        <w:r>
          <w:rPr>
            <w:noProof/>
            <w:webHidden/>
          </w:rPr>
          <w:tab/>
        </w:r>
        <w:r>
          <w:rPr>
            <w:noProof/>
            <w:webHidden/>
          </w:rPr>
          <w:fldChar w:fldCharType="begin"/>
        </w:r>
        <w:r>
          <w:rPr>
            <w:noProof/>
            <w:webHidden/>
          </w:rPr>
          <w:instrText xml:space="preserve"> PAGEREF _Toc2776068 \h </w:instrText>
        </w:r>
        <w:r>
          <w:rPr>
            <w:noProof/>
            <w:webHidden/>
          </w:rPr>
        </w:r>
        <w:r>
          <w:rPr>
            <w:noProof/>
            <w:webHidden/>
          </w:rPr>
          <w:fldChar w:fldCharType="separate"/>
        </w:r>
        <w:r w:rsidR="003C7091">
          <w:rPr>
            <w:noProof/>
            <w:webHidden/>
          </w:rPr>
          <w:t>115</w:t>
        </w:r>
        <w:r>
          <w:rPr>
            <w:noProof/>
            <w:webHidden/>
          </w:rPr>
          <w:fldChar w:fldCharType="end"/>
        </w:r>
      </w:hyperlink>
    </w:p>
    <w:p w14:paraId="08ADEA12" w14:textId="47C2E65E" w:rsidR="00DD7487" w:rsidRDefault="00DD7487">
      <w:pPr>
        <w:pStyle w:val="TOC3"/>
        <w:tabs>
          <w:tab w:val="left" w:pos="1966"/>
          <w:tab w:val="right" w:leader="dot" w:pos="9016"/>
        </w:tabs>
        <w:rPr>
          <w:rFonts w:asciiTheme="minorHAnsi" w:eastAsiaTheme="minorEastAsia" w:hAnsiTheme="minorHAnsi"/>
          <w:noProof/>
          <w:lang w:eastAsia="en-AU"/>
        </w:rPr>
      </w:pPr>
      <w:hyperlink w:anchor="_Toc2776069" w:history="1">
        <w:r w:rsidRPr="0002218A">
          <w:rPr>
            <w:rStyle w:val="Hyperlink"/>
            <w:noProof/>
            <w:lang w:eastAsia="en-AU"/>
          </w:rPr>
          <w:t>Indicator 6.5c</w:t>
        </w:r>
        <w:r>
          <w:rPr>
            <w:rFonts w:asciiTheme="minorHAnsi" w:eastAsiaTheme="minorEastAsia" w:hAnsiTheme="minorHAnsi"/>
            <w:noProof/>
            <w:lang w:eastAsia="en-AU"/>
          </w:rPr>
          <w:tab/>
        </w:r>
        <w:r w:rsidRPr="0002218A">
          <w:rPr>
            <w:rStyle w:val="Hyperlink"/>
            <w:noProof/>
            <w:lang w:eastAsia="en-AU"/>
          </w:rPr>
          <w:t>Resilience of forest dependent communities to changing social and economic conditions</w:t>
        </w:r>
        <w:r>
          <w:rPr>
            <w:noProof/>
            <w:webHidden/>
          </w:rPr>
          <w:tab/>
        </w:r>
        <w:r>
          <w:rPr>
            <w:noProof/>
            <w:webHidden/>
          </w:rPr>
          <w:fldChar w:fldCharType="begin"/>
        </w:r>
        <w:r>
          <w:rPr>
            <w:noProof/>
            <w:webHidden/>
          </w:rPr>
          <w:instrText xml:space="preserve"> PAGEREF _Toc2776069 \h </w:instrText>
        </w:r>
        <w:r>
          <w:rPr>
            <w:noProof/>
            <w:webHidden/>
          </w:rPr>
        </w:r>
        <w:r>
          <w:rPr>
            <w:noProof/>
            <w:webHidden/>
          </w:rPr>
          <w:fldChar w:fldCharType="separate"/>
        </w:r>
        <w:r w:rsidR="003C7091">
          <w:rPr>
            <w:noProof/>
            <w:webHidden/>
          </w:rPr>
          <w:t>116</w:t>
        </w:r>
        <w:r>
          <w:rPr>
            <w:noProof/>
            <w:webHidden/>
          </w:rPr>
          <w:fldChar w:fldCharType="end"/>
        </w:r>
      </w:hyperlink>
    </w:p>
    <w:p w14:paraId="12F96C37" w14:textId="4BA5C96C" w:rsidR="00DD7487" w:rsidRDefault="00DD7487">
      <w:pPr>
        <w:pStyle w:val="TOC3"/>
        <w:tabs>
          <w:tab w:val="right" w:leader="dot" w:pos="9016"/>
        </w:tabs>
        <w:rPr>
          <w:rFonts w:asciiTheme="minorHAnsi" w:eastAsiaTheme="minorEastAsia" w:hAnsiTheme="minorHAnsi"/>
          <w:noProof/>
          <w:lang w:eastAsia="en-AU"/>
        </w:rPr>
      </w:pPr>
      <w:hyperlink w:anchor="_Toc2776070" w:history="1">
        <w:r w:rsidRPr="0002218A">
          <w:rPr>
            <w:rStyle w:val="Hyperlink"/>
            <w:noProof/>
            <w:lang w:eastAsia="en-AU"/>
          </w:rPr>
          <w:t>Summary and future management of social values</w:t>
        </w:r>
        <w:r>
          <w:rPr>
            <w:noProof/>
            <w:webHidden/>
          </w:rPr>
          <w:tab/>
        </w:r>
        <w:r>
          <w:rPr>
            <w:noProof/>
            <w:webHidden/>
          </w:rPr>
          <w:fldChar w:fldCharType="begin"/>
        </w:r>
        <w:r>
          <w:rPr>
            <w:noProof/>
            <w:webHidden/>
          </w:rPr>
          <w:instrText xml:space="preserve"> PAGEREF _Toc2776070 \h </w:instrText>
        </w:r>
        <w:r>
          <w:rPr>
            <w:noProof/>
            <w:webHidden/>
          </w:rPr>
        </w:r>
        <w:r>
          <w:rPr>
            <w:noProof/>
            <w:webHidden/>
          </w:rPr>
          <w:fldChar w:fldCharType="separate"/>
        </w:r>
        <w:r w:rsidR="003C7091">
          <w:rPr>
            <w:noProof/>
            <w:webHidden/>
          </w:rPr>
          <w:t>118</w:t>
        </w:r>
        <w:r>
          <w:rPr>
            <w:noProof/>
            <w:webHidden/>
          </w:rPr>
          <w:fldChar w:fldCharType="end"/>
        </w:r>
      </w:hyperlink>
    </w:p>
    <w:p w14:paraId="05B92BE3" w14:textId="07FA2420" w:rsidR="00DD7487" w:rsidRDefault="00DD7487">
      <w:pPr>
        <w:pStyle w:val="TOC2"/>
        <w:rPr>
          <w:rFonts w:asciiTheme="minorHAnsi" w:eastAsiaTheme="minorEastAsia" w:hAnsiTheme="minorHAnsi"/>
          <w:noProof/>
          <w:lang w:eastAsia="en-AU"/>
        </w:rPr>
      </w:pPr>
      <w:hyperlink w:anchor="_Toc2776071" w:history="1">
        <w:r w:rsidRPr="0002218A">
          <w:rPr>
            <w:rStyle w:val="Hyperlink"/>
            <w:noProof/>
          </w:rPr>
          <w:t>Section 5: Principles of Ecologically Sustainable Management</w:t>
        </w:r>
        <w:r>
          <w:rPr>
            <w:noProof/>
            <w:webHidden/>
          </w:rPr>
          <w:tab/>
        </w:r>
        <w:r>
          <w:rPr>
            <w:noProof/>
            <w:webHidden/>
          </w:rPr>
          <w:fldChar w:fldCharType="begin"/>
        </w:r>
        <w:r>
          <w:rPr>
            <w:noProof/>
            <w:webHidden/>
          </w:rPr>
          <w:instrText xml:space="preserve"> PAGEREF _Toc2776071 \h </w:instrText>
        </w:r>
        <w:r>
          <w:rPr>
            <w:noProof/>
            <w:webHidden/>
          </w:rPr>
        </w:r>
        <w:r>
          <w:rPr>
            <w:noProof/>
            <w:webHidden/>
          </w:rPr>
          <w:fldChar w:fldCharType="separate"/>
        </w:r>
        <w:r w:rsidR="003C7091">
          <w:rPr>
            <w:noProof/>
            <w:webHidden/>
          </w:rPr>
          <w:t>120</w:t>
        </w:r>
        <w:r>
          <w:rPr>
            <w:noProof/>
            <w:webHidden/>
          </w:rPr>
          <w:fldChar w:fldCharType="end"/>
        </w:r>
      </w:hyperlink>
    </w:p>
    <w:p w14:paraId="2BD555E5" w14:textId="574B4694"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72" w:history="1">
        <w:r w:rsidRPr="0002218A">
          <w:rPr>
            <w:rStyle w:val="Hyperlink"/>
            <w:noProof/>
            <w:lang w:eastAsia="en-AU"/>
          </w:rPr>
          <w:t>Indicator 7.1a</w:t>
        </w:r>
        <w:r>
          <w:rPr>
            <w:rFonts w:asciiTheme="minorHAnsi" w:eastAsiaTheme="minorEastAsia" w:hAnsiTheme="minorHAnsi"/>
            <w:noProof/>
            <w:lang w:eastAsia="en-AU"/>
          </w:rPr>
          <w:tab/>
        </w:r>
        <w:r w:rsidRPr="0002218A">
          <w:rPr>
            <w:rStyle w:val="Hyperlink"/>
            <w:noProof/>
            <w:lang w:eastAsia="en-AU"/>
          </w:rPr>
          <w:t>Extent to which the legal framework supports the conservation and sustainable management of forests</w:t>
        </w:r>
        <w:r>
          <w:rPr>
            <w:noProof/>
            <w:webHidden/>
          </w:rPr>
          <w:tab/>
        </w:r>
        <w:r>
          <w:rPr>
            <w:noProof/>
            <w:webHidden/>
          </w:rPr>
          <w:fldChar w:fldCharType="begin"/>
        </w:r>
        <w:r>
          <w:rPr>
            <w:noProof/>
            <w:webHidden/>
          </w:rPr>
          <w:instrText xml:space="preserve"> PAGEREF _Toc2776072 \h </w:instrText>
        </w:r>
        <w:r>
          <w:rPr>
            <w:noProof/>
            <w:webHidden/>
          </w:rPr>
        </w:r>
        <w:r>
          <w:rPr>
            <w:noProof/>
            <w:webHidden/>
          </w:rPr>
          <w:fldChar w:fldCharType="separate"/>
        </w:r>
        <w:r w:rsidR="003C7091">
          <w:rPr>
            <w:noProof/>
            <w:webHidden/>
          </w:rPr>
          <w:t>120</w:t>
        </w:r>
        <w:r>
          <w:rPr>
            <w:noProof/>
            <w:webHidden/>
          </w:rPr>
          <w:fldChar w:fldCharType="end"/>
        </w:r>
      </w:hyperlink>
    </w:p>
    <w:p w14:paraId="324CEF09" w14:textId="03337004" w:rsidR="00DD7487" w:rsidRDefault="00DD7487">
      <w:pPr>
        <w:pStyle w:val="TOC3"/>
        <w:tabs>
          <w:tab w:val="right" w:leader="dot" w:pos="9016"/>
        </w:tabs>
        <w:rPr>
          <w:rFonts w:asciiTheme="minorHAnsi" w:eastAsiaTheme="minorEastAsia" w:hAnsiTheme="minorHAnsi"/>
          <w:noProof/>
          <w:lang w:eastAsia="en-AU"/>
        </w:rPr>
      </w:pPr>
      <w:hyperlink w:anchor="_Toc2776073" w:history="1">
        <w:r w:rsidRPr="0002218A">
          <w:rPr>
            <w:rStyle w:val="Hyperlink"/>
            <w:noProof/>
          </w:rPr>
          <w:t>Commonwealth Legislation</w:t>
        </w:r>
        <w:r>
          <w:rPr>
            <w:noProof/>
            <w:webHidden/>
          </w:rPr>
          <w:tab/>
        </w:r>
        <w:r>
          <w:rPr>
            <w:noProof/>
            <w:webHidden/>
          </w:rPr>
          <w:fldChar w:fldCharType="begin"/>
        </w:r>
        <w:r>
          <w:rPr>
            <w:noProof/>
            <w:webHidden/>
          </w:rPr>
          <w:instrText xml:space="preserve"> PAGEREF _Toc2776073 \h </w:instrText>
        </w:r>
        <w:r>
          <w:rPr>
            <w:noProof/>
            <w:webHidden/>
          </w:rPr>
        </w:r>
        <w:r>
          <w:rPr>
            <w:noProof/>
            <w:webHidden/>
          </w:rPr>
          <w:fldChar w:fldCharType="separate"/>
        </w:r>
        <w:r w:rsidR="003C7091">
          <w:rPr>
            <w:noProof/>
            <w:webHidden/>
          </w:rPr>
          <w:t>121</w:t>
        </w:r>
        <w:r>
          <w:rPr>
            <w:noProof/>
            <w:webHidden/>
          </w:rPr>
          <w:fldChar w:fldCharType="end"/>
        </w:r>
      </w:hyperlink>
    </w:p>
    <w:p w14:paraId="4C7AF2A0" w14:textId="74F88CCA" w:rsidR="00DD7487" w:rsidRDefault="00DD7487">
      <w:pPr>
        <w:pStyle w:val="TOC3"/>
        <w:tabs>
          <w:tab w:val="right" w:leader="dot" w:pos="9016"/>
        </w:tabs>
        <w:rPr>
          <w:rFonts w:asciiTheme="minorHAnsi" w:eastAsiaTheme="minorEastAsia" w:hAnsiTheme="minorHAnsi"/>
          <w:noProof/>
          <w:lang w:eastAsia="en-AU"/>
        </w:rPr>
      </w:pPr>
      <w:hyperlink w:anchor="_Toc2776074" w:history="1">
        <w:r w:rsidRPr="0002218A">
          <w:rPr>
            <w:rStyle w:val="Hyperlink"/>
            <w:noProof/>
          </w:rPr>
          <w:t>Western Australian State Legislation</w:t>
        </w:r>
        <w:r>
          <w:rPr>
            <w:noProof/>
            <w:webHidden/>
          </w:rPr>
          <w:tab/>
        </w:r>
        <w:r>
          <w:rPr>
            <w:noProof/>
            <w:webHidden/>
          </w:rPr>
          <w:fldChar w:fldCharType="begin"/>
        </w:r>
        <w:r>
          <w:rPr>
            <w:noProof/>
            <w:webHidden/>
          </w:rPr>
          <w:instrText xml:space="preserve"> PAGEREF _Toc2776074 \h </w:instrText>
        </w:r>
        <w:r>
          <w:rPr>
            <w:noProof/>
            <w:webHidden/>
          </w:rPr>
        </w:r>
        <w:r>
          <w:rPr>
            <w:noProof/>
            <w:webHidden/>
          </w:rPr>
          <w:fldChar w:fldCharType="separate"/>
        </w:r>
        <w:r w:rsidR="003C7091">
          <w:rPr>
            <w:noProof/>
            <w:webHidden/>
          </w:rPr>
          <w:t>121</w:t>
        </w:r>
        <w:r>
          <w:rPr>
            <w:noProof/>
            <w:webHidden/>
          </w:rPr>
          <w:fldChar w:fldCharType="end"/>
        </w:r>
      </w:hyperlink>
    </w:p>
    <w:p w14:paraId="23BAD378" w14:textId="2D794D3F"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75" w:history="1">
        <w:r w:rsidRPr="0002218A">
          <w:rPr>
            <w:rStyle w:val="Hyperlink"/>
            <w:noProof/>
            <w:lang w:eastAsia="en-AU"/>
          </w:rPr>
          <w:t>Indicator 7.1b</w:t>
        </w:r>
        <w:r>
          <w:rPr>
            <w:rFonts w:asciiTheme="minorHAnsi" w:eastAsiaTheme="minorEastAsia" w:hAnsiTheme="minorHAnsi"/>
            <w:noProof/>
            <w:lang w:eastAsia="en-AU"/>
          </w:rPr>
          <w:tab/>
        </w:r>
        <w:r w:rsidRPr="0002218A">
          <w:rPr>
            <w:rStyle w:val="Hyperlink"/>
            <w:noProof/>
            <w:lang w:eastAsia="en-AU"/>
          </w:rPr>
          <w:t>Extent to which the institutional framework supports the conservation and sustainable management of forests</w:t>
        </w:r>
        <w:r>
          <w:rPr>
            <w:noProof/>
            <w:webHidden/>
          </w:rPr>
          <w:tab/>
        </w:r>
        <w:r>
          <w:rPr>
            <w:noProof/>
            <w:webHidden/>
          </w:rPr>
          <w:fldChar w:fldCharType="begin"/>
        </w:r>
        <w:r>
          <w:rPr>
            <w:noProof/>
            <w:webHidden/>
          </w:rPr>
          <w:instrText xml:space="preserve"> PAGEREF _Toc2776075 \h </w:instrText>
        </w:r>
        <w:r>
          <w:rPr>
            <w:noProof/>
            <w:webHidden/>
          </w:rPr>
        </w:r>
        <w:r>
          <w:rPr>
            <w:noProof/>
            <w:webHidden/>
          </w:rPr>
          <w:fldChar w:fldCharType="separate"/>
        </w:r>
        <w:r w:rsidR="003C7091">
          <w:rPr>
            <w:noProof/>
            <w:webHidden/>
          </w:rPr>
          <w:t>122</w:t>
        </w:r>
        <w:r>
          <w:rPr>
            <w:noProof/>
            <w:webHidden/>
          </w:rPr>
          <w:fldChar w:fldCharType="end"/>
        </w:r>
      </w:hyperlink>
    </w:p>
    <w:p w14:paraId="514F7949" w14:textId="761A8AD3" w:rsidR="00DD7487" w:rsidRDefault="00DD7487">
      <w:pPr>
        <w:pStyle w:val="TOC3"/>
        <w:tabs>
          <w:tab w:val="left" w:pos="1966"/>
          <w:tab w:val="right" w:leader="dot" w:pos="9016"/>
        </w:tabs>
        <w:rPr>
          <w:rFonts w:asciiTheme="minorHAnsi" w:eastAsiaTheme="minorEastAsia" w:hAnsiTheme="minorHAnsi"/>
          <w:noProof/>
          <w:lang w:eastAsia="en-AU"/>
        </w:rPr>
      </w:pPr>
      <w:hyperlink w:anchor="_Toc2776076" w:history="1">
        <w:r w:rsidRPr="0002218A">
          <w:rPr>
            <w:rStyle w:val="Hyperlink"/>
            <w:noProof/>
            <w:lang w:eastAsia="en-AU"/>
          </w:rPr>
          <w:t>Indicator 7.1c</w:t>
        </w:r>
        <w:r>
          <w:rPr>
            <w:rFonts w:asciiTheme="minorHAnsi" w:eastAsiaTheme="minorEastAsia" w:hAnsiTheme="minorHAnsi"/>
            <w:noProof/>
            <w:lang w:eastAsia="en-AU"/>
          </w:rPr>
          <w:tab/>
        </w:r>
        <w:r w:rsidRPr="0002218A">
          <w:rPr>
            <w:rStyle w:val="Hyperlink"/>
            <w:noProof/>
            <w:lang w:eastAsia="en-AU"/>
          </w:rPr>
          <w:t>Extent to which the economic framework supports the conservation and sustainable management of forests</w:t>
        </w:r>
        <w:r>
          <w:rPr>
            <w:noProof/>
            <w:webHidden/>
          </w:rPr>
          <w:tab/>
        </w:r>
        <w:r>
          <w:rPr>
            <w:noProof/>
            <w:webHidden/>
          </w:rPr>
          <w:fldChar w:fldCharType="begin"/>
        </w:r>
        <w:r>
          <w:rPr>
            <w:noProof/>
            <w:webHidden/>
          </w:rPr>
          <w:instrText xml:space="preserve"> PAGEREF _Toc2776076 \h </w:instrText>
        </w:r>
        <w:r>
          <w:rPr>
            <w:noProof/>
            <w:webHidden/>
          </w:rPr>
        </w:r>
        <w:r>
          <w:rPr>
            <w:noProof/>
            <w:webHidden/>
          </w:rPr>
          <w:fldChar w:fldCharType="separate"/>
        </w:r>
        <w:r w:rsidR="003C7091">
          <w:rPr>
            <w:noProof/>
            <w:webHidden/>
          </w:rPr>
          <w:t>124</w:t>
        </w:r>
        <w:r>
          <w:rPr>
            <w:noProof/>
            <w:webHidden/>
          </w:rPr>
          <w:fldChar w:fldCharType="end"/>
        </w:r>
      </w:hyperlink>
    </w:p>
    <w:p w14:paraId="70ECC56D" w14:textId="63589A40" w:rsidR="00DD7487" w:rsidRDefault="00DD7487">
      <w:pPr>
        <w:pStyle w:val="TOC3"/>
        <w:tabs>
          <w:tab w:val="left" w:pos="1994"/>
          <w:tab w:val="right" w:leader="dot" w:pos="9016"/>
        </w:tabs>
        <w:rPr>
          <w:rFonts w:asciiTheme="minorHAnsi" w:eastAsiaTheme="minorEastAsia" w:hAnsiTheme="minorHAnsi"/>
          <w:noProof/>
          <w:lang w:eastAsia="en-AU"/>
        </w:rPr>
      </w:pPr>
      <w:hyperlink w:anchor="_Toc2776077" w:history="1">
        <w:r w:rsidRPr="0002218A">
          <w:rPr>
            <w:rStyle w:val="Hyperlink"/>
            <w:noProof/>
            <w:lang w:eastAsia="en-AU"/>
          </w:rPr>
          <w:t>Indicator 7.1d</w:t>
        </w:r>
        <w:r>
          <w:rPr>
            <w:rFonts w:asciiTheme="minorHAnsi" w:eastAsiaTheme="minorEastAsia" w:hAnsiTheme="minorHAnsi"/>
            <w:noProof/>
            <w:lang w:eastAsia="en-AU"/>
          </w:rPr>
          <w:tab/>
        </w:r>
        <w:r w:rsidRPr="0002218A">
          <w:rPr>
            <w:rStyle w:val="Hyperlink"/>
            <w:noProof/>
            <w:lang w:eastAsia="en-AU"/>
          </w:rPr>
          <w:t>Capacity to measure and monitor changes in the conservation and sustainable management of forests</w:t>
        </w:r>
        <w:r>
          <w:rPr>
            <w:noProof/>
            <w:webHidden/>
          </w:rPr>
          <w:tab/>
        </w:r>
        <w:r>
          <w:rPr>
            <w:noProof/>
            <w:webHidden/>
          </w:rPr>
          <w:fldChar w:fldCharType="begin"/>
        </w:r>
        <w:r>
          <w:rPr>
            <w:noProof/>
            <w:webHidden/>
          </w:rPr>
          <w:instrText xml:space="preserve"> PAGEREF _Toc2776077 \h </w:instrText>
        </w:r>
        <w:r>
          <w:rPr>
            <w:noProof/>
            <w:webHidden/>
          </w:rPr>
        </w:r>
        <w:r>
          <w:rPr>
            <w:noProof/>
            <w:webHidden/>
          </w:rPr>
          <w:fldChar w:fldCharType="separate"/>
        </w:r>
        <w:r w:rsidR="003C7091">
          <w:rPr>
            <w:noProof/>
            <w:webHidden/>
          </w:rPr>
          <w:t>127</w:t>
        </w:r>
        <w:r>
          <w:rPr>
            <w:noProof/>
            <w:webHidden/>
          </w:rPr>
          <w:fldChar w:fldCharType="end"/>
        </w:r>
      </w:hyperlink>
    </w:p>
    <w:p w14:paraId="465ED39E" w14:textId="1B004FD6" w:rsidR="00DD7487" w:rsidRDefault="00DD7487">
      <w:pPr>
        <w:pStyle w:val="TOC3"/>
        <w:tabs>
          <w:tab w:val="left" w:pos="1980"/>
          <w:tab w:val="right" w:leader="dot" w:pos="9016"/>
        </w:tabs>
        <w:rPr>
          <w:rFonts w:asciiTheme="minorHAnsi" w:eastAsiaTheme="minorEastAsia" w:hAnsiTheme="minorHAnsi"/>
          <w:noProof/>
          <w:lang w:eastAsia="en-AU"/>
        </w:rPr>
      </w:pPr>
      <w:hyperlink w:anchor="_Toc2776078" w:history="1">
        <w:r w:rsidRPr="0002218A">
          <w:rPr>
            <w:rStyle w:val="Hyperlink"/>
            <w:noProof/>
            <w:lang w:eastAsia="en-AU"/>
          </w:rPr>
          <w:t>Indicator 7.1e</w:t>
        </w:r>
        <w:r>
          <w:rPr>
            <w:rFonts w:asciiTheme="minorHAnsi" w:eastAsiaTheme="minorEastAsia" w:hAnsiTheme="minorHAnsi"/>
            <w:noProof/>
            <w:lang w:eastAsia="en-AU"/>
          </w:rPr>
          <w:tab/>
        </w:r>
        <w:r w:rsidRPr="0002218A">
          <w:rPr>
            <w:rStyle w:val="Hyperlink"/>
            <w:noProof/>
            <w:lang w:eastAsia="en-AU"/>
          </w:rPr>
          <w:t>Capacity to conduct and apply research and development aimed at improving forest management and delivery of forest goods and services</w:t>
        </w:r>
        <w:r>
          <w:rPr>
            <w:noProof/>
            <w:webHidden/>
          </w:rPr>
          <w:tab/>
        </w:r>
        <w:r>
          <w:rPr>
            <w:noProof/>
            <w:webHidden/>
          </w:rPr>
          <w:fldChar w:fldCharType="begin"/>
        </w:r>
        <w:r>
          <w:rPr>
            <w:noProof/>
            <w:webHidden/>
          </w:rPr>
          <w:instrText xml:space="preserve"> PAGEREF _Toc2776078 \h </w:instrText>
        </w:r>
        <w:r>
          <w:rPr>
            <w:noProof/>
            <w:webHidden/>
          </w:rPr>
        </w:r>
        <w:r>
          <w:rPr>
            <w:noProof/>
            <w:webHidden/>
          </w:rPr>
          <w:fldChar w:fldCharType="separate"/>
        </w:r>
        <w:r w:rsidR="003C7091">
          <w:rPr>
            <w:noProof/>
            <w:webHidden/>
          </w:rPr>
          <w:t>128</w:t>
        </w:r>
        <w:r>
          <w:rPr>
            <w:noProof/>
            <w:webHidden/>
          </w:rPr>
          <w:fldChar w:fldCharType="end"/>
        </w:r>
      </w:hyperlink>
    </w:p>
    <w:p w14:paraId="3EE93954" w14:textId="7EC8C6C5" w:rsidR="00DD7487" w:rsidRDefault="00DD7487">
      <w:pPr>
        <w:pStyle w:val="TOC3"/>
        <w:tabs>
          <w:tab w:val="right" w:leader="dot" w:pos="9016"/>
        </w:tabs>
        <w:rPr>
          <w:rFonts w:asciiTheme="minorHAnsi" w:eastAsiaTheme="minorEastAsia" w:hAnsiTheme="minorHAnsi"/>
          <w:noProof/>
          <w:lang w:eastAsia="en-AU"/>
        </w:rPr>
      </w:pPr>
      <w:hyperlink w:anchor="_Toc2776079" w:history="1">
        <w:r w:rsidRPr="0002218A">
          <w:rPr>
            <w:rStyle w:val="Hyperlink"/>
            <w:noProof/>
            <w:lang w:eastAsia="ja-JP"/>
          </w:rPr>
          <w:t>Indicator 3.1.a: Scale and impact of agents and processes affecting forest health and vitality</w:t>
        </w:r>
        <w:r>
          <w:rPr>
            <w:noProof/>
            <w:webHidden/>
          </w:rPr>
          <w:tab/>
        </w:r>
        <w:r>
          <w:rPr>
            <w:noProof/>
            <w:webHidden/>
          </w:rPr>
          <w:fldChar w:fldCharType="begin"/>
        </w:r>
        <w:r>
          <w:rPr>
            <w:noProof/>
            <w:webHidden/>
          </w:rPr>
          <w:instrText xml:space="preserve"> PAGEREF _Toc2776079 \h </w:instrText>
        </w:r>
        <w:r>
          <w:rPr>
            <w:noProof/>
            <w:webHidden/>
          </w:rPr>
        </w:r>
        <w:r>
          <w:rPr>
            <w:noProof/>
            <w:webHidden/>
          </w:rPr>
          <w:fldChar w:fldCharType="separate"/>
        </w:r>
        <w:r w:rsidR="003C7091">
          <w:rPr>
            <w:noProof/>
            <w:webHidden/>
          </w:rPr>
          <w:t>130</w:t>
        </w:r>
        <w:r>
          <w:rPr>
            <w:noProof/>
            <w:webHidden/>
          </w:rPr>
          <w:fldChar w:fldCharType="end"/>
        </w:r>
      </w:hyperlink>
    </w:p>
    <w:p w14:paraId="144918B2" w14:textId="49099FDD" w:rsidR="00DD7487" w:rsidRDefault="00DD7487">
      <w:pPr>
        <w:pStyle w:val="TOC3"/>
        <w:tabs>
          <w:tab w:val="left" w:pos="1976"/>
          <w:tab w:val="right" w:leader="dot" w:pos="9016"/>
        </w:tabs>
        <w:rPr>
          <w:rFonts w:asciiTheme="minorHAnsi" w:eastAsiaTheme="minorEastAsia" w:hAnsiTheme="minorHAnsi"/>
          <w:noProof/>
          <w:lang w:eastAsia="en-AU"/>
        </w:rPr>
      </w:pPr>
      <w:hyperlink w:anchor="_Toc2776080" w:history="1">
        <w:r w:rsidRPr="0002218A">
          <w:rPr>
            <w:rStyle w:val="Hyperlink"/>
            <w:noProof/>
            <w:lang w:eastAsia="en-AU"/>
          </w:rPr>
          <w:t>Indicator 5.1a</w:t>
        </w:r>
        <w:r>
          <w:rPr>
            <w:rFonts w:asciiTheme="minorHAnsi" w:eastAsiaTheme="minorEastAsia" w:hAnsiTheme="minorHAnsi"/>
            <w:noProof/>
            <w:lang w:eastAsia="en-AU"/>
          </w:rPr>
          <w:tab/>
        </w:r>
        <w:r w:rsidRPr="0002218A">
          <w:rPr>
            <w:rStyle w:val="Hyperlink"/>
            <w:noProof/>
            <w:lang w:eastAsia="en-AU"/>
          </w:rPr>
          <w:t>Contribution of forest ecosystems and forest industries to the global greenhouse gas balance</w:t>
        </w:r>
        <w:r>
          <w:rPr>
            <w:noProof/>
            <w:webHidden/>
          </w:rPr>
          <w:tab/>
        </w:r>
        <w:r>
          <w:rPr>
            <w:noProof/>
            <w:webHidden/>
          </w:rPr>
          <w:fldChar w:fldCharType="begin"/>
        </w:r>
        <w:r>
          <w:rPr>
            <w:noProof/>
            <w:webHidden/>
          </w:rPr>
          <w:instrText xml:space="preserve"> PAGEREF _Toc2776080 \h </w:instrText>
        </w:r>
        <w:r>
          <w:rPr>
            <w:noProof/>
            <w:webHidden/>
          </w:rPr>
        </w:r>
        <w:r>
          <w:rPr>
            <w:noProof/>
            <w:webHidden/>
          </w:rPr>
          <w:fldChar w:fldCharType="separate"/>
        </w:r>
        <w:r w:rsidR="003C7091">
          <w:rPr>
            <w:noProof/>
            <w:webHidden/>
          </w:rPr>
          <w:t>132</w:t>
        </w:r>
        <w:r>
          <w:rPr>
            <w:noProof/>
            <w:webHidden/>
          </w:rPr>
          <w:fldChar w:fldCharType="end"/>
        </w:r>
      </w:hyperlink>
    </w:p>
    <w:p w14:paraId="53451B96" w14:textId="642BEDC6" w:rsidR="00DD7487" w:rsidRDefault="00DD7487">
      <w:pPr>
        <w:pStyle w:val="TOC3"/>
        <w:tabs>
          <w:tab w:val="right" w:leader="dot" w:pos="9016"/>
        </w:tabs>
        <w:rPr>
          <w:rFonts w:asciiTheme="minorHAnsi" w:eastAsiaTheme="minorEastAsia" w:hAnsiTheme="minorHAnsi"/>
          <w:noProof/>
          <w:lang w:eastAsia="en-AU"/>
        </w:rPr>
      </w:pPr>
      <w:hyperlink w:anchor="_Toc2776081" w:history="1">
        <w:r w:rsidRPr="0002218A">
          <w:rPr>
            <w:rStyle w:val="Hyperlink"/>
            <w:noProof/>
            <w:lang w:eastAsia="en-AU"/>
          </w:rPr>
          <w:t>Summary of future management of the Principles of Ecologically Sustainable Forest Management</w:t>
        </w:r>
        <w:r>
          <w:rPr>
            <w:noProof/>
            <w:webHidden/>
          </w:rPr>
          <w:tab/>
        </w:r>
        <w:r>
          <w:rPr>
            <w:noProof/>
            <w:webHidden/>
          </w:rPr>
          <w:fldChar w:fldCharType="begin"/>
        </w:r>
        <w:r>
          <w:rPr>
            <w:noProof/>
            <w:webHidden/>
          </w:rPr>
          <w:instrText xml:space="preserve"> PAGEREF _Toc2776081 \h </w:instrText>
        </w:r>
        <w:r>
          <w:rPr>
            <w:noProof/>
            <w:webHidden/>
          </w:rPr>
        </w:r>
        <w:r>
          <w:rPr>
            <w:noProof/>
            <w:webHidden/>
          </w:rPr>
          <w:fldChar w:fldCharType="separate"/>
        </w:r>
        <w:r w:rsidR="003C7091">
          <w:rPr>
            <w:noProof/>
            <w:webHidden/>
          </w:rPr>
          <w:t>133</w:t>
        </w:r>
        <w:r>
          <w:rPr>
            <w:noProof/>
            <w:webHidden/>
          </w:rPr>
          <w:fldChar w:fldCharType="end"/>
        </w:r>
      </w:hyperlink>
    </w:p>
    <w:p w14:paraId="1D4028CE" w14:textId="3479D314" w:rsidR="00DD7487" w:rsidRDefault="00DD7487">
      <w:pPr>
        <w:pStyle w:val="TOC2"/>
        <w:rPr>
          <w:rFonts w:asciiTheme="minorHAnsi" w:eastAsiaTheme="minorEastAsia" w:hAnsiTheme="minorHAnsi"/>
          <w:noProof/>
          <w:lang w:eastAsia="en-AU"/>
        </w:rPr>
      </w:pPr>
      <w:hyperlink w:anchor="_Toc2776082" w:history="1">
        <w:r w:rsidRPr="0002218A">
          <w:rPr>
            <w:rStyle w:val="Hyperlink"/>
            <w:noProof/>
          </w:rPr>
          <w:t>Section 6: Conclusion</w:t>
        </w:r>
        <w:r>
          <w:rPr>
            <w:noProof/>
            <w:webHidden/>
          </w:rPr>
          <w:tab/>
        </w:r>
        <w:r>
          <w:rPr>
            <w:noProof/>
            <w:webHidden/>
          </w:rPr>
          <w:fldChar w:fldCharType="begin"/>
        </w:r>
        <w:r>
          <w:rPr>
            <w:noProof/>
            <w:webHidden/>
          </w:rPr>
          <w:instrText xml:space="preserve"> PAGEREF _Toc2776082 \h </w:instrText>
        </w:r>
        <w:r>
          <w:rPr>
            <w:noProof/>
            <w:webHidden/>
          </w:rPr>
        </w:r>
        <w:r>
          <w:rPr>
            <w:noProof/>
            <w:webHidden/>
          </w:rPr>
          <w:fldChar w:fldCharType="separate"/>
        </w:r>
        <w:r w:rsidR="003C7091">
          <w:rPr>
            <w:noProof/>
            <w:webHidden/>
          </w:rPr>
          <w:t>135</w:t>
        </w:r>
        <w:r>
          <w:rPr>
            <w:noProof/>
            <w:webHidden/>
          </w:rPr>
          <w:fldChar w:fldCharType="end"/>
        </w:r>
      </w:hyperlink>
    </w:p>
    <w:p w14:paraId="416A1C1C" w14:textId="5B485F8C" w:rsidR="00DD7487" w:rsidRDefault="00DD7487">
      <w:pPr>
        <w:pStyle w:val="TOC3"/>
        <w:tabs>
          <w:tab w:val="right" w:leader="dot" w:pos="9016"/>
        </w:tabs>
        <w:rPr>
          <w:rFonts w:asciiTheme="minorHAnsi" w:eastAsiaTheme="minorEastAsia" w:hAnsiTheme="minorHAnsi"/>
          <w:noProof/>
          <w:lang w:eastAsia="en-AU"/>
        </w:rPr>
      </w:pPr>
      <w:hyperlink w:anchor="_Toc2776083" w:history="1">
        <w:r w:rsidRPr="0002218A">
          <w:rPr>
            <w:rStyle w:val="Hyperlink"/>
            <w:noProof/>
            <w:lang w:eastAsia="en-AU"/>
          </w:rPr>
          <w:t>Environmental Values</w:t>
        </w:r>
        <w:r>
          <w:rPr>
            <w:noProof/>
            <w:webHidden/>
          </w:rPr>
          <w:tab/>
        </w:r>
        <w:r>
          <w:rPr>
            <w:noProof/>
            <w:webHidden/>
          </w:rPr>
          <w:fldChar w:fldCharType="begin"/>
        </w:r>
        <w:r>
          <w:rPr>
            <w:noProof/>
            <w:webHidden/>
          </w:rPr>
          <w:instrText xml:space="preserve"> PAGEREF _Toc2776083 \h </w:instrText>
        </w:r>
        <w:r>
          <w:rPr>
            <w:noProof/>
            <w:webHidden/>
          </w:rPr>
        </w:r>
        <w:r>
          <w:rPr>
            <w:noProof/>
            <w:webHidden/>
          </w:rPr>
          <w:fldChar w:fldCharType="separate"/>
        </w:r>
        <w:r w:rsidR="003C7091">
          <w:rPr>
            <w:noProof/>
            <w:webHidden/>
          </w:rPr>
          <w:t>135</w:t>
        </w:r>
        <w:r>
          <w:rPr>
            <w:noProof/>
            <w:webHidden/>
          </w:rPr>
          <w:fldChar w:fldCharType="end"/>
        </w:r>
      </w:hyperlink>
    </w:p>
    <w:p w14:paraId="1EC53DA2" w14:textId="7AEFD0E1" w:rsidR="00DD7487" w:rsidRDefault="00DD7487">
      <w:pPr>
        <w:pStyle w:val="TOC3"/>
        <w:tabs>
          <w:tab w:val="right" w:leader="dot" w:pos="9016"/>
        </w:tabs>
        <w:rPr>
          <w:rFonts w:asciiTheme="minorHAnsi" w:eastAsiaTheme="minorEastAsia" w:hAnsiTheme="minorHAnsi"/>
          <w:noProof/>
          <w:lang w:eastAsia="en-AU"/>
        </w:rPr>
      </w:pPr>
      <w:hyperlink w:anchor="_Toc2776084" w:history="1">
        <w:r w:rsidRPr="0002218A">
          <w:rPr>
            <w:rStyle w:val="Hyperlink"/>
            <w:noProof/>
          </w:rPr>
          <w:t>Indigenous Cultural Heritage</w:t>
        </w:r>
        <w:r>
          <w:rPr>
            <w:noProof/>
            <w:webHidden/>
          </w:rPr>
          <w:tab/>
        </w:r>
        <w:r>
          <w:rPr>
            <w:noProof/>
            <w:webHidden/>
          </w:rPr>
          <w:fldChar w:fldCharType="begin"/>
        </w:r>
        <w:r>
          <w:rPr>
            <w:noProof/>
            <w:webHidden/>
          </w:rPr>
          <w:instrText xml:space="preserve"> PAGEREF _Toc2776084 \h </w:instrText>
        </w:r>
        <w:r>
          <w:rPr>
            <w:noProof/>
            <w:webHidden/>
          </w:rPr>
        </w:r>
        <w:r>
          <w:rPr>
            <w:noProof/>
            <w:webHidden/>
          </w:rPr>
          <w:fldChar w:fldCharType="separate"/>
        </w:r>
        <w:r w:rsidR="003C7091">
          <w:rPr>
            <w:noProof/>
            <w:webHidden/>
          </w:rPr>
          <w:t>136</w:t>
        </w:r>
        <w:r>
          <w:rPr>
            <w:noProof/>
            <w:webHidden/>
          </w:rPr>
          <w:fldChar w:fldCharType="end"/>
        </w:r>
      </w:hyperlink>
    </w:p>
    <w:p w14:paraId="0FDA3311" w14:textId="2DC34A81" w:rsidR="00DD7487" w:rsidRDefault="00DD7487">
      <w:pPr>
        <w:pStyle w:val="TOC3"/>
        <w:tabs>
          <w:tab w:val="right" w:leader="dot" w:pos="9016"/>
        </w:tabs>
        <w:rPr>
          <w:rFonts w:asciiTheme="minorHAnsi" w:eastAsiaTheme="minorEastAsia" w:hAnsiTheme="minorHAnsi"/>
          <w:noProof/>
          <w:lang w:eastAsia="en-AU"/>
        </w:rPr>
      </w:pPr>
      <w:hyperlink w:anchor="_Toc2776085" w:history="1">
        <w:r w:rsidRPr="0002218A">
          <w:rPr>
            <w:rStyle w:val="Hyperlink"/>
            <w:noProof/>
          </w:rPr>
          <w:t>Economic Values</w:t>
        </w:r>
        <w:r>
          <w:rPr>
            <w:noProof/>
            <w:webHidden/>
          </w:rPr>
          <w:tab/>
        </w:r>
        <w:r>
          <w:rPr>
            <w:noProof/>
            <w:webHidden/>
          </w:rPr>
          <w:fldChar w:fldCharType="begin"/>
        </w:r>
        <w:r>
          <w:rPr>
            <w:noProof/>
            <w:webHidden/>
          </w:rPr>
          <w:instrText xml:space="preserve"> PAGEREF _Toc2776085 \h </w:instrText>
        </w:r>
        <w:r>
          <w:rPr>
            <w:noProof/>
            <w:webHidden/>
          </w:rPr>
        </w:r>
        <w:r>
          <w:rPr>
            <w:noProof/>
            <w:webHidden/>
          </w:rPr>
          <w:fldChar w:fldCharType="separate"/>
        </w:r>
        <w:r w:rsidR="003C7091">
          <w:rPr>
            <w:noProof/>
            <w:webHidden/>
          </w:rPr>
          <w:t>136</w:t>
        </w:r>
        <w:r>
          <w:rPr>
            <w:noProof/>
            <w:webHidden/>
          </w:rPr>
          <w:fldChar w:fldCharType="end"/>
        </w:r>
      </w:hyperlink>
    </w:p>
    <w:p w14:paraId="40E5C408" w14:textId="09D8324A" w:rsidR="00DD7487" w:rsidRDefault="00DD7487">
      <w:pPr>
        <w:pStyle w:val="TOC3"/>
        <w:tabs>
          <w:tab w:val="right" w:leader="dot" w:pos="9016"/>
        </w:tabs>
        <w:rPr>
          <w:rFonts w:asciiTheme="minorHAnsi" w:eastAsiaTheme="minorEastAsia" w:hAnsiTheme="minorHAnsi"/>
          <w:noProof/>
          <w:lang w:eastAsia="en-AU"/>
        </w:rPr>
      </w:pPr>
      <w:hyperlink w:anchor="_Toc2776086" w:history="1">
        <w:r w:rsidRPr="0002218A">
          <w:rPr>
            <w:rStyle w:val="Hyperlink"/>
            <w:noProof/>
          </w:rPr>
          <w:t>Social Values</w:t>
        </w:r>
        <w:r>
          <w:rPr>
            <w:noProof/>
            <w:webHidden/>
          </w:rPr>
          <w:tab/>
        </w:r>
        <w:r>
          <w:rPr>
            <w:noProof/>
            <w:webHidden/>
          </w:rPr>
          <w:fldChar w:fldCharType="begin"/>
        </w:r>
        <w:r>
          <w:rPr>
            <w:noProof/>
            <w:webHidden/>
          </w:rPr>
          <w:instrText xml:space="preserve"> PAGEREF _Toc2776086 \h </w:instrText>
        </w:r>
        <w:r>
          <w:rPr>
            <w:noProof/>
            <w:webHidden/>
          </w:rPr>
        </w:r>
        <w:r>
          <w:rPr>
            <w:noProof/>
            <w:webHidden/>
          </w:rPr>
          <w:fldChar w:fldCharType="separate"/>
        </w:r>
        <w:r w:rsidR="003C7091">
          <w:rPr>
            <w:noProof/>
            <w:webHidden/>
          </w:rPr>
          <w:t>137</w:t>
        </w:r>
        <w:r>
          <w:rPr>
            <w:noProof/>
            <w:webHidden/>
          </w:rPr>
          <w:fldChar w:fldCharType="end"/>
        </w:r>
      </w:hyperlink>
    </w:p>
    <w:p w14:paraId="499E2ADE" w14:textId="1F926889" w:rsidR="00DD7487" w:rsidRDefault="00DD7487">
      <w:pPr>
        <w:pStyle w:val="TOC3"/>
        <w:tabs>
          <w:tab w:val="right" w:leader="dot" w:pos="9016"/>
        </w:tabs>
        <w:rPr>
          <w:rFonts w:asciiTheme="minorHAnsi" w:eastAsiaTheme="minorEastAsia" w:hAnsiTheme="minorHAnsi"/>
          <w:noProof/>
          <w:lang w:eastAsia="en-AU"/>
        </w:rPr>
      </w:pPr>
      <w:hyperlink w:anchor="_Toc2776087" w:history="1">
        <w:r w:rsidRPr="0002218A">
          <w:rPr>
            <w:rStyle w:val="Hyperlink"/>
            <w:noProof/>
            <w:lang w:eastAsia="en-AU"/>
          </w:rPr>
          <w:t>Principles of Ecologically Sustainable Management</w:t>
        </w:r>
        <w:r>
          <w:rPr>
            <w:noProof/>
            <w:webHidden/>
          </w:rPr>
          <w:tab/>
        </w:r>
        <w:r>
          <w:rPr>
            <w:noProof/>
            <w:webHidden/>
          </w:rPr>
          <w:fldChar w:fldCharType="begin"/>
        </w:r>
        <w:r>
          <w:rPr>
            <w:noProof/>
            <w:webHidden/>
          </w:rPr>
          <w:instrText xml:space="preserve"> PAGEREF _Toc2776087 \h </w:instrText>
        </w:r>
        <w:r>
          <w:rPr>
            <w:noProof/>
            <w:webHidden/>
          </w:rPr>
        </w:r>
        <w:r>
          <w:rPr>
            <w:noProof/>
            <w:webHidden/>
          </w:rPr>
          <w:fldChar w:fldCharType="separate"/>
        </w:r>
        <w:r w:rsidR="003C7091">
          <w:rPr>
            <w:noProof/>
            <w:webHidden/>
          </w:rPr>
          <w:t>138</w:t>
        </w:r>
        <w:r>
          <w:rPr>
            <w:noProof/>
            <w:webHidden/>
          </w:rPr>
          <w:fldChar w:fldCharType="end"/>
        </w:r>
      </w:hyperlink>
    </w:p>
    <w:p w14:paraId="53DF56D2" w14:textId="626C0298" w:rsidR="00DD7487" w:rsidRDefault="00DD7487">
      <w:pPr>
        <w:pStyle w:val="TOC3"/>
        <w:tabs>
          <w:tab w:val="right" w:leader="dot" w:pos="9016"/>
        </w:tabs>
        <w:rPr>
          <w:rFonts w:asciiTheme="minorHAnsi" w:eastAsiaTheme="minorEastAsia" w:hAnsiTheme="minorHAnsi"/>
          <w:noProof/>
          <w:lang w:eastAsia="en-AU"/>
        </w:rPr>
      </w:pPr>
      <w:hyperlink w:anchor="_Toc2776088" w:history="1">
        <w:r w:rsidRPr="0002218A">
          <w:rPr>
            <w:rStyle w:val="Hyperlink"/>
            <w:noProof/>
            <w:lang w:eastAsia="en-AU"/>
          </w:rPr>
          <w:t>Summary</w:t>
        </w:r>
        <w:r>
          <w:rPr>
            <w:noProof/>
            <w:webHidden/>
          </w:rPr>
          <w:tab/>
        </w:r>
        <w:r>
          <w:rPr>
            <w:noProof/>
            <w:webHidden/>
          </w:rPr>
          <w:fldChar w:fldCharType="begin"/>
        </w:r>
        <w:r>
          <w:rPr>
            <w:noProof/>
            <w:webHidden/>
          </w:rPr>
          <w:instrText xml:space="preserve"> PAGEREF _Toc2776088 \h </w:instrText>
        </w:r>
        <w:r>
          <w:rPr>
            <w:noProof/>
            <w:webHidden/>
          </w:rPr>
        </w:r>
        <w:r>
          <w:rPr>
            <w:noProof/>
            <w:webHidden/>
          </w:rPr>
          <w:fldChar w:fldCharType="separate"/>
        </w:r>
        <w:r w:rsidR="003C7091">
          <w:rPr>
            <w:noProof/>
            <w:webHidden/>
          </w:rPr>
          <w:t>138</w:t>
        </w:r>
        <w:r>
          <w:rPr>
            <w:noProof/>
            <w:webHidden/>
          </w:rPr>
          <w:fldChar w:fldCharType="end"/>
        </w:r>
      </w:hyperlink>
    </w:p>
    <w:p w14:paraId="3A129DC4" w14:textId="4519AA02" w:rsidR="00DD7487" w:rsidRDefault="00DD7487">
      <w:pPr>
        <w:pStyle w:val="TOC2"/>
        <w:rPr>
          <w:rFonts w:asciiTheme="minorHAnsi" w:eastAsiaTheme="minorEastAsia" w:hAnsiTheme="minorHAnsi"/>
          <w:noProof/>
          <w:lang w:eastAsia="en-AU"/>
        </w:rPr>
      </w:pPr>
      <w:hyperlink w:anchor="_Toc2776089" w:history="1">
        <w:r w:rsidRPr="0002218A">
          <w:rPr>
            <w:rStyle w:val="Hyperlink"/>
            <w:noProof/>
          </w:rPr>
          <w:t>Appendices</w:t>
        </w:r>
        <w:r>
          <w:rPr>
            <w:noProof/>
            <w:webHidden/>
          </w:rPr>
          <w:tab/>
        </w:r>
        <w:r>
          <w:rPr>
            <w:noProof/>
            <w:webHidden/>
          </w:rPr>
          <w:fldChar w:fldCharType="begin"/>
        </w:r>
        <w:r>
          <w:rPr>
            <w:noProof/>
            <w:webHidden/>
          </w:rPr>
          <w:instrText xml:space="preserve"> PAGEREF _Toc2776089 \h </w:instrText>
        </w:r>
        <w:r>
          <w:rPr>
            <w:noProof/>
            <w:webHidden/>
          </w:rPr>
        </w:r>
        <w:r>
          <w:rPr>
            <w:noProof/>
            <w:webHidden/>
          </w:rPr>
          <w:fldChar w:fldCharType="separate"/>
        </w:r>
        <w:r w:rsidR="003C7091">
          <w:rPr>
            <w:noProof/>
            <w:webHidden/>
          </w:rPr>
          <w:t>140</w:t>
        </w:r>
        <w:r>
          <w:rPr>
            <w:noProof/>
            <w:webHidden/>
          </w:rPr>
          <w:fldChar w:fldCharType="end"/>
        </w:r>
      </w:hyperlink>
    </w:p>
    <w:p w14:paraId="773B3C1F" w14:textId="6A054D90" w:rsidR="00DD7487" w:rsidRDefault="00DD7487">
      <w:pPr>
        <w:pStyle w:val="TOC3"/>
        <w:tabs>
          <w:tab w:val="right" w:leader="dot" w:pos="9016"/>
        </w:tabs>
        <w:rPr>
          <w:rFonts w:asciiTheme="minorHAnsi" w:eastAsiaTheme="minorEastAsia" w:hAnsiTheme="minorHAnsi"/>
          <w:noProof/>
          <w:lang w:eastAsia="en-AU"/>
        </w:rPr>
      </w:pPr>
      <w:hyperlink w:anchor="_Toc2776090" w:history="1">
        <w:r w:rsidRPr="0002218A">
          <w:rPr>
            <w:rStyle w:val="Hyperlink"/>
            <w:noProof/>
          </w:rPr>
          <w:t>Appendix B:  Threatened species and ecological communities in the WA RFA region</w:t>
        </w:r>
        <w:r>
          <w:rPr>
            <w:noProof/>
            <w:webHidden/>
          </w:rPr>
          <w:tab/>
        </w:r>
        <w:r>
          <w:rPr>
            <w:noProof/>
            <w:webHidden/>
          </w:rPr>
          <w:fldChar w:fldCharType="begin"/>
        </w:r>
        <w:r>
          <w:rPr>
            <w:noProof/>
            <w:webHidden/>
          </w:rPr>
          <w:instrText xml:space="preserve"> PAGEREF _Toc2776090 \h </w:instrText>
        </w:r>
        <w:r>
          <w:rPr>
            <w:noProof/>
            <w:webHidden/>
          </w:rPr>
        </w:r>
        <w:r>
          <w:rPr>
            <w:noProof/>
            <w:webHidden/>
          </w:rPr>
          <w:fldChar w:fldCharType="separate"/>
        </w:r>
        <w:r w:rsidR="003C7091">
          <w:rPr>
            <w:noProof/>
            <w:webHidden/>
          </w:rPr>
          <w:t>163</w:t>
        </w:r>
        <w:r>
          <w:rPr>
            <w:noProof/>
            <w:webHidden/>
          </w:rPr>
          <w:fldChar w:fldCharType="end"/>
        </w:r>
      </w:hyperlink>
    </w:p>
    <w:p w14:paraId="367E5BE3" w14:textId="334BF6E5" w:rsidR="00DD7487" w:rsidRDefault="00DD7487">
      <w:pPr>
        <w:pStyle w:val="TOC3"/>
        <w:tabs>
          <w:tab w:val="right" w:leader="dot" w:pos="9016"/>
        </w:tabs>
        <w:rPr>
          <w:rFonts w:asciiTheme="minorHAnsi" w:eastAsiaTheme="minorEastAsia" w:hAnsiTheme="minorHAnsi"/>
          <w:noProof/>
          <w:lang w:eastAsia="en-AU"/>
        </w:rPr>
      </w:pPr>
      <w:hyperlink w:anchor="_Toc2776091" w:history="1">
        <w:r w:rsidRPr="0002218A">
          <w:rPr>
            <w:rStyle w:val="Hyperlink"/>
            <w:noProof/>
          </w:rPr>
          <w:t>Appendix C:  Recommendations at the combined first and second five-yearly review</w:t>
        </w:r>
        <w:r>
          <w:rPr>
            <w:noProof/>
            <w:webHidden/>
          </w:rPr>
          <w:tab/>
        </w:r>
        <w:r>
          <w:rPr>
            <w:noProof/>
            <w:webHidden/>
          </w:rPr>
          <w:fldChar w:fldCharType="begin"/>
        </w:r>
        <w:r>
          <w:rPr>
            <w:noProof/>
            <w:webHidden/>
          </w:rPr>
          <w:instrText xml:space="preserve"> PAGEREF _Toc2776091 \h </w:instrText>
        </w:r>
        <w:r>
          <w:rPr>
            <w:noProof/>
            <w:webHidden/>
          </w:rPr>
        </w:r>
        <w:r>
          <w:rPr>
            <w:noProof/>
            <w:webHidden/>
          </w:rPr>
          <w:fldChar w:fldCharType="separate"/>
        </w:r>
        <w:r w:rsidR="003C7091">
          <w:rPr>
            <w:noProof/>
            <w:webHidden/>
          </w:rPr>
          <w:t>190</w:t>
        </w:r>
        <w:r>
          <w:rPr>
            <w:noProof/>
            <w:webHidden/>
          </w:rPr>
          <w:fldChar w:fldCharType="end"/>
        </w:r>
      </w:hyperlink>
    </w:p>
    <w:p w14:paraId="2897D93A" w14:textId="5E25C87C" w:rsidR="00DD7487" w:rsidRDefault="00DD7487">
      <w:pPr>
        <w:pStyle w:val="TOC3"/>
        <w:tabs>
          <w:tab w:val="right" w:leader="dot" w:pos="9016"/>
        </w:tabs>
        <w:rPr>
          <w:rFonts w:asciiTheme="minorHAnsi" w:eastAsiaTheme="minorEastAsia" w:hAnsiTheme="minorHAnsi"/>
          <w:noProof/>
          <w:lang w:eastAsia="en-AU"/>
        </w:rPr>
      </w:pPr>
      <w:hyperlink w:anchor="_Toc2776092" w:history="1">
        <w:r w:rsidRPr="0002218A">
          <w:rPr>
            <w:rStyle w:val="Hyperlink"/>
            <w:noProof/>
          </w:rPr>
          <w:t>Appendix D:  Recommendations at the third five-yearly review</w:t>
        </w:r>
        <w:r>
          <w:rPr>
            <w:noProof/>
            <w:webHidden/>
          </w:rPr>
          <w:tab/>
        </w:r>
        <w:r>
          <w:rPr>
            <w:noProof/>
            <w:webHidden/>
          </w:rPr>
          <w:fldChar w:fldCharType="begin"/>
        </w:r>
        <w:r>
          <w:rPr>
            <w:noProof/>
            <w:webHidden/>
          </w:rPr>
          <w:instrText xml:space="preserve"> PAGEREF _Toc2776092 \h </w:instrText>
        </w:r>
        <w:r>
          <w:rPr>
            <w:noProof/>
            <w:webHidden/>
          </w:rPr>
        </w:r>
        <w:r>
          <w:rPr>
            <w:noProof/>
            <w:webHidden/>
          </w:rPr>
          <w:fldChar w:fldCharType="separate"/>
        </w:r>
        <w:r w:rsidR="003C7091">
          <w:rPr>
            <w:noProof/>
            <w:webHidden/>
          </w:rPr>
          <w:t>191</w:t>
        </w:r>
        <w:r>
          <w:rPr>
            <w:noProof/>
            <w:webHidden/>
          </w:rPr>
          <w:fldChar w:fldCharType="end"/>
        </w:r>
      </w:hyperlink>
    </w:p>
    <w:p w14:paraId="64753DAA" w14:textId="2C0E484C" w:rsidR="00DD7487" w:rsidRDefault="00DD7487">
      <w:pPr>
        <w:pStyle w:val="TOC2"/>
        <w:rPr>
          <w:rFonts w:asciiTheme="minorHAnsi" w:eastAsiaTheme="minorEastAsia" w:hAnsiTheme="minorHAnsi"/>
          <w:noProof/>
          <w:lang w:eastAsia="en-AU"/>
        </w:rPr>
      </w:pPr>
      <w:hyperlink w:anchor="_Toc2776093" w:history="1">
        <w:r w:rsidRPr="0002218A">
          <w:rPr>
            <w:rStyle w:val="Hyperlink"/>
            <w:noProof/>
          </w:rPr>
          <w:t>References</w:t>
        </w:r>
        <w:r>
          <w:rPr>
            <w:noProof/>
            <w:webHidden/>
          </w:rPr>
          <w:tab/>
        </w:r>
        <w:r>
          <w:rPr>
            <w:noProof/>
            <w:webHidden/>
          </w:rPr>
          <w:fldChar w:fldCharType="begin"/>
        </w:r>
        <w:r>
          <w:rPr>
            <w:noProof/>
            <w:webHidden/>
          </w:rPr>
          <w:instrText xml:space="preserve"> PAGEREF _Toc2776093 \h </w:instrText>
        </w:r>
        <w:r>
          <w:rPr>
            <w:noProof/>
            <w:webHidden/>
          </w:rPr>
        </w:r>
        <w:r>
          <w:rPr>
            <w:noProof/>
            <w:webHidden/>
          </w:rPr>
          <w:fldChar w:fldCharType="separate"/>
        </w:r>
        <w:r w:rsidR="003C7091">
          <w:rPr>
            <w:noProof/>
            <w:webHidden/>
          </w:rPr>
          <w:t>193</w:t>
        </w:r>
        <w:r>
          <w:rPr>
            <w:noProof/>
            <w:webHidden/>
          </w:rPr>
          <w:fldChar w:fldCharType="end"/>
        </w:r>
      </w:hyperlink>
    </w:p>
    <w:p w14:paraId="26ABC699" w14:textId="374ED451" w:rsidR="006C04BF" w:rsidRDefault="00C54A27" w:rsidP="001E4A6B">
      <w:pPr>
        <w:pStyle w:val="Heading2"/>
        <w:rPr>
          <w:noProof/>
          <w:color w:val="3A4C62"/>
        </w:rPr>
      </w:pPr>
      <w:r>
        <w:rPr>
          <w:b w:val="0"/>
          <w:noProof/>
          <w:color w:val="3A4C62"/>
          <w:sz w:val="22"/>
          <w:szCs w:val="22"/>
        </w:rPr>
        <w:fldChar w:fldCharType="end"/>
      </w:r>
      <w:r w:rsidR="006C04BF">
        <w:rPr>
          <w:noProof/>
          <w:color w:val="3A4C62"/>
        </w:rPr>
        <w:br w:type="page"/>
      </w:r>
    </w:p>
    <w:p w14:paraId="460D33F4" w14:textId="77777777" w:rsidR="00DD7487" w:rsidRDefault="006C04BF" w:rsidP="0016380E">
      <w:pPr>
        <w:pStyle w:val="Heading2"/>
        <w:rPr>
          <w:noProof/>
        </w:rPr>
      </w:pPr>
      <w:bookmarkStart w:id="2" w:name="_Toc2776020"/>
      <w:r>
        <w:rPr>
          <w:b w:val="0"/>
          <w:noProof/>
          <w:color w:val="3A4C62"/>
          <w:sz w:val="22"/>
          <w:szCs w:val="22"/>
        </w:rPr>
        <w:lastRenderedPageBreak/>
        <w:t>List of Figures</w:t>
      </w:r>
      <w:bookmarkEnd w:id="2"/>
      <w:r>
        <w:rPr>
          <w:b w:val="0"/>
          <w:noProof/>
          <w:color w:val="3A4C62"/>
          <w:sz w:val="22"/>
          <w:szCs w:val="22"/>
        </w:rPr>
        <w:fldChar w:fldCharType="begin"/>
      </w:r>
      <w:r>
        <w:rPr>
          <w:b w:val="0"/>
          <w:noProof/>
          <w:color w:val="3A4C62"/>
          <w:sz w:val="22"/>
          <w:szCs w:val="22"/>
        </w:rPr>
        <w:instrText xml:space="preserve"> TOC \h \z \c "Figure" </w:instrText>
      </w:r>
      <w:r>
        <w:rPr>
          <w:b w:val="0"/>
          <w:noProof/>
          <w:color w:val="3A4C62"/>
          <w:sz w:val="22"/>
          <w:szCs w:val="22"/>
        </w:rPr>
        <w:fldChar w:fldCharType="separate"/>
      </w:r>
    </w:p>
    <w:p w14:paraId="038EE259" w14:textId="178117F6" w:rsidR="00DD7487" w:rsidRDefault="00DD7487">
      <w:pPr>
        <w:pStyle w:val="TableofFigures"/>
        <w:tabs>
          <w:tab w:val="right" w:leader="dot" w:pos="9016"/>
        </w:tabs>
        <w:rPr>
          <w:rFonts w:asciiTheme="minorHAnsi" w:eastAsiaTheme="minorEastAsia" w:hAnsiTheme="minorHAnsi"/>
          <w:noProof/>
          <w:lang w:eastAsia="en-AU"/>
        </w:rPr>
      </w:pPr>
      <w:hyperlink w:anchor="_Toc2776002" w:history="1">
        <w:r w:rsidRPr="003659FF">
          <w:rPr>
            <w:rStyle w:val="Hyperlink"/>
            <w:noProof/>
          </w:rPr>
          <w:t>Figure 1: WA RFA region and extent of CAR reserve system in 2018</w:t>
        </w:r>
        <w:r>
          <w:rPr>
            <w:noProof/>
            <w:webHidden/>
          </w:rPr>
          <w:tab/>
        </w:r>
        <w:r>
          <w:rPr>
            <w:noProof/>
            <w:webHidden/>
          </w:rPr>
          <w:fldChar w:fldCharType="begin"/>
        </w:r>
        <w:r>
          <w:rPr>
            <w:noProof/>
            <w:webHidden/>
          </w:rPr>
          <w:instrText xml:space="preserve"> PAGEREF _Toc2776002 \h </w:instrText>
        </w:r>
        <w:r>
          <w:rPr>
            <w:noProof/>
            <w:webHidden/>
          </w:rPr>
        </w:r>
        <w:r>
          <w:rPr>
            <w:noProof/>
            <w:webHidden/>
          </w:rPr>
          <w:fldChar w:fldCharType="separate"/>
        </w:r>
        <w:r w:rsidR="003C7091">
          <w:rPr>
            <w:noProof/>
            <w:webHidden/>
          </w:rPr>
          <w:t>16</w:t>
        </w:r>
        <w:r>
          <w:rPr>
            <w:noProof/>
            <w:webHidden/>
          </w:rPr>
          <w:fldChar w:fldCharType="end"/>
        </w:r>
      </w:hyperlink>
    </w:p>
    <w:p w14:paraId="1B8E277B" w14:textId="45B60EAE" w:rsidR="00DD7487" w:rsidRDefault="00DD7487">
      <w:pPr>
        <w:pStyle w:val="TableofFigures"/>
        <w:tabs>
          <w:tab w:val="right" w:leader="dot" w:pos="9016"/>
        </w:tabs>
        <w:rPr>
          <w:rFonts w:asciiTheme="minorHAnsi" w:eastAsiaTheme="minorEastAsia" w:hAnsiTheme="minorHAnsi"/>
          <w:noProof/>
          <w:lang w:eastAsia="en-AU"/>
        </w:rPr>
      </w:pPr>
      <w:hyperlink w:anchor="_Toc2776003" w:history="1">
        <w:r w:rsidRPr="003659FF">
          <w:rPr>
            <w:rStyle w:val="Hyperlink"/>
            <w:noProof/>
          </w:rPr>
          <w:t>Figure 2: WA RFA region and the extent of old-growth forest in 2018</w:t>
        </w:r>
        <w:r>
          <w:rPr>
            <w:noProof/>
            <w:webHidden/>
          </w:rPr>
          <w:tab/>
        </w:r>
        <w:r>
          <w:rPr>
            <w:noProof/>
            <w:webHidden/>
          </w:rPr>
          <w:fldChar w:fldCharType="begin"/>
        </w:r>
        <w:r>
          <w:rPr>
            <w:noProof/>
            <w:webHidden/>
          </w:rPr>
          <w:instrText xml:space="preserve"> PAGEREF _Toc2776003 \h </w:instrText>
        </w:r>
        <w:r>
          <w:rPr>
            <w:noProof/>
            <w:webHidden/>
          </w:rPr>
        </w:r>
        <w:r>
          <w:rPr>
            <w:noProof/>
            <w:webHidden/>
          </w:rPr>
          <w:fldChar w:fldCharType="separate"/>
        </w:r>
        <w:r w:rsidR="003C7091">
          <w:rPr>
            <w:noProof/>
            <w:webHidden/>
          </w:rPr>
          <w:t>22</w:t>
        </w:r>
        <w:r>
          <w:rPr>
            <w:noProof/>
            <w:webHidden/>
          </w:rPr>
          <w:fldChar w:fldCharType="end"/>
        </w:r>
      </w:hyperlink>
    </w:p>
    <w:p w14:paraId="378D6789" w14:textId="55CD39B6" w:rsidR="00DD7487" w:rsidRDefault="00DD7487">
      <w:pPr>
        <w:pStyle w:val="TableofFigures"/>
        <w:tabs>
          <w:tab w:val="right" w:leader="dot" w:pos="9016"/>
        </w:tabs>
        <w:rPr>
          <w:rFonts w:asciiTheme="minorHAnsi" w:eastAsiaTheme="minorEastAsia" w:hAnsiTheme="minorHAnsi"/>
          <w:noProof/>
          <w:lang w:eastAsia="en-AU"/>
        </w:rPr>
      </w:pPr>
      <w:hyperlink w:anchor="_Toc2776004" w:history="1">
        <w:r w:rsidRPr="003659FF">
          <w:rPr>
            <w:rStyle w:val="Hyperlink"/>
            <w:noProof/>
          </w:rPr>
          <w:t>Figure 3: WA RFA region and the Proposed Walpole Wilderness Area in 2018.</w:t>
        </w:r>
        <w:r>
          <w:rPr>
            <w:noProof/>
            <w:webHidden/>
          </w:rPr>
          <w:tab/>
        </w:r>
        <w:r>
          <w:rPr>
            <w:noProof/>
            <w:webHidden/>
          </w:rPr>
          <w:fldChar w:fldCharType="begin"/>
        </w:r>
        <w:r>
          <w:rPr>
            <w:noProof/>
            <w:webHidden/>
          </w:rPr>
          <w:instrText xml:space="preserve"> PAGEREF _Toc2776004 \h </w:instrText>
        </w:r>
        <w:r>
          <w:rPr>
            <w:noProof/>
            <w:webHidden/>
          </w:rPr>
        </w:r>
        <w:r>
          <w:rPr>
            <w:noProof/>
            <w:webHidden/>
          </w:rPr>
          <w:fldChar w:fldCharType="separate"/>
        </w:r>
        <w:r w:rsidR="003C7091">
          <w:rPr>
            <w:noProof/>
            <w:webHidden/>
          </w:rPr>
          <w:t>27</w:t>
        </w:r>
        <w:r>
          <w:rPr>
            <w:noProof/>
            <w:webHidden/>
          </w:rPr>
          <w:fldChar w:fldCharType="end"/>
        </w:r>
      </w:hyperlink>
    </w:p>
    <w:p w14:paraId="46C9C20B" w14:textId="58FF655C" w:rsidR="00DD7487" w:rsidRDefault="00DD7487">
      <w:pPr>
        <w:pStyle w:val="TableofFigures"/>
        <w:tabs>
          <w:tab w:val="right" w:leader="dot" w:pos="9016"/>
        </w:tabs>
        <w:rPr>
          <w:rFonts w:asciiTheme="minorHAnsi" w:eastAsiaTheme="minorEastAsia" w:hAnsiTheme="minorHAnsi"/>
          <w:noProof/>
          <w:lang w:eastAsia="en-AU"/>
        </w:rPr>
      </w:pPr>
      <w:hyperlink w:anchor="_Toc2776005" w:history="1">
        <w:r w:rsidRPr="003659FF">
          <w:rPr>
            <w:rStyle w:val="Hyperlink"/>
            <w:noProof/>
          </w:rPr>
          <w:t>Figure 4: WA RFA region and the location of the places on the National and Commonwealth Heritage lists in 2018.</w:t>
        </w:r>
        <w:r>
          <w:rPr>
            <w:noProof/>
            <w:webHidden/>
          </w:rPr>
          <w:tab/>
        </w:r>
        <w:r>
          <w:rPr>
            <w:noProof/>
            <w:webHidden/>
          </w:rPr>
          <w:fldChar w:fldCharType="begin"/>
        </w:r>
        <w:r>
          <w:rPr>
            <w:noProof/>
            <w:webHidden/>
          </w:rPr>
          <w:instrText xml:space="preserve"> PAGEREF _Toc2776005 \h </w:instrText>
        </w:r>
        <w:r>
          <w:rPr>
            <w:noProof/>
            <w:webHidden/>
          </w:rPr>
        </w:r>
        <w:r>
          <w:rPr>
            <w:noProof/>
            <w:webHidden/>
          </w:rPr>
          <w:fldChar w:fldCharType="separate"/>
        </w:r>
        <w:r w:rsidR="003C7091">
          <w:rPr>
            <w:noProof/>
            <w:webHidden/>
          </w:rPr>
          <w:t>37</w:t>
        </w:r>
        <w:r>
          <w:rPr>
            <w:noProof/>
            <w:webHidden/>
          </w:rPr>
          <w:fldChar w:fldCharType="end"/>
        </w:r>
      </w:hyperlink>
    </w:p>
    <w:p w14:paraId="45260094" w14:textId="32F60A07" w:rsidR="00DD7487" w:rsidRDefault="00DD7487">
      <w:pPr>
        <w:pStyle w:val="TableofFigures"/>
        <w:tabs>
          <w:tab w:val="right" w:leader="dot" w:pos="9016"/>
        </w:tabs>
        <w:rPr>
          <w:rFonts w:asciiTheme="minorHAnsi" w:eastAsiaTheme="minorEastAsia" w:hAnsiTheme="minorHAnsi"/>
          <w:noProof/>
          <w:lang w:eastAsia="en-AU"/>
        </w:rPr>
      </w:pPr>
      <w:hyperlink w:anchor="_Toc2776006" w:history="1">
        <w:r w:rsidRPr="003659FF">
          <w:rPr>
            <w:rStyle w:val="Hyperlink"/>
            <w:noProof/>
          </w:rPr>
          <w:t>Figure 5: WA RFA region and forest ecosystems in 2018.</w:t>
        </w:r>
        <w:r>
          <w:rPr>
            <w:noProof/>
            <w:webHidden/>
          </w:rPr>
          <w:tab/>
        </w:r>
        <w:r>
          <w:rPr>
            <w:noProof/>
            <w:webHidden/>
          </w:rPr>
          <w:fldChar w:fldCharType="begin"/>
        </w:r>
        <w:r>
          <w:rPr>
            <w:noProof/>
            <w:webHidden/>
          </w:rPr>
          <w:instrText xml:space="preserve"> PAGEREF _Toc2776006 \h </w:instrText>
        </w:r>
        <w:r>
          <w:rPr>
            <w:noProof/>
            <w:webHidden/>
          </w:rPr>
        </w:r>
        <w:r>
          <w:rPr>
            <w:noProof/>
            <w:webHidden/>
          </w:rPr>
          <w:fldChar w:fldCharType="separate"/>
        </w:r>
        <w:r w:rsidR="003C7091">
          <w:rPr>
            <w:noProof/>
            <w:webHidden/>
          </w:rPr>
          <w:t>41</w:t>
        </w:r>
        <w:r>
          <w:rPr>
            <w:noProof/>
            <w:webHidden/>
          </w:rPr>
          <w:fldChar w:fldCharType="end"/>
        </w:r>
      </w:hyperlink>
    </w:p>
    <w:p w14:paraId="5DF10CC6" w14:textId="1C497B62" w:rsidR="00DD7487" w:rsidRDefault="00DD7487">
      <w:pPr>
        <w:pStyle w:val="TableofFigures"/>
        <w:tabs>
          <w:tab w:val="right" w:leader="dot" w:pos="9016"/>
        </w:tabs>
        <w:rPr>
          <w:rFonts w:asciiTheme="minorHAnsi" w:eastAsiaTheme="minorEastAsia" w:hAnsiTheme="minorHAnsi"/>
          <w:noProof/>
          <w:lang w:eastAsia="en-AU"/>
        </w:rPr>
      </w:pPr>
      <w:hyperlink w:anchor="_Toc2776007" w:history="1">
        <w:r w:rsidRPr="003659FF">
          <w:rPr>
            <w:rStyle w:val="Hyperlink"/>
            <w:noProof/>
          </w:rPr>
          <w:t>Figure 6: WA RFA region and native vegetation on private land in 2018.</w:t>
        </w:r>
        <w:r>
          <w:rPr>
            <w:noProof/>
            <w:webHidden/>
          </w:rPr>
          <w:tab/>
        </w:r>
        <w:r>
          <w:rPr>
            <w:noProof/>
            <w:webHidden/>
          </w:rPr>
          <w:fldChar w:fldCharType="begin"/>
        </w:r>
        <w:r>
          <w:rPr>
            <w:noProof/>
            <w:webHidden/>
          </w:rPr>
          <w:instrText xml:space="preserve"> PAGEREF _Toc2776007 \h </w:instrText>
        </w:r>
        <w:r>
          <w:rPr>
            <w:noProof/>
            <w:webHidden/>
          </w:rPr>
        </w:r>
        <w:r>
          <w:rPr>
            <w:noProof/>
            <w:webHidden/>
          </w:rPr>
          <w:fldChar w:fldCharType="separate"/>
        </w:r>
        <w:r w:rsidR="003C7091">
          <w:rPr>
            <w:noProof/>
            <w:webHidden/>
          </w:rPr>
          <w:t>43</w:t>
        </w:r>
        <w:r>
          <w:rPr>
            <w:noProof/>
            <w:webHidden/>
          </w:rPr>
          <w:fldChar w:fldCharType="end"/>
        </w:r>
      </w:hyperlink>
    </w:p>
    <w:p w14:paraId="0383EE10" w14:textId="3F5D9921" w:rsidR="00DD7487" w:rsidRDefault="00DD7487">
      <w:pPr>
        <w:pStyle w:val="TableofFigures"/>
        <w:tabs>
          <w:tab w:val="right" w:leader="dot" w:pos="9016"/>
        </w:tabs>
        <w:rPr>
          <w:rFonts w:asciiTheme="minorHAnsi" w:eastAsiaTheme="minorEastAsia" w:hAnsiTheme="minorHAnsi"/>
          <w:noProof/>
          <w:lang w:eastAsia="en-AU"/>
        </w:rPr>
      </w:pPr>
      <w:hyperlink w:anchor="_Toc2776008" w:history="1">
        <w:r w:rsidRPr="003659FF">
          <w:rPr>
            <w:rStyle w:val="Hyperlink"/>
            <w:noProof/>
          </w:rPr>
          <w:t>Figure 7: WA RFA region and wetlands in 2018</w:t>
        </w:r>
        <w:r>
          <w:rPr>
            <w:noProof/>
            <w:webHidden/>
          </w:rPr>
          <w:tab/>
        </w:r>
        <w:r>
          <w:rPr>
            <w:noProof/>
            <w:webHidden/>
          </w:rPr>
          <w:fldChar w:fldCharType="begin"/>
        </w:r>
        <w:r>
          <w:rPr>
            <w:noProof/>
            <w:webHidden/>
          </w:rPr>
          <w:instrText xml:space="preserve"> PAGEREF _Toc2776008 \h </w:instrText>
        </w:r>
        <w:r>
          <w:rPr>
            <w:noProof/>
            <w:webHidden/>
          </w:rPr>
        </w:r>
        <w:r>
          <w:rPr>
            <w:noProof/>
            <w:webHidden/>
          </w:rPr>
          <w:fldChar w:fldCharType="separate"/>
        </w:r>
        <w:r w:rsidR="003C7091">
          <w:rPr>
            <w:noProof/>
            <w:webHidden/>
          </w:rPr>
          <w:t>58</w:t>
        </w:r>
        <w:r>
          <w:rPr>
            <w:noProof/>
            <w:webHidden/>
          </w:rPr>
          <w:fldChar w:fldCharType="end"/>
        </w:r>
      </w:hyperlink>
    </w:p>
    <w:p w14:paraId="77507F07" w14:textId="134098D5" w:rsidR="00DD7487" w:rsidRDefault="00DD7487">
      <w:pPr>
        <w:pStyle w:val="TableofFigures"/>
        <w:tabs>
          <w:tab w:val="right" w:leader="dot" w:pos="9016"/>
        </w:tabs>
        <w:rPr>
          <w:rFonts w:asciiTheme="minorHAnsi" w:eastAsiaTheme="minorEastAsia" w:hAnsiTheme="minorHAnsi"/>
          <w:noProof/>
          <w:lang w:eastAsia="en-AU"/>
        </w:rPr>
      </w:pPr>
      <w:hyperlink w:anchor="_Toc2776009" w:history="1">
        <w:r w:rsidRPr="003659FF">
          <w:rPr>
            <w:rStyle w:val="Hyperlink"/>
            <w:noProof/>
          </w:rPr>
          <w:t>Figure 8: WA RFA region and Indigenous Heritage sites in 2018.</w:t>
        </w:r>
        <w:r>
          <w:rPr>
            <w:noProof/>
            <w:webHidden/>
          </w:rPr>
          <w:tab/>
        </w:r>
        <w:r>
          <w:rPr>
            <w:noProof/>
            <w:webHidden/>
          </w:rPr>
          <w:fldChar w:fldCharType="begin"/>
        </w:r>
        <w:r>
          <w:rPr>
            <w:noProof/>
            <w:webHidden/>
          </w:rPr>
          <w:instrText xml:space="preserve"> PAGEREF _Toc2776009 \h </w:instrText>
        </w:r>
        <w:r>
          <w:rPr>
            <w:noProof/>
            <w:webHidden/>
          </w:rPr>
        </w:r>
        <w:r>
          <w:rPr>
            <w:noProof/>
            <w:webHidden/>
          </w:rPr>
          <w:fldChar w:fldCharType="separate"/>
        </w:r>
        <w:r w:rsidR="003C7091">
          <w:rPr>
            <w:noProof/>
            <w:webHidden/>
          </w:rPr>
          <w:t>72</w:t>
        </w:r>
        <w:r>
          <w:rPr>
            <w:noProof/>
            <w:webHidden/>
          </w:rPr>
          <w:fldChar w:fldCharType="end"/>
        </w:r>
      </w:hyperlink>
    </w:p>
    <w:p w14:paraId="6626179E" w14:textId="51C60A36" w:rsidR="00DD7487" w:rsidRDefault="00DD7487">
      <w:pPr>
        <w:pStyle w:val="TableofFigures"/>
        <w:tabs>
          <w:tab w:val="right" w:leader="dot" w:pos="9016"/>
        </w:tabs>
        <w:rPr>
          <w:rFonts w:asciiTheme="minorHAnsi" w:eastAsiaTheme="minorEastAsia" w:hAnsiTheme="minorHAnsi"/>
          <w:noProof/>
          <w:lang w:eastAsia="en-AU"/>
        </w:rPr>
      </w:pPr>
      <w:hyperlink w:anchor="_Toc2776010" w:history="1">
        <w:r w:rsidRPr="003659FF">
          <w:rPr>
            <w:rStyle w:val="Hyperlink"/>
            <w:noProof/>
          </w:rPr>
          <w:t>Figure 9: Trend in number of native plants harvested 2000-2015 within the WA RFA area</w:t>
        </w:r>
        <w:r>
          <w:rPr>
            <w:noProof/>
            <w:webHidden/>
          </w:rPr>
          <w:tab/>
        </w:r>
        <w:r>
          <w:rPr>
            <w:noProof/>
            <w:webHidden/>
          </w:rPr>
          <w:fldChar w:fldCharType="begin"/>
        </w:r>
        <w:r>
          <w:rPr>
            <w:noProof/>
            <w:webHidden/>
          </w:rPr>
          <w:instrText xml:space="preserve"> PAGEREF _Toc2776010 \h </w:instrText>
        </w:r>
        <w:r>
          <w:rPr>
            <w:noProof/>
            <w:webHidden/>
          </w:rPr>
        </w:r>
        <w:r>
          <w:rPr>
            <w:noProof/>
            <w:webHidden/>
          </w:rPr>
          <w:fldChar w:fldCharType="separate"/>
        </w:r>
        <w:r w:rsidR="003C7091">
          <w:rPr>
            <w:noProof/>
            <w:webHidden/>
          </w:rPr>
          <w:t>89</w:t>
        </w:r>
        <w:r>
          <w:rPr>
            <w:noProof/>
            <w:webHidden/>
          </w:rPr>
          <w:fldChar w:fldCharType="end"/>
        </w:r>
      </w:hyperlink>
    </w:p>
    <w:p w14:paraId="5E64EDC6" w14:textId="6C9C49F8" w:rsidR="00DD7487" w:rsidRDefault="00DD7487">
      <w:pPr>
        <w:pStyle w:val="TableofFigures"/>
        <w:tabs>
          <w:tab w:val="right" w:leader="dot" w:pos="9016"/>
        </w:tabs>
        <w:rPr>
          <w:rFonts w:asciiTheme="minorHAnsi" w:eastAsiaTheme="minorEastAsia" w:hAnsiTheme="minorHAnsi"/>
          <w:noProof/>
          <w:lang w:eastAsia="en-AU"/>
        </w:rPr>
      </w:pPr>
      <w:hyperlink w:anchor="_Toc2776011" w:history="1">
        <w:r w:rsidRPr="003659FF">
          <w:rPr>
            <w:rStyle w:val="Hyperlink"/>
            <w:noProof/>
          </w:rPr>
          <w:t>Figure 10: Trend in the amount of seed harvested 2000-2015 from native plants within the WA RFA area.</w:t>
        </w:r>
        <w:r>
          <w:rPr>
            <w:noProof/>
            <w:webHidden/>
          </w:rPr>
          <w:tab/>
        </w:r>
        <w:r>
          <w:rPr>
            <w:noProof/>
            <w:webHidden/>
          </w:rPr>
          <w:fldChar w:fldCharType="begin"/>
        </w:r>
        <w:r>
          <w:rPr>
            <w:noProof/>
            <w:webHidden/>
          </w:rPr>
          <w:instrText xml:space="preserve"> PAGEREF _Toc2776011 \h </w:instrText>
        </w:r>
        <w:r>
          <w:rPr>
            <w:noProof/>
            <w:webHidden/>
          </w:rPr>
        </w:r>
        <w:r>
          <w:rPr>
            <w:noProof/>
            <w:webHidden/>
          </w:rPr>
          <w:fldChar w:fldCharType="separate"/>
        </w:r>
        <w:r w:rsidR="003C7091">
          <w:rPr>
            <w:noProof/>
            <w:webHidden/>
          </w:rPr>
          <w:t>89</w:t>
        </w:r>
        <w:r>
          <w:rPr>
            <w:noProof/>
            <w:webHidden/>
          </w:rPr>
          <w:fldChar w:fldCharType="end"/>
        </w:r>
      </w:hyperlink>
    </w:p>
    <w:p w14:paraId="6102BBEA" w14:textId="0A17372D" w:rsidR="00DD7487" w:rsidRDefault="00DD7487">
      <w:pPr>
        <w:pStyle w:val="TableofFigures"/>
        <w:tabs>
          <w:tab w:val="right" w:leader="dot" w:pos="9016"/>
        </w:tabs>
        <w:rPr>
          <w:rFonts w:asciiTheme="minorHAnsi" w:eastAsiaTheme="minorEastAsia" w:hAnsiTheme="minorHAnsi"/>
          <w:noProof/>
          <w:lang w:eastAsia="en-AU"/>
        </w:rPr>
      </w:pPr>
      <w:hyperlink w:anchor="_Toc2776012" w:history="1">
        <w:r w:rsidRPr="003659FF">
          <w:rPr>
            <w:rStyle w:val="Hyperlink"/>
            <w:noProof/>
          </w:rPr>
          <w:t>Figure 11: Major construction and demolition materials recyclers, timber recyclers and organic waste recyclers in the Perth metropolitan regions (WAWA 2014)</w:t>
        </w:r>
        <w:r>
          <w:rPr>
            <w:noProof/>
            <w:webHidden/>
          </w:rPr>
          <w:tab/>
        </w:r>
        <w:r>
          <w:rPr>
            <w:noProof/>
            <w:webHidden/>
          </w:rPr>
          <w:fldChar w:fldCharType="begin"/>
        </w:r>
        <w:r>
          <w:rPr>
            <w:noProof/>
            <w:webHidden/>
          </w:rPr>
          <w:instrText xml:space="preserve"> PAGEREF _Toc2776012 \h </w:instrText>
        </w:r>
        <w:r>
          <w:rPr>
            <w:noProof/>
            <w:webHidden/>
          </w:rPr>
        </w:r>
        <w:r>
          <w:rPr>
            <w:noProof/>
            <w:webHidden/>
          </w:rPr>
          <w:fldChar w:fldCharType="separate"/>
        </w:r>
        <w:r w:rsidR="003C7091">
          <w:rPr>
            <w:noProof/>
            <w:webHidden/>
          </w:rPr>
          <w:t>92</w:t>
        </w:r>
        <w:r>
          <w:rPr>
            <w:noProof/>
            <w:webHidden/>
          </w:rPr>
          <w:fldChar w:fldCharType="end"/>
        </w:r>
      </w:hyperlink>
    </w:p>
    <w:p w14:paraId="40EFEAEE" w14:textId="6D2B0892" w:rsidR="00DD7487" w:rsidRDefault="00DD7487">
      <w:pPr>
        <w:pStyle w:val="TableofFigures"/>
        <w:tabs>
          <w:tab w:val="right" w:leader="dot" w:pos="9016"/>
        </w:tabs>
        <w:rPr>
          <w:rFonts w:asciiTheme="minorHAnsi" w:eastAsiaTheme="minorEastAsia" w:hAnsiTheme="minorHAnsi"/>
          <w:noProof/>
          <w:lang w:eastAsia="en-AU"/>
        </w:rPr>
      </w:pPr>
      <w:hyperlink w:anchor="_Toc2776013" w:history="1">
        <w:r w:rsidRPr="003659FF">
          <w:rPr>
            <w:rStyle w:val="Hyperlink"/>
            <w:noProof/>
          </w:rPr>
          <w:t>Figure 12: Western Australian 2014-15 composition of recycled organics, by weight (WAWA 2016)</w:t>
        </w:r>
        <w:r>
          <w:rPr>
            <w:noProof/>
            <w:webHidden/>
          </w:rPr>
          <w:tab/>
        </w:r>
        <w:r>
          <w:rPr>
            <w:noProof/>
            <w:webHidden/>
          </w:rPr>
          <w:fldChar w:fldCharType="begin"/>
        </w:r>
        <w:r>
          <w:rPr>
            <w:noProof/>
            <w:webHidden/>
          </w:rPr>
          <w:instrText xml:space="preserve"> PAGEREF _Toc2776013 \h </w:instrText>
        </w:r>
        <w:r>
          <w:rPr>
            <w:noProof/>
            <w:webHidden/>
          </w:rPr>
        </w:r>
        <w:r>
          <w:rPr>
            <w:noProof/>
            <w:webHidden/>
          </w:rPr>
          <w:fldChar w:fldCharType="separate"/>
        </w:r>
        <w:r w:rsidR="003C7091">
          <w:rPr>
            <w:noProof/>
            <w:webHidden/>
          </w:rPr>
          <w:t>93</w:t>
        </w:r>
        <w:r>
          <w:rPr>
            <w:noProof/>
            <w:webHidden/>
          </w:rPr>
          <w:fldChar w:fldCharType="end"/>
        </w:r>
      </w:hyperlink>
    </w:p>
    <w:p w14:paraId="4F148E04" w14:textId="171E49C1" w:rsidR="00DD7487" w:rsidRDefault="00DD7487">
      <w:pPr>
        <w:pStyle w:val="TableofFigures"/>
        <w:tabs>
          <w:tab w:val="right" w:leader="dot" w:pos="9016"/>
        </w:tabs>
        <w:rPr>
          <w:rFonts w:asciiTheme="minorHAnsi" w:eastAsiaTheme="minorEastAsia" w:hAnsiTheme="minorHAnsi"/>
          <w:noProof/>
          <w:lang w:eastAsia="en-AU"/>
        </w:rPr>
      </w:pPr>
      <w:hyperlink w:anchor="_Toc2776014" w:history="1">
        <w:r w:rsidRPr="003659FF">
          <w:rPr>
            <w:rStyle w:val="Hyperlink"/>
            <w:noProof/>
          </w:rPr>
          <w:t>Figure 13: Western Australian 2014-15 composition of recycled paper and cardboard, by weight (WAWA 2016)</w:t>
        </w:r>
        <w:r>
          <w:rPr>
            <w:noProof/>
            <w:webHidden/>
          </w:rPr>
          <w:tab/>
        </w:r>
        <w:r>
          <w:rPr>
            <w:noProof/>
            <w:webHidden/>
          </w:rPr>
          <w:fldChar w:fldCharType="begin"/>
        </w:r>
        <w:r>
          <w:rPr>
            <w:noProof/>
            <w:webHidden/>
          </w:rPr>
          <w:instrText xml:space="preserve"> PAGEREF _Toc2776014 \h </w:instrText>
        </w:r>
        <w:r>
          <w:rPr>
            <w:noProof/>
            <w:webHidden/>
          </w:rPr>
        </w:r>
        <w:r>
          <w:rPr>
            <w:noProof/>
            <w:webHidden/>
          </w:rPr>
          <w:fldChar w:fldCharType="separate"/>
        </w:r>
        <w:r w:rsidR="003C7091">
          <w:rPr>
            <w:noProof/>
            <w:webHidden/>
          </w:rPr>
          <w:t>94</w:t>
        </w:r>
        <w:r>
          <w:rPr>
            <w:noProof/>
            <w:webHidden/>
          </w:rPr>
          <w:fldChar w:fldCharType="end"/>
        </w:r>
      </w:hyperlink>
    </w:p>
    <w:p w14:paraId="62991C52" w14:textId="2274106A" w:rsidR="00DD7487" w:rsidRDefault="00DD7487">
      <w:pPr>
        <w:pStyle w:val="TableofFigures"/>
        <w:tabs>
          <w:tab w:val="right" w:leader="dot" w:pos="9016"/>
        </w:tabs>
        <w:rPr>
          <w:rFonts w:asciiTheme="minorHAnsi" w:eastAsiaTheme="minorEastAsia" w:hAnsiTheme="minorHAnsi"/>
          <w:noProof/>
          <w:lang w:eastAsia="en-AU"/>
        </w:rPr>
      </w:pPr>
      <w:hyperlink w:anchor="_Toc2776015" w:history="1">
        <w:r w:rsidRPr="003659FF">
          <w:rPr>
            <w:rStyle w:val="Hyperlink"/>
            <w:noProof/>
          </w:rPr>
          <w:t>Figure 14: Recreational visitation to WA RFA recreation areas, 2008-2018</w:t>
        </w:r>
        <w:r>
          <w:rPr>
            <w:noProof/>
            <w:webHidden/>
          </w:rPr>
          <w:tab/>
        </w:r>
        <w:r>
          <w:rPr>
            <w:noProof/>
            <w:webHidden/>
          </w:rPr>
          <w:fldChar w:fldCharType="begin"/>
        </w:r>
        <w:r>
          <w:rPr>
            <w:noProof/>
            <w:webHidden/>
          </w:rPr>
          <w:instrText xml:space="preserve"> PAGEREF _Toc2776015 \h </w:instrText>
        </w:r>
        <w:r>
          <w:rPr>
            <w:noProof/>
            <w:webHidden/>
          </w:rPr>
        </w:r>
        <w:r>
          <w:rPr>
            <w:noProof/>
            <w:webHidden/>
          </w:rPr>
          <w:fldChar w:fldCharType="separate"/>
        </w:r>
        <w:r w:rsidR="003C7091">
          <w:rPr>
            <w:noProof/>
            <w:webHidden/>
          </w:rPr>
          <w:t>105</w:t>
        </w:r>
        <w:r>
          <w:rPr>
            <w:noProof/>
            <w:webHidden/>
          </w:rPr>
          <w:fldChar w:fldCharType="end"/>
        </w:r>
      </w:hyperlink>
    </w:p>
    <w:p w14:paraId="26E07312" w14:textId="63328B02" w:rsidR="00DD7487" w:rsidRDefault="00DD7487">
      <w:pPr>
        <w:pStyle w:val="TableofFigures"/>
        <w:tabs>
          <w:tab w:val="right" w:leader="dot" w:pos="9016"/>
        </w:tabs>
        <w:rPr>
          <w:rFonts w:asciiTheme="minorHAnsi" w:eastAsiaTheme="minorEastAsia" w:hAnsiTheme="minorHAnsi"/>
          <w:noProof/>
          <w:lang w:eastAsia="en-AU"/>
        </w:rPr>
      </w:pPr>
      <w:hyperlink w:anchor="_Toc2776016" w:history="1">
        <w:r w:rsidRPr="003659FF">
          <w:rPr>
            <w:rStyle w:val="Hyperlink"/>
            <w:noProof/>
          </w:rPr>
          <w:t>Figure 15: Average visitor satisfaction in WA RFA recreation areas 2013-2018</w:t>
        </w:r>
        <w:r>
          <w:rPr>
            <w:noProof/>
            <w:webHidden/>
          </w:rPr>
          <w:tab/>
        </w:r>
        <w:r>
          <w:rPr>
            <w:noProof/>
            <w:webHidden/>
          </w:rPr>
          <w:fldChar w:fldCharType="begin"/>
        </w:r>
        <w:r>
          <w:rPr>
            <w:noProof/>
            <w:webHidden/>
          </w:rPr>
          <w:instrText xml:space="preserve"> PAGEREF _Toc2776016 \h </w:instrText>
        </w:r>
        <w:r>
          <w:rPr>
            <w:noProof/>
            <w:webHidden/>
          </w:rPr>
        </w:r>
        <w:r>
          <w:rPr>
            <w:noProof/>
            <w:webHidden/>
          </w:rPr>
          <w:fldChar w:fldCharType="separate"/>
        </w:r>
        <w:r w:rsidR="003C7091">
          <w:rPr>
            <w:noProof/>
            <w:webHidden/>
          </w:rPr>
          <w:t>106</w:t>
        </w:r>
        <w:r>
          <w:rPr>
            <w:noProof/>
            <w:webHidden/>
          </w:rPr>
          <w:fldChar w:fldCharType="end"/>
        </w:r>
      </w:hyperlink>
    </w:p>
    <w:p w14:paraId="0BAB47FE" w14:textId="4CE985AE" w:rsidR="00DD7487" w:rsidRDefault="00DD7487">
      <w:pPr>
        <w:pStyle w:val="TableofFigures"/>
        <w:tabs>
          <w:tab w:val="right" w:leader="dot" w:pos="9016"/>
        </w:tabs>
        <w:rPr>
          <w:rFonts w:asciiTheme="minorHAnsi" w:eastAsiaTheme="minorEastAsia" w:hAnsiTheme="minorHAnsi"/>
          <w:noProof/>
          <w:lang w:eastAsia="en-AU"/>
        </w:rPr>
      </w:pPr>
      <w:hyperlink w:anchor="_Toc2776017" w:history="1">
        <w:r w:rsidRPr="003659FF">
          <w:rPr>
            <w:rStyle w:val="Hyperlink"/>
            <w:noProof/>
          </w:rPr>
          <w:t>Figure 16: Number of recreation facilities 2014-2018</w:t>
        </w:r>
        <w:r>
          <w:rPr>
            <w:noProof/>
            <w:webHidden/>
          </w:rPr>
          <w:tab/>
        </w:r>
        <w:r>
          <w:rPr>
            <w:noProof/>
            <w:webHidden/>
          </w:rPr>
          <w:fldChar w:fldCharType="begin"/>
        </w:r>
        <w:r>
          <w:rPr>
            <w:noProof/>
            <w:webHidden/>
          </w:rPr>
          <w:instrText xml:space="preserve"> PAGEREF _Toc2776017 \h </w:instrText>
        </w:r>
        <w:r>
          <w:rPr>
            <w:noProof/>
            <w:webHidden/>
          </w:rPr>
        </w:r>
        <w:r>
          <w:rPr>
            <w:noProof/>
            <w:webHidden/>
          </w:rPr>
          <w:fldChar w:fldCharType="separate"/>
        </w:r>
        <w:r w:rsidR="003C7091">
          <w:rPr>
            <w:noProof/>
            <w:webHidden/>
          </w:rPr>
          <w:t>106</w:t>
        </w:r>
        <w:r>
          <w:rPr>
            <w:noProof/>
            <w:webHidden/>
          </w:rPr>
          <w:fldChar w:fldCharType="end"/>
        </w:r>
      </w:hyperlink>
    </w:p>
    <w:p w14:paraId="44F59591" w14:textId="46D1148A" w:rsidR="00DD7487" w:rsidRDefault="00DD7487">
      <w:pPr>
        <w:pStyle w:val="TableofFigures"/>
        <w:tabs>
          <w:tab w:val="right" w:leader="dot" w:pos="9016"/>
        </w:tabs>
        <w:rPr>
          <w:rFonts w:asciiTheme="minorHAnsi" w:eastAsiaTheme="minorEastAsia" w:hAnsiTheme="minorHAnsi"/>
          <w:noProof/>
          <w:lang w:eastAsia="en-AU"/>
        </w:rPr>
      </w:pPr>
      <w:hyperlink w:anchor="_Toc2776018" w:history="1">
        <w:r w:rsidRPr="003659FF">
          <w:rPr>
            <w:rStyle w:val="Hyperlink"/>
            <w:noProof/>
          </w:rPr>
          <w:t>Figure 17: Number of recreation site types 2014-2018</w:t>
        </w:r>
        <w:r>
          <w:rPr>
            <w:noProof/>
            <w:webHidden/>
          </w:rPr>
          <w:tab/>
        </w:r>
        <w:r>
          <w:rPr>
            <w:noProof/>
            <w:webHidden/>
          </w:rPr>
          <w:fldChar w:fldCharType="begin"/>
        </w:r>
        <w:r>
          <w:rPr>
            <w:noProof/>
            <w:webHidden/>
          </w:rPr>
          <w:instrText xml:space="preserve"> PAGEREF _Toc2776018 \h </w:instrText>
        </w:r>
        <w:r>
          <w:rPr>
            <w:noProof/>
            <w:webHidden/>
          </w:rPr>
        </w:r>
        <w:r>
          <w:rPr>
            <w:noProof/>
            <w:webHidden/>
          </w:rPr>
          <w:fldChar w:fldCharType="separate"/>
        </w:r>
        <w:r w:rsidR="003C7091">
          <w:rPr>
            <w:noProof/>
            <w:webHidden/>
          </w:rPr>
          <w:t>107</w:t>
        </w:r>
        <w:r>
          <w:rPr>
            <w:noProof/>
            <w:webHidden/>
          </w:rPr>
          <w:fldChar w:fldCharType="end"/>
        </w:r>
      </w:hyperlink>
    </w:p>
    <w:p w14:paraId="1C77C1A8" w14:textId="51628C1F" w:rsidR="00DD7487" w:rsidRDefault="00DD7487">
      <w:pPr>
        <w:pStyle w:val="TableofFigures"/>
        <w:tabs>
          <w:tab w:val="right" w:leader="dot" w:pos="9016"/>
        </w:tabs>
        <w:rPr>
          <w:rFonts w:asciiTheme="minorHAnsi" w:eastAsiaTheme="minorEastAsia" w:hAnsiTheme="minorHAnsi"/>
          <w:noProof/>
          <w:lang w:eastAsia="en-AU"/>
        </w:rPr>
      </w:pPr>
      <w:hyperlink w:anchor="_Toc2776019" w:history="1">
        <w:r w:rsidRPr="003659FF">
          <w:rPr>
            <w:rStyle w:val="Hyperlink"/>
            <w:noProof/>
          </w:rPr>
          <w:t>Figure 18: Number of sites with a range of recreational activities 2014-2018</w:t>
        </w:r>
        <w:r>
          <w:rPr>
            <w:noProof/>
            <w:webHidden/>
          </w:rPr>
          <w:tab/>
        </w:r>
        <w:r>
          <w:rPr>
            <w:noProof/>
            <w:webHidden/>
          </w:rPr>
          <w:fldChar w:fldCharType="begin"/>
        </w:r>
        <w:r>
          <w:rPr>
            <w:noProof/>
            <w:webHidden/>
          </w:rPr>
          <w:instrText xml:space="preserve"> PAGEREF _Toc2776019 \h </w:instrText>
        </w:r>
        <w:r>
          <w:rPr>
            <w:noProof/>
            <w:webHidden/>
          </w:rPr>
        </w:r>
        <w:r>
          <w:rPr>
            <w:noProof/>
            <w:webHidden/>
          </w:rPr>
          <w:fldChar w:fldCharType="separate"/>
        </w:r>
        <w:r w:rsidR="003C7091">
          <w:rPr>
            <w:noProof/>
            <w:webHidden/>
          </w:rPr>
          <w:t>108</w:t>
        </w:r>
        <w:r>
          <w:rPr>
            <w:noProof/>
            <w:webHidden/>
          </w:rPr>
          <w:fldChar w:fldCharType="end"/>
        </w:r>
      </w:hyperlink>
    </w:p>
    <w:p w14:paraId="26ABC6AD" w14:textId="77777777" w:rsidR="006C04BF" w:rsidRDefault="006C04BF" w:rsidP="0016380E">
      <w:pPr>
        <w:pStyle w:val="Heading2"/>
        <w:rPr>
          <w:b w:val="0"/>
          <w:noProof/>
          <w:color w:val="3A4C62"/>
          <w:sz w:val="22"/>
          <w:szCs w:val="22"/>
        </w:rPr>
      </w:pPr>
      <w:r>
        <w:rPr>
          <w:b w:val="0"/>
          <w:noProof/>
          <w:color w:val="3A4C62"/>
          <w:sz w:val="22"/>
          <w:szCs w:val="22"/>
        </w:rPr>
        <w:fldChar w:fldCharType="end"/>
      </w:r>
    </w:p>
    <w:p w14:paraId="26ABC6AE" w14:textId="77777777" w:rsidR="006C04BF" w:rsidRDefault="006C04BF">
      <w:pPr>
        <w:spacing w:before="0" w:after="480" w:line="276" w:lineRule="auto"/>
        <w:rPr>
          <w:rFonts w:cs="Segoe UI"/>
          <w:noProof/>
          <w:color w:val="3A4C62"/>
        </w:rPr>
      </w:pPr>
      <w:r>
        <w:rPr>
          <w:b/>
          <w:noProof/>
          <w:color w:val="3A4C62"/>
        </w:rPr>
        <w:br w:type="page"/>
      </w:r>
    </w:p>
    <w:p w14:paraId="26ABC6AF" w14:textId="77777777" w:rsidR="006C04BF" w:rsidRDefault="006C04BF" w:rsidP="0016380E">
      <w:pPr>
        <w:pStyle w:val="Heading2"/>
        <w:rPr>
          <w:b w:val="0"/>
          <w:noProof/>
          <w:color w:val="3A4C62"/>
          <w:sz w:val="22"/>
          <w:szCs w:val="22"/>
        </w:rPr>
      </w:pPr>
      <w:bookmarkStart w:id="3" w:name="_Toc2776021"/>
      <w:r>
        <w:rPr>
          <w:b w:val="0"/>
          <w:noProof/>
          <w:color w:val="3A4C62"/>
          <w:sz w:val="22"/>
          <w:szCs w:val="22"/>
        </w:rPr>
        <w:lastRenderedPageBreak/>
        <w:t>List of Tables</w:t>
      </w:r>
      <w:bookmarkEnd w:id="3"/>
    </w:p>
    <w:p w14:paraId="26ABC6B0" w14:textId="25B11E3B" w:rsidR="00785DD4" w:rsidRDefault="006C04BF">
      <w:pPr>
        <w:pStyle w:val="TableofFigures"/>
        <w:tabs>
          <w:tab w:val="right" w:leader="dot" w:pos="9016"/>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531002162" w:history="1">
        <w:r w:rsidR="00785DD4" w:rsidRPr="00E65A86">
          <w:rPr>
            <w:rStyle w:val="Hyperlink"/>
            <w:noProof/>
          </w:rPr>
          <w:t>Table 1: Comparison of</w:t>
        </w:r>
        <w:r w:rsidR="00785DD4" w:rsidRPr="00E65A86">
          <w:rPr>
            <w:rStyle w:val="Hyperlink"/>
            <w:rFonts w:cs="Segoe UI"/>
            <w:b/>
            <w:noProof/>
          </w:rPr>
          <w:t xml:space="preserve"> </w:t>
        </w:r>
        <w:r w:rsidR="00785DD4" w:rsidRPr="00E65A86">
          <w:rPr>
            <w:rStyle w:val="Hyperlink"/>
            <w:rFonts w:cs="Segoe UI"/>
            <w:noProof/>
          </w:rPr>
          <w:t>Montréal Process Criteria with the principles of ESFM as described in the background of the WA FMP and section 19(2) of the CALM Act.</w:t>
        </w:r>
        <w:r w:rsidR="00785DD4">
          <w:rPr>
            <w:noProof/>
            <w:webHidden/>
          </w:rPr>
          <w:tab/>
        </w:r>
        <w:r w:rsidR="00785DD4">
          <w:rPr>
            <w:noProof/>
            <w:webHidden/>
          </w:rPr>
          <w:fldChar w:fldCharType="begin"/>
        </w:r>
        <w:r w:rsidR="00785DD4">
          <w:rPr>
            <w:noProof/>
            <w:webHidden/>
          </w:rPr>
          <w:instrText xml:space="preserve"> PAGEREF _Toc531002162 \h </w:instrText>
        </w:r>
        <w:r w:rsidR="00785DD4">
          <w:rPr>
            <w:noProof/>
            <w:webHidden/>
          </w:rPr>
        </w:r>
        <w:r w:rsidR="00785DD4">
          <w:rPr>
            <w:noProof/>
            <w:webHidden/>
          </w:rPr>
          <w:fldChar w:fldCharType="separate"/>
        </w:r>
        <w:r w:rsidR="003C7091">
          <w:rPr>
            <w:noProof/>
            <w:webHidden/>
          </w:rPr>
          <w:t>17</w:t>
        </w:r>
        <w:r w:rsidR="00785DD4">
          <w:rPr>
            <w:noProof/>
            <w:webHidden/>
          </w:rPr>
          <w:fldChar w:fldCharType="end"/>
        </w:r>
      </w:hyperlink>
    </w:p>
    <w:p w14:paraId="26ABC6B1" w14:textId="64366F7A" w:rsidR="00785DD4" w:rsidRDefault="009873FB">
      <w:pPr>
        <w:pStyle w:val="TableofFigures"/>
        <w:tabs>
          <w:tab w:val="right" w:leader="dot" w:pos="9016"/>
        </w:tabs>
        <w:rPr>
          <w:rFonts w:asciiTheme="minorHAnsi" w:eastAsiaTheme="minorEastAsia" w:hAnsiTheme="minorHAnsi"/>
          <w:noProof/>
          <w:lang w:eastAsia="en-AU"/>
        </w:rPr>
      </w:pPr>
      <w:hyperlink w:anchor="_Toc531002163" w:history="1">
        <w:r w:rsidR="00785DD4" w:rsidRPr="00E65A86">
          <w:rPr>
            <w:rStyle w:val="Hyperlink"/>
            <w:noProof/>
          </w:rPr>
          <w:t>Table 2: Reservation levels of old-growth forest in CAR reserves and other informal reserves on public land from 1999 to 2018.</w:t>
        </w:r>
        <w:r w:rsidR="00785DD4">
          <w:rPr>
            <w:noProof/>
            <w:webHidden/>
          </w:rPr>
          <w:tab/>
        </w:r>
        <w:r w:rsidR="00785DD4">
          <w:rPr>
            <w:noProof/>
            <w:webHidden/>
          </w:rPr>
          <w:fldChar w:fldCharType="begin"/>
        </w:r>
        <w:r w:rsidR="00785DD4">
          <w:rPr>
            <w:noProof/>
            <w:webHidden/>
          </w:rPr>
          <w:instrText xml:space="preserve"> PAGEREF _Toc531002163 \h </w:instrText>
        </w:r>
        <w:r w:rsidR="00785DD4">
          <w:rPr>
            <w:noProof/>
            <w:webHidden/>
          </w:rPr>
        </w:r>
        <w:r w:rsidR="00785DD4">
          <w:rPr>
            <w:noProof/>
            <w:webHidden/>
          </w:rPr>
          <w:fldChar w:fldCharType="separate"/>
        </w:r>
        <w:r w:rsidR="003C7091">
          <w:rPr>
            <w:noProof/>
            <w:webHidden/>
          </w:rPr>
          <w:t>23</w:t>
        </w:r>
        <w:r w:rsidR="00785DD4">
          <w:rPr>
            <w:noProof/>
            <w:webHidden/>
          </w:rPr>
          <w:fldChar w:fldCharType="end"/>
        </w:r>
      </w:hyperlink>
    </w:p>
    <w:p w14:paraId="26ABC6B2" w14:textId="444F555E" w:rsidR="00785DD4" w:rsidRDefault="009873FB">
      <w:pPr>
        <w:pStyle w:val="TableofFigures"/>
        <w:tabs>
          <w:tab w:val="right" w:leader="dot" w:pos="9016"/>
        </w:tabs>
        <w:rPr>
          <w:rFonts w:asciiTheme="minorHAnsi" w:eastAsiaTheme="minorEastAsia" w:hAnsiTheme="minorHAnsi"/>
          <w:noProof/>
          <w:lang w:eastAsia="en-AU"/>
        </w:rPr>
      </w:pPr>
      <w:hyperlink w:anchor="_Toc531002164" w:history="1">
        <w:r w:rsidR="00785DD4" w:rsidRPr="00E65A86">
          <w:rPr>
            <w:rStyle w:val="Hyperlink"/>
            <w:noProof/>
          </w:rPr>
          <w:t>Table 3: Reservation levels of wilderness values in the CAR Reserve System from 1999 to 2018.</w:t>
        </w:r>
        <w:r w:rsidR="00785DD4">
          <w:rPr>
            <w:noProof/>
            <w:webHidden/>
          </w:rPr>
          <w:tab/>
        </w:r>
        <w:r w:rsidR="00785DD4">
          <w:rPr>
            <w:noProof/>
            <w:webHidden/>
          </w:rPr>
          <w:fldChar w:fldCharType="begin"/>
        </w:r>
        <w:r w:rsidR="00785DD4">
          <w:rPr>
            <w:noProof/>
            <w:webHidden/>
          </w:rPr>
          <w:instrText xml:space="preserve"> PAGEREF _Toc531002164 \h </w:instrText>
        </w:r>
        <w:r w:rsidR="00785DD4">
          <w:rPr>
            <w:noProof/>
            <w:webHidden/>
          </w:rPr>
        </w:r>
        <w:r w:rsidR="00785DD4">
          <w:rPr>
            <w:noProof/>
            <w:webHidden/>
          </w:rPr>
          <w:fldChar w:fldCharType="separate"/>
        </w:r>
        <w:r w:rsidR="003C7091">
          <w:rPr>
            <w:noProof/>
            <w:webHidden/>
          </w:rPr>
          <w:t>25</w:t>
        </w:r>
        <w:r w:rsidR="00785DD4">
          <w:rPr>
            <w:noProof/>
            <w:webHidden/>
          </w:rPr>
          <w:fldChar w:fldCharType="end"/>
        </w:r>
      </w:hyperlink>
    </w:p>
    <w:p w14:paraId="26ABC6B3" w14:textId="136EE0DA" w:rsidR="00785DD4" w:rsidRDefault="009873FB">
      <w:pPr>
        <w:pStyle w:val="TableofFigures"/>
        <w:tabs>
          <w:tab w:val="right" w:leader="dot" w:pos="9016"/>
        </w:tabs>
        <w:rPr>
          <w:rFonts w:asciiTheme="minorHAnsi" w:eastAsiaTheme="minorEastAsia" w:hAnsiTheme="minorHAnsi"/>
          <w:noProof/>
          <w:lang w:eastAsia="en-AU"/>
        </w:rPr>
      </w:pPr>
      <w:hyperlink w:anchor="_Toc531002165" w:history="1">
        <w:r w:rsidR="00785DD4" w:rsidRPr="00E65A86">
          <w:rPr>
            <w:rStyle w:val="Hyperlink"/>
            <w:noProof/>
          </w:rPr>
          <w:t>Table 4: Number of Threatened Ecological Communities listed under the EPBC Act in the WA RFA region.</w:t>
        </w:r>
        <w:r w:rsidR="00785DD4">
          <w:rPr>
            <w:noProof/>
            <w:webHidden/>
          </w:rPr>
          <w:tab/>
        </w:r>
        <w:r w:rsidR="00785DD4">
          <w:rPr>
            <w:noProof/>
            <w:webHidden/>
          </w:rPr>
          <w:fldChar w:fldCharType="begin"/>
        </w:r>
        <w:r w:rsidR="00785DD4">
          <w:rPr>
            <w:noProof/>
            <w:webHidden/>
          </w:rPr>
          <w:instrText xml:space="preserve"> PAGEREF _Toc531002165 \h </w:instrText>
        </w:r>
        <w:r w:rsidR="00785DD4">
          <w:rPr>
            <w:noProof/>
            <w:webHidden/>
          </w:rPr>
        </w:r>
        <w:r w:rsidR="00785DD4">
          <w:rPr>
            <w:noProof/>
            <w:webHidden/>
          </w:rPr>
          <w:fldChar w:fldCharType="separate"/>
        </w:r>
        <w:r w:rsidR="003C7091">
          <w:rPr>
            <w:noProof/>
            <w:webHidden/>
          </w:rPr>
          <w:t>32</w:t>
        </w:r>
        <w:r w:rsidR="00785DD4">
          <w:rPr>
            <w:noProof/>
            <w:webHidden/>
          </w:rPr>
          <w:fldChar w:fldCharType="end"/>
        </w:r>
      </w:hyperlink>
    </w:p>
    <w:p w14:paraId="26ABC6B4" w14:textId="746DF95E" w:rsidR="00785DD4" w:rsidRDefault="009873FB">
      <w:pPr>
        <w:pStyle w:val="TableofFigures"/>
        <w:tabs>
          <w:tab w:val="right" w:leader="dot" w:pos="9016"/>
        </w:tabs>
        <w:rPr>
          <w:rFonts w:asciiTheme="minorHAnsi" w:eastAsiaTheme="minorEastAsia" w:hAnsiTheme="minorHAnsi"/>
          <w:noProof/>
          <w:lang w:eastAsia="en-AU"/>
        </w:rPr>
      </w:pPr>
      <w:hyperlink w:anchor="_Toc531002166" w:history="1">
        <w:r w:rsidR="00785DD4" w:rsidRPr="00E65A86">
          <w:rPr>
            <w:rStyle w:val="Hyperlink"/>
            <w:noProof/>
          </w:rPr>
          <w:t>Table 5: EPBC listed key threatening processes potentially affecting threatened species in WA RFA region</w:t>
        </w:r>
        <w:r w:rsidR="00785DD4">
          <w:rPr>
            <w:noProof/>
            <w:webHidden/>
          </w:rPr>
          <w:tab/>
        </w:r>
        <w:r w:rsidR="00785DD4">
          <w:rPr>
            <w:noProof/>
            <w:webHidden/>
          </w:rPr>
          <w:fldChar w:fldCharType="begin"/>
        </w:r>
        <w:r w:rsidR="00785DD4">
          <w:rPr>
            <w:noProof/>
            <w:webHidden/>
          </w:rPr>
          <w:instrText xml:space="preserve"> PAGEREF _Toc531002166 \h </w:instrText>
        </w:r>
        <w:r w:rsidR="00785DD4">
          <w:rPr>
            <w:noProof/>
            <w:webHidden/>
          </w:rPr>
        </w:r>
        <w:r w:rsidR="00785DD4">
          <w:rPr>
            <w:noProof/>
            <w:webHidden/>
          </w:rPr>
          <w:fldChar w:fldCharType="separate"/>
        </w:r>
        <w:r w:rsidR="003C7091">
          <w:rPr>
            <w:noProof/>
            <w:webHidden/>
          </w:rPr>
          <w:t>33</w:t>
        </w:r>
        <w:r w:rsidR="00785DD4">
          <w:rPr>
            <w:noProof/>
            <w:webHidden/>
          </w:rPr>
          <w:fldChar w:fldCharType="end"/>
        </w:r>
      </w:hyperlink>
    </w:p>
    <w:p w14:paraId="26ABC6B5" w14:textId="5B76EC9C" w:rsidR="00785DD4" w:rsidRDefault="009873FB">
      <w:pPr>
        <w:pStyle w:val="TableofFigures"/>
        <w:tabs>
          <w:tab w:val="right" w:leader="dot" w:pos="9016"/>
        </w:tabs>
        <w:rPr>
          <w:rFonts w:asciiTheme="minorHAnsi" w:eastAsiaTheme="minorEastAsia" w:hAnsiTheme="minorHAnsi"/>
          <w:noProof/>
          <w:lang w:eastAsia="en-AU"/>
        </w:rPr>
      </w:pPr>
      <w:hyperlink w:anchor="_Toc531002167" w:history="1">
        <w:r w:rsidR="00785DD4" w:rsidRPr="00E65A86">
          <w:rPr>
            <w:rStyle w:val="Hyperlink"/>
            <w:noProof/>
          </w:rPr>
          <w:t>Table 6: WA National Heritage List places</w:t>
        </w:r>
        <w:r w:rsidR="00785DD4">
          <w:rPr>
            <w:noProof/>
            <w:webHidden/>
          </w:rPr>
          <w:tab/>
        </w:r>
        <w:r w:rsidR="00785DD4">
          <w:rPr>
            <w:noProof/>
            <w:webHidden/>
          </w:rPr>
          <w:fldChar w:fldCharType="begin"/>
        </w:r>
        <w:r w:rsidR="00785DD4">
          <w:rPr>
            <w:noProof/>
            <w:webHidden/>
          </w:rPr>
          <w:instrText xml:space="preserve"> PAGEREF _Toc531002167 \h </w:instrText>
        </w:r>
        <w:r w:rsidR="00785DD4">
          <w:rPr>
            <w:noProof/>
            <w:webHidden/>
          </w:rPr>
        </w:r>
        <w:r w:rsidR="00785DD4">
          <w:rPr>
            <w:noProof/>
            <w:webHidden/>
          </w:rPr>
          <w:fldChar w:fldCharType="separate"/>
        </w:r>
        <w:r w:rsidR="003C7091">
          <w:rPr>
            <w:noProof/>
            <w:webHidden/>
          </w:rPr>
          <w:t>38</w:t>
        </w:r>
        <w:r w:rsidR="00785DD4">
          <w:rPr>
            <w:noProof/>
            <w:webHidden/>
          </w:rPr>
          <w:fldChar w:fldCharType="end"/>
        </w:r>
      </w:hyperlink>
    </w:p>
    <w:p w14:paraId="26ABC6B6" w14:textId="0BF34990" w:rsidR="00785DD4" w:rsidRDefault="009873FB">
      <w:pPr>
        <w:pStyle w:val="TableofFigures"/>
        <w:tabs>
          <w:tab w:val="right" w:leader="dot" w:pos="9016"/>
        </w:tabs>
        <w:rPr>
          <w:rFonts w:asciiTheme="minorHAnsi" w:eastAsiaTheme="minorEastAsia" w:hAnsiTheme="minorHAnsi"/>
          <w:noProof/>
          <w:lang w:eastAsia="en-AU"/>
        </w:rPr>
      </w:pPr>
      <w:hyperlink w:anchor="_Toc531002168" w:history="1">
        <w:r w:rsidR="00785DD4" w:rsidRPr="00E65A86">
          <w:rPr>
            <w:rStyle w:val="Hyperlink"/>
            <w:noProof/>
          </w:rPr>
          <w:t>Table 7: WA Commonwealth Heritage List places</w:t>
        </w:r>
        <w:r w:rsidR="00785DD4">
          <w:rPr>
            <w:noProof/>
            <w:webHidden/>
          </w:rPr>
          <w:tab/>
        </w:r>
        <w:r w:rsidR="00785DD4">
          <w:rPr>
            <w:noProof/>
            <w:webHidden/>
          </w:rPr>
          <w:fldChar w:fldCharType="begin"/>
        </w:r>
        <w:r w:rsidR="00785DD4">
          <w:rPr>
            <w:noProof/>
            <w:webHidden/>
          </w:rPr>
          <w:instrText xml:space="preserve"> PAGEREF _Toc531002168 \h </w:instrText>
        </w:r>
        <w:r w:rsidR="00785DD4">
          <w:rPr>
            <w:noProof/>
            <w:webHidden/>
          </w:rPr>
        </w:r>
        <w:r w:rsidR="00785DD4">
          <w:rPr>
            <w:noProof/>
            <w:webHidden/>
          </w:rPr>
          <w:fldChar w:fldCharType="separate"/>
        </w:r>
        <w:r w:rsidR="003C7091">
          <w:rPr>
            <w:noProof/>
            <w:webHidden/>
          </w:rPr>
          <w:t>38</w:t>
        </w:r>
        <w:r w:rsidR="00785DD4">
          <w:rPr>
            <w:noProof/>
            <w:webHidden/>
          </w:rPr>
          <w:fldChar w:fldCharType="end"/>
        </w:r>
      </w:hyperlink>
    </w:p>
    <w:p w14:paraId="26ABC6B7" w14:textId="03237248" w:rsidR="00785DD4" w:rsidRDefault="009873FB">
      <w:pPr>
        <w:pStyle w:val="TableofFigures"/>
        <w:tabs>
          <w:tab w:val="right" w:leader="dot" w:pos="9016"/>
        </w:tabs>
        <w:rPr>
          <w:rFonts w:asciiTheme="minorHAnsi" w:eastAsiaTheme="minorEastAsia" w:hAnsiTheme="minorHAnsi"/>
          <w:noProof/>
          <w:lang w:eastAsia="en-AU"/>
        </w:rPr>
      </w:pPr>
      <w:hyperlink w:anchor="_Toc531002169" w:history="1">
        <w:r w:rsidR="00785DD4" w:rsidRPr="00E65A86">
          <w:rPr>
            <w:rStyle w:val="Hyperlink"/>
            <w:noProof/>
          </w:rPr>
          <w:t>Table 8: Forest ecosystem area, by tenure in the WA RFA region</w:t>
        </w:r>
        <w:r w:rsidR="00785DD4">
          <w:rPr>
            <w:noProof/>
            <w:webHidden/>
          </w:rPr>
          <w:tab/>
        </w:r>
        <w:r w:rsidR="00785DD4">
          <w:rPr>
            <w:noProof/>
            <w:webHidden/>
          </w:rPr>
          <w:fldChar w:fldCharType="begin"/>
        </w:r>
        <w:r w:rsidR="00785DD4">
          <w:rPr>
            <w:noProof/>
            <w:webHidden/>
          </w:rPr>
          <w:instrText xml:space="preserve"> PAGEREF _Toc531002169 \h </w:instrText>
        </w:r>
        <w:r w:rsidR="00785DD4">
          <w:rPr>
            <w:noProof/>
            <w:webHidden/>
          </w:rPr>
        </w:r>
        <w:r w:rsidR="00785DD4">
          <w:rPr>
            <w:noProof/>
            <w:webHidden/>
          </w:rPr>
          <w:fldChar w:fldCharType="separate"/>
        </w:r>
        <w:r w:rsidR="003C7091">
          <w:rPr>
            <w:noProof/>
            <w:webHidden/>
          </w:rPr>
          <w:t>42</w:t>
        </w:r>
        <w:r w:rsidR="00785DD4">
          <w:rPr>
            <w:noProof/>
            <w:webHidden/>
          </w:rPr>
          <w:fldChar w:fldCharType="end"/>
        </w:r>
      </w:hyperlink>
    </w:p>
    <w:p w14:paraId="26ABC6B8" w14:textId="2133ECC4" w:rsidR="00785DD4" w:rsidRDefault="009873FB">
      <w:pPr>
        <w:pStyle w:val="TableofFigures"/>
        <w:tabs>
          <w:tab w:val="right" w:leader="dot" w:pos="9016"/>
        </w:tabs>
        <w:rPr>
          <w:rFonts w:asciiTheme="minorHAnsi" w:eastAsiaTheme="minorEastAsia" w:hAnsiTheme="minorHAnsi"/>
          <w:noProof/>
          <w:lang w:eastAsia="en-AU"/>
        </w:rPr>
      </w:pPr>
      <w:hyperlink w:anchor="_Toc531002170" w:history="1">
        <w:r w:rsidR="00785DD4" w:rsidRPr="00E65A86">
          <w:rPr>
            <w:rStyle w:val="Hyperlink"/>
            <w:noProof/>
          </w:rPr>
          <w:t>Table 9: Forest ecosystems within the WA RFA region and the changes in area in the CAR reserve system over time</w:t>
        </w:r>
        <w:r w:rsidR="00785DD4">
          <w:rPr>
            <w:noProof/>
            <w:webHidden/>
          </w:rPr>
          <w:tab/>
        </w:r>
        <w:r w:rsidR="00785DD4">
          <w:rPr>
            <w:noProof/>
            <w:webHidden/>
          </w:rPr>
          <w:fldChar w:fldCharType="begin"/>
        </w:r>
        <w:r w:rsidR="00785DD4">
          <w:rPr>
            <w:noProof/>
            <w:webHidden/>
          </w:rPr>
          <w:instrText xml:space="preserve"> PAGEREF _Toc531002170 \h </w:instrText>
        </w:r>
        <w:r w:rsidR="00785DD4">
          <w:rPr>
            <w:noProof/>
            <w:webHidden/>
          </w:rPr>
        </w:r>
        <w:r w:rsidR="00785DD4">
          <w:rPr>
            <w:noProof/>
            <w:webHidden/>
          </w:rPr>
          <w:fldChar w:fldCharType="separate"/>
        </w:r>
        <w:r w:rsidR="003C7091">
          <w:rPr>
            <w:noProof/>
            <w:webHidden/>
          </w:rPr>
          <w:t>45</w:t>
        </w:r>
        <w:r w:rsidR="00785DD4">
          <w:rPr>
            <w:noProof/>
            <w:webHidden/>
          </w:rPr>
          <w:fldChar w:fldCharType="end"/>
        </w:r>
      </w:hyperlink>
    </w:p>
    <w:p w14:paraId="26ABC6B9" w14:textId="3706BFBE" w:rsidR="00785DD4" w:rsidRDefault="009873FB">
      <w:pPr>
        <w:pStyle w:val="TableofFigures"/>
        <w:tabs>
          <w:tab w:val="right" w:leader="dot" w:pos="9016"/>
        </w:tabs>
        <w:rPr>
          <w:rFonts w:asciiTheme="minorHAnsi" w:eastAsiaTheme="minorEastAsia" w:hAnsiTheme="minorHAnsi"/>
          <w:noProof/>
          <w:lang w:eastAsia="en-AU"/>
        </w:rPr>
      </w:pPr>
      <w:hyperlink w:anchor="_Toc531002171" w:history="1">
        <w:r w:rsidR="00785DD4" w:rsidRPr="00E65A86">
          <w:rPr>
            <w:rStyle w:val="Hyperlink"/>
            <w:noProof/>
          </w:rPr>
          <w:t>Table 10: Number of forest-dwelling vertebrate species</w:t>
        </w:r>
        <w:r w:rsidR="00785DD4" w:rsidRPr="00E65A86">
          <w:rPr>
            <w:rStyle w:val="Hyperlink"/>
            <w:rFonts w:cs="Segoe UI"/>
            <w:b/>
            <w:noProof/>
            <w:vertAlign w:val="superscript"/>
            <w:lang w:eastAsia="en-AU"/>
          </w:rPr>
          <w:t>1</w:t>
        </w:r>
        <w:r w:rsidR="00785DD4">
          <w:rPr>
            <w:noProof/>
            <w:webHidden/>
          </w:rPr>
          <w:tab/>
        </w:r>
        <w:r w:rsidR="00785DD4">
          <w:rPr>
            <w:noProof/>
            <w:webHidden/>
          </w:rPr>
          <w:fldChar w:fldCharType="begin"/>
        </w:r>
        <w:r w:rsidR="00785DD4">
          <w:rPr>
            <w:noProof/>
            <w:webHidden/>
          </w:rPr>
          <w:instrText xml:space="preserve"> PAGEREF _Toc531002171 \h </w:instrText>
        </w:r>
        <w:r w:rsidR="00785DD4">
          <w:rPr>
            <w:noProof/>
            <w:webHidden/>
          </w:rPr>
        </w:r>
        <w:r w:rsidR="00785DD4">
          <w:rPr>
            <w:noProof/>
            <w:webHidden/>
          </w:rPr>
          <w:fldChar w:fldCharType="separate"/>
        </w:r>
        <w:r w:rsidR="003C7091">
          <w:rPr>
            <w:noProof/>
            <w:webHidden/>
          </w:rPr>
          <w:t>47</w:t>
        </w:r>
        <w:r w:rsidR="00785DD4">
          <w:rPr>
            <w:noProof/>
            <w:webHidden/>
          </w:rPr>
          <w:fldChar w:fldCharType="end"/>
        </w:r>
      </w:hyperlink>
    </w:p>
    <w:p w14:paraId="26ABC6BA" w14:textId="4B8092E6" w:rsidR="00785DD4" w:rsidRDefault="009873FB">
      <w:pPr>
        <w:pStyle w:val="TableofFigures"/>
        <w:tabs>
          <w:tab w:val="right" w:leader="dot" w:pos="9016"/>
        </w:tabs>
        <w:rPr>
          <w:rFonts w:asciiTheme="minorHAnsi" w:eastAsiaTheme="minorEastAsia" w:hAnsiTheme="minorHAnsi"/>
          <w:noProof/>
          <w:lang w:eastAsia="en-AU"/>
        </w:rPr>
      </w:pPr>
      <w:hyperlink w:anchor="_Toc531002172" w:history="1">
        <w:r w:rsidR="00785DD4" w:rsidRPr="00E65A86">
          <w:rPr>
            <w:rStyle w:val="Hyperlink"/>
            <w:noProof/>
          </w:rPr>
          <w:t>Table 11: Number of forest-dwelling vertebrate species, by year</w:t>
        </w:r>
        <w:r w:rsidR="00785DD4">
          <w:rPr>
            <w:noProof/>
            <w:webHidden/>
          </w:rPr>
          <w:tab/>
        </w:r>
        <w:r w:rsidR="00785DD4">
          <w:rPr>
            <w:noProof/>
            <w:webHidden/>
          </w:rPr>
          <w:fldChar w:fldCharType="begin"/>
        </w:r>
        <w:r w:rsidR="00785DD4">
          <w:rPr>
            <w:noProof/>
            <w:webHidden/>
          </w:rPr>
          <w:instrText xml:space="preserve"> PAGEREF _Toc531002172 \h </w:instrText>
        </w:r>
        <w:r w:rsidR="00785DD4">
          <w:rPr>
            <w:noProof/>
            <w:webHidden/>
          </w:rPr>
        </w:r>
        <w:r w:rsidR="00785DD4">
          <w:rPr>
            <w:noProof/>
            <w:webHidden/>
          </w:rPr>
          <w:fldChar w:fldCharType="separate"/>
        </w:r>
        <w:r w:rsidR="003C7091">
          <w:rPr>
            <w:noProof/>
            <w:webHidden/>
          </w:rPr>
          <w:t>47</w:t>
        </w:r>
        <w:r w:rsidR="00785DD4">
          <w:rPr>
            <w:noProof/>
            <w:webHidden/>
          </w:rPr>
          <w:fldChar w:fldCharType="end"/>
        </w:r>
      </w:hyperlink>
    </w:p>
    <w:p w14:paraId="26ABC6BB" w14:textId="20C1BDE1" w:rsidR="00785DD4" w:rsidRDefault="009873FB">
      <w:pPr>
        <w:pStyle w:val="TableofFigures"/>
        <w:tabs>
          <w:tab w:val="right" w:leader="dot" w:pos="9016"/>
        </w:tabs>
        <w:rPr>
          <w:rFonts w:asciiTheme="minorHAnsi" w:eastAsiaTheme="minorEastAsia" w:hAnsiTheme="minorHAnsi"/>
          <w:noProof/>
          <w:lang w:eastAsia="en-AU"/>
        </w:rPr>
      </w:pPr>
      <w:hyperlink w:anchor="_Toc531002173" w:history="1">
        <w:r w:rsidR="00785DD4" w:rsidRPr="00E65A86">
          <w:rPr>
            <w:rStyle w:val="Hyperlink"/>
            <w:noProof/>
          </w:rPr>
          <w:t>Table 12: Number of forest-dependent vertebrate species, by jurisdiction, 2011</w:t>
        </w:r>
        <w:r w:rsidR="00785DD4" w:rsidRPr="00E65A86">
          <w:rPr>
            <w:rStyle w:val="Hyperlink"/>
            <w:rFonts w:cs="Segoe UI"/>
            <w:b/>
            <w:noProof/>
            <w:vertAlign w:val="superscript"/>
            <w:lang w:eastAsia="en-AU"/>
          </w:rPr>
          <w:t>1</w:t>
        </w:r>
        <w:r w:rsidR="00785DD4">
          <w:rPr>
            <w:noProof/>
            <w:webHidden/>
          </w:rPr>
          <w:tab/>
        </w:r>
        <w:r w:rsidR="00785DD4">
          <w:rPr>
            <w:noProof/>
            <w:webHidden/>
          </w:rPr>
          <w:fldChar w:fldCharType="begin"/>
        </w:r>
        <w:r w:rsidR="00785DD4">
          <w:rPr>
            <w:noProof/>
            <w:webHidden/>
          </w:rPr>
          <w:instrText xml:space="preserve"> PAGEREF _Toc531002173 \h </w:instrText>
        </w:r>
        <w:r w:rsidR="00785DD4">
          <w:rPr>
            <w:noProof/>
            <w:webHidden/>
          </w:rPr>
        </w:r>
        <w:r w:rsidR="00785DD4">
          <w:rPr>
            <w:noProof/>
            <w:webHidden/>
          </w:rPr>
          <w:fldChar w:fldCharType="separate"/>
        </w:r>
        <w:r w:rsidR="003C7091">
          <w:rPr>
            <w:noProof/>
            <w:webHidden/>
          </w:rPr>
          <w:t>48</w:t>
        </w:r>
        <w:r w:rsidR="00785DD4">
          <w:rPr>
            <w:noProof/>
            <w:webHidden/>
          </w:rPr>
          <w:fldChar w:fldCharType="end"/>
        </w:r>
      </w:hyperlink>
    </w:p>
    <w:p w14:paraId="26ABC6BC" w14:textId="2288B302" w:rsidR="00785DD4" w:rsidRDefault="009873FB">
      <w:pPr>
        <w:pStyle w:val="TableofFigures"/>
        <w:tabs>
          <w:tab w:val="right" w:leader="dot" w:pos="9016"/>
        </w:tabs>
        <w:rPr>
          <w:rFonts w:asciiTheme="minorHAnsi" w:eastAsiaTheme="minorEastAsia" w:hAnsiTheme="minorHAnsi"/>
          <w:noProof/>
          <w:lang w:eastAsia="en-AU"/>
        </w:rPr>
      </w:pPr>
      <w:hyperlink w:anchor="_Toc531002174" w:history="1">
        <w:r w:rsidR="00785DD4" w:rsidRPr="00E65A86">
          <w:rPr>
            <w:rStyle w:val="Hyperlink"/>
            <w:noProof/>
          </w:rPr>
          <w:t>Table 13: Number of forest-dwelling vascular plant species, by jurisdiction</w:t>
        </w:r>
        <w:r w:rsidR="00785DD4">
          <w:rPr>
            <w:noProof/>
            <w:webHidden/>
          </w:rPr>
          <w:tab/>
        </w:r>
        <w:r w:rsidR="00785DD4">
          <w:rPr>
            <w:noProof/>
            <w:webHidden/>
          </w:rPr>
          <w:fldChar w:fldCharType="begin"/>
        </w:r>
        <w:r w:rsidR="00785DD4">
          <w:rPr>
            <w:noProof/>
            <w:webHidden/>
          </w:rPr>
          <w:instrText xml:space="preserve"> PAGEREF _Toc531002174 \h </w:instrText>
        </w:r>
        <w:r w:rsidR="00785DD4">
          <w:rPr>
            <w:noProof/>
            <w:webHidden/>
          </w:rPr>
        </w:r>
        <w:r w:rsidR="00785DD4">
          <w:rPr>
            <w:noProof/>
            <w:webHidden/>
          </w:rPr>
          <w:fldChar w:fldCharType="separate"/>
        </w:r>
        <w:r w:rsidR="003C7091">
          <w:rPr>
            <w:noProof/>
            <w:webHidden/>
          </w:rPr>
          <w:t>48</w:t>
        </w:r>
        <w:r w:rsidR="00785DD4">
          <w:rPr>
            <w:noProof/>
            <w:webHidden/>
          </w:rPr>
          <w:fldChar w:fldCharType="end"/>
        </w:r>
      </w:hyperlink>
    </w:p>
    <w:p w14:paraId="26ABC6BD" w14:textId="75E129AF" w:rsidR="00785DD4" w:rsidRDefault="009873FB">
      <w:pPr>
        <w:pStyle w:val="TableofFigures"/>
        <w:tabs>
          <w:tab w:val="right" w:leader="dot" w:pos="9016"/>
        </w:tabs>
        <w:rPr>
          <w:rFonts w:asciiTheme="minorHAnsi" w:eastAsiaTheme="minorEastAsia" w:hAnsiTheme="minorHAnsi"/>
          <w:noProof/>
          <w:lang w:eastAsia="en-AU"/>
        </w:rPr>
      </w:pPr>
      <w:hyperlink w:anchor="_Toc531002175" w:history="1">
        <w:r w:rsidR="00785DD4" w:rsidRPr="00E65A86">
          <w:rPr>
            <w:rStyle w:val="Hyperlink"/>
            <w:noProof/>
          </w:rPr>
          <w:t>Table 14: Taxonomic groups for which representative species are monitored in the WA RFA region</w:t>
        </w:r>
        <w:r w:rsidR="00785DD4">
          <w:rPr>
            <w:noProof/>
            <w:webHidden/>
          </w:rPr>
          <w:tab/>
        </w:r>
        <w:r w:rsidR="00785DD4">
          <w:rPr>
            <w:noProof/>
            <w:webHidden/>
          </w:rPr>
          <w:fldChar w:fldCharType="begin"/>
        </w:r>
        <w:r w:rsidR="00785DD4">
          <w:rPr>
            <w:noProof/>
            <w:webHidden/>
          </w:rPr>
          <w:instrText xml:space="preserve"> PAGEREF _Toc531002175 \h </w:instrText>
        </w:r>
        <w:r w:rsidR="00785DD4">
          <w:rPr>
            <w:noProof/>
            <w:webHidden/>
          </w:rPr>
        </w:r>
        <w:r w:rsidR="00785DD4">
          <w:rPr>
            <w:noProof/>
            <w:webHidden/>
          </w:rPr>
          <w:fldChar w:fldCharType="separate"/>
        </w:r>
        <w:r w:rsidR="003C7091">
          <w:rPr>
            <w:noProof/>
            <w:webHidden/>
          </w:rPr>
          <w:t>50</w:t>
        </w:r>
        <w:r w:rsidR="00785DD4">
          <w:rPr>
            <w:noProof/>
            <w:webHidden/>
          </w:rPr>
          <w:fldChar w:fldCharType="end"/>
        </w:r>
      </w:hyperlink>
    </w:p>
    <w:p w14:paraId="26ABC6BE" w14:textId="2BF13E67" w:rsidR="00785DD4" w:rsidRDefault="009873FB">
      <w:pPr>
        <w:pStyle w:val="TableofFigures"/>
        <w:tabs>
          <w:tab w:val="right" w:leader="dot" w:pos="9016"/>
        </w:tabs>
        <w:rPr>
          <w:rFonts w:asciiTheme="minorHAnsi" w:eastAsiaTheme="minorEastAsia" w:hAnsiTheme="minorHAnsi"/>
          <w:noProof/>
          <w:lang w:eastAsia="en-AU"/>
        </w:rPr>
      </w:pPr>
      <w:hyperlink w:anchor="_Toc531002176" w:history="1">
        <w:r w:rsidR="00785DD4" w:rsidRPr="00E65A86">
          <w:rPr>
            <w:rStyle w:val="Hyperlink"/>
            <w:noProof/>
          </w:rPr>
          <w:t>Table 15: Ramsar Wetlands of International Importance in the WA RFA region</w:t>
        </w:r>
        <w:r w:rsidR="00785DD4">
          <w:rPr>
            <w:noProof/>
            <w:webHidden/>
          </w:rPr>
          <w:tab/>
        </w:r>
        <w:r w:rsidR="00785DD4">
          <w:rPr>
            <w:noProof/>
            <w:webHidden/>
          </w:rPr>
          <w:fldChar w:fldCharType="begin"/>
        </w:r>
        <w:r w:rsidR="00785DD4">
          <w:rPr>
            <w:noProof/>
            <w:webHidden/>
          </w:rPr>
          <w:instrText xml:space="preserve"> PAGEREF _Toc531002176 \h </w:instrText>
        </w:r>
        <w:r w:rsidR="00785DD4">
          <w:rPr>
            <w:noProof/>
            <w:webHidden/>
          </w:rPr>
        </w:r>
        <w:r w:rsidR="00785DD4">
          <w:rPr>
            <w:noProof/>
            <w:webHidden/>
          </w:rPr>
          <w:fldChar w:fldCharType="separate"/>
        </w:r>
        <w:r w:rsidR="003C7091">
          <w:rPr>
            <w:noProof/>
            <w:webHidden/>
          </w:rPr>
          <w:t>53</w:t>
        </w:r>
        <w:r w:rsidR="00785DD4">
          <w:rPr>
            <w:noProof/>
            <w:webHidden/>
          </w:rPr>
          <w:fldChar w:fldCharType="end"/>
        </w:r>
      </w:hyperlink>
    </w:p>
    <w:p w14:paraId="26ABC6BF" w14:textId="0185E9A1" w:rsidR="00785DD4" w:rsidRDefault="009873FB">
      <w:pPr>
        <w:pStyle w:val="TableofFigures"/>
        <w:tabs>
          <w:tab w:val="right" w:leader="dot" w:pos="9016"/>
        </w:tabs>
        <w:rPr>
          <w:rFonts w:asciiTheme="minorHAnsi" w:eastAsiaTheme="minorEastAsia" w:hAnsiTheme="minorHAnsi"/>
          <w:noProof/>
          <w:lang w:eastAsia="en-AU"/>
        </w:rPr>
      </w:pPr>
      <w:hyperlink w:anchor="_Toc531002177" w:history="1">
        <w:r w:rsidR="00785DD4" w:rsidRPr="00E65A86">
          <w:rPr>
            <w:rStyle w:val="Hyperlink"/>
            <w:noProof/>
          </w:rPr>
          <w:t>Table 16: Details of candidate Ramsar wetlands within the WA RFA region</w:t>
        </w:r>
        <w:r w:rsidR="00785DD4">
          <w:rPr>
            <w:noProof/>
            <w:webHidden/>
          </w:rPr>
          <w:tab/>
        </w:r>
        <w:r w:rsidR="00785DD4">
          <w:rPr>
            <w:noProof/>
            <w:webHidden/>
          </w:rPr>
          <w:fldChar w:fldCharType="begin"/>
        </w:r>
        <w:r w:rsidR="00785DD4">
          <w:rPr>
            <w:noProof/>
            <w:webHidden/>
          </w:rPr>
          <w:instrText xml:space="preserve"> PAGEREF _Toc531002177 \h </w:instrText>
        </w:r>
        <w:r w:rsidR="00785DD4">
          <w:rPr>
            <w:noProof/>
            <w:webHidden/>
          </w:rPr>
        </w:r>
        <w:r w:rsidR="00785DD4">
          <w:rPr>
            <w:noProof/>
            <w:webHidden/>
          </w:rPr>
          <w:fldChar w:fldCharType="separate"/>
        </w:r>
        <w:r w:rsidR="003C7091">
          <w:rPr>
            <w:noProof/>
            <w:webHidden/>
          </w:rPr>
          <w:t>54</w:t>
        </w:r>
        <w:r w:rsidR="00785DD4">
          <w:rPr>
            <w:noProof/>
            <w:webHidden/>
          </w:rPr>
          <w:fldChar w:fldCharType="end"/>
        </w:r>
      </w:hyperlink>
    </w:p>
    <w:p w14:paraId="26ABC6C0" w14:textId="573DF42F" w:rsidR="00785DD4" w:rsidRDefault="009873FB">
      <w:pPr>
        <w:pStyle w:val="TableofFigures"/>
        <w:tabs>
          <w:tab w:val="right" w:leader="dot" w:pos="9016"/>
        </w:tabs>
        <w:rPr>
          <w:rFonts w:asciiTheme="minorHAnsi" w:eastAsiaTheme="minorEastAsia" w:hAnsiTheme="minorHAnsi"/>
          <w:noProof/>
          <w:lang w:eastAsia="en-AU"/>
        </w:rPr>
      </w:pPr>
      <w:hyperlink w:anchor="_Toc531002178" w:history="1">
        <w:r w:rsidR="00785DD4" w:rsidRPr="00E65A86">
          <w:rPr>
            <w:rStyle w:val="Hyperlink"/>
            <w:noProof/>
          </w:rPr>
          <w:t>Table 17: Details of Directory of Important Wetlands in Australia within the WA RFA region</w:t>
        </w:r>
        <w:r w:rsidR="00785DD4">
          <w:rPr>
            <w:noProof/>
            <w:webHidden/>
          </w:rPr>
          <w:tab/>
        </w:r>
        <w:r w:rsidR="00785DD4">
          <w:rPr>
            <w:noProof/>
            <w:webHidden/>
          </w:rPr>
          <w:fldChar w:fldCharType="begin"/>
        </w:r>
        <w:r w:rsidR="00785DD4">
          <w:rPr>
            <w:noProof/>
            <w:webHidden/>
          </w:rPr>
          <w:instrText xml:space="preserve"> PAGEREF _Toc531002178 \h </w:instrText>
        </w:r>
        <w:r w:rsidR="00785DD4">
          <w:rPr>
            <w:noProof/>
            <w:webHidden/>
          </w:rPr>
        </w:r>
        <w:r w:rsidR="00785DD4">
          <w:rPr>
            <w:noProof/>
            <w:webHidden/>
          </w:rPr>
          <w:fldChar w:fldCharType="separate"/>
        </w:r>
        <w:r w:rsidR="003C7091">
          <w:rPr>
            <w:noProof/>
            <w:webHidden/>
          </w:rPr>
          <w:t>56</w:t>
        </w:r>
        <w:r w:rsidR="00785DD4">
          <w:rPr>
            <w:noProof/>
            <w:webHidden/>
          </w:rPr>
          <w:fldChar w:fldCharType="end"/>
        </w:r>
      </w:hyperlink>
    </w:p>
    <w:p w14:paraId="26ABC6C1" w14:textId="2FFFE413" w:rsidR="00785DD4" w:rsidRDefault="009873FB">
      <w:pPr>
        <w:pStyle w:val="TableofFigures"/>
        <w:tabs>
          <w:tab w:val="right" w:leader="dot" w:pos="9016"/>
        </w:tabs>
        <w:rPr>
          <w:rFonts w:asciiTheme="minorHAnsi" w:eastAsiaTheme="minorEastAsia" w:hAnsiTheme="minorHAnsi"/>
          <w:noProof/>
          <w:lang w:eastAsia="en-AU"/>
        </w:rPr>
      </w:pPr>
      <w:hyperlink w:anchor="_Toc531002179" w:history="1">
        <w:r w:rsidR="00785DD4" w:rsidRPr="00E65A86">
          <w:rPr>
            <w:rStyle w:val="Hyperlink"/>
            <w:noProof/>
          </w:rPr>
          <w:t>Table 18: Categories of Indigenous land</w:t>
        </w:r>
        <w:r w:rsidR="00785DD4">
          <w:rPr>
            <w:noProof/>
            <w:webHidden/>
          </w:rPr>
          <w:tab/>
        </w:r>
        <w:r w:rsidR="00785DD4">
          <w:rPr>
            <w:noProof/>
            <w:webHidden/>
          </w:rPr>
          <w:fldChar w:fldCharType="begin"/>
        </w:r>
        <w:r w:rsidR="00785DD4">
          <w:rPr>
            <w:noProof/>
            <w:webHidden/>
          </w:rPr>
          <w:instrText xml:space="preserve"> PAGEREF _Toc531002179 \h </w:instrText>
        </w:r>
        <w:r w:rsidR="00785DD4">
          <w:rPr>
            <w:noProof/>
            <w:webHidden/>
          </w:rPr>
        </w:r>
        <w:r w:rsidR="00785DD4">
          <w:rPr>
            <w:noProof/>
            <w:webHidden/>
          </w:rPr>
          <w:fldChar w:fldCharType="separate"/>
        </w:r>
        <w:r w:rsidR="003C7091">
          <w:rPr>
            <w:noProof/>
            <w:webHidden/>
          </w:rPr>
          <w:t>68</w:t>
        </w:r>
        <w:r w:rsidR="00785DD4">
          <w:rPr>
            <w:noProof/>
            <w:webHidden/>
          </w:rPr>
          <w:fldChar w:fldCharType="end"/>
        </w:r>
      </w:hyperlink>
    </w:p>
    <w:p w14:paraId="26ABC6C2" w14:textId="7C6CEE59" w:rsidR="00785DD4" w:rsidRDefault="009873FB">
      <w:pPr>
        <w:pStyle w:val="TableofFigures"/>
        <w:tabs>
          <w:tab w:val="right" w:leader="dot" w:pos="9016"/>
        </w:tabs>
        <w:rPr>
          <w:rFonts w:asciiTheme="minorHAnsi" w:eastAsiaTheme="minorEastAsia" w:hAnsiTheme="minorHAnsi"/>
          <w:noProof/>
          <w:lang w:eastAsia="en-AU"/>
        </w:rPr>
      </w:pPr>
      <w:hyperlink w:anchor="_Toc531002180" w:history="1">
        <w:r w:rsidR="00785DD4" w:rsidRPr="00E65A86">
          <w:rPr>
            <w:rStyle w:val="Hyperlink"/>
            <w:noProof/>
          </w:rPr>
          <w:t>Table 19: Net area of State forest and timber reserves available for wood production within the WA RFA region at each of the RFA reporting periods.</w:t>
        </w:r>
        <w:r w:rsidR="00785DD4">
          <w:rPr>
            <w:noProof/>
            <w:webHidden/>
          </w:rPr>
          <w:tab/>
        </w:r>
        <w:r w:rsidR="00785DD4">
          <w:rPr>
            <w:noProof/>
            <w:webHidden/>
          </w:rPr>
          <w:fldChar w:fldCharType="begin"/>
        </w:r>
        <w:r w:rsidR="00785DD4">
          <w:rPr>
            <w:noProof/>
            <w:webHidden/>
          </w:rPr>
          <w:instrText xml:space="preserve"> PAGEREF _Toc531002180 \h </w:instrText>
        </w:r>
        <w:r w:rsidR="00785DD4">
          <w:rPr>
            <w:noProof/>
            <w:webHidden/>
          </w:rPr>
        </w:r>
        <w:r w:rsidR="00785DD4">
          <w:rPr>
            <w:noProof/>
            <w:webHidden/>
          </w:rPr>
          <w:fldChar w:fldCharType="separate"/>
        </w:r>
        <w:r w:rsidR="003C7091">
          <w:rPr>
            <w:noProof/>
            <w:webHidden/>
          </w:rPr>
          <w:t>78</w:t>
        </w:r>
        <w:r w:rsidR="00785DD4">
          <w:rPr>
            <w:noProof/>
            <w:webHidden/>
          </w:rPr>
          <w:fldChar w:fldCharType="end"/>
        </w:r>
      </w:hyperlink>
    </w:p>
    <w:p w14:paraId="26ABC6C3" w14:textId="08385D9C" w:rsidR="00785DD4" w:rsidRDefault="009873FB">
      <w:pPr>
        <w:pStyle w:val="TableofFigures"/>
        <w:tabs>
          <w:tab w:val="right" w:leader="dot" w:pos="9016"/>
        </w:tabs>
        <w:rPr>
          <w:rFonts w:asciiTheme="minorHAnsi" w:eastAsiaTheme="minorEastAsia" w:hAnsiTheme="minorHAnsi"/>
          <w:noProof/>
          <w:lang w:eastAsia="en-AU"/>
        </w:rPr>
      </w:pPr>
      <w:hyperlink w:anchor="_Toc531002181" w:history="1">
        <w:r w:rsidR="00785DD4" w:rsidRPr="00E65A86">
          <w:rPr>
            <w:rStyle w:val="Hyperlink"/>
            <w:noProof/>
          </w:rPr>
          <w:t>Table 20: Native forest average annual area harvested within the WA RFA region at each of the reporting periods.</w:t>
        </w:r>
        <w:r w:rsidR="00785DD4">
          <w:rPr>
            <w:noProof/>
            <w:webHidden/>
          </w:rPr>
          <w:tab/>
        </w:r>
        <w:r w:rsidR="00785DD4">
          <w:rPr>
            <w:noProof/>
            <w:webHidden/>
          </w:rPr>
          <w:fldChar w:fldCharType="begin"/>
        </w:r>
        <w:r w:rsidR="00785DD4">
          <w:rPr>
            <w:noProof/>
            <w:webHidden/>
          </w:rPr>
          <w:instrText xml:space="preserve"> PAGEREF _Toc531002181 \h </w:instrText>
        </w:r>
        <w:r w:rsidR="00785DD4">
          <w:rPr>
            <w:noProof/>
            <w:webHidden/>
          </w:rPr>
        </w:r>
        <w:r w:rsidR="00785DD4">
          <w:rPr>
            <w:noProof/>
            <w:webHidden/>
          </w:rPr>
          <w:fldChar w:fldCharType="separate"/>
        </w:r>
        <w:r w:rsidR="003C7091">
          <w:rPr>
            <w:noProof/>
            <w:webHidden/>
          </w:rPr>
          <w:t>78</w:t>
        </w:r>
        <w:r w:rsidR="00785DD4">
          <w:rPr>
            <w:noProof/>
            <w:webHidden/>
          </w:rPr>
          <w:fldChar w:fldCharType="end"/>
        </w:r>
      </w:hyperlink>
    </w:p>
    <w:p w14:paraId="26ABC6C4" w14:textId="48C76D2E" w:rsidR="00785DD4" w:rsidRDefault="009873FB">
      <w:pPr>
        <w:pStyle w:val="TableofFigures"/>
        <w:tabs>
          <w:tab w:val="right" w:leader="dot" w:pos="9016"/>
        </w:tabs>
        <w:rPr>
          <w:rFonts w:asciiTheme="minorHAnsi" w:eastAsiaTheme="minorEastAsia" w:hAnsiTheme="minorHAnsi"/>
          <w:noProof/>
          <w:lang w:eastAsia="en-AU"/>
        </w:rPr>
      </w:pPr>
      <w:hyperlink w:anchor="_Toc531002182" w:history="1">
        <w:r w:rsidR="00785DD4" w:rsidRPr="00E65A86">
          <w:rPr>
            <w:rStyle w:val="Hyperlink"/>
            <w:noProof/>
          </w:rPr>
          <w:t>Table 21: Plantation areas within the WA RFA region owned or managed by the Forest Products Commission from 1999 to 2018</w:t>
        </w:r>
        <w:r w:rsidR="00785DD4">
          <w:rPr>
            <w:noProof/>
            <w:webHidden/>
          </w:rPr>
          <w:tab/>
        </w:r>
        <w:r w:rsidR="00785DD4">
          <w:rPr>
            <w:noProof/>
            <w:webHidden/>
          </w:rPr>
          <w:fldChar w:fldCharType="begin"/>
        </w:r>
        <w:r w:rsidR="00785DD4">
          <w:rPr>
            <w:noProof/>
            <w:webHidden/>
          </w:rPr>
          <w:instrText xml:space="preserve"> PAGEREF _Toc531002182 \h </w:instrText>
        </w:r>
        <w:r w:rsidR="00785DD4">
          <w:rPr>
            <w:noProof/>
            <w:webHidden/>
          </w:rPr>
        </w:r>
        <w:r w:rsidR="00785DD4">
          <w:rPr>
            <w:noProof/>
            <w:webHidden/>
          </w:rPr>
          <w:fldChar w:fldCharType="separate"/>
        </w:r>
        <w:r w:rsidR="003C7091">
          <w:rPr>
            <w:noProof/>
            <w:webHidden/>
          </w:rPr>
          <w:t>80</w:t>
        </w:r>
        <w:r w:rsidR="00785DD4">
          <w:rPr>
            <w:noProof/>
            <w:webHidden/>
          </w:rPr>
          <w:fldChar w:fldCharType="end"/>
        </w:r>
      </w:hyperlink>
    </w:p>
    <w:p w14:paraId="26ABC6C5" w14:textId="12840E6A" w:rsidR="00785DD4" w:rsidRDefault="009873FB">
      <w:pPr>
        <w:pStyle w:val="TableofFigures"/>
        <w:tabs>
          <w:tab w:val="right" w:leader="dot" w:pos="9016"/>
        </w:tabs>
        <w:rPr>
          <w:rFonts w:asciiTheme="minorHAnsi" w:eastAsiaTheme="minorEastAsia" w:hAnsiTheme="minorHAnsi"/>
          <w:noProof/>
          <w:lang w:eastAsia="en-AU"/>
        </w:rPr>
      </w:pPr>
      <w:hyperlink w:anchor="_Toc531002183" w:history="1">
        <w:r w:rsidR="00785DD4" w:rsidRPr="00E65A86">
          <w:rPr>
            <w:rStyle w:val="Hyperlink"/>
            <w:noProof/>
          </w:rPr>
          <w:t>Table 22: Annual sustained yield and volume removed from public native forests in WA</w:t>
        </w:r>
        <w:r w:rsidR="00785DD4">
          <w:rPr>
            <w:noProof/>
            <w:webHidden/>
          </w:rPr>
          <w:tab/>
        </w:r>
        <w:r w:rsidR="00785DD4">
          <w:rPr>
            <w:noProof/>
            <w:webHidden/>
          </w:rPr>
          <w:fldChar w:fldCharType="begin"/>
        </w:r>
        <w:r w:rsidR="00785DD4">
          <w:rPr>
            <w:noProof/>
            <w:webHidden/>
          </w:rPr>
          <w:instrText xml:space="preserve"> PAGEREF _Toc531002183 \h </w:instrText>
        </w:r>
        <w:r w:rsidR="00785DD4">
          <w:rPr>
            <w:noProof/>
            <w:webHidden/>
          </w:rPr>
        </w:r>
        <w:r w:rsidR="00785DD4">
          <w:rPr>
            <w:noProof/>
            <w:webHidden/>
          </w:rPr>
          <w:fldChar w:fldCharType="separate"/>
        </w:r>
        <w:r w:rsidR="003C7091">
          <w:rPr>
            <w:noProof/>
            <w:webHidden/>
          </w:rPr>
          <w:t>81</w:t>
        </w:r>
        <w:r w:rsidR="00785DD4">
          <w:rPr>
            <w:noProof/>
            <w:webHidden/>
          </w:rPr>
          <w:fldChar w:fldCharType="end"/>
        </w:r>
      </w:hyperlink>
    </w:p>
    <w:p w14:paraId="26ABC6C6" w14:textId="2F1ED88B" w:rsidR="00785DD4" w:rsidRDefault="009873FB">
      <w:pPr>
        <w:pStyle w:val="TableofFigures"/>
        <w:tabs>
          <w:tab w:val="right" w:leader="dot" w:pos="9016"/>
        </w:tabs>
        <w:rPr>
          <w:rFonts w:asciiTheme="minorHAnsi" w:eastAsiaTheme="minorEastAsia" w:hAnsiTheme="minorHAnsi"/>
          <w:noProof/>
          <w:lang w:eastAsia="en-AU"/>
        </w:rPr>
      </w:pPr>
      <w:hyperlink w:anchor="_Toc531002184" w:history="1">
        <w:r w:rsidR="00785DD4" w:rsidRPr="00E65A86">
          <w:rPr>
            <w:rStyle w:val="Hyperlink"/>
            <w:noProof/>
          </w:rPr>
          <w:t>Table 23: Annual demand and supply of sawlog volumes from WA plantations owned or managed by the Forest Products Commission for the past five years (Source, FPC, 2017)</w:t>
        </w:r>
        <w:r w:rsidR="00785DD4">
          <w:rPr>
            <w:noProof/>
            <w:webHidden/>
          </w:rPr>
          <w:tab/>
        </w:r>
        <w:r w:rsidR="00785DD4">
          <w:rPr>
            <w:noProof/>
            <w:webHidden/>
          </w:rPr>
          <w:fldChar w:fldCharType="begin"/>
        </w:r>
        <w:r w:rsidR="00785DD4">
          <w:rPr>
            <w:noProof/>
            <w:webHidden/>
          </w:rPr>
          <w:instrText xml:space="preserve"> PAGEREF _Toc531002184 \h </w:instrText>
        </w:r>
        <w:r w:rsidR="00785DD4">
          <w:rPr>
            <w:noProof/>
            <w:webHidden/>
          </w:rPr>
        </w:r>
        <w:r w:rsidR="00785DD4">
          <w:rPr>
            <w:noProof/>
            <w:webHidden/>
          </w:rPr>
          <w:fldChar w:fldCharType="separate"/>
        </w:r>
        <w:r w:rsidR="003C7091">
          <w:rPr>
            <w:noProof/>
            <w:webHidden/>
          </w:rPr>
          <w:t>82</w:t>
        </w:r>
        <w:r w:rsidR="00785DD4">
          <w:rPr>
            <w:noProof/>
            <w:webHidden/>
          </w:rPr>
          <w:fldChar w:fldCharType="end"/>
        </w:r>
      </w:hyperlink>
    </w:p>
    <w:p w14:paraId="26ABC6C7" w14:textId="62D982EA" w:rsidR="00785DD4" w:rsidRDefault="009873FB">
      <w:pPr>
        <w:pStyle w:val="TableofFigures"/>
        <w:tabs>
          <w:tab w:val="right" w:leader="dot" w:pos="9016"/>
        </w:tabs>
        <w:rPr>
          <w:rFonts w:asciiTheme="minorHAnsi" w:eastAsiaTheme="minorEastAsia" w:hAnsiTheme="minorHAnsi"/>
          <w:noProof/>
          <w:lang w:eastAsia="en-AU"/>
        </w:rPr>
      </w:pPr>
      <w:hyperlink w:anchor="_Toc531002185" w:history="1">
        <w:r w:rsidR="00785DD4" w:rsidRPr="00E65A86">
          <w:rPr>
            <w:rStyle w:val="Hyperlink"/>
            <w:noProof/>
          </w:rPr>
          <w:t>Table 24: Number of registered beekeepers in Western Australia (Source, DPIRD)</w:t>
        </w:r>
        <w:r w:rsidR="00785DD4">
          <w:rPr>
            <w:noProof/>
            <w:webHidden/>
          </w:rPr>
          <w:tab/>
        </w:r>
        <w:r w:rsidR="00785DD4">
          <w:rPr>
            <w:noProof/>
            <w:webHidden/>
          </w:rPr>
          <w:fldChar w:fldCharType="begin"/>
        </w:r>
        <w:r w:rsidR="00785DD4">
          <w:rPr>
            <w:noProof/>
            <w:webHidden/>
          </w:rPr>
          <w:instrText xml:space="preserve"> PAGEREF _Toc531002185 \h </w:instrText>
        </w:r>
        <w:r w:rsidR="00785DD4">
          <w:rPr>
            <w:noProof/>
            <w:webHidden/>
          </w:rPr>
        </w:r>
        <w:r w:rsidR="00785DD4">
          <w:rPr>
            <w:noProof/>
            <w:webHidden/>
          </w:rPr>
          <w:fldChar w:fldCharType="separate"/>
        </w:r>
        <w:r w:rsidR="003C7091">
          <w:rPr>
            <w:noProof/>
            <w:webHidden/>
          </w:rPr>
          <w:t>82</w:t>
        </w:r>
        <w:r w:rsidR="00785DD4">
          <w:rPr>
            <w:noProof/>
            <w:webHidden/>
          </w:rPr>
          <w:fldChar w:fldCharType="end"/>
        </w:r>
      </w:hyperlink>
    </w:p>
    <w:p w14:paraId="26ABC6C8" w14:textId="48012B48" w:rsidR="00785DD4" w:rsidRDefault="009873FB">
      <w:pPr>
        <w:pStyle w:val="TableofFigures"/>
        <w:tabs>
          <w:tab w:val="right" w:leader="dot" w:pos="9016"/>
        </w:tabs>
        <w:rPr>
          <w:rFonts w:asciiTheme="minorHAnsi" w:eastAsiaTheme="minorEastAsia" w:hAnsiTheme="minorHAnsi"/>
          <w:noProof/>
          <w:lang w:eastAsia="en-AU"/>
        </w:rPr>
      </w:pPr>
      <w:hyperlink w:anchor="_Toc531002186" w:history="1">
        <w:r w:rsidR="00785DD4" w:rsidRPr="00E65A86">
          <w:rPr>
            <w:rStyle w:val="Hyperlink"/>
            <w:noProof/>
          </w:rPr>
          <w:t>Table 25: Area of multiple-use public native forest effectively regenerated, Western Australia, 2001–02 to 2015–16</w:t>
        </w:r>
        <w:r w:rsidR="00785DD4">
          <w:rPr>
            <w:noProof/>
            <w:webHidden/>
          </w:rPr>
          <w:tab/>
        </w:r>
        <w:r w:rsidR="00785DD4">
          <w:rPr>
            <w:noProof/>
            <w:webHidden/>
          </w:rPr>
          <w:fldChar w:fldCharType="begin"/>
        </w:r>
        <w:r w:rsidR="00785DD4">
          <w:rPr>
            <w:noProof/>
            <w:webHidden/>
          </w:rPr>
          <w:instrText xml:space="preserve"> PAGEREF _Toc531002186 \h </w:instrText>
        </w:r>
        <w:r w:rsidR="00785DD4">
          <w:rPr>
            <w:noProof/>
            <w:webHidden/>
          </w:rPr>
        </w:r>
        <w:r w:rsidR="00785DD4">
          <w:rPr>
            <w:noProof/>
            <w:webHidden/>
          </w:rPr>
          <w:fldChar w:fldCharType="separate"/>
        </w:r>
        <w:r w:rsidR="003C7091">
          <w:rPr>
            <w:noProof/>
            <w:webHidden/>
          </w:rPr>
          <w:t>84</w:t>
        </w:r>
        <w:r w:rsidR="00785DD4">
          <w:rPr>
            <w:noProof/>
            <w:webHidden/>
          </w:rPr>
          <w:fldChar w:fldCharType="end"/>
        </w:r>
      </w:hyperlink>
    </w:p>
    <w:p w14:paraId="26ABC6C9" w14:textId="6D889A9F" w:rsidR="00785DD4" w:rsidRDefault="009873FB">
      <w:pPr>
        <w:pStyle w:val="TableofFigures"/>
        <w:tabs>
          <w:tab w:val="right" w:leader="dot" w:pos="9016"/>
        </w:tabs>
        <w:rPr>
          <w:rFonts w:asciiTheme="minorHAnsi" w:eastAsiaTheme="minorEastAsia" w:hAnsiTheme="minorHAnsi"/>
          <w:noProof/>
          <w:lang w:eastAsia="en-AU"/>
        </w:rPr>
      </w:pPr>
      <w:hyperlink w:anchor="_Toc531002187" w:history="1">
        <w:r w:rsidR="00785DD4" w:rsidRPr="00E65A86">
          <w:rPr>
            <w:rStyle w:val="Hyperlink"/>
            <w:noProof/>
          </w:rPr>
          <w:t>Table 26: Annual area of public softwood plantation re-established (Source: FPC)</w:t>
        </w:r>
        <w:r w:rsidR="00785DD4">
          <w:rPr>
            <w:noProof/>
            <w:webHidden/>
          </w:rPr>
          <w:tab/>
        </w:r>
        <w:r w:rsidR="00785DD4">
          <w:rPr>
            <w:noProof/>
            <w:webHidden/>
          </w:rPr>
          <w:fldChar w:fldCharType="begin"/>
        </w:r>
        <w:r w:rsidR="00785DD4">
          <w:rPr>
            <w:noProof/>
            <w:webHidden/>
          </w:rPr>
          <w:instrText xml:space="preserve"> PAGEREF _Toc531002187 \h </w:instrText>
        </w:r>
        <w:r w:rsidR="00785DD4">
          <w:rPr>
            <w:noProof/>
            <w:webHidden/>
          </w:rPr>
        </w:r>
        <w:r w:rsidR="00785DD4">
          <w:rPr>
            <w:noProof/>
            <w:webHidden/>
          </w:rPr>
          <w:fldChar w:fldCharType="separate"/>
        </w:r>
        <w:r w:rsidR="003C7091">
          <w:rPr>
            <w:noProof/>
            <w:webHidden/>
          </w:rPr>
          <w:t>85</w:t>
        </w:r>
        <w:r w:rsidR="00785DD4">
          <w:rPr>
            <w:noProof/>
            <w:webHidden/>
          </w:rPr>
          <w:fldChar w:fldCharType="end"/>
        </w:r>
      </w:hyperlink>
    </w:p>
    <w:p w14:paraId="26ABC6CA" w14:textId="2A2B9C47" w:rsidR="00785DD4" w:rsidRDefault="009873FB">
      <w:pPr>
        <w:pStyle w:val="TableofFigures"/>
        <w:tabs>
          <w:tab w:val="right" w:leader="dot" w:pos="9016"/>
        </w:tabs>
        <w:rPr>
          <w:rFonts w:asciiTheme="minorHAnsi" w:eastAsiaTheme="minorEastAsia" w:hAnsiTheme="minorHAnsi"/>
          <w:noProof/>
          <w:lang w:eastAsia="en-AU"/>
        </w:rPr>
      </w:pPr>
      <w:hyperlink w:anchor="_Toc531002188" w:history="1">
        <w:r w:rsidR="00785DD4" w:rsidRPr="00E65A86">
          <w:rPr>
            <w:rStyle w:val="Hyperlink"/>
            <w:noProof/>
          </w:rPr>
          <w:t>Table 27: Volume of logs harvested in Western Australia (‘000m3) (Australian forest and wood products statistics: September and December quarters 2017)</w:t>
        </w:r>
        <w:r w:rsidR="00785DD4">
          <w:rPr>
            <w:noProof/>
            <w:webHidden/>
          </w:rPr>
          <w:tab/>
        </w:r>
        <w:r w:rsidR="00785DD4">
          <w:rPr>
            <w:noProof/>
            <w:webHidden/>
          </w:rPr>
          <w:fldChar w:fldCharType="begin"/>
        </w:r>
        <w:r w:rsidR="00785DD4">
          <w:rPr>
            <w:noProof/>
            <w:webHidden/>
          </w:rPr>
          <w:instrText xml:space="preserve"> PAGEREF _Toc531002188 \h </w:instrText>
        </w:r>
        <w:r w:rsidR="00785DD4">
          <w:rPr>
            <w:noProof/>
            <w:webHidden/>
          </w:rPr>
        </w:r>
        <w:r w:rsidR="00785DD4">
          <w:rPr>
            <w:noProof/>
            <w:webHidden/>
          </w:rPr>
          <w:fldChar w:fldCharType="separate"/>
        </w:r>
        <w:r w:rsidR="003C7091">
          <w:rPr>
            <w:noProof/>
            <w:webHidden/>
          </w:rPr>
          <w:t>86</w:t>
        </w:r>
        <w:r w:rsidR="00785DD4">
          <w:rPr>
            <w:noProof/>
            <w:webHidden/>
          </w:rPr>
          <w:fldChar w:fldCharType="end"/>
        </w:r>
      </w:hyperlink>
    </w:p>
    <w:p w14:paraId="26ABC6CB" w14:textId="20D326F7" w:rsidR="00785DD4" w:rsidRDefault="009873FB">
      <w:pPr>
        <w:pStyle w:val="TableofFigures"/>
        <w:tabs>
          <w:tab w:val="right" w:leader="dot" w:pos="9016"/>
        </w:tabs>
        <w:rPr>
          <w:rFonts w:asciiTheme="minorHAnsi" w:eastAsiaTheme="minorEastAsia" w:hAnsiTheme="minorHAnsi"/>
          <w:noProof/>
          <w:lang w:eastAsia="en-AU"/>
        </w:rPr>
      </w:pPr>
      <w:hyperlink w:anchor="_Toc531002189" w:history="1">
        <w:r w:rsidR="00785DD4" w:rsidRPr="00E65A86">
          <w:rPr>
            <w:rStyle w:val="Hyperlink"/>
            <w:noProof/>
          </w:rPr>
          <w:t>Table 28: Value of logs harvested in Western Australia ($m) (Australian forest and wood products statistics: September and December quarters 2017)</w:t>
        </w:r>
        <w:r w:rsidR="00785DD4">
          <w:rPr>
            <w:noProof/>
            <w:webHidden/>
          </w:rPr>
          <w:tab/>
        </w:r>
        <w:r w:rsidR="00785DD4">
          <w:rPr>
            <w:noProof/>
            <w:webHidden/>
          </w:rPr>
          <w:fldChar w:fldCharType="begin"/>
        </w:r>
        <w:r w:rsidR="00785DD4">
          <w:rPr>
            <w:noProof/>
            <w:webHidden/>
          </w:rPr>
          <w:instrText xml:space="preserve"> PAGEREF _Toc531002189 \h </w:instrText>
        </w:r>
        <w:r w:rsidR="00785DD4">
          <w:rPr>
            <w:noProof/>
            <w:webHidden/>
          </w:rPr>
        </w:r>
        <w:r w:rsidR="00785DD4">
          <w:rPr>
            <w:noProof/>
            <w:webHidden/>
          </w:rPr>
          <w:fldChar w:fldCharType="separate"/>
        </w:r>
        <w:r w:rsidR="003C7091">
          <w:rPr>
            <w:noProof/>
            <w:webHidden/>
          </w:rPr>
          <w:t>86</w:t>
        </w:r>
        <w:r w:rsidR="00785DD4">
          <w:rPr>
            <w:noProof/>
            <w:webHidden/>
          </w:rPr>
          <w:fldChar w:fldCharType="end"/>
        </w:r>
      </w:hyperlink>
    </w:p>
    <w:p w14:paraId="26ABC6CC" w14:textId="64EABCF6" w:rsidR="00785DD4" w:rsidRDefault="009873FB">
      <w:pPr>
        <w:pStyle w:val="TableofFigures"/>
        <w:tabs>
          <w:tab w:val="right" w:leader="dot" w:pos="9016"/>
        </w:tabs>
        <w:rPr>
          <w:rFonts w:asciiTheme="minorHAnsi" w:eastAsiaTheme="minorEastAsia" w:hAnsiTheme="minorHAnsi"/>
          <w:noProof/>
          <w:lang w:eastAsia="en-AU"/>
        </w:rPr>
      </w:pPr>
      <w:hyperlink w:anchor="_Toc531002190" w:history="1">
        <w:r w:rsidR="00785DD4" w:rsidRPr="00E65A86">
          <w:rPr>
            <w:rStyle w:val="Hyperlink"/>
            <w:noProof/>
          </w:rPr>
          <w:t>Table 29: Expenditure on forest management, Western Australia, 2011-12 to 2015-16 ($ million)</w:t>
        </w:r>
        <w:r w:rsidR="00785DD4">
          <w:rPr>
            <w:noProof/>
            <w:webHidden/>
          </w:rPr>
          <w:tab/>
        </w:r>
        <w:r w:rsidR="00785DD4">
          <w:rPr>
            <w:noProof/>
            <w:webHidden/>
          </w:rPr>
          <w:fldChar w:fldCharType="begin"/>
        </w:r>
        <w:r w:rsidR="00785DD4">
          <w:rPr>
            <w:noProof/>
            <w:webHidden/>
          </w:rPr>
          <w:instrText xml:space="preserve"> PAGEREF _Toc531002190 \h </w:instrText>
        </w:r>
        <w:r w:rsidR="00785DD4">
          <w:rPr>
            <w:noProof/>
            <w:webHidden/>
          </w:rPr>
        </w:r>
        <w:r w:rsidR="00785DD4">
          <w:rPr>
            <w:noProof/>
            <w:webHidden/>
          </w:rPr>
          <w:fldChar w:fldCharType="separate"/>
        </w:r>
        <w:r w:rsidR="003C7091">
          <w:rPr>
            <w:noProof/>
            <w:webHidden/>
          </w:rPr>
          <w:t>96</w:t>
        </w:r>
        <w:r w:rsidR="00785DD4">
          <w:rPr>
            <w:noProof/>
            <w:webHidden/>
          </w:rPr>
          <w:fldChar w:fldCharType="end"/>
        </w:r>
      </w:hyperlink>
    </w:p>
    <w:p w14:paraId="26ABC6CD" w14:textId="2C5363D0" w:rsidR="00785DD4" w:rsidRDefault="009873FB">
      <w:pPr>
        <w:pStyle w:val="TableofFigures"/>
        <w:tabs>
          <w:tab w:val="right" w:leader="dot" w:pos="9016"/>
        </w:tabs>
        <w:rPr>
          <w:rFonts w:asciiTheme="minorHAnsi" w:eastAsiaTheme="minorEastAsia" w:hAnsiTheme="minorHAnsi"/>
          <w:noProof/>
          <w:lang w:eastAsia="en-AU"/>
        </w:rPr>
      </w:pPr>
      <w:hyperlink w:anchor="_Toc531002191" w:history="1">
        <w:r w:rsidR="00785DD4" w:rsidRPr="00E65A86">
          <w:rPr>
            <w:rStyle w:val="Hyperlink"/>
            <w:noProof/>
          </w:rPr>
          <w:t>Table 30: Business R&amp;D expenditure in the forest and wood products sector, and proportion of total business R&amp;D expenditure, 2005-06 to 2010-11</w:t>
        </w:r>
        <w:r w:rsidR="00785DD4">
          <w:rPr>
            <w:noProof/>
            <w:webHidden/>
          </w:rPr>
          <w:tab/>
        </w:r>
        <w:r w:rsidR="00785DD4">
          <w:rPr>
            <w:noProof/>
            <w:webHidden/>
          </w:rPr>
          <w:fldChar w:fldCharType="begin"/>
        </w:r>
        <w:r w:rsidR="00785DD4">
          <w:rPr>
            <w:noProof/>
            <w:webHidden/>
          </w:rPr>
          <w:instrText xml:space="preserve"> PAGEREF _Toc531002191 \h </w:instrText>
        </w:r>
        <w:r w:rsidR="00785DD4">
          <w:rPr>
            <w:noProof/>
            <w:webHidden/>
          </w:rPr>
        </w:r>
        <w:r w:rsidR="00785DD4">
          <w:rPr>
            <w:noProof/>
            <w:webHidden/>
          </w:rPr>
          <w:fldChar w:fldCharType="separate"/>
        </w:r>
        <w:r w:rsidR="003C7091">
          <w:rPr>
            <w:noProof/>
            <w:webHidden/>
          </w:rPr>
          <w:t>96</w:t>
        </w:r>
        <w:r w:rsidR="00785DD4">
          <w:rPr>
            <w:noProof/>
            <w:webHidden/>
          </w:rPr>
          <w:fldChar w:fldCharType="end"/>
        </w:r>
      </w:hyperlink>
    </w:p>
    <w:p w14:paraId="26ABC6CE" w14:textId="3B37464F" w:rsidR="00785DD4" w:rsidRDefault="009873FB">
      <w:pPr>
        <w:pStyle w:val="TableofFigures"/>
        <w:tabs>
          <w:tab w:val="right" w:leader="dot" w:pos="9016"/>
        </w:tabs>
        <w:rPr>
          <w:rFonts w:asciiTheme="minorHAnsi" w:eastAsiaTheme="minorEastAsia" w:hAnsiTheme="minorHAnsi"/>
          <w:noProof/>
          <w:lang w:eastAsia="en-AU"/>
        </w:rPr>
      </w:pPr>
      <w:hyperlink w:anchor="_Toc531002192" w:history="1">
        <w:r w:rsidR="00785DD4" w:rsidRPr="00E65A86">
          <w:rPr>
            <w:rStyle w:val="Hyperlink"/>
            <w:noProof/>
          </w:rPr>
          <w:t>Table 31: Forest Products Commission WA injury reporting from Annual Reports 2011-2017</w:t>
        </w:r>
        <w:r w:rsidR="00785DD4">
          <w:rPr>
            <w:noProof/>
            <w:webHidden/>
          </w:rPr>
          <w:tab/>
        </w:r>
        <w:r w:rsidR="00785DD4">
          <w:rPr>
            <w:noProof/>
            <w:webHidden/>
          </w:rPr>
          <w:fldChar w:fldCharType="begin"/>
        </w:r>
        <w:r w:rsidR="00785DD4">
          <w:rPr>
            <w:noProof/>
            <w:webHidden/>
          </w:rPr>
          <w:instrText xml:space="preserve"> PAGEREF _Toc531002192 \h </w:instrText>
        </w:r>
        <w:r w:rsidR="00785DD4">
          <w:rPr>
            <w:noProof/>
            <w:webHidden/>
          </w:rPr>
        </w:r>
        <w:r w:rsidR="00785DD4">
          <w:rPr>
            <w:noProof/>
            <w:webHidden/>
          </w:rPr>
          <w:fldChar w:fldCharType="separate"/>
        </w:r>
        <w:r w:rsidR="003C7091">
          <w:rPr>
            <w:noProof/>
            <w:webHidden/>
          </w:rPr>
          <w:t>114</w:t>
        </w:r>
        <w:r w:rsidR="00785DD4">
          <w:rPr>
            <w:noProof/>
            <w:webHidden/>
          </w:rPr>
          <w:fldChar w:fldCharType="end"/>
        </w:r>
      </w:hyperlink>
    </w:p>
    <w:p w14:paraId="26ABC6CF" w14:textId="23EE8A13" w:rsidR="00785DD4" w:rsidRDefault="009873FB">
      <w:pPr>
        <w:pStyle w:val="TableofFigures"/>
        <w:tabs>
          <w:tab w:val="right" w:leader="dot" w:pos="9016"/>
        </w:tabs>
        <w:rPr>
          <w:rFonts w:asciiTheme="minorHAnsi" w:eastAsiaTheme="minorEastAsia" w:hAnsiTheme="minorHAnsi"/>
          <w:noProof/>
          <w:lang w:eastAsia="en-AU"/>
        </w:rPr>
      </w:pPr>
      <w:hyperlink w:anchor="_Toc531002193" w:history="1">
        <w:r w:rsidR="00785DD4" w:rsidRPr="00E65A86">
          <w:rPr>
            <w:rStyle w:val="Hyperlink"/>
            <w:noProof/>
          </w:rPr>
          <w:t>Table 32: Forest Products Commission WA injury rate reporting from Annual Reports 2001-2010</w:t>
        </w:r>
        <w:r w:rsidR="00785DD4">
          <w:rPr>
            <w:noProof/>
            <w:webHidden/>
          </w:rPr>
          <w:tab/>
        </w:r>
        <w:r w:rsidR="00785DD4">
          <w:rPr>
            <w:noProof/>
            <w:webHidden/>
          </w:rPr>
          <w:fldChar w:fldCharType="begin"/>
        </w:r>
        <w:r w:rsidR="00785DD4">
          <w:rPr>
            <w:noProof/>
            <w:webHidden/>
          </w:rPr>
          <w:instrText xml:space="preserve"> PAGEREF _Toc531002193 \h </w:instrText>
        </w:r>
        <w:r w:rsidR="00785DD4">
          <w:rPr>
            <w:noProof/>
            <w:webHidden/>
          </w:rPr>
        </w:r>
        <w:r w:rsidR="00785DD4">
          <w:rPr>
            <w:noProof/>
            <w:webHidden/>
          </w:rPr>
          <w:fldChar w:fldCharType="separate"/>
        </w:r>
        <w:r w:rsidR="003C7091">
          <w:rPr>
            <w:noProof/>
            <w:webHidden/>
          </w:rPr>
          <w:t>114</w:t>
        </w:r>
        <w:r w:rsidR="00785DD4">
          <w:rPr>
            <w:noProof/>
            <w:webHidden/>
          </w:rPr>
          <w:fldChar w:fldCharType="end"/>
        </w:r>
      </w:hyperlink>
    </w:p>
    <w:p w14:paraId="26ABC6D0" w14:textId="77777777" w:rsidR="006C04BF" w:rsidRPr="006C04BF" w:rsidRDefault="006C04BF" w:rsidP="006C04BF">
      <w:r>
        <w:fldChar w:fldCharType="end"/>
      </w:r>
    </w:p>
    <w:p w14:paraId="26ABC6D1" w14:textId="77777777" w:rsidR="00CE60B2" w:rsidRDefault="00CE60B2" w:rsidP="0016380E">
      <w:pPr>
        <w:pStyle w:val="Heading2"/>
        <w:rPr>
          <w:noProof/>
        </w:rPr>
      </w:pPr>
      <w:r>
        <w:rPr>
          <w:noProof/>
        </w:rPr>
        <w:br w:type="page"/>
      </w:r>
    </w:p>
    <w:p w14:paraId="26ABC6D2" w14:textId="77777777" w:rsidR="00F451EA" w:rsidRPr="00CE60B2" w:rsidRDefault="00F451EA" w:rsidP="00CE60B2">
      <w:pPr>
        <w:pStyle w:val="Heading2"/>
      </w:pPr>
      <w:bookmarkStart w:id="4" w:name="_Toc2776022"/>
      <w:r w:rsidRPr="00CE60B2">
        <w:lastRenderedPageBreak/>
        <w:t>Abbreviations</w:t>
      </w:r>
      <w:bookmarkEnd w:id="4"/>
    </w:p>
    <w:tbl>
      <w:tblPr>
        <w:tblStyle w:val="Frame"/>
        <w:tblW w:w="0" w:type="auto"/>
        <w:tblLook w:val="04A0" w:firstRow="1" w:lastRow="0" w:firstColumn="1" w:lastColumn="0" w:noHBand="0" w:noVBand="1"/>
      </w:tblPr>
      <w:tblGrid>
        <w:gridCol w:w="1418"/>
        <w:gridCol w:w="7608"/>
      </w:tblGrid>
      <w:tr w:rsidR="00FC2993" w:rsidRPr="00CE60B2" w14:paraId="26ABC6D5" w14:textId="77777777" w:rsidTr="00FC2993">
        <w:tc>
          <w:tcPr>
            <w:tcW w:w="1418" w:type="dxa"/>
          </w:tcPr>
          <w:p w14:paraId="26ABC6D3" w14:textId="77777777" w:rsidR="00FC2993" w:rsidRPr="00CE60B2" w:rsidRDefault="00FC2993" w:rsidP="00FC2993">
            <w:pPr>
              <w:rPr>
                <w:rFonts w:cs="Segoe UI"/>
              </w:rPr>
            </w:pPr>
            <w:r w:rsidRPr="00CE60B2">
              <w:rPr>
                <w:rFonts w:cs="Segoe UI"/>
              </w:rPr>
              <w:t>ABARES</w:t>
            </w:r>
            <w:bookmarkStart w:id="5" w:name="Abbreviations"/>
            <w:bookmarkEnd w:id="5"/>
          </w:p>
        </w:tc>
        <w:tc>
          <w:tcPr>
            <w:tcW w:w="7608" w:type="dxa"/>
          </w:tcPr>
          <w:p w14:paraId="26ABC6D4" w14:textId="77777777" w:rsidR="00FC2993" w:rsidRPr="00CE60B2" w:rsidRDefault="00FC2993" w:rsidP="00FC2993">
            <w:pPr>
              <w:rPr>
                <w:rFonts w:cs="Segoe UI"/>
              </w:rPr>
            </w:pPr>
            <w:r w:rsidRPr="00CE60B2">
              <w:rPr>
                <w:rFonts w:cs="Segoe UI"/>
              </w:rPr>
              <w:t>Australian Bureau of Agricultural and Resource Economics and Sciences (Cth)</w:t>
            </w:r>
          </w:p>
        </w:tc>
      </w:tr>
      <w:tr w:rsidR="00FC2993" w:rsidRPr="00CE60B2" w14:paraId="26ABC6D8" w14:textId="77777777" w:rsidTr="00FC2993">
        <w:tc>
          <w:tcPr>
            <w:tcW w:w="1418" w:type="dxa"/>
          </w:tcPr>
          <w:p w14:paraId="26ABC6D6" w14:textId="77777777" w:rsidR="00FC2993" w:rsidRPr="00CE60B2" w:rsidRDefault="00FC2993" w:rsidP="00FC2993">
            <w:pPr>
              <w:rPr>
                <w:rFonts w:cs="Segoe UI"/>
              </w:rPr>
            </w:pPr>
            <w:r w:rsidRPr="00CE60B2">
              <w:rPr>
                <w:rFonts w:cs="Segoe UI"/>
              </w:rPr>
              <w:t>ABS</w:t>
            </w:r>
          </w:p>
        </w:tc>
        <w:tc>
          <w:tcPr>
            <w:tcW w:w="7608" w:type="dxa"/>
          </w:tcPr>
          <w:p w14:paraId="26ABC6D7" w14:textId="77777777" w:rsidR="00FC2993" w:rsidRPr="00CE60B2" w:rsidRDefault="00FC2993" w:rsidP="00FC2993">
            <w:pPr>
              <w:rPr>
                <w:rFonts w:cs="Segoe UI"/>
              </w:rPr>
            </w:pPr>
            <w:r w:rsidRPr="00CE60B2">
              <w:rPr>
                <w:rFonts w:cs="Segoe UI"/>
              </w:rPr>
              <w:t>Australian Bureau of Statistics (Cth)</w:t>
            </w:r>
          </w:p>
        </w:tc>
      </w:tr>
      <w:tr w:rsidR="00110B7A" w:rsidRPr="00CE60B2" w14:paraId="26ABC6DB" w14:textId="77777777" w:rsidTr="00FC2993">
        <w:tc>
          <w:tcPr>
            <w:tcW w:w="1418" w:type="dxa"/>
          </w:tcPr>
          <w:p w14:paraId="26ABC6D9" w14:textId="77777777" w:rsidR="00110B7A" w:rsidRPr="00CE60B2" w:rsidRDefault="00110B7A" w:rsidP="00FC2993">
            <w:pPr>
              <w:rPr>
                <w:rFonts w:cs="Segoe UI"/>
              </w:rPr>
            </w:pPr>
            <w:r w:rsidRPr="00110B7A">
              <w:rPr>
                <w:rFonts w:cs="Segoe UI"/>
              </w:rPr>
              <w:t>AHA Act</w:t>
            </w:r>
          </w:p>
        </w:tc>
        <w:tc>
          <w:tcPr>
            <w:tcW w:w="7608" w:type="dxa"/>
          </w:tcPr>
          <w:p w14:paraId="26ABC6DA" w14:textId="77777777" w:rsidR="00110B7A" w:rsidRPr="00110B7A" w:rsidRDefault="00110B7A" w:rsidP="00FC2993">
            <w:pPr>
              <w:rPr>
                <w:rFonts w:cs="Segoe UI"/>
                <w:i/>
              </w:rPr>
            </w:pPr>
            <w:r w:rsidRPr="00110B7A">
              <w:rPr>
                <w:rFonts w:cs="Segoe UI"/>
                <w:i/>
              </w:rPr>
              <w:t>Aboriginal Heritage Act 1972 (WA)</w:t>
            </w:r>
          </w:p>
        </w:tc>
      </w:tr>
      <w:tr w:rsidR="007B469F" w:rsidRPr="00CE60B2" w14:paraId="26ABC6DE" w14:textId="77777777" w:rsidTr="00FC2993">
        <w:tc>
          <w:tcPr>
            <w:tcW w:w="1418" w:type="dxa"/>
          </w:tcPr>
          <w:p w14:paraId="26ABC6DC" w14:textId="77777777" w:rsidR="007B469F" w:rsidRPr="00CE60B2" w:rsidRDefault="007B469F" w:rsidP="00FC2993">
            <w:pPr>
              <w:rPr>
                <w:rFonts w:cs="Segoe UI"/>
              </w:rPr>
            </w:pPr>
            <w:r>
              <w:rPr>
                <w:rFonts w:cs="Segoe UI"/>
              </w:rPr>
              <w:t>AHC Act</w:t>
            </w:r>
          </w:p>
        </w:tc>
        <w:tc>
          <w:tcPr>
            <w:tcW w:w="7608" w:type="dxa"/>
          </w:tcPr>
          <w:p w14:paraId="26ABC6DD" w14:textId="77777777" w:rsidR="007B469F" w:rsidRPr="00CE60B2" w:rsidRDefault="007B469F" w:rsidP="00FC2993">
            <w:pPr>
              <w:rPr>
                <w:rFonts w:cs="Segoe UI"/>
              </w:rPr>
            </w:pPr>
            <w:r w:rsidRPr="007B469F">
              <w:rPr>
                <w:rFonts w:cs="Segoe UI"/>
                <w:i/>
              </w:rPr>
              <w:t>Australian Heritage Commission Act</w:t>
            </w:r>
            <w:r>
              <w:rPr>
                <w:rFonts w:cs="Segoe UI"/>
                <w:i/>
              </w:rPr>
              <w:t xml:space="preserve"> 1975 </w:t>
            </w:r>
            <w:r w:rsidRPr="007B469F">
              <w:rPr>
                <w:rFonts w:cs="Segoe UI"/>
              </w:rPr>
              <w:t>(Cth)</w:t>
            </w:r>
          </w:p>
        </w:tc>
      </w:tr>
      <w:tr w:rsidR="00FC2993" w:rsidRPr="00CE60B2" w14:paraId="26ABC6E1" w14:textId="77777777" w:rsidTr="00FC2993">
        <w:tc>
          <w:tcPr>
            <w:tcW w:w="1418" w:type="dxa"/>
          </w:tcPr>
          <w:p w14:paraId="26ABC6DF" w14:textId="77777777" w:rsidR="00FC2993" w:rsidRPr="00CE60B2" w:rsidRDefault="00FC2993" w:rsidP="00FC2993">
            <w:pPr>
              <w:rPr>
                <w:rFonts w:cs="Segoe UI"/>
              </w:rPr>
            </w:pPr>
            <w:r w:rsidRPr="00CE60B2">
              <w:rPr>
                <w:rFonts w:cs="Segoe UI"/>
              </w:rPr>
              <w:t>AFS</w:t>
            </w:r>
          </w:p>
        </w:tc>
        <w:tc>
          <w:tcPr>
            <w:tcW w:w="7608" w:type="dxa"/>
          </w:tcPr>
          <w:p w14:paraId="26ABC6E0" w14:textId="77777777" w:rsidR="00286BD6" w:rsidRPr="00CE60B2" w:rsidRDefault="00FC2993" w:rsidP="00FC2993">
            <w:pPr>
              <w:rPr>
                <w:rFonts w:cs="Segoe UI"/>
              </w:rPr>
            </w:pPr>
            <w:r w:rsidRPr="00CE60B2">
              <w:rPr>
                <w:rFonts w:cs="Segoe UI"/>
              </w:rPr>
              <w:t>Australian Forestry Standard</w:t>
            </w:r>
          </w:p>
        </w:tc>
      </w:tr>
      <w:tr w:rsidR="00787CAF" w:rsidRPr="00CE60B2" w14:paraId="26ABC6E4" w14:textId="77777777" w:rsidTr="00FC2993">
        <w:tc>
          <w:tcPr>
            <w:tcW w:w="1418" w:type="dxa"/>
          </w:tcPr>
          <w:p w14:paraId="26ABC6E2" w14:textId="77777777" w:rsidR="00787CAF" w:rsidRPr="00CE60B2" w:rsidRDefault="00787CAF" w:rsidP="00FC2993">
            <w:pPr>
              <w:rPr>
                <w:rFonts w:cs="Segoe UI"/>
              </w:rPr>
            </w:pPr>
            <w:r>
              <w:rPr>
                <w:rFonts w:cs="Segoe UI"/>
              </w:rPr>
              <w:t>Alcoa</w:t>
            </w:r>
          </w:p>
        </w:tc>
        <w:tc>
          <w:tcPr>
            <w:tcW w:w="7608" w:type="dxa"/>
          </w:tcPr>
          <w:p w14:paraId="26ABC6E3" w14:textId="77777777" w:rsidR="00787CAF" w:rsidRPr="00CE60B2" w:rsidRDefault="00787CAF" w:rsidP="00FC2993">
            <w:pPr>
              <w:rPr>
                <w:rFonts w:cs="Segoe UI"/>
              </w:rPr>
            </w:pPr>
            <w:r>
              <w:t>Alcoa of Australia Limited</w:t>
            </w:r>
          </w:p>
        </w:tc>
      </w:tr>
      <w:tr w:rsidR="00CF0582" w:rsidRPr="00CE60B2" w14:paraId="26ABC6E7" w14:textId="77777777" w:rsidTr="00FC2993">
        <w:tc>
          <w:tcPr>
            <w:tcW w:w="1418" w:type="dxa"/>
          </w:tcPr>
          <w:p w14:paraId="26ABC6E5" w14:textId="77777777" w:rsidR="00CF0582" w:rsidRPr="00CE60B2" w:rsidRDefault="00CF0582" w:rsidP="00FC2993">
            <w:pPr>
              <w:rPr>
                <w:rFonts w:cs="Segoe UI"/>
              </w:rPr>
            </w:pPr>
            <w:r>
              <w:rPr>
                <w:rFonts w:cs="Segoe UI"/>
              </w:rPr>
              <w:t>ANZECC</w:t>
            </w:r>
          </w:p>
        </w:tc>
        <w:tc>
          <w:tcPr>
            <w:tcW w:w="7608" w:type="dxa"/>
          </w:tcPr>
          <w:p w14:paraId="26ABC6E6" w14:textId="77777777" w:rsidR="00AA0E84" w:rsidRPr="00CE60B2" w:rsidRDefault="00CF0582" w:rsidP="00177624">
            <w:pPr>
              <w:rPr>
                <w:rFonts w:cs="Segoe UI"/>
              </w:rPr>
            </w:pPr>
            <w:r>
              <w:rPr>
                <w:rFonts w:cs="Segoe UI"/>
              </w:rPr>
              <w:t>Australian and New Zealand Environment and Conservation C</w:t>
            </w:r>
            <w:r w:rsidR="00AA0E84">
              <w:rPr>
                <w:rFonts w:cs="Segoe UI"/>
              </w:rPr>
              <w:t>o</w:t>
            </w:r>
            <w:r>
              <w:rPr>
                <w:rFonts w:cs="Segoe UI"/>
              </w:rPr>
              <w:t>uncil</w:t>
            </w:r>
          </w:p>
        </w:tc>
      </w:tr>
      <w:tr w:rsidR="00CE6A21" w:rsidRPr="00CE60B2" w14:paraId="26ABC6EA" w14:textId="77777777" w:rsidTr="00FC2993">
        <w:tc>
          <w:tcPr>
            <w:tcW w:w="1418" w:type="dxa"/>
          </w:tcPr>
          <w:p w14:paraId="26ABC6E8" w14:textId="77777777" w:rsidR="00CE6A21" w:rsidRDefault="00CE6A21" w:rsidP="00FC2993">
            <w:pPr>
              <w:rPr>
                <w:rFonts w:cs="Segoe UI"/>
              </w:rPr>
            </w:pPr>
            <w:r>
              <w:rPr>
                <w:rFonts w:cs="Segoe UI"/>
              </w:rPr>
              <w:t>BC Act</w:t>
            </w:r>
          </w:p>
        </w:tc>
        <w:tc>
          <w:tcPr>
            <w:tcW w:w="7608" w:type="dxa"/>
          </w:tcPr>
          <w:p w14:paraId="26ABC6E9" w14:textId="77777777" w:rsidR="00CE6A21" w:rsidRDefault="00CE6A21" w:rsidP="00177624">
            <w:pPr>
              <w:rPr>
                <w:rFonts w:cs="Segoe UI"/>
              </w:rPr>
            </w:pPr>
            <w:r w:rsidRPr="00CE6A21">
              <w:rPr>
                <w:i/>
                <w:color w:val="333333"/>
                <w:lang w:val="en-GB"/>
              </w:rPr>
              <w:t>Biodiversity Conservation Act 2016</w:t>
            </w:r>
            <w:r>
              <w:rPr>
                <w:color w:val="333333"/>
                <w:lang w:val="en-GB"/>
              </w:rPr>
              <w:t xml:space="preserve"> (WA)</w:t>
            </w:r>
          </w:p>
        </w:tc>
      </w:tr>
      <w:tr w:rsidR="00BE0594" w:rsidRPr="00CE60B2" w14:paraId="26ABC6ED" w14:textId="77777777" w:rsidTr="00FC2993">
        <w:tc>
          <w:tcPr>
            <w:tcW w:w="1418" w:type="dxa"/>
          </w:tcPr>
          <w:p w14:paraId="26ABC6EB" w14:textId="77777777" w:rsidR="00BE0594" w:rsidRDefault="00BE0594" w:rsidP="00FC2993">
            <w:pPr>
              <w:rPr>
                <w:rFonts w:cs="Segoe UI"/>
              </w:rPr>
            </w:pPr>
            <w:r>
              <w:rPr>
                <w:rFonts w:cs="Segoe UI"/>
              </w:rPr>
              <w:t>BDTA</w:t>
            </w:r>
          </w:p>
        </w:tc>
        <w:tc>
          <w:tcPr>
            <w:tcW w:w="7608" w:type="dxa"/>
          </w:tcPr>
          <w:p w14:paraId="26ABC6EC" w14:textId="77777777" w:rsidR="00BE0594" w:rsidRDefault="00BE0594" w:rsidP="00177624">
            <w:pPr>
              <w:rPr>
                <w:rFonts w:cs="Segoe UI"/>
              </w:rPr>
            </w:pPr>
            <w:r>
              <w:rPr>
                <w:rFonts w:cs="Segoe UI"/>
              </w:rPr>
              <w:t>Bindoon Defence Training Area</w:t>
            </w:r>
          </w:p>
        </w:tc>
      </w:tr>
      <w:tr w:rsidR="00F26DBE" w:rsidRPr="00CE60B2" w14:paraId="26ABC6F0" w14:textId="77777777" w:rsidTr="00FC2993">
        <w:tc>
          <w:tcPr>
            <w:tcW w:w="1418" w:type="dxa"/>
          </w:tcPr>
          <w:p w14:paraId="26ABC6EE" w14:textId="77777777" w:rsidR="00F26DBE" w:rsidRDefault="00F26DBE" w:rsidP="00FC2993">
            <w:pPr>
              <w:rPr>
                <w:rFonts w:cs="Segoe UI"/>
              </w:rPr>
            </w:pPr>
            <w:r>
              <w:rPr>
                <w:rFonts w:cs="Segoe UI"/>
              </w:rPr>
              <w:t>BICWA</w:t>
            </w:r>
          </w:p>
        </w:tc>
        <w:tc>
          <w:tcPr>
            <w:tcW w:w="7608" w:type="dxa"/>
          </w:tcPr>
          <w:p w14:paraId="26ABC6EF" w14:textId="77777777" w:rsidR="00F26DBE" w:rsidRDefault="00F26DBE" w:rsidP="00177624">
            <w:pPr>
              <w:rPr>
                <w:rFonts w:cs="Segoe UI"/>
              </w:rPr>
            </w:pPr>
            <w:r>
              <w:t>Bee Industry Council of Western Australia</w:t>
            </w:r>
          </w:p>
        </w:tc>
      </w:tr>
      <w:tr w:rsidR="00420DDF" w:rsidRPr="00CE60B2" w14:paraId="26ABC6F3" w14:textId="77777777" w:rsidTr="00FC2993">
        <w:tc>
          <w:tcPr>
            <w:tcW w:w="1418" w:type="dxa"/>
          </w:tcPr>
          <w:p w14:paraId="26ABC6F1" w14:textId="77777777" w:rsidR="00420DDF" w:rsidRDefault="00420DDF" w:rsidP="00FC2993">
            <w:pPr>
              <w:rPr>
                <w:rFonts w:cs="Segoe UI"/>
              </w:rPr>
            </w:pPr>
            <w:r>
              <w:rPr>
                <w:rFonts w:cs="Segoe UI"/>
              </w:rPr>
              <w:t>CALM Act</w:t>
            </w:r>
          </w:p>
        </w:tc>
        <w:tc>
          <w:tcPr>
            <w:tcW w:w="7608" w:type="dxa"/>
          </w:tcPr>
          <w:p w14:paraId="26ABC6F2" w14:textId="77777777" w:rsidR="00420DDF" w:rsidRDefault="00420DDF" w:rsidP="00177624">
            <w:pPr>
              <w:rPr>
                <w:rFonts w:cs="Segoe UI"/>
              </w:rPr>
            </w:pPr>
            <w:r w:rsidRPr="00FF7AAD">
              <w:rPr>
                <w:rFonts w:cs="Segoe UI"/>
                <w:i/>
              </w:rPr>
              <w:t>Conservation and Land Management Act</w:t>
            </w:r>
            <w:r>
              <w:rPr>
                <w:rFonts w:cs="Segoe UI"/>
                <w:i/>
              </w:rPr>
              <w:t xml:space="preserve"> 1984 </w:t>
            </w:r>
            <w:r w:rsidRPr="00420DDF">
              <w:rPr>
                <w:rFonts w:cs="Segoe UI"/>
              </w:rPr>
              <w:t>(WA)</w:t>
            </w:r>
          </w:p>
        </w:tc>
      </w:tr>
      <w:tr w:rsidR="00177624" w:rsidRPr="00CE60B2" w14:paraId="26ABC6F6" w14:textId="77777777" w:rsidTr="00FC2993">
        <w:tc>
          <w:tcPr>
            <w:tcW w:w="1418" w:type="dxa"/>
          </w:tcPr>
          <w:p w14:paraId="26ABC6F4" w14:textId="77777777" w:rsidR="00177624" w:rsidRDefault="00177624" w:rsidP="00FC2993">
            <w:pPr>
              <w:rPr>
                <w:rFonts w:cs="Segoe UI"/>
              </w:rPr>
            </w:pPr>
            <w:r>
              <w:rPr>
                <w:rFonts w:cs="Segoe UI"/>
              </w:rPr>
              <w:t>CAM</w:t>
            </w:r>
          </w:p>
        </w:tc>
        <w:tc>
          <w:tcPr>
            <w:tcW w:w="7608" w:type="dxa"/>
          </w:tcPr>
          <w:p w14:paraId="26ABC6F5" w14:textId="77777777" w:rsidR="00177624" w:rsidRDefault="00177624" w:rsidP="00FC2993">
            <w:pPr>
              <w:rPr>
                <w:rFonts w:cs="Segoe UI"/>
              </w:rPr>
            </w:pPr>
            <w:r>
              <w:rPr>
                <w:rFonts w:cs="Segoe UI"/>
              </w:rPr>
              <w:t>Common Assessment Method</w:t>
            </w:r>
          </w:p>
        </w:tc>
      </w:tr>
      <w:tr w:rsidR="00963790" w:rsidRPr="00CE60B2" w14:paraId="26ABC6F9" w14:textId="77777777" w:rsidTr="00FC2993">
        <w:tc>
          <w:tcPr>
            <w:tcW w:w="1418" w:type="dxa"/>
          </w:tcPr>
          <w:p w14:paraId="26ABC6F7" w14:textId="77777777" w:rsidR="00963790" w:rsidRDefault="00963790" w:rsidP="00FC2993">
            <w:pPr>
              <w:rPr>
                <w:rFonts w:cs="Segoe UI"/>
              </w:rPr>
            </w:pPr>
            <w:r>
              <w:rPr>
                <w:rFonts w:cs="Segoe UI"/>
              </w:rPr>
              <w:t>CAMBA</w:t>
            </w:r>
          </w:p>
        </w:tc>
        <w:tc>
          <w:tcPr>
            <w:tcW w:w="7608" w:type="dxa"/>
          </w:tcPr>
          <w:p w14:paraId="26ABC6F8" w14:textId="77777777" w:rsidR="00963790" w:rsidRDefault="00963790" w:rsidP="00FC2993">
            <w:pPr>
              <w:rPr>
                <w:rFonts w:cs="Segoe UI"/>
              </w:rPr>
            </w:pPr>
            <w:r>
              <w:rPr>
                <w:rFonts w:cs="Segoe UI"/>
              </w:rPr>
              <w:t>China-Australia Migratory Bird Agreement</w:t>
            </w:r>
          </w:p>
        </w:tc>
      </w:tr>
      <w:tr w:rsidR="008D2711" w:rsidRPr="00CE60B2" w14:paraId="26ABC6FC" w14:textId="77777777" w:rsidTr="00FC2993">
        <w:tc>
          <w:tcPr>
            <w:tcW w:w="1418" w:type="dxa"/>
          </w:tcPr>
          <w:p w14:paraId="26ABC6FA" w14:textId="77777777" w:rsidR="008D2711" w:rsidRDefault="008D2711" w:rsidP="00FC2993">
            <w:pPr>
              <w:rPr>
                <w:rFonts w:cs="Segoe UI"/>
              </w:rPr>
            </w:pPr>
            <w:r>
              <w:rPr>
                <w:rFonts w:cs="Segoe UI"/>
              </w:rPr>
              <w:t>CAPAD</w:t>
            </w:r>
          </w:p>
        </w:tc>
        <w:tc>
          <w:tcPr>
            <w:tcW w:w="7608" w:type="dxa"/>
          </w:tcPr>
          <w:p w14:paraId="26ABC6FB" w14:textId="77777777" w:rsidR="008D2711" w:rsidRDefault="008D2711" w:rsidP="00FC2993">
            <w:pPr>
              <w:rPr>
                <w:rFonts w:cs="Segoe UI"/>
              </w:rPr>
            </w:pPr>
            <w:r w:rsidRPr="008D2711">
              <w:rPr>
                <w:rFonts w:cs="Segoe UI"/>
              </w:rPr>
              <w:t>Collaborative Australian Protected Area Database</w:t>
            </w:r>
          </w:p>
        </w:tc>
      </w:tr>
      <w:tr w:rsidR="00FC2993" w:rsidRPr="00CE60B2" w14:paraId="26ABC6FF" w14:textId="77777777" w:rsidTr="00FC2993">
        <w:tc>
          <w:tcPr>
            <w:tcW w:w="1418" w:type="dxa"/>
          </w:tcPr>
          <w:p w14:paraId="26ABC6FD" w14:textId="77777777" w:rsidR="00FC2993" w:rsidRPr="00CE60B2" w:rsidRDefault="00FC2993" w:rsidP="00FC2993">
            <w:pPr>
              <w:rPr>
                <w:rFonts w:cs="Segoe UI"/>
              </w:rPr>
            </w:pPr>
            <w:r w:rsidRPr="00CE60B2">
              <w:rPr>
                <w:rFonts w:cs="Segoe UI"/>
              </w:rPr>
              <w:t>CAR</w:t>
            </w:r>
          </w:p>
        </w:tc>
        <w:tc>
          <w:tcPr>
            <w:tcW w:w="7608" w:type="dxa"/>
          </w:tcPr>
          <w:p w14:paraId="26ABC6FE" w14:textId="77777777" w:rsidR="00BD6925" w:rsidRPr="00CE60B2" w:rsidRDefault="00FC2993" w:rsidP="00580A23">
            <w:pPr>
              <w:rPr>
                <w:rFonts w:cs="Segoe UI"/>
              </w:rPr>
            </w:pPr>
            <w:r w:rsidRPr="00CE60B2">
              <w:rPr>
                <w:rFonts w:cs="Segoe UI"/>
              </w:rPr>
              <w:t>Comprehensive, adequate and representative (reserve system)</w:t>
            </w:r>
          </w:p>
        </w:tc>
      </w:tr>
      <w:tr w:rsidR="00B977BE" w:rsidRPr="00CE60B2" w14:paraId="26ABC702" w14:textId="77777777" w:rsidTr="00FC2993">
        <w:tc>
          <w:tcPr>
            <w:tcW w:w="1418" w:type="dxa"/>
          </w:tcPr>
          <w:p w14:paraId="26ABC700" w14:textId="77777777" w:rsidR="00B977BE" w:rsidRPr="00CE60B2" w:rsidRDefault="00B977BE" w:rsidP="00FC2993">
            <w:pPr>
              <w:rPr>
                <w:rFonts w:cs="Segoe UI"/>
              </w:rPr>
            </w:pPr>
            <w:r>
              <w:rPr>
                <w:rFonts w:cs="Segoe UI"/>
              </w:rPr>
              <w:t>CAWS Act</w:t>
            </w:r>
          </w:p>
        </w:tc>
        <w:tc>
          <w:tcPr>
            <w:tcW w:w="7608" w:type="dxa"/>
          </w:tcPr>
          <w:p w14:paraId="26ABC701" w14:textId="77777777" w:rsidR="00B977BE" w:rsidRPr="00CE60B2" w:rsidRDefault="00B977BE" w:rsidP="00580A23">
            <w:pPr>
              <w:rPr>
                <w:rFonts w:cs="Segoe UI"/>
              </w:rPr>
            </w:pPr>
            <w:r w:rsidRPr="00C97369">
              <w:rPr>
                <w:i/>
              </w:rPr>
              <w:t>Country Areas Water Supply Act 1947</w:t>
            </w:r>
            <w:r>
              <w:rPr>
                <w:i/>
              </w:rPr>
              <w:t xml:space="preserve"> </w:t>
            </w:r>
            <w:r w:rsidRPr="00B977BE">
              <w:t>(WA)</w:t>
            </w:r>
          </w:p>
        </w:tc>
      </w:tr>
      <w:tr w:rsidR="00580A23" w:rsidRPr="00CE60B2" w14:paraId="26ABC705" w14:textId="77777777" w:rsidTr="00FC2993">
        <w:tc>
          <w:tcPr>
            <w:tcW w:w="1418" w:type="dxa"/>
          </w:tcPr>
          <w:p w14:paraId="26ABC703" w14:textId="77777777" w:rsidR="00580A23" w:rsidRPr="00CE60B2" w:rsidRDefault="00580A23" w:rsidP="00FC2993">
            <w:pPr>
              <w:rPr>
                <w:rFonts w:cs="Segoe UI"/>
              </w:rPr>
            </w:pPr>
            <w:r w:rsidRPr="00CE60B2">
              <w:rPr>
                <w:rFonts w:cs="Segoe UI"/>
              </w:rPr>
              <w:t>CO</w:t>
            </w:r>
            <w:r w:rsidRPr="00CE60B2">
              <w:rPr>
                <w:rFonts w:cs="Segoe UI"/>
                <w:vertAlign w:val="subscript"/>
              </w:rPr>
              <w:t>2</w:t>
            </w:r>
          </w:p>
        </w:tc>
        <w:tc>
          <w:tcPr>
            <w:tcW w:w="7608" w:type="dxa"/>
          </w:tcPr>
          <w:p w14:paraId="26ABC704" w14:textId="77777777" w:rsidR="00580A23" w:rsidRPr="00CE60B2" w:rsidRDefault="00580A23" w:rsidP="00FC2993">
            <w:pPr>
              <w:rPr>
                <w:rFonts w:cs="Segoe UI"/>
              </w:rPr>
            </w:pPr>
            <w:r w:rsidRPr="00BD6925">
              <w:rPr>
                <w:rFonts w:cs="Segoe UI"/>
              </w:rPr>
              <w:t>Carbon dioxide</w:t>
            </w:r>
          </w:p>
        </w:tc>
      </w:tr>
      <w:tr w:rsidR="00542B27" w:rsidRPr="00CE60B2" w14:paraId="26ABC708" w14:textId="77777777" w:rsidTr="00FC2993">
        <w:tc>
          <w:tcPr>
            <w:tcW w:w="1418" w:type="dxa"/>
          </w:tcPr>
          <w:p w14:paraId="26ABC706" w14:textId="77777777" w:rsidR="00542B27" w:rsidRPr="00CE60B2" w:rsidRDefault="00542B27" w:rsidP="00FC2993">
            <w:pPr>
              <w:rPr>
                <w:rFonts w:cs="Segoe UI"/>
              </w:rPr>
            </w:pPr>
            <w:r>
              <w:rPr>
                <w:rFonts w:cs="Segoe UI"/>
              </w:rPr>
              <w:t>CPC</w:t>
            </w:r>
          </w:p>
        </w:tc>
        <w:tc>
          <w:tcPr>
            <w:tcW w:w="7608" w:type="dxa"/>
          </w:tcPr>
          <w:p w14:paraId="26ABC707" w14:textId="77777777" w:rsidR="00542B27" w:rsidRPr="00BD6925" w:rsidRDefault="00542B27" w:rsidP="00FC2993">
            <w:pPr>
              <w:rPr>
                <w:rFonts w:cs="Segoe UI"/>
              </w:rPr>
            </w:pPr>
            <w:r>
              <w:rPr>
                <w:rFonts w:cs="Segoe UI"/>
              </w:rPr>
              <w:t>Conservation and Parks Commission</w:t>
            </w:r>
            <w:r w:rsidR="00071AE9">
              <w:rPr>
                <w:rFonts w:cs="Segoe UI"/>
              </w:rPr>
              <w:t xml:space="preserve"> (WA)</w:t>
            </w:r>
          </w:p>
        </w:tc>
      </w:tr>
      <w:tr w:rsidR="00C02DFA" w:rsidRPr="00CE60B2" w14:paraId="26ABC70B" w14:textId="77777777" w:rsidTr="00FC2993">
        <w:tc>
          <w:tcPr>
            <w:tcW w:w="1418" w:type="dxa"/>
          </w:tcPr>
          <w:p w14:paraId="26ABC709" w14:textId="77777777" w:rsidR="00C02DFA" w:rsidRDefault="00C02DFA" w:rsidP="00FC2993">
            <w:pPr>
              <w:rPr>
                <w:rFonts w:cs="Segoe UI"/>
              </w:rPr>
            </w:pPr>
            <w:r>
              <w:rPr>
                <w:rFonts w:cs="Segoe UI"/>
              </w:rPr>
              <w:t>CRC</w:t>
            </w:r>
          </w:p>
        </w:tc>
        <w:tc>
          <w:tcPr>
            <w:tcW w:w="7608" w:type="dxa"/>
          </w:tcPr>
          <w:p w14:paraId="26ABC70A" w14:textId="77777777" w:rsidR="00C02DFA" w:rsidRDefault="00C02DFA" w:rsidP="00FC2993">
            <w:pPr>
              <w:rPr>
                <w:rFonts w:cs="Segoe UI"/>
              </w:rPr>
            </w:pPr>
            <w:r>
              <w:rPr>
                <w:rFonts w:cs="Segoe UI"/>
              </w:rPr>
              <w:t>Cooperative Research Centres</w:t>
            </w:r>
          </w:p>
        </w:tc>
      </w:tr>
      <w:tr w:rsidR="00FC2993" w:rsidRPr="00CE60B2" w14:paraId="26ABC70E" w14:textId="77777777" w:rsidTr="00FC2993">
        <w:tc>
          <w:tcPr>
            <w:tcW w:w="1418" w:type="dxa"/>
          </w:tcPr>
          <w:p w14:paraId="26ABC70C" w14:textId="77777777" w:rsidR="00FC2993" w:rsidRPr="00CE60B2" w:rsidRDefault="00FC2993" w:rsidP="00FC2993">
            <w:pPr>
              <w:rPr>
                <w:rFonts w:cs="Segoe UI"/>
              </w:rPr>
            </w:pPr>
            <w:r w:rsidRPr="00CE60B2">
              <w:rPr>
                <w:rFonts w:cs="Segoe UI"/>
              </w:rPr>
              <w:t>CRA</w:t>
            </w:r>
          </w:p>
        </w:tc>
        <w:tc>
          <w:tcPr>
            <w:tcW w:w="7608" w:type="dxa"/>
          </w:tcPr>
          <w:p w14:paraId="26ABC70D" w14:textId="77777777" w:rsidR="00FC2993" w:rsidRPr="00CE60B2" w:rsidRDefault="00FC2993" w:rsidP="00FC2993">
            <w:pPr>
              <w:rPr>
                <w:rFonts w:cs="Segoe UI"/>
              </w:rPr>
            </w:pPr>
            <w:r w:rsidRPr="00CE60B2">
              <w:rPr>
                <w:rFonts w:cs="Segoe UI"/>
              </w:rPr>
              <w:t>Comprehensive regional assessment</w:t>
            </w:r>
          </w:p>
        </w:tc>
      </w:tr>
      <w:tr w:rsidR="000D608B" w:rsidRPr="00CE60B2" w14:paraId="26ABC711" w14:textId="77777777" w:rsidTr="00FC2993">
        <w:tc>
          <w:tcPr>
            <w:tcW w:w="1418" w:type="dxa"/>
          </w:tcPr>
          <w:p w14:paraId="26ABC70F" w14:textId="77777777" w:rsidR="000D608B" w:rsidRPr="00CE60B2" w:rsidRDefault="000D608B" w:rsidP="00FC2993">
            <w:pPr>
              <w:rPr>
                <w:rFonts w:cs="Segoe UI"/>
              </w:rPr>
            </w:pPr>
            <w:r w:rsidRPr="00CE60B2">
              <w:rPr>
                <w:rFonts w:cs="Segoe UI"/>
              </w:rPr>
              <w:t>CSIRO</w:t>
            </w:r>
          </w:p>
        </w:tc>
        <w:tc>
          <w:tcPr>
            <w:tcW w:w="7608" w:type="dxa"/>
          </w:tcPr>
          <w:p w14:paraId="26ABC710" w14:textId="77777777" w:rsidR="000D608B" w:rsidRPr="00CE60B2" w:rsidRDefault="000A2352" w:rsidP="000D608B">
            <w:pPr>
              <w:rPr>
                <w:rFonts w:cs="Segoe UI"/>
              </w:rPr>
            </w:pPr>
            <w:r w:rsidRPr="00CE60B2">
              <w:rPr>
                <w:rFonts w:cs="Segoe UI"/>
                <w:bCs/>
                <w:color w:val="222222"/>
              </w:rPr>
              <w:t>Commonwealth Scientific and Industrial Research Organisation</w:t>
            </w:r>
          </w:p>
        </w:tc>
      </w:tr>
      <w:tr w:rsidR="00FC2993" w:rsidRPr="00CE60B2" w14:paraId="26ABC714" w14:textId="77777777" w:rsidTr="00FC2993">
        <w:tc>
          <w:tcPr>
            <w:tcW w:w="1418" w:type="dxa"/>
          </w:tcPr>
          <w:p w14:paraId="26ABC712" w14:textId="77777777" w:rsidR="00FC2993" w:rsidRPr="00CE60B2" w:rsidRDefault="00FC2993" w:rsidP="00FC2993">
            <w:pPr>
              <w:rPr>
                <w:rFonts w:cs="Segoe UI"/>
              </w:rPr>
            </w:pPr>
            <w:r w:rsidRPr="00CE60B2">
              <w:rPr>
                <w:rFonts w:cs="Segoe UI"/>
              </w:rPr>
              <w:t>Cth</w:t>
            </w:r>
          </w:p>
        </w:tc>
        <w:tc>
          <w:tcPr>
            <w:tcW w:w="7608" w:type="dxa"/>
          </w:tcPr>
          <w:p w14:paraId="26ABC713" w14:textId="77777777" w:rsidR="000B797D" w:rsidRPr="00CE60B2" w:rsidRDefault="00FC2993" w:rsidP="0026107D">
            <w:pPr>
              <w:rPr>
                <w:rFonts w:cs="Segoe UI"/>
              </w:rPr>
            </w:pPr>
            <w:r w:rsidRPr="00CE60B2">
              <w:rPr>
                <w:rFonts w:cs="Segoe UI"/>
              </w:rPr>
              <w:t>Commonwealth (of Australia)</w:t>
            </w:r>
          </w:p>
        </w:tc>
      </w:tr>
      <w:tr w:rsidR="0026107D" w:rsidRPr="00CE60B2" w14:paraId="26ABC717" w14:textId="77777777" w:rsidTr="00FC2993">
        <w:tc>
          <w:tcPr>
            <w:tcW w:w="1418" w:type="dxa"/>
          </w:tcPr>
          <w:p w14:paraId="26ABC715" w14:textId="77777777" w:rsidR="0026107D" w:rsidRPr="00CE60B2" w:rsidRDefault="0026107D" w:rsidP="00FC2993">
            <w:pPr>
              <w:rPr>
                <w:rFonts w:cs="Segoe UI"/>
              </w:rPr>
            </w:pPr>
            <w:r>
              <w:rPr>
                <w:rFonts w:cs="Segoe UI"/>
              </w:rPr>
              <w:t>C&amp;D</w:t>
            </w:r>
          </w:p>
        </w:tc>
        <w:tc>
          <w:tcPr>
            <w:tcW w:w="7608" w:type="dxa"/>
          </w:tcPr>
          <w:p w14:paraId="26ABC716" w14:textId="77777777" w:rsidR="0026107D" w:rsidRPr="00CE60B2" w:rsidRDefault="0026107D" w:rsidP="00FC2993">
            <w:pPr>
              <w:rPr>
                <w:rFonts w:cs="Segoe UI"/>
              </w:rPr>
            </w:pPr>
            <w:r>
              <w:rPr>
                <w:rFonts w:cs="Segoe UI"/>
              </w:rPr>
              <w:t>Construction and Demolition</w:t>
            </w:r>
          </w:p>
        </w:tc>
      </w:tr>
      <w:tr w:rsidR="00FC2993" w:rsidRPr="00CE60B2" w14:paraId="26ABC71A" w14:textId="77777777" w:rsidTr="00FC2993">
        <w:tc>
          <w:tcPr>
            <w:tcW w:w="1418" w:type="dxa"/>
          </w:tcPr>
          <w:p w14:paraId="26ABC718" w14:textId="77777777" w:rsidR="00FC2993" w:rsidRPr="00CE60B2" w:rsidRDefault="00FC2993" w:rsidP="00FC2993">
            <w:pPr>
              <w:rPr>
                <w:rFonts w:cs="Segoe UI"/>
              </w:rPr>
            </w:pPr>
            <w:r w:rsidRPr="00CE60B2">
              <w:rPr>
                <w:rFonts w:cs="Segoe UI"/>
              </w:rPr>
              <w:t>DAWR</w:t>
            </w:r>
          </w:p>
        </w:tc>
        <w:tc>
          <w:tcPr>
            <w:tcW w:w="7608" w:type="dxa"/>
          </w:tcPr>
          <w:p w14:paraId="26ABC719" w14:textId="77777777" w:rsidR="00FC2993" w:rsidRPr="00CE60B2" w:rsidRDefault="00FC2993" w:rsidP="00FC2993">
            <w:pPr>
              <w:rPr>
                <w:rFonts w:cs="Segoe UI"/>
              </w:rPr>
            </w:pPr>
            <w:r w:rsidRPr="00CE60B2">
              <w:rPr>
                <w:rFonts w:cs="Segoe UI"/>
              </w:rPr>
              <w:t>Department of Agriculture and Water Resources (Cth)</w:t>
            </w:r>
          </w:p>
        </w:tc>
      </w:tr>
      <w:tr w:rsidR="00CF0582" w:rsidRPr="00CE60B2" w14:paraId="26ABC71D" w14:textId="77777777" w:rsidTr="00FC2993">
        <w:tc>
          <w:tcPr>
            <w:tcW w:w="1418" w:type="dxa"/>
          </w:tcPr>
          <w:p w14:paraId="26ABC71B" w14:textId="77777777" w:rsidR="00CF0582" w:rsidRPr="00CE60B2" w:rsidRDefault="00CF0582" w:rsidP="00FC2993">
            <w:pPr>
              <w:rPr>
                <w:rFonts w:cs="Segoe UI"/>
              </w:rPr>
            </w:pPr>
            <w:r>
              <w:rPr>
                <w:rFonts w:cs="Segoe UI"/>
              </w:rPr>
              <w:t>DBCA</w:t>
            </w:r>
          </w:p>
        </w:tc>
        <w:tc>
          <w:tcPr>
            <w:tcW w:w="7608" w:type="dxa"/>
          </w:tcPr>
          <w:p w14:paraId="26ABC71C" w14:textId="77777777" w:rsidR="00CF0582" w:rsidRPr="00CE60B2" w:rsidRDefault="00CF0582" w:rsidP="00FC2993">
            <w:pPr>
              <w:rPr>
                <w:rFonts w:cs="Segoe UI"/>
              </w:rPr>
            </w:pPr>
            <w:r>
              <w:rPr>
                <w:rFonts w:cs="Segoe UI"/>
              </w:rPr>
              <w:t>Department of Biodiversity, Conservation and Attractions</w:t>
            </w:r>
            <w:r w:rsidR="00071AE9">
              <w:rPr>
                <w:rFonts w:cs="Segoe UI"/>
              </w:rPr>
              <w:t xml:space="preserve"> (WA)</w:t>
            </w:r>
          </w:p>
        </w:tc>
      </w:tr>
      <w:tr w:rsidR="00196B4D" w:rsidRPr="00CE60B2" w14:paraId="26ABC720" w14:textId="77777777" w:rsidTr="00FC2993">
        <w:tc>
          <w:tcPr>
            <w:tcW w:w="1418" w:type="dxa"/>
          </w:tcPr>
          <w:p w14:paraId="26ABC71E" w14:textId="77777777" w:rsidR="00196B4D" w:rsidRPr="00CE60B2" w:rsidRDefault="00196B4D" w:rsidP="00FC2993">
            <w:pPr>
              <w:rPr>
                <w:rFonts w:cs="Segoe UI"/>
              </w:rPr>
            </w:pPr>
            <w:r>
              <w:rPr>
                <w:rFonts w:cs="Segoe UI"/>
              </w:rPr>
              <w:lastRenderedPageBreak/>
              <w:t>DIWA</w:t>
            </w:r>
          </w:p>
        </w:tc>
        <w:tc>
          <w:tcPr>
            <w:tcW w:w="7608" w:type="dxa"/>
          </w:tcPr>
          <w:p w14:paraId="26ABC71F" w14:textId="77777777" w:rsidR="00196B4D" w:rsidRPr="00CE60B2" w:rsidRDefault="00196B4D" w:rsidP="00FC2993">
            <w:pPr>
              <w:rPr>
                <w:rFonts w:cs="Segoe UI"/>
              </w:rPr>
            </w:pPr>
            <w:r>
              <w:rPr>
                <w:rFonts w:cs="Segoe UI"/>
              </w:rPr>
              <w:t>Directory of Important Wetlands</w:t>
            </w:r>
          </w:p>
        </w:tc>
      </w:tr>
      <w:tr w:rsidR="00FC2993" w:rsidRPr="00CE60B2" w14:paraId="26ABC723" w14:textId="77777777" w:rsidTr="00FC2993">
        <w:tc>
          <w:tcPr>
            <w:tcW w:w="1418" w:type="dxa"/>
          </w:tcPr>
          <w:p w14:paraId="26ABC721" w14:textId="77777777" w:rsidR="00FC2993" w:rsidRPr="00CE60B2" w:rsidRDefault="00FC2993" w:rsidP="00FC2993">
            <w:pPr>
              <w:rPr>
                <w:rFonts w:cs="Segoe UI"/>
              </w:rPr>
            </w:pPr>
            <w:r w:rsidRPr="00CE60B2">
              <w:rPr>
                <w:rFonts w:cs="Segoe UI"/>
              </w:rPr>
              <w:t>DoEE</w:t>
            </w:r>
          </w:p>
        </w:tc>
        <w:tc>
          <w:tcPr>
            <w:tcW w:w="7608" w:type="dxa"/>
          </w:tcPr>
          <w:p w14:paraId="26ABC722" w14:textId="77777777" w:rsidR="00FC2993" w:rsidRPr="00CE60B2" w:rsidRDefault="00FC2993" w:rsidP="00FC2993">
            <w:pPr>
              <w:rPr>
                <w:rFonts w:cs="Segoe UI"/>
              </w:rPr>
            </w:pPr>
            <w:r w:rsidRPr="00CE60B2">
              <w:rPr>
                <w:rFonts w:cs="Segoe UI"/>
              </w:rPr>
              <w:t>Department of the Environment and Energy (Cth)</w:t>
            </w:r>
          </w:p>
        </w:tc>
      </w:tr>
      <w:tr w:rsidR="004C6DD9" w:rsidRPr="00CE60B2" w14:paraId="26ABC726" w14:textId="77777777" w:rsidTr="00FC2993">
        <w:tc>
          <w:tcPr>
            <w:tcW w:w="1418" w:type="dxa"/>
          </w:tcPr>
          <w:p w14:paraId="26ABC724" w14:textId="77777777" w:rsidR="004C6DD9" w:rsidRPr="00CE60B2" w:rsidRDefault="004C6DD9" w:rsidP="00FC2993">
            <w:pPr>
              <w:rPr>
                <w:rFonts w:cs="Segoe UI"/>
              </w:rPr>
            </w:pPr>
            <w:r>
              <w:rPr>
                <w:rFonts w:cs="Segoe UI"/>
              </w:rPr>
              <w:t>DPIRD</w:t>
            </w:r>
          </w:p>
        </w:tc>
        <w:tc>
          <w:tcPr>
            <w:tcW w:w="7608" w:type="dxa"/>
          </w:tcPr>
          <w:p w14:paraId="26ABC725" w14:textId="77777777" w:rsidR="004C6DD9" w:rsidRPr="00CE60B2" w:rsidRDefault="004C6DD9" w:rsidP="00FC2993">
            <w:pPr>
              <w:rPr>
                <w:rFonts w:cs="Segoe UI"/>
              </w:rPr>
            </w:pPr>
            <w:r>
              <w:rPr>
                <w:rFonts w:cs="Segoe UI"/>
              </w:rPr>
              <w:t>Department of Primary Industries and Regional Development (WA)</w:t>
            </w:r>
          </w:p>
        </w:tc>
      </w:tr>
      <w:tr w:rsidR="00FC2993" w:rsidRPr="00CE60B2" w14:paraId="26ABC729" w14:textId="77777777" w:rsidTr="00FC2993">
        <w:tc>
          <w:tcPr>
            <w:tcW w:w="1418" w:type="dxa"/>
          </w:tcPr>
          <w:p w14:paraId="26ABC727" w14:textId="77777777" w:rsidR="00FC2993" w:rsidRPr="00CE60B2" w:rsidRDefault="00FC2993" w:rsidP="00FC2993">
            <w:pPr>
              <w:rPr>
                <w:rFonts w:cs="Segoe UI"/>
              </w:rPr>
            </w:pPr>
            <w:r w:rsidRPr="00CE60B2">
              <w:rPr>
                <w:rFonts w:cs="Segoe UI"/>
              </w:rPr>
              <w:t>EC Act</w:t>
            </w:r>
          </w:p>
        </w:tc>
        <w:tc>
          <w:tcPr>
            <w:tcW w:w="7608" w:type="dxa"/>
          </w:tcPr>
          <w:p w14:paraId="26ABC728" w14:textId="77777777" w:rsidR="000B797D" w:rsidRPr="00CE60B2" w:rsidRDefault="00FC2993" w:rsidP="0026107D">
            <w:pPr>
              <w:rPr>
                <w:rFonts w:cs="Segoe UI"/>
              </w:rPr>
            </w:pPr>
            <w:r w:rsidRPr="00CE60B2">
              <w:rPr>
                <w:rFonts w:cs="Segoe UI"/>
                <w:i/>
              </w:rPr>
              <w:t xml:space="preserve">Export Control Act 1982 </w:t>
            </w:r>
            <w:r w:rsidRPr="00CE60B2">
              <w:rPr>
                <w:rFonts w:cs="Segoe UI"/>
              </w:rPr>
              <w:t>(Cth)</w:t>
            </w:r>
          </w:p>
        </w:tc>
      </w:tr>
      <w:tr w:rsidR="0026107D" w:rsidRPr="00CE60B2" w14:paraId="26ABC72C" w14:textId="77777777" w:rsidTr="00FC2993">
        <w:tc>
          <w:tcPr>
            <w:tcW w:w="1418" w:type="dxa"/>
          </w:tcPr>
          <w:p w14:paraId="26ABC72A" w14:textId="77777777" w:rsidR="0026107D" w:rsidRPr="00CE60B2" w:rsidRDefault="0026107D" w:rsidP="00FC2993">
            <w:pPr>
              <w:rPr>
                <w:rFonts w:cs="Segoe UI"/>
              </w:rPr>
            </w:pPr>
            <w:r>
              <w:rPr>
                <w:rFonts w:cs="Segoe UI"/>
              </w:rPr>
              <w:t>EMS</w:t>
            </w:r>
          </w:p>
        </w:tc>
        <w:tc>
          <w:tcPr>
            <w:tcW w:w="7608" w:type="dxa"/>
          </w:tcPr>
          <w:p w14:paraId="26ABC72B" w14:textId="77777777" w:rsidR="0026107D" w:rsidRPr="00CE60B2" w:rsidRDefault="0026107D" w:rsidP="00FC2993">
            <w:pPr>
              <w:rPr>
                <w:rFonts w:cs="Segoe UI"/>
                <w:i/>
              </w:rPr>
            </w:pPr>
            <w:r>
              <w:rPr>
                <w:rFonts w:cs="Segoe UI"/>
              </w:rPr>
              <w:t>Environmental Management System</w:t>
            </w:r>
          </w:p>
        </w:tc>
      </w:tr>
      <w:tr w:rsidR="00A27392" w:rsidRPr="00CE60B2" w14:paraId="26ABC72F" w14:textId="77777777" w:rsidTr="00FC2993">
        <w:tc>
          <w:tcPr>
            <w:tcW w:w="1418" w:type="dxa"/>
          </w:tcPr>
          <w:p w14:paraId="26ABC72D" w14:textId="77777777" w:rsidR="00A27392" w:rsidRDefault="00A27392" w:rsidP="00FC2993">
            <w:pPr>
              <w:rPr>
                <w:rFonts w:cs="Segoe UI"/>
              </w:rPr>
            </w:pPr>
            <w:r>
              <w:rPr>
                <w:rFonts w:cs="Segoe UI"/>
              </w:rPr>
              <w:t>EPA</w:t>
            </w:r>
          </w:p>
        </w:tc>
        <w:tc>
          <w:tcPr>
            <w:tcW w:w="7608" w:type="dxa"/>
          </w:tcPr>
          <w:p w14:paraId="26ABC72E" w14:textId="77777777" w:rsidR="00A27392" w:rsidRDefault="00A27392" w:rsidP="00FC2993">
            <w:pPr>
              <w:rPr>
                <w:rFonts w:cs="Segoe UI"/>
              </w:rPr>
            </w:pPr>
            <w:r>
              <w:t>Environmental Protection Authority (WA)</w:t>
            </w:r>
          </w:p>
        </w:tc>
      </w:tr>
      <w:tr w:rsidR="00810A67" w:rsidRPr="00CE60B2" w14:paraId="26ABC732" w14:textId="77777777" w:rsidTr="00FC2993">
        <w:tc>
          <w:tcPr>
            <w:tcW w:w="1418" w:type="dxa"/>
          </w:tcPr>
          <w:p w14:paraId="26ABC730" w14:textId="77777777" w:rsidR="00810A67" w:rsidRDefault="00810A67" w:rsidP="00FC2993">
            <w:pPr>
              <w:rPr>
                <w:rFonts w:cs="Segoe UI"/>
              </w:rPr>
            </w:pPr>
            <w:r>
              <w:rPr>
                <w:rFonts w:cs="Segoe UI"/>
              </w:rPr>
              <w:t>EP Act</w:t>
            </w:r>
          </w:p>
        </w:tc>
        <w:tc>
          <w:tcPr>
            <w:tcW w:w="7608" w:type="dxa"/>
          </w:tcPr>
          <w:p w14:paraId="26ABC731" w14:textId="77777777" w:rsidR="00810A67" w:rsidRDefault="00810A67" w:rsidP="00FC2993">
            <w:pPr>
              <w:rPr>
                <w:rFonts w:cs="Segoe UI"/>
              </w:rPr>
            </w:pPr>
            <w:r w:rsidRPr="004B34E1">
              <w:rPr>
                <w:rFonts w:cs="Segoe UI"/>
                <w:i/>
              </w:rPr>
              <w:t>Environmental Protection Act</w:t>
            </w:r>
            <w:r>
              <w:rPr>
                <w:rFonts w:cs="Segoe UI"/>
                <w:i/>
              </w:rPr>
              <w:t xml:space="preserve"> 1986 </w:t>
            </w:r>
            <w:r w:rsidRPr="00810A67">
              <w:rPr>
                <w:rFonts w:cs="Segoe UI"/>
              </w:rPr>
              <w:t>(WA)</w:t>
            </w:r>
          </w:p>
        </w:tc>
      </w:tr>
      <w:tr w:rsidR="00FC2993" w:rsidRPr="00CE60B2" w14:paraId="26ABC735" w14:textId="77777777" w:rsidTr="00FC2993">
        <w:tc>
          <w:tcPr>
            <w:tcW w:w="1418" w:type="dxa"/>
          </w:tcPr>
          <w:p w14:paraId="26ABC733" w14:textId="77777777" w:rsidR="00FC2993" w:rsidRPr="00CE60B2" w:rsidRDefault="00FC2993" w:rsidP="00FC2993">
            <w:pPr>
              <w:rPr>
                <w:rFonts w:cs="Segoe UI"/>
              </w:rPr>
            </w:pPr>
            <w:r w:rsidRPr="00CE60B2">
              <w:rPr>
                <w:rFonts w:cs="Segoe UI"/>
              </w:rPr>
              <w:t>EPBC Act</w:t>
            </w:r>
          </w:p>
        </w:tc>
        <w:tc>
          <w:tcPr>
            <w:tcW w:w="7608" w:type="dxa"/>
          </w:tcPr>
          <w:p w14:paraId="26ABC734" w14:textId="77777777" w:rsidR="00AC29DE" w:rsidRPr="00CE60B2" w:rsidRDefault="00FC2993" w:rsidP="0026107D">
            <w:pPr>
              <w:rPr>
                <w:rFonts w:cs="Segoe UI"/>
              </w:rPr>
            </w:pPr>
            <w:r w:rsidRPr="00CE60B2">
              <w:rPr>
                <w:rFonts w:cs="Segoe UI"/>
                <w:i/>
              </w:rPr>
              <w:t>Environment Protection and Biodiversity Conservation Act 1999</w:t>
            </w:r>
            <w:r w:rsidRPr="00CE60B2">
              <w:rPr>
                <w:rFonts w:cs="Segoe UI"/>
              </w:rPr>
              <w:t xml:space="preserve"> (Cth)</w:t>
            </w:r>
          </w:p>
        </w:tc>
      </w:tr>
      <w:tr w:rsidR="0026107D" w:rsidRPr="00CE60B2" w14:paraId="26ABC738" w14:textId="77777777" w:rsidTr="00FC2993">
        <w:tc>
          <w:tcPr>
            <w:tcW w:w="1418" w:type="dxa"/>
          </w:tcPr>
          <w:p w14:paraId="26ABC736" w14:textId="77777777" w:rsidR="0026107D" w:rsidRPr="00CE60B2" w:rsidRDefault="0026107D" w:rsidP="00FC2993">
            <w:pPr>
              <w:rPr>
                <w:rFonts w:cs="Segoe UI"/>
              </w:rPr>
            </w:pPr>
            <w:r>
              <w:rPr>
                <w:rFonts w:cs="Segoe UI"/>
              </w:rPr>
              <w:t>ERF</w:t>
            </w:r>
          </w:p>
        </w:tc>
        <w:tc>
          <w:tcPr>
            <w:tcW w:w="7608" w:type="dxa"/>
          </w:tcPr>
          <w:p w14:paraId="26ABC737" w14:textId="77777777" w:rsidR="0026107D" w:rsidRPr="00CE60B2" w:rsidRDefault="0026107D" w:rsidP="00FC2993">
            <w:pPr>
              <w:rPr>
                <w:rFonts w:cs="Segoe UI"/>
                <w:i/>
              </w:rPr>
            </w:pPr>
            <w:r>
              <w:rPr>
                <w:rFonts w:cs="Segoe UI"/>
              </w:rPr>
              <w:t>Emissions Reduction Fund</w:t>
            </w:r>
          </w:p>
        </w:tc>
      </w:tr>
      <w:tr w:rsidR="00FC2993" w:rsidRPr="00CE60B2" w14:paraId="26ABC73B" w14:textId="77777777" w:rsidTr="00FC2993">
        <w:tc>
          <w:tcPr>
            <w:tcW w:w="1418" w:type="dxa"/>
          </w:tcPr>
          <w:p w14:paraId="26ABC739" w14:textId="77777777" w:rsidR="00FC2993" w:rsidRPr="00CE60B2" w:rsidRDefault="00FC2993" w:rsidP="00FC2993">
            <w:pPr>
              <w:rPr>
                <w:rFonts w:cs="Segoe UI"/>
              </w:rPr>
            </w:pPr>
            <w:r w:rsidRPr="00CE60B2">
              <w:rPr>
                <w:rFonts w:cs="Segoe UI"/>
              </w:rPr>
              <w:t>ESFM</w:t>
            </w:r>
          </w:p>
        </w:tc>
        <w:tc>
          <w:tcPr>
            <w:tcW w:w="7608" w:type="dxa"/>
          </w:tcPr>
          <w:p w14:paraId="26ABC73A" w14:textId="77777777" w:rsidR="00FC2993" w:rsidRPr="00CE60B2" w:rsidRDefault="00FC2993" w:rsidP="00FC2993">
            <w:pPr>
              <w:rPr>
                <w:rFonts w:cs="Segoe UI"/>
              </w:rPr>
            </w:pPr>
            <w:r w:rsidRPr="00CE60B2">
              <w:rPr>
                <w:rFonts w:cs="Segoe UI"/>
              </w:rPr>
              <w:t>Ecologically sustainable forest management</w:t>
            </w:r>
          </w:p>
        </w:tc>
      </w:tr>
      <w:tr w:rsidR="002227B6" w:rsidRPr="00CE60B2" w14:paraId="26ABC73E" w14:textId="77777777" w:rsidTr="00FC2993">
        <w:tc>
          <w:tcPr>
            <w:tcW w:w="1418" w:type="dxa"/>
          </w:tcPr>
          <w:p w14:paraId="26ABC73C" w14:textId="77777777" w:rsidR="002227B6" w:rsidRPr="00CE60B2" w:rsidRDefault="002227B6" w:rsidP="00FC2993">
            <w:pPr>
              <w:rPr>
                <w:rFonts w:cs="Segoe UI"/>
              </w:rPr>
            </w:pPr>
            <w:r>
              <w:rPr>
                <w:rFonts w:cs="Segoe UI"/>
              </w:rPr>
              <w:t>ESP Act</w:t>
            </w:r>
          </w:p>
        </w:tc>
        <w:tc>
          <w:tcPr>
            <w:tcW w:w="7608" w:type="dxa"/>
          </w:tcPr>
          <w:p w14:paraId="26ABC73D" w14:textId="77777777" w:rsidR="002227B6" w:rsidRPr="00CE60B2" w:rsidRDefault="002227B6" w:rsidP="00FC2993">
            <w:pPr>
              <w:rPr>
                <w:rFonts w:cs="Segoe UI"/>
              </w:rPr>
            </w:pPr>
            <w:r>
              <w:rPr>
                <w:rFonts w:cs="Segoe UI"/>
              </w:rPr>
              <w:t>Endangered Species Protection Act 1992</w:t>
            </w:r>
            <w:r w:rsidR="00F54B80">
              <w:rPr>
                <w:rFonts w:cs="Segoe UI"/>
              </w:rPr>
              <w:t xml:space="preserve"> (Cth)</w:t>
            </w:r>
          </w:p>
        </w:tc>
      </w:tr>
      <w:tr w:rsidR="0001058C" w:rsidRPr="00CE60B2" w14:paraId="26ABC741" w14:textId="77777777" w:rsidTr="00FC2993">
        <w:tc>
          <w:tcPr>
            <w:tcW w:w="1418" w:type="dxa"/>
          </w:tcPr>
          <w:p w14:paraId="26ABC73F" w14:textId="77777777" w:rsidR="0001058C" w:rsidRDefault="0001058C" w:rsidP="00FC2993">
            <w:pPr>
              <w:rPr>
                <w:rFonts w:cs="Segoe UI"/>
              </w:rPr>
            </w:pPr>
            <w:r>
              <w:rPr>
                <w:rFonts w:cs="Segoe UI"/>
              </w:rPr>
              <w:t>FHZ</w:t>
            </w:r>
          </w:p>
        </w:tc>
        <w:tc>
          <w:tcPr>
            <w:tcW w:w="7608" w:type="dxa"/>
          </w:tcPr>
          <w:p w14:paraId="26ABC740" w14:textId="77777777" w:rsidR="0001058C" w:rsidRDefault="0001058C" w:rsidP="00FC2993">
            <w:pPr>
              <w:rPr>
                <w:rFonts w:cs="Segoe UI"/>
              </w:rPr>
            </w:pPr>
            <w:r>
              <w:rPr>
                <w:rFonts w:cs="Segoe UI"/>
              </w:rPr>
              <w:t>Fauna habitat zone</w:t>
            </w:r>
          </w:p>
        </w:tc>
      </w:tr>
      <w:tr w:rsidR="00B977BE" w:rsidRPr="00CE60B2" w14:paraId="26ABC744" w14:textId="77777777" w:rsidTr="00FC2993">
        <w:tc>
          <w:tcPr>
            <w:tcW w:w="1418" w:type="dxa"/>
          </w:tcPr>
          <w:p w14:paraId="26ABC742" w14:textId="77777777" w:rsidR="00B977BE" w:rsidRDefault="00B977BE" w:rsidP="00FC2993">
            <w:pPr>
              <w:rPr>
                <w:rFonts w:cs="Segoe UI"/>
              </w:rPr>
            </w:pPr>
            <w:r>
              <w:rPr>
                <w:rFonts w:cs="Segoe UI"/>
              </w:rPr>
              <w:t>FIFWA</w:t>
            </w:r>
          </w:p>
        </w:tc>
        <w:tc>
          <w:tcPr>
            <w:tcW w:w="7608" w:type="dxa"/>
          </w:tcPr>
          <w:p w14:paraId="26ABC743" w14:textId="77777777" w:rsidR="00B977BE" w:rsidRDefault="00B977BE" w:rsidP="00FC2993">
            <w:pPr>
              <w:rPr>
                <w:rFonts w:cs="Segoe UI"/>
              </w:rPr>
            </w:pPr>
            <w:r>
              <w:t>Forest Industries Federation of Western Australia</w:t>
            </w:r>
          </w:p>
        </w:tc>
      </w:tr>
      <w:tr w:rsidR="00FC2993" w:rsidRPr="00CE60B2" w14:paraId="26ABC747" w14:textId="77777777" w:rsidTr="00FC2993">
        <w:tc>
          <w:tcPr>
            <w:tcW w:w="1418" w:type="dxa"/>
          </w:tcPr>
          <w:p w14:paraId="26ABC745" w14:textId="77777777" w:rsidR="00FC2993" w:rsidRPr="00CE60B2" w:rsidRDefault="00FC2993" w:rsidP="00FC2993">
            <w:pPr>
              <w:rPr>
                <w:rFonts w:cs="Segoe UI"/>
              </w:rPr>
            </w:pPr>
            <w:r w:rsidRPr="00CE60B2">
              <w:rPr>
                <w:rFonts w:cs="Segoe UI"/>
              </w:rPr>
              <w:t>FMP</w:t>
            </w:r>
          </w:p>
        </w:tc>
        <w:tc>
          <w:tcPr>
            <w:tcW w:w="7608" w:type="dxa"/>
          </w:tcPr>
          <w:p w14:paraId="26ABC746" w14:textId="77777777" w:rsidR="00FC2993" w:rsidRPr="00CE60B2" w:rsidRDefault="00FC2993" w:rsidP="00FC2993">
            <w:pPr>
              <w:rPr>
                <w:rFonts w:cs="Segoe UI"/>
              </w:rPr>
            </w:pPr>
            <w:r w:rsidRPr="00CE60B2">
              <w:rPr>
                <w:rFonts w:cs="Segoe UI"/>
              </w:rPr>
              <w:t>Forest Management Plan</w:t>
            </w:r>
          </w:p>
        </w:tc>
      </w:tr>
      <w:tr w:rsidR="00FC2993" w:rsidRPr="00CE60B2" w14:paraId="26ABC74A" w14:textId="77777777" w:rsidTr="00FC2993">
        <w:tc>
          <w:tcPr>
            <w:tcW w:w="1418" w:type="dxa"/>
          </w:tcPr>
          <w:p w14:paraId="26ABC748" w14:textId="77777777" w:rsidR="00FC2993" w:rsidRPr="00CE60B2" w:rsidRDefault="00FC2993" w:rsidP="00FC2993">
            <w:pPr>
              <w:rPr>
                <w:rFonts w:cs="Segoe UI"/>
              </w:rPr>
            </w:pPr>
            <w:r w:rsidRPr="00CE60B2">
              <w:rPr>
                <w:rFonts w:cs="Segoe UI"/>
              </w:rPr>
              <w:t>FMS</w:t>
            </w:r>
          </w:p>
        </w:tc>
        <w:tc>
          <w:tcPr>
            <w:tcW w:w="7608" w:type="dxa"/>
          </w:tcPr>
          <w:p w14:paraId="26ABC749" w14:textId="77777777" w:rsidR="008F7853" w:rsidRPr="00CE60B2" w:rsidRDefault="00FC2993" w:rsidP="0026107D">
            <w:pPr>
              <w:rPr>
                <w:rFonts w:cs="Segoe UI"/>
              </w:rPr>
            </w:pPr>
            <w:r w:rsidRPr="00CE60B2">
              <w:rPr>
                <w:rFonts w:cs="Segoe UI"/>
              </w:rPr>
              <w:t>Forest Management System</w:t>
            </w:r>
          </w:p>
        </w:tc>
      </w:tr>
      <w:tr w:rsidR="00A41848" w:rsidRPr="00CE60B2" w14:paraId="26ABC74D" w14:textId="77777777" w:rsidTr="00FC2993">
        <w:tc>
          <w:tcPr>
            <w:tcW w:w="1418" w:type="dxa"/>
          </w:tcPr>
          <w:p w14:paraId="26ABC74B" w14:textId="77777777" w:rsidR="00A41848" w:rsidRPr="00CE60B2" w:rsidRDefault="00A41848" w:rsidP="00FC2993">
            <w:pPr>
              <w:rPr>
                <w:rFonts w:cs="Segoe UI"/>
              </w:rPr>
            </w:pPr>
            <w:r>
              <w:rPr>
                <w:rFonts w:cs="Segoe UI"/>
              </w:rPr>
              <w:t>FP Act</w:t>
            </w:r>
          </w:p>
        </w:tc>
        <w:tc>
          <w:tcPr>
            <w:tcW w:w="7608" w:type="dxa"/>
          </w:tcPr>
          <w:p w14:paraId="26ABC74C" w14:textId="77777777" w:rsidR="00A41848" w:rsidRPr="00CE60B2" w:rsidRDefault="00A41848" w:rsidP="00FC2993">
            <w:pPr>
              <w:rPr>
                <w:rFonts w:cs="Segoe UI"/>
              </w:rPr>
            </w:pPr>
            <w:r w:rsidRPr="00A41848">
              <w:rPr>
                <w:rFonts w:cs="Segoe UI"/>
                <w:i/>
              </w:rPr>
              <w:t>Forest Products Act 2000</w:t>
            </w:r>
            <w:r>
              <w:rPr>
                <w:rFonts w:cs="Segoe UI"/>
              </w:rPr>
              <w:t xml:space="preserve"> (WA)</w:t>
            </w:r>
          </w:p>
        </w:tc>
      </w:tr>
      <w:tr w:rsidR="0026107D" w:rsidRPr="00CE60B2" w14:paraId="26ABC750" w14:textId="77777777" w:rsidTr="00FC2993">
        <w:tc>
          <w:tcPr>
            <w:tcW w:w="1418" w:type="dxa"/>
          </w:tcPr>
          <w:p w14:paraId="26ABC74E" w14:textId="77777777" w:rsidR="0026107D" w:rsidRPr="00CE60B2" w:rsidRDefault="0026107D" w:rsidP="00FC2993">
            <w:pPr>
              <w:rPr>
                <w:rFonts w:cs="Segoe UI"/>
              </w:rPr>
            </w:pPr>
            <w:r>
              <w:rPr>
                <w:rFonts w:cs="Segoe UI"/>
              </w:rPr>
              <w:t>FPC</w:t>
            </w:r>
          </w:p>
        </w:tc>
        <w:tc>
          <w:tcPr>
            <w:tcW w:w="7608" w:type="dxa"/>
          </w:tcPr>
          <w:p w14:paraId="26ABC74F" w14:textId="77777777" w:rsidR="0026107D" w:rsidRPr="00CE60B2" w:rsidRDefault="0026107D" w:rsidP="00FC2993">
            <w:pPr>
              <w:rPr>
                <w:rFonts w:cs="Segoe UI"/>
              </w:rPr>
            </w:pPr>
            <w:r>
              <w:rPr>
                <w:rFonts w:cs="Segoe UI"/>
              </w:rPr>
              <w:t>Forest Products Commission</w:t>
            </w:r>
          </w:p>
        </w:tc>
      </w:tr>
      <w:tr w:rsidR="00F90E81" w:rsidRPr="00CE60B2" w14:paraId="26ABC753" w14:textId="77777777" w:rsidTr="00FC2993">
        <w:tc>
          <w:tcPr>
            <w:tcW w:w="1418" w:type="dxa"/>
          </w:tcPr>
          <w:p w14:paraId="26ABC751" w14:textId="77777777" w:rsidR="00F90E81" w:rsidRPr="00CE60B2" w:rsidRDefault="00F90E81" w:rsidP="00F90E81">
            <w:pPr>
              <w:rPr>
                <w:rFonts w:cs="Segoe UI"/>
              </w:rPr>
            </w:pPr>
            <w:r w:rsidRPr="00192D78">
              <w:rPr>
                <w:rFonts w:cs="Segoe UI"/>
              </w:rPr>
              <w:t>FTA</w:t>
            </w:r>
            <w:r w:rsidRPr="00CE60B2">
              <w:rPr>
                <w:rFonts w:cs="Segoe UI"/>
              </w:rPr>
              <w:t>s</w:t>
            </w:r>
          </w:p>
        </w:tc>
        <w:tc>
          <w:tcPr>
            <w:tcW w:w="7608" w:type="dxa"/>
          </w:tcPr>
          <w:p w14:paraId="26ABC752" w14:textId="77777777" w:rsidR="00B83154" w:rsidRPr="00CE60B2" w:rsidRDefault="00F90E81" w:rsidP="0026107D">
            <w:pPr>
              <w:rPr>
                <w:rFonts w:cs="Segoe UI"/>
              </w:rPr>
            </w:pPr>
            <w:r w:rsidRPr="00CE60B2">
              <w:rPr>
                <w:rFonts w:cs="Segoe UI"/>
              </w:rPr>
              <w:t>Free Trade Agreements</w:t>
            </w:r>
          </w:p>
        </w:tc>
      </w:tr>
      <w:tr w:rsidR="00F27B4D" w:rsidRPr="00CE60B2" w14:paraId="26ABC756" w14:textId="77777777" w:rsidTr="00FC2993">
        <w:tc>
          <w:tcPr>
            <w:tcW w:w="1418" w:type="dxa"/>
          </w:tcPr>
          <w:p w14:paraId="26ABC754" w14:textId="77777777" w:rsidR="00F27B4D" w:rsidRPr="00CE60B2" w:rsidRDefault="00F27B4D" w:rsidP="00F90E81">
            <w:pPr>
              <w:rPr>
                <w:rFonts w:cs="Segoe UI"/>
              </w:rPr>
            </w:pPr>
            <w:r>
              <w:rPr>
                <w:rFonts w:cs="Segoe UI"/>
              </w:rPr>
              <w:t>FWPA</w:t>
            </w:r>
          </w:p>
        </w:tc>
        <w:tc>
          <w:tcPr>
            <w:tcW w:w="7608" w:type="dxa"/>
          </w:tcPr>
          <w:p w14:paraId="26ABC755" w14:textId="77777777" w:rsidR="00F27B4D" w:rsidRPr="00CE60B2" w:rsidRDefault="00F27B4D" w:rsidP="00F90E81">
            <w:pPr>
              <w:rPr>
                <w:rFonts w:cs="Segoe UI"/>
              </w:rPr>
            </w:pPr>
            <w:r>
              <w:rPr>
                <w:rFonts w:cs="Segoe UI"/>
              </w:rPr>
              <w:t>Forest and Wood Products Australia</w:t>
            </w:r>
          </w:p>
        </w:tc>
      </w:tr>
      <w:tr w:rsidR="00B46E30" w:rsidRPr="00CE60B2" w14:paraId="26ABC759" w14:textId="77777777" w:rsidTr="00FC2993">
        <w:tc>
          <w:tcPr>
            <w:tcW w:w="1418" w:type="dxa"/>
          </w:tcPr>
          <w:p w14:paraId="26ABC757" w14:textId="77777777" w:rsidR="00B46E30" w:rsidRDefault="00B46E30" w:rsidP="00F90E81">
            <w:pPr>
              <w:rPr>
                <w:rFonts w:cs="Segoe UI"/>
              </w:rPr>
            </w:pPr>
            <w:r>
              <w:rPr>
                <w:rFonts w:cs="Segoe UI"/>
              </w:rPr>
              <w:t>GRP</w:t>
            </w:r>
          </w:p>
        </w:tc>
        <w:tc>
          <w:tcPr>
            <w:tcW w:w="7608" w:type="dxa"/>
          </w:tcPr>
          <w:p w14:paraId="26ABC758" w14:textId="77777777" w:rsidR="00B46E30" w:rsidRDefault="00B46E30" w:rsidP="00F90E81">
            <w:pPr>
              <w:rPr>
                <w:rFonts w:cs="Segoe UI"/>
              </w:rPr>
            </w:pPr>
            <w:r>
              <w:rPr>
                <w:rFonts w:cs="Segoe UI"/>
              </w:rPr>
              <w:t>Gross Regional Product</w:t>
            </w:r>
          </w:p>
        </w:tc>
      </w:tr>
      <w:tr w:rsidR="00635AD9" w:rsidRPr="00CE60B2" w14:paraId="26ABC75C" w14:textId="77777777" w:rsidTr="00FC2993">
        <w:tc>
          <w:tcPr>
            <w:tcW w:w="1418" w:type="dxa"/>
          </w:tcPr>
          <w:p w14:paraId="26ABC75A" w14:textId="77777777" w:rsidR="00635AD9" w:rsidRDefault="00635AD9" w:rsidP="00F90E81">
            <w:pPr>
              <w:rPr>
                <w:rFonts w:cs="Segoe UI"/>
              </w:rPr>
            </w:pPr>
            <w:r>
              <w:rPr>
                <w:rFonts w:cs="Segoe UI"/>
              </w:rPr>
              <w:t>HWPs</w:t>
            </w:r>
          </w:p>
        </w:tc>
        <w:tc>
          <w:tcPr>
            <w:tcW w:w="7608" w:type="dxa"/>
          </w:tcPr>
          <w:p w14:paraId="26ABC75B" w14:textId="77777777" w:rsidR="00635AD9" w:rsidRDefault="00635AD9" w:rsidP="00F90E81">
            <w:pPr>
              <w:rPr>
                <w:rFonts w:cs="Segoe UI"/>
              </w:rPr>
            </w:pPr>
            <w:r>
              <w:rPr>
                <w:rFonts w:cs="Segoe UI"/>
              </w:rPr>
              <w:t>H</w:t>
            </w:r>
            <w:r w:rsidRPr="00CE60B2">
              <w:rPr>
                <w:rFonts w:cs="Segoe UI"/>
              </w:rPr>
              <w:t>arvested wood products</w:t>
            </w:r>
          </w:p>
        </w:tc>
      </w:tr>
      <w:tr w:rsidR="0026107D" w:rsidRPr="00CE60B2" w14:paraId="26ABC75F" w14:textId="77777777" w:rsidTr="00FC2993">
        <w:tc>
          <w:tcPr>
            <w:tcW w:w="1418" w:type="dxa"/>
          </w:tcPr>
          <w:p w14:paraId="26ABC75D" w14:textId="77777777" w:rsidR="0026107D" w:rsidRPr="00CE60B2" w:rsidRDefault="0026107D" w:rsidP="00F90E81">
            <w:pPr>
              <w:rPr>
                <w:rFonts w:cs="Segoe UI"/>
              </w:rPr>
            </w:pPr>
            <w:r>
              <w:rPr>
                <w:rFonts w:cs="Segoe UI"/>
              </w:rPr>
              <w:t>ILUA</w:t>
            </w:r>
          </w:p>
        </w:tc>
        <w:tc>
          <w:tcPr>
            <w:tcW w:w="7608" w:type="dxa"/>
          </w:tcPr>
          <w:p w14:paraId="26ABC75E" w14:textId="77777777" w:rsidR="0026107D" w:rsidRPr="00CE60B2" w:rsidRDefault="0026107D" w:rsidP="00F90E81">
            <w:pPr>
              <w:rPr>
                <w:rFonts w:cs="Segoe UI"/>
              </w:rPr>
            </w:pPr>
            <w:r>
              <w:rPr>
                <w:rFonts w:cs="Segoe UI"/>
              </w:rPr>
              <w:t>Indigenous land use agreement</w:t>
            </w:r>
            <w:r w:rsidR="00C9181A">
              <w:rPr>
                <w:rFonts w:cs="Segoe UI"/>
              </w:rPr>
              <w:t>s</w:t>
            </w:r>
          </w:p>
        </w:tc>
      </w:tr>
      <w:tr w:rsidR="00F90E81" w:rsidRPr="00CE60B2" w14:paraId="26ABC762" w14:textId="77777777" w:rsidTr="00FC2993">
        <w:tc>
          <w:tcPr>
            <w:tcW w:w="1418" w:type="dxa"/>
          </w:tcPr>
          <w:p w14:paraId="26ABC760" w14:textId="77777777" w:rsidR="00F90E81" w:rsidRPr="00CE60B2" w:rsidRDefault="00F90E81" w:rsidP="00F90E81">
            <w:pPr>
              <w:rPr>
                <w:rFonts w:cs="Segoe UI"/>
              </w:rPr>
            </w:pPr>
            <w:r w:rsidRPr="00CE60B2">
              <w:rPr>
                <w:rFonts w:cs="Segoe UI"/>
              </w:rPr>
              <w:t>IUCN</w:t>
            </w:r>
          </w:p>
        </w:tc>
        <w:tc>
          <w:tcPr>
            <w:tcW w:w="7608" w:type="dxa"/>
          </w:tcPr>
          <w:p w14:paraId="26ABC761" w14:textId="77777777" w:rsidR="00F90E81" w:rsidRPr="00CE60B2" w:rsidRDefault="00F90E81" w:rsidP="00F90E81">
            <w:pPr>
              <w:rPr>
                <w:rFonts w:cs="Segoe UI"/>
              </w:rPr>
            </w:pPr>
            <w:r w:rsidRPr="00CE60B2">
              <w:rPr>
                <w:rFonts w:cs="Segoe UI"/>
                <w:szCs w:val="16"/>
              </w:rPr>
              <w:t>International Union for Conservation of Nature</w:t>
            </w:r>
          </w:p>
        </w:tc>
      </w:tr>
      <w:tr w:rsidR="00B32B97" w:rsidRPr="00CE60B2" w14:paraId="26ABC765" w14:textId="77777777" w:rsidTr="00FC2993">
        <w:tc>
          <w:tcPr>
            <w:tcW w:w="1418" w:type="dxa"/>
          </w:tcPr>
          <w:p w14:paraId="26ABC763" w14:textId="77777777" w:rsidR="00B32B97" w:rsidRPr="00CE60B2" w:rsidRDefault="00B32B97" w:rsidP="00F90E81">
            <w:pPr>
              <w:rPr>
                <w:rFonts w:cs="Segoe UI"/>
              </w:rPr>
            </w:pPr>
            <w:r>
              <w:rPr>
                <w:rFonts w:cs="Segoe UI"/>
              </w:rPr>
              <w:t>ISGs</w:t>
            </w:r>
          </w:p>
        </w:tc>
        <w:tc>
          <w:tcPr>
            <w:tcW w:w="7608" w:type="dxa"/>
          </w:tcPr>
          <w:p w14:paraId="26ABC764" w14:textId="77777777" w:rsidR="00B32B97" w:rsidRPr="00CE60B2" w:rsidRDefault="00B32B97" w:rsidP="00F90E81">
            <w:pPr>
              <w:rPr>
                <w:rFonts w:cs="Segoe UI"/>
                <w:szCs w:val="16"/>
              </w:rPr>
            </w:pPr>
            <w:r>
              <w:rPr>
                <w:rFonts w:cs="Segoe UI"/>
              </w:rPr>
              <w:t>I</w:t>
            </w:r>
            <w:r w:rsidRPr="00163AE0">
              <w:rPr>
                <w:rFonts w:cs="Segoe UI"/>
              </w:rPr>
              <w:t>nvestment security guarantee</w:t>
            </w:r>
            <w:r>
              <w:rPr>
                <w:rFonts w:cs="Segoe UI"/>
              </w:rPr>
              <w:t>s</w:t>
            </w:r>
          </w:p>
        </w:tc>
      </w:tr>
      <w:tr w:rsidR="00963790" w:rsidRPr="00CE60B2" w14:paraId="26ABC768" w14:textId="77777777" w:rsidTr="00FC2993">
        <w:tc>
          <w:tcPr>
            <w:tcW w:w="1418" w:type="dxa"/>
          </w:tcPr>
          <w:p w14:paraId="26ABC766" w14:textId="77777777" w:rsidR="00963790" w:rsidRPr="00CE60B2" w:rsidRDefault="00963790" w:rsidP="00F90E81">
            <w:pPr>
              <w:rPr>
                <w:rFonts w:cs="Segoe UI"/>
              </w:rPr>
            </w:pPr>
            <w:r>
              <w:rPr>
                <w:rFonts w:cs="Segoe UI"/>
              </w:rPr>
              <w:t>JAMBA</w:t>
            </w:r>
          </w:p>
        </w:tc>
        <w:tc>
          <w:tcPr>
            <w:tcW w:w="7608" w:type="dxa"/>
          </w:tcPr>
          <w:p w14:paraId="26ABC767" w14:textId="77777777" w:rsidR="00963790" w:rsidRPr="00CE60B2" w:rsidRDefault="00963790" w:rsidP="00F90E81">
            <w:pPr>
              <w:rPr>
                <w:rFonts w:cs="Segoe UI"/>
                <w:szCs w:val="16"/>
              </w:rPr>
            </w:pPr>
            <w:r>
              <w:rPr>
                <w:rFonts w:cs="Segoe UI"/>
              </w:rPr>
              <w:t>Japan-Australia Migratory Bird Agreement</w:t>
            </w:r>
          </w:p>
        </w:tc>
      </w:tr>
      <w:tr w:rsidR="003B59F4" w:rsidRPr="00CE60B2" w14:paraId="26ABC76B" w14:textId="77777777" w:rsidTr="00FC2993">
        <w:tc>
          <w:tcPr>
            <w:tcW w:w="1418" w:type="dxa"/>
          </w:tcPr>
          <w:p w14:paraId="26ABC769" w14:textId="77777777" w:rsidR="003B59F4" w:rsidRPr="00CE60B2" w:rsidRDefault="003B59F4" w:rsidP="00F90E81">
            <w:pPr>
              <w:rPr>
                <w:rFonts w:cs="Segoe UI"/>
              </w:rPr>
            </w:pPr>
            <w:r>
              <w:rPr>
                <w:rFonts w:cs="Segoe UI"/>
              </w:rPr>
              <w:t>JANIS</w:t>
            </w:r>
          </w:p>
        </w:tc>
        <w:tc>
          <w:tcPr>
            <w:tcW w:w="7608" w:type="dxa"/>
          </w:tcPr>
          <w:p w14:paraId="26ABC76A" w14:textId="77777777" w:rsidR="00051B32" w:rsidRPr="00CE60B2" w:rsidRDefault="00CF0582" w:rsidP="0026107D">
            <w:pPr>
              <w:rPr>
                <w:rFonts w:cs="Segoe UI"/>
                <w:szCs w:val="16"/>
              </w:rPr>
            </w:pPr>
            <w:r w:rsidRPr="00CE60B2">
              <w:rPr>
                <w:rFonts w:cs="Segoe UI"/>
              </w:rPr>
              <w:t>Joint ANZECC/MCFFA National Forest Policy Implementation Sub-</w:t>
            </w:r>
            <w:r w:rsidR="00922ABC" w:rsidRPr="00CE60B2">
              <w:rPr>
                <w:rFonts w:cs="Segoe UI"/>
              </w:rPr>
              <w:t>committee</w:t>
            </w:r>
          </w:p>
        </w:tc>
      </w:tr>
      <w:tr w:rsidR="00E53E33" w:rsidRPr="00CE60B2" w14:paraId="26ABC76E" w14:textId="77777777" w:rsidTr="00FC2993">
        <w:tc>
          <w:tcPr>
            <w:tcW w:w="1418" w:type="dxa"/>
          </w:tcPr>
          <w:p w14:paraId="26ABC76C" w14:textId="77777777" w:rsidR="00E53E33" w:rsidRDefault="00E53E33" w:rsidP="00F90E81">
            <w:pPr>
              <w:rPr>
                <w:rFonts w:cs="Segoe UI"/>
              </w:rPr>
            </w:pPr>
            <w:r>
              <w:rPr>
                <w:rFonts w:cs="Segoe UI"/>
              </w:rPr>
              <w:lastRenderedPageBreak/>
              <w:t>KPI</w:t>
            </w:r>
          </w:p>
        </w:tc>
        <w:tc>
          <w:tcPr>
            <w:tcW w:w="7608" w:type="dxa"/>
          </w:tcPr>
          <w:p w14:paraId="26ABC76D" w14:textId="77777777" w:rsidR="00E53E33" w:rsidRPr="00CE60B2" w:rsidRDefault="00E53E33" w:rsidP="00F90E81">
            <w:pPr>
              <w:rPr>
                <w:rFonts w:cs="Segoe UI"/>
              </w:rPr>
            </w:pPr>
            <w:r>
              <w:rPr>
                <w:rFonts w:cs="Segoe UI"/>
              </w:rPr>
              <w:t>Key Performance Indicator</w:t>
            </w:r>
          </w:p>
        </w:tc>
      </w:tr>
      <w:tr w:rsidR="0026107D" w:rsidRPr="00CE60B2" w14:paraId="26ABC771" w14:textId="77777777" w:rsidTr="00FC2993">
        <w:tc>
          <w:tcPr>
            <w:tcW w:w="1418" w:type="dxa"/>
          </w:tcPr>
          <w:p w14:paraId="26ABC76F" w14:textId="77777777" w:rsidR="0026107D" w:rsidRDefault="0026107D" w:rsidP="00F90E81">
            <w:pPr>
              <w:rPr>
                <w:rFonts w:cs="Segoe UI"/>
              </w:rPr>
            </w:pPr>
            <w:r>
              <w:rPr>
                <w:rFonts w:cs="Segoe UI"/>
              </w:rPr>
              <w:t>LGA</w:t>
            </w:r>
          </w:p>
        </w:tc>
        <w:tc>
          <w:tcPr>
            <w:tcW w:w="7608" w:type="dxa"/>
          </w:tcPr>
          <w:p w14:paraId="26ABC770" w14:textId="77777777" w:rsidR="0026107D" w:rsidRPr="00CE60B2" w:rsidRDefault="0026107D" w:rsidP="00F90E81">
            <w:pPr>
              <w:rPr>
                <w:rFonts w:cs="Segoe UI"/>
              </w:rPr>
            </w:pPr>
            <w:r>
              <w:rPr>
                <w:rFonts w:cs="Segoe UI"/>
              </w:rPr>
              <w:t>Local Government Area</w:t>
            </w:r>
          </w:p>
        </w:tc>
      </w:tr>
      <w:tr w:rsidR="0026107D" w:rsidRPr="00CE60B2" w14:paraId="26ABC774" w14:textId="77777777" w:rsidTr="00FC2993">
        <w:tc>
          <w:tcPr>
            <w:tcW w:w="1418" w:type="dxa"/>
          </w:tcPr>
          <w:p w14:paraId="26ABC772" w14:textId="77777777" w:rsidR="0026107D" w:rsidRDefault="0026107D" w:rsidP="00F90E81">
            <w:pPr>
              <w:rPr>
                <w:rFonts w:cs="Segoe UI"/>
              </w:rPr>
            </w:pPr>
            <w:r>
              <w:rPr>
                <w:rFonts w:cs="Segoe UI"/>
              </w:rPr>
              <w:t>LiDAR</w:t>
            </w:r>
          </w:p>
        </w:tc>
        <w:tc>
          <w:tcPr>
            <w:tcW w:w="7608" w:type="dxa"/>
          </w:tcPr>
          <w:p w14:paraId="26ABC773" w14:textId="77777777" w:rsidR="0026107D" w:rsidRPr="00CE60B2" w:rsidRDefault="0026107D" w:rsidP="00F90E81">
            <w:pPr>
              <w:rPr>
                <w:rFonts w:cs="Segoe UI"/>
              </w:rPr>
            </w:pPr>
            <w:r>
              <w:rPr>
                <w:rFonts w:cs="Segoe UI"/>
              </w:rPr>
              <w:t>Light Detection and Ranging</w:t>
            </w:r>
          </w:p>
        </w:tc>
      </w:tr>
      <w:tr w:rsidR="00CF0582" w:rsidRPr="00CE60B2" w14:paraId="26ABC777" w14:textId="77777777" w:rsidTr="00FC2993">
        <w:tc>
          <w:tcPr>
            <w:tcW w:w="1418" w:type="dxa"/>
          </w:tcPr>
          <w:p w14:paraId="26ABC775" w14:textId="77777777" w:rsidR="00CF0582" w:rsidRPr="00CF0582" w:rsidRDefault="00CF0582" w:rsidP="00F90E81">
            <w:pPr>
              <w:rPr>
                <w:rFonts w:cs="Segoe UI"/>
              </w:rPr>
            </w:pPr>
            <w:r w:rsidRPr="00CF0582">
              <w:rPr>
                <w:rFonts w:cs="Segoe UI"/>
              </w:rPr>
              <w:t>MCFFA</w:t>
            </w:r>
          </w:p>
        </w:tc>
        <w:tc>
          <w:tcPr>
            <w:tcW w:w="7608" w:type="dxa"/>
          </w:tcPr>
          <w:p w14:paraId="26ABC776" w14:textId="77777777" w:rsidR="00CF0582" w:rsidRPr="00CF0582" w:rsidRDefault="00CF0582" w:rsidP="00F90E81">
            <w:pPr>
              <w:rPr>
                <w:rFonts w:cs="Segoe UI"/>
              </w:rPr>
            </w:pPr>
            <w:r w:rsidRPr="00CF0582">
              <w:rPr>
                <w:rFonts w:cs="Segoe UI"/>
              </w:rPr>
              <w:t>Ministerial Council on Forestry, Fisheries and Aquaculture</w:t>
            </w:r>
          </w:p>
        </w:tc>
      </w:tr>
      <w:tr w:rsidR="00FC2993" w:rsidRPr="00CE60B2" w14:paraId="26ABC77A" w14:textId="77777777" w:rsidTr="00FC2993">
        <w:tc>
          <w:tcPr>
            <w:tcW w:w="1418" w:type="dxa"/>
          </w:tcPr>
          <w:p w14:paraId="26ABC778" w14:textId="77777777" w:rsidR="00286BD6" w:rsidRPr="00C8078D" w:rsidRDefault="00FC2993" w:rsidP="00F90E81">
            <w:pPr>
              <w:rPr>
                <w:rFonts w:cs="Segoe UI"/>
              </w:rPr>
            </w:pPr>
            <w:r w:rsidRPr="00C8078D">
              <w:rPr>
                <w:rFonts w:cs="Segoe UI"/>
              </w:rPr>
              <w:t>MIG</w:t>
            </w:r>
          </w:p>
        </w:tc>
        <w:tc>
          <w:tcPr>
            <w:tcW w:w="7608" w:type="dxa"/>
          </w:tcPr>
          <w:p w14:paraId="26ABC779" w14:textId="77777777" w:rsidR="00051B32" w:rsidRPr="00C8078D" w:rsidRDefault="00FC2993" w:rsidP="0026107D">
            <w:pPr>
              <w:rPr>
                <w:rFonts w:cs="Segoe UI"/>
              </w:rPr>
            </w:pPr>
            <w:r w:rsidRPr="00C8078D">
              <w:rPr>
                <w:rFonts w:cs="Segoe UI"/>
              </w:rPr>
              <w:t xml:space="preserve">Montréal Process Implementation Group for </w:t>
            </w:r>
            <w:r w:rsidR="00922ABC" w:rsidRPr="00C8078D">
              <w:rPr>
                <w:rFonts w:cs="Segoe UI"/>
              </w:rPr>
              <w:t>Australia</w:t>
            </w:r>
          </w:p>
        </w:tc>
      </w:tr>
      <w:tr w:rsidR="00C9181A" w:rsidRPr="00CE60B2" w14:paraId="26ABC77D" w14:textId="77777777" w:rsidTr="00FC2993">
        <w:tc>
          <w:tcPr>
            <w:tcW w:w="1418" w:type="dxa"/>
          </w:tcPr>
          <w:p w14:paraId="26ABC77B" w14:textId="77777777" w:rsidR="00C9181A" w:rsidRPr="00C8078D" w:rsidRDefault="00C9181A" w:rsidP="00F90E81">
            <w:pPr>
              <w:rPr>
                <w:rFonts w:cs="Segoe UI"/>
              </w:rPr>
            </w:pPr>
            <w:r>
              <w:rPr>
                <w:rFonts w:cs="Segoe UI"/>
              </w:rPr>
              <w:t>MNES</w:t>
            </w:r>
          </w:p>
        </w:tc>
        <w:tc>
          <w:tcPr>
            <w:tcW w:w="7608" w:type="dxa"/>
          </w:tcPr>
          <w:p w14:paraId="26ABC77C" w14:textId="77777777" w:rsidR="00C9181A" w:rsidRPr="00C8078D" w:rsidRDefault="00C9181A" w:rsidP="0026107D">
            <w:pPr>
              <w:rPr>
                <w:rFonts w:cs="Segoe UI"/>
              </w:rPr>
            </w:pPr>
            <w:r>
              <w:t>Matters of National Environmental Significance</w:t>
            </w:r>
          </w:p>
        </w:tc>
      </w:tr>
      <w:tr w:rsidR="0026107D" w:rsidRPr="00CE60B2" w14:paraId="26ABC780" w14:textId="77777777" w:rsidTr="00FC2993">
        <w:tc>
          <w:tcPr>
            <w:tcW w:w="1418" w:type="dxa"/>
          </w:tcPr>
          <w:p w14:paraId="26ABC77E" w14:textId="77777777" w:rsidR="0026107D" w:rsidRPr="0033790A" w:rsidRDefault="0026107D" w:rsidP="00F90E81">
            <w:pPr>
              <w:rPr>
                <w:rFonts w:cs="Segoe UI"/>
                <w:highlight w:val="yellow"/>
              </w:rPr>
            </w:pPr>
            <w:r w:rsidRPr="00051B32">
              <w:rPr>
                <w:rFonts w:cs="Segoe UI"/>
              </w:rPr>
              <w:t>MOU</w:t>
            </w:r>
          </w:p>
        </w:tc>
        <w:tc>
          <w:tcPr>
            <w:tcW w:w="7608" w:type="dxa"/>
          </w:tcPr>
          <w:p w14:paraId="26ABC77F" w14:textId="77777777" w:rsidR="0026107D" w:rsidRPr="0033790A" w:rsidRDefault="0026107D" w:rsidP="00F90E81">
            <w:pPr>
              <w:rPr>
                <w:rFonts w:cs="Segoe UI"/>
                <w:highlight w:val="yellow"/>
              </w:rPr>
            </w:pPr>
            <w:r w:rsidRPr="00051B32">
              <w:rPr>
                <w:rFonts w:cs="Segoe UI"/>
              </w:rPr>
              <w:t>Memorandum of Understanding</w:t>
            </w:r>
          </w:p>
        </w:tc>
      </w:tr>
      <w:tr w:rsidR="00F90E81" w:rsidRPr="00CE60B2" w14:paraId="26ABC783" w14:textId="77777777" w:rsidTr="00FC2993">
        <w:tc>
          <w:tcPr>
            <w:tcW w:w="1418" w:type="dxa"/>
          </w:tcPr>
          <w:p w14:paraId="26ABC781" w14:textId="77777777" w:rsidR="00F90E81" w:rsidRPr="00CE60B2" w:rsidRDefault="0033790A" w:rsidP="00F90E81">
            <w:pPr>
              <w:rPr>
                <w:rFonts w:cs="Segoe UI"/>
              </w:rPr>
            </w:pPr>
            <w:r>
              <w:rPr>
                <w:rFonts w:cs="Segoe UI"/>
              </w:rPr>
              <w:t>m</w:t>
            </w:r>
            <w:r w:rsidR="00F90E81" w:rsidRPr="00CE60B2">
              <w:rPr>
                <w:rFonts w:cs="Segoe UI"/>
                <w:vertAlign w:val="superscript"/>
              </w:rPr>
              <w:t>3</w:t>
            </w:r>
          </w:p>
        </w:tc>
        <w:tc>
          <w:tcPr>
            <w:tcW w:w="7608" w:type="dxa"/>
          </w:tcPr>
          <w:p w14:paraId="26ABC782" w14:textId="77777777" w:rsidR="00F90E81" w:rsidRPr="00CE60B2" w:rsidRDefault="00F90E81" w:rsidP="00F90E81">
            <w:pPr>
              <w:rPr>
                <w:rFonts w:cs="Segoe UI"/>
              </w:rPr>
            </w:pPr>
            <w:r w:rsidRPr="00CE60B2">
              <w:rPr>
                <w:rFonts w:cs="Segoe UI"/>
              </w:rPr>
              <w:t>Cubic Met</w:t>
            </w:r>
            <w:r w:rsidR="001F375B">
              <w:rPr>
                <w:rFonts w:cs="Segoe UI"/>
              </w:rPr>
              <w:t>re</w:t>
            </w:r>
            <w:r w:rsidRPr="00CE60B2">
              <w:rPr>
                <w:rFonts w:cs="Segoe UI"/>
              </w:rPr>
              <w:t>s</w:t>
            </w:r>
          </w:p>
        </w:tc>
      </w:tr>
      <w:tr w:rsidR="00F90E81" w:rsidRPr="00CE60B2" w14:paraId="26ABC786" w14:textId="77777777" w:rsidTr="00FC2993">
        <w:tc>
          <w:tcPr>
            <w:tcW w:w="1418" w:type="dxa"/>
          </w:tcPr>
          <w:p w14:paraId="26ABC784" w14:textId="77777777" w:rsidR="00F90E81" w:rsidRPr="00CE60B2" w:rsidRDefault="00F90E81" w:rsidP="00FC2993">
            <w:pPr>
              <w:rPr>
                <w:rFonts w:cs="Segoe UI"/>
              </w:rPr>
            </w:pPr>
            <w:r w:rsidRPr="00CE60B2">
              <w:rPr>
                <w:rFonts w:cs="Segoe UI"/>
              </w:rPr>
              <w:t>NFI</w:t>
            </w:r>
          </w:p>
        </w:tc>
        <w:tc>
          <w:tcPr>
            <w:tcW w:w="7608" w:type="dxa"/>
          </w:tcPr>
          <w:p w14:paraId="26ABC785" w14:textId="77777777" w:rsidR="00F90E81" w:rsidRPr="00CE60B2" w:rsidRDefault="00F90E81" w:rsidP="00FC2993">
            <w:pPr>
              <w:rPr>
                <w:rFonts w:cs="Segoe UI"/>
              </w:rPr>
            </w:pPr>
            <w:r w:rsidRPr="00CE60B2">
              <w:rPr>
                <w:rFonts w:cs="Segoe UI"/>
                <w:lang w:eastAsia="ja-JP"/>
              </w:rPr>
              <w:t>National Forest Inventory</w:t>
            </w:r>
          </w:p>
        </w:tc>
      </w:tr>
      <w:tr w:rsidR="00FC2993" w:rsidRPr="00CE60B2" w14:paraId="26ABC789" w14:textId="77777777" w:rsidTr="00FC2993">
        <w:tc>
          <w:tcPr>
            <w:tcW w:w="1418" w:type="dxa"/>
          </w:tcPr>
          <w:p w14:paraId="26ABC787" w14:textId="77777777" w:rsidR="00FC2993" w:rsidRPr="00CE60B2" w:rsidRDefault="00FC2993" w:rsidP="00FC2993">
            <w:pPr>
              <w:rPr>
                <w:rFonts w:cs="Segoe UI"/>
              </w:rPr>
            </w:pPr>
            <w:r w:rsidRPr="00CE60B2">
              <w:rPr>
                <w:rFonts w:cs="Segoe UI"/>
              </w:rPr>
              <w:t>NFPS</w:t>
            </w:r>
          </w:p>
        </w:tc>
        <w:tc>
          <w:tcPr>
            <w:tcW w:w="7608" w:type="dxa"/>
          </w:tcPr>
          <w:p w14:paraId="26ABC788" w14:textId="77777777" w:rsidR="00FC2993" w:rsidRPr="00CE60B2" w:rsidRDefault="00FC2993" w:rsidP="00FC2993">
            <w:pPr>
              <w:rPr>
                <w:rFonts w:cs="Segoe UI"/>
              </w:rPr>
            </w:pPr>
            <w:r w:rsidRPr="00CE60B2">
              <w:rPr>
                <w:rFonts w:cs="Segoe UI"/>
              </w:rPr>
              <w:t>National Forest Policy Statement (1992)</w:t>
            </w:r>
          </w:p>
        </w:tc>
      </w:tr>
      <w:tr w:rsidR="00627628" w:rsidRPr="00CE60B2" w14:paraId="26ABC78C" w14:textId="77777777" w:rsidTr="00FC2993">
        <w:tc>
          <w:tcPr>
            <w:tcW w:w="1418" w:type="dxa"/>
          </w:tcPr>
          <w:p w14:paraId="26ABC78A" w14:textId="77777777" w:rsidR="00627628" w:rsidRPr="00CE60B2" w:rsidRDefault="00627628" w:rsidP="00FC2993">
            <w:pPr>
              <w:rPr>
                <w:rFonts w:cs="Segoe UI"/>
              </w:rPr>
            </w:pPr>
            <w:r>
              <w:rPr>
                <w:rFonts w:cs="Segoe UI"/>
              </w:rPr>
              <w:t>NIFPI</w:t>
            </w:r>
          </w:p>
        </w:tc>
        <w:tc>
          <w:tcPr>
            <w:tcW w:w="7608" w:type="dxa"/>
          </w:tcPr>
          <w:p w14:paraId="26ABC78B" w14:textId="77777777" w:rsidR="00627628" w:rsidRPr="00CE60B2" w:rsidRDefault="005028A1" w:rsidP="00FC2993">
            <w:pPr>
              <w:rPr>
                <w:rFonts w:cs="Segoe UI"/>
              </w:rPr>
            </w:pPr>
            <w:r>
              <w:rPr>
                <w:rFonts w:cs="Segoe UI"/>
              </w:rPr>
              <w:t>National Institute for</w:t>
            </w:r>
            <w:r w:rsidR="00627628" w:rsidRPr="00526F7C">
              <w:rPr>
                <w:rFonts w:cs="Segoe UI"/>
              </w:rPr>
              <w:t xml:space="preserve"> Forest Products</w:t>
            </w:r>
            <w:r w:rsidR="00627628">
              <w:rPr>
                <w:rFonts w:cs="Segoe UI"/>
              </w:rPr>
              <w:t xml:space="preserve"> Innovation</w:t>
            </w:r>
          </w:p>
        </w:tc>
      </w:tr>
      <w:tr w:rsidR="002369E9" w:rsidRPr="00CE60B2" w14:paraId="26ABC78F" w14:textId="77777777" w:rsidTr="00FC2993">
        <w:tc>
          <w:tcPr>
            <w:tcW w:w="1418" w:type="dxa"/>
          </w:tcPr>
          <w:p w14:paraId="26ABC78D" w14:textId="77777777" w:rsidR="002369E9" w:rsidRPr="00CE60B2" w:rsidRDefault="002369E9" w:rsidP="00FC2993">
            <w:pPr>
              <w:rPr>
                <w:rFonts w:cs="Segoe UI"/>
              </w:rPr>
            </w:pPr>
            <w:r>
              <w:rPr>
                <w:rFonts w:cs="Segoe UI"/>
              </w:rPr>
              <w:t>NWI</w:t>
            </w:r>
          </w:p>
        </w:tc>
        <w:tc>
          <w:tcPr>
            <w:tcW w:w="7608" w:type="dxa"/>
          </w:tcPr>
          <w:p w14:paraId="26ABC78E" w14:textId="77777777" w:rsidR="002369E9" w:rsidRPr="00CE60B2" w:rsidRDefault="002369E9" w:rsidP="00FC2993">
            <w:pPr>
              <w:rPr>
                <w:rFonts w:cs="Segoe UI"/>
              </w:rPr>
            </w:pPr>
            <w:r>
              <w:rPr>
                <w:rFonts w:cs="Segoe UI"/>
              </w:rPr>
              <w:t>National Wilderness Index</w:t>
            </w:r>
          </w:p>
        </w:tc>
      </w:tr>
      <w:tr w:rsidR="00F90E81" w:rsidRPr="00CE60B2" w14:paraId="26ABC792" w14:textId="77777777" w:rsidTr="00FC2993">
        <w:tc>
          <w:tcPr>
            <w:tcW w:w="1418" w:type="dxa"/>
          </w:tcPr>
          <w:p w14:paraId="26ABC790" w14:textId="77777777" w:rsidR="00F90E81" w:rsidRPr="00CE60B2" w:rsidRDefault="00F90E81" w:rsidP="00F90E81">
            <w:pPr>
              <w:rPr>
                <w:rFonts w:cs="Segoe UI"/>
              </w:rPr>
            </w:pPr>
            <w:r w:rsidRPr="00CE60B2">
              <w:rPr>
                <w:rFonts w:cs="Segoe UI"/>
              </w:rPr>
              <w:t>pa</w:t>
            </w:r>
          </w:p>
        </w:tc>
        <w:tc>
          <w:tcPr>
            <w:tcW w:w="7608" w:type="dxa"/>
          </w:tcPr>
          <w:p w14:paraId="26ABC791" w14:textId="77777777" w:rsidR="00F90E81" w:rsidRPr="00CE60B2" w:rsidRDefault="00F90E81" w:rsidP="00F90E81">
            <w:pPr>
              <w:rPr>
                <w:rFonts w:cs="Segoe UI"/>
              </w:rPr>
            </w:pPr>
            <w:r w:rsidRPr="00CE60B2">
              <w:rPr>
                <w:rFonts w:cs="Segoe UI"/>
              </w:rPr>
              <w:t>Per Annum</w:t>
            </w:r>
          </w:p>
        </w:tc>
      </w:tr>
      <w:tr w:rsidR="00FC2993" w:rsidRPr="00CE60B2" w14:paraId="26ABC795" w14:textId="77777777" w:rsidTr="00FC2993">
        <w:tc>
          <w:tcPr>
            <w:tcW w:w="1418" w:type="dxa"/>
          </w:tcPr>
          <w:p w14:paraId="26ABC793" w14:textId="77777777" w:rsidR="00FC2993" w:rsidRPr="00CE60B2" w:rsidRDefault="00FC2993" w:rsidP="00FC2993">
            <w:pPr>
              <w:rPr>
                <w:rFonts w:cs="Segoe UI"/>
              </w:rPr>
            </w:pPr>
            <w:r w:rsidRPr="00CE60B2">
              <w:rPr>
                <w:rFonts w:cs="Segoe UI"/>
              </w:rPr>
              <w:t>RFA</w:t>
            </w:r>
          </w:p>
        </w:tc>
        <w:tc>
          <w:tcPr>
            <w:tcW w:w="7608" w:type="dxa"/>
          </w:tcPr>
          <w:p w14:paraId="26ABC794" w14:textId="77777777" w:rsidR="00FC2993" w:rsidRPr="00CE60B2" w:rsidRDefault="00FC2993" w:rsidP="00FC2993">
            <w:pPr>
              <w:rPr>
                <w:rFonts w:cs="Segoe UI"/>
              </w:rPr>
            </w:pPr>
            <w:r w:rsidRPr="00CE60B2">
              <w:rPr>
                <w:rFonts w:cs="Segoe UI"/>
              </w:rPr>
              <w:t>Regional Forest Agreement</w:t>
            </w:r>
          </w:p>
        </w:tc>
      </w:tr>
      <w:tr w:rsidR="00FC2993" w:rsidRPr="00CE60B2" w14:paraId="26ABC798" w14:textId="77777777" w:rsidTr="00FC2993">
        <w:tc>
          <w:tcPr>
            <w:tcW w:w="1418" w:type="dxa"/>
          </w:tcPr>
          <w:p w14:paraId="26ABC796" w14:textId="77777777" w:rsidR="00D71A46" w:rsidRPr="00CE60B2" w:rsidRDefault="00FC2993" w:rsidP="00F90E81">
            <w:pPr>
              <w:rPr>
                <w:rFonts w:cs="Segoe UI"/>
              </w:rPr>
            </w:pPr>
            <w:r w:rsidRPr="00CE60B2">
              <w:rPr>
                <w:rFonts w:cs="Segoe UI"/>
              </w:rPr>
              <w:t>RFA Act</w:t>
            </w:r>
          </w:p>
        </w:tc>
        <w:tc>
          <w:tcPr>
            <w:tcW w:w="7608" w:type="dxa"/>
          </w:tcPr>
          <w:p w14:paraId="26ABC797" w14:textId="77777777" w:rsidR="0047476D" w:rsidRPr="00CE60B2" w:rsidRDefault="00FC2993" w:rsidP="00F90E81">
            <w:pPr>
              <w:rPr>
                <w:rFonts w:cs="Segoe UI"/>
              </w:rPr>
            </w:pPr>
            <w:r w:rsidRPr="00CE60B2">
              <w:rPr>
                <w:rFonts w:cs="Segoe UI"/>
                <w:i/>
              </w:rPr>
              <w:t>Regional Forest Agreements Act 2002</w:t>
            </w:r>
            <w:r w:rsidRPr="00CE60B2">
              <w:rPr>
                <w:rFonts w:cs="Segoe UI"/>
              </w:rPr>
              <w:t xml:space="preserve"> (Cth)</w:t>
            </w:r>
          </w:p>
        </w:tc>
      </w:tr>
      <w:tr w:rsidR="00F90E81" w:rsidRPr="00CE60B2" w14:paraId="26ABC79B" w14:textId="77777777" w:rsidTr="00FC2993">
        <w:tc>
          <w:tcPr>
            <w:tcW w:w="1418" w:type="dxa"/>
          </w:tcPr>
          <w:p w14:paraId="26ABC799" w14:textId="77777777" w:rsidR="00F90E81" w:rsidRPr="00CE60B2" w:rsidRDefault="00F90E81" w:rsidP="00F90E81">
            <w:pPr>
              <w:rPr>
                <w:rFonts w:cs="Segoe UI"/>
              </w:rPr>
            </w:pPr>
            <w:r w:rsidRPr="00CE60B2">
              <w:rPr>
                <w:rFonts w:cs="Segoe UI"/>
              </w:rPr>
              <w:t>RNE</w:t>
            </w:r>
          </w:p>
        </w:tc>
        <w:tc>
          <w:tcPr>
            <w:tcW w:w="7608" w:type="dxa"/>
          </w:tcPr>
          <w:p w14:paraId="26ABC79A" w14:textId="77777777" w:rsidR="00F90E81" w:rsidRPr="00CE60B2" w:rsidRDefault="00F90E81" w:rsidP="00F90E81">
            <w:pPr>
              <w:rPr>
                <w:rFonts w:cs="Segoe UI"/>
                <w:i/>
              </w:rPr>
            </w:pPr>
            <w:r w:rsidRPr="00CE60B2">
              <w:rPr>
                <w:rFonts w:cs="Segoe UI"/>
                <w:lang w:eastAsia="ja-JP"/>
              </w:rPr>
              <w:t>Register of the National Estate</w:t>
            </w:r>
          </w:p>
        </w:tc>
      </w:tr>
      <w:tr w:rsidR="00A236C1" w:rsidRPr="00CE60B2" w14:paraId="26ABC79E" w14:textId="77777777" w:rsidTr="00FC2993">
        <w:tc>
          <w:tcPr>
            <w:tcW w:w="1418" w:type="dxa"/>
          </w:tcPr>
          <w:p w14:paraId="26ABC79C" w14:textId="77777777" w:rsidR="00A236C1" w:rsidRPr="00CE60B2" w:rsidRDefault="00A236C1" w:rsidP="00F90E81">
            <w:pPr>
              <w:rPr>
                <w:rFonts w:cs="Segoe UI"/>
              </w:rPr>
            </w:pPr>
            <w:r>
              <w:rPr>
                <w:rFonts w:cs="Segoe UI"/>
              </w:rPr>
              <w:t>ROKAMBA</w:t>
            </w:r>
          </w:p>
        </w:tc>
        <w:tc>
          <w:tcPr>
            <w:tcW w:w="7608" w:type="dxa"/>
          </w:tcPr>
          <w:p w14:paraId="26ABC79D" w14:textId="77777777" w:rsidR="00A236C1" w:rsidRPr="00CE60B2" w:rsidRDefault="00A236C1" w:rsidP="00F90E81">
            <w:pPr>
              <w:rPr>
                <w:rFonts w:cs="Segoe UI"/>
                <w:lang w:eastAsia="ja-JP"/>
              </w:rPr>
            </w:pPr>
            <w:r>
              <w:rPr>
                <w:rFonts w:cs="Segoe UI"/>
              </w:rPr>
              <w:t>Republic of Korea-Australia Migratory Bird Agreement</w:t>
            </w:r>
          </w:p>
        </w:tc>
      </w:tr>
      <w:tr w:rsidR="00F90E81" w:rsidRPr="00CE60B2" w14:paraId="26ABC7A1" w14:textId="77777777" w:rsidTr="00FC2993">
        <w:tc>
          <w:tcPr>
            <w:tcW w:w="1418" w:type="dxa"/>
          </w:tcPr>
          <w:p w14:paraId="26ABC79F" w14:textId="77777777" w:rsidR="00F90E81" w:rsidRPr="00CE60B2" w:rsidRDefault="00F90E81" w:rsidP="00F90E81">
            <w:pPr>
              <w:rPr>
                <w:rFonts w:cs="Segoe UI"/>
              </w:rPr>
            </w:pPr>
            <w:r w:rsidRPr="00CE60B2">
              <w:rPr>
                <w:rFonts w:cs="Segoe UI"/>
              </w:rPr>
              <w:t>R&amp;D</w:t>
            </w:r>
          </w:p>
        </w:tc>
        <w:tc>
          <w:tcPr>
            <w:tcW w:w="7608" w:type="dxa"/>
          </w:tcPr>
          <w:p w14:paraId="26ABC7A0" w14:textId="77777777" w:rsidR="00F90E81" w:rsidRPr="00CE60B2" w:rsidRDefault="00F90E81" w:rsidP="00F90E81">
            <w:pPr>
              <w:rPr>
                <w:rFonts w:cs="Segoe UI"/>
                <w:i/>
              </w:rPr>
            </w:pPr>
            <w:r w:rsidRPr="00CE60B2">
              <w:rPr>
                <w:rFonts w:cs="Segoe UI"/>
              </w:rPr>
              <w:t>Research and Development</w:t>
            </w:r>
          </w:p>
        </w:tc>
      </w:tr>
      <w:tr w:rsidR="00F90E81" w:rsidRPr="00CE60B2" w14:paraId="26ABC7A4" w14:textId="77777777" w:rsidTr="00FC2993">
        <w:tc>
          <w:tcPr>
            <w:tcW w:w="1418" w:type="dxa"/>
          </w:tcPr>
          <w:p w14:paraId="26ABC7A2" w14:textId="77777777" w:rsidR="00F90E81" w:rsidRPr="00CE60B2" w:rsidRDefault="00F90E81" w:rsidP="00FC2993">
            <w:pPr>
              <w:rPr>
                <w:rFonts w:cs="Segoe UI"/>
              </w:rPr>
            </w:pPr>
            <w:r w:rsidRPr="00CE60B2">
              <w:rPr>
                <w:rFonts w:cs="Segoe UI"/>
              </w:rPr>
              <w:t>SOC</w:t>
            </w:r>
          </w:p>
        </w:tc>
        <w:tc>
          <w:tcPr>
            <w:tcW w:w="7608" w:type="dxa"/>
          </w:tcPr>
          <w:p w14:paraId="26ABC7A3" w14:textId="77777777" w:rsidR="00F90E81" w:rsidRPr="00CE60B2" w:rsidRDefault="00F90E81" w:rsidP="00FC2993">
            <w:pPr>
              <w:rPr>
                <w:rFonts w:cs="Segoe UI"/>
                <w:i/>
              </w:rPr>
            </w:pPr>
            <w:r w:rsidRPr="00CE60B2">
              <w:rPr>
                <w:rFonts w:cs="Segoe UI"/>
              </w:rPr>
              <w:t>State Owned Corporation</w:t>
            </w:r>
          </w:p>
        </w:tc>
      </w:tr>
      <w:tr w:rsidR="00FC2993" w:rsidRPr="00CE60B2" w14:paraId="26ABC7A7" w14:textId="77777777" w:rsidTr="00FC2993">
        <w:tc>
          <w:tcPr>
            <w:tcW w:w="1418" w:type="dxa"/>
          </w:tcPr>
          <w:p w14:paraId="26ABC7A5" w14:textId="77777777" w:rsidR="00FC2993" w:rsidRPr="00CE60B2" w:rsidRDefault="00FC2993" w:rsidP="00FC2993">
            <w:pPr>
              <w:rPr>
                <w:rFonts w:cs="Segoe UI"/>
              </w:rPr>
            </w:pPr>
            <w:r w:rsidRPr="00CE60B2">
              <w:rPr>
                <w:rFonts w:cs="Segoe UI"/>
              </w:rPr>
              <w:t>SOFR</w:t>
            </w:r>
          </w:p>
        </w:tc>
        <w:tc>
          <w:tcPr>
            <w:tcW w:w="7608" w:type="dxa"/>
          </w:tcPr>
          <w:p w14:paraId="26ABC7A6" w14:textId="77777777" w:rsidR="00FC2993" w:rsidRPr="00CE60B2" w:rsidRDefault="00FC2993" w:rsidP="00FC2993">
            <w:pPr>
              <w:rPr>
                <w:rFonts w:cs="Segoe UI"/>
              </w:rPr>
            </w:pPr>
            <w:r w:rsidRPr="00CE60B2">
              <w:rPr>
                <w:rFonts w:cs="Segoe UI"/>
              </w:rPr>
              <w:t>Australia’s State of the Forests Report</w:t>
            </w:r>
          </w:p>
        </w:tc>
      </w:tr>
      <w:tr w:rsidR="003A46E9" w:rsidRPr="00CE60B2" w14:paraId="26ABC7AA" w14:textId="77777777" w:rsidTr="00FC2993">
        <w:tc>
          <w:tcPr>
            <w:tcW w:w="1418" w:type="dxa"/>
          </w:tcPr>
          <w:p w14:paraId="26ABC7A8" w14:textId="77777777" w:rsidR="003A46E9" w:rsidRPr="00CE60B2" w:rsidRDefault="003A46E9" w:rsidP="00FC2993">
            <w:pPr>
              <w:rPr>
                <w:rFonts w:cs="Segoe UI"/>
              </w:rPr>
            </w:pPr>
            <w:r>
              <w:rPr>
                <w:rFonts w:cs="Segoe UI"/>
              </w:rPr>
              <w:t>SWALSC</w:t>
            </w:r>
          </w:p>
        </w:tc>
        <w:tc>
          <w:tcPr>
            <w:tcW w:w="7608" w:type="dxa"/>
          </w:tcPr>
          <w:p w14:paraId="26ABC7A9" w14:textId="77777777" w:rsidR="003A46E9" w:rsidRPr="00CE60B2" w:rsidRDefault="003A46E9" w:rsidP="00FC2993">
            <w:pPr>
              <w:rPr>
                <w:rFonts w:cs="Segoe UI"/>
              </w:rPr>
            </w:pPr>
            <w:r w:rsidRPr="0032549D">
              <w:rPr>
                <w:rFonts w:cs="Segoe UI"/>
              </w:rPr>
              <w:t>South West Aboriginal Land and Sea Council</w:t>
            </w:r>
          </w:p>
        </w:tc>
      </w:tr>
      <w:tr w:rsidR="004B7A36" w:rsidRPr="00CE60B2" w14:paraId="26ABC7AD" w14:textId="77777777" w:rsidTr="00FC2993">
        <w:tc>
          <w:tcPr>
            <w:tcW w:w="1418" w:type="dxa"/>
          </w:tcPr>
          <w:p w14:paraId="26ABC7AB" w14:textId="77777777" w:rsidR="004B7A36" w:rsidRDefault="004B7A36" w:rsidP="00FC2993">
            <w:pPr>
              <w:rPr>
                <w:rFonts w:cs="Segoe UI"/>
              </w:rPr>
            </w:pPr>
            <w:r>
              <w:rPr>
                <w:rFonts w:cs="Segoe UI"/>
              </w:rPr>
              <w:t>SWNT Settlement</w:t>
            </w:r>
          </w:p>
        </w:tc>
        <w:tc>
          <w:tcPr>
            <w:tcW w:w="7608" w:type="dxa"/>
          </w:tcPr>
          <w:p w14:paraId="26ABC7AC" w14:textId="77777777" w:rsidR="004B7A36" w:rsidRPr="0032549D" w:rsidRDefault="004B7A36" w:rsidP="00FC2993">
            <w:pPr>
              <w:rPr>
                <w:rFonts w:cs="Segoe UI"/>
              </w:rPr>
            </w:pPr>
            <w:r w:rsidRPr="0032139F">
              <w:rPr>
                <w:rFonts w:cstheme="minorHAnsi"/>
              </w:rPr>
              <w:t>South West Native Title Settlement</w:t>
            </w:r>
          </w:p>
        </w:tc>
      </w:tr>
      <w:tr w:rsidR="00196B4D" w:rsidRPr="00CE60B2" w14:paraId="26ABC7B0" w14:textId="77777777" w:rsidTr="00FC2993">
        <w:tc>
          <w:tcPr>
            <w:tcW w:w="1418" w:type="dxa"/>
          </w:tcPr>
          <w:p w14:paraId="26ABC7AE" w14:textId="77777777" w:rsidR="00196B4D" w:rsidRPr="00CE60B2" w:rsidRDefault="00196B4D" w:rsidP="00FC2993">
            <w:pPr>
              <w:rPr>
                <w:rFonts w:cs="Segoe UI"/>
              </w:rPr>
            </w:pPr>
            <w:r>
              <w:rPr>
                <w:rFonts w:cs="Segoe UI"/>
              </w:rPr>
              <w:t>SWWMP</w:t>
            </w:r>
          </w:p>
        </w:tc>
        <w:tc>
          <w:tcPr>
            <w:tcW w:w="7608" w:type="dxa"/>
          </w:tcPr>
          <w:p w14:paraId="26ABC7AF" w14:textId="77777777" w:rsidR="00196B4D" w:rsidRPr="00CE60B2" w:rsidRDefault="00196B4D" w:rsidP="00FC2993">
            <w:pPr>
              <w:rPr>
                <w:rFonts w:cs="Segoe UI"/>
              </w:rPr>
            </w:pPr>
            <w:r>
              <w:rPr>
                <w:rFonts w:cs="Segoe UI"/>
              </w:rPr>
              <w:t>South West Wetlands Monitoring Program</w:t>
            </w:r>
          </w:p>
        </w:tc>
      </w:tr>
      <w:tr w:rsidR="00FC2993" w:rsidRPr="00CE60B2" w14:paraId="26ABC7B3" w14:textId="77777777" w:rsidTr="00FC2993">
        <w:tc>
          <w:tcPr>
            <w:tcW w:w="1418" w:type="dxa"/>
          </w:tcPr>
          <w:p w14:paraId="26ABC7B1" w14:textId="77777777" w:rsidR="00FC2993" w:rsidRPr="00CE60B2" w:rsidRDefault="00FC2993" w:rsidP="00FC2993">
            <w:pPr>
              <w:rPr>
                <w:rFonts w:cs="Segoe UI"/>
              </w:rPr>
            </w:pPr>
            <w:r w:rsidRPr="00CE60B2">
              <w:rPr>
                <w:rFonts w:cs="Segoe UI"/>
              </w:rPr>
              <w:t>UNESCO</w:t>
            </w:r>
          </w:p>
        </w:tc>
        <w:tc>
          <w:tcPr>
            <w:tcW w:w="7608" w:type="dxa"/>
          </w:tcPr>
          <w:p w14:paraId="26ABC7B2" w14:textId="77777777" w:rsidR="00FC2993" w:rsidRPr="00CE60B2" w:rsidRDefault="00FC2993" w:rsidP="00FC2993">
            <w:pPr>
              <w:rPr>
                <w:rFonts w:cs="Segoe UI"/>
              </w:rPr>
            </w:pPr>
            <w:r w:rsidRPr="00CE60B2">
              <w:rPr>
                <w:rFonts w:cs="Segoe UI"/>
              </w:rPr>
              <w:t>United Nations Educational, Scientific and Cultural Organization</w:t>
            </w:r>
          </w:p>
        </w:tc>
      </w:tr>
      <w:tr w:rsidR="00B04435" w:rsidRPr="00CE60B2" w14:paraId="26ABC7B6" w14:textId="77777777" w:rsidTr="00FC2993">
        <w:tc>
          <w:tcPr>
            <w:tcW w:w="1418" w:type="dxa"/>
          </w:tcPr>
          <w:p w14:paraId="26ABC7B4" w14:textId="77777777" w:rsidR="00B04435" w:rsidRPr="00CE60B2" w:rsidRDefault="00B04435" w:rsidP="00FC2993">
            <w:pPr>
              <w:rPr>
                <w:rFonts w:cs="Segoe UI"/>
              </w:rPr>
            </w:pPr>
            <w:r w:rsidRPr="00CE60B2">
              <w:rPr>
                <w:rFonts w:cs="Segoe UI"/>
              </w:rPr>
              <w:t>WA RFA</w:t>
            </w:r>
          </w:p>
        </w:tc>
        <w:tc>
          <w:tcPr>
            <w:tcW w:w="7608" w:type="dxa"/>
          </w:tcPr>
          <w:p w14:paraId="26ABC7B5" w14:textId="77777777" w:rsidR="00B04435" w:rsidRPr="00CE60B2" w:rsidRDefault="00B04435" w:rsidP="00FC2993">
            <w:pPr>
              <w:rPr>
                <w:rFonts w:cs="Segoe UI"/>
              </w:rPr>
            </w:pPr>
            <w:r w:rsidRPr="00CE60B2">
              <w:rPr>
                <w:rFonts w:cs="Segoe UI"/>
              </w:rPr>
              <w:t>Regional Forest Agreement for the South-West Forest Region of Western Australia</w:t>
            </w:r>
          </w:p>
        </w:tc>
      </w:tr>
      <w:tr w:rsidR="00F54B80" w:rsidRPr="00CE60B2" w14:paraId="26ABC7B9" w14:textId="77777777" w:rsidTr="00FC2993">
        <w:tc>
          <w:tcPr>
            <w:tcW w:w="1418" w:type="dxa"/>
          </w:tcPr>
          <w:p w14:paraId="26ABC7B7" w14:textId="77777777" w:rsidR="00F54B80" w:rsidRPr="00CE60B2" w:rsidRDefault="00F54B80" w:rsidP="00FC2993">
            <w:pPr>
              <w:rPr>
                <w:rFonts w:cs="Segoe UI"/>
              </w:rPr>
            </w:pPr>
            <w:r>
              <w:rPr>
                <w:rFonts w:cs="Segoe UI"/>
              </w:rPr>
              <w:lastRenderedPageBreak/>
              <w:t>WC Act</w:t>
            </w:r>
          </w:p>
        </w:tc>
        <w:tc>
          <w:tcPr>
            <w:tcW w:w="7608" w:type="dxa"/>
          </w:tcPr>
          <w:p w14:paraId="26ABC7B8" w14:textId="77777777" w:rsidR="00F54B80" w:rsidRPr="00CE60B2" w:rsidRDefault="00F54B80" w:rsidP="00FC2993">
            <w:pPr>
              <w:rPr>
                <w:rFonts w:cs="Segoe UI"/>
              </w:rPr>
            </w:pPr>
            <w:r w:rsidRPr="005B1E1A">
              <w:rPr>
                <w:rFonts w:cs="Segoe UI"/>
                <w:i/>
              </w:rPr>
              <w:t>Wildlife Conservation Act 1950</w:t>
            </w:r>
            <w:r>
              <w:rPr>
                <w:rFonts w:cs="Segoe UI"/>
                <w:i/>
              </w:rPr>
              <w:t xml:space="preserve"> </w:t>
            </w:r>
            <w:r w:rsidRPr="006F07A0">
              <w:rPr>
                <w:rFonts w:cs="Segoe UI"/>
              </w:rPr>
              <w:t>(WA)</w:t>
            </w:r>
          </w:p>
        </w:tc>
      </w:tr>
      <w:tr w:rsidR="00FC2993" w:rsidRPr="00CE60B2" w14:paraId="26ABC7BC" w14:textId="77777777" w:rsidTr="00FC2993">
        <w:tc>
          <w:tcPr>
            <w:tcW w:w="1418" w:type="dxa"/>
          </w:tcPr>
          <w:p w14:paraId="26ABC7BA" w14:textId="77777777" w:rsidR="00FC2993" w:rsidRPr="00CE60B2" w:rsidRDefault="00FC2993" w:rsidP="00FC2993">
            <w:pPr>
              <w:rPr>
                <w:rFonts w:cs="Segoe UI"/>
              </w:rPr>
            </w:pPr>
            <w:r w:rsidRPr="00CE60B2">
              <w:rPr>
                <w:rFonts w:cs="Segoe UI"/>
              </w:rPr>
              <w:t>WH</w:t>
            </w:r>
          </w:p>
        </w:tc>
        <w:tc>
          <w:tcPr>
            <w:tcW w:w="7608" w:type="dxa"/>
          </w:tcPr>
          <w:p w14:paraId="26ABC7BB" w14:textId="77777777" w:rsidR="00FC2993" w:rsidRPr="00CE60B2" w:rsidRDefault="00FC2993" w:rsidP="00FC2993">
            <w:pPr>
              <w:rPr>
                <w:rFonts w:cs="Segoe UI"/>
              </w:rPr>
            </w:pPr>
            <w:r w:rsidRPr="00CE60B2">
              <w:rPr>
                <w:rFonts w:cs="Segoe UI"/>
              </w:rPr>
              <w:t>World Heritage</w:t>
            </w:r>
          </w:p>
        </w:tc>
      </w:tr>
      <w:tr w:rsidR="005A26FA" w:rsidRPr="00CE60B2" w14:paraId="26ABC7BF" w14:textId="77777777" w:rsidTr="00FC2993">
        <w:tc>
          <w:tcPr>
            <w:tcW w:w="1418" w:type="dxa"/>
          </w:tcPr>
          <w:p w14:paraId="26ABC7BD" w14:textId="77777777" w:rsidR="00D71A46" w:rsidRPr="00CE60B2" w:rsidRDefault="005A26FA" w:rsidP="00F90E81">
            <w:pPr>
              <w:rPr>
                <w:rFonts w:cs="Segoe UI"/>
              </w:rPr>
            </w:pPr>
            <w:r w:rsidRPr="00CE60B2">
              <w:rPr>
                <w:rFonts w:cs="Segoe UI"/>
              </w:rPr>
              <w:t>WHA</w:t>
            </w:r>
          </w:p>
        </w:tc>
        <w:tc>
          <w:tcPr>
            <w:tcW w:w="7608" w:type="dxa"/>
          </w:tcPr>
          <w:p w14:paraId="26ABC7BE" w14:textId="77777777" w:rsidR="00FD5187" w:rsidRPr="00CE60B2" w:rsidRDefault="005A26FA" w:rsidP="00F90E81">
            <w:pPr>
              <w:rPr>
                <w:rFonts w:cs="Segoe UI"/>
              </w:rPr>
            </w:pPr>
            <w:r w:rsidRPr="00CE60B2">
              <w:rPr>
                <w:rFonts w:cs="Segoe UI"/>
                <w:lang w:eastAsia="ja-JP"/>
              </w:rPr>
              <w:t>World Heritage Area</w:t>
            </w:r>
          </w:p>
        </w:tc>
      </w:tr>
    </w:tbl>
    <w:p w14:paraId="26ABC7C0" w14:textId="77777777" w:rsidR="00F451EA" w:rsidRPr="00643A67" w:rsidRDefault="00F451EA" w:rsidP="00F451EA">
      <w:pPr>
        <w:pStyle w:val="Heading1"/>
        <w:rPr>
          <w:rFonts w:ascii="Segoe UI" w:hAnsi="Segoe UI" w:cs="Segoe UI"/>
          <w:sz w:val="20"/>
          <w:szCs w:val="20"/>
        </w:rPr>
      </w:pPr>
      <w:r w:rsidRPr="00CE60B2">
        <w:rPr>
          <w:rFonts w:ascii="Segoe UI" w:hAnsi="Segoe UI" w:cs="Segoe UI"/>
        </w:rPr>
        <w:br w:type="page"/>
      </w:r>
    </w:p>
    <w:p w14:paraId="26ABC7C1" w14:textId="77777777" w:rsidR="003277E0" w:rsidRPr="00CE60B2" w:rsidRDefault="003277E0" w:rsidP="00E13173">
      <w:pPr>
        <w:pStyle w:val="Heading2"/>
      </w:pPr>
      <w:bookmarkStart w:id="6" w:name="_Toc524952780"/>
      <w:bookmarkStart w:id="7" w:name="_Toc2776023"/>
      <w:r w:rsidRPr="00CE60B2">
        <w:lastRenderedPageBreak/>
        <w:t>Introduction</w:t>
      </w:r>
      <w:bookmarkEnd w:id="6"/>
      <w:bookmarkEnd w:id="7"/>
    </w:p>
    <w:p w14:paraId="26ABC7C2" w14:textId="77777777" w:rsidR="004D2921" w:rsidRPr="00CE60B2" w:rsidRDefault="0051554C" w:rsidP="00CF00F0">
      <w:pPr>
        <w:rPr>
          <w:rFonts w:cs="Segoe UI"/>
        </w:rPr>
      </w:pPr>
      <w:r w:rsidRPr="00DF0258">
        <w:rPr>
          <w:rFonts w:cs="Segoe UI"/>
        </w:rPr>
        <w:t xml:space="preserve">The </w:t>
      </w:r>
      <w:r w:rsidRPr="00DF0258">
        <w:rPr>
          <w:rFonts w:cs="Segoe UI"/>
          <w:i/>
          <w:iCs/>
        </w:rPr>
        <w:t xml:space="preserve">Regional Forest Agreement for the South-West Forest Region of Western Australia </w:t>
      </w:r>
      <w:r w:rsidRPr="00DF0258">
        <w:rPr>
          <w:rFonts w:cs="Segoe UI"/>
          <w:iCs/>
        </w:rPr>
        <w:t>(WA RFA) was signed by the Australian and Western Australian</w:t>
      </w:r>
      <w:r w:rsidR="00584E17">
        <w:rPr>
          <w:rFonts w:cs="Segoe UI"/>
          <w:iCs/>
        </w:rPr>
        <w:t xml:space="preserve"> (WA)</w:t>
      </w:r>
      <w:r w:rsidRPr="00DF0258">
        <w:rPr>
          <w:rFonts w:cs="Segoe UI"/>
          <w:iCs/>
        </w:rPr>
        <w:t> governments on 4 May </w:t>
      </w:r>
      <w:r w:rsidR="00423310" w:rsidRPr="00DF0258">
        <w:rPr>
          <w:rFonts w:cs="Segoe UI"/>
          <w:iCs/>
        </w:rPr>
        <w:t>1999</w:t>
      </w:r>
      <w:r>
        <w:rPr>
          <w:rFonts w:cs="Segoe UI"/>
          <w:iCs/>
          <w:sz w:val="24"/>
          <w:szCs w:val="24"/>
        </w:rPr>
        <w:t xml:space="preserve">. </w:t>
      </w:r>
      <w:r w:rsidR="00795A70" w:rsidRPr="00CE60B2">
        <w:rPr>
          <w:rFonts w:cs="Segoe UI"/>
        </w:rPr>
        <w:t xml:space="preserve">Prior to the signing of </w:t>
      </w:r>
      <w:r w:rsidR="0085482C" w:rsidRPr="00CE60B2">
        <w:rPr>
          <w:rFonts w:cs="Segoe UI"/>
        </w:rPr>
        <w:t xml:space="preserve">the </w:t>
      </w:r>
      <w:r w:rsidR="00DE0C49" w:rsidRPr="00CE60B2">
        <w:rPr>
          <w:rFonts w:cs="Segoe UI"/>
        </w:rPr>
        <w:t>WA</w:t>
      </w:r>
      <w:r>
        <w:rPr>
          <w:rFonts w:cs="Segoe UI"/>
        </w:rPr>
        <w:t> </w:t>
      </w:r>
      <w:r w:rsidR="005B7647" w:rsidRPr="00CE60B2">
        <w:rPr>
          <w:rFonts w:cs="Segoe UI"/>
        </w:rPr>
        <w:t>RFA, Comprehensive Regional Assessments (</w:t>
      </w:r>
      <w:r w:rsidR="004D2921" w:rsidRPr="00CE60B2">
        <w:rPr>
          <w:rFonts w:cs="Segoe UI"/>
        </w:rPr>
        <w:t>CRAs</w:t>
      </w:r>
      <w:r w:rsidR="005B7647" w:rsidRPr="00CE60B2">
        <w:rPr>
          <w:rFonts w:cs="Segoe UI"/>
        </w:rPr>
        <w:t>)</w:t>
      </w:r>
      <w:r w:rsidR="004D2921" w:rsidRPr="00CE60B2">
        <w:rPr>
          <w:rFonts w:cs="Segoe UI"/>
        </w:rPr>
        <w:t xml:space="preserve"> </w:t>
      </w:r>
      <w:r>
        <w:rPr>
          <w:rFonts w:cs="Segoe UI"/>
        </w:rPr>
        <w:t xml:space="preserve">of environmental, heritage, social and economic </w:t>
      </w:r>
      <w:r w:rsidR="00486D39">
        <w:rPr>
          <w:rFonts w:cs="Segoe UI"/>
        </w:rPr>
        <w:t xml:space="preserve">uses and </w:t>
      </w:r>
      <w:r>
        <w:rPr>
          <w:rFonts w:cs="Segoe UI"/>
        </w:rPr>
        <w:t>values of the forests were undertaken to inform the framework for the WA RFA</w:t>
      </w:r>
      <w:r w:rsidR="00423310">
        <w:rPr>
          <w:rFonts w:cs="Segoe UI"/>
        </w:rPr>
        <w:t xml:space="preserve"> process</w:t>
      </w:r>
      <w:r w:rsidR="005B7647" w:rsidRPr="00CE60B2">
        <w:rPr>
          <w:rFonts w:cs="Segoe UI"/>
        </w:rPr>
        <w:t xml:space="preserve">. </w:t>
      </w:r>
      <w:r w:rsidR="00486D39">
        <w:rPr>
          <w:rFonts w:cs="Segoe UI"/>
        </w:rPr>
        <w:t>The 1996 WA RFA scoping agreement described the process for the implementation and collection of data for the CRAs and covered the following values</w:t>
      </w:r>
      <w:r w:rsidR="004D2921" w:rsidRPr="00CE60B2">
        <w:rPr>
          <w:rFonts w:cs="Segoe UI"/>
        </w:rPr>
        <w:t>:</w:t>
      </w:r>
    </w:p>
    <w:p w14:paraId="26ABC7C3" w14:textId="77777777" w:rsidR="004D2921" w:rsidRPr="00CE60B2" w:rsidRDefault="004D2921" w:rsidP="00340F1B">
      <w:pPr>
        <w:pStyle w:val="ListParagraph"/>
        <w:numPr>
          <w:ilvl w:val="0"/>
          <w:numId w:val="4"/>
        </w:numPr>
        <w:rPr>
          <w:rFonts w:cs="Segoe UI"/>
        </w:rPr>
      </w:pPr>
      <w:r w:rsidRPr="00CE60B2">
        <w:rPr>
          <w:rFonts w:cs="Segoe UI"/>
        </w:rPr>
        <w:t>Biodiversity</w:t>
      </w:r>
    </w:p>
    <w:p w14:paraId="26ABC7C4" w14:textId="77777777" w:rsidR="004D2921" w:rsidRPr="00CE60B2" w:rsidRDefault="00B40201" w:rsidP="00340F1B">
      <w:pPr>
        <w:pStyle w:val="ListParagraph"/>
        <w:numPr>
          <w:ilvl w:val="0"/>
          <w:numId w:val="4"/>
        </w:numPr>
        <w:rPr>
          <w:rFonts w:cs="Segoe UI"/>
        </w:rPr>
      </w:pPr>
      <w:r>
        <w:rPr>
          <w:rFonts w:cs="Segoe UI"/>
        </w:rPr>
        <w:t>Old-growth</w:t>
      </w:r>
    </w:p>
    <w:p w14:paraId="26ABC7C5" w14:textId="77777777" w:rsidR="004D2921" w:rsidRPr="00CE60B2" w:rsidRDefault="004D2921" w:rsidP="00340F1B">
      <w:pPr>
        <w:pStyle w:val="ListParagraph"/>
        <w:numPr>
          <w:ilvl w:val="0"/>
          <w:numId w:val="4"/>
        </w:numPr>
        <w:rPr>
          <w:rFonts w:cs="Segoe UI"/>
        </w:rPr>
      </w:pPr>
      <w:r w:rsidRPr="00CE60B2">
        <w:rPr>
          <w:rFonts w:cs="Segoe UI"/>
        </w:rPr>
        <w:t>Wilderness</w:t>
      </w:r>
    </w:p>
    <w:p w14:paraId="26ABC7C6" w14:textId="77777777" w:rsidR="004D2921" w:rsidRPr="00CE60B2" w:rsidRDefault="004D2921" w:rsidP="00340F1B">
      <w:pPr>
        <w:pStyle w:val="ListParagraph"/>
        <w:numPr>
          <w:ilvl w:val="0"/>
          <w:numId w:val="4"/>
        </w:numPr>
        <w:rPr>
          <w:rFonts w:cs="Segoe UI"/>
        </w:rPr>
      </w:pPr>
      <w:r w:rsidRPr="00CE60B2">
        <w:rPr>
          <w:rFonts w:cs="Segoe UI"/>
        </w:rPr>
        <w:t>Endangered species</w:t>
      </w:r>
    </w:p>
    <w:p w14:paraId="26ABC7C7" w14:textId="77777777" w:rsidR="004D2921" w:rsidRPr="00CE60B2" w:rsidRDefault="004D2921" w:rsidP="00340F1B">
      <w:pPr>
        <w:pStyle w:val="ListParagraph"/>
        <w:numPr>
          <w:ilvl w:val="0"/>
          <w:numId w:val="4"/>
        </w:numPr>
        <w:rPr>
          <w:rFonts w:cs="Segoe UI"/>
        </w:rPr>
      </w:pPr>
      <w:r w:rsidRPr="00CE60B2">
        <w:rPr>
          <w:rFonts w:cs="Segoe UI"/>
        </w:rPr>
        <w:t>National Estate values</w:t>
      </w:r>
    </w:p>
    <w:p w14:paraId="26ABC7C8" w14:textId="77777777" w:rsidR="004D2921" w:rsidRPr="00CE60B2" w:rsidRDefault="004D2921" w:rsidP="00340F1B">
      <w:pPr>
        <w:pStyle w:val="ListParagraph"/>
        <w:numPr>
          <w:ilvl w:val="0"/>
          <w:numId w:val="4"/>
        </w:numPr>
        <w:rPr>
          <w:rFonts w:cs="Segoe UI"/>
        </w:rPr>
      </w:pPr>
      <w:r w:rsidRPr="00CE60B2">
        <w:rPr>
          <w:rFonts w:cs="Segoe UI"/>
        </w:rPr>
        <w:t>World Heritage values</w:t>
      </w:r>
    </w:p>
    <w:p w14:paraId="26ABC7C9" w14:textId="77777777" w:rsidR="008C287F" w:rsidRPr="00CE60B2" w:rsidRDefault="008C287F" w:rsidP="00340F1B">
      <w:pPr>
        <w:pStyle w:val="ListParagraph"/>
        <w:numPr>
          <w:ilvl w:val="0"/>
          <w:numId w:val="4"/>
        </w:numPr>
        <w:rPr>
          <w:rFonts w:cs="Segoe UI"/>
        </w:rPr>
      </w:pPr>
      <w:r w:rsidRPr="00CE60B2">
        <w:rPr>
          <w:rFonts w:cs="Segoe UI"/>
        </w:rPr>
        <w:t>Indigenous Heritage</w:t>
      </w:r>
    </w:p>
    <w:p w14:paraId="26ABC7CA" w14:textId="77777777" w:rsidR="004D2921" w:rsidRPr="00CE60B2" w:rsidRDefault="004D2921" w:rsidP="00340F1B">
      <w:pPr>
        <w:pStyle w:val="ListParagraph"/>
        <w:numPr>
          <w:ilvl w:val="0"/>
          <w:numId w:val="4"/>
        </w:numPr>
        <w:rPr>
          <w:rFonts w:cs="Segoe UI"/>
        </w:rPr>
      </w:pPr>
      <w:r w:rsidRPr="00CE60B2">
        <w:rPr>
          <w:rFonts w:cs="Segoe UI"/>
        </w:rPr>
        <w:t>Social values</w:t>
      </w:r>
    </w:p>
    <w:p w14:paraId="26ABC7CB" w14:textId="77777777" w:rsidR="004D2921" w:rsidRPr="00CE60B2" w:rsidRDefault="004D2921" w:rsidP="00340F1B">
      <w:pPr>
        <w:pStyle w:val="ListParagraph"/>
        <w:numPr>
          <w:ilvl w:val="0"/>
          <w:numId w:val="4"/>
        </w:numPr>
        <w:rPr>
          <w:rFonts w:cs="Segoe UI"/>
        </w:rPr>
      </w:pPr>
      <w:r w:rsidRPr="00CE60B2">
        <w:rPr>
          <w:rFonts w:cs="Segoe UI"/>
        </w:rPr>
        <w:t>Economic values and industry development opportunities in forested areas</w:t>
      </w:r>
    </w:p>
    <w:p w14:paraId="26ABC7CC" w14:textId="3B870E59" w:rsidR="004D2921" w:rsidRPr="00CE60B2" w:rsidRDefault="004D2921" w:rsidP="00340F1B">
      <w:pPr>
        <w:pStyle w:val="ListParagraph"/>
        <w:numPr>
          <w:ilvl w:val="0"/>
          <w:numId w:val="4"/>
        </w:numPr>
        <w:rPr>
          <w:rFonts w:cs="Segoe UI"/>
        </w:rPr>
      </w:pPr>
      <w:r w:rsidRPr="00CE60B2">
        <w:rPr>
          <w:rFonts w:cs="Segoe UI"/>
        </w:rPr>
        <w:t>Ecologically sustainable management</w:t>
      </w:r>
      <w:r w:rsidR="00D24472">
        <w:rPr>
          <w:rFonts w:cs="Segoe UI"/>
        </w:rPr>
        <w:t>.</w:t>
      </w:r>
    </w:p>
    <w:p w14:paraId="26ABC7CD" w14:textId="77777777" w:rsidR="0051554C" w:rsidRDefault="0051554C" w:rsidP="00810A6A">
      <w:pPr>
        <w:rPr>
          <w:rFonts w:cs="Segoe UI"/>
        </w:rPr>
      </w:pPr>
      <w:r w:rsidRPr="00CE60B2">
        <w:rPr>
          <w:rFonts w:cs="Segoe UI"/>
        </w:rPr>
        <w:t>Th</w:t>
      </w:r>
      <w:r w:rsidR="00486D39">
        <w:rPr>
          <w:rFonts w:cs="Segoe UI"/>
        </w:rPr>
        <w:t>is</w:t>
      </w:r>
      <w:r w:rsidRPr="00CE60B2">
        <w:rPr>
          <w:rFonts w:cs="Segoe UI"/>
        </w:rPr>
        <w:t xml:space="preserve"> document </w:t>
      </w:r>
      <w:r w:rsidR="00486D39">
        <w:rPr>
          <w:rFonts w:cs="Segoe UI"/>
        </w:rPr>
        <w:t xml:space="preserve">provides an </w:t>
      </w:r>
      <w:r>
        <w:rPr>
          <w:rFonts w:cs="Segoe UI"/>
        </w:rPr>
        <w:t>assess</w:t>
      </w:r>
      <w:r w:rsidR="00486D39">
        <w:rPr>
          <w:rFonts w:cs="Segoe UI"/>
        </w:rPr>
        <w:t>ment of</w:t>
      </w:r>
      <w:r w:rsidRPr="00CE60B2">
        <w:rPr>
          <w:rFonts w:cs="Segoe UI"/>
        </w:rPr>
        <w:t xml:space="preserve"> how the </w:t>
      </w:r>
      <w:r w:rsidR="00486D39">
        <w:rPr>
          <w:rFonts w:cs="Segoe UI"/>
        </w:rPr>
        <w:t xml:space="preserve">various uses and </w:t>
      </w:r>
      <w:r>
        <w:rPr>
          <w:rFonts w:cs="Segoe UI"/>
        </w:rPr>
        <w:t>values</w:t>
      </w:r>
      <w:r w:rsidRPr="00CE60B2">
        <w:rPr>
          <w:rFonts w:cs="Segoe UI"/>
        </w:rPr>
        <w:t xml:space="preserve"> </w:t>
      </w:r>
      <w:r w:rsidR="00486D39">
        <w:rPr>
          <w:rFonts w:cs="Segoe UI"/>
        </w:rPr>
        <w:t>of</w:t>
      </w:r>
      <w:r w:rsidRPr="00CE60B2">
        <w:rPr>
          <w:rFonts w:cs="Segoe UI"/>
        </w:rPr>
        <w:t xml:space="preserve"> the </w:t>
      </w:r>
      <w:r w:rsidRPr="00FD10BB">
        <w:t>WA RFA</w:t>
      </w:r>
      <w:r w:rsidRPr="00CE60B2">
        <w:rPr>
          <w:rFonts w:cs="Segoe UI"/>
          <w:i/>
          <w:iCs/>
          <w:sz w:val="24"/>
          <w:szCs w:val="24"/>
        </w:rPr>
        <w:t xml:space="preserve"> </w:t>
      </w:r>
      <w:r w:rsidRPr="00CE60B2">
        <w:rPr>
          <w:rFonts w:cs="Segoe UI"/>
        </w:rPr>
        <w:t>have been monitored</w:t>
      </w:r>
      <w:r>
        <w:rPr>
          <w:rFonts w:cs="Segoe UI"/>
        </w:rPr>
        <w:t xml:space="preserve">, </w:t>
      </w:r>
      <w:r w:rsidR="00486D39">
        <w:rPr>
          <w:rFonts w:cs="Segoe UI"/>
        </w:rPr>
        <w:t xml:space="preserve">maintained, </w:t>
      </w:r>
      <w:r>
        <w:rPr>
          <w:rFonts w:cs="Segoe UI"/>
        </w:rPr>
        <w:t>implemented</w:t>
      </w:r>
      <w:r w:rsidRPr="00CE60B2">
        <w:rPr>
          <w:rFonts w:cs="Segoe UI"/>
        </w:rPr>
        <w:t xml:space="preserve"> and addressed </w:t>
      </w:r>
      <w:r w:rsidR="00486D39">
        <w:rPr>
          <w:rFonts w:cs="Segoe UI"/>
        </w:rPr>
        <w:t xml:space="preserve">since the </w:t>
      </w:r>
      <w:r w:rsidR="00A22E53">
        <w:rPr>
          <w:rFonts w:cs="Segoe UI"/>
        </w:rPr>
        <w:t xml:space="preserve">CRAs and </w:t>
      </w:r>
      <w:r w:rsidR="00486D39">
        <w:rPr>
          <w:rFonts w:cs="Segoe UI"/>
        </w:rPr>
        <w:t>signing of the WA RFA</w:t>
      </w:r>
      <w:r w:rsidRPr="00CE60B2">
        <w:rPr>
          <w:rFonts w:cs="Segoe UI"/>
        </w:rPr>
        <w:t>, to inform consideration of the WA</w:t>
      </w:r>
      <w:r>
        <w:rPr>
          <w:rFonts w:cs="Segoe UI"/>
        </w:rPr>
        <w:t> </w:t>
      </w:r>
      <w:r w:rsidRPr="00CE60B2">
        <w:rPr>
          <w:rFonts w:cs="Segoe UI"/>
        </w:rPr>
        <w:t>RFA extension process.</w:t>
      </w:r>
    </w:p>
    <w:p w14:paraId="26ABC7CE" w14:textId="77777777" w:rsidR="005B7647" w:rsidRPr="00CE60B2" w:rsidRDefault="005B7647" w:rsidP="00810A6A">
      <w:pPr>
        <w:rPr>
          <w:rFonts w:cs="Segoe UI"/>
        </w:rPr>
      </w:pPr>
      <w:r w:rsidRPr="00CE60B2">
        <w:rPr>
          <w:rFonts w:cs="Segoe UI"/>
        </w:rPr>
        <w:t>Subsequently</w:t>
      </w:r>
      <w:r w:rsidR="0085482C" w:rsidRPr="00CE60B2">
        <w:rPr>
          <w:rFonts w:cs="Segoe UI"/>
        </w:rPr>
        <w:t>,</w:t>
      </w:r>
      <w:r w:rsidRPr="00CE60B2">
        <w:rPr>
          <w:rFonts w:cs="Segoe UI"/>
        </w:rPr>
        <w:t xml:space="preserve"> the </w:t>
      </w:r>
      <w:r w:rsidRPr="00CE60B2">
        <w:rPr>
          <w:rFonts w:cs="Segoe UI"/>
          <w:i/>
        </w:rPr>
        <w:t>Regional Forest Agreements Act 2002</w:t>
      </w:r>
      <w:r w:rsidRPr="00CE60B2">
        <w:rPr>
          <w:rFonts w:cs="Segoe UI"/>
        </w:rPr>
        <w:t xml:space="preserve"> (Cth)</w:t>
      </w:r>
      <w:r w:rsidR="004227B9">
        <w:rPr>
          <w:rFonts w:cs="Segoe UI"/>
        </w:rPr>
        <w:t xml:space="preserve"> (RFA Act)</w:t>
      </w:r>
      <w:r w:rsidRPr="00CE60B2">
        <w:rPr>
          <w:rFonts w:cs="Segoe UI"/>
        </w:rPr>
        <w:t xml:space="preserve"> adopted the following list of </w:t>
      </w:r>
      <w:r w:rsidRPr="00CE60B2">
        <w:rPr>
          <w:rFonts w:cs="Segoe UI"/>
          <w:i/>
        </w:rPr>
        <w:t>matters</w:t>
      </w:r>
      <w:r w:rsidRPr="00CE60B2">
        <w:rPr>
          <w:rFonts w:cs="Segoe UI"/>
        </w:rPr>
        <w:t xml:space="preserve"> to be considered when developing RFAs:</w:t>
      </w:r>
    </w:p>
    <w:p w14:paraId="26ABC7CF" w14:textId="77777777" w:rsidR="005B7647" w:rsidRPr="00CE60B2" w:rsidRDefault="005B7647" w:rsidP="00340F1B">
      <w:pPr>
        <w:pStyle w:val="ListParagraph"/>
        <w:numPr>
          <w:ilvl w:val="0"/>
          <w:numId w:val="5"/>
        </w:numPr>
        <w:autoSpaceDE w:val="0"/>
        <w:autoSpaceDN w:val="0"/>
        <w:adjustRightInd w:val="0"/>
        <w:spacing w:before="0" w:after="246"/>
        <w:rPr>
          <w:rFonts w:cs="Segoe UI"/>
          <w:color w:val="000000"/>
        </w:rPr>
      </w:pPr>
      <w:r w:rsidRPr="00CE60B2">
        <w:rPr>
          <w:rFonts w:cs="Segoe UI"/>
          <w:iCs/>
          <w:color w:val="000000"/>
        </w:rPr>
        <w:t xml:space="preserve">environmental values, including </w:t>
      </w:r>
      <w:r w:rsidR="00B40201">
        <w:rPr>
          <w:rFonts w:cs="Segoe UI"/>
          <w:iCs/>
          <w:color w:val="000000"/>
        </w:rPr>
        <w:t>old-growth</w:t>
      </w:r>
      <w:r w:rsidRPr="00CE60B2">
        <w:rPr>
          <w:rFonts w:cs="Segoe UI"/>
          <w:iCs/>
          <w:color w:val="000000"/>
        </w:rPr>
        <w:t>, wilderness, endangered species, national estate v</w:t>
      </w:r>
      <w:r w:rsidR="00810A6A" w:rsidRPr="00CE60B2">
        <w:rPr>
          <w:rFonts w:cs="Segoe UI"/>
          <w:iCs/>
          <w:color w:val="000000"/>
        </w:rPr>
        <w:t>alues and world heritage values</w:t>
      </w:r>
    </w:p>
    <w:p w14:paraId="26ABC7D0" w14:textId="77777777" w:rsidR="005B7647" w:rsidRPr="00CE60B2" w:rsidRDefault="00810A6A" w:rsidP="00340F1B">
      <w:pPr>
        <w:pStyle w:val="ListParagraph"/>
        <w:numPr>
          <w:ilvl w:val="0"/>
          <w:numId w:val="5"/>
        </w:numPr>
        <w:autoSpaceDE w:val="0"/>
        <w:autoSpaceDN w:val="0"/>
        <w:adjustRightInd w:val="0"/>
        <w:spacing w:before="0" w:after="246"/>
        <w:rPr>
          <w:rFonts w:cs="Segoe UI"/>
          <w:color w:val="000000"/>
        </w:rPr>
      </w:pPr>
      <w:r w:rsidRPr="00CE60B2">
        <w:rPr>
          <w:rFonts w:cs="Segoe UI"/>
          <w:iCs/>
          <w:color w:val="000000"/>
        </w:rPr>
        <w:t>indigenous heritage values</w:t>
      </w:r>
    </w:p>
    <w:p w14:paraId="26ABC7D1" w14:textId="77777777" w:rsidR="005B7647" w:rsidRPr="00CE60B2" w:rsidRDefault="005B7647" w:rsidP="00340F1B">
      <w:pPr>
        <w:pStyle w:val="ListParagraph"/>
        <w:numPr>
          <w:ilvl w:val="0"/>
          <w:numId w:val="5"/>
        </w:numPr>
        <w:autoSpaceDE w:val="0"/>
        <w:autoSpaceDN w:val="0"/>
        <w:adjustRightInd w:val="0"/>
        <w:spacing w:before="0" w:after="246"/>
        <w:rPr>
          <w:rFonts w:cs="Segoe UI"/>
          <w:color w:val="000000"/>
        </w:rPr>
      </w:pPr>
      <w:r w:rsidRPr="00CE60B2">
        <w:rPr>
          <w:rFonts w:cs="Segoe UI"/>
          <w:iCs/>
          <w:color w:val="000000"/>
        </w:rPr>
        <w:t>economic values of forest</w:t>
      </w:r>
      <w:r w:rsidR="00810A6A" w:rsidRPr="00CE60B2">
        <w:rPr>
          <w:rFonts w:cs="Segoe UI"/>
          <w:iCs/>
          <w:color w:val="000000"/>
        </w:rPr>
        <w:t>ed areas and forest industries</w:t>
      </w:r>
    </w:p>
    <w:p w14:paraId="26ABC7D2" w14:textId="77777777" w:rsidR="005B7647" w:rsidRPr="00CE60B2" w:rsidRDefault="005B7647" w:rsidP="00340F1B">
      <w:pPr>
        <w:pStyle w:val="ListParagraph"/>
        <w:numPr>
          <w:ilvl w:val="0"/>
          <w:numId w:val="5"/>
        </w:numPr>
        <w:autoSpaceDE w:val="0"/>
        <w:autoSpaceDN w:val="0"/>
        <w:adjustRightInd w:val="0"/>
        <w:spacing w:before="0" w:after="246"/>
        <w:rPr>
          <w:rFonts w:cs="Segoe UI"/>
          <w:color w:val="000000"/>
        </w:rPr>
      </w:pPr>
      <w:r w:rsidRPr="00CE60B2">
        <w:rPr>
          <w:rFonts w:cs="Segoe UI"/>
          <w:iCs/>
          <w:color w:val="000000"/>
        </w:rPr>
        <w:t>social valu</w:t>
      </w:r>
      <w:r w:rsidR="00810A6A" w:rsidRPr="00CE60B2">
        <w:rPr>
          <w:rFonts w:cs="Segoe UI"/>
          <w:iCs/>
          <w:color w:val="000000"/>
        </w:rPr>
        <w:t>es (including community needs)</w:t>
      </w:r>
    </w:p>
    <w:p w14:paraId="26ABC7D3" w14:textId="77777777" w:rsidR="005B7647" w:rsidRPr="00CE60B2" w:rsidRDefault="005B7647" w:rsidP="00340F1B">
      <w:pPr>
        <w:pStyle w:val="ListParagraph"/>
        <w:numPr>
          <w:ilvl w:val="0"/>
          <w:numId w:val="5"/>
        </w:numPr>
        <w:autoSpaceDE w:val="0"/>
        <w:autoSpaceDN w:val="0"/>
        <w:adjustRightInd w:val="0"/>
        <w:spacing w:before="0" w:after="0"/>
        <w:rPr>
          <w:rFonts w:cs="Segoe UI"/>
          <w:color w:val="000000"/>
        </w:rPr>
      </w:pPr>
      <w:r w:rsidRPr="00CE60B2">
        <w:rPr>
          <w:rFonts w:cs="Segoe UI"/>
          <w:iCs/>
          <w:color w:val="000000"/>
        </w:rPr>
        <w:t>principles of ecolo</w:t>
      </w:r>
      <w:r w:rsidR="00D76D34" w:rsidRPr="00CE60B2">
        <w:rPr>
          <w:rFonts w:cs="Segoe UI"/>
          <w:iCs/>
          <w:color w:val="000000"/>
        </w:rPr>
        <w:t>gically sustainable management.</w:t>
      </w:r>
    </w:p>
    <w:p w14:paraId="26ABC7D4" w14:textId="77777777" w:rsidR="009C6883" w:rsidRDefault="009C6883" w:rsidP="00D76D34">
      <w:pPr>
        <w:rPr>
          <w:rFonts w:cs="Segoe UI"/>
        </w:rPr>
      </w:pPr>
      <w:r>
        <w:rPr>
          <w:rFonts w:cs="Segoe UI"/>
        </w:rPr>
        <w:t xml:space="preserve">This </w:t>
      </w:r>
      <w:r w:rsidRPr="009C6883">
        <w:rPr>
          <w:rFonts w:cs="Segoe UI"/>
        </w:rPr>
        <w:t>document considers the applicability of the findings of the CRAs</w:t>
      </w:r>
      <w:r w:rsidR="00EA1246">
        <w:rPr>
          <w:rFonts w:cs="Segoe UI"/>
        </w:rPr>
        <w:t>,</w:t>
      </w:r>
      <w:r w:rsidRPr="009C6883">
        <w:rPr>
          <w:rFonts w:cs="Segoe UI"/>
        </w:rPr>
        <w:t xml:space="preserve"> the current status of the values and the likely impact o</w:t>
      </w:r>
      <w:r w:rsidR="00316AEA">
        <w:rPr>
          <w:rFonts w:cs="Segoe UI"/>
        </w:rPr>
        <w:t>f</w:t>
      </w:r>
      <w:r w:rsidRPr="009C6883">
        <w:rPr>
          <w:rFonts w:cs="Segoe UI"/>
        </w:rPr>
        <w:t xml:space="preserve"> </w:t>
      </w:r>
      <w:r w:rsidR="00587028">
        <w:t>the extension of the RFA on those values</w:t>
      </w:r>
      <w:r w:rsidR="00587028" w:rsidRPr="009C6883">
        <w:rPr>
          <w:rFonts w:cs="Segoe UI"/>
        </w:rPr>
        <w:t xml:space="preserve"> </w:t>
      </w:r>
    </w:p>
    <w:p w14:paraId="26ABC7D5" w14:textId="77777777" w:rsidR="00D76D34" w:rsidRDefault="00D76D34" w:rsidP="00D76D34">
      <w:pPr>
        <w:rPr>
          <w:rFonts w:cs="Segoe UI"/>
        </w:rPr>
      </w:pPr>
      <w:r w:rsidRPr="00CE60B2">
        <w:rPr>
          <w:rFonts w:cs="Segoe UI"/>
        </w:rPr>
        <w:t xml:space="preserve">This document takes data from published sources and assimilates it to provide information, over time, about relevant </w:t>
      </w:r>
      <w:r w:rsidR="006A7AA3" w:rsidRPr="00CE60B2">
        <w:rPr>
          <w:rFonts w:cs="Segoe UI"/>
        </w:rPr>
        <w:t>WA</w:t>
      </w:r>
      <w:r w:rsidR="004227B9">
        <w:rPr>
          <w:rFonts w:cs="Segoe UI"/>
        </w:rPr>
        <w:t> </w:t>
      </w:r>
      <w:r w:rsidRPr="00CE60B2">
        <w:rPr>
          <w:rFonts w:cs="Segoe UI"/>
        </w:rPr>
        <w:t>RFA matters</w:t>
      </w:r>
      <w:r w:rsidR="009C6883">
        <w:rPr>
          <w:rFonts w:cs="Segoe UI"/>
        </w:rPr>
        <w:t>,</w:t>
      </w:r>
      <w:r w:rsidR="009C6883" w:rsidRPr="009C6883">
        <w:rPr>
          <w:rFonts w:eastAsia="SimSun" w:cs="Majalla UI"/>
        </w:rPr>
        <w:t xml:space="preserve"> </w:t>
      </w:r>
      <w:r w:rsidR="009C6883" w:rsidRPr="009C6883">
        <w:rPr>
          <w:rFonts w:cs="Segoe UI"/>
        </w:rPr>
        <w:t>including the state of environmental, economic, social and heritage values.</w:t>
      </w:r>
    </w:p>
    <w:p w14:paraId="26ABC7D6" w14:textId="77777777" w:rsidR="001D15A4" w:rsidRPr="00CE60B2" w:rsidRDefault="001D15A4" w:rsidP="00D76D34">
      <w:pPr>
        <w:rPr>
          <w:rFonts w:cs="Segoe UI"/>
        </w:rPr>
      </w:pPr>
      <w:r>
        <w:t xml:space="preserve">The assessment undertaken in this document </w:t>
      </w:r>
      <w:r w:rsidR="00466181">
        <w:t>demonstrates</w:t>
      </w:r>
      <w:r>
        <w:t xml:space="preserve"> that the Australian and WA governments have, through a comprehensive and diverse range of processes, had ongoing regard to the listed matters in para</w:t>
      </w:r>
      <w:r w:rsidR="0009455D">
        <w:t>graph</w:t>
      </w:r>
      <w:r>
        <w:t xml:space="preserve"> (a) of the definition of ‘RFA’ in the </w:t>
      </w:r>
      <w:r w:rsidRPr="00B46631">
        <w:t>RFA Act</w:t>
      </w:r>
      <w:r>
        <w:t xml:space="preserve"> relevant to the WA RFA region</w:t>
      </w:r>
      <w:r w:rsidR="00E563C2">
        <w:t xml:space="preserve">. There is a specific reference within </w:t>
      </w:r>
      <w:r w:rsidR="0009455D">
        <w:t>p</w:t>
      </w:r>
      <w:r w:rsidR="00E563C2">
        <w:t>aragraph (d) of the Recitals in the WA RFA which refers to the agreement being entered into having regard to “studies and projects carried out in relation to all of the following matters relevant to the region” and it lists exactly the matters referred to in para</w:t>
      </w:r>
      <w:r w:rsidR="0009455D">
        <w:t>graph</w:t>
      </w:r>
      <w:r w:rsidR="00E563C2">
        <w:t xml:space="preserve"> (a) of the definition of ‘RFA’ in the RFA Act.</w:t>
      </w:r>
    </w:p>
    <w:p w14:paraId="26ABC7D7" w14:textId="77777777" w:rsidR="00D76D34" w:rsidRPr="00CE60B2" w:rsidRDefault="00D76D34" w:rsidP="00D76D34">
      <w:pPr>
        <w:rPr>
          <w:rFonts w:cs="Segoe UI"/>
        </w:rPr>
      </w:pPr>
      <w:r w:rsidRPr="00CE60B2">
        <w:rPr>
          <w:rFonts w:cs="Segoe UI"/>
        </w:rPr>
        <w:lastRenderedPageBreak/>
        <w:t xml:space="preserve">It is not a replacement for other reviews that have been </w:t>
      </w:r>
      <w:r w:rsidR="00466181">
        <w:rPr>
          <w:rFonts w:cs="Segoe UI"/>
        </w:rPr>
        <w:t>completed</w:t>
      </w:r>
      <w:r w:rsidR="00466181" w:rsidRPr="00CE60B2">
        <w:rPr>
          <w:rFonts w:cs="Segoe UI"/>
        </w:rPr>
        <w:t xml:space="preserve"> </w:t>
      </w:r>
      <w:r w:rsidR="00466181">
        <w:rPr>
          <w:rFonts w:cs="Segoe UI"/>
        </w:rPr>
        <w:t>for</w:t>
      </w:r>
      <w:r w:rsidRPr="00CE60B2">
        <w:rPr>
          <w:rFonts w:cs="Segoe UI"/>
        </w:rPr>
        <w:t xml:space="preserve"> </w:t>
      </w:r>
      <w:r w:rsidR="006A7AA3" w:rsidRPr="00CE60B2">
        <w:rPr>
          <w:rFonts w:cs="Segoe UI"/>
        </w:rPr>
        <w:t>the WA</w:t>
      </w:r>
      <w:r w:rsidR="004227B9">
        <w:rPr>
          <w:rFonts w:cs="Segoe UI"/>
        </w:rPr>
        <w:t> </w:t>
      </w:r>
      <w:r w:rsidRPr="00CE60B2">
        <w:rPr>
          <w:rFonts w:cs="Segoe UI"/>
        </w:rPr>
        <w:t xml:space="preserve">RFA or which have included </w:t>
      </w:r>
      <w:r w:rsidR="00A515C1" w:rsidRPr="00CE60B2">
        <w:rPr>
          <w:rFonts w:cs="Segoe UI"/>
        </w:rPr>
        <w:t>Montréal</w:t>
      </w:r>
      <w:r w:rsidRPr="00CE60B2">
        <w:rPr>
          <w:rFonts w:cs="Segoe UI"/>
        </w:rPr>
        <w:t xml:space="preserve"> </w:t>
      </w:r>
      <w:r w:rsidR="002F5691" w:rsidRPr="00CE60B2">
        <w:rPr>
          <w:rFonts w:cs="Segoe UI"/>
        </w:rPr>
        <w:t xml:space="preserve">Process </w:t>
      </w:r>
      <w:r w:rsidRPr="00CE60B2">
        <w:rPr>
          <w:rFonts w:cs="Segoe UI"/>
        </w:rPr>
        <w:t xml:space="preserve">indicators. Rather it draws on these sources to illuminate the state of the matters and indicators as they have changed over the life of the </w:t>
      </w:r>
      <w:r w:rsidR="006A7AA3" w:rsidRPr="00CE60B2">
        <w:rPr>
          <w:rFonts w:cs="Segoe UI"/>
        </w:rPr>
        <w:t>WA</w:t>
      </w:r>
      <w:r w:rsidR="004227B9">
        <w:rPr>
          <w:rFonts w:cs="Segoe UI"/>
        </w:rPr>
        <w:t> </w:t>
      </w:r>
      <w:r w:rsidRPr="00CE60B2">
        <w:rPr>
          <w:rFonts w:cs="Segoe UI"/>
        </w:rPr>
        <w:t>RFA.</w:t>
      </w:r>
    </w:p>
    <w:p w14:paraId="26ABC7D8" w14:textId="77777777" w:rsidR="00CF00F0" w:rsidRPr="00CE60B2" w:rsidRDefault="00BA1108" w:rsidP="00D15AAD">
      <w:pPr>
        <w:pStyle w:val="Heading3"/>
      </w:pPr>
      <w:bookmarkStart w:id="8" w:name="_Toc524952781"/>
      <w:bookmarkStart w:id="9" w:name="_Toc2776024"/>
      <w:r w:rsidRPr="00CE60B2">
        <w:t>Background</w:t>
      </w:r>
      <w:bookmarkEnd w:id="8"/>
      <w:bookmarkEnd w:id="9"/>
    </w:p>
    <w:p w14:paraId="26ABC7D9" w14:textId="70A91679" w:rsidR="00834C5A" w:rsidRPr="00CE60B2" w:rsidRDefault="007D1A9E" w:rsidP="00834C5A">
      <w:pPr>
        <w:rPr>
          <w:rFonts w:cs="Segoe UI"/>
        </w:rPr>
      </w:pPr>
      <w:r>
        <w:rPr>
          <w:rFonts w:cs="Segoe UI"/>
        </w:rPr>
        <w:t xml:space="preserve">The Australian and WA governments have recognised the need to </w:t>
      </w:r>
      <w:r w:rsidR="005D1C94">
        <w:rPr>
          <w:rFonts w:cs="Segoe UI"/>
        </w:rPr>
        <w:t>manage</w:t>
      </w:r>
      <w:r w:rsidR="00834C5A" w:rsidRPr="00CE60B2">
        <w:rPr>
          <w:rFonts w:cs="Segoe UI"/>
        </w:rPr>
        <w:t xml:space="preserve"> </w:t>
      </w:r>
      <w:r>
        <w:rPr>
          <w:rFonts w:cs="Segoe UI"/>
        </w:rPr>
        <w:t xml:space="preserve">the </w:t>
      </w:r>
      <w:r w:rsidR="00834C5A" w:rsidRPr="00CE60B2">
        <w:rPr>
          <w:rFonts w:cs="Segoe UI"/>
        </w:rPr>
        <w:t>environmental, heritage</w:t>
      </w:r>
      <w:r w:rsidR="001A3687">
        <w:rPr>
          <w:rFonts w:cs="Segoe UI"/>
        </w:rPr>
        <w:t>, social and economic</w:t>
      </w:r>
      <w:r w:rsidR="00834C5A" w:rsidRPr="00CE60B2">
        <w:rPr>
          <w:rFonts w:cs="Segoe UI"/>
        </w:rPr>
        <w:t xml:space="preserve"> </w:t>
      </w:r>
      <w:r>
        <w:rPr>
          <w:rFonts w:cs="Segoe UI"/>
        </w:rPr>
        <w:t>uses and values</w:t>
      </w:r>
      <w:r w:rsidR="00834C5A" w:rsidRPr="00CE60B2">
        <w:rPr>
          <w:rFonts w:cs="Segoe UI"/>
        </w:rPr>
        <w:t xml:space="preserve"> </w:t>
      </w:r>
      <w:r>
        <w:rPr>
          <w:rFonts w:cs="Segoe UI"/>
        </w:rPr>
        <w:t xml:space="preserve">of the </w:t>
      </w:r>
      <w:r w:rsidR="00E174E8">
        <w:rPr>
          <w:rFonts w:cs="Segoe UI"/>
        </w:rPr>
        <w:t xml:space="preserve">south west </w:t>
      </w:r>
      <w:r>
        <w:rPr>
          <w:rFonts w:cs="Segoe UI"/>
        </w:rPr>
        <w:t>forests of WA</w:t>
      </w:r>
      <w:r w:rsidR="007B3902">
        <w:rPr>
          <w:rFonts w:cs="Segoe UI"/>
        </w:rPr>
        <w:t xml:space="preserve"> and have done this </w:t>
      </w:r>
      <w:r>
        <w:rPr>
          <w:rFonts w:cs="Segoe UI"/>
        </w:rPr>
        <w:t>through the WA RFA</w:t>
      </w:r>
      <w:r w:rsidR="00834C5A" w:rsidRPr="00CE60B2">
        <w:rPr>
          <w:rFonts w:cs="Segoe UI"/>
        </w:rPr>
        <w:t>. The</w:t>
      </w:r>
      <w:r>
        <w:rPr>
          <w:rFonts w:cs="Segoe UI"/>
        </w:rPr>
        <w:t>se</w:t>
      </w:r>
      <w:r w:rsidR="00834C5A" w:rsidRPr="00CE60B2">
        <w:rPr>
          <w:rFonts w:cs="Segoe UI"/>
        </w:rPr>
        <w:t xml:space="preserve"> </w:t>
      </w:r>
      <w:r w:rsidR="00D24472">
        <w:rPr>
          <w:rFonts w:cs="Segoe UI"/>
        </w:rPr>
        <w:t>uses</w:t>
      </w:r>
      <w:r w:rsidR="00BF302E">
        <w:rPr>
          <w:rFonts w:cs="Segoe UI"/>
        </w:rPr>
        <w:t xml:space="preserve"> and values </w:t>
      </w:r>
      <w:r w:rsidR="00834C5A" w:rsidRPr="00CE60B2">
        <w:rPr>
          <w:rFonts w:cs="Segoe UI"/>
        </w:rPr>
        <w:t xml:space="preserve">are </w:t>
      </w:r>
      <w:r w:rsidR="0085482C" w:rsidRPr="00CE60B2">
        <w:rPr>
          <w:rFonts w:cs="Segoe UI"/>
        </w:rPr>
        <w:t>derived from</w:t>
      </w:r>
      <w:r w:rsidR="00834C5A" w:rsidRPr="00CE60B2">
        <w:rPr>
          <w:rFonts w:cs="Segoe UI"/>
        </w:rPr>
        <w:t xml:space="preserve"> the National Forest Policy Statement </w:t>
      </w:r>
      <w:r w:rsidR="0085482C" w:rsidRPr="00CE60B2">
        <w:rPr>
          <w:rFonts w:cs="Segoe UI"/>
        </w:rPr>
        <w:t>(NFPS)</w:t>
      </w:r>
      <w:r w:rsidR="00834C5A" w:rsidRPr="00CE60B2">
        <w:rPr>
          <w:rFonts w:cs="Segoe UI"/>
        </w:rPr>
        <w:t xml:space="preserve"> and are formalised in the </w:t>
      </w:r>
      <w:r w:rsidR="004227B9" w:rsidRPr="004227B9">
        <w:rPr>
          <w:rFonts w:cs="Segoe UI"/>
        </w:rPr>
        <w:t>R</w:t>
      </w:r>
      <w:r w:rsidR="004227B9">
        <w:rPr>
          <w:rFonts w:cs="Segoe UI"/>
        </w:rPr>
        <w:t>FA </w:t>
      </w:r>
      <w:r w:rsidR="004227B9" w:rsidRPr="004227B9">
        <w:rPr>
          <w:rFonts w:cs="Segoe UI"/>
        </w:rPr>
        <w:t>Act</w:t>
      </w:r>
      <w:r w:rsidR="00834C5A" w:rsidRPr="004227B9">
        <w:rPr>
          <w:rFonts w:cs="Segoe UI"/>
        </w:rPr>
        <w:t>.</w:t>
      </w:r>
    </w:p>
    <w:p w14:paraId="26ABC7DA" w14:textId="74F93FFB" w:rsidR="0009493A" w:rsidRPr="00CE60B2" w:rsidRDefault="003032F1" w:rsidP="00834C5A">
      <w:pPr>
        <w:rPr>
          <w:rFonts w:cs="Segoe UI"/>
        </w:rPr>
      </w:pPr>
      <w:r w:rsidRPr="003032F1">
        <w:rPr>
          <w:rFonts w:cs="Segoe UI"/>
        </w:rPr>
        <w:t xml:space="preserve">The WA RFA is a bilateral agreement that provides </w:t>
      </w:r>
      <w:r>
        <w:rPr>
          <w:rFonts w:cs="Segoe UI"/>
        </w:rPr>
        <w:t>for efficient forestry</w:t>
      </w:r>
      <w:r w:rsidRPr="003032F1">
        <w:rPr>
          <w:rFonts w:cs="Segoe UI"/>
        </w:rPr>
        <w:t xml:space="preserve"> operations in the RFA area by obviating the need for approvals under the Environment Protection and Biodiversity Conservation Act 1999 (Cth) (EP</w:t>
      </w:r>
      <w:r>
        <w:rPr>
          <w:rFonts w:cs="Segoe UI"/>
        </w:rPr>
        <w:t>B</w:t>
      </w:r>
      <w:r w:rsidRPr="003032F1">
        <w:rPr>
          <w:rFonts w:cs="Segoe UI"/>
        </w:rPr>
        <w:t>C Act) and the Export Control Act 1982 (Cth) (EC Act). This is balanced by requirements under the WA RFAs for environmentally sustainable</w:t>
      </w:r>
      <w:r>
        <w:rPr>
          <w:rFonts w:cs="Segoe UI"/>
        </w:rPr>
        <w:t xml:space="preserve"> forestry </w:t>
      </w:r>
      <w:r w:rsidRPr="003032F1">
        <w:rPr>
          <w:rFonts w:cs="Segoe UI"/>
        </w:rPr>
        <w:t>operations, an ongoing Comprehensive, Adequate and Representative (CAR) reserve system, and</w:t>
      </w:r>
      <w:r>
        <w:rPr>
          <w:rFonts w:cs="Segoe UI"/>
        </w:rPr>
        <w:t xml:space="preserve"> appropriate periodic reporting</w:t>
      </w:r>
      <w:r w:rsidR="00E21AE3">
        <w:rPr>
          <w:rFonts w:cs="Segoe UI"/>
        </w:rPr>
        <w:t xml:space="preserve">. </w:t>
      </w:r>
      <w:r w:rsidR="0009493A" w:rsidRPr="00CE60B2">
        <w:rPr>
          <w:rFonts w:cs="Segoe UI"/>
        </w:rPr>
        <w:t xml:space="preserve">The </w:t>
      </w:r>
      <w:r w:rsidR="00C06FC1">
        <w:rPr>
          <w:rFonts w:cs="Segoe UI"/>
        </w:rPr>
        <w:t>WA </w:t>
      </w:r>
      <w:r w:rsidR="006A7AA3" w:rsidRPr="00CE60B2">
        <w:rPr>
          <w:rFonts w:cs="Segoe UI"/>
        </w:rPr>
        <w:t>RFA was</w:t>
      </w:r>
      <w:r w:rsidR="0009493A" w:rsidRPr="00CE60B2">
        <w:rPr>
          <w:rFonts w:cs="Segoe UI"/>
        </w:rPr>
        <w:t xml:space="preserve"> established </w:t>
      </w:r>
      <w:r w:rsidR="00C06FC1">
        <w:rPr>
          <w:rFonts w:cs="Segoe UI"/>
        </w:rPr>
        <w:t>as a long</w:t>
      </w:r>
      <w:r w:rsidR="00C06FC1">
        <w:rPr>
          <w:rFonts w:cs="Segoe UI"/>
        </w:rPr>
        <w:noBreakHyphen/>
        <w:t xml:space="preserve">term </w:t>
      </w:r>
      <w:r w:rsidR="00A32E7C">
        <w:rPr>
          <w:rFonts w:cs="Segoe UI"/>
        </w:rPr>
        <w:t>20-year</w:t>
      </w:r>
      <w:r w:rsidR="000836E1">
        <w:rPr>
          <w:rFonts w:cs="Segoe UI"/>
        </w:rPr>
        <w:t xml:space="preserve"> bilateral agreement between the Australian and </w:t>
      </w:r>
      <w:r w:rsidR="00470141">
        <w:rPr>
          <w:rFonts w:cs="Segoe UI"/>
        </w:rPr>
        <w:t>WA</w:t>
      </w:r>
      <w:r w:rsidR="000836E1">
        <w:rPr>
          <w:rFonts w:cs="Segoe UI"/>
        </w:rPr>
        <w:t> governments with an</w:t>
      </w:r>
      <w:r w:rsidR="00781D69" w:rsidRPr="00CE60B2">
        <w:rPr>
          <w:rFonts w:cs="Segoe UI"/>
        </w:rPr>
        <w:t xml:space="preserve"> </w:t>
      </w:r>
      <w:r w:rsidR="006A7AA3" w:rsidRPr="00CE60B2">
        <w:rPr>
          <w:rFonts w:cs="Segoe UI"/>
        </w:rPr>
        <w:t xml:space="preserve">expiry </w:t>
      </w:r>
      <w:r w:rsidR="000836E1">
        <w:rPr>
          <w:rFonts w:cs="Segoe UI"/>
        </w:rPr>
        <w:t xml:space="preserve">date of </w:t>
      </w:r>
      <w:r w:rsidR="006A7AA3" w:rsidRPr="00CE60B2">
        <w:rPr>
          <w:rFonts w:cs="Segoe UI"/>
        </w:rPr>
        <w:t>4</w:t>
      </w:r>
      <w:r w:rsidR="000836E1">
        <w:rPr>
          <w:rFonts w:cs="Segoe UI"/>
        </w:rPr>
        <w:t> </w:t>
      </w:r>
      <w:r w:rsidR="006A7AA3" w:rsidRPr="00CE60B2">
        <w:rPr>
          <w:rFonts w:cs="Segoe UI"/>
        </w:rPr>
        <w:t>May</w:t>
      </w:r>
      <w:r w:rsidR="000836E1">
        <w:rPr>
          <w:rFonts w:cs="Segoe UI"/>
        </w:rPr>
        <w:t> </w:t>
      </w:r>
      <w:r w:rsidR="006A7AA3" w:rsidRPr="00CE60B2">
        <w:rPr>
          <w:rFonts w:cs="Segoe UI"/>
        </w:rPr>
        <w:t xml:space="preserve">2019. </w:t>
      </w:r>
    </w:p>
    <w:p w14:paraId="26ABC7DB" w14:textId="77777777" w:rsidR="002351EF" w:rsidRPr="00CE60B2" w:rsidRDefault="00C06FC1" w:rsidP="000D2C94">
      <w:pPr>
        <w:rPr>
          <w:rFonts w:cs="Segoe UI"/>
        </w:rPr>
      </w:pPr>
      <w:r>
        <w:rPr>
          <w:rFonts w:cs="Segoe UI"/>
        </w:rPr>
        <w:t>The WA </w:t>
      </w:r>
      <w:r w:rsidR="002351EF" w:rsidRPr="00CE60B2">
        <w:rPr>
          <w:rFonts w:cs="Segoe UI"/>
        </w:rPr>
        <w:t>RFA</w:t>
      </w:r>
      <w:r w:rsidR="00545CC5" w:rsidRPr="00CE60B2">
        <w:rPr>
          <w:rFonts w:cs="Segoe UI"/>
        </w:rPr>
        <w:t xml:space="preserve"> was</w:t>
      </w:r>
      <w:r w:rsidR="002351EF" w:rsidRPr="00CE60B2">
        <w:rPr>
          <w:rFonts w:cs="Segoe UI"/>
        </w:rPr>
        <w:t xml:space="preserve"> signed following </w:t>
      </w:r>
      <w:r w:rsidR="006A7AA3" w:rsidRPr="00CE60B2">
        <w:rPr>
          <w:rFonts w:cs="Segoe UI"/>
        </w:rPr>
        <w:t xml:space="preserve">the </w:t>
      </w:r>
      <w:r w:rsidR="002351EF" w:rsidRPr="00CE60B2">
        <w:rPr>
          <w:rFonts w:cs="Segoe UI"/>
        </w:rPr>
        <w:t>CRA</w:t>
      </w:r>
      <w:r w:rsidR="00545CC5" w:rsidRPr="00CE60B2">
        <w:rPr>
          <w:rFonts w:cs="Segoe UI"/>
        </w:rPr>
        <w:t xml:space="preserve"> </w:t>
      </w:r>
      <w:r w:rsidR="000836E1">
        <w:rPr>
          <w:rFonts w:cs="Segoe UI"/>
        </w:rPr>
        <w:t>process</w:t>
      </w:r>
      <w:r w:rsidR="002351EF" w:rsidRPr="00CE60B2">
        <w:rPr>
          <w:rFonts w:cs="Segoe UI"/>
        </w:rPr>
        <w:t>, which provided an information base from</w:t>
      </w:r>
      <w:r w:rsidR="005556E4" w:rsidRPr="00CE60B2">
        <w:rPr>
          <w:rFonts w:cs="Segoe UI"/>
        </w:rPr>
        <w:t xml:space="preserve"> </w:t>
      </w:r>
      <w:r w:rsidR="002351EF" w:rsidRPr="00CE60B2">
        <w:rPr>
          <w:rFonts w:cs="Segoe UI"/>
        </w:rPr>
        <w:t xml:space="preserve">projects commissioned </w:t>
      </w:r>
      <w:r w:rsidR="001A3687">
        <w:rPr>
          <w:rFonts w:cs="Segoe UI"/>
        </w:rPr>
        <w:t xml:space="preserve">by the Australian and WA governments </w:t>
      </w:r>
      <w:r w:rsidR="002351EF" w:rsidRPr="00CE60B2">
        <w:rPr>
          <w:rFonts w:cs="Segoe UI"/>
        </w:rPr>
        <w:t>to evaluate the economic, social, environmental</w:t>
      </w:r>
      <w:r w:rsidR="004B7563" w:rsidRPr="00CE60B2">
        <w:rPr>
          <w:rFonts w:cs="Segoe UI"/>
        </w:rPr>
        <w:t>,</w:t>
      </w:r>
      <w:r w:rsidR="002351EF" w:rsidRPr="00CE60B2">
        <w:rPr>
          <w:rFonts w:cs="Segoe UI"/>
        </w:rPr>
        <w:t xml:space="preserve"> and heritage uses</w:t>
      </w:r>
      <w:r w:rsidR="005556E4" w:rsidRPr="00CE60B2">
        <w:rPr>
          <w:rFonts w:cs="Segoe UI"/>
        </w:rPr>
        <w:t xml:space="preserve"> </w:t>
      </w:r>
      <w:r w:rsidR="002351EF" w:rsidRPr="00CE60B2">
        <w:rPr>
          <w:rFonts w:cs="Segoe UI"/>
        </w:rPr>
        <w:t xml:space="preserve">and values of the </w:t>
      </w:r>
      <w:r w:rsidR="00545CC5" w:rsidRPr="00CE60B2">
        <w:rPr>
          <w:rFonts w:cs="Segoe UI"/>
        </w:rPr>
        <w:t>forests in the</w:t>
      </w:r>
      <w:r w:rsidR="008C011E" w:rsidRPr="00CE60B2">
        <w:rPr>
          <w:rFonts w:cs="Segoe UI"/>
        </w:rPr>
        <w:t xml:space="preserve"> </w:t>
      </w:r>
      <w:r w:rsidR="000836E1">
        <w:rPr>
          <w:rFonts w:cs="Segoe UI"/>
        </w:rPr>
        <w:t>WA </w:t>
      </w:r>
      <w:r w:rsidR="008C011E" w:rsidRPr="00CE60B2">
        <w:rPr>
          <w:rFonts w:cs="Segoe UI"/>
        </w:rPr>
        <w:t>RFA region.</w:t>
      </w:r>
      <w:r w:rsidR="000D2C94">
        <w:rPr>
          <w:rFonts w:cs="Segoe UI"/>
        </w:rPr>
        <w:t xml:space="preserve"> </w:t>
      </w:r>
      <w:r w:rsidR="000D2C94" w:rsidRPr="000D2C94">
        <w:rPr>
          <w:rFonts w:cs="Segoe UI"/>
        </w:rPr>
        <w:t>Th</w:t>
      </w:r>
      <w:r w:rsidR="001A3687">
        <w:rPr>
          <w:rFonts w:cs="Segoe UI"/>
        </w:rPr>
        <w:t>e CRAs and the information provided through the assessments also formed the basis for negotiation of the WA RFA between the Australian and WA governments.</w:t>
      </w:r>
    </w:p>
    <w:p w14:paraId="26ABC7DC" w14:textId="77777777" w:rsidR="002351EF" w:rsidRPr="00CE60B2" w:rsidRDefault="00545CC5" w:rsidP="002351EF">
      <w:pPr>
        <w:rPr>
          <w:rFonts w:cs="Segoe UI"/>
        </w:rPr>
      </w:pPr>
      <w:r w:rsidRPr="00CE60B2">
        <w:rPr>
          <w:rFonts w:cs="Segoe UI"/>
        </w:rPr>
        <w:t>The CRA was</w:t>
      </w:r>
      <w:r w:rsidR="002351EF" w:rsidRPr="00CE60B2">
        <w:rPr>
          <w:rFonts w:cs="Segoe UI"/>
        </w:rPr>
        <w:t xml:space="preserve"> a result of </w:t>
      </w:r>
      <w:r w:rsidR="008C011E" w:rsidRPr="00CE60B2">
        <w:rPr>
          <w:rFonts w:cs="Segoe UI"/>
        </w:rPr>
        <w:t>extensive</w:t>
      </w:r>
      <w:r w:rsidR="002351EF" w:rsidRPr="00CE60B2">
        <w:rPr>
          <w:rFonts w:cs="Segoe UI"/>
        </w:rPr>
        <w:t xml:space="preserve"> scientific study, consultation and negotiation with a</w:t>
      </w:r>
      <w:r w:rsidR="005556E4" w:rsidRPr="00CE60B2">
        <w:rPr>
          <w:rFonts w:cs="Segoe UI"/>
        </w:rPr>
        <w:t xml:space="preserve"> </w:t>
      </w:r>
      <w:r w:rsidR="002351EF" w:rsidRPr="00CE60B2">
        <w:rPr>
          <w:rFonts w:cs="Segoe UI"/>
        </w:rPr>
        <w:t>diverse range of stakeholders.</w:t>
      </w:r>
      <w:r w:rsidR="000D2C94">
        <w:rPr>
          <w:rFonts w:cs="Segoe UI"/>
        </w:rPr>
        <w:t xml:space="preserve"> </w:t>
      </w:r>
    </w:p>
    <w:p w14:paraId="26ABC7DD" w14:textId="77777777" w:rsidR="005556E4" w:rsidRPr="00CE60B2" w:rsidRDefault="002351EF" w:rsidP="002351EF">
      <w:pPr>
        <w:rPr>
          <w:rFonts w:cs="Segoe UI"/>
        </w:rPr>
      </w:pPr>
      <w:r w:rsidRPr="00CE60B2">
        <w:rPr>
          <w:rFonts w:cs="Segoe UI"/>
        </w:rPr>
        <w:t xml:space="preserve">The </w:t>
      </w:r>
      <w:r w:rsidR="006A7AA3" w:rsidRPr="00CE60B2">
        <w:rPr>
          <w:rFonts w:cs="Segoe UI"/>
        </w:rPr>
        <w:t>WA</w:t>
      </w:r>
      <w:r w:rsidR="00FE2B4E">
        <w:rPr>
          <w:rFonts w:cs="Segoe UI"/>
        </w:rPr>
        <w:t> </w:t>
      </w:r>
      <w:r w:rsidR="006A7AA3" w:rsidRPr="00CE60B2">
        <w:rPr>
          <w:rFonts w:cs="Segoe UI"/>
        </w:rPr>
        <w:t>RFA</w:t>
      </w:r>
      <w:r w:rsidRPr="00CE60B2">
        <w:rPr>
          <w:rFonts w:cs="Segoe UI"/>
        </w:rPr>
        <w:t xml:space="preserve"> established an agreed framework for the ecologically sustainable</w:t>
      </w:r>
      <w:r w:rsidR="005556E4" w:rsidRPr="00CE60B2">
        <w:rPr>
          <w:rFonts w:cs="Segoe UI"/>
        </w:rPr>
        <w:t xml:space="preserve"> </w:t>
      </w:r>
      <w:r w:rsidR="0085482C" w:rsidRPr="00CE60B2">
        <w:rPr>
          <w:rFonts w:cs="Segoe UI"/>
        </w:rPr>
        <w:t xml:space="preserve">forest </w:t>
      </w:r>
      <w:r w:rsidRPr="00CE60B2">
        <w:rPr>
          <w:rFonts w:cs="Segoe UI"/>
        </w:rPr>
        <w:t xml:space="preserve">management </w:t>
      </w:r>
      <w:r w:rsidR="00253CCC">
        <w:rPr>
          <w:rFonts w:cs="Segoe UI"/>
        </w:rPr>
        <w:t xml:space="preserve">(ESFM) </w:t>
      </w:r>
      <w:r w:rsidRPr="00CE60B2">
        <w:rPr>
          <w:rFonts w:cs="Segoe UI"/>
        </w:rPr>
        <w:t xml:space="preserve">and use of forests in those regions. In particular, the </w:t>
      </w:r>
      <w:r w:rsidR="006A7AA3" w:rsidRPr="00CE60B2">
        <w:rPr>
          <w:rFonts w:cs="Segoe UI"/>
        </w:rPr>
        <w:t>WA</w:t>
      </w:r>
      <w:r w:rsidR="00FE2B4E">
        <w:rPr>
          <w:rFonts w:cs="Segoe UI"/>
        </w:rPr>
        <w:t> </w:t>
      </w:r>
      <w:r w:rsidR="006A7AA3" w:rsidRPr="00CE60B2">
        <w:rPr>
          <w:rFonts w:cs="Segoe UI"/>
        </w:rPr>
        <w:t>RFA</w:t>
      </w:r>
      <w:r w:rsidR="001A3687">
        <w:rPr>
          <w:rFonts w:cs="Segoe UI"/>
        </w:rPr>
        <w:t xml:space="preserve"> which</w:t>
      </w:r>
      <w:r w:rsidRPr="00CE60B2">
        <w:rPr>
          <w:rFonts w:cs="Segoe UI"/>
        </w:rPr>
        <w:t>:</w:t>
      </w:r>
    </w:p>
    <w:p w14:paraId="26ABC7DE" w14:textId="77777777" w:rsidR="002351EF" w:rsidRPr="00CE60B2" w:rsidRDefault="006A7AA3" w:rsidP="00D24472">
      <w:pPr>
        <w:pStyle w:val="bullet"/>
        <w:spacing w:before="0" w:after="0"/>
        <w:ind w:left="714" w:hanging="357"/>
        <w:rPr>
          <w:rFonts w:cs="Segoe UI"/>
        </w:rPr>
      </w:pPr>
      <w:r w:rsidRPr="00CE60B2">
        <w:rPr>
          <w:rFonts w:cs="Segoe UI"/>
        </w:rPr>
        <w:t>identifies</w:t>
      </w:r>
      <w:r w:rsidR="002351EF" w:rsidRPr="00CE60B2">
        <w:rPr>
          <w:rFonts w:cs="Segoe UI"/>
        </w:rPr>
        <w:t xml:space="preserve"> areas required for the purposes of a CAR reserve system and provide</w:t>
      </w:r>
      <w:r w:rsidRPr="00CE60B2">
        <w:rPr>
          <w:rFonts w:cs="Segoe UI"/>
        </w:rPr>
        <w:t>s</w:t>
      </w:r>
      <w:r w:rsidR="002351EF" w:rsidRPr="00CE60B2">
        <w:rPr>
          <w:rFonts w:cs="Segoe UI"/>
        </w:rPr>
        <w:t xml:space="preserve"> for the conservation of</w:t>
      </w:r>
      <w:r w:rsidR="005556E4" w:rsidRPr="00CE60B2">
        <w:rPr>
          <w:rFonts w:cs="Segoe UI"/>
        </w:rPr>
        <w:t xml:space="preserve"> </w:t>
      </w:r>
      <w:r w:rsidR="002351EF" w:rsidRPr="00CE60B2">
        <w:rPr>
          <w:rFonts w:cs="Segoe UI"/>
        </w:rPr>
        <w:t>those areas</w:t>
      </w:r>
    </w:p>
    <w:p w14:paraId="26ABC7DF" w14:textId="77777777" w:rsidR="002351EF" w:rsidRPr="00CE60B2" w:rsidRDefault="002351EF" w:rsidP="00D24472">
      <w:pPr>
        <w:pStyle w:val="bullet"/>
        <w:spacing w:before="0" w:after="0"/>
        <w:ind w:left="714" w:hanging="357"/>
        <w:rPr>
          <w:rFonts w:cs="Segoe UI"/>
        </w:rPr>
      </w:pPr>
      <w:r w:rsidRPr="00CE60B2">
        <w:rPr>
          <w:rFonts w:cs="Segoe UI"/>
        </w:rPr>
        <w:t>provide</w:t>
      </w:r>
      <w:r w:rsidR="006A7AA3" w:rsidRPr="00CE60B2">
        <w:rPr>
          <w:rFonts w:cs="Segoe UI"/>
        </w:rPr>
        <w:t>s</w:t>
      </w:r>
      <w:r w:rsidRPr="00CE60B2">
        <w:rPr>
          <w:rFonts w:cs="Segoe UI"/>
        </w:rPr>
        <w:t xml:space="preserve"> for the ecologically sustainable management and use of forested areas in those</w:t>
      </w:r>
      <w:r w:rsidR="005556E4" w:rsidRPr="00CE60B2">
        <w:rPr>
          <w:rFonts w:cs="Segoe UI"/>
        </w:rPr>
        <w:t xml:space="preserve"> </w:t>
      </w:r>
      <w:r w:rsidRPr="00CE60B2">
        <w:rPr>
          <w:rFonts w:cs="Segoe UI"/>
        </w:rPr>
        <w:t>regions</w:t>
      </w:r>
    </w:p>
    <w:p w14:paraId="26ABC7E0" w14:textId="77777777" w:rsidR="002351EF" w:rsidRPr="00CE60B2" w:rsidRDefault="006A7AA3" w:rsidP="00D24472">
      <w:pPr>
        <w:pStyle w:val="bullet"/>
        <w:spacing w:before="0" w:after="0"/>
        <w:ind w:left="714" w:hanging="357"/>
        <w:rPr>
          <w:rFonts w:cs="Segoe UI"/>
        </w:rPr>
      </w:pPr>
      <w:r w:rsidRPr="00CE60B2">
        <w:rPr>
          <w:rFonts w:cs="Segoe UI"/>
        </w:rPr>
        <w:t>is</w:t>
      </w:r>
      <w:r w:rsidR="002351EF" w:rsidRPr="00CE60B2">
        <w:rPr>
          <w:rFonts w:cs="Segoe UI"/>
        </w:rPr>
        <w:t xml:space="preserve"> for the purpose of providing long-term stability of forests and forest industries</w:t>
      </w:r>
    </w:p>
    <w:p w14:paraId="26ABC7E1" w14:textId="77777777" w:rsidR="002351EF" w:rsidRPr="00CE60B2" w:rsidRDefault="006A7AA3" w:rsidP="00D24472">
      <w:pPr>
        <w:pStyle w:val="bullet"/>
        <w:spacing w:before="0" w:after="0"/>
        <w:ind w:left="714" w:hanging="357"/>
        <w:rPr>
          <w:rFonts w:cs="Segoe UI"/>
        </w:rPr>
      </w:pPr>
      <w:r w:rsidRPr="00CE60B2">
        <w:rPr>
          <w:rFonts w:cs="Segoe UI"/>
        </w:rPr>
        <w:t>has</w:t>
      </w:r>
      <w:r w:rsidR="002351EF" w:rsidRPr="00CE60B2">
        <w:rPr>
          <w:rFonts w:cs="Segoe UI"/>
        </w:rPr>
        <w:t xml:space="preserve"> regard to studies and projects carried out in relation to:</w:t>
      </w:r>
    </w:p>
    <w:p w14:paraId="26ABC7E2" w14:textId="77777777" w:rsidR="002351EF" w:rsidRPr="00CE60B2" w:rsidRDefault="002351EF" w:rsidP="00C903EE">
      <w:pPr>
        <w:pStyle w:val="bullet2"/>
        <w:numPr>
          <w:ilvl w:val="0"/>
          <w:numId w:val="52"/>
        </w:numPr>
        <w:spacing w:before="0" w:after="0"/>
        <w:ind w:left="998" w:hanging="357"/>
        <w:rPr>
          <w:rFonts w:cs="Segoe UI"/>
        </w:rPr>
      </w:pPr>
      <w:r w:rsidRPr="00CE60B2">
        <w:rPr>
          <w:rFonts w:cs="Segoe UI"/>
        </w:rPr>
        <w:t xml:space="preserve">environmental values, including </w:t>
      </w:r>
      <w:r w:rsidR="00B40201">
        <w:rPr>
          <w:rFonts w:cs="Segoe UI"/>
        </w:rPr>
        <w:t>old-growth</w:t>
      </w:r>
      <w:r w:rsidRPr="00CE60B2">
        <w:rPr>
          <w:rFonts w:cs="Segoe UI"/>
        </w:rPr>
        <w:t>, wilderness, endangered species,</w:t>
      </w:r>
      <w:r w:rsidR="008C011E" w:rsidRPr="00CE60B2">
        <w:rPr>
          <w:rFonts w:cs="Segoe UI"/>
        </w:rPr>
        <w:t xml:space="preserve"> </w:t>
      </w:r>
      <w:r w:rsidRPr="00CE60B2">
        <w:rPr>
          <w:rFonts w:cs="Segoe UI"/>
        </w:rPr>
        <w:t>National Estate values and World Heritage values</w:t>
      </w:r>
    </w:p>
    <w:p w14:paraId="26ABC7E3" w14:textId="77777777" w:rsidR="002351EF" w:rsidRPr="00CE60B2" w:rsidRDefault="002351EF" w:rsidP="00C903EE">
      <w:pPr>
        <w:pStyle w:val="bullet2"/>
        <w:numPr>
          <w:ilvl w:val="0"/>
          <w:numId w:val="52"/>
        </w:numPr>
        <w:spacing w:before="0" w:after="0"/>
        <w:ind w:left="998" w:hanging="357"/>
        <w:rPr>
          <w:rFonts w:cs="Segoe UI"/>
        </w:rPr>
      </w:pPr>
      <w:r w:rsidRPr="00CE60B2">
        <w:rPr>
          <w:rFonts w:cs="Segoe UI"/>
        </w:rPr>
        <w:t>Aboriginal heritage values</w:t>
      </w:r>
    </w:p>
    <w:p w14:paraId="26ABC7E4" w14:textId="77777777" w:rsidR="002351EF" w:rsidRPr="00CE60B2" w:rsidRDefault="002351EF" w:rsidP="00C903EE">
      <w:pPr>
        <w:pStyle w:val="bullet2"/>
        <w:numPr>
          <w:ilvl w:val="0"/>
          <w:numId w:val="52"/>
        </w:numPr>
        <w:spacing w:before="0" w:after="0"/>
        <w:ind w:left="998" w:hanging="357"/>
        <w:rPr>
          <w:rFonts w:cs="Segoe UI"/>
        </w:rPr>
      </w:pPr>
      <w:r w:rsidRPr="00CE60B2">
        <w:rPr>
          <w:rFonts w:cs="Segoe UI"/>
        </w:rPr>
        <w:t>economic values of forested areas and forest industries</w:t>
      </w:r>
    </w:p>
    <w:p w14:paraId="26ABC7E5" w14:textId="77777777" w:rsidR="002351EF" w:rsidRPr="00CE60B2" w:rsidRDefault="002351EF" w:rsidP="00C903EE">
      <w:pPr>
        <w:pStyle w:val="bullet2"/>
        <w:numPr>
          <w:ilvl w:val="0"/>
          <w:numId w:val="52"/>
        </w:numPr>
        <w:spacing w:before="0" w:after="0"/>
        <w:ind w:left="998" w:hanging="357"/>
        <w:rPr>
          <w:rFonts w:cs="Segoe UI"/>
        </w:rPr>
      </w:pPr>
      <w:r w:rsidRPr="00CE60B2">
        <w:rPr>
          <w:rFonts w:cs="Segoe UI"/>
        </w:rPr>
        <w:t>social values (including community needs)</w:t>
      </w:r>
    </w:p>
    <w:p w14:paraId="26ABC7E6" w14:textId="77777777" w:rsidR="002351EF" w:rsidRPr="00CE60B2" w:rsidRDefault="002351EF" w:rsidP="00C903EE">
      <w:pPr>
        <w:pStyle w:val="bullet2"/>
        <w:numPr>
          <w:ilvl w:val="0"/>
          <w:numId w:val="52"/>
        </w:numPr>
        <w:spacing w:before="0"/>
        <w:ind w:left="998" w:hanging="357"/>
        <w:rPr>
          <w:rFonts w:cs="Segoe UI"/>
        </w:rPr>
      </w:pPr>
      <w:r w:rsidRPr="00CE60B2">
        <w:rPr>
          <w:rFonts w:cs="Segoe UI"/>
        </w:rPr>
        <w:t>the principles of ESFM.</w:t>
      </w:r>
    </w:p>
    <w:p w14:paraId="26ABC7E7" w14:textId="597D17C2" w:rsidR="00695E6D" w:rsidRPr="00CE60B2" w:rsidRDefault="00D76D34" w:rsidP="002351EF">
      <w:pPr>
        <w:rPr>
          <w:rFonts w:cs="Segoe UI"/>
        </w:rPr>
      </w:pPr>
      <w:r w:rsidRPr="00CE60B2">
        <w:rPr>
          <w:rFonts w:cs="Segoe UI"/>
        </w:rPr>
        <w:t xml:space="preserve">The Australian and </w:t>
      </w:r>
      <w:r w:rsidR="006A7AA3" w:rsidRPr="00CE60B2">
        <w:rPr>
          <w:rFonts w:cs="Segoe UI"/>
        </w:rPr>
        <w:t>W</w:t>
      </w:r>
      <w:r w:rsidR="001C6D23">
        <w:rPr>
          <w:rFonts w:cs="Segoe UI"/>
        </w:rPr>
        <w:t>estern Australian</w:t>
      </w:r>
      <w:r w:rsidR="00470141">
        <w:rPr>
          <w:rFonts w:cs="Segoe UI"/>
        </w:rPr>
        <w:t> g</w:t>
      </w:r>
      <w:r w:rsidRPr="00CE60B2">
        <w:rPr>
          <w:rFonts w:cs="Segoe UI"/>
        </w:rPr>
        <w:t xml:space="preserve">overnments have stated their intention to </w:t>
      </w:r>
      <w:r w:rsidR="008C3865" w:rsidRPr="00CE60B2">
        <w:rPr>
          <w:rFonts w:cs="Segoe UI"/>
        </w:rPr>
        <w:t>renew</w:t>
      </w:r>
      <w:r w:rsidR="001A5F2E" w:rsidRPr="00CE60B2">
        <w:rPr>
          <w:rFonts w:cs="Segoe UI"/>
        </w:rPr>
        <w:t xml:space="preserve"> </w:t>
      </w:r>
      <w:r w:rsidR="009C42B0">
        <w:rPr>
          <w:rFonts w:cs="Segoe UI"/>
        </w:rPr>
        <w:t xml:space="preserve">and extend </w:t>
      </w:r>
      <w:r w:rsidR="001A5F2E" w:rsidRPr="00CE60B2">
        <w:rPr>
          <w:rFonts w:cs="Segoe UI"/>
        </w:rPr>
        <w:t xml:space="preserve">the existing </w:t>
      </w:r>
      <w:r w:rsidR="006A7AA3" w:rsidRPr="00CE60B2">
        <w:rPr>
          <w:rFonts w:cs="Segoe UI"/>
        </w:rPr>
        <w:t>WA</w:t>
      </w:r>
      <w:r w:rsidR="00C06FC1">
        <w:rPr>
          <w:rFonts w:cs="Segoe UI"/>
        </w:rPr>
        <w:t> </w:t>
      </w:r>
      <w:r w:rsidR="001A5F2E" w:rsidRPr="00CE60B2">
        <w:rPr>
          <w:rFonts w:cs="Segoe UI"/>
        </w:rPr>
        <w:t xml:space="preserve">RFA. </w:t>
      </w:r>
      <w:r w:rsidR="00586BF4" w:rsidRPr="00CE60B2">
        <w:rPr>
          <w:rFonts w:cs="Segoe UI"/>
        </w:rPr>
        <w:t>To</w:t>
      </w:r>
      <w:r w:rsidR="001A5F2E" w:rsidRPr="00CE60B2">
        <w:rPr>
          <w:rFonts w:cs="Segoe UI"/>
        </w:rPr>
        <w:t xml:space="preserve"> inform this process, the Assessment of Matters document has been developed as a</w:t>
      </w:r>
      <w:r w:rsidR="00470141">
        <w:rPr>
          <w:rFonts w:cs="Segoe UI"/>
        </w:rPr>
        <w:t>n</w:t>
      </w:r>
      <w:r w:rsidR="001A5F2E" w:rsidRPr="00CE60B2">
        <w:rPr>
          <w:rFonts w:cs="Segoe UI"/>
        </w:rPr>
        <w:t xml:space="preserve"> update on matters considered </w:t>
      </w:r>
      <w:r w:rsidR="0085482C" w:rsidRPr="00CE60B2">
        <w:rPr>
          <w:rFonts w:cs="Segoe UI"/>
        </w:rPr>
        <w:t xml:space="preserve">during the </w:t>
      </w:r>
      <w:r w:rsidR="001A5F2E" w:rsidRPr="00C4761C">
        <w:rPr>
          <w:rFonts w:cs="Segoe UI"/>
        </w:rPr>
        <w:t>CRA</w:t>
      </w:r>
      <w:r w:rsidR="001A5F2E" w:rsidRPr="00CE60B2">
        <w:rPr>
          <w:rFonts w:cs="Segoe UI"/>
        </w:rPr>
        <w:t xml:space="preserve"> process.</w:t>
      </w:r>
    </w:p>
    <w:p w14:paraId="58CC96C4" w14:textId="77777777" w:rsidR="00A32E7C" w:rsidRDefault="00A32E7C">
      <w:pPr>
        <w:spacing w:before="0" w:after="480" w:line="276" w:lineRule="auto"/>
        <w:rPr>
          <w:rFonts w:cs="Segoe UI"/>
          <w:b/>
          <w:color w:val="000000" w:themeColor="text1"/>
          <w:sz w:val="24"/>
          <w:szCs w:val="24"/>
        </w:rPr>
      </w:pPr>
      <w:r>
        <w:br w:type="page"/>
      </w:r>
    </w:p>
    <w:p w14:paraId="26ABC7E8" w14:textId="63F8BF37" w:rsidR="00265637" w:rsidRPr="00CE60B2" w:rsidRDefault="006A7AA3" w:rsidP="00E13173">
      <w:pPr>
        <w:pStyle w:val="Heading3"/>
      </w:pPr>
      <w:bookmarkStart w:id="10" w:name="_Toc2776025"/>
      <w:r w:rsidRPr="00CE60B2">
        <w:lastRenderedPageBreak/>
        <w:t>WA</w:t>
      </w:r>
      <w:r w:rsidR="00265637" w:rsidRPr="00CE60B2">
        <w:t xml:space="preserve"> RFA region</w:t>
      </w:r>
      <w:bookmarkEnd w:id="10"/>
    </w:p>
    <w:p w14:paraId="26ABC7EA" w14:textId="34775650" w:rsidR="006A7AA3" w:rsidRDefault="00C421F0" w:rsidP="006A7AA3">
      <w:pPr>
        <w:rPr>
          <w:rFonts w:cs="Segoe UI"/>
        </w:rPr>
      </w:pPr>
      <w:r w:rsidRPr="00C421F0">
        <w:rPr>
          <w:rFonts w:cs="Segoe UI"/>
        </w:rPr>
        <w:fldChar w:fldCharType="begin"/>
      </w:r>
      <w:r w:rsidRPr="00C421F0">
        <w:rPr>
          <w:rFonts w:cs="Segoe UI"/>
        </w:rPr>
        <w:instrText xml:space="preserve"> REF _Ref530988738 \h  \* MERGEFORMAT </w:instrText>
      </w:r>
      <w:r w:rsidRPr="00C421F0">
        <w:rPr>
          <w:rFonts w:cs="Segoe UI"/>
        </w:rPr>
      </w:r>
      <w:r w:rsidRPr="00C421F0">
        <w:rPr>
          <w:rFonts w:cs="Segoe UI"/>
        </w:rPr>
        <w:fldChar w:fldCharType="separate"/>
      </w:r>
      <w:r w:rsidR="003C7091">
        <w:t xml:space="preserve">Figure </w:t>
      </w:r>
      <w:r w:rsidR="003C7091">
        <w:rPr>
          <w:noProof/>
        </w:rPr>
        <w:t>1</w:t>
      </w:r>
      <w:r w:rsidRPr="00C421F0">
        <w:rPr>
          <w:rFonts w:cs="Segoe UI"/>
        </w:rPr>
        <w:fldChar w:fldCharType="end"/>
      </w:r>
      <w:r w:rsidRPr="00C421F0">
        <w:rPr>
          <w:rFonts w:cs="Segoe UI"/>
          <w:b/>
        </w:rPr>
        <w:t xml:space="preserve"> </w:t>
      </w:r>
      <w:r w:rsidR="006A7AA3" w:rsidRPr="00CE60B2">
        <w:rPr>
          <w:rFonts w:cs="Segoe UI"/>
        </w:rPr>
        <w:t xml:space="preserve">identifies the extent of the </w:t>
      </w:r>
      <w:r w:rsidR="00B46BD6" w:rsidRPr="00CE60B2">
        <w:rPr>
          <w:rFonts w:cs="Segoe UI"/>
        </w:rPr>
        <w:t>WA</w:t>
      </w:r>
      <w:r w:rsidR="00FE2B4E">
        <w:rPr>
          <w:rFonts w:cs="Segoe UI"/>
        </w:rPr>
        <w:t> </w:t>
      </w:r>
      <w:r w:rsidR="00B46BD6" w:rsidRPr="00CE60B2">
        <w:rPr>
          <w:rFonts w:cs="Segoe UI"/>
        </w:rPr>
        <w:t xml:space="preserve">RFA region as well as the </w:t>
      </w:r>
      <w:r w:rsidR="00C05A68">
        <w:rPr>
          <w:rFonts w:cs="Segoe UI"/>
        </w:rPr>
        <w:t>C</w:t>
      </w:r>
      <w:r w:rsidR="006A7AA3" w:rsidRPr="00CE60B2">
        <w:rPr>
          <w:rFonts w:cs="Segoe UI"/>
        </w:rPr>
        <w:t>omprehensive</w:t>
      </w:r>
      <w:r w:rsidR="00B46BD6" w:rsidRPr="00CE60B2">
        <w:rPr>
          <w:rFonts w:cs="Segoe UI"/>
        </w:rPr>
        <w:t>,</w:t>
      </w:r>
      <w:r w:rsidR="00C05A68">
        <w:rPr>
          <w:rFonts w:cs="Segoe UI"/>
        </w:rPr>
        <w:t xml:space="preserve"> Adequate and R</w:t>
      </w:r>
      <w:r w:rsidR="006A7AA3" w:rsidRPr="00CE60B2">
        <w:rPr>
          <w:rFonts w:cs="Segoe UI"/>
        </w:rPr>
        <w:t xml:space="preserve">epresentative </w:t>
      </w:r>
      <w:r w:rsidR="00C05A68">
        <w:rPr>
          <w:rFonts w:cs="Segoe UI"/>
        </w:rPr>
        <w:t xml:space="preserve">(CAR) </w:t>
      </w:r>
      <w:r w:rsidR="006A7AA3" w:rsidRPr="00CE60B2">
        <w:rPr>
          <w:rFonts w:cs="Segoe UI"/>
        </w:rPr>
        <w:t>reserve system in the south-west region of Western Australia</w:t>
      </w:r>
      <w:r w:rsidR="00B46BD6" w:rsidRPr="00CE60B2">
        <w:rPr>
          <w:rFonts w:cs="Segoe UI"/>
        </w:rPr>
        <w:t xml:space="preserve"> since its establishment in 1999</w:t>
      </w:r>
      <w:r w:rsidR="006A7AA3" w:rsidRPr="00CE60B2">
        <w:rPr>
          <w:rFonts w:cs="Segoe UI"/>
        </w:rPr>
        <w:t>.</w:t>
      </w:r>
      <w:r w:rsidR="006A6356">
        <w:rPr>
          <w:rFonts w:cs="Segoe UI"/>
        </w:rPr>
        <w:t xml:space="preserve"> The RFA region is a subset of the</w:t>
      </w:r>
      <w:r w:rsidR="00C06FC1">
        <w:rPr>
          <w:rFonts w:cs="Segoe UI"/>
        </w:rPr>
        <w:t xml:space="preserve"> Department of Biodiversity, Conservation and Attractions</w:t>
      </w:r>
      <w:r w:rsidR="006A6356">
        <w:rPr>
          <w:rFonts w:cs="Segoe UI"/>
        </w:rPr>
        <w:t xml:space="preserve"> </w:t>
      </w:r>
      <w:r w:rsidR="00C06FC1">
        <w:rPr>
          <w:rFonts w:cs="Segoe UI"/>
        </w:rPr>
        <w:t>(</w:t>
      </w:r>
      <w:r w:rsidR="006A6356">
        <w:rPr>
          <w:rFonts w:cs="Segoe UI"/>
        </w:rPr>
        <w:t>DBCA</w:t>
      </w:r>
      <w:r w:rsidR="00C06FC1">
        <w:rPr>
          <w:rFonts w:cs="Segoe UI"/>
        </w:rPr>
        <w:t>)</w:t>
      </w:r>
      <w:r w:rsidR="006A6356">
        <w:rPr>
          <w:rFonts w:cs="Segoe UI"/>
        </w:rPr>
        <w:t xml:space="preserve"> Swan, South West and Warren regions. On lands managed by DBCA the RFA commitments are given effect through the Forest Management Plans</w:t>
      </w:r>
      <w:r w:rsidR="00C06FC1">
        <w:rPr>
          <w:rFonts w:cs="Segoe UI"/>
        </w:rPr>
        <w:t xml:space="preserve"> (FMPs)</w:t>
      </w:r>
      <w:r w:rsidR="006A6356">
        <w:rPr>
          <w:rFonts w:cs="Segoe UI"/>
        </w:rPr>
        <w:t xml:space="preserve"> prepared under the CALM Act. As the WA RFA region is a subset of the area covered by the </w:t>
      </w:r>
      <w:r w:rsidR="00C06FC1">
        <w:rPr>
          <w:rFonts w:cs="Segoe UI"/>
        </w:rPr>
        <w:t>FMP</w:t>
      </w:r>
      <w:r w:rsidR="006A6356">
        <w:rPr>
          <w:rFonts w:cs="Segoe UI"/>
        </w:rPr>
        <w:t>s, some statistics presented in this assessment may differ to figures published in those Plans.</w:t>
      </w:r>
    </w:p>
    <w:p w14:paraId="26ABC7EB" w14:textId="77777777" w:rsidR="007E62B1" w:rsidRDefault="00076084" w:rsidP="007E62B1">
      <w:pPr>
        <w:keepNext/>
      </w:pPr>
      <w:bookmarkStart w:id="11" w:name="_Ref527448965"/>
      <w:r>
        <w:rPr>
          <w:noProof/>
          <w:lang w:eastAsia="en-AU"/>
        </w:rPr>
        <w:lastRenderedPageBreak/>
        <w:drawing>
          <wp:inline distT="0" distB="0" distL="0" distR="0" wp14:anchorId="26ABE252" wp14:editId="26ABE253">
            <wp:extent cx="5248468" cy="7679649"/>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4362" cy="7688273"/>
                    </a:xfrm>
                    <a:prstGeom prst="rect">
                      <a:avLst/>
                    </a:prstGeom>
                    <a:noFill/>
                    <a:ln>
                      <a:noFill/>
                    </a:ln>
                  </pic:spPr>
                </pic:pic>
              </a:graphicData>
            </a:graphic>
          </wp:inline>
        </w:drawing>
      </w:r>
    </w:p>
    <w:p w14:paraId="26ABC7EC" w14:textId="56BFF2D9" w:rsidR="007E62B1" w:rsidRDefault="007E62B1" w:rsidP="007E62B1">
      <w:pPr>
        <w:pStyle w:val="Caption"/>
      </w:pPr>
      <w:bookmarkStart w:id="12" w:name="_Ref530988738"/>
      <w:bookmarkStart w:id="13" w:name="_Ref530500065"/>
      <w:bookmarkStart w:id="14" w:name="_Toc2776002"/>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1</w:t>
      </w:r>
      <w:r w:rsidR="0002253A">
        <w:rPr>
          <w:noProof/>
        </w:rPr>
        <w:fldChar w:fldCharType="end"/>
      </w:r>
      <w:bookmarkEnd w:id="12"/>
      <w:r>
        <w:t xml:space="preserve">: </w:t>
      </w:r>
      <w:r w:rsidRPr="00623FAA">
        <w:t>WA RFA region and extent of CAR reserve system in 2018</w:t>
      </w:r>
      <w:bookmarkEnd w:id="13"/>
      <w:bookmarkEnd w:id="14"/>
    </w:p>
    <w:p w14:paraId="26ABC7ED" w14:textId="77777777" w:rsidR="006A6356" w:rsidRDefault="006A6356">
      <w:pPr>
        <w:spacing w:before="0" w:after="480" w:line="276" w:lineRule="auto"/>
        <w:rPr>
          <w:rFonts w:cs="Segoe UI"/>
          <w:b/>
          <w:color w:val="000000" w:themeColor="text1"/>
          <w:sz w:val="24"/>
          <w:szCs w:val="24"/>
        </w:rPr>
      </w:pPr>
      <w:bookmarkStart w:id="15" w:name="_Toc524952782"/>
      <w:bookmarkEnd w:id="11"/>
      <w:r>
        <w:br w:type="page"/>
      </w:r>
    </w:p>
    <w:p w14:paraId="26ABC7EE" w14:textId="77777777" w:rsidR="00BA1108" w:rsidRPr="00CE60B2" w:rsidRDefault="00BA1108" w:rsidP="00D15AAD">
      <w:pPr>
        <w:pStyle w:val="Heading3"/>
      </w:pPr>
      <w:bookmarkStart w:id="16" w:name="_Toc2776026"/>
      <w:r w:rsidRPr="00CE60B2">
        <w:lastRenderedPageBreak/>
        <w:t>Method</w:t>
      </w:r>
      <w:bookmarkEnd w:id="15"/>
      <w:bookmarkEnd w:id="16"/>
    </w:p>
    <w:p w14:paraId="26ABC7EF" w14:textId="77777777" w:rsidR="001D15A4" w:rsidRPr="001D15A4" w:rsidRDefault="006554DE" w:rsidP="006554DE">
      <w:bookmarkStart w:id="17" w:name="_Ref515026895"/>
      <w:r w:rsidRPr="00CE60B2">
        <w:rPr>
          <w:rFonts w:cs="Segoe UI"/>
        </w:rPr>
        <w:t xml:space="preserve">This document collates information on the relevant </w:t>
      </w:r>
      <w:r w:rsidR="00E16BDD">
        <w:rPr>
          <w:rFonts w:cs="Segoe UI"/>
        </w:rPr>
        <w:t xml:space="preserve">values </w:t>
      </w:r>
      <w:r w:rsidRPr="00CE60B2">
        <w:rPr>
          <w:rFonts w:cs="Segoe UI"/>
        </w:rPr>
        <w:t xml:space="preserve">from a range of sources to demonstrate </w:t>
      </w:r>
      <w:r w:rsidR="00AD6EC2">
        <w:rPr>
          <w:rFonts w:cs="Segoe UI"/>
        </w:rPr>
        <w:t>the accumulated</w:t>
      </w:r>
      <w:r w:rsidRPr="00CE60B2">
        <w:rPr>
          <w:rFonts w:cs="Segoe UI"/>
        </w:rPr>
        <w:t xml:space="preserve"> changes arising, since the commencement of the WA</w:t>
      </w:r>
      <w:r w:rsidR="00FE2B4E">
        <w:rPr>
          <w:rFonts w:cs="Segoe UI"/>
        </w:rPr>
        <w:t> </w:t>
      </w:r>
      <w:r w:rsidRPr="00CE60B2">
        <w:rPr>
          <w:rFonts w:cs="Segoe UI"/>
        </w:rPr>
        <w:t>RFA.</w:t>
      </w:r>
      <w:r w:rsidR="001D15A4">
        <w:rPr>
          <w:rFonts w:cs="Segoe UI"/>
        </w:rPr>
        <w:t xml:space="preserve"> </w:t>
      </w:r>
      <w:r w:rsidR="001D15A4">
        <w:t>This document used data from published sources and assimilates it to provide information, over time, about relevant WA RFA matters, including the state of environmental, economic, social and heritage values.</w:t>
      </w:r>
    </w:p>
    <w:p w14:paraId="26ABC7F0" w14:textId="7CED580A" w:rsidR="00391A1D" w:rsidRPr="00CE60B2" w:rsidRDefault="006554DE" w:rsidP="006554DE">
      <w:pPr>
        <w:rPr>
          <w:rFonts w:cs="Segoe UI"/>
          <w:b/>
        </w:rPr>
      </w:pPr>
      <w:r w:rsidRPr="00CE60B2">
        <w:rPr>
          <w:rFonts w:cs="Segoe UI"/>
        </w:rPr>
        <w:t xml:space="preserve">The principles of </w:t>
      </w:r>
      <w:r w:rsidR="009953E9">
        <w:rPr>
          <w:rFonts w:cs="Segoe UI"/>
        </w:rPr>
        <w:t>ESFM underpin the NFPS, the RFA </w:t>
      </w:r>
      <w:r w:rsidRPr="00CE60B2">
        <w:rPr>
          <w:rFonts w:cs="Segoe UI"/>
        </w:rPr>
        <w:t xml:space="preserve">Act, and the </w:t>
      </w:r>
      <w:r w:rsidR="009953E9">
        <w:rPr>
          <w:rFonts w:cs="Segoe UI"/>
        </w:rPr>
        <w:t>WA </w:t>
      </w:r>
      <w:r w:rsidRPr="00CE60B2">
        <w:rPr>
          <w:rFonts w:cs="Segoe UI"/>
        </w:rPr>
        <w:t xml:space="preserve">RFA itself. These principles </w:t>
      </w:r>
      <w:r w:rsidR="002E2DE1">
        <w:rPr>
          <w:rFonts w:cs="Segoe UI"/>
        </w:rPr>
        <w:t xml:space="preserve">are consistent with </w:t>
      </w:r>
      <w:r w:rsidRPr="00CE60B2">
        <w:rPr>
          <w:rFonts w:cs="Segoe UI"/>
        </w:rPr>
        <w:t>the criteria established in the Montréal Proc</w:t>
      </w:r>
      <w:r w:rsidR="003B59F4">
        <w:rPr>
          <w:rFonts w:cs="Segoe UI"/>
        </w:rPr>
        <w:t>ess (</w:t>
      </w:r>
      <w:r w:rsidR="003B59F4">
        <w:rPr>
          <w:rFonts w:cs="Segoe UI"/>
        </w:rPr>
        <w:fldChar w:fldCharType="begin"/>
      </w:r>
      <w:r w:rsidR="003B59F4">
        <w:rPr>
          <w:rFonts w:cs="Segoe UI"/>
        </w:rPr>
        <w:instrText xml:space="preserve"> REF _Ref527449090 </w:instrText>
      </w:r>
      <w:r w:rsidR="003B59F4">
        <w:rPr>
          <w:rFonts w:cs="Segoe UI"/>
        </w:rPr>
        <w:fldChar w:fldCharType="separate"/>
      </w:r>
      <w:r w:rsidR="003C7091">
        <w:t xml:space="preserve">Table </w:t>
      </w:r>
      <w:r w:rsidR="003C7091">
        <w:rPr>
          <w:noProof/>
        </w:rPr>
        <w:t>1</w:t>
      </w:r>
      <w:r w:rsidR="003B59F4">
        <w:rPr>
          <w:rFonts w:cs="Segoe UI"/>
        </w:rPr>
        <w:fldChar w:fldCharType="end"/>
      </w:r>
      <w:r w:rsidRPr="00CE60B2">
        <w:rPr>
          <w:rFonts w:cs="Segoe UI"/>
        </w:rPr>
        <w:t xml:space="preserve">). </w:t>
      </w:r>
      <w:r w:rsidR="00316AEA" w:rsidRPr="00316AEA">
        <w:rPr>
          <w:rFonts w:cs="Segoe UI"/>
        </w:rPr>
        <w:t xml:space="preserve">The Australian and state governments have adopted the internationally-agreed Montréal Process Criteria and Indicators for reporting on sustainable forest management, reviewing and adapting them for Australian conditions. The indicators cover </w:t>
      </w:r>
      <w:r w:rsidR="00586BF4" w:rsidRPr="00316AEA">
        <w:rPr>
          <w:rFonts w:cs="Segoe UI"/>
        </w:rPr>
        <w:t>all</w:t>
      </w:r>
      <w:r w:rsidR="00316AEA" w:rsidRPr="00316AEA">
        <w:rPr>
          <w:rFonts w:cs="Segoe UI"/>
        </w:rPr>
        <w:t xml:space="preserve"> the matters listed in para (a) of the definition of ‘RFA’ in the RFA Act and are the agreed framework for ESFM reporting in RFA regions.</w:t>
      </w:r>
      <w:r w:rsidR="00E16BDD">
        <w:rPr>
          <w:rFonts w:cs="Segoe UI"/>
        </w:rPr>
        <w:t xml:space="preserve"> </w:t>
      </w:r>
      <w:r w:rsidRPr="00CE60B2">
        <w:rPr>
          <w:rFonts w:cs="Segoe UI"/>
        </w:rPr>
        <w:t>The Montréal Process indicators relating to these principles are used in a range of RFA and other reporting, and provide the framework upon which the later</w:t>
      </w:r>
      <w:r w:rsidR="00C06FC1">
        <w:rPr>
          <w:rFonts w:cs="Segoe UI"/>
        </w:rPr>
        <w:t>FMP</w:t>
      </w:r>
      <w:r w:rsidR="0070699E">
        <w:rPr>
          <w:rFonts w:cs="Segoe UI"/>
        </w:rPr>
        <w:t> </w:t>
      </w:r>
      <w:r w:rsidRPr="00CE60B2">
        <w:rPr>
          <w:rFonts w:cs="Segoe UI"/>
        </w:rPr>
        <w:t xml:space="preserve">(2004-2013; 2014-2023) have been structured. </w:t>
      </w:r>
      <w:r w:rsidR="002E2DE1">
        <w:rPr>
          <w:rFonts w:cs="Segoe UI"/>
        </w:rPr>
        <w:t>T</w:t>
      </w:r>
      <w:r w:rsidRPr="00CE60B2">
        <w:rPr>
          <w:rFonts w:cs="Segoe UI"/>
        </w:rPr>
        <w:t xml:space="preserve">he </w:t>
      </w:r>
      <w:r w:rsidR="00B260A1">
        <w:rPr>
          <w:rFonts w:cs="Segoe UI"/>
        </w:rPr>
        <w:t>FMPs</w:t>
      </w:r>
      <w:r w:rsidRPr="00CE60B2">
        <w:rPr>
          <w:rFonts w:cs="Segoe UI"/>
        </w:rPr>
        <w:t xml:space="preserve"> </w:t>
      </w:r>
      <w:r w:rsidR="002E2DE1">
        <w:rPr>
          <w:rFonts w:cs="Segoe UI"/>
        </w:rPr>
        <w:t xml:space="preserve">have </w:t>
      </w:r>
      <w:r w:rsidRPr="00CE60B2">
        <w:rPr>
          <w:rFonts w:cs="Segoe UI"/>
        </w:rPr>
        <w:t xml:space="preserve">a range of Key Performance Indicators </w:t>
      </w:r>
      <w:r w:rsidR="00E53E33">
        <w:rPr>
          <w:rFonts w:cs="Segoe UI"/>
        </w:rPr>
        <w:t xml:space="preserve">(KPIs) </w:t>
      </w:r>
      <w:r w:rsidRPr="00CE60B2">
        <w:rPr>
          <w:rFonts w:cs="Segoe UI"/>
        </w:rPr>
        <w:t xml:space="preserve">and other reporting mechanisms </w:t>
      </w:r>
      <w:r w:rsidR="002E2DE1">
        <w:rPr>
          <w:rFonts w:cs="Segoe UI"/>
        </w:rPr>
        <w:t xml:space="preserve">that </w:t>
      </w:r>
      <w:r w:rsidRPr="00CE60B2">
        <w:rPr>
          <w:rFonts w:cs="Segoe UI"/>
        </w:rPr>
        <w:t xml:space="preserve">have been developed and monitored, </w:t>
      </w:r>
      <w:r w:rsidR="00B03504">
        <w:rPr>
          <w:rFonts w:cs="Segoe UI"/>
        </w:rPr>
        <w:t xml:space="preserve">and are </w:t>
      </w:r>
      <w:r w:rsidR="00B03504" w:rsidRPr="00CE60B2">
        <w:rPr>
          <w:rFonts w:cs="Segoe UI"/>
        </w:rPr>
        <w:t>aligned with the Montreal Indicators</w:t>
      </w:r>
      <w:r w:rsidR="00B03504">
        <w:rPr>
          <w:rFonts w:cs="Segoe UI"/>
        </w:rPr>
        <w:t>.</w:t>
      </w:r>
      <w:r w:rsidR="00B03504" w:rsidRPr="00CE60B2">
        <w:rPr>
          <w:rFonts w:cs="Segoe UI"/>
        </w:rPr>
        <w:t xml:space="preserve"> </w:t>
      </w:r>
      <w:r w:rsidR="00B03504">
        <w:rPr>
          <w:rFonts w:cs="Segoe UI"/>
        </w:rPr>
        <w:t>S</w:t>
      </w:r>
      <w:r w:rsidRPr="00CE60B2">
        <w:rPr>
          <w:rFonts w:cs="Segoe UI"/>
        </w:rPr>
        <w:t xml:space="preserve">pecific reporting requirements under the plans </w:t>
      </w:r>
      <w:r w:rsidR="00B03504">
        <w:rPr>
          <w:rFonts w:cs="Segoe UI"/>
        </w:rPr>
        <w:t xml:space="preserve">have been developed </w:t>
      </w:r>
      <w:r w:rsidR="00E74C4C">
        <w:rPr>
          <w:rFonts w:cs="Segoe UI"/>
        </w:rPr>
        <w:t>for</w:t>
      </w:r>
      <w:r w:rsidRPr="00CE60B2">
        <w:rPr>
          <w:rFonts w:cs="Segoe UI"/>
        </w:rPr>
        <w:t xml:space="preserve"> </w:t>
      </w:r>
      <w:r w:rsidR="00E74C4C">
        <w:rPr>
          <w:rFonts w:cs="Segoe UI"/>
        </w:rPr>
        <w:t xml:space="preserve">the </w:t>
      </w:r>
      <w:r w:rsidR="009953E9">
        <w:rPr>
          <w:rFonts w:cs="Segoe UI"/>
        </w:rPr>
        <w:t>DBCA</w:t>
      </w:r>
      <w:r w:rsidR="00E74C4C">
        <w:rPr>
          <w:rFonts w:cs="Segoe UI"/>
        </w:rPr>
        <w:t xml:space="preserve"> and the Forest Products Commission (FPC)</w:t>
      </w:r>
      <w:r w:rsidRPr="00CE60B2">
        <w:rPr>
          <w:rFonts w:cs="Segoe UI"/>
        </w:rPr>
        <w:t>.</w:t>
      </w:r>
      <w:r w:rsidR="00E53E33">
        <w:rPr>
          <w:rFonts w:cs="Segoe UI"/>
        </w:rPr>
        <w:t xml:space="preserve"> </w:t>
      </w:r>
      <w:r w:rsidR="00E53E33" w:rsidRPr="00E53E33">
        <w:rPr>
          <w:rFonts w:cs="Segoe UI"/>
          <w:lang w:val="x-none"/>
        </w:rPr>
        <w:t>WA has a comprehensive system in place for reporting on</w:t>
      </w:r>
      <w:r w:rsidR="00E53E33">
        <w:rPr>
          <w:rFonts w:cs="Segoe UI"/>
        </w:rPr>
        <w:t xml:space="preserve"> </w:t>
      </w:r>
      <w:r w:rsidR="00E53E33">
        <w:rPr>
          <w:rFonts w:cs="Segoe UI"/>
          <w:lang w:val="x-none"/>
        </w:rPr>
        <w:t>KPIs</w:t>
      </w:r>
      <w:r w:rsidR="00E53E33" w:rsidRPr="00E53E33">
        <w:rPr>
          <w:rFonts w:cs="Segoe UI"/>
          <w:lang w:val="x-none"/>
        </w:rPr>
        <w:t xml:space="preserve"> under the FMP</w:t>
      </w:r>
      <w:r w:rsidR="00E53E33">
        <w:rPr>
          <w:rFonts w:cs="Segoe UI"/>
          <w:lang w:val="x-none"/>
        </w:rPr>
        <w:t xml:space="preserve"> (</w:t>
      </w:r>
      <w:r w:rsidR="002D56EB">
        <w:rPr>
          <w:rFonts w:cs="Segoe UI"/>
          <w:lang w:val="x-none"/>
        </w:rPr>
        <w:t>Wilkinson</w:t>
      </w:r>
      <w:r w:rsidR="00E53E33">
        <w:rPr>
          <w:rFonts w:cs="Segoe UI"/>
          <w:lang w:val="x-none"/>
        </w:rPr>
        <w:t> 2017).</w:t>
      </w:r>
    </w:p>
    <w:p w14:paraId="26ABC7F1" w14:textId="7F903D52" w:rsidR="003B59F4" w:rsidRDefault="003B59F4" w:rsidP="003B59F4">
      <w:pPr>
        <w:pStyle w:val="Caption"/>
        <w:keepNext/>
      </w:pPr>
      <w:bookmarkStart w:id="18" w:name="_Ref527449090"/>
      <w:bookmarkStart w:id="19" w:name="_Toc531002162"/>
      <w:bookmarkEnd w:id="17"/>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1</w:t>
      </w:r>
      <w:r w:rsidR="005C10D4">
        <w:rPr>
          <w:noProof/>
        </w:rPr>
        <w:fldChar w:fldCharType="end"/>
      </w:r>
      <w:bookmarkEnd w:id="18"/>
      <w:r>
        <w:t>: Comparison of</w:t>
      </w:r>
      <w:r w:rsidRPr="003B59F4">
        <w:rPr>
          <w:rFonts w:cs="Segoe UI"/>
          <w:b/>
        </w:rPr>
        <w:t xml:space="preserve"> </w:t>
      </w:r>
      <w:r w:rsidRPr="003B59F4">
        <w:rPr>
          <w:rFonts w:cs="Segoe UI"/>
        </w:rPr>
        <w:t xml:space="preserve">Montréal Process Criteria with the principles of </w:t>
      </w:r>
      <w:r w:rsidR="00253CCC">
        <w:rPr>
          <w:rFonts w:cs="Segoe UI"/>
        </w:rPr>
        <w:t>ESFM</w:t>
      </w:r>
      <w:r w:rsidR="00D53181">
        <w:rPr>
          <w:rFonts w:cs="Segoe UI"/>
        </w:rPr>
        <w:t xml:space="preserve"> as de</w:t>
      </w:r>
      <w:r w:rsidR="00596715">
        <w:rPr>
          <w:rFonts w:cs="Segoe UI"/>
        </w:rPr>
        <w:t>s</w:t>
      </w:r>
      <w:r w:rsidR="00D53181">
        <w:rPr>
          <w:rFonts w:cs="Segoe UI"/>
        </w:rPr>
        <w:t>cribed in the background of</w:t>
      </w:r>
      <w:r w:rsidRPr="003B59F4">
        <w:rPr>
          <w:rFonts w:cs="Segoe UI"/>
        </w:rPr>
        <w:t xml:space="preserve"> the WA FMP and </w:t>
      </w:r>
      <w:r w:rsidR="00D53181">
        <w:rPr>
          <w:rFonts w:cs="Segoe UI"/>
        </w:rPr>
        <w:t>section 19(2) of the CALM Act.</w:t>
      </w:r>
      <w:bookmarkEnd w:id="19"/>
    </w:p>
    <w:tbl>
      <w:tblPr>
        <w:tblStyle w:val="TableGrid"/>
        <w:tblW w:w="0" w:type="auto"/>
        <w:tblLayout w:type="fixed"/>
        <w:tblLook w:val="0000" w:firstRow="0" w:lastRow="0" w:firstColumn="0" w:lastColumn="0" w:noHBand="0" w:noVBand="0"/>
      </w:tblPr>
      <w:tblGrid>
        <w:gridCol w:w="4382"/>
        <w:gridCol w:w="4382"/>
      </w:tblGrid>
      <w:tr w:rsidR="00DF3D44" w:rsidRPr="00CE60B2" w14:paraId="26ABC7F4" w14:textId="77777777" w:rsidTr="00391A1D">
        <w:trPr>
          <w:trHeight w:val="216"/>
          <w:tblHeader/>
        </w:trPr>
        <w:tc>
          <w:tcPr>
            <w:tcW w:w="4382" w:type="dxa"/>
            <w:shd w:val="clear" w:color="auto" w:fill="DFEFE1" w:themeFill="accent3" w:themeFillTint="66"/>
          </w:tcPr>
          <w:p w14:paraId="26ABC7F2" w14:textId="77777777" w:rsidR="00DF3D44" w:rsidRPr="00CE60B2" w:rsidRDefault="00DF3D44" w:rsidP="003C79AC">
            <w:pPr>
              <w:rPr>
                <w:rFonts w:cs="Segoe UI"/>
                <w:b/>
              </w:rPr>
            </w:pPr>
            <w:r w:rsidRPr="00CE60B2">
              <w:rPr>
                <w:rFonts w:cs="Segoe UI"/>
                <w:b/>
              </w:rPr>
              <w:t>Montréal Process Criteria for Sustainable Forest Management</w:t>
            </w:r>
          </w:p>
        </w:tc>
        <w:tc>
          <w:tcPr>
            <w:tcW w:w="4382" w:type="dxa"/>
            <w:shd w:val="clear" w:color="auto" w:fill="DFEFE1" w:themeFill="accent3" w:themeFillTint="66"/>
          </w:tcPr>
          <w:p w14:paraId="26ABC7F3" w14:textId="77777777" w:rsidR="00DF3D44" w:rsidRPr="00CE60B2" w:rsidRDefault="00DF3D44" w:rsidP="00587028">
            <w:pPr>
              <w:rPr>
                <w:rFonts w:cs="Segoe UI"/>
                <w:b/>
              </w:rPr>
            </w:pPr>
            <w:r w:rsidRPr="00CE60B2">
              <w:rPr>
                <w:rFonts w:cs="Segoe UI"/>
                <w:b/>
              </w:rPr>
              <w:t xml:space="preserve">Principles of </w:t>
            </w:r>
            <w:r w:rsidR="00253CCC">
              <w:rPr>
                <w:rFonts w:cs="Segoe UI"/>
                <w:b/>
              </w:rPr>
              <w:t>ESFM</w:t>
            </w:r>
            <w:r w:rsidR="00115E2F">
              <w:rPr>
                <w:rFonts w:cs="Segoe UI"/>
                <w:b/>
              </w:rPr>
              <w:t xml:space="preserve"> </w:t>
            </w:r>
          </w:p>
        </w:tc>
      </w:tr>
      <w:tr w:rsidR="00DF3D44" w:rsidRPr="00CE60B2" w14:paraId="26ABC7F9" w14:textId="77777777" w:rsidTr="00391A1D">
        <w:trPr>
          <w:trHeight w:val="99"/>
        </w:trPr>
        <w:tc>
          <w:tcPr>
            <w:tcW w:w="4382" w:type="dxa"/>
          </w:tcPr>
          <w:p w14:paraId="26ABC7F5" w14:textId="77777777" w:rsidR="00DF3D44" w:rsidRPr="00CE60B2" w:rsidRDefault="00DF3D44" w:rsidP="003C79AC">
            <w:pPr>
              <w:rPr>
                <w:rFonts w:cs="Segoe UI"/>
              </w:rPr>
            </w:pPr>
            <w:r w:rsidRPr="00CE60B2">
              <w:rPr>
                <w:rFonts w:cs="Segoe UI"/>
              </w:rPr>
              <w:t xml:space="preserve">Criterion 1. Conservation of biological diversity </w:t>
            </w:r>
          </w:p>
        </w:tc>
        <w:tc>
          <w:tcPr>
            <w:tcW w:w="4382" w:type="dxa"/>
          </w:tcPr>
          <w:p w14:paraId="26ABC7F6" w14:textId="77777777" w:rsidR="00DF3D44" w:rsidRPr="00CE60B2" w:rsidRDefault="00DF3D44" w:rsidP="003C79AC">
            <w:pPr>
              <w:rPr>
                <w:rFonts w:cs="Segoe UI"/>
              </w:rPr>
            </w:pPr>
            <w:r w:rsidRPr="00CE60B2">
              <w:rPr>
                <w:rFonts w:cs="Segoe UI"/>
              </w:rPr>
              <w:t xml:space="preserve">Principle 1: </w:t>
            </w:r>
            <w:r w:rsidR="00C11136" w:rsidRPr="00CE60B2">
              <w:rPr>
                <w:rFonts w:cs="Segoe UI"/>
              </w:rPr>
              <w:t>Precautionary Principle</w:t>
            </w:r>
          </w:p>
          <w:p w14:paraId="26ABC7F7" w14:textId="77777777" w:rsidR="00C11136" w:rsidRPr="00CE60B2" w:rsidRDefault="00C11136" w:rsidP="00C11136">
            <w:pPr>
              <w:rPr>
                <w:rFonts w:cs="Segoe UI"/>
              </w:rPr>
            </w:pPr>
            <w:r w:rsidRPr="00CE60B2">
              <w:rPr>
                <w:rFonts w:cs="Segoe UI"/>
              </w:rPr>
              <w:t>Principle 3: Principle of Intergenerational Equity</w:t>
            </w:r>
          </w:p>
          <w:p w14:paraId="26ABC7F8" w14:textId="77777777" w:rsidR="00C11136" w:rsidRPr="00CE60B2" w:rsidRDefault="00C11136" w:rsidP="00C11136">
            <w:pPr>
              <w:rPr>
                <w:rFonts w:cs="Segoe UI"/>
              </w:rPr>
            </w:pPr>
            <w:r w:rsidRPr="00CE60B2">
              <w:rPr>
                <w:rFonts w:cs="Segoe UI"/>
              </w:rPr>
              <w:t>Principle 4: Conservation of Biological Diversity and Ecological Integrity</w:t>
            </w:r>
          </w:p>
        </w:tc>
      </w:tr>
      <w:tr w:rsidR="00DF3D44" w:rsidRPr="00CE60B2" w14:paraId="26ABC7FD" w14:textId="77777777" w:rsidTr="00391A1D">
        <w:trPr>
          <w:trHeight w:val="217"/>
        </w:trPr>
        <w:tc>
          <w:tcPr>
            <w:tcW w:w="4382" w:type="dxa"/>
          </w:tcPr>
          <w:p w14:paraId="26ABC7FA" w14:textId="77777777" w:rsidR="00DF3D44" w:rsidRPr="00CE60B2" w:rsidRDefault="00DF3D44" w:rsidP="003C79AC">
            <w:pPr>
              <w:rPr>
                <w:rFonts w:cs="Segoe UI"/>
              </w:rPr>
            </w:pPr>
            <w:r w:rsidRPr="00CE60B2">
              <w:rPr>
                <w:rFonts w:cs="Segoe UI"/>
              </w:rPr>
              <w:t xml:space="preserve">Criterion 2. Maintenance of productive capacity of forest ecosystems </w:t>
            </w:r>
          </w:p>
        </w:tc>
        <w:tc>
          <w:tcPr>
            <w:tcW w:w="4382" w:type="dxa"/>
          </w:tcPr>
          <w:p w14:paraId="26ABC7FB" w14:textId="77777777" w:rsidR="00C11136" w:rsidRPr="00CE60B2" w:rsidRDefault="00C11136" w:rsidP="00C11136">
            <w:pPr>
              <w:rPr>
                <w:rFonts w:cs="Segoe UI"/>
              </w:rPr>
            </w:pPr>
            <w:r w:rsidRPr="00CE60B2">
              <w:rPr>
                <w:rFonts w:cs="Segoe UI"/>
              </w:rPr>
              <w:t>Principle 2: Sustainability Principle</w:t>
            </w:r>
          </w:p>
          <w:p w14:paraId="26ABC7FC" w14:textId="77777777" w:rsidR="00DF3D44" w:rsidRPr="00CE60B2" w:rsidRDefault="00DF3D44" w:rsidP="00C11136">
            <w:pPr>
              <w:rPr>
                <w:rFonts w:cs="Segoe UI"/>
              </w:rPr>
            </w:pPr>
            <w:r w:rsidRPr="00CE60B2">
              <w:rPr>
                <w:rFonts w:cs="Segoe UI"/>
              </w:rPr>
              <w:t xml:space="preserve">Principle </w:t>
            </w:r>
            <w:r w:rsidR="00C11136" w:rsidRPr="00CE60B2">
              <w:rPr>
                <w:rFonts w:cs="Segoe UI"/>
              </w:rPr>
              <w:t>3: Principle of Intergenerational Equity</w:t>
            </w:r>
          </w:p>
        </w:tc>
      </w:tr>
      <w:tr w:rsidR="00DF3D44" w:rsidRPr="00CE60B2" w14:paraId="26ABC802" w14:textId="77777777" w:rsidTr="00391A1D">
        <w:trPr>
          <w:trHeight w:val="217"/>
        </w:trPr>
        <w:tc>
          <w:tcPr>
            <w:tcW w:w="4382" w:type="dxa"/>
          </w:tcPr>
          <w:p w14:paraId="26ABC7FE" w14:textId="77777777" w:rsidR="00DF3D44" w:rsidRPr="00CE60B2" w:rsidRDefault="00DF3D44" w:rsidP="003C79AC">
            <w:pPr>
              <w:rPr>
                <w:rFonts w:cs="Segoe UI"/>
              </w:rPr>
            </w:pPr>
            <w:r w:rsidRPr="00CE60B2">
              <w:rPr>
                <w:rFonts w:cs="Segoe UI"/>
              </w:rPr>
              <w:t xml:space="preserve">Criterion 3. Maintenance of ecosystem health and vitality </w:t>
            </w:r>
          </w:p>
        </w:tc>
        <w:tc>
          <w:tcPr>
            <w:tcW w:w="4382" w:type="dxa"/>
          </w:tcPr>
          <w:p w14:paraId="26ABC7FF" w14:textId="77777777" w:rsidR="00C11136" w:rsidRPr="00CE60B2" w:rsidRDefault="00C11136" w:rsidP="00C11136">
            <w:pPr>
              <w:rPr>
                <w:rFonts w:cs="Segoe UI"/>
              </w:rPr>
            </w:pPr>
            <w:r w:rsidRPr="00CE60B2">
              <w:rPr>
                <w:rFonts w:cs="Segoe UI"/>
              </w:rPr>
              <w:t>Principle 1: Precautionary Principle</w:t>
            </w:r>
          </w:p>
          <w:p w14:paraId="26ABC800" w14:textId="77777777" w:rsidR="00DF3D44" w:rsidRPr="00CE60B2" w:rsidRDefault="00DF3D44" w:rsidP="00C11136">
            <w:pPr>
              <w:rPr>
                <w:rFonts w:cs="Segoe UI"/>
              </w:rPr>
            </w:pPr>
            <w:r w:rsidRPr="00CE60B2">
              <w:rPr>
                <w:rFonts w:cs="Segoe UI"/>
              </w:rPr>
              <w:t xml:space="preserve">Principle </w:t>
            </w:r>
            <w:r w:rsidR="00C11136" w:rsidRPr="00CE60B2">
              <w:rPr>
                <w:rFonts w:cs="Segoe UI"/>
              </w:rPr>
              <w:t>3: Principle of Intergenerational equity</w:t>
            </w:r>
          </w:p>
          <w:p w14:paraId="26ABC801" w14:textId="77777777" w:rsidR="00FE4B94" w:rsidRPr="00CE60B2" w:rsidRDefault="00FE4B94" w:rsidP="00C11136">
            <w:pPr>
              <w:rPr>
                <w:rFonts w:cs="Segoe UI"/>
              </w:rPr>
            </w:pPr>
            <w:r w:rsidRPr="00CE60B2">
              <w:rPr>
                <w:rFonts w:cs="Segoe UI"/>
              </w:rPr>
              <w:t>Principle 5: Principles of improved valuation, pricing and incentive mechanisms</w:t>
            </w:r>
          </w:p>
        </w:tc>
      </w:tr>
      <w:tr w:rsidR="00DF3D44" w:rsidRPr="00CE60B2" w14:paraId="26ABC806" w14:textId="77777777" w:rsidTr="00391A1D">
        <w:trPr>
          <w:trHeight w:val="217"/>
        </w:trPr>
        <w:tc>
          <w:tcPr>
            <w:tcW w:w="4382" w:type="dxa"/>
          </w:tcPr>
          <w:p w14:paraId="26ABC803" w14:textId="77777777" w:rsidR="00DF3D44" w:rsidRPr="00CE60B2" w:rsidRDefault="00DF3D44" w:rsidP="003C79AC">
            <w:pPr>
              <w:rPr>
                <w:rFonts w:cs="Segoe UI"/>
              </w:rPr>
            </w:pPr>
            <w:r w:rsidRPr="00CE60B2">
              <w:rPr>
                <w:rFonts w:cs="Segoe UI"/>
              </w:rPr>
              <w:t xml:space="preserve">Criterion 4. Conservation and maintenance of soil and water resources </w:t>
            </w:r>
          </w:p>
        </w:tc>
        <w:tc>
          <w:tcPr>
            <w:tcW w:w="4382" w:type="dxa"/>
          </w:tcPr>
          <w:p w14:paraId="26ABC804" w14:textId="77777777" w:rsidR="00C11136" w:rsidRPr="00CE60B2" w:rsidRDefault="00C11136" w:rsidP="003C79AC">
            <w:pPr>
              <w:rPr>
                <w:rFonts w:cs="Segoe UI"/>
              </w:rPr>
            </w:pPr>
            <w:r w:rsidRPr="00CE60B2">
              <w:rPr>
                <w:rFonts w:cs="Segoe UI"/>
              </w:rPr>
              <w:t>Principle 1: Precautionary Principle</w:t>
            </w:r>
          </w:p>
          <w:p w14:paraId="26ABC805" w14:textId="77777777" w:rsidR="00DF3D44" w:rsidRPr="00CE60B2" w:rsidRDefault="00C11136" w:rsidP="003C79AC">
            <w:pPr>
              <w:rPr>
                <w:rFonts w:cs="Segoe UI"/>
              </w:rPr>
            </w:pPr>
            <w:r w:rsidRPr="00CE60B2">
              <w:rPr>
                <w:rFonts w:cs="Segoe UI"/>
              </w:rPr>
              <w:t>Principle 3: Principle of Intergenerational equity</w:t>
            </w:r>
          </w:p>
        </w:tc>
      </w:tr>
      <w:tr w:rsidR="00DF3D44" w:rsidRPr="00CE60B2" w14:paraId="26ABC80B" w14:textId="77777777" w:rsidTr="00391A1D">
        <w:trPr>
          <w:trHeight w:val="216"/>
        </w:trPr>
        <w:tc>
          <w:tcPr>
            <w:tcW w:w="4382" w:type="dxa"/>
          </w:tcPr>
          <w:p w14:paraId="26ABC807" w14:textId="77777777" w:rsidR="00DF3D44" w:rsidRPr="00CE60B2" w:rsidRDefault="00DF3D44" w:rsidP="003C79AC">
            <w:pPr>
              <w:rPr>
                <w:rFonts w:cs="Segoe UI"/>
              </w:rPr>
            </w:pPr>
            <w:r w:rsidRPr="00CE60B2">
              <w:rPr>
                <w:rFonts w:cs="Segoe UI"/>
              </w:rPr>
              <w:lastRenderedPageBreak/>
              <w:t xml:space="preserve">Criterion 5. Maintenance of forest contribution to global carbon cycles </w:t>
            </w:r>
          </w:p>
        </w:tc>
        <w:tc>
          <w:tcPr>
            <w:tcW w:w="4382" w:type="dxa"/>
          </w:tcPr>
          <w:p w14:paraId="26ABC808" w14:textId="77777777" w:rsidR="00C11136" w:rsidRPr="00CE60B2" w:rsidRDefault="00C11136" w:rsidP="00C11136">
            <w:pPr>
              <w:rPr>
                <w:rFonts w:cs="Segoe UI"/>
              </w:rPr>
            </w:pPr>
            <w:r w:rsidRPr="00CE60B2">
              <w:rPr>
                <w:rFonts w:cs="Segoe UI"/>
              </w:rPr>
              <w:t>Principle 1: Precautionary Principle</w:t>
            </w:r>
          </w:p>
          <w:p w14:paraId="26ABC809" w14:textId="77777777" w:rsidR="00DF3D44" w:rsidRPr="00CE60B2" w:rsidRDefault="00C11136" w:rsidP="003C79AC">
            <w:pPr>
              <w:rPr>
                <w:rFonts w:cs="Segoe UI"/>
              </w:rPr>
            </w:pPr>
            <w:r w:rsidRPr="00CE60B2">
              <w:rPr>
                <w:rFonts w:cs="Segoe UI"/>
              </w:rPr>
              <w:t>Principle 3: Principle of Intergenerational equity</w:t>
            </w:r>
            <w:r w:rsidRPr="00CE60B2" w:rsidDel="00C11136">
              <w:rPr>
                <w:rFonts w:cs="Segoe UI"/>
              </w:rPr>
              <w:t xml:space="preserve"> </w:t>
            </w:r>
          </w:p>
          <w:p w14:paraId="26ABC80A" w14:textId="77777777" w:rsidR="00DF3D44" w:rsidRPr="00CE60B2" w:rsidRDefault="00FE4B94" w:rsidP="003C79AC">
            <w:pPr>
              <w:rPr>
                <w:rFonts w:cs="Segoe UI"/>
              </w:rPr>
            </w:pPr>
            <w:r w:rsidRPr="00CE60B2">
              <w:rPr>
                <w:rFonts w:cs="Segoe UI"/>
              </w:rPr>
              <w:t>Principle 5: Principles of improved valuation, pricing and incentive mechanisms</w:t>
            </w:r>
          </w:p>
        </w:tc>
      </w:tr>
      <w:tr w:rsidR="00DF3D44" w:rsidRPr="00CE60B2" w14:paraId="26ABC811" w14:textId="77777777" w:rsidTr="00391A1D">
        <w:trPr>
          <w:trHeight w:val="511"/>
        </w:trPr>
        <w:tc>
          <w:tcPr>
            <w:tcW w:w="4382" w:type="dxa"/>
          </w:tcPr>
          <w:p w14:paraId="26ABC80C" w14:textId="77777777" w:rsidR="00DF3D44" w:rsidRPr="00CE60B2" w:rsidRDefault="00DF3D44" w:rsidP="003C79AC">
            <w:pPr>
              <w:rPr>
                <w:rFonts w:cs="Segoe UI"/>
              </w:rPr>
            </w:pPr>
            <w:r w:rsidRPr="00CE60B2">
              <w:rPr>
                <w:rFonts w:cs="Segoe UI"/>
              </w:rPr>
              <w:t xml:space="preserve">Criterion 6. Maintenance and enhancement of long-term multiple socioeconomic benefits to meet the needs of societies </w:t>
            </w:r>
          </w:p>
        </w:tc>
        <w:tc>
          <w:tcPr>
            <w:tcW w:w="4382" w:type="dxa"/>
          </w:tcPr>
          <w:p w14:paraId="26ABC80D" w14:textId="77777777" w:rsidR="0085021A" w:rsidRPr="00CE60B2" w:rsidRDefault="0085021A" w:rsidP="003C79AC">
            <w:pPr>
              <w:rPr>
                <w:rFonts w:cs="Segoe UI"/>
              </w:rPr>
            </w:pPr>
            <w:r w:rsidRPr="00CE60B2">
              <w:rPr>
                <w:rFonts w:cs="Segoe UI"/>
              </w:rPr>
              <w:t>Principle 2: Sustainability Principle</w:t>
            </w:r>
          </w:p>
          <w:p w14:paraId="26ABC80E" w14:textId="77777777" w:rsidR="0085021A" w:rsidRPr="00CE60B2" w:rsidRDefault="00C11136" w:rsidP="003C79AC">
            <w:pPr>
              <w:rPr>
                <w:rFonts w:cs="Segoe UI"/>
              </w:rPr>
            </w:pPr>
            <w:r w:rsidRPr="00CE60B2">
              <w:rPr>
                <w:rFonts w:cs="Segoe UI"/>
              </w:rPr>
              <w:t>Principle 3: Principle of Intergenerational equity</w:t>
            </w:r>
            <w:r w:rsidRPr="00CE60B2" w:rsidDel="00C11136">
              <w:rPr>
                <w:rFonts w:cs="Segoe UI"/>
              </w:rPr>
              <w:t xml:space="preserve"> </w:t>
            </w:r>
          </w:p>
          <w:p w14:paraId="26ABC80F" w14:textId="77777777" w:rsidR="00DF3D44" w:rsidRPr="00CE60B2" w:rsidRDefault="00DF3D44" w:rsidP="003C79AC">
            <w:pPr>
              <w:rPr>
                <w:rFonts w:cs="Segoe UI"/>
                <w:highlight w:val="yellow"/>
              </w:rPr>
            </w:pPr>
          </w:p>
          <w:p w14:paraId="26ABC810" w14:textId="77777777" w:rsidR="00DF3D44" w:rsidRPr="00CE60B2" w:rsidRDefault="00DF3D44" w:rsidP="003C79AC">
            <w:pPr>
              <w:rPr>
                <w:rFonts w:cs="Segoe UI"/>
                <w:highlight w:val="yellow"/>
              </w:rPr>
            </w:pPr>
          </w:p>
        </w:tc>
      </w:tr>
      <w:tr w:rsidR="00DF3D44" w:rsidRPr="00CE60B2" w14:paraId="26ABC815" w14:textId="77777777" w:rsidTr="00391A1D">
        <w:trPr>
          <w:trHeight w:val="986"/>
        </w:trPr>
        <w:tc>
          <w:tcPr>
            <w:tcW w:w="4382" w:type="dxa"/>
          </w:tcPr>
          <w:p w14:paraId="26ABC812" w14:textId="77777777" w:rsidR="00DF3D44" w:rsidRPr="00CE60B2" w:rsidRDefault="00DF3D44" w:rsidP="003C79AC">
            <w:pPr>
              <w:rPr>
                <w:rFonts w:cs="Segoe UI"/>
              </w:rPr>
            </w:pPr>
            <w:r w:rsidRPr="00CE60B2">
              <w:rPr>
                <w:rFonts w:cs="Segoe UI"/>
              </w:rPr>
              <w:t xml:space="preserve">Criterion 7. Legal, institutional and economic framework for forest conservation and sustainable management </w:t>
            </w:r>
          </w:p>
        </w:tc>
        <w:tc>
          <w:tcPr>
            <w:tcW w:w="4382" w:type="dxa"/>
          </w:tcPr>
          <w:p w14:paraId="26ABC813" w14:textId="77777777" w:rsidR="0085021A" w:rsidRPr="00CE60B2" w:rsidRDefault="0085021A" w:rsidP="003C79AC">
            <w:pPr>
              <w:rPr>
                <w:rFonts w:cs="Segoe UI"/>
              </w:rPr>
            </w:pPr>
            <w:r w:rsidRPr="00CE60B2">
              <w:rPr>
                <w:rFonts w:cs="Segoe UI"/>
              </w:rPr>
              <w:t>Principle 2: Sustainability principle</w:t>
            </w:r>
          </w:p>
          <w:p w14:paraId="26ABC814" w14:textId="77777777" w:rsidR="00DF3D44" w:rsidRPr="00CE60B2" w:rsidRDefault="0085021A" w:rsidP="003C79AC">
            <w:pPr>
              <w:rPr>
                <w:rFonts w:cs="Segoe UI"/>
                <w:highlight w:val="yellow"/>
              </w:rPr>
            </w:pPr>
            <w:r w:rsidRPr="00CE60B2">
              <w:rPr>
                <w:rFonts w:cs="Segoe UI"/>
              </w:rPr>
              <w:t>Principle 3: Principle of Intergenerational Equity</w:t>
            </w:r>
          </w:p>
        </w:tc>
      </w:tr>
    </w:tbl>
    <w:p w14:paraId="26ABC816" w14:textId="77777777" w:rsidR="00DF3D44" w:rsidRPr="00D24472" w:rsidRDefault="00DF3D44" w:rsidP="00F8606D">
      <w:pPr>
        <w:rPr>
          <w:rFonts w:cs="Segoe UI"/>
          <w:lang w:eastAsia="en-AU"/>
        </w:rPr>
      </w:pPr>
    </w:p>
    <w:p w14:paraId="26ABC817" w14:textId="77777777" w:rsidR="00114D73" w:rsidRPr="00CE60B2" w:rsidRDefault="003B59F4" w:rsidP="00114D73">
      <w:pPr>
        <w:rPr>
          <w:rFonts w:cs="Segoe UI"/>
          <w:lang w:eastAsia="en-AU"/>
        </w:rPr>
      </w:pPr>
      <w:r w:rsidRPr="00AF76A6">
        <w:rPr>
          <w:rFonts w:cs="Segoe UI"/>
          <w:lang w:eastAsia="en-AU"/>
        </w:rPr>
        <w:t xml:space="preserve">Appendix </w:t>
      </w:r>
      <w:r w:rsidR="00B83FC7" w:rsidRPr="00AF76A6">
        <w:rPr>
          <w:rFonts w:cs="Segoe UI"/>
          <w:lang w:eastAsia="en-AU"/>
        </w:rPr>
        <w:t>A</w:t>
      </w:r>
      <w:r w:rsidRPr="003B59F4">
        <w:rPr>
          <w:rFonts w:cs="Segoe UI"/>
          <w:b/>
          <w:lang w:eastAsia="en-AU"/>
        </w:rPr>
        <w:t xml:space="preserve"> </w:t>
      </w:r>
      <w:r w:rsidR="00114D73" w:rsidRPr="00CE60B2">
        <w:rPr>
          <w:rFonts w:cs="Segoe UI"/>
          <w:lang w:eastAsia="en-AU"/>
        </w:rPr>
        <w:t xml:space="preserve">shows the relationship between individual indicators under the </w:t>
      </w:r>
      <w:r w:rsidR="00A515C1" w:rsidRPr="00CE60B2">
        <w:rPr>
          <w:rFonts w:cs="Segoe UI"/>
          <w:lang w:eastAsia="en-AU"/>
        </w:rPr>
        <w:t>Montréal</w:t>
      </w:r>
      <w:r w:rsidR="00114D73" w:rsidRPr="00CE60B2">
        <w:rPr>
          <w:rFonts w:cs="Segoe UI"/>
          <w:lang w:eastAsia="en-AU"/>
        </w:rPr>
        <w:t xml:space="preserve"> Process criteria, and RFA matters for consideration in the RFA Act.</w:t>
      </w:r>
    </w:p>
    <w:p w14:paraId="26ABC818" w14:textId="4EB3EBF3" w:rsidR="006554DE" w:rsidRPr="00CE60B2" w:rsidRDefault="006554DE" w:rsidP="006554DE">
      <w:pPr>
        <w:rPr>
          <w:rFonts w:cs="Segoe UI"/>
          <w:lang w:eastAsia="en-AU"/>
        </w:rPr>
      </w:pPr>
      <w:r w:rsidRPr="00CE60B2">
        <w:rPr>
          <w:rFonts w:cs="Segoe UI"/>
          <w:lang w:eastAsia="en-AU"/>
        </w:rPr>
        <w:t>Appendix 11 of the t</w:t>
      </w:r>
      <w:r w:rsidR="009953E9">
        <w:rPr>
          <w:rFonts w:cs="Segoe UI"/>
          <w:lang w:eastAsia="en-AU"/>
        </w:rPr>
        <w:t>hird five-year review of the WA </w:t>
      </w:r>
      <w:r w:rsidRPr="00CE60B2">
        <w:rPr>
          <w:rFonts w:cs="Segoe UI"/>
          <w:lang w:eastAsia="en-AU"/>
        </w:rPr>
        <w:t xml:space="preserve">RFA summarises the current WA reporting mechanisms for sustainability indicators, and their relationship to the national Montreal Process indicators. Data and information have been compiled or in some cases recaste to the RFA region (as a subset of the FMP area) for reporting. The information is assembled under five separate sections, each addressing a matter for consideration under the </w:t>
      </w:r>
      <w:r w:rsidR="00A15791" w:rsidRPr="00A15791">
        <w:rPr>
          <w:rFonts w:cs="Segoe UI"/>
          <w:lang w:eastAsia="en-AU"/>
        </w:rPr>
        <w:t>RFA Act</w:t>
      </w:r>
      <w:r w:rsidRPr="00A15791">
        <w:rPr>
          <w:rFonts w:cs="Segoe UI"/>
          <w:lang w:eastAsia="en-AU"/>
        </w:rPr>
        <w:t>.</w:t>
      </w:r>
    </w:p>
    <w:p w14:paraId="26ABC819" w14:textId="77777777" w:rsidR="00114D73" w:rsidRPr="00CE60B2" w:rsidRDefault="00A15791" w:rsidP="006554DE">
      <w:pPr>
        <w:rPr>
          <w:rFonts w:cs="Segoe UI"/>
          <w:lang w:eastAsia="en-AU"/>
        </w:rPr>
      </w:pPr>
      <w:r>
        <w:rPr>
          <w:rFonts w:cs="Segoe UI"/>
          <w:lang w:eastAsia="en-AU"/>
        </w:rPr>
        <w:t>T</w:t>
      </w:r>
      <w:r w:rsidR="006554DE" w:rsidRPr="00CE60B2">
        <w:rPr>
          <w:rFonts w:cs="Segoe UI"/>
          <w:lang w:eastAsia="en-AU"/>
        </w:rPr>
        <w:t>his document provides</w:t>
      </w:r>
      <w:r w:rsidRPr="00A15791">
        <w:rPr>
          <w:rFonts w:cs="Segoe UI"/>
          <w:lang w:eastAsia="en-AU"/>
        </w:rPr>
        <w:t xml:space="preserve"> </w:t>
      </w:r>
      <w:r>
        <w:rPr>
          <w:rFonts w:cs="Segoe UI"/>
          <w:lang w:eastAsia="en-AU"/>
        </w:rPr>
        <w:t xml:space="preserve">relevant </w:t>
      </w:r>
      <w:r w:rsidRPr="00CE60B2">
        <w:rPr>
          <w:rFonts w:cs="Segoe UI"/>
          <w:lang w:eastAsia="en-AU"/>
        </w:rPr>
        <w:t>information</w:t>
      </w:r>
      <w:r w:rsidR="006554DE" w:rsidRPr="00CE60B2">
        <w:rPr>
          <w:rFonts w:cs="Segoe UI"/>
          <w:lang w:eastAsia="en-AU"/>
        </w:rPr>
        <w:t xml:space="preserve"> </w:t>
      </w:r>
      <w:r>
        <w:rPr>
          <w:rFonts w:cs="Segoe UI"/>
          <w:lang w:eastAsia="en-AU"/>
        </w:rPr>
        <w:t xml:space="preserve">on </w:t>
      </w:r>
      <w:r w:rsidR="006554DE" w:rsidRPr="00CE60B2">
        <w:rPr>
          <w:rFonts w:cs="Segoe UI"/>
          <w:lang w:eastAsia="en-AU"/>
        </w:rPr>
        <w:t>indicator</w:t>
      </w:r>
      <w:r>
        <w:rPr>
          <w:rFonts w:cs="Segoe UI"/>
          <w:lang w:eastAsia="en-AU"/>
        </w:rPr>
        <w:t>s</w:t>
      </w:r>
      <w:r w:rsidR="006554DE" w:rsidRPr="00CE60B2">
        <w:rPr>
          <w:rFonts w:cs="Segoe UI"/>
          <w:lang w:eastAsia="en-AU"/>
        </w:rPr>
        <w:t xml:space="preserve"> over the life of </w:t>
      </w:r>
      <w:r>
        <w:rPr>
          <w:rFonts w:cs="Segoe UI"/>
          <w:lang w:eastAsia="en-AU"/>
        </w:rPr>
        <w:t xml:space="preserve">the </w:t>
      </w:r>
      <w:r w:rsidR="006554DE" w:rsidRPr="00CE60B2">
        <w:rPr>
          <w:rFonts w:cs="Segoe UI"/>
          <w:lang w:eastAsia="en-AU"/>
        </w:rPr>
        <w:t>WA</w:t>
      </w:r>
      <w:r>
        <w:rPr>
          <w:rFonts w:cs="Segoe UI"/>
          <w:lang w:eastAsia="en-AU"/>
        </w:rPr>
        <w:t> </w:t>
      </w:r>
      <w:r w:rsidR="006554DE" w:rsidRPr="00CE60B2">
        <w:rPr>
          <w:rFonts w:cs="Segoe UI"/>
          <w:lang w:eastAsia="en-AU"/>
        </w:rPr>
        <w:t xml:space="preserve">RFA </w:t>
      </w:r>
      <w:r>
        <w:rPr>
          <w:rFonts w:cs="Segoe UI"/>
          <w:lang w:eastAsia="en-AU"/>
        </w:rPr>
        <w:t>within the</w:t>
      </w:r>
      <w:r w:rsidR="006554DE" w:rsidRPr="00CE60B2">
        <w:rPr>
          <w:rFonts w:cs="Segoe UI"/>
          <w:lang w:eastAsia="en-AU"/>
        </w:rPr>
        <w:t xml:space="preserve"> region.</w:t>
      </w:r>
    </w:p>
    <w:p w14:paraId="26ABC81A" w14:textId="77777777" w:rsidR="00695E6D" w:rsidRPr="00CE60B2" w:rsidRDefault="00695E6D" w:rsidP="00E13173">
      <w:pPr>
        <w:pStyle w:val="Heading3"/>
        <w:rPr>
          <w:lang w:eastAsia="en-AU"/>
        </w:rPr>
      </w:pPr>
      <w:bookmarkStart w:id="20" w:name="_Toc2776027"/>
      <w:r w:rsidRPr="00CE60B2">
        <w:rPr>
          <w:lang w:eastAsia="en-AU"/>
        </w:rPr>
        <w:t>Linkages to other Processes</w:t>
      </w:r>
      <w:bookmarkEnd w:id="20"/>
      <w:r w:rsidRPr="00CE60B2">
        <w:rPr>
          <w:lang w:eastAsia="en-AU"/>
        </w:rPr>
        <w:t xml:space="preserve"> </w:t>
      </w:r>
    </w:p>
    <w:p w14:paraId="26ABC81B" w14:textId="77777777" w:rsidR="004C5F51" w:rsidRDefault="001A5F2E" w:rsidP="00695E6D">
      <w:pPr>
        <w:rPr>
          <w:rFonts w:cs="Segoe UI"/>
        </w:rPr>
      </w:pPr>
      <w:r w:rsidRPr="00CE60B2">
        <w:rPr>
          <w:rFonts w:cs="Segoe UI"/>
        </w:rPr>
        <w:t>A</w:t>
      </w:r>
      <w:r w:rsidR="00695E6D" w:rsidRPr="00CE60B2">
        <w:rPr>
          <w:rFonts w:cs="Segoe UI"/>
        </w:rPr>
        <w:t xml:space="preserve"> number of processes </w:t>
      </w:r>
      <w:r w:rsidRPr="00CE60B2">
        <w:rPr>
          <w:rFonts w:cs="Segoe UI"/>
        </w:rPr>
        <w:t>have produced</w:t>
      </w:r>
      <w:r w:rsidR="00695E6D" w:rsidRPr="00CE60B2">
        <w:rPr>
          <w:rFonts w:cs="Segoe UI"/>
        </w:rPr>
        <w:t xml:space="preserve"> complementary information aimed at reporting on sustainable management of forest ecosystems. These include the reporting against </w:t>
      </w:r>
      <w:r w:rsidR="00A515C1" w:rsidRPr="00CE60B2">
        <w:rPr>
          <w:rFonts w:cs="Segoe UI"/>
        </w:rPr>
        <w:t>Montréal</w:t>
      </w:r>
      <w:r w:rsidR="00695E6D" w:rsidRPr="00CE60B2">
        <w:rPr>
          <w:rFonts w:cs="Segoe UI"/>
        </w:rPr>
        <w:t xml:space="preserve"> Process Criteria and Indicators </w:t>
      </w:r>
      <w:r w:rsidR="00543AD9" w:rsidRPr="00CE60B2">
        <w:rPr>
          <w:rFonts w:cs="Segoe UI"/>
        </w:rPr>
        <w:t xml:space="preserve">such as </w:t>
      </w:r>
      <w:r w:rsidR="00695E6D" w:rsidRPr="00CE60B2">
        <w:rPr>
          <w:rFonts w:cs="Segoe UI"/>
        </w:rPr>
        <w:t>Australia</w:t>
      </w:r>
      <w:r w:rsidR="00543AD9" w:rsidRPr="00CE60B2">
        <w:rPr>
          <w:rFonts w:cs="Segoe UI"/>
        </w:rPr>
        <w:t>’s</w:t>
      </w:r>
      <w:r w:rsidR="00695E6D" w:rsidRPr="00CE60B2">
        <w:rPr>
          <w:rFonts w:cs="Segoe UI"/>
        </w:rPr>
        <w:t xml:space="preserve"> State of the Forests </w:t>
      </w:r>
      <w:r w:rsidR="00577004">
        <w:rPr>
          <w:rFonts w:cs="Segoe UI"/>
        </w:rPr>
        <w:t xml:space="preserve">(SOFR) </w:t>
      </w:r>
      <w:r w:rsidR="00695E6D" w:rsidRPr="00CE60B2">
        <w:rPr>
          <w:rFonts w:cs="Segoe UI"/>
        </w:rPr>
        <w:t xml:space="preserve">reporting, </w:t>
      </w:r>
      <w:r w:rsidR="00543AD9" w:rsidRPr="00CE60B2">
        <w:rPr>
          <w:rFonts w:cs="Segoe UI"/>
        </w:rPr>
        <w:t>and</w:t>
      </w:r>
      <w:r w:rsidR="00695E6D" w:rsidRPr="00CE60B2">
        <w:rPr>
          <w:rFonts w:cs="Segoe UI"/>
        </w:rPr>
        <w:t xml:space="preserve"> </w:t>
      </w:r>
      <w:r w:rsidR="00B46BD6" w:rsidRPr="00CE60B2">
        <w:rPr>
          <w:rFonts w:cs="Segoe UI"/>
        </w:rPr>
        <w:t>WA</w:t>
      </w:r>
      <w:r w:rsidR="00695E6D" w:rsidRPr="00CE60B2">
        <w:rPr>
          <w:rFonts w:cs="Segoe UI"/>
        </w:rPr>
        <w:t xml:space="preserve"> </w:t>
      </w:r>
      <w:r w:rsidR="00B67B89">
        <w:rPr>
          <w:rFonts w:cs="Segoe UI"/>
        </w:rPr>
        <w:t>FMP</w:t>
      </w:r>
      <w:r w:rsidR="00765912" w:rsidRPr="00CE60B2">
        <w:rPr>
          <w:rFonts w:cs="Segoe UI"/>
        </w:rPr>
        <w:t xml:space="preserve"> reporting.</w:t>
      </w:r>
      <w:r w:rsidR="004C5F51">
        <w:rPr>
          <w:rFonts w:cs="Segoe UI"/>
        </w:rPr>
        <w:t xml:space="preserve"> </w:t>
      </w:r>
    </w:p>
    <w:p w14:paraId="26ABC81C" w14:textId="77777777" w:rsidR="00765912" w:rsidRPr="00CE60B2" w:rsidRDefault="001F5C07" w:rsidP="00695E6D">
      <w:pPr>
        <w:rPr>
          <w:rFonts w:cs="Segoe UI"/>
        </w:rPr>
      </w:pPr>
      <w:r>
        <w:rPr>
          <w:rFonts w:cs="Segoe UI"/>
        </w:rPr>
        <w:t>T</w:t>
      </w:r>
      <w:r w:rsidR="004C5F51">
        <w:t>he outcomes and findings of the</w:t>
      </w:r>
      <w:r w:rsidR="00364A06">
        <w:t>se</w:t>
      </w:r>
      <w:r w:rsidR="004C5F51">
        <w:t xml:space="preserve"> processes have been considered through the formal, independent fi</w:t>
      </w:r>
      <w:r w:rsidR="009953E9">
        <w:t>ve-yearly reviews of the WA RFA</w:t>
      </w:r>
      <w:r w:rsidR="004C5F51">
        <w:t xml:space="preserve"> undertaken jointly by the Australian and WA governments. The Australian and WA governments have duly taken account of the outcomes of these reviews and assessment processes, providing formal responses to each of the five-yearly reviews and by agreeing to implement further measures consistent with the adaptive management and contin</w:t>
      </w:r>
      <w:r w:rsidR="00FF6D15">
        <w:t>uous</w:t>
      </w:r>
      <w:r w:rsidR="004C5F51">
        <w:t xml:space="preserve"> improv</w:t>
      </w:r>
      <w:r w:rsidR="009953E9">
        <w:t>ement commitments in the WA RFA</w:t>
      </w:r>
      <w:r w:rsidR="004C5F51">
        <w:t xml:space="preserve"> and sustainable management principles.</w:t>
      </w:r>
    </w:p>
    <w:p w14:paraId="26ABC81D" w14:textId="77777777" w:rsidR="00695E6D" w:rsidRPr="00CE60B2" w:rsidRDefault="00695E6D" w:rsidP="00695E6D">
      <w:pPr>
        <w:rPr>
          <w:rFonts w:cs="Segoe UI"/>
        </w:rPr>
      </w:pPr>
      <w:r w:rsidRPr="00CE60B2">
        <w:rPr>
          <w:rFonts w:cs="Segoe UI"/>
        </w:rPr>
        <w:lastRenderedPageBreak/>
        <w:t xml:space="preserve">In addition, the </w:t>
      </w:r>
      <w:r w:rsidR="009953E9">
        <w:rPr>
          <w:rFonts w:cs="Segoe UI"/>
        </w:rPr>
        <w:t>Australian </w:t>
      </w:r>
      <w:r w:rsidRPr="00CE60B2">
        <w:rPr>
          <w:rFonts w:cs="Segoe UI"/>
        </w:rPr>
        <w:t xml:space="preserve">Government, as a signatory to the </w:t>
      </w:r>
      <w:r w:rsidR="00A515C1" w:rsidRPr="00CE60B2">
        <w:rPr>
          <w:rFonts w:cs="Segoe UI"/>
        </w:rPr>
        <w:t>Montréal</w:t>
      </w:r>
      <w:r w:rsidRPr="00CE60B2">
        <w:rPr>
          <w:rFonts w:cs="Segoe UI"/>
        </w:rPr>
        <w:t xml:space="preserve"> Process, </w:t>
      </w:r>
      <w:r w:rsidR="00875DDE" w:rsidRPr="00CE60B2">
        <w:rPr>
          <w:rFonts w:cs="Segoe UI"/>
        </w:rPr>
        <w:t xml:space="preserve">also </w:t>
      </w:r>
      <w:r w:rsidRPr="00CE60B2">
        <w:rPr>
          <w:rFonts w:cs="Segoe UI"/>
        </w:rPr>
        <w:t>report</w:t>
      </w:r>
      <w:r w:rsidR="00875DDE" w:rsidRPr="00CE60B2">
        <w:rPr>
          <w:rFonts w:cs="Segoe UI"/>
        </w:rPr>
        <w:t>s</w:t>
      </w:r>
      <w:r w:rsidR="001A5F2E" w:rsidRPr="00CE60B2">
        <w:rPr>
          <w:rFonts w:cs="Segoe UI"/>
        </w:rPr>
        <w:t xml:space="preserve"> under </w:t>
      </w:r>
      <w:r w:rsidR="00A515C1" w:rsidRPr="00CE60B2">
        <w:rPr>
          <w:rFonts w:cs="Segoe UI"/>
        </w:rPr>
        <w:t>Montréal</w:t>
      </w:r>
      <w:r w:rsidR="001A5F2E" w:rsidRPr="00CE60B2">
        <w:rPr>
          <w:rFonts w:cs="Segoe UI"/>
        </w:rPr>
        <w:t xml:space="preserve"> Process obligations</w:t>
      </w:r>
      <w:r w:rsidRPr="00CE60B2">
        <w:rPr>
          <w:rFonts w:cs="Segoe UI"/>
        </w:rPr>
        <w:t>.</w:t>
      </w:r>
    </w:p>
    <w:p w14:paraId="26ABC81E" w14:textId="77777777" w:rsidR="00695E6D" w:rsidRPr="00CE60B2" w:rsidRDefault="00A515C1" w:rsidP="00173FF9">
      <w:pPr>
        <w:pStyle w:val="Heading4"/>
        <w:rPr>
          <w:rFonts w:cs="Segoe UI"/>
        </w:rPr>
      </w:pPr>
      <w:r w:rsidRPr="006D4A5C">
        <w:rPr>
          <w:rFonts w:cs="Segoe UI"/>
        </w:rPr>
        <w:t>Montréal</w:t>
      </w:r>
      <w:r w:rsidR="00695E6D" w:rsidRPr="006D4A5C">
        <w:rPr>
          <w:rFonts w:cs="Segoe UI"/>
        </w:rPr>
        <w:t xml:space="preserve"> Implementation Group (MIG) indicators</w:t>
      </w:r>
      <w:r w:rsidR="00695E6D" w:rsidRPr="00CE60B2">
        <w:rPr>
          <w:rFonts w:cs="Segoe UI"/>
        </w:rPr>
        <w:t xml:space="preserve"> </w:t>
      </w:r>
    </w:p>
    <w:p w14:paraId="26ABC81F" w14:textId="77777777" w:rsidR="00173FF9" w:rsidRPr="00CE60B2" w:rsidRDefault="00695E6D" w:rsidP="00173FF9">
      <w:pPr>
        <w:shd w:val="clear" w:color="auto" w:fill="FFFFFF"/>
        <w:spacing w:before="0" w:after="0"/>
        <w:rPr>
          <w:rFonts w:cs="Segoe UI"/>
        </w:rPr>
      </w:pPr>
      <w:r w:rsidRPr="00CE60B2">
        <w:rPr>
          <w:rFonts w:cs="Segoe UI"/>
        </w:rPr>
        <w:t>Under the RFA</w:t>
      </w:r>
      <w:r w:rsidR="007667FB" w:rsidRPr="00CE60B2">
        <w:rPr>
          <w:rFonts w:cs="Segoe UI"/>
        </w:rPr>
        <w:t>,</w:t>
      </w:r>
      <w:r w:rsidRPr="00CE60B2">
        <w:rPr>
          <w:rFonts w:cs="Segoe UI"/>
        </w:rPr>
        <w:t xml:space="preserve"> reporting against criteria and indicators is carried out in accordance with </w:t>
      </w:r>
      <w:r w:rsidRPr="00CE60B2">
        <w:rPr>
          <w:rFonts w:cs="Segoe UI"/>
          <w:i/>
        </w:rPr>
        <w:t>A Framework of Regional (Sub-national) Level Criteria and Indicators of Sustainabl</w:t>
      </w:r>
      <w:r w:rsidR="000B1725" w:rsidRPr="00CE60B2">
        <w:rPr>
          <w:rFonts w:cs="Segoe UI"/>
          <w:i/>
        </w:rPr>
        <w:t>e Forest Management in Australia</w:t>
      </w:r>
      <w:r w:rsidR="000B1725" w:rsidRPr="00CE60B2">
        <w:rPr>
          <w:rFonts w:cs="Segoe UI"/>
        </w:rPr>
        <w:t xml:space="preserve"> </w:t>
      </w:r>
      <w:r w:rsidR="002C06ED" w:rsidRPr="00CE60B2">
        <w:rPr>
          <w:rFonts w:cs="Segoe UI"/>
        </w:rPr>
        <w:t>(Department of Primary Industries and Energy, 1998)</w:t>
      </w:r>
      <w:r w:rsidRPr="00CE60B2">
        <w:rPr>
          <w:rFonts w:cs="Segoe UI"/>
        </w:rPr>
        <w:t xml:space="preserve">. </w:t>
      </w:r>
      <w:r w:rsidR="007667FB" w:rsidRPr="00CE60B2">
        <w:rPr>
          <w:rFonts w:cs="Segoe UI"/>
        </w:rPr>
        <w:t xml:space="preserve">The 1998 indicators current at </w:t>
      </w:r>
      <w:r w:rsidRPr="00CE60B2">
        <w:rPr>
          <w:rFonts w:cs="Segoe UI"/>
        </w:rPr>
        <w:t xml:space="preserve">the signing of the </w:t>
      </w:r>
      <w:r w:rsidR="00B46BD6" w:rsidRPr="00CE60B2">
        <w:rPr>
          <w:rFonts w:cs="Segoe UI"/>
        </w:rPr>
        <w:t>WA</w:t>
      </w:r>
      <w:r w:rsidR="009953E9">
        <w:rPr>
          <w:rFonts w:cs="Segoe UI"/>
        </w:rPr>
        <w:t> RFA</w:t>
      </w:r>
      <w:r w:rsidR="007667FB" w:rsidRPr="00CE60B2">
        <w:rPr>
          <w:rFonts w:cs="Segoe UI"/>
        </w:rPr>
        <w:t xml:space="preserve"> were </w:t>
      </w:r>
      <w:r w:rsidR="000B1725" w:rsidRPr="00CE60B2">
        <w:rPr>
          <w:rFonts w:cs="Segoe UI"/>
        </w:rPr>
        <w:t>updated</w:t>
      </w:r>
      <w:r w:rsidR="007667FB" w:rsidRPr="00CE60B2">
        <w:rPr>
          <w:rFonts w:cs="Segoe UI"/>
        </w:rPr>
        <w:t xml:space="preserve"> in </w:t>
      </w:r>
      <w:r w:rsidRPr="00CE60B2">
        <w:rPr>
          <w:rFonts w:cs="Segoe UI"/>
          <w:i/>
        </w:rPr>
        <w:t>Australia’s Sustainable Forest Management Framework of Criteria &amp; Indicato</w:t>
      </w:r>
      <w:r w:rsidR="000B1725" w:rsidRPr="00CE60B2">
        <w:rPr>
          <w:rFonts w:cs="Segoe UI"/>
          <w:i/>
        </w:rPr>
        <w:t>rs 2008</w:t>
      </w:r>
      <w:r w:rsidRPr="00CE60B2">
        <w:rPr>
          <w:rFonts w:cs="Segoe UI"/>
          <w:i/>
        </w:rPr>
        <w:t xml:space="preserve"> – Policy Guideline</w:t>
      </w:r>
      <w:r w:rsidR="000B1725" w:rsidRPr="00CE60B2">
        <w:rPr>
          <w:rFonts w:cs="Segoe UI"/>
          <w:i/>
        </w:rPr>
        <w:t xml:space="preserve">s </w:t>
      </w:r>
      <w:r w:rsidR="000B1725" w:rsidRPr="00CE60B2">
        <w:rPr>
          <w:rFonts w:cs="Segoe UI"/>
        </w:rPr>
        <w:t>(Department of Agriculture, Fisheries and Forestry 2008)</w:t>
      </w:r>
      <w:r w:rsidR="007667FB" w:rsidRPr="00CE60B2">
        <w:rPr>
          <w:rFonts w:cs="Segoe UI"/>
        </w:rPr>
        <w:t>.</w:t>
      </w:r>
      <w:r w:rsidR="00A87253" w:rsidRPr="00CE60B2">
        <w:rPr>
          <w:rFonts w:cs="Segoe UI"/>
        </w:rPr>
        <w:t xml:space="preserve"> </w:t>
      </w:r>
      <w:r w:rsidR="007667FB" w:rsidRPr="00CE60B2">
        <w:rPr>
          <w:rFonts w:cs="Segoe UI"/>
        </w:rPr>
        <w:t xml:space="preserve">This </w:t>
      </w:r>
      <w:r w:rsidRPr="00CE60B2">
        <w:rPr>
          <w:rFonts w:cs="Segoe UI"/>
        </w:rPr>
        <w:t xml:space="preserve">provided </w:t>
      </w:r>
      <w:r w:rsidR="00046297" w:rsidRPr="00CE60B2">
        <w:rPr>
          <w:rFonts w:cs="Segoe UI"/>
        </w:rPr>
        <w:t xml:space="preserve">the </w:t>
      </w:r>
      <w:r w:rsidRPr="00CE60B2">
        <w:rPr>
          <w:rFonts w:cs="Segoe UI"/>
        </w:rPr>
        <w:t>seven criteria and 44 indicators</w:t>
      </w:r>
      <w:r w:rsidR="00046297" w:rsidRPr="00CE60B2">
        <w:rPr>
          <w:rFonts w:cs="Segoe UI"/>
        </w:rPr>
        <w:t xml:space="preserve"> currently in use</w:t>
      </w:r>
      <w:r w:rsidRPr="00CE60B2">
        <w:rPr>
          <w:rFonts w:cs="Segoe UI"/>
        </w:rPr>
        <w:t xml:space="preserve">. </w:t>
      </w:r>
      <w:r w:rsidR="00173FF9" w:rsidRPr="00CE60B2">
        <w:rPr>
          <w:rFonts w:cs="Segoe UI"/>
        </w:rPr>
        <w:t xml:space="preserve">Mapping of these to the international criteria is shown in Appendix </w:t>
      </w:r>
      <w:r w:rsidR="00622F1F">
        <w:rPr>
          <w:rFonts w:cs="Segoe UI"/>
        </w:rPr>
        <w:t>A</w:t>
      </w:r>
      <w:r w:rsidR="00173FF9" w:rsidRPr="00CE60B2">
        <w:rPr>
          <w:rFonts w:cs="Segoe UI"/>
        </w:rPr>
        <w:t>.</w:t>
      </w:r>
    </w:p>
    <w:p w14:paraId="26ABC820" w14:textId="77777777" w:rsidR="00046297" w:rsidRPr="00CE60B2" w:rsidRDefault="00046297">
      <w:pPr>
        <w:spacing w:before="0" w:after="480" w:line="276" w:lineRule="auto"/>
        <w:rPr>
          <w:rFonts w:cs="Segoe UI"/>
        </w:rPr>
      </w:pPr>
      <w:r w:rsidRPr="00CE60B2">
        <w:rPr>
          <w:rFonts w:cs="Segoe UI"/>
        </w:rPr>
        <w:br w:type="page"/>
      </w:r>
    </w:p>
    <w:p w14:paraId="26ABC821" w14:textId="77777777" w:rsidR="00BA1108" w:rsidRPr="00CE60B2" w:rsidRDefault="00D15AAD" w:rsidP="00D15AAD">
      <w:pPr>
        <w:pStyle w:val="Heading2"/>
      </w:pPr>
      <w:bookmarkStart w:id="21" w:name="_Toc524952783"/>
      <w:bookmarkStart w:id="22" w:name="_Toc2776028"/>
      <w:r w:rsidRPr="00CE60B2">
        <w:lastRenderedPageBreak/>
        <w:t xml:space="preserve">Section 1: </w:t>
      </w:r>
      <w:r w:rsidR="00BA1108" w:rsidRPr="00CE60B2">
        <w:t>Environmental Values</w:t>
      </w:r>
      <w:bookmarkEnd w:id="21"/>
      <w:bookmarkEnd w:id="22"/>
    </w:p>
    <w:p w14:paraId="26ABC822" w14:textId="77777777" w:rsidR="001A5F2E" w:rsidRPr="00CE60B2" w:rsidRDefault="001A5F2E" w:rsidP="001A5F2E">
      <w:pPr>
        <w:rPr>
          <w:rFonts w:cs="Segoe UI"/>
        </w:rPr>
      </w:pPr>
      <w:r w:rsidRPr="00CE60B2">
        <w:rPr>
          <w:rFonts w:cs="Segoe UI"/>
        </w:rPr>
        <w:t xml:space="preserve">The purpose of this Section is to report on the environmental values that are specifically listed in para (a)(i) of the definition of ‘RFA’ in the </w:t>
      </w:r>
      <w:r w:rsidR="009953E9" w:rsidRPr="009953E9">
        <w:rPr>
          <w:rFonts w:cs="Segoe UI"/>
        </w:rPr>
        <w:t>RFA Act</w:t>
      </w:r>
      <w:r w:rsidRPr="009953E9">
        <w:rPr>
          <w:rFonts w:cs="Segoe UI"/>
        </w:rPr>
        <w:t>:</w:t>
      </w:r>
      <w:r w:rsidRPr="00CE60B2">
        <w:rPr>
          <w:rFonts w:cs="Segoe UI"/>
        </w:rPr>
        <w:t xml:space="preserve"> </w:t>
      </w:r>
      <w:r w:rsidR="00B40201">
        <w:rPr>
          <w:rFonts w:cs="Segoe UI"/>
        </w:rPr>
        <w:t>old-growth</w:t>
      </w:r>
      <w:r w:rsidRPr="00CE60B2">
        <w:rPr>
          <w:rFonts w:cs="Segoe UI"/>
        </w:rPr>
        <w:t xml:space="preserve">, wilderness, endangered species, national estate values and world heritage values. Biodiversity values and wetland values have also been </w:t>
      </w:r>
      <w:r w:rsidR="00DD30A1" w:rsidRPr="00CE60B2">
        <w:rPr>
          <w:rFonts w:cs="Segoe UI"/>
        </w:rPr>
        <w:t xml:space="preserve">included under </w:t>
      </w:r>
      <w:r w:rsidRPr="00CE60B2">
        <w:rPr>
          <w:rFonts w:cs="Segoe UI"/>
        </w:rPr>
        <w:t xml:space="preserve">the ‘environmental values’ </w:t>
      </w:r>
      <w:r w:rsidR="00DD30A1" w:rsidRPr="00CE60B2">
        <w:rPr>
          <w:rFonts w:cs="Segoe UI"/>
        </w:rPr>
        <w:t>heading</w:t>
      </w:r>
      <w:r w:rsidRPr="00CE60B2">
        <w:rPr>
          <w:rFonts w:cs="Segoe UI"/>
        </w:rPr>
        <w:t>.</w:t>
      </w:r>
    </w:p>
    <w:p w14:paraId="26ABC823" w14:textId="77777777" w:rsidR="005C6498" w:rsidRPr="00CE60B2" w:rsidRDefault="005C6498" w:rsidP="005C6498">
      <w:pPr>
        <w:rPr>
          <w:rFonts w:cs="Segoe UI"/>
          <w:color w:val="000000" w:themeColor="text1"/>
        </w:rPr>
      </w:pPr>
      <w:r w:rsidRPr="00CE60B2">
        <w:rPr>
          <w:rFonts w:cs="Segoe UI"/>
          <w:color w:val="000000" w:themeColor="text1"/>
        </w:rPr>
        <w:t xml:space="preserve">This section includes the following </w:t>
      </w:r>
      <w:r w:rsidR="00F73C3B" w:rsidRPr="00CE60B2">
        <w:rPr>
          <w:rFonts w:cs="Segoe UI"/>
          <w:color w:val="000000" w:themeColor="text1"/>
        </w:rPr>
        <w:t>Montréal</w:t>
      </w:r>
      <w:r w:rsidRPr="00CE60B2">
        <w:rPr>
          <w:rFonts w:cs="Segoe UI"/>
          <w:color w:val="000000" w:themeColor="text1"/>
        </w:rPr>
        <w:t xml:space="preserve"> Indicators:</w:t>
      </w:r>
    </w:p>
    <w:p w14:paraId="26ABC824" w14:textId="77777777" w:rsidR="005C6498" w:rsidRPr="00CE60B2" w:rsidRDefault="005C6498" w:rsidP="00C903EE">
      <w:pPr>
        <w:pStyle w:val="ListParagraph"/>
        <w:numPr>
          <w:ilvl w:val="0"/>
          <w:numId w:val="23"/>
        </w:numPr>
        <w:ind w:left="714" w:hanging="357"/>
        <w:rPr>
          <w:rFonts w:cs="Segoe UI"/>
        </w:rPr>
      </w:pPr>
      <w:r w:rsidRPr="00CE60B2">
        <w:rPr>
          <w:rFonts w:cs="Segoe UI"/>
        </w:rPr>
        <w:t>Indicator 1.1b – Area of forest by growth stage</w:t>
      </w:r>
    </w:p>
    <w:p w14:paraId="26ABC825" w14:textId="77777777" w:rsidR="005C6498" w:rsidRPr="00CE60B2" w:rsidRDefault="005C6498" w:rsidP="00C903EE">
      <w:pPr>
        <w:pStyle w:val="ListParagraph"/>
        <w:numPr>
          <w:ilvl w:val="0"/>
          <w:numId w:val="23"/>
        </w:numPr>
        <w:rPr>
          <w:rFonts w:cs="Segoe UI"/>
        </w:rPr>
      </w:pPr>
      <w:r w:rsidRPr="00CE60B2">
        <w:rPr>
          <w:rFonts w:cs="Segoe UI"/>
        </w:rPr>
        <w:t>Indicator 1.2b – Status of forest dwelling species at risk of not maintaining viable breeding populations, as determined by legislation or scientific assessment</w:t>
      </w:r>
    </w:p>
    <w:p w14:paraId="26ABC826" w14:textId="77777777" w:rsidR="005C6498" w:rsidRPr="00CE60B2" w:rsidRDefault="005C6498" w:rsidP="00C903EE">
      <w:pPr>
        <w:pStyle w:val="ListParagraph"/>
        <w:numPr>
          <w:ilvl w:val="0"/>
          <w:numId w:val="23"/>
        </w:numPr>
        <w:rPr>
          <w:rFonts w:cs="Segoe UI"/>
        </w:rPr>
      </w:pPr>
      <w:r w:rsidRPr="00CE60B2">
        <w:rPr>
          <w:rFonts w:cs="Segoe UI"/>
        </w:rPr>
        <w:t>Indicator 6.4b – Registered places of non-Indigenous cultural value in forests that are formally managed to protect those values</w:t>
      </w:r>
    </w:p>
    <w:p w14:paraId="26ABC827" w14:textId="77777777" w:rsidR="005C6498" w:rsidRPr="00CE60B2" w:rsidRDefault="005C6498" w:rsidP="00C903EE">
      <w:pPr>
        <w:pStyle w:val="ListParagraph"/>
        <w:numPr>
          <w:ilvl w:val="0"/>
          <w:numId w:val="23"/>
        </w:numPr>
        <w:rPr>
          <w:rFonts w:cs="Segoe UI"/>
        </w:rPr>
      </w:pPr>
      <w:r w:rsidRPr="00CE60B2">
        <w:rPr>
          <w:rFonts w:cs="Segoe UI"/>
        </w:rPr>
        <w:t>Indicator 1.1a – Area of forest by forest type and tenure</w:t>
      </w:r>
    </w:p>
    <w:p w14:paraId="26ABC828" w14:textId="77777777" w:rsidR="005C6498" w:rsidRPr="00CE60B2" w:rsidRDefault="005C6498" w:rsidP="00C903EE">
      <w:pPr>
        <w:pStyle w:val="ListParagraph"/>
        <w:numPr>
          <w:ilvl w:val="0"/>
          <w:numId w:val="23"/>
        </w:numPr>
        <w:rPr>
          <w:rFonts w:cs="Segoe UI"/>
        </w:rPr>
      </w:pPr>
      <w:r w:rsidRPr="00CE60B2">
        <w:rPr>
          <w:rFonts w:cs="Segoe UI"/>
        </w:rPr>
        <w:t>Indicator 1.1c – Area of forest in protected area categories</w:t>
      </w:r>
    </w:p>
    <w:p w14:paraId="26ABC829" w14:textId="77777777" w:rsidR="005C6498" w:rsidRPr="00CE60B2" w:rsidRDefault="005C6498" w:rsidP="00C903EE">
      <w:pPr>
        <w:pStyle w:val="ListParagraph"/>
        <w:numPr>
          <w:ilvl w:val="0"/>
          <w:numId w:val="23"/>
        </w:numPr>
        <w:rPr>
          <w:rFonts w:cs="Segoe UI"/>
        </w:rPr>
      </w:pPr>
      <w:r w:rsidRPr="00CE60B2">
        <w:rPr>
          <w:rFonts w:cs="Segoe UI"/>
        </w:rPr>
        <w:t>Indicator 1.2a – Forest dwelling species for which ecological information is available</w:t>
      </w:r>
    </w:p>
    <w:p w14:paraId="26ABC82A" w14:textId="77777777" w:rsidR="005C6498" w:rsidRPr="00CE60B2" w:rsidRDefault="005C6498" w:rsidP="00C903EE">
      <w:pPr>
        <w:pStyle w:val="ListParagraph"/>
        <w:numPr>
          <w:ilvl w:val="0"/>
          <w:numId w:val="23"/>
        </w:numPr>
        <w:rPr>
          <w:rFonts w:cs="Segoe UI"/>
        </w:rPr>
      </w:pPr>
      <w:r w:rsidRPr="00CE60B2">
        <w:rPr>
          <w:rFonts w:cs="Segoe UI"/>
        </w:rPr>
        <w:t>Indicator 1.2c – Representative species from a range of habitats monitored at scales relevant to regional forest management</w:t>
      </w:r>
    </w:p>
    <w:p w14:paraId="26ABC82B" w14:textId="77777777" w:rsidR="005C6498" w:rsidRPr="00CE60B2" w:rsidRDefault="005C6498" w:rsidP="00C903EE">
      <w:pPr>
        <w:pStyle w:val="ListParagraph"/>
        <w:numPr>
          <w:ilvl w:val="0"/>
          <w:numId w:val="23"/>
        </w:numPr>
        <w:rPr>
          <w:rFonts w:cs="Segoe UI"/>
        </w:rPr>
      </w:pPr>
      <w:r w:rsidRPr="00CE60B2">
        <w:rPr>
          <w:rFonts w:cs="Segoe UI"/>
        </w:rPr>
        <w:t>Indicator 1.3a – Forest associated species at risk from isolation and the loss of genetic variation, and conservation efforts for those species</w:t>
      </w:r>
    </w:p>
    <w:p w14:paraId="26ABC82C" w14:textId="77777777" w:rsidR="005C6498" w:rsidRPr="00CE60B2" w:rsidRDefault="005C6498" w:rsidP="00C903EE">
      <w:pPr>
        <w:pStyle w:val="ListParagraph"/>
        <w:numPr>
          <w:ilvl w:val="0"/>
          <w:numId w:val="23"/>
        </w:numPr>
        <w:rPr>
          <w:rFonts w:cs="Segoe UI"/>
        </w:rPr>
      </w:pPr>
      <w:r w:rsidRPr="00CE60B2">
        <w:rPr>
          <w:rFonts w:cs="Segoe UI"/>
        </w:rPr>
        <w:t>Indicator 4.1a – Area of forest land managed primarily for protective functions</w:t>
      </w:r>
    </w:p>
    <w:p w14:paraId="26ABC82D" w14:textId="77777777" w:rsidR="005C6498" w:rsidRPr="00CE60B2" w:rsidRDefault="005C6498" w:rsidP="00C903EE">
      <w:pPr>
        <w:pStyle w:val="ListParagraph"/>
        <w:numPr>
          <w:ilvl w:val="0"/>
          <w:numId w:val="23"/>
        </w:numPr>
        <w:rPr>
          <w:rFonts w:cs="Segoe UI"/>
        </w:rPr>
      </w:pPr>
      <w:r w:rsidRPr="00CE60B2">
        <w:rPr>
          <w:rFonts w:cs="Segoe UI"/>
        </w:rPr>
        <w:t>Indicator 4.1b – Management of the risk of soil erosion in forests</w:t>
      </w:r>
      <w:r w:rsidR="001566C6" w:rsidRPr="00CE60B2">
        <w:rPr>
          <w:rFonts w:cs="Segoe UI"/>
        </w:rPr>
        <w:t>.</w:t>
      </w:r>
    </w:p>
    <w:p w14:paraId="26ABC82E" w14:textId="77777777" w:rsidR="001A5F2E" w:rsidRPr="00CE60B2" w:rsidRDefault="00DD30A1" w:rsidP="001A5F2E">
      <w:pPr>
        <w:rPr>
          <w:rFonts w:cs="Segoe UI"/>
        </w:rPr>
      </w:pPr>
      <w:bookmarkStart w:id="23" w:name="EV"/>
      <w:bookmarkEnd w:id="23"/>
      <w:r w:rsidRPr="00CE60B2">
        <w:rPr>
          <w:rFonts w:cs="Segoe UI"/>
        </w:rPr>
        <w:t>I</w:t>
      </w:r>
      <w:r w:rsidR="001A5F2E" w:rsidRPr="00CE60B2">
        <w:rPr>
          <w:rFonts w:cs="Segoe UI"/>
        </w:rPr>
        <w:t xml:space="preserve">nformation is drawn from the original documentation produced as part of the </w:t>
      </w:r>
      <w:r w:rsidR="00543AD9" w:rsidRPr="00CE60B2">
        <w:rPr>
          <w:rFonts w:cs="Segoe UI"/>
        </w:rPr>
        <w:t xml:space="preserve">CRA </w:t>
      </w:r>
      <w:r w:rsidR="001A5F2E" w:rsidRPr="00CE60B2">
        <w:rPr>
          <w:rFonts w:cs="Segoe UI"/>
        </w:rPr>
        <w:t xml:space="preserve">process, subsequent reports (including State of the Forest Reports, State of the Environment </w:t>
      </w:r>
      <w:r w:rsidRPr="00CE60B2">
        <w:rPr>
          <w:rFonts w:cs="Segoe UI"/>
        </w:rPr>
        <w:t>r</w:t>
      </w:r>
      <w:r w:rsidR="001A5F2E" w:rsidRPr="00CE60B2">
        <w:rPr>
          <w:rFonts w:cs="Segoe UI"/>
        </w:rPr>
        <w:t xml:space="preserve">eports, statutory independent five-yearly reviews of </w:t>
      </w:r>
      <w:r w:rsidR="00B46BD6" w:rsidRPr="00CE60B2">
        <w:rPr>
          <w:rFonts w:cs="Segoe UI"/>
        </w:rPr>
        <w:t>WA</w:t>
      </w:r>
      <w:r w:rsidRPr="00CE60B2">
        <w:rPr>
          <w:rFonts w:cs="Segoe UI"/>
        </w:rPr>
        <w:t xml:space="preserve"> </w:t>
      </w:r>
      <w:r w:rsidR="00785E22" w:rsidRPr="00CE60B2">
        <w:rPr>
          <w:rFonts w:cs="Segoe UI"/>
        </w:rPr>
        <w:t>RFA</w:t>
      </w:r>
      <w:r w:rsidR="001A5F2E" w:rsidRPr="00CE60B2">
        <w:rPr>
          <w:rFonts w:cs="Segoe UI"/>
        </w:rPr>
        <w:t xml:space="preserve"> required under </w:t>
      </w:r>
      <w:r w:rsidR="00543AD9" w:rsidRPr="00CE60B2">
        <w:rPr>
          <w:rFonts w:cs="Segoe UI"/>
        </w:rPr>
        <w:t>the RFA</w:t>
      </w:r>
      <w:r w:rsidR="001A5F2E" w:rsidRPr="00CE60B2">
        <w:rPr>
          <w:rFonts w:cs="Segoe UI"/>
        </w:rPr>
        <w:t xml:space="preserve"> and other relevant data</w:t>
      </w:r>
      <w:r w:rsidR="00543AD9" w:rsidRPr="00CE60B2">
        <w:rPr>
          <w:rFonts w:cs="Segoe UI"/>
        </w:rPr>
        <w:t>)</w:t>
      </w:r>
      <w:r w:rsidR="001A5F2E" w:rsidRPr="00CE60B2">
        <w:rPr>
          <w:rFonts w:cs="Segoe UI"/>
        </w:rPr>
        <w:t>.</w:t>
      </w:r>
    </w:p>
    <w:p w14:paraId="26ABC82F" w14:textId="77777777" w:rsidR="00BA2CBA" w:rsidRPr="00CE60B2" w:rsidRDefault="009240B7" w:rsidP="00D15AAD">
      <w:pPr>
        <w:pStyle w:val="Heading3"/>
      </w:pPr>
      <w:bookmarkStart w:id="24" w:name="_Toc524952784"/>
      <w:bookmarkStart w:id="25" w:name="_Toc2776029"/>
      <w:r w:rsidRPr="00CE60B2">
        <w:t>Old</w:t>
      </w:r>
      <w:r w:rsidR="00B40201">
        <w:t>-</w:t>
      </w:r>
      <w:r w:rsidRPr="00CE60B2">
        <w:t>Growth Values</w:t>
      </w:r>
      <w:bookmarkEnd w:id="24"/>
      <w:bookmarkEnd w:id="25"/>
    </w:p>
    <w:p w14:paraId="26ABC830" w14:textId="77777777" w:rsidR="006554DE" w:rsidRPr="00CE60B2" w:rsidRDefault="006554DE" w:rsidP="00C423D1">
      <w:pPr>
        <w:rPr>
          <w:rFonts w:cs="Segoe UI"/>
        </w:rPr>
      </w:pPr>
      <w:bookmarkStart w:id="26" w:name="_Toc524952785"/>
      <w:r w:rsidRPr="00CE60B2">
        <w:rPr>
          <w:rFonts w:cs="Segoe UI"/>
        </w:rPr>
        <w:t>Old</w:t>
      </w:r>
      <w:r w:rsidR="00473058">
        <w:rPr>
          <w:rFonts w:cs="Segoe UI"/>
        </w:rPr>
        <w:noBreakHyphen/>
      </w:r>
      <w:r w:rsidRPr="00CE60B2">
        <w:rPr>
          <w:rFonts w:cs="Segoe UI"/>
        </w:rPr>
        <w:t xml:space="preserve">growth forest is defined in the </w:t>
      </w:r>
      <w:r w:rsidR="009320E7">
        <w:rPr>
          <w:rFonts w:cs="Segoe UI"/>
        </w:rPr>
        <w:t>NFPS</w:t>
      </w:r>
      <w:r w:rsidRPr="00CE60B2">
        <w:rPr>
          <w:rFonts w:cs="Segoe UI"/>
        </w:rPr>
        <w:t xml:space="preserve"> as ‘ecologically mature forest where the effects of disturbances are now </w:t>
      </w:r>
      <w:r w:rsidR="003B59F4" w:rsidRPr="00CE60B2">
        <w:rPr>
          <w:rFonts w:cs="Segoe UI"/>
        </w:rPr>
        <w:t xml:space="preserve">negligible’ </w:t>
      </w:r>
      <w:r w:rsidRPr="00CE60B2">
        <w:rPr>
          <w:rStyle w:val="FootnoteReference"/>
          <w:rFonts w:cs="Segoe UI"/>
          <w:b/>
        </w:rPr>
        <w:footnoteReference w:id="2"/>
      </w:r>
      <w:r w:rsidRPr="00CE60B2">
        <w:rPr>
          <w:rFonts w:cs="Segoe UI"/>
        </w:rPr>
        <w:t xml:space="preserve">(Commonwealth of Australia, 1992, 1995). Along with other environmental and heritage values, </w:t>
      </w:r>
      <w:r w:rsidR="00B40201">
        <w:rPr>
          <w:rFonts w:cs="Segoe UI"/>
        </w:rPr>
        <w:t>old-growth</w:t>
      </w:r>
      <w:r w:rsidRPr="00CE60B2">
        <w:rPr>
          <w:rFonts w:cs="Segoe UI"/>
        </w:rPr>
        <w:t xml:space="preserve"> forest types were one of the values that were </w:t>
      </w:r>
      <w:r w:rsidRPr="00561BF1">
        <w:rPr>
          <w:rFonts w:cs="Segoe UI"/>
        </w:rPr>
        <w:t>highly</w:t>
      </w:r>
      <w:r w:rsidRPr="00CE60B2">
        <w:rPr>
          <w:rFonts w:cs="Segoe UI"/>
        </w:rPr>
        <w:t xml:space="preserve"> regarded in the design of a </w:t>
      </w:r>
      <w:r w:rsidR="00C05A68">
        <w:rPr>
          <w:rFonts w:cs="Segoe UI"/>
        </w:rPr>
        <w:t>CAR</w:t>
      </w:r>
      <w:r w:rsidRPr="00CE60B2">
        <w:rPr>
          <w:rFonts w:cs="Segoe UI"/>
        </w:rPr>
        <w:t xml:space="preserve"> reserve system under the WA RFA. The long-term protection of </w:t>
      </w:r>
      <w:r w:rsidR="00B40201">
        <w:rPr>
          <w:rFonts w:cs="Segoe UI"/>
        </w:rPr>
        <w:t>old-growth</w:t>
      </w:r>
      <w:r w:rsidRPr="00CE60B2">
        <w:rPr>
          <w:rFonts w:cs="Segoe UI"/>
        </w:rPr>
        <w:t xml:space="preserve"> forest is important due to the biodiversity, aesthetic, and cultural attributes of these areas associated with the absence of anthropogenic disturbance.</w:t>
      </w:r>
    </w:p>
    <w:p w14:paraId="26ABC831" w14:textId="77777777" w:rsidR="006554DE" w:rsidRPr="00CE60B2" w:rsidRDefault="006554DE" w:rsidP="00C423D1">
      <w:pPr>
        <w:rPr>
          <w:rFonts w:cs="Segoe UI"/>
        </w:rPr>
      </w:pPr>
      <w:r w:rsidRPr="00CE60B2">
        <w:rPr>
          <w:rFonts w:cs="Segoe UI"/>
        </w:rPr>
        <w:t>The JANIS committee (Joint ANZECC/MCFFA National Forest Policy Implementation Sub</w:t>
      </w:r>
      <w:r w:rsidR="009320E7">
        <w:rPr>
          <w:rFonts w:cs="Segoe UI"/>
        </w:rPr>
        <w:noBreakHyphen/>
      </w:r>
      <w:r w:rsidRPr="00CE60B2">
        <w:rPr>
          <w:rFonts w:cs="Segoe UI"/>
        </w:rPr>
        <w:t>committee) recognised the need to adopt criteria for determining old</w:t>
      </w:r>
      <w:r w:rsidR="00B42EF8">
        <w:rPr>
          <w:rFonts w:cs="Segoe UI"/>
        </w:rPr>
        <w:t xml:space="preserve"> </w:t>
      </w:r>
      <w:r w:rsidRPr="00CE60B2">
        <w:rPr>
          <w:rFonts w:cs="Segoe UI"/>
        </w:rPr>
        <w:t>growth forest extent which reflect the differences in ecological characteristics of the forests. This includes their growth stage, as old</w:t>
      </w:r>
      <w:r w:rsidR="00C17A1F">
        <w:rPr>
          <w:rFonts w:cs="Segoe UI"/>
        </w:rPr>
        <w:noBreakHyphen/>
      </w:r>
      <w:r w:rsidRPr="00CE60B2">
        <w:rPr>
          <w:rFonts w:cs="Segoe UI"/>
        </w:rPr>
        <w:t xml:space="preserve">growth forest is a subset of areas dominated by the mature and senescent growth stages. In WA, the concept of ecological maturity in fire tolerant dry sclerophyll forests, the potential to map stand growth stages in multi-species mixed-age jarrah forest based on structural characteristics, and the context of ‘minimal disturbance’ </w:t>
      </w:r>
      <w:r w:rsidRPr="00CE60B2">
        <w:rPr>
          <w:rFonts w:cs="Segoe UI"/>
        </w:rPr>
        <w:lastRenderedPageBreak/>
        <w:t xml:space="preserve">were all extensively examined during the </w:t>
      </w:r>
      <w:r w:rsidR="00F64552">
        <w:rPr>
          <w:rFonts w:cs="Segoe UI"/>
        </w:rPr>
        <w:t>CRA</w:t>
      </w:r>
      <w:r w:rsidRPr="00CE60B2">
        <w:rPr>
          <w:rFonts w:cs="Segoe UI"/>
        </w:rPr>
        <w:t xml:space="preserve"> project for the WA RFA. The resulting criteria and their application by </w:t>
      </w:r>
      <w:r w:rsidR="00A22E53">
        <w:rPr>
          <w:rFonts w:cs="Segoe UI"/>
        </w:rPr>
        <w:t>DBCA</w:t>
      </w:r>
      <w:r w:rsidRPr="00CE60B2">
        <w:rPr>
          <w:rFonts w:cs="Segoe UI"/>
        </w:rPr>
        <w:t xml:space="preserve"> have continued (with some refinement of techniques) throughout each of the FMP</w:t>
      </w:r>
      <w:r w:rsidR="0070699E">
        <w:rPr>
          <w:rFonts w:cs="Segoe UI"/>
        </w:rPr>
        <w:t>s</w:t>
      </w:r>
      <w:r w:rsidRPr="00CE60B2">
        <w:rPr>
          <w:rFonts w:cs="Segoe UI"/>
        </w:rPr>
        <w:t xml:space="preserve"> to the present.</w:t>
      </w:r>
    </w:p>
    <w:p w14:paraId="26ABC832" w14:textId="77777777" w:rsidR="00BA2CBA" w:rsidRPr="00FF0D54" w:rsidRDefault="00BA2CBA" w:rsidP="00D15AAD">
      <w:pPr>
        <w:pStyle w:val="Heading4"/>
        <w:rPr>
          <w:rFonts w:cs="Segoe UI"/>
          <w:i w:val="0"/>
          <w:color w:val="000000" w:themeColor="text1"/>
          <w:sz w:val="24"/>
          <w:szCs w:val="24"/>
          <w:lang w:eastAsia="en-AU"/>
        </w:rPr>
      </w:pPr>
      <w:r w:rsidRPr="00FF0D54">
        <w:rPr>
          <w:rFonts w:cs="Segoe UI"/>
          <w:i w:val="0"/>
          <w:color w:val="000000" w:themeColor="text1"/>
          <w:sz w:val="24"/>
          <w:szCs w:val="24"/>
          <w:lang w:eastAsia="en-AU"/>
        </w:rPr>
        <w:t xml:space="preserve">Indicator </w:t>
      </w:r>
      <w:r w:rsidR="009240B7" w:rsidRPr="00FF0D54">
        <w:rPr>
          <w:rFonts w:cs="Segoe UI"/>
          <w:i w:val="0"/>
          <w:color w:val="000000" w:themeColor="text1"/>
          <w:sz w:val="24"/>
          <w:szCs w:val="24"/>
          <w:lang w:eastAsia="en-AU"/>
        </w:rPr>
        <w:t>1.1b</w:t>
      </w:r>
      <w:r w:rsidRPr="00FF0D54">
        <w:rPr>
          <w:rFonts w:cs="Segoe UI"/>
          <w:i w:val="0"/>
          <w:color w:val="000000" w:themeColor="text1"/>
          <w:sz w:val="24"/>
          <w:szCs w:val="24"/>
          <w:lang w:eastAsia="en-AU"/>
        </w:rPr>
        <w:t xml:space="preserve"> – </w:t>
      </w:r>
      <w:r w:rsidR="00CE4B36" w:rsidRPr="00FF0D54">
        <w:rPr>
          <w:rFonts w:cs="Segoe UI"/>
          <w:i w:val="0"/>
          <w:color w:val="000000" w:themeColor="text1"/>
          <w:sz w:val="24"/>
          <w:szCs w:val="24"/>
          <w:lang w:eastAsia="en-AU"/>
        </w:rPr>
        <w:t>Area of forest by growth stage</w:t>
      </w:r>
      <w:bookmarkEnd w:id="26"/>
    </w:p>
    <w:p w14:paraId="26ABC833" w14:textId="77777777" w:rsidR="00543AD9" w:rsidRPr="00CE60B2" w:rsidRDefault="00543AD9" w:rsidP="00543AD9">
      <w:pPr>
        <w:autoSpaceDE w:val="0"/>
        <w:autoSpaceDN w:val="0"/>
        <w:adjustRightInd w:val="0"/>
        <w:spacing w:before="0" w:after="0"/>
        <w:rPr>
          <w:rFonts w:cs="Segoe UI"/>
        </w:rPr>
      </w:pPr>
      <w:r w:rsidRPr="00CE60B2">
        <w:rPr>
          <w:rFonts w:cs="Segoe UI"/>
        </w:rPr>
        <w:t>This indicator measures the change in area of forest by growth stage to reflect how ecological processes and species associated with those processes change as forests grow. The age and size of trees is important in m</w:t>
      </w:r>
      <w:r w:rsidR="00813F2B" w:rsidRPr="00CE60B2">
        <w:rPr>
          <w:rFonts w:cs="Segoe UI"/>
        </w:rPr>
        <w:t>aintaining forest biodiversity.</w:t>
      </w:r>
    </w:p>
    <w:p w14:paraId="26ABC834" w14:textId="77777777" w:rsidR="00EB34BC" w:rsidRDefault="00BA5135" w:rsidP="00EB34BC">
      <w:pPr>
        <w:autoSpaceDE w:val="0"/>
        <w:autoSpaceDN w:val="0"/>
        <w:adjustRightInd w:val="0"/>
        <w:rPr>
          <w:rFonts w:cs="Segoe UI"/>
        </w:rPr>
      </w:pPr>
      <w:r>
        <w:rPr>
          <w:rFonts w:cs="Segoe UI"/>
        </w:rPr>
        <w:t xml:space="preserve">The CRA process in 1998 identified 347,082 hectares of old-growth forest on public lands in the </w:t>
      </w:r>
      <w:r w:rsidR="00F54F1B">
        <w:rPr>
          <w:rFonts w:cs="Segoe UI"/>
        </w:rPr>
        <w:t>WA RFA region, and the WA </w:t>
      </w:r>
      <w:r>
        <w:rPr>
          <w:rFonts w:cs="Segoe UI"/>
        </w:rPr>
        <w:t>RFA included at least 60 per cent of the old-growth forest within each forest ecosystem in the CAR reserve system. Timber harvesting in areas containing old</w:t>
      </w:r>
      <w:r w:rsidR="00C20F72">
        <w:rPr>
          <w:rFonts w:cs="Segoe UI"/>
        </w:rPr>
        <w:noBreakHyphen/>
      </w:r>
      <w:r>
        <w:rPr>
          <w:rFonts w:cs="Segoe UI"/>
        </w:rPr>
        <w:t xml:space="preserve">growth forest outside the CAR reserves was permitted until 2001, when the then State government introduced </w:t>
      </w:r>
      <w:r w:rsidR="00B11943">
        <w:rPr>
          <w:rFonts w:cs="Segoe UI"/>
        </w:rPr>
        <w:t>the</w:t>
      </w:r>
      <w:r>
        <w:rPr>
          <w:rFonts w:cs="Segoe UI"/>
        </w:rPr>
        <w:t xml:space="preserve"> </w:t>
      </w:r>
      <w:r w:rsidR="00B11943" w:rsidRPr="00EB34BC">
        <w:rPr>
          <w:rFonts w:cs="Segoe UI"/>
          <w:i/>
        </w:rPr>
        <w:t>Protecting our Old-</w:t>
      </w:r>
      <w:r w:rsidR="00D5614E">
        <w:rPr>
          <w:rFonts w:cs="Segoe UI"/>
          <w:i/>
        </w:rPr>
        <w:t>g</w:t>
      </w:r>
      <w:r w:rsidR="00B11943" w:rsidRPr="00EB34BC">
        <w:rPr>
          <w:rFonts w:cs="Segoe UI"/>
          <w:i/>
        </w:rPr>
        <w:t>rowth Forests</w:t>
      </w:r>
      <w:r w:rsidR="00B11943" w:rsidRPr="00D5614E">
        <w:rPr>
          <w:rFonts w:cs="Segoe UI"/>
        </w:rPr>
        <w:t xml:space="preserve"> policy</w:t>
      </w:r>
      <w:r w:rsidR="00B11943">
        <w:rPr>
          <w:rFonts w:cs="Segoe UI"/>
        </w:rPr>
        <w:t xml:space="preserve">. </w:t>
      </w:r>
    </w:p>
    <w:p w14:paraId="26ABC835" w14:textId="2EB4AC96" w:rsidR="00EB34BC" w:rsidRPr="00F54F1B" w:rsidRDefault="00EB34BC" w:rsidP="00EB34BC">
      <w:pPr>
        <w:autoSpaceDE w:val="0"/>
        <w:autoSpaceDN w:val="0"/>
        <w:adjustRightInd w:val="0"/>
        <w:rPr>
          <w:rFonts w:cs="Segoe UI"/>
        </w:rPr>
      </w:pPr>
      <w:r w:rsidRPr="00EB34BC">
        <w:rPr>
          <w:rFonts w:cs="Segoe UI"/>
        </w:rPr>
        <w:fldChar w:fldCharType="begin"/>
      </w:r>
      <w:r w:rsidRPr="00EB34BC">
        <w:rPr>
          <w:rFonts w:cs="Segoe UI"/>
        </w:rPr>
        <w:instrText xml:space="preserve"> REF _Ref527450287 </w:instrText>
      </w:r>
      <w:r w:rsidRPr="00EB34BC">
        <w:rPr>
          <w:rFonts w:cs="Segoe UI"/>
        </w:rPr>
        <w:fldChar w:fldCharType="separate"/>
      </w:r>
      <w:r w:rsidR="003C7091">
        <w:t xml:space="preserve">Table </w:t>
      </w:r>
      <w:r w:rsidR="003C7091">
        <w:rPr>
          <w:noProof/>
        </w:rPr>
        <w:t>2</w:t>
      </w:r>
      <w:r w:rsidRPr="00EB34BC">
        <w:rPr>
          <w:rFonts w:cs="Segoe UI"/>
        </w:rPr>
        <w:fldChar w:fldCharType="end"/>
      </w:r>
      <w:r w:rsidRPr="00EB34BC">
        <w:rPr>
          <w:rFonts w:cs="Segoe UI"/>
        </w:rPr>
        <w:t xml:space="preserve"> summarises the changes in old</w:t>
      </w:r>
      <w:r w:rsidR="00C20F72">
        <w:rPr>
          <w:rFonts w:cs="Segoe UI"/>
        </w:rPr>
        <w:noBreakHyphen/>
      </w:r>
      <w:r w:rsidRPr="00EB34BC">
        <w:rPr>
          <w:rFonts w:cs="Segoe UI"/>
        </w:rPr>
        <w:t xml:space="preserve">growth forest extent and reservation for each forest ecosystem over the </w:t>
      </w:r>
      <w:r w:rsidR="00F54F1B">
        <w:rPr>
          <w:rFonts w:cs="Segoe UI"/>
        </w:rPr>
        <w:t>WA </w:t>
      </w:r>
      <w:r w:rsidRPr="00EB34BC">
        <w:rPr>
          <w:rFonts w:cs="Segoe UI"/>
        </w:rPr>
        <w:t xml:space="preserve">RFA period 1999-2018. Between 1999 and 2018 there has been a reduction in old-growth forest of 11,525 hectares within the WA RFA area. The reduction is due largely to the harvesting of </w:t>
      </w:r>
      <w:r w:rsidR="00B40201">
        <w:rPr>
          <w:rFonts w:cs="Segoe UI"/>
        </w:rPr>
        <w:t>old-growth</w:t>
      </w:r>
      <w:r w:rsidRPr="00EB34BC">
        <w:rPr>
          <w:rFonts w:cs="Segoe UI"/>
        </w:rPr>
        <w:t xml:space="preserve"> forest prior to cessation in 2001, natural events such as bushfire and </w:t>
      </w:r>
      <w:r w:rsidRPr="00EB34BC">
        <w:rPr>
          <w:rFonts w:cs="Segoe UI"/>
          <w:i/>
        </w:rPr>
        <w:t>Phytophthora</w:t>
      </w:r>
      <w:r w:rsidRPr="00EB34BC">
        <w:rPr>
          <w:rFonts w:cs="Segoe UI"/>
        </w:rPr>
        <w:t xml:space="preserve"> dieback disease, and improved mapping as presented in the case study reported in Indicator 1.1b in </w:t>
      </w:r>
      <w:r w:rsidR="00F54F1B" w:rsidRPr="00F54F1B">
        <w:rPr>
          <w:rFonts w:cs="Segoe UI"/>
        </w:rPr>
        <w:t>SOFR </w:t>
      </w:r>
      <w:r w:rsidRPr="00F54F1B">
        <w:rPr>
          <w:rFonts w:cs="Segoe UI"/>
        </w:rPr>
        <w:t>2018.</w:t>
      </w:r>
    </w:p>
    <w:p w14:paraId="26ABC836" w14:textId="77777777" w:rsidR="00EB34BC" w:rsidRDefault="006554DE" w:rsidP="00EB34BC">
      <w:pPr>
        <w:autoSpaceDE w:val="0"/>
        <w:autoSpaceDN w:val="0"/>
        <w:adjustRightInd w:val="0"/>
        <w:rPr>
          <w:rFonts w:cs="Segoe UI"/>
        </w:rPr>
      </w:pPr>
      <w:r w:rsidRPr="00CE60B2">
        <w:rPr>
          <w:rFonts w:cs="Segoe UI"/>
        </w:rPr>
        <w:t xml:space="preserve">In 2018, there </w:t>
      </w:r>
      <w:r w:rsidR="00CE6A21">
        <w:rPr>
          <w:rFonts w:cs="Segoe UI"/>
        </w:rPr>
        <w:t>were 335,557 </w:t>
      </w:r>
      <w:r w:rsidRPr="00CE60B2">
        <w:rPr>
          <w:rFonts w:cs="Segoe UI"/>
        </w:rPr>
        <w:t>hectares of old-growth forest recorded in public forests in the WA</w:t>
      </w:r>
      <w:r w:rsidR="00C20F72">
        <w:rPr>
          <w:rFonts w:cs="Segoe UI"/>
        </w:rPr>
        <w:t> </w:t>
      </w:r>
      <w:r w:rsidRPr="00CE60B2">
        <w:rPr>
          <w:rFonts w:cs="Segoe UI"/>
        </w:rPr>
        <w:t xml:space="preserve">RFA </w:t>
      </w:r>
      <w:r w:rsidR="00C20F72">
        <w:rPr>
          <w:rFonts w:cs="Segoe UI"/>
        </w:rPr>
        <w:t>region</w:t>
      </w:r>
      <w:r w:rsidRPr="00CE60B2">
        <w:rPr>
          <w:rFonts w:cs="Segoe UI"/>
        </w:rPr>
        <w:t xml:space="preserve">, located mostly in the southern half of the </w:t>
      </w:r>
      <w:r w:rsidR="00CE6A21">
        <w:rPr>
          <w:rFonts w:cs="Segoe UI"/>
        </w:rPr>
        <w:t>WA </w:t>
      </w:r>
      <w:r w:rsidRPr="00CE60B2">
        <w:rPr>
          <w:rFonts w:cs="Segoe UI"/>
        </w:rPr>
        <w:t>RFA region (</w:t>
      </w:r>
      <w:r w:rsidR="0037609A">
        <w:rPr>
          <w:rFonts w:cs="Segoe UI"/>
        </w:rPr>
        <w:t>Figure 2</w:t>
      </w:r>
      <w:r w:rsidRPr="00CE60B2">
        <w:rPr>
          <w:rFonts w:cs="Segoe UI"/>
        </w:rPr>
        <w:t>).</w:t>
      </w:r>
      <w:r w:rsidR="00EB34BC">
        <w:rPr>
          <w:rFonts w:cs="Segoe UI"/>
        </w:rPr>
        <w:t xml:space="preserve"> </w:t>
      </w:r>
      <w:r w:rsidR="00EB34BC" w:rsidRPr="00CE60B2">
        <w:rPr>
          <w:rFonts w:cs="Segoe UI"/>
        </w:rPr>
        <w:t>Around 94</w:t>
      </w:r>
      <w:r w:rsidR="00C20F72">
        <w:rPr>
          <w:rFonts w:cs="Segoe UI"/>
        </w:rPr>
        <w:t> </w:t>
      </w:r>
      <w:r w:rsidR="00EB34BC" w:rsidRPr="00CE60B2">
        <w:rPr>
          <w:rFonts w:cs="Segoe UI"/>
        </w:rPr>
        <w:t>per</w:t>
      </w:r>
      <w:r w:rsidR="00C20F72">
        <w:rPr>
          <w:rFonts w:cs="Segoe UI"/>
        </w:rPr>
        <w:t> </w:t>
      </w:r>
      <w:r w:rsidR="00EB34BC" w:rsidRPr="00CE60B2">
        <w:rPr>
          <w:rFonts w:cs="Segoe UI"/>
        </w:rPr>
        <w:t>cent of the extant old</w:t>
      </w:r>
      <w:r w:rsidR="00C20F72">
        <w:rPr>
          <w:rFonts w:cs="Segoe UI"/>
        </w:rPr>
        <w:noBreakHyphen/>
      </w:r>
      <w:r w:rsidR="00EB34BC" w:rsidRPr="00CE60B2">
        <w:rPr>
          <w:rFonts w:cs="Segoe UI"/>
        </w:rPr>
        <w:t xml:space="preserve">growth forest is in the </w:t>
      </w:r>
      <w:r w:rsidR="00EB34BC">
        <w:rPr>
          <w:rFonts w:cs="Segoe UI"/>
        </w:rPr>
        <w:t>WA </w:t>
      </w:r>
      <w:r w:rsidR="00EB34BC" w:rsidRPr="00CE60B2">
        <w:rPr>
          <w:rFonts w:cs="Segoe UI"/>
        </w:rPr>
        <w:t>RFA CAR reserve system, with a further 6</w:t>
      </w:r>
      <w:r w:rsidR="00C20F72">
        <w:rPr>
          <w:rFonts w:cs="Segoe UI"/>
        </w:rPr>
        <w:t> </w:t>
      </w:r>
      <w:r w:rsidR="00EB34BC" w:rsidRPr="00CE60B2">
        <w:rPr>
          <w:rFonts w:cs="Segoe UI"/>
        </w:rPr>
        <w:t>per</w:t>
      </w:r>
      <w:r w:rsidR="00C20F72">
        <w:rPr>
          <w:rFonts w:cs="Segoe UI"/>
        </w:rPr>
        <w:t> </w:t>
      </w:r>
      <w:r w:rsidR="00EB34BC" w:rsidRPr="00CE60B2">
        <w:rPr>
          <w:rFonts w:cs="Segoe UI"/>
        </w:rPr>
        <w:t xml:space="preserve">cent in other informal reserves on public land (Table </w:t>
      </w:r>
      <w:r w:rsidR="00EB34BC">
        <w:rPr>
          <w:rFonts w:cs="Segoe UI"/>
        </w:rPr>
        <w:t>2</w:t>
      </w:r>
      <w:r w:rsidR="00EB34BC" w:rsidRPr="00CE60B2">
        <w:rPr>
          <w:rFonts w:cs="Segoe UI"/>
        </w:rPr>
        <w:t>). There has been an overall increase in reservation of old</w:t>
      </w:r>
      <w:r w:rsidR="00C20F72">
        <w:rPr>
          <w:rFonts w:cs="Segoe UI"/>
        </w:rPr>
        <w:noBreakHyphen/>
      </w:r>
      <w:r w:rsidR="00EB34BC" w:rsidRPr="00CE60B2">
        <w:rPr>
          <w:rFonts w:cs="Segoe UI"/>
        </w:rPr>
        <w:t>growth forest of 89,167</w:t>
      </w:r>
      <w:r w:rsidR="00C20F72">
        <w:rPr>
          <w:rFonts w:cs="Segoe UI"/>
        </w:rPr>
        <w:t> </w:t>
      </w:r>
      <w:r w:rsidR="00EB34BC" w:rsidRPr="00CE60B2">
        <w:rPr>
          <w:rFonts w:cs="Segoe UI"/>
        </w:rPr>
        <w:t xml:space="preserve">hectares since the commencement of the RFA in 1999, largely due to the additional reserves introduced under the </w:t>
      </w:r>
      <w:r w:rsidR="00EB34BC">
        <w:rPr>
          <w:rFonts w:cs="Segoe UI"/>
        </w:rPr>
        <w:t>FMP </w:t>
      </w:r>
      <w:r w:rsidR="00EB34BC" w:rsidRPr="00CE60B2">
        <w:rPr>
          <w:rFonts w:cs="Segoe UI"/>
        </w:rPr>
        <w:t xml:space="preserve">2004-2013 which implemented the then State government’s </w:t>
      </w:r>
      <w:r w:rsidR="00EB34BC" w:rsidRPr="00CE60B2">
        <w:rPr>
          <w:rFonts w:cs="Segoe UI"/>
          <w:i/>
        </w:rPr>
        <w:t>Protecting our Old</w:t>
      </w:r>
      <w:r w:rsidR="00C20F72">
        <w:rPr>
          <w:rFonts w:cs="Segoe UI"/>
          <w:i/>
        </w:rPr>
        <w:noBreakHyphen/>
      </w:r>
      <w:r w:rsidR="00506AA1">
        <w:rPr>
          <w:rFonts w:cs="Segoe UI"/>
          <w:i/>
        </w:rPr>
        <w:t>g</w:t>
      </w:r>
      <w:r w:rsidR="00EB34BC" w:rsidRPr="00CE60B2">
        <w:rPr>
          <w:rFonts w:cs="Segoe UI"/>
          <w:i/>
        </w:rPr>
        <w:t xml:space="preserve">rowth Forests </w:t>
      </w:r>
      <w:r w:rsidR="00EB34BC">
        <w:rPr>
          <w:rFonts w:cs="Segoe UI"/>
        </w:rPr>
        <w:t>policy. The total reservation level of old</w:t>
      </w:r>
      <w:r w:rsidR="00C20F72">
        <w:rPr>
          <w:rFonts w:cs="Segoe UI"/>
        </w:rPr>
        <w:noBreakHyphen/>
      </w:r>
      <w:r w:rsidR="00EB34BC">
        <w:rPr>
          <w:rFonts w:cs="Segoe UI"/>
        </w:rPr>
        <w:t>growth forest is 36 per cent above the area agreed in the WA RFA (Wilkinson 2017).</w:t>
      </w:r>
    </w:p>
    <w:p w14:paraId="26ABC837" w14:textId="77777777" w:rsidR="00EB34BC" w:rsidRPr="00CE60B2" w:rsidRDefault="00EB34BC" w:rsidP="00EB34BC">
      <w:pPr>
        <w:rPr>
          <w:rFonts w:cs="Segoe UI"/>
        </w:rPr>
      </w:pPr>
      <w:r w:rsidRPr="00CE60B2">
        <w:rPr>
          <w:rFonts w:cs="Segoe UI"/>
        </w:rPr>
        <w:t>All old</w:t>
      </w:r>
      <w:r w:rsidR="00C20F72">
        <w:rPr>
          <w:rFonts w:cs="Segoe UI"/>
        </w:rPr>
        <w:noBreakHyphen/>
      </w:r>
      <w:r w:rsidRPr="00CE60B2">
        <w:rPr>
          <w:rFonts w:cs="Segoe UI"/>
        </w:rPr>
        <w:t xml:space="preserve">growth forest on lands vested in the </w:t>
      </w:r>
      <w:r>
        <w:rPr>
          <w:rFonts w:cs="Segoe UI"/>
        </w:rPr>
        <w:t>Conservation and Parks Commission (</w:t>
      </w:r>
      <w:r w:rsidRPr="00C4761C">
        <w:rPr>
          <w:rFonts w:cs="Segoe UI"/>
        </w:rPr>
        <w:t>CPC</w:t>
      </w:r>
      <w:r>
        <w:rPr>
          <w:rFonts w:cs="Segoe UI"/>
        </w:rPr>
        <w:t>)</w:t>
      </w:r>
      <w:r w:rsidRPr="00CE60B2">
        <w:rPr>
          <w:rFonts w:cs="Segoe UI"/>
        </w:rPr>
        <w:t xml:space="preserve"> </w:t>
      </w:r>
      <w:r>
        <w:rPr>
          <w:rFonts w:cs="Segoe UI"/>
        </w:rPr>
        <w:t>will continue to be</w:t>
      </w:r>
      <w:r w:rsidRPr="00CE60B2">
        <w:rPr>
          <w:rFonts w:cs="Segoe UI"/>
        </w:rPr>
        <w:t xml:space="preserve"> protected from timber harvesting</w:t>
      </w:r>
      <w:r>
        <w:rPr>
          <w:rFonts w:cs="Segoe UI"/>
        </w:rPr>
        <w:t xml:space="preserve">, </w:t>
      </w:r>
      <w:r w:rsidR="00FF6D15">
        <w:rPr>
          <w:rFonts w:cs="Segoe UI"/>
        </w:rPr>
        <w:t>either in formal reserves or through informal reserves under the FMP</w:t>
      </w:r>
      <w:r w:rsidR="00C20F72">
        <w:rPr>
          <w:rFonts w:cs="Segoe UI"/>
        </w:rPr>
        <w:t> </w:t>
      </w:r>
      <w:r w:rsidR="00FF6D15">
        <w:rPr>
          <w:rFonts w:cs="Segoe UI"/>
        </w:rPr>
        <w:t>2014-2023. Accordingly,</w:t>
      </w:r>
      <w:r>
        <w:rPr>
          <w:rFonts w:cs="Segoe UI"/>
        </w:rPr>
        <w:t xml:space="preserve"> </w:t>
      </w:r>
      <w:r w:rsidRPr="00CE60B2">
        <w:rPr>
          <w:rFonts w:cs="Segoe UI"/>
        </w:rPr>
        <w:t xml:space="preserve">the process for approving </w:t>
      </w:r>
      <w:r w:rsidR="00FF6D15">
        <w:rPr>
          <w:rFonts w:cs="Segoe UI"/>
        </w:rPr>
        <w:t xml:space="preserve">any </w:t>
      </w:r>
      <w:r w:rsidRPr="00CE60B2">
        <w:rPr>
          <w:rFonts w:cs="Segoe UI"/>
        </w:rPr>
        <w:t>disturbance operations (such as timber harvesting, road and infrastructure development) on lands managed by</w:t>
      </w:r>
      <w:r>
        <w:rPr>
          <w:rFonts w:cs="Segoe UI"/>
        </w:rPr>
        <w:t xml:space="preserve"> </w:t>
      </w:r>
      <w:r w:rsidRPr="00CE60B2">
        <w:rPr>
          <w:rFonts w:cs="Segoe UI"/>
        </w:rPr>
        <w:t xml:space="preserve">DBCA requires all proponents to check for the presence of unmapped </w:t>
      </w:r>
      <w:r w:rsidR="00B40201">
        <w:rPr>
          <w:rFonts w:cs="Segoe UI"/>
        </w:rPr>
        <w:t>old-growth</w:t>
      </w:r>
      <w:r w:rsidRPr="00CE60B2">
        <w:rPr>
          <w:rFonts w:cs="Segoe UI"/>
        </w:rPr>
        <w:t xml:space="preserve"> forest. This has resulted in continuous refinement of mapping and the addition of areas to the </w:t>
      </w:r>
      <w:r w:rsidR="00B40201">
        <w:rPr>
          <w:rFonts w:cs="Segoe UI"/>
        </w:rPr>
        <w:t>old-growth</w:t>
      </w:r>
      <w:r w:rsidRPr="00CE60B2">
        <w:rPr>
          <w:rFonts w:cs="Segoe UI"/>
        </w:rPr>
        <w:t xml:space="preserve"> forest datasets used for management and reporting on public lands. </w:t>
      </w:r>
      <w:r w:rsidR="00E279D0">
        <w:rPr>
          <w:rFonts w:cs="Segoe UI"/>
        </w:rPr>
        <w:t xml:space="preserve">This process includes provision for the public to nominate areas to DBCA for assessment of their </w:t>
      </w:r>
      <w:r w:rsidR="00B40201">
        <w:rPr>
          <w:rFonts w:cs="Segoe UI"/>
        </w:rPr>
        <w:t>old-growth</w:t>
      </w:r>
      <w:r w:rsidR="00E279D0">
        <w:rPr>
          <w:rFonts w:cs="Segoe UI"/>
        </w:rPr>
        <w:t xml:space="preserve"> forest status. </w:t>
      </w:r>
      <w:r w:rsidRPr="00CE60B2">
        <w:rPr>
          <w:rFonts w:cs="Segoe UI"/>
        </w:rPr>
        <w:t xml:space="preserve"> </w:t>
      </w:r>
      <w:r>
        <w:rPr>
          <w:rFonts w:cs="Segoe UI"/>
        </w:rPr>
        <w:t>However, t</w:t>
      </w:r>
      <w:r w:rsidRPr="00CE60B2">
        <w:rPr>
          <w:rFonts w:cs="Segoe UI"/>
        </w:rPr>
        <w:t>here has been no refinement since the 1998 CRA of the limited extent (275</w:t>
      </w:r>
      <w:r w:rsidR="00C20F72">
        <w:rPr>
          <w:rFonts w:cs="Segoe UI"/>
        </w:rPr>
        <w:t> </w:t>
      </w:r>
      <w:r w:rsidRPr="00CE60B2">
        <w:rPr>
          <w:rFonts w:cs="Segoe UI"/>
        </w:rPr>
        <w:t xml:space="preserve">hectares in 1998) of </w:t>
      </w:r>
      <w:r w:rsidR="00B40201">
        <w:rPr>
          <w:rFonts w:cs="Segoe UI"/>
        </w:rPr>
        <w:t>old-growth</w:t>
      </w:r>
      <w:r w:rsidRPr="00CE60B2">
        <w:rPr>
          <w:rFonts w:cs="Segoe UI"/>
        </w:rPr>
        <w:t xml:space="preserve"> forest on private lands in the </w:t>
      </w:r>
      <w:r w:rsidR="00C20F72">
        <w:rPr>
          <w:rFonts w:cs="Segoe UI"/>
        </w:rPr>
        <w:t>WA </w:t>
      </w:r>
      <w:r w:rsidRPr="00CE60B2">
        <w:rPr>
          <w:rFonts w:cs="Segoe UI"/>
        </w:rPr>
        <w:t>RFA region.</w:t>
      </w:r>
    </w:p>
    <w:p w14:paraId="26ABC839" w14:textId="77777777" w:rsidR="006554DE" w:rsidRPr="00CE60B2" w:rsidRDefault="006554DE" w:rsidP="006554DE">
      <w:pPr>
        <w:autoSpaceDE w:val="0"/>
        <w:autoSpaceDN w:val="0"/>
        <w:adjustRightInd w:val="0"/>
        <w:rPr>
          <w:rFonts w:cs="Segoe UI"/>
          <w:highlight w:val="cyan"/>
        </w:rPr>
      </w:pPr>
    </w:p>
    <w:p w14:paraId="26ABC83A" w14:textId="77777777" w:rsidR="007E62B1" w:rsidRDefault="00E22A51" w:rsidP="007E62B1">
      <w:pPr>
        <w:keepNext/>
        <w:autoSpaceDE w:val="0"/>
        <w:autoSpaceDN w:val="0"/>
        <w:adjustRightInd w:val="0"/>
      </w:pPr>
      <w:r>
        <w:rPr>
          <w:noProof/>
          <w:lang w:eastAsia="en-AU"/>
        </w:rPr>
        <w:lastRenderedPageBreak/>
        <w:drawing>
          <wp:inline distT="0" distB="0" distL="0" distR="0" wp14:anchorId="26ABE254" wp14:editId="26ABE255">
            <wp:extent cx="5731510" cy="83832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383270"/>
                    </a:xfrm>
                    <a:prstGeom prst="rect">
                      <a:avLst/>
                    </a:prstGeom>
                    <a:noFill/>
                    <a:ln>
                      <a:noFill/>
                    </a:ln>
                  </pic:spPr>
                </pic:pic>
              </a:graphicData>
            </a:graphic>
          </wp:inline>
        </w:drawing>
      </w:r>
    </w:p>
    <w:p w14:paraId="26ABC83B" w14:textId="3E9EC4A7" w:rsidR="006554DE" w:rsidRPr="00CE60B2" w:rsidRDefault="007E62B1" w:rsidP="00AF3B86">
      <w:pPr>
        <w:pStyle w:val="Caption"/>
        <w:ind w:left="-284"/>
        <w:rPr>
          <w:rFonts w:cs="Segoe UI"/>
        </w:rPr>
      </w:pPr>
      <w:bookmarkStart w:id="27" w:name="_Toc2776003"/>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2</w:t>
      </w:r>
      <w:r w:rsidR="0002253A">
        <w:rPr>
          <w:noProof/>
        </w:rPr>
        <w:fldChar w:fldCharType="end"/>
      </w:r>
      <w:r>
        <w:t xml:space="preserve">: </w:t>
      </w:r>
      <w:r w:rsidRPr="00710AF7">
        <w:t>WA RFA region and the extent of old-growth forest in 2018</w:t>
      </w:r>
      <w:bookmarkEnd w:id="27"/>
    </w:p>
    <w:p w14:paraId="26ABC83C" w14:textId="77777777" w:rsidR="006554DE" w:rsidRPr="00CE60B2" w:rsidRDefault="006554DE" w:rsidP="006554DE">
      <w:pPr>
        <w:rPr>
          <w:rFonts w:cs="Segoe UI"/>
          <w:b/>
        </w:rPr>
        <w:sectPr w:rsidR="006554DE" w:rsidRPr="00CE60B2" w:rsidSect="006554DE">
          <w:pgSz w:w="11906" w:h="16838"/>
          <w:pgMar w:top="567" w:right="1440" w:bottom="567" w:left="1440" w:header="709" w:footer="709" w:gutter="0"/>
          <w:cols w:space="708"/>
          <w:docGrid w:linePitch="360"/>
        </w:sectPr>
      </w:pPr>
    </w:p>
    <w:p w14:paraId="26ABC83D" w14:textId="107B1D9E" w:rsidR="006554DE" w:rsidRPr="008240E4" w:rsidRDefault="008240E4" w:rsidP="008240E4">
      <w:pPr>
        <w:pStyle w:val="Caption"/>
        <w:keepNext/>
      </w:pPr>
      <w:bookmarkStart w:id="28" w:name="_Ref527450287"/>
      <w:bookmarkStart w:id="29" w:name="_Ref527450282"/>
      <w:bookmarkStart w:id="30" w:name="_Toc531002163"/>
      <w:r>
        <w:lastRenderedPageBreak/>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2</w:t>
      </w:r>
      <w:r w:rsidR="005C10D4">
        <w:rPr>
          <w:noProof/>
        </w:rPr>
        <w:fldChar w:fldCharType="end"/>
      </w:r>
      <w:bookmarkEnd w:id="28"/>
      <w:r>
        <w:t xml:space="preserve">: </w:t>
      </w:r>
      <w:r w:rsidRPr="00F61BCC">
        <w:t xml:space="preserve">Reservation levels of </w:t>
      </w:r>
      <w:r w:rsidR="00B40201">
        <w:t>old-growth</w:t>
      </w:r>
      <w:r w:rsidRPr="00F61BCC">
        <w:t xml:space="preserve"> forest in CAR reserves and other informal reserves on public land from 1999 to 2018.</w:t>
      </w:r>
      <w:bookmarkEnd w:id="29"/>
      <w:bookmarkEnd w:id="30"/>
    </w:p>
    <w:tbl>
      <w:tblPr>
        <w:tblW w:w="15593" w:type="dxa"/>
        <w:tblLayout w:type="fixed"/>
        <w:tblLook w:val="04A0" w:firstRow="1" w:lastRow="0" w:firstColumn="1" w:lastColumn="0" w:noHBand="0" w:noVBand="1"/>
      </w:tblPr>
      <w:tblGrid>
        <w:gridCol w:w="2127"/>
        <w:gridCol w:w="851"/>
        <w:gridCol w:w="850"/>
        <w:gridCol w:w="709"/>
        <w:gridCol w:w="992"/>
        <w:gridCol w:w="9"/>
        <w:gridCol w:w="841"/>
        <w:gridCol w:w="851"/>
        <w:gridCol w:w="708"/>
        <w:gridCol w:w="993"/>
        <w:gridCol w:w="849"/>
        <w:gridCol w:w="826"/>
        <w:gridCol w:w="734"/>
        <w:gridCol w:w="993"/>
        <w:gridCol w:w="849"/>
        <w:gridCol w:w="851"/>
        <w:gridCol w:w="602"/>
        <w:gridCol w:w="958"/>
      </w:tblGrid>
      <w:tr w:rsidR="006554DE" w:rsidRPr="00CE60B2" w14:paraId="26ABC843" w14:textId="77777777" w:rsidTr="006554DE">
        <w:trPr>
          <w:trHeight w:val="255"/>
        </w:trPr>
        <w:tc>
          <w:tcPr>
            <w:tcW w:w="2127" w:type="dxa"/>
            <w:tcBorders>
              <w:top w:val="nil"/>
              <w:left w:val="nil"/>
              <w:bottom w:val="nil"/>
              <w:right w:val="nil"/>
            </w:tcBorders>
            <w:shd w:val="clear" w:color="auto" w:fill="auto"/>
            <w:noWrap/>
            <w:vAlign w:val="bottom"/>
            <w:hideMark/>
          </w:tcPr>
          <w:p w14:paraId="26ABC83E" w14:textId="77777777" w:rsidR="006554DE" w:rsidRPr="00CE60B2" w:rsidRDefault="006554DE" w:rsidP="006554DE">
            <w:pPr>
              <w:spacing w:before="0" w:after="0"/>
              <w:rPr>
                <w:rFonts w:eastAsia="Times New Roman" w:cs="Segoe UI"/>
                <w:sz w:val="16"/>
                <w:szCs w:val="16"/>
                <w:lang w:eastAsia="en-AU"/>
              </w:rPr>
            </w:pPr>
          </w:p>
        </w:tc>
        <w:tc>
          <w:tcPr>
            <w:tcW w:w="3411" w:type="dxa"/>
            <w:gridSpan w:val="5"/>
            <w:tcBorders>
              <w:top w:val="single" w:sz="8" w:space="0" w:color="auto"/>
              <w:left w:val="single" w:sz="8" w:space="0" w:color="auto"/>
              <w:bottom w:val="nil"/>
              <w:right w:val="single" w:sz="8" w:space="0" w:color="000000"/>
            </w:tcBorders>
            <w:shd w:val="clear" w:color="auto" w:fill="DFEFE1" w:themeFill="accent3" w:themeFillTint="66"/>
            <w:noWrap/>
            <w:vAlign w:val="bottom"/>
            <w:hideMark/>
          </w:tcPr>
          <w:p w14:paraId="26ABC83F"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WA RFA 1999</w:t>
            </w:r>
          </w:p>
        </w:tc>
        <w:tc>
          <w:tcPr>
            <w:tcW w:w="3393" w:type="dxa"/>
            <w:gridSpan w:val="4"/>
            <w:tcBorders>
              <w:top w:val="single" w:sz="8" w:space="0" w:color="auto"/>
              <w:left w:val="nil"/>
              <w:bottom w:val="nil"/>
              <w:right w:val="single" w:sz="8" w:space="0" w:color="000000"/>
            </w:tcBorders>
            <w:shd w:val="clear" w:color="auto" w:fill="DFEFE1" w:themeFill="accent3" w:themeFillTint="66"/>
            <w:noWrap/>
            <w:vAlign w:val="bottom"/>
            <w:hideMark/>
          </w:tcPr>
          <w:p w14:paraId="26ABC840"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WA RFA Review 2009</w:t>
            </w:r>
          </w:p>
        </w:tc>
        <w:tc>
          <w:tcPr>
            <w:tcW w:w="3402" w:type="dxa"/>
            <w:gridSpan w:val="4"/>
            <w:tcBorders>
              <w:top w:val="single" w:sz="8" w:space="0" w:color="auto"/>
              <w:left w:val="nil"/>
              <w:bottom w:val="nil"/>
              <w:right w:val="single" w:sz="8" w:space="0" w:color="000000"/>
            </w:tcBorders>
            <w:shd w:val="clear" w:color="auto" w:fill="DFEFE1" w:themeFill="accent3" w:themeFillTint="66"/>
            <w:noWrap/>
            <w:vAlign w:val="bottom"/>
            <w:hideMark/>
          </w:tcPr>
          <w:p w14:paraId="26ABC841"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WA RFA Review 2014</w:t>
            </w:r>
          </w:p>
        </w:tc>
        <w:tc>
          <w:tcPr>
            <w:tcW w:w="3260" w:type="dxa"/>
            <w:gridSpan w:val="4"/>
            <w:tcBorders>
              <w:top w:val="single" w:sz="8" w:space="0" w:color="auto"/>
              <w:left w:val="nil"/>
              <w:bottom w:val="nil"/>
              <w:right w:val="single" w:sz="8" w:space="0" w:color="000000"/>
            </w:tcBorders>
            <w:shd w:val="clear" w:color="auto" w:fill="DFEFE1" w:themeFill="accent3" w:themeFillTint="66"/>
            <w:noWrap/>
            <w:vAlign w:val="bottom"/>
            <w:hideMark/>
          </w:tcPr>
          <w:p w14:paraId="26ABC842"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Current area to June 2018</w:t>
            </w:r>
          </w:p>
        </w:tc>
      </w:tr>
      <w:tr w:rsidR="006554DE" w:rsidRPr="00CE60B2" w14:paraId="26ABC856" w14:textId="77777777" w:rsidTr="006554DE">
        <w:trPr>
          <w:trHeight w:val="915"/>
        </w:trPr>
        <w:tc>
          <w:tcPr>
            <w:tcW w:w="2127" w:type="dxa"/>
            <w:tcBorders>
              <w:top w:val="single" w:sz="4" w:space="0" w:color="auto"/>
              <w:left w:val="single" w:sz="4" w:space="0" w:color="auto"/>
              <w:bottom w:val="single" w:sz="4" w:space="0" w:color="auto"/>
              <w:right w:val="nil"/>
            </w:tcBorders>
            <w:shd w:val="clear" w:color="auto" w:fill="DFEFE1" w:themeFill="accent3" w:themeFillTint="66"/>
            <w:noWrap/>
            <w:vAlign w:val="bottom"/>
            <w:hideMark/>
          </w:tcPr>
          <w:p w14:paraId="26ABC844" w14:textId="77777777" w:rsidR="006554DE" w:rsidRPr="00CE60B2" w:rsidRDefault="006554DE" w:rsidP="006554DE">
            <w:pPr>
              <w:spacing w:before="0" w:after="0"/>
              <w:rPr>
                <w:rFonts w:eastAsia="Times New Roman" w:cs="Segoe UI"/>
                <w:b/>
                <w:bCs/>
                <w:color w:val="000000"/>
                <w:sz w:val="16"/>
                <w:szCs w:val="16"/>
                <w:lang w:eastAsia="en-AU"/>
              </w:rPr>
            </w:pPr>
            <w:r w:rsidRPr="00CE60B2">
              <w:rPr>
                <w:rFonts w:eastAsia="Times New Roman" w:cs="Segoe UI"/>
                <w:b/>
                <w:bCs/>
                <w:color w:val="000000"/>
                <w:sz w:val="16"/>
                <w:szCs w:val="16"/>
                <w:lang w:eastAsia="en-AU"/>
              </w:rPr>
              <w:t>Forest Ecosystem</w:t>
            </w:r>
          </w:p>
        </w:tc>
        <w:tc>
          <w:tcPr>
            <w:tcW w:w="851" w:type="dxa"/>
            <w:tcBorders>
              <w:top w:val="nil"/>
              <w:left w:val="single" w:sz="8" w:space="0" w:color="auto"/>
              <w:bottom w:val="single" w:sz="4" w:space="0" w:color="auto"/>
              <w:right w:val="single" w:sz="4" w:space="0" w:color="auto"/>
            </w:tcBorders>
            <w:shd w:val="clear" w:color="auto" w:fill="DFEFE1" w:themeFill="accent3" w:themeFillTint="66"/>
            <w:vAlign w:val="bottom"/>
            <w:hideMark/>
          </w:tcPr>
          <w:p w14:paraId="26ABC845"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Present area</w:t>
            </w:r>
            <w:r w:rsidRPr="00CE60B2">
              <w:rPr>
                <w:rFonts w:eastAsia="Times New Roman" w:cs="Segoe UI"/>
                <w:b/>
                <w:bCs/>
                <w:color w:val="000000"/>
                <w:sz w:val="16"/>
                <w:szCs w:val="16"/>
                <w:lang w:eastAsia="en-AU"/>
              </w:rPr>
              <w:br/>
              <w:t>(ha)</w:t>
            </w:r>
          </w:p>
        </w:tc>
        <w:tc>
          <w:tcPr>
            <w:tcW w:w="850" w:type="dxa"/>
            <w:tcBorders>
              <w:top w:val="nil"/>
              <w:left w:val="nil"/>
              <w:bottom w:val="single" w:sz="4" w:space="0" w:color="auto"/>
              <w:right w:val="single" w:sz="4" w:space="0" w:color="auto"/>
            </w:tcBorders>
            <w:shd w:val="clear" w:color="auto" w:fill="DFEFE1" w:themeFill="accent3" w:themeFillTint="66"/>
            <w:vAlign w:val="bottom"/>
            <w:hideMark/>
          </w:tcPr>
          <w:p w14:paraId="26ABC846"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Total CAR</w:t>
            </w:r>
            <w:r w:rsidRPr="00CE60B2">
              <w:rPr>
                <w:rFonts w:eastAsia="Times New Roman" w:cs="Segoe UI"/>
                <w:b/>
                <w:bCs/>
                <w:color w:val="000000"/>
                <w:sz w:val="16"/>
                <w:szCs w:val="16"/>
                <w:lang w:eastAsia="en-AU"/>
              </w:rPr>
              <w:br/>
              <w:t>(ha)</w:t>
            </w:r>
          </w:p>
        </w:tc>
        <w:tc>
          <w:tcPr>
            <w:tcW w:w="709" w:type="dxa"/>
            <w:tcBorders>
              <w:top w:val="nil"/>
              <w:left w:val="nil"/>
              <w:bottom w:val="single" w:sz="4" w:space="0" w:color="auto"/>
              <w:right w:val="single" w:sz="4" w:space="0" w:color="auto"/>
            </w:tcBorders>
            <w:shd w:val="clear" w:color="auto" w:fill="DFEFE1" w:themeFill="accent3" w:themeFillTint="66"/>
            <w:vAlign w:val="bottom"/>
            <w:hideMark/>
          </w:tcPr>
          <w:p w14:paraId="26ABC847"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Total CAR</w:t>
            </w:r>
            <w:r w:rsidRPr="00CE60B2">
              <w:rPr>
                <w:rFonts w:eastAsia="Times New Roman" w:cs="Segoe UI"/>
                <w:b/>
                <w:bCs/>
                <w:color w:val="000000"/>
                <w:sz w:val="16"/>
                <w:szCs w:val="16"/>
                <w:lang w:eastAsia="en-AU"/>
              </w:rPr>
              <w:br/>
              <w:t>(%)</w:t>
            </w:r>
          </w:p>
        </w:tc>
        <w:tc>
          <w:tcPr>
            <w:tcW w:w="992" w:type="dxa"/>
            <w:tcBorders>
              <w:top w:val="nil"/>
              <w:left w:val="nil"/>
              <w:bottom w:val="single" w:sz="4" w:space="0" w:color="auto"/>
              <w:right w:val="single" w:sz="8" w:space="0" w:color="auto"/>
            </w:tcBorders>
            <w:shd w:val="clear" w:color="auto" w:fill="DFEFE1" w:themeFill="accent3" w:themeFillTint="66"/>
            <w:vAlign w:val="bottom"/>
            <w:hideMark/>
          </w:tcPr>
          <w:p w14:paraId="26ABC848"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Other informal reserves</w:t>
            </w:r>
            <w:r w:rsidRPr="00CE60B2">
              <w:rPr>
                <w:rFonts w:eastAsia="Times New Roman" w:cs="Segoe UI"/>
                <w:b/>
                <w:bCs/>
                <w:color w:val="000000"/>
                <w:sz w:val="16"/>
                <w:szCs w:val="16"/>
                <w:lang w:eastAsia="en-AU"/>
              </w:rPr>
              <w:br/>
              <w:t>(ha)</w:t>
            </w:r>
          </w:p>
        </w:tc>
        <w:tc>
          <w:tcPr>
            <w:tcW w:w="850" w:type="dxa"/>
            <w:gridSpan w:val="2"/>
            <w:tcBorders>
              <w:top w:val="nil"/>
              <w:left w:val="nil"/>
              <w:bottom w:val="single" w:sz="4" w:space="0" w:color="auto"/>
              <w:right w:val="single" w:sz="4" w:space="0" w:color="auto"/>
            </w:tcBorders>
            <w:shd w:val="clear" w:color="auto" w:fill="DFEFE1" w:themeFill="accent3" w:themeFillTint="66"/>
            <w:vAlign w:val="bottom"/>
            <w:hideMark/>
          </w:tcPr>
          <w:p w14:paraId="26ABC849"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Present area on public land**</w:t>
            </w:r>
            <w:r w:rsidRPr="00CE60B2">
              <w:rPr>
                <w:rFonts w:eastAsia="Times New Roman" w:cs="Segoe UI"/>
                <w:b/>
                <w:bCs/>
                <w:color w:val="000000"/>
                <w:sz w:val="16"/>
                <w:szCs w:val="16"/>
                <w:lang w:eastAsia="en-AU"/>
              </w:rPr>
              <w:br/>
              <w:t>(ha)</w:t>
            </w:r>
          </w:p>
        </w:tc>
        <w:tc>
          <w:tcPr>
            <w:tcW w:w="851" w:type="dxa"/>
            <w:tcBorders>
              <w:top w:val="nil"/>
              <w:left w:val="nil"/>
              <w:bottom w:val="single" w:sz="4" w:space="0" w:color="auto"/>
              <w:right w:val="single" w:sz="4" w:space="0" w:color="auto"/>
            </w:tcBorders>
            <w:shd w:val="clear" w:color="auto" w:fill="DFEFE1" w:themeFill="accent3" w:themeFillTint="66"/>
            <w:vAlign w:val="bottom"/>
            <w:hideMark/>
          </w:tcPr>
          <w:p w14:paraId="26ABC84A"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Total CAR</w:t>
            </w:r>
            <w:r w:rsidRPr="00CE60B2">
              <w:rPr>
                <w:rFonts w:eastAsia="Times New Roman" w:cs="Segoe UI"/>
                <w:b/>
                <w:bCs/>
                <w:color w:val="000000"/>
                <w:sz w:val="16"/>
                <w:szCs w:val="16"/>
                <w:lang w:eastAsia="en-AU"/>
              </w:rPr>
              <w:br/>
              <w:t>(ha)</w:t>
            </w:r>
          </w:p>
        </w:tc>
        <w:tc>
          <w:tcPr>
            <w:tcW w:w="708" w:type="dxa"/>
            <w:tcBorders>
              <w:top w:val="nil"/>
              <w:left w:val="nil"/>
              <w:bottom w:val="single" w:sz="4" w:space="0" w:color="auto"/>
              <w:right w:val="single" w:sz="4" w:space="0" w:color="auto"/>
            </w:tcBorders>
            <w:shd w:val="clear" w:color="auto" w:fill="DFEFE1" w:themeFill="accent3" w:themeFillTint="66"/>
            <w:vAlign w:val="bottom"/>
            <w:hideMark/>
          </w:tcPr>
          <w:p w14:paraId="26ABC84B"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Total CAR</w:t>
            </w:r>
            <w:r w:rsidRPr="00CE60B2">
              <w:rPr>
                <w:rFonts w:eastAsia="Times New Roman" w:cs="Segoe UI"/>
                <w:b/>
                <w:bCs/>
                <w:color w:val="000000"/>
                <w:sz w:val="16"/>
                <w:szCs w:val="16"/>
                <w:lang w:eastAsia="en-AU"/>
              </w:rPr>
              <w:br/>
              <w:t>(%)</w:t>
            </w:r>
          </w:p>
        </w:tc>
        <w:tc>
          <w:tcPr>
            <w:tcW w:w="993" w:type="dxa"/>
            <w:tcBorders>
              <w:top w:val="nil"/>
              <w:left w:val="nil"/>
              <w:bottom w:val="single" w:sz="4" w:space="0" w:color="auto"/>
              <w:right w:val="single" w:sz="8" w:space="0" w:color="auto"/>
            </w:tcBorders>
            <w:shd w:val="clear" w:color="auto" w:fill="DFEFE1" w:themeFill="accent3" w:themeFillTint="66"/>
            <w:vAlign w:val="bottom"/>
            <w:hideMark/>
          </w:tcPr>
          <w:p w14:paraId="26ABC84C"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Other informal reserves</w:t>
            </w:r>
            <w:r w:rsidRPr="00CE60B2">
              <w:rPr>
                <w:rFonts w:eastAsia="Times New Roman" w:cs="Segoe UI"/>
                <w:b/>
                <w:bCs/>
                <w:color w:val="000000"/>
                <w:sz w:val="16"/>
                <w:szCs w:val="16"/>
                <w:lang w:eastAsia="en-AU"/>
              </w:rPr>
              <w:br/>
              <w:t>(ha)</w:t>
            </w:r>
          </w:p>
        </w:tc>
        <w:tc>
          <w:tcPr>
            <w:tcW w:w="849" w:type="dxa"/>
            <w:tcBorders>
              <w:top w:val="nil"/>
              <w:left w:val="nil"/>
              <w:bottom w:val="single" w:sz="4" w:space="0" w:color="auto"/>
              <w:right w:val="single" w:sz="4" w:space="0" w:color="auto"/>
            </w:tcBorders>
            <w:shd w:val="clear" w:color="auto" w:fill="DFEFE1" w:themeFill="accent3" w:themeFillTint="66"/>
            <w:vAlign w:val="bottom"/>
            <w:hideMark/>
          </w:tcPr>
          <w:p w14:paraId="26ABC84D"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Present area on public land**</w:t>
            </w:r>
            <w:r w:rsidRPr="00CE60B2">
              <w:rPr>
                <w:rFonts w:eastAsia="Times New Roman" w:cs="Segoe UI"/>
                <w:b/>
                <w:bCs/>
                <w:color w:val="000000"/>
                <w:sz w:val="16"/>
                <w:szCs w:val="16"/>
                <w:lang w:eastAsia="en-AU"/>
              </w:rPr>
              <w:br/>
              <w:t>(ha)</w:t>
            </w:r>
          </w:p>
        </w:tc>
        <w:tc>
          <w:tcPr>
            <w:tcW w:w="826" w:type="dxa"/>
            <w:tcBorders>
              <w:top w:val="nil"/>
              <w:left w:val="nil"/>
              <w:bottom w:val="single" w:sz="4" w:space="0" w:color="auto"/>
              <w:right w:val="single" w:sz="4" w:space="0" w:color="auto"/>
            </w:tcBorders>
            <w:shd w:val="clear" w:color="auto" w:fill="DFEFE1" w:themeFill="accent3" w:themeFillTint="66"/>
            <w:vAlign w:val="bottom"/>
            <w:hideMark/>
          </w:tcPr>
          <w:p w14:paraId="26ABC84E"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Total CAR</w:t>
            </w:r>
          </w:p>
          <w:p w14:paraId="26ABC84F"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(ha)</w:t>
            </w:r>
          </w:p>
        </w:tc>
        <w:tc>
          <w:tcPr>
            <w:tcW w:w="734" w:type="dxa"/>
            <w:tcBorders>
              <w:top w:val="nil"/>
              <w:left w:val="nil"/>
              <w:bottom w:val="single" w:sz="4" w:space="0" w:color="auto"/>
              <w:right w:val="single" w:sz="4" w:space="0" w:color="auto"/>
            </w:tcBorders>
            <w:shd w:val="clear" w:color="auto" w:fill="DFEFE1" w:themeFill="accent3" w:themeFillTint="66"/>
            <w:vAlign w:val="bottom"/>
            <w:hideMark/>
          </w:tcPr>
          <w:p w14:paraId="26ABC850"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Total CAR</w:t>
            </w:r>
            <w:r w:rsidRPr="00CE60B2">
              <w:rPr>
                <w:rFonts w:eastAsia="Times New Roman" w:cs="Segoe UI"/>
                <w:b/>
                <w:bCs/>
                <w:color w:val="000000"/>
                <w:sz w:val="16"/>
                <w:szCs w:val="16"/>
                <w:lang w:eastAsia="en-AU"/>
              </w:rPr>
              <w:br/>
              <w:t>(%)</w:t>
            </w:r>
          </w:p>
        </w:tc>
        <w:tc>
          <w:tcPr>
            <w:tcW w:w="993" w:type="dxa"/>
            <w:tcBorders>
              <w:top w:val="nil"/>
              <w:left w:val="nil"/>
              <w:bottom w:val="single" w:sz="4" w:space="0" w:color="auto"/>
              <w:right w:val="single" w:sz="8" w:space="0" w:color="auto"/>
            </w:tcBorders>
            <w:shd w:val="clear" w:color="auto" w:fill="DFEFE1" w:themeFill="accent3" w:themeFillTint="66"/>
            <w:vAlign w:val="bottom"/>
            <w:hideMark/>
          </w:tcPr>
          <w:p w14:paraId="26ABC851"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Other informal reserves</w:t>
            </w:r>
            <w:r w:rsidRPr="00CE60B2">
              <w:rPr>
                <w:rFonts w:eastAsia="Times New Roman" w:cs="Segoe UI"/>
                <w:b/>
                <w:bCs/>
                <w:color w:val="000000"/>
                <w:sz w:val="16"/>
                <w:szCs w:val="16"/>
                <w:lang w:eastAsia="en-AU"/>
              </w:rPr>
              <w:br/>
              <w:t>(ha)</w:t>
            </w:r>
          </w:p>
        </w:tc>
        <w:tc>
          <w:tcPr>
            <w:tcW w:w="849" w:type="dxa"/>
            <w:tcBorders>
              <w:top w:val="nil"/>
              <w:left w:val="nil"/>
              <w:bottom w:val="single" w:sz="4" w:space="0" w:color="auto"/>
              <w:right w:val="single" w:sz="4" w:space="0" w:color="auto"/>
            </w:tcBorders>
            <w:shd w:val="clear" w:color="auto" w:fill="DFEFE1" w:themeFill="accent3" w:themeFillTint="66"/>
            <w:vAlign w:val="bottom"/>
            <w:hideMark/>
          </w:tcPr>
          <w:p w14:paraId="26ABC852"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Present area ***</w:t>
            </w:r>
            <w:r w:rsidRPr="00CE60B2">
              <w:rPr>
                <w:rFonts w:eastAsia="Times New Roman" w:cs="Segoe UI"/>
                <w:b/>
                <w:bCs/>
                <w:color w:val="000000"/>
                <w:sz w:val="16"/>
                <w:szCs w:val="16"/>
                <w:lang w:eastAsia="en-AU"/>
              </w:rPr>
              <w:br/>
              <w:t>(ha)</w:t>
            </w:r>
          </w:p>
        </w:tc>
        <w:tc>
          <w:tcPr>
            <w:tcW w:w="851" w:type="dxa"/>
            <w:tcBorders>
              <w:top w:val="nil"/>
              <w:left w:val="nil"/>
              <w:bottom w:val="single" w:sz="4" w:space="0" w:color="auto"/>
              <w:right w:val="single" w:sz="4" w:space="0" w:color="auto"/>
            </w:tcBorders>
            <w:shd w:val="clear" w:color="auto" w:fill="DFEFE1" w:themeFill="accent3" w:themeFillTint="66"/>
            <w:vAlign w:val="bottom"/>
            <w:hideMark/>
          </w:tcPr>
          <w:p w14:paraId="26ABC853"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Total CAR</w:t>
            </w:r>
            <w:r w:rsidRPr="00CE60B2">
              <w:rPr>
                <w:rFonts w:eastAsia="Times New Roman" w:cs="Segoe UI"/>
                <w:b/>
                <w:bCs/>
                <w:color w:val="000000"/>
                <w:sz w:val="16"/>
                <w:szCs w:val="16"/>
                <w:lang w:eastAsia="en-AU"/>
              </w:rPr>
              <w:br/>
              <w:t>(ha)</w:t>
            </w:r>
          </w:p>
        </w:tc>
        <w:tc>
          <w:tcPr>
            <w:tcW w:w="602" w:type="dxa"/>
            <w:tcBorders>
              <w:top w:val="nil"/>
              <w:left w:val="nil"/>
              <w:bottom w:val="single" w:sz="4" w:space="0" w:color="auto"/>
              <w:right w:val="single" w:sz="4" w:space="0" w:color="auto"/>
            </w:tcBorders>
            <w:shd w:val="clear" w:color="auto" w:fill="DFEFE1" w:themeFill="accent3" w:themeFillTint="66"/>
            <w:vAlign w:val="bottom"/>
            <w:hideMark/>
          </w:tcPr>
          <w:p w14:paraId="26ABC854"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Total CAR</w:t>
            </w:r>
            <w:r w:rsidRPr="00CE60B2">
              <w:rPr>
                <w:rFonts w:eastAsia="Times New Roman" w:cs="Segoe UI"/>
                <w:b/>
                <w:bCs/>
                <w:color w:val="000000"/>
                <w:sz w:val="16"/>
                <w:szCs w:val="16"/>
                <w:lang w:eastAsia="en-AU"/>
              </w:rPr>
              <w:br/>
              <w:t>(%)</w:t>
            </w:r>
          </w:p>
        </w:tc>
        <w:tc>
          <w:tcPr>
            <w:tcW w:w="958" w:type="dxa"/>
            <w:tcBorders>
              <w:top w:val="nil"/>
              <w:left w:val="nil"/>
              <w:bottom w:val="single" w:sz="4" w:space="0" w:color="auto"/>
              <w:right w:val="single" w:sz="8" w:space="0" w:color="auto"/>
            </w:tcBorders>
            <w:shd w:val="clear" w:color="auto" w:fill="DFEFE1" w:themeFill="accent3" w:themeFillTint="66"/>
            <w:vAlign w:val="bottom"/>
            <w:hideMark/>
          </w:tcPr>
          <w:p w14:paraId="26ABC855" w14:textId="77777777" w:rsidR="006554DE" w:rsidRPr="00CE60B2" w:rsidRDefault="006554DE" w:rsidP="006554DE">
            <w:pPr>
              <w:spacing w:before="0" w:after="0"/>
              <w:jc w:val="center"/>
              <w:rPr>
                <w:rFonts w:eastAsia="Times New Roman" w:cs="Segoe UI"/>
                <w:b/>
                <w:bCs/>
                <w:color w:val="000000"/>
                <w:sz w:val="16"/>
                <w:szCs w:val="16"/>
                <w:lang w:eastAsia="en-AU"/>
              </w:rPr>
            </w:pPr>
            <w:r w:rsidRPr="00CE60B2">
              <w:rPr>
                <w:rFonts w:eastAsia="Times New Roman" w:cs="Segoe UI"/>
                <w:b/>
                <w:bCs/>
                <w:color w:val="000000"/>
                <w:sz w:val="16"/>
                <w:szCs w:val="16"/>
                <w:lang w:eastAsia="en-AU"/>
              </w:rPr>
              <w:t>Other informal reserves</w:t>
            </w:r>
            <w:r w:rsidRPr="00CE60B2">
              <w:rPr>
                <w:rFonts w:eastAsia="Times New Roman" w:cs="Segoe UI"/>
                <w:b/>
                <w:bCs/>
                <w:color w:val="000000"/>
                <w:sz w:val="16"/>
                <w:szCs w:val="16"/>
                <w:lang w:eastAsia="en-AU"/>
              </w:rPr>
              <w:br/>
              <w:t>(ha)</w:t>
            </w:r>
          </w:p>
        </w:tc>
      </w:tr>
      <w:tr w:rsidR="006554DE" w:rsidRPr="00CE60B2" w14:paraId="26ABC868"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57" w14:textId="77777777" w:rsidR="006554DE" w:rsidRPr="00CE60B2" w:rsidRDefault="006554DE" w:rsidP="006554DE">
            <w:pPr>
              <w:spacing w:before="0" w:after="0"/>
              <w:rPr>
                <w:rFonts w:eastAsia="Times New Roman" w:cs="Segoe UI"/>
                <w:sz w:val="16"/>
                <w:szCs w:val="16"/>
                <w:lang w:eastAsia="en-AU"/>
              </w:rPr>
            </w:pPr>
            <w:r w:rsidRPr="00CE60B2">
              <w:rPr>
                <w:rFonts w:eastAsia="Times New Roman" w:cs="Segoe UI"/>
                <w:sz w:val="16"/>
                <w:szCs w:val="16"/>
                <w:lang w:eastAsia="en-AU"/>
              </w:rPr>
              <w:t>Darling Scarp"</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58" w14:textId="77777777" w:rsidR="006554DE" w:rsidRPr="00CE60B2" w:rsidRDefault="006554DE" w:rsidP="006554DE">
            <w:pPr>
              <w:spacing w:before="0" w:after="0"/>
              <w:rPr>
                <w:rFonts w:eastAsia="Times New Roman" w:cs="Segoe UI"/>
                <w:sz w:val="16"/>
                <w:szCs w:val="16"/>
                <w:lang w:eastAsia="en-AU"/>
              </w:rPr>
            </w:pPr>
            <w:r w:rsidRPr="00CE60B2">
              <w:rPr>
                <w:rFonts w:eastAsia="Times New Roman" w:cs="Segoe UI"/>
                <w:sz w:val="16"/>
                <w:szCs w:val="16"/>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14:paraId="26ABC859" w14:textId="77777777" w:rsidR="006554DE" w:rsidRPr="00CE60B2" w:rsidRDefault="006554DE" w:rsidP="006554DE">
            <w:pPr>
              <w:spacing w:before="0" w:after="0"/>
              <w:rPr>
                <w:rFonts w:eastAsia="Times New Roman" w:cs="Segoe UI"/>
                <w:sz w:val="16"/>
                <w:szCs w:val="16"/>
                <w:lang w:eastAsia="en-AU"/>
              </w:rPr>
            </w:pPr>
            <w:r w:rsidRPr="00CE60B2">
              <w:rPr>
                <w:rFonts w:eastAsia="Times New Roman" w:cs="Segoe UI"/>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26ABC85A" w14:textId="77777777" w:rsidR="006554DE" w:rsidRPr="00CE60B2" w:rsidRDefault="006554DE" w:rsidP="006554DE">
            <w:pPr>
              <w:spacing w:before="0" w:after="0"/>
              <w:rPr>
                <w:rFonts w:eastAsia="Times New Roman" w:cs="Segoe UI"/>
                <w:sz w:val="16"/>
                <w:szCs w:val="16"/>
                <w:lang w:eastAsia="en-AU"/>
              </w:rPr>
            </w:pPr>
            <w:r w:rsidRPr="00CE60B2">
              <w:rPr>
                <w:rFonts w:eastAsia="Times New Roman" w:cs="Segoe UI"/>
                <w:sz w:val="16"/>
                <w:szCs w:val="16"/>
                <w:lang w:eastAsia="en-AU"/>
              </w:rPr>
              <w:t> </w:t>
            </w:r>
          </w:p>
        </w:tc>
        <w:tc>
          <w:tcPr>
            <w:tcW w:w="992" w:type="dxa"/>
            <w:tcBorders>
              <w:top w:val="nil"/>
              <w:left w:val="nil"/>
              <w:bottom w:val="single" w:sz="4" w:space="0" w:color="auto"/>
              <w:right w:val="single" w:sz="8" w:space="0" w:color="auto"/>
            </w:tcBorders>
            <w:shd w:val="clear" w:color="auto" w:fill="auto"/>
            <w:noWrap/>
            <w:vAlign w:val="bottom"/>
            <w:hideMark/>
          </w:tcPr>
          <w:p w14:paraId="26ABC85B" w14:textId="77777777" w:rsidR="006554DE" w:rsidRPr="00CE60B2" w:rsidRDefault="006554DE" w:rsidP="006554DE">
            <w:pPr>
              <w:spacing w:before="0" w:after="0"/>
              <w:rPr>
                <w:rFonts w:eastAsia="Times New Roman" w:cs="Segoe UI"/>
                <w:sz w:val="16"/>
                <w:szCs w:val="16"/>
                <w:lang w:eastAsia="en-AU"/>
              </w:rPr>
            </w:pPr>
            <w:r w:rsidRPr="00CE60B2">
              <w:rPr>
                <w:rFonts w:eastAsia="Times New Roman" w:cs="Segoe UI"/>
                <w:sz w:val="16"/>
                <w:szCs w:val="16"/>
                <w:lang w:eastAsia="en-AU"/>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5C"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26ABC85D"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26ABC85E"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 </w:t>
            </w:r>
          </w:p>
        </w:tc>
        <w:tc>
          <w:tcPr>
            <w:tcW w:w="993" w:type="dxa"/>
            <w:tcBorders>
              <w:top w:val="nil"/>
              <w:left w:val="nil"/>
              <w:bottom w:val="single" w:sz="4" w:space="0" w:color="auto"/>
              <w:right w:val="single" w:sz="8" w:space="0" w:color="auto"/>
            </w:tcBorders>
            <w:shd w:val="clear" w:color="auto" w:fill="auto"/>
            <w:noWrap/>
            <w:vAlign w:val="bottom"/>
            <w:hideMark/>
          </w:tcPr>
          <w:p w14:paraId="26ABC85F"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 </w:t>
            </w:r>
          </w:p>
        </w:tc>
        <w:tc>
          <w:tcPr>
            <w:tcW w:w="849" w:type="dxa"/>
            <w:tcBorders>
              <w:top w:val="nil"/>
              <w:left w:val="nil"/>
              <w:bottom w:val="single" w:sz="4" w:space="0" w:color="auto"/>
              <w:right w:val="single" w:sz="4" w:space="0" w:color="auto"/>
            </w:tcBorders>
            <w:shd w:val="clear" w:color="auto" w:fill="auto"/>
            <w:noWrap/>
            <w:vAlign w:val="bottom"/>
            <w:hideMark/>
          </w:tcPr>
          <w:p w14:paraId="26ABC86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151</w:t>
            </w:r>
          </w:p>
        </w:tc>
        <w:tc>
          <w:tcPr>
            <w:tcW w:w="826" w:type="dxa"/>
            <w:tcBorders>
              <w:top w:val="nil"/>
              <w:left w:val="nil"/>
              <w:bottom w:val="single" w:sz="4" w:space="0" w:color="auto"/>
              <w:right w:val="single" w:sz="4" w:space="0" w:color="auto"/>
            </w:tcBorders>
            <w:shd w:val="clear" w:color="auto" w:fill="auto"/>
            <w:noWrap/>
            <w:vAlign w:val="bottom"/>
            <w:hideMark/>
          </w:tcPr>
          <w:p w14:paraId="26ABC86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104</w:t>
            </w:r>
          </w:p>
        </w:tc>
        <w:tc>
          <w:tcPr>
            <w:tcW w:w="734" w:type="dxa"/>
            <w:tcBorders>
              <w:top w:val="nil"/>
              <w:left w:val="nil"/>
              <w:bottom w:val="single" w:sz="4" w:space="0" w:color="auto"/>
              <w:right w:val="single" w:sz="4" w:space="0" w:color="auto"/>
            </w:tcBorders>
            <w:shd w:val="clear" w:color="auto" w:fill="auto"/>
            <w:noWrap/>
            <w:vAlign w:val="bottom"/>
            <w:hideMark/>
          </w:tcPr>
          <w:p w14:paraId="26ABC86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68.7</w:t>
            </w:r>
          </w:p>
        </w:tc>
        <w:tc>
          <w:tcPr>
            <w:tcW w:w="993" w:type="dxa"/>
            <w:tcBorders>
              <w:top w:val="nil"/>
              <w:left w:val="nil"/>
              <w:bottom w:val="single" w:sz="4" w:space="0" w:color="auto"/>
              <w:right w:val="single" w:sz="8" w:space="0" w:color="auto"/>
            </w:tcBorders>
            <w:shd w:val="clear" w:color="auto" w:fill="auto"/>
            <w:noWrap/>
            <w:vAlign w:val="bottom"/>
            <w:hideMark/>
          </w:tcPr>
          <w:p w14:paraId="26ABC86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w:t>
            </w:r>
          </w:p>
        </w:tc>
        <w:tc>
          <w:tcPr>
            <w:tcW w:w="849" w:type="dxa"/>
            <w:tcBorders>
              <w:top w:val="nil"/>
              <w:left w:val="nil"/>
              <w:bottom w:val="single" w:sz="4" w:space="0" w:color="auto"/>
              <w:right w:val="single" w:sz="4" w:space="0" w:color="auto"/>
            </w:tcBorders>
            <w:shd w:val="clear" w:color="auto" w:fill="auto"/>
            <w:noWrap/>
            <w:vAlign w:val="bottom"/>
            <w:hideMark/>
          </w:tcPr>
          <w:p w14:paraId="26ABC86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151</w:t>
            </w:r>
          </w:p>
        </w:tc>
        <w:tc>
          <w:tcPr>
            <w:tcW w:w="851" w:type="dxa"/>
            <w:tcBorders>
              <w:top w:val="nil"/>
              <w:left w:val="nil"/>
              <w:bottom w:val="single" w:sz="4" w:space="0" w:color="auto"/>
              <w:right w:val="single" w:sz="4" w:space="0" w:color="auto"/>
            </w:tcBorders>
            <w:shd w:val="clear" w:color="auto" w:fill="auto"/>
            <w:noWrap/>
            <w:vAlign w:val="bottom"/>
            <w:hideMark/>
          </w:tcPr>
          <w:p w14:paraId="26ABC86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144</w:t>
            </w:r>
          </w:p>
        </w:tc>
        <w:tc>
          <w:tcPr>
            <w:tcW w:w="602" w:type="dxa"/>
            <w:tcBorders>
              <w:top w:val="nil"/>
              <w:left w:val="nil"/>
              <w:bottom w:val="single" w:sz="4" w:space="0" w:color="auto"/>
              <w:right w:val="single" w:sz="4" w:space="0" w:color="auto"/>
            </w:tcBorders>
            <w:shd w:val="clear" w:color="auto" w:fill="auto"/>
            <w:noWrap/>
            <w:vAlign w:val="bottom"/>
            <w:hideMark/>
          </w:tcPr>
          <w:p w14:paraId="26ABC86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95.4</w:t>
            </w:r>
          </w:p>
        </w:tc>
        <w:tc>
          <w:tcPr>
            <w:tcW w:w="958" w:type="dxa"/>
            <w:tcBorders>
              <w:top w:val="nil"/>
              <w:left w:val="nil"/>
              <w:bottom w:val="single" w:sz="4" w:space="0" w:color="auto"/>
              <w:right w:val="single" w:sz="8" w:space="0" w:color="auto"/>
            </w:tcBorders>
            <w:shd w:val="clear" w:color="auto" w:fill="auto"/>
            <w:noWrap/>
            <w:vAlign w:val="bottom"/>
            <w:hideMark/>
          </w:tcPr>
          <w:p w14:paraId="26ABC86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w:t>
            </w:r>
          </w:p>
        </w:tc>
      </w:tr>
      <w:tr w:rsidR="006554DE" w:rsidRPr="00CE60B2" w14:paraId="26ABC87A"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69"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Blackwood</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6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48,516</w:t>
            </w:r>
          </w:p>
        </w:tc>
        <w:tc>
          <w:tcPr>
            <w:tcW w:w="850" w:type="dxa"/>
            <w:tcBorders>
              <w:top w:val="nil"/>
              <w:left w:val="nil"/>
              <w:bottom w:val="single" w:sz="4" w:space="0" w:color="auto"/>
              <w:right w:val="single" w:sz="4" w:space="0" w:color="auto"/>
            </w:tcBorders>
            <w:shd w:val="clear" w:color="auto" w:fill="auto"/>
            <w:noWrap/>
            <w:vAlign w:val="bottom"/>
            <w:hideMark/>
          </w:tcPr>
          <w:p w14:paraId="26ABC86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29,093</w:t>
            </w:r>
          </w:p>
        </w:tc>
        <w:tc>
          <w:tcPr>
            <w:tcW w:w="709" w:type="dxa"/>
            <w:tcBorders>
              <w:top w:val="nil"/>
              <w:left w:val="nil"/>
              <w:bottom w:val="single" w:sz="4" w:space="0" w:color="auto"/>
              <w:right w:val="single" w:sz="4" w:space="0" w:color="auto"/>
            </w:tcBorders>
            <w:shd w:val="clear" w:color="auto" w:fill="auto"/>
            <w:noWrap/>
            <w:vAlign w:val="bottom"/>
            <w:hideMark/>
          </w:tcPr>
          <w:p w14:paraId="26ABC86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60.0</w:t>
            </w:r>
          </w:p>
        </w:tc>
        <w:tc>
          <w:tcPr>
            <w:tcW w:w="992" w:type="dxa"/>
            <w:tcBorders>
              <w:top w:val="nil"/>
              <w:left w:val="nil"/>
              <w:bottom w:val="single" w:sz="4" w:space="0" w:color="auto"/>
              <w:right w:val="single" w:sz="8" w:space="0" w:color="auto"/>
            </w:tcBorders>
            <w:shd w:val="clear" w:color="auto" w:fill="auto"/>
            <w:noWrap/>
            <w:vAlign w:val="bottom"/>
            <w:hideMark/>
          </w:tcPr>
          <w:p w14:paraId="26ABC86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1,405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6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45,523</w:t>
            </w:r>
          </w:p>
        </w:tc>
        <w:tc>
          <w:tcPr>
            <w:tcW w:w="851" w:type="dxa"/>
            <w:tcBorders>
              <w:top w:val="nil"/>
              <w:left w:val="nil"/>
              <w:bottom w:val="single" w:sz="4" w:space="0" w:color="auto"/>
              <w:right w:val="single" w:sz="4" w:space="0" w:color="auto"/>
            </w:tcBorders>
            <w:shd w:val="clear" w:color="auto" w:fill="auto"/>
            <w:noWrap/>
            <w:vAlign w:val="bottom"/>
            <w:hideMark/>
          </w:tcPr>
          <w:p w14:paraId="26ABC86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43,667</w:t>
            </w:r>
          </w:p>
        </w:tc>
        <w:tc>
          <w:tcPr>
            <w:tcW w:w="708" w:type="dxa"/>
            <w:tcBorders>
              <w:top w:val="nil"/>
              <w:left w:val="nil"/>
              <w:bottom w:val="single" w:sz="4" w:space="0" w:color="auto"/>
              <w:right w:val="single" w:sz="4" w:space="0" w:color="auto"/>
            </w:tcBorders>
            <w:shd w:val="clear" w:color="auto" w:fill="auto"/>
            <w:noWrap/>
            <w:vAlign w:val="bottom"/>
            <w:hideMark/>
          </w:tcPr>
          <w:p w14:paraId="26ABC87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96</w:t>
            </w:r>
          </w:p>
        </w:tc>
        <w:tc>
          <w:tcPr>
            <w:tcW w:w="993" w:type="dxa"/>
            <w:tcBorders>
              <w:top w:val="nil"/>
              <w:left w:val="nil"/>
              <w:bottom w:val="single" w:sz="4" w:space="0" w:color="auto"/>
              <w:right w:val="single" w:sz="8" w:space="0" w:color="auto"/>
            </w:tcBorders>
            <w:shd w:val="clear" w:color="auto" w:fill="auto"/>
            <w:noWrap/>
            <w:vAlign w:val="bottom"/>
            <w:hideMark/>
          </w:tcPr>
          <w:p w14:paraId="26ABC87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1,825</w:t>
            </w:r>
          </w:p>
        </w:tc>
        <w:tc>
          <w:tcPr>
            <w:tcW w:w="849" w:type="dxa"/>
            <w:tcBorders>
              <w:top w:val="nil"/>
              <w:left w:val="nil"/>
              <w:bottom w:val="single" w:sz="4" w:space="0" w:color="auto"/>
              <w:right w:val="single" w:sz="4" w:space="0" w:color="auto"/>
            </w:tcBorders>
            <w:shd w:val="clear" w:color="auto" w:fill="auto"/>
            <w:noWrap/>
            <w:vAlign w:val="bottom"/>
            <w:hideMark/>
          </w:tcPr>
          <w:p w14:paraId="26ABC87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45,464</w:t>
            </w:r>
          </w:p>
        </w:tc>
        <w:tc>
          <w:tcPr>
            <w:tcW w:w="826" w:type="dxa"/>
            <w:tcBorders>
              <w:top w:val="nil"/>
              <w:left w:val="nil"/>
              <w:bottom w:val="single" w:sz="4" w:space="0" w:color="auto"/>
              <w:right w:val="single" w:sz="4" w:space="0" w:color="auto"/>
            </w:tcBorders>
            <w:shd w:val="clear" w:color="auto" w:fill="auto"/>
            <w:noWrap/>
            <w:vAlign w:val="bottom"/>
            <w:hideMark/>
          </w:tcPr>
          <w:p w14:paraId="26ABC87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43,392</w:t>
            </w:r>
          </w:p>
        </w:tc>
        <w:tc>
          <w:tcPr>
            <w:tcW w:w="734" w:type="dxa"/>
            <w:tcBorders>
              <w:top w:val="nil"/>
              <w:left w:val="nil"/>
              <w:bottom w:val="single" w:sz="4" w:space="0" w:color="auto"/>
              <w:right w:val="single" w:sz="4" w:space="0" w:color="auto"/>
            </w:tcBorders>
            <w:shd w:val="clear" w:color="auto" w:fill="auto"/>
            <w:noWrap/>
            <w:vAlign w:val="bottom"/>
            <w:hideMark/>
          </w:tcPr>
          <w:p w14:paraId="26ABC87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95.4</w:t>
            </w:r>
          </w:p>
        </w:tc>
        <w:tc>
          <w:tcPr>
            <w:tcW w:w="993" w:type="dxa"/>
            <w:tcBorders>
              <w:top w:val="nil"/>
              <w:left w:val="nil"/>
              <w:bottom w:val="single" w:sz="4" w:space="0" w:color="auto"/>
              <w:right w:val="single" w:sz="8" w:space="0" w:color="auto"/>
            </w:tcBorders>
            <w:shd w:val="clear" w:color="auto" w:fill="auto"/>
            <w:noWrap/>
            <w:vAlign w:val="bottom"/>
            <w:hideMark/>
          </w:tcPr>
          <w:p w14:paraId="26ABC87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2,061</w:t>
            </w:r>
          </w:p>
        </w:tc>
        <w:tc>
          <w:tcPr>
            <w:tcW w:w="849" w:type="dxa"/>
            <w:tcBorders>
              <w:top w:val="nil"/>
              <w:left w:val="nil"/>
              <w:bottom w:val="single" w:sz="4" w:space="0" w:color="auto"/>
              <w:right w:val="single" w:sz="4" w:space="0" w:color="auto"/>
            </w:tcBorders>
            <w:shd w:val="clear" w:color="auto" w:fill="auto"/>
            <w:noWrap/>
            <w:vAlign w:val="bottom"/>
            <w:hideMark/>
          </w:tcPr>
          <w:p w14:paraId="26ABC87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45,419</w:t>
            </w:r>
          </w:p>
        </w:tc>
        <w:tc>
          <w:tcPr>
            <w:tcW w:w="851" w:type="dxa"/>
            <w:tcBorders>
              <w:top w:val="nil"/>
              <w:left w:val="nil"/>
              <w:bottom w:val="single" w:sz="4" w:space="0" w:color="auto"/>
              <w:right w:val="single" w:sz="4" w:space="0" w:color="auto"/>
            </w:tcBorders>
            <w:shd w:val="clear" w:color="auto" w:fill="auto"/>
            <w:noWrap/>
            <w:vAlign w:val="bottom"/>
            <w:hideMark/>
          </w:tcPr>
          <w:p w14:paraId="26ABC87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43,230</w:t>
            </w:r>
          </w:p>
        </w:tc>
        <w:tc>
          <w:tcPr>
            <w:tcW w:w="602" w:type="dxa"/>
            <w:tcBorders>
              <w:top w:val="nil"/>
              <w:left w:val="nil"/>
              <w:bottom w:val="single" w:sz="4" w:space="0" w:color="auto"/>
              <w:right w:val="single" w:sz="4" w:space="0" w:color="auto"/>
            </w:tcBorders>
            <w:shd w:val="clear" w:color="auto" w:fill="auto"/>
            <w:noWrap/>
            <w:vAlign w:val="bottom"/>
            <w:hideMark/>
          </w:tcPr>
          <w:p w14:paraId="26ABC87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95.2</w:t>
            </w:r>
          </w:p>
        </w:tc>
        <w:tc>
          <w:tcPr>
            <w:tcW w:w="958" w:type="dxa"/>
            <w:tcBorders>
              <w:top w:val="nil"/>
              <w:left w:val="nil"/>
              <w:bottom w:val="single" w:sz="4" w:space="0" w:color="auto"/>
              <w:right w:val="single" w:sz="8" w:space="0" w:color="auto"/>
            </w:tcBorders>
            <w:shd w:val="clear" w:color="auto" w:fill="auto"/>
            <w:noWrap/>
            <w:vAlign w:val="bottom"/>
            <w:hideMark/>
          </w:tcPr>
          <w:p w14:paraId="26ABC87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2,177</w:t>
            </w:r>
          </w:p>
        </w:tc>
      </w:tr>
      <w:tr w:rsidR="006554DE" w:rsidRPr="00CE60B2" w14:paraId="26ABC88C"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7B"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Leeuwin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7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477</w:t>
            </w:r>
          </w:p>
        </w:tc>
        <w:tc>
          <w:tcPr>
            <w:tcW w:w="850" w:type="dxa"/>
            <w:tcBorders>
              <w:top w:val="nil"/>
              <w:left w:val="nil"/>
              <w:bottom w:val="single" w:sz="4" w:space="0" w:color="auto"/>
              <w:right w:val="single" w:sz="4" w:space="0" w:color="auto"/>
            </w:tcBorders>
            <w:shd w:val="clear" w:color="auto" w:fill="auto"/>
            <w:noWrap/>
            <w:vAlign w:val="bottom"/>
            <w:hideMark/>
          </w:tcPr>
          <w:p w14:paraId="26ABC87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477</w:t>
            </w:r>
          </w:p>
        </w:tc>
        <w:tc>
          <w:tcPr>
            <w:tcW w:w="709" w:type="dxa"/>
            <w:tcBorders>
              <w:top w:val="nil"/>
              <w:left w:val="nil"/>
              <w:bottom w:val="single" w:sz="4" w:space="0" w:color="auto"/>
              <w:right w:val="single" w:sz="4" w:space="0" w:color="auto"/>
            </w:tcBorders>
            <w:shd w:val="clear" w:color="auto" w:fill="auto"/>
            <w:noWrap/>
            <w:vAlign w:val="bottom"/>
            <w:hideMark/>
          </w:tcPr>
          <w:p w14:paraId="26ABC87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2" w:type="dxa"/>
            <w:tcBorders>
              <w:top w:val="nil"/>
              <w:left w:val="nil"/>
              <w:bottom w:val="single" w:sz="4" w:space="0" w:color="auto"/>
              <w:right w:val="single" w:sz="8" w:space="0" w:color="auto"/>
            </w:tcBorders>
            <w:shd w:val="clear" w:color="auto" w:fill="auto"/>
            <w:noWrap/>
            <w:vAlign w:val="bottom"/>
            <w:hideMark/>
          </w:tcPr>
          <w:p w14:paraId="26ABC87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8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489</w:t>
            </w:r>
          </w:p>
        </w:tc>
        <w:tc>
          <w:tcPr>
            <w:tcW w:w="851" w:type="dxa"/>
            <w:tcBorders>
              <w:top w:val="nil"/>
              <w:left w:val="nil"/>
              <w:bottom w:val="single" w:sz="4" w:space="0" w:color="auto"/>
              <w:right w:val="single" w:sz="4" w:space="0" w:color="auto"/>
            </w:tcBorders>
            <w:shd w:val="clear" w:color="auto" w:fill="auto"/>
            <w:noWrap/>
            <w:vAlign w:val="bottom"/>
            <w:hideMark/>
          </w:tcPr>
          <w:p w14:paraId="26ABC88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489</w:t>
            </w:r>
          </w:p>
        </w:tc>
        <w:tc>
          <w:tcPr>
            <w:tcW w:w="708" w:type="dxa"/>
            <w:tcBorders>
              <w:top w:val="nil"/>
              <w:left w:val="nil"/>
              <w:bottom w:val="single" w:sz="4" w:space="0" w:color="auto"/>
              <w:right w:val="single" w:sz="4" w:space="0" w:color="auto"/>
            </w:tcBorders>
            <w:shd w:val="clear" w:color="auto" w:fill="auto"/>
            <w:noWrap/>
            <w:vAlign w:val="bottom"/>
            <w:hideMark/>
          </w:tcPr>
          <w:p w14:paraId="26ABC88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w:t>
            </w:r>
          </w:p>
        </w:tc>
        <w:tc>
          <w:tcPr>
            <w:tcW w:w="993" w:type="dxa"/>
            <w:tcBorders>
              <w:top w:val="nil"/>
              <w:left w:val="nil"/>
              <w:bottom w:val="single" w:sz="4" w:space="0" w:color="auto"/>
              <w:right w:val="single" w:sz="8" w:space="0" w:color="auto"/>
            </w:tcBorders>
            <w:shd w:val="clear" w:color="auto" w:fill="auto"/>
            <w:noWrap/>
            <w:vAlign w:val="bottom"/>
            <w:hideMark/>
          </w:tcPr>
          <w:p w14:paraId="26ABC88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88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484</w:t>
            </w:r>
          </w:p>
        </w:tc>
        <w:tc>
          <w:tcPr>
            <w:tcW w:w="826" w:type="dxa"/>
            <w:tcBorders>
              <w:top w:val="nil"/>
              <w:left w:val="nil"/>
              <w:bottom w:val="single" w:sz="4" w:space="0" w:color="auto"/>
              <w:right w:val="single" w:sz="4" w:space="0" w:color="auto"/>
            </w:tcBorders>
            <w:shd w:val="clear" w:color="auto" w:fill="auto"/>
            <w:noWrap/>
            <w:vAlign w:val="bottom"/>
            <w:hideMark/>
          </w:tcPr>
          <w:p w14:paraId="26ABC88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484</w:t>
            </w:r>
          </w:p>
        </w:tc>
        <w:tc>
          <w:tcPr>
            <w:tcW w:w="734" w:type="dxa"/>
            <w:tcBorders>
              <w:top w:val="nil"/>
              <w:left w:val="nil"/>
              <w:bottom w:val="single" w:sz="4" w:space="0" w:color="auto"/>
              <w:right w:val="single" w:sz="4" w:space="0" w:color="auto"/>
            </w:tcBorders>
            <w:shd w:val="clear" w:color="auto" w:fill="auto"/>
            <w:noWrap/>
            <w:vAlign w:val="bottom"/>
            <w:hideMark/>
          </w:tcPr>
          <w:p w14:paraId="26ABC88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3" w:type="dxa"/>
            <w:tcBorders>
              <w:top w:val="nil"/>
              <w:left w:val="nil"/>
              <w:bottom w:val="single" w:sz="4" w:space="0" w:color="auto"/>
              <w:right w:val="single" w:sz="8" w:space="0" w:color="auto"/>
            </w:tcBorders>
            <w:shd w:val="clear" w:color="auto" w:fill="auto"/>
            <w:noWrap/>
            <w:vAlign w:val="bottom"/>
            <w:hideMark/>
          </w:tcPr>
          <w:p w14:paraId="26ABC88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88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481</w:t>
            </w:r>
          </w:p>
        </w:tc>
        <w:tc>
          <w:tcPr>
            <w:tcW w:w="851" w:type="dxa"/>
            <w:tcBorders>
              <w:top w:val="nil"/>
              <w:left w:val="nil"/>
              <w:bottom w:val="single" w:sz="4" w:space="0" w:color="auto"/>
              <w:right w:val="single" w:sz="4" w:space="0" w:color="auto"/>
            </w:tcBorders>
            <w:shd w:val="clear" w:color="auto" w:fill="auto"/>
            <w:noWrap/>
            <w:vAlign w:val="bottom"/>
            <w:hideMark/>
          </w:tcPr>
          <w:p w14:paraId="26ABC88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481</w:t>
            </w:r>
          </w:p>
        </w:tc>
        <w:tc>
          <w:tcPr>
            <w:tcW w:w="602" w:type="dxa"/>
            <w:tcBorders>
              <w:top w:val="nil"/>
              <w:left w:val="nil"/>
              <w:bottom w:val="single" w:sz="4" w:space="0" w:color="auto"/>
              <w:right w:val="single" w:sz="4" w:space="0" w:color="auto"/>
            </w:tcBorders>
            <w:shd w:val="clear" w:color="auto" w:fill="auto"/>
            <w:noWrap/>
            <w:vAlign w:val="bottom"/>
            <w:hideMark/>
          </w:tcPr>
          <w:p w14:paraId="26ABC88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58" w:type="dxa"/>
            <w:tcBorders>
              <w:top w:val="nil"/>
              <w:left w:val="nil"/>
              <w:bottom w:val="single" w:sz="4" w:space="0" w:color="auto"/>
              <w:right w:val="single" w:sz="8" w:space="0" w:color="auto"/>
            </w:tcBorders>
            <w:shd w:val="clear" w:color="auto" w:fill="auto"/>
            <w:noWrap/>
            <w:vAlign w:val="bottom"/>
            <w:hideMark/>
          </w:tcPr>
          <w:p w14:paraId="26ABC88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r>
      <w:tr w:rsidR="006554DE" w:rsidRPr="00CE60B2" w14:paraId="26ABC89E"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8D"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Mt Lindesay</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8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14,005</w:t>
            </w:r>
          </w:p>
        </w:tc>
        <w:tc>
          <w:tcPr>
            <w:tcW w:w="850" w:type="dxa"/>
            <w:tcBorders>
              <w:top w:val="nil"/>
              <w:left w:val="nil"/>
              <w:bottom w:val="single" w:sz="4" w:space="0" w:color="auto"/>
              <w:right w:val="single" w:sz="4" w:space="0" w:color="auto"/>
            </w:tcBorders>
            <w:shd w:val="clear" w:color="auto" w:fill="auto"/>
            <w:noWrap/>
            <w:vAlign w:val="bottom"/>
            <w:hideMark/>
          </w:tcPr>
          <w:p w14:paraId="26ABC88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11,123</w:t>
            </w:r>
          </w:p>
        </w:tc>
        <w:tc>
          <w:tcPr>
            <w:tcW w:w="709" w:type="dxa"/>
            <w:tcBorders>
              <w:top w:val="nil"/>
              <w:left w:val="nil"/>
              <w:bottom w:val="single" w:sz="4" w:space="0" w:color="auto"/>
              <w:right w:val="single" w:sz="4" w:space="0" w:color="auto"/>
            </w:tcBorders>
            <w:shd w:val="clear" w:color="auto" w:fill="auto"/>
            <w:noWrap/>
            <w:vAlign w:val="bottom"/>
            <w:hideMark/>
          </w:tcPr>
          <w:p w14:paraId="26ABC89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79.4</w:t>
            </w:r>
          </w:p>
        </w:tc>
        <w:tc>
          <w:tcPr>
            <w:tcW w:w="992" w:type="dxa"/>
            <w:tcBorders>
              <w:top w:val="nil"/>
              <w:left w:val="nil"/>
              <w:bottom w:val="single" w:sz="4" w:space="0" w:color="auto"/>
              <w:right w:val="single" w:sz="8" w:space="0" w:color="auto"/>
            </w:tcBorders>
            <w:shd w:val="clear" w:color="auto" w:fill="auto"/>
            <w:noWrap/>
            <w:vAlign w:val="bottom"/>
            <w:hideMark/>
          </w:tcPr>
          <w:p w14:paraId="26ABC89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9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12,456</w:t>
            </w:r>
          </w:p>
        </w:tc>
        <w:tc>
          <w:tcPr>
            <w:tcW w:w="851" w:type="dxa"/>
            <w:tcBorders>
              <w:top w:val="nil"/>
              <w:left w:val="nil"/>
              <w:bottom w:val="single" w:sz="4" w:space="0" w:color="auto"/>
              <w:right w:val="single" w:sz="4" w:space="0" w:color="auto"/>
            </w:tcBorders>
            <w:shd w:val="clear" w:color="auto" w:fill="auto"/>
            <w:noWrap/>
            <w:vAlign w:val="bottom"/>
            <w:hideMark/>
          </w:tcPr>
          <w:p w14:paraId="26ABC89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12,145</w:t>
            </w:r>
          </w:p>
        </w:tc>
        <w:tc>
          <w:tcPr>
            <w:tcW w:w="708" w:type="dxa"/>
            <w:tcBorders>
              <w:top w:val="nil"/>
              <w:left w:val="nil"/>
              <w:bottom w:val="single" w:sz="4" w:space="0" w:color="auto"/>
              <w:right w:val="single" w:sz="4" w:space="0" w:color="auto"/>
            </w:tcBorders>
            <w:shd w:val="clear" w:color="auto" w:fill="auto"/>
            <w:noWrap/>
            <w:vAlign w:val="bottom"/>
            <w:hideMark/>
          </w:tcPr>
          <w:p w14:paraId="26ABC89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98</w:t>
            </w:r>
          </w:p>
        </w:tc>
        <w:tc>
          <w:tcPr>
            <w:tcW w:w="993" w:type="dxa"/>
            <w:tcBorders>
              <w:top w:val="nil"/>
              <w:left w:val="nil"/>
              <w:bottom w:val="single" w:sz="4" w:space="0" w:color="auto"/>
              <w:right w:val="single" w:sz="8" w:space="0" w:color="auto"/>
            </w:tcBorders>
            <w:shd w:val="clear" w:color="auto" w:fill="auto"/>
            <w:noWrap/>
            <w:vAlign w:val="bottom"/>
            <w:hideMark/>
          </w:tcPr>
          <w:p w14:paraId="26ABC89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27</w:t>
            </w:r>
          </w:p>
        </w:tc>
        <w:tc>
          <w:tcPr>
            <w:tcW w:w="849" w:type="dxa"/>
            <w:tcBorders>
              <w:top w:val="nil"/>
              <w:left w:val="nil"/>
              <w:bottom w:val="single" w:sz="4" w:space="0" w:color="auto"/>
              <w:right w:val="single" w:sz="4" w:space="0" w:color="auto"/>
            </w:tcBorders>
            <w:shd w:val="clear" w:color="auto" w:fill="auto"/>
            <w:noWrap/>
            <w:vAlign w:val="bottom"/>
            <w:hideMark/>
          </w:tcPr>
          <w:p w14:paraId="26ABC89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12,464</w:t>
            </w:r>
          </w:p>
        </w:tc>
        <w:tc>
          <w:tcPr>
            <w:tcW w:w="826" w:type="dxa"/>
            <w:tcBorders>
              <w:top w:val="nil"/>
              <w:left w:val="nil"/>
              <w:bottom w:val="single" w:sz="4" w:space="0" w:color="auto"/>
              <w:right w:val="single" w:sz="4" w:space="0" w:color="auto"/>
            </w:tcBorders>
            <w:shd w:val="clear" w:color="auto" w:fill="auto"/>
            <w:noWrap/>
            <w:vAlign w:val="bottom"/>
            <w:hideMark/>
          </w:tcPr>
          <w:p w14:paraId="26ABC89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12,164</w:t>
            </w:r>
          </w:p>
        </w:tc>
        <w:tc>
          <w:tcPr>
            <w:tcW w:w="734" w:type="dxa"/>
            <w:tcBorders>
              <w:top w:val="nil"/>
              <w:left w:val="nil"/>
              <w:bottom w:val="single" w:sz="4" w:space="0" w:color="auto"/>
              <w:right w:val="single" w:sz="4" w:space="0" w:color="auto"/>
            </w:tcBorders>
            <w:shd w:val="clear" w:color="auto" w:fill="auto"/>
            <w:noWrap/>
            <w:vAlign w:val="bottom"/>
            <w:hideMark/>
          </w:tcPr>
          <w:p w14:paraId="26ABC89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97.6</w:t>
            </w:r>
          </w:p>
        </w:tc>
        <w:tc>
          <w:tcPr>
            <w:tcW w:w="993" w:type="dxa"/>
            <w:tcBorders>
              <w:top w:val="nil"/>
              <w:left w:val="nil"/>
              <w:bottom w:val="single" w:sz="4" w:space="0" w:color="auto"/>
              <w:right w:val="single" w:sz="8" w:space="0" w:color="auto"/>
            </w:tcBorders>
            <w:shd w:val="clear" w:color="auto" w:fill="auto"/>
            <w:noWrap/>
            <w:vAlign w:val="bottom"/>
            <w:hideMark/>
          </w:tcPr>
          <w:p w14:paraId="26ABC89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300</w:t>
            </w:r>
          </w:p>
        </w:tc>
        <w:tc>
          <w:tcPr>
            <w:tcW w:w="849" w:type="dxa"/>
            <w:tcBorders>
              <w:top w:val="nil"/>
              <w:left w:val="nil"/>
              <w:bottom w:val="single" w:sz="4" w:space="0" w:color="auto"/>
              <w:right w:val="single" w:sz="4" w:space="0" w:color="auto"/>
            </w:tcBorders>
            <w:shd w:val="clear" w:color="auto" w:fill="auto"/>
            <w:noWrap/>
            <w:vAlign w:val="bottom"/>
            <w:hideMark/>
          </w:tcPr>
          <w:p w14:paraId="26ABC89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12,472</w:t>
            </w:r>
          </w:p>
        </w:tc>
        <w:tc>
          <w:tcPr>
            <w:tcW w:w="851" w:type="dxa"/>
            <w:tcBorders>
              <w:top w:val="nil"/>
              <w:left w:val="nil"/>
              <w:bottom w:val="single" w:sz="4" w:space="0" w:color="auto"/>
              <w:right w:val="single" w:sz="4" w:space="0" w:color="auto"/>
            </w:tcBorders>
            <w:shd w:val="clear" w:color="auto" w:fill="auto"/>
            <w:noWrap/>
            <w:vAlign w:val="bottom"/>
            <w:hideMark/>
          </w:tcPr>
          <w:p w14:paraId="26ABC89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12,168</w:t>
            </w:r>
          </w:p>
        </w:tc>
        <w:tc>
          <w:tcPr>
            <w:tcW w:w="602" w:type="dxa"/>
            <w:tcBorders>
              <w:top w:val="nil"/>
              <w:left w:val="nil"/>
              <w:bottom w:val="single" w:sz="4" w:space="0" w:color="auto"/>
              <w:right w:val="single" w:sz="4" w:space="0" w:color="auto"/>
            </w:tcBorders>
            <w:shd w:val="clear" w:color="auto" w:fill="auto"/>
            <w:noWrap/>
            <w:vAlign w:val="bottom"/>
            <w:hideMark/>
          </w:tcPr>
          <w:p w14:paraId="26ABC89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97.6</w:t>
            </w:r>
          </w:p>
        </w:tc>
        <w:tc>
          <w:tcPr>
            <w:tcW w:w="958" w:type="dxa"/>
            <w:tcBorders>
              <w:top w:val="nil"/>
              <w:left w:val="nil"/>
              <w:bottom w:val="single" w:sz="4" w:space="0" w:color="auto"/>
              <w:right w:val="single" w:sz="8" w:space="0" w:color="auto"/>
            </w:tcBorders>
            <w:shd w:val="clear" w:color="auto" w:fill="auto"/>
            <w:noWrap/>
            <w:vAlign w:val="bottom"/>
            <w:hideMark/>
          </w:tcPr>
          <w:p w14:paraId="26ABC89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304</w:t>
            </w:r>
          </w:p>
        </w:tc>
      </w:tr>
      <w:tr w:rsidR="006554DE" w:rsidRPr="00CE60B2" w14:paraId="26ABC8B0"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9F"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North East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A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11,504</w:t>
            </w:r>
          </w:p>
        </w:tc>
        <w:tc>
          <w:tcPr>
            <w:tcW w:w="850" w:type="dxa"/>
            <w:tcBorders>
              <w:top w:val="nil"/>
              <w:left w:val="nil"/>
              <w:bottom w:val="single" w:sz="4" w:space="0" w:color="auto"/>
              <w:right w:val="single" w:sz="4" w:space="0" w:color="auto"/>
            </w:tcBorders>
            <w:shd w:val="clear" w:color="auto" w:fill="auto"/>
            <w:noWrap/>
            <w:vAlign w:val="bottom"/>
            <w:hideMark/>
          </w:tcPr>
          <w:p w14:paraId="26ABC8A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9,847</w:t>
            </w:r>
          </w:p>
        </w:tc>
        <w:tc>
          <w:tcPr>
            <w:tcW w:w="709" w:type="dxa"/>
            <w:tcBorders>
              <w:top w:val="nil"/>
              <w:left w:val="nil"/>
              <w:bottom w:val="single" w:sz="4" w:space="0" w:color="auto"/>
              <w:right w:val="single" w:sz="4" w:space="0" w:color="auto"/>
            </w:tcBorders>
            <w:shd w:val="clear" w:color="auto" w:fill="auto"/>
            <w:noWrap/>
            <w:vAlign w:val="bottom"/>
            <w:hideMark/>
          </w:tcPr>
          <w:p w14:paraId="26ABC8A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85.6</w:t>
            </w:r>
          </w:p>
        </w:tc>
        <w:tc>
          <w:tcPr>
            <w:tcW w:w="992" w:type="dxa"/>
            <w:tcBorders>
              <w:top w:val="nil"/>
              <w:left w:val="nil"/>
              <w:bottom w:val="single" w:sz="4" w:space="0" w:color="auto"/>
              <w:right w:val="single" w:sz="8" w:space="0" w:color="auto"/>
            </w:tcBorders>
            <w:shd w:val="clear" w:color="auto" w:fill="auto"/>
            <w:noWrap/>
            <w:vAlign w:val="bottom"/>
            <w:hideMark/>
          </w:tcPr>
          <w:p w14:paraId="26ABC8A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A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12,897</w:t>
            </w:r>
          </w:p>
        </w:tc>
        <w:tc>
          <w:tcPr>
            <w:tcW w:w="851" w:type="dxa"/>
            <w:tcBorders>
              <w:top w:val="nil"/>
              <w:left w:val="nil"/>
              <w:bottom w:val="single" w:sz="4" w:space="0" w:color="auto"/>
              <w:right w:val="single" w:sz="4" w:space="0" w:color="auto"/>
            </w:tcBorders>
            <w:shd w:val="clear" w:color="auto" w:fill="auto"/>
            <w:noWrap/>
            <w:vAlign w:val="bottom"/>
            <w:hideMark/>
          </w:tcPr>
          <w:p w14:paraId="26ABC8A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11,854</w:t>
            </w:r>
          </w:p>
        </w:tc>
        <w:tc>
          <w:tcPr>
            <w:tcW w:w="708" w:type="dxa"/>
            <w:tcBorders>
              <w:top w:val="nil"/>
              <w:left w:val="nil"/>
              <w:bottom w:val="single" w:sz="4" w:space="0" w:color="auto"/>
              <w:right w:val="single" w:sz="4" w:space="0" w:color="auto"/>
            </w:tcBorders>
            <w:shd w:val="clear" w:color="auto" w:fill="auto"/>
            <w:noWrap/>
            <w:vAlign w:val="bottom"/>
            <w:hideMark/>
          </w:tcPr>
          <w:p w14:paraId="26ABC8A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92</w:t>
            </w:r>
          </w:p>
        </w:tc>
        <w:tc>
          <w:tcPr>
            <w:tcW w:w="993" w:type="dxa"/>
            <w:tcBorders>
              <w:top w:val="nil"/>
              <w:left w:val="nil"/>
              <w:bottom w:val="single" w:sz="4" w:space="0" w:color="auto"/>
              <w:right w:val="single" w:sz="8" w:space="0" w:color="auto"/>
            </w:tcBorders>
            <w:shd w:val="clear" w:color="auto" w:fill="auto"/>
            <w:noWrap/>
            <w:vAlign w:val="bottom"/>
            <w:hideMark/>
          </w:tcPr>
          <w:p w14:paraId="26ABC8A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1,042</w:t>
            </w:r>
          </w:p>
        </w:tc>
        <w:tc>
          <w:tcPr>
            <w:tcW w:w="849" w:type="dxa"/>
            <w:tcBorders>
              <w:top w:val="nil"/>
              <w:left w:val="nil"/>
              <w:bottom w:val="single" w:sz="4" w:space="0" w:color="auto"/>
              <w:right w:val="single" w:sz="4" w:space="0" w:color="auto"/>
            </w:tcBorders>
            <w:shd w:val="clear" w:color="auto" w:fill="auto"/>
            <w:noWrap/>
            <w:vAlign w:val="bottom"/>
            <w:hideMark/>
          </w:tcPr>
          <w:p w14:paraId="26ABC8A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13,217</w:t>
            </w:r>
          </w:p>
        </w:tc>
        <w:tc>
          <w:tcPr>
            <w:tcW w:w="826" w:type="dxa"/>
            <w:tcBorders>
              <w:top w:val="nil"/>
              <w:left w:val="nil"/>
              <w:bottom w:val="single" w:sz="4" w:space="0" w:color="auto"/>
              <w:right w:val="single" w:sz="4" w:space="0" w:color="auto"/>
            </w:tcBorders>
            <w:shd w:val="clear" w:color="auto" w:fill="auto"/>
            <w:noWrap/>
            <w:vAlign w:val="bottom"/>
            <w:hideMark/>
          </w:tcPr>
          <w:p w14:paraId="26ABC8A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11,917</w:t>
            </w:r>
          </w:p>
        </w:tc>
        <w:tc>
          <w:tcPr>
            <w:tcW w:w="734" w:type="dxa"/>
            <w:tcBorders>
              <w:top w:val="nil"/>
              <w:left w:val="nil"/>
              <w:bottom w:val="single" w:sz="4" w:space="0" w:color="auto"/>
              <w:right w:val="single" w:sz="4" w:space="0" w:color="auto"/>
            </w:tcBorders>
            <w:shd w:val="clear" w:color="auto" w:fill="auto"/>
            <w:noWrap/>
            <w:vAlign w:val="bottom"/>
            <w:hideMark/>
          </w:tcPr>
          <w:p w14:paraId="26ABC8A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90.2</w:t>
            </w:r>
          </w:p>
        </w:tc>
        <w:tc>
          <w:tcPr>
            <w:tcW w:w="993" w:type="dxa"/>
            <w:tcBorders>
              <w:top w:val="nil"/>
              <w:left w:val="nil"/>
              <w:bottom w:val="single" w:sz="4" w:space="0" w:color="auto"/>
              <w:right w:val="single" w:sz="8" w:space="0" w:color="auto"/>
            </w:tcBorders>
            <w:shd w:val="clear" w:color="auto" w:fill="auto"/>
            <w:noWrap/>
            <w:vAlign w:val="bottom"/>
            <w:hideMark/>
          </w:tcPr>
          <w:p w14:paraId="26ABC8A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1,264</w:t>
            </w:r>
          </w:p>
        </w:tc>
        <w:tc>
          <w:tcPr>
            <w:tcW w:w="849" w:type="dxa"/>
            <w:tcBorders>
              <w:top w:val="nil"/>
              <w:left w:val="nil"/>
              <w:bottom w:val="single" w:sz="4" w:space="0" w:color="auto"/>
              <w:right w:val="single" w:sz="4" w:space="0" w:color="auto"/>
            </w:tcBorders>
            <w:shd w:val="clear" w:color="auto" w:fill="auto"/>
            <w:noWrap/>
            <w:vAlign w:val="bottom"/>
            <w:hideMark/>
          </w:tcPr>
          <w:p w14:paraId="26ABC8A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13,267</w:t>
            </w:r>
          </w:p>
        </w:tc>
        <w:tc>
          <w:tcPr>
            <w:tcW w:w="851" w:type="dxa"/>
            <w:tcBorders>
              <w:top w:val="nil"/>
              <w:left w:val="nil"/>
              <w:bottom w:val="single" w:sz="4" w:space="0" w:color="auto"/>
              <w:right w:val="single" w:sz="4" w:space="0" w:color="auto"/>
            </w:tcBorders>
            <w:shd w:val="clear" w:color="auto" w:fill="auto"/>
            <w:noWrap/>
            <w:vAlign w:val="bottom"/>
            <w:hideMark/>
          </w:tcPr>
          <w:p w14:paraId="26ABC8A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11,900</w:t>
            </w:r>
          </w:p>
        </w:tc>
        <w:tc>
          <w:tcPr>
            <w:tcW w:w="602" w:type="dxa"/>
            <w:tcBorders>
              <w:top w:val="nil"/>
              <w:left w:val="nil"/>
              <w:bottom w:val="single" w:sz="4" w:space="0" w:color="auto"/>
              <w:right w:val="single" w:sz="4" w:space="0" w:color="auto"/>
            </w:tcBorders>
            <w:shd w:val="clear" w:color="auto" w:fill="auto"/>
            <w:noWrap/>
            <w:vAlign w:val="bottom"/>
            <w:hideMark/>
          </w:tcPr>
          <w:p w14:paraId="26ABC8A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89.7</w:t>
            </w:r>
          </w:p>
        </w:tc>
        <w:tc>
          <w:tcPr>
            <w:tcW w:w="958" w:type="dxa"/>
            <w:tcBorders>
              <w:top w:val="nil"/>
              <w:left w:val="nil"/>
              <w:bottom w:val="single" w:sz="4" w:space="0" w:color="auto"/>
              <w:right w:val="single" w:sz="8" w:space="0" w:color="auto"/>
            </w:tcBorders>
            <w:shd w:val="clear" w:color="auto" w:fill="auto"/>
            <w:noWrap/>
            <w:vAlign w:val="bottom"/>
            <w:hideMark/>
          </w:tcPr>
          <w:p w14:paraId="26ABC8A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1,330</w:t>
            </w:r>
          </w:p>
        </w:tc>
      </w:tr>
      <w:tr w:rsidR="006554DE" w:rsidRPr="00CE60B2" w14:paraId="26ABC8C2"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B1"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North West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B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8,069</w:t>
            </w:r>
          </w:p>
        </w:tc>
        <w:tc>
          <w:tcPr>
            <w:tcW w:w="850" w:type="dxa"/>
            <w:tcBorders>
              <w:top w:val="nil"/>
              <w:left w:val="nil"/>
              <w:bottom w:val="single" w:sz="4" w:space="0" w:color="auto"/>
              <w:right w:val="single" w:sz="4" w:space="0" w:color="auto"/>
            </w:tcBorders>
            <w:shd w:val="clear" w:color="auto" w:fill="auto"/>
            <w:noWrap/>
            <w:vAlign w:val="bottom"/>
            <w:hideMark/>
          </w:tcPr>
          <w:p w14:paraId="26ABC8B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7,887</w:t>
            </w:r>
          </w:p>
        </w:tc>
        <w:tc>
          <w:tcPr>
            <w:tcW w:w="709" w:type="dxa"/>
            <w:tcBorders>
              <w:top w:val="nil"/>
              <w:left w:val="nil"/>
              <w:bottom w:val="single" w:sz="4" w:space="0" w:color="auto"/>
              <w:right w:val="single" w:sz="4" w:space="0" w:color="auto"/>
            </w:tcBorders>
            <w:shd w:val="clear" w:color="auto" w:fill="auto"/>
            <w:noWrap/>
            <w:vAlign w:val="bottom"/>
            <w:hideMark/>
          </w:tcPr>
          <w:p w14:paraId="26ABC8B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97.7</w:t>
            </w:r>
          </w:p>
        </w:tc>
        <w:tc>
          <w:tcPr>
            <w:tcW w:w="992" w:type="dxa"/>
            <w:tcBorders>
              <w:top w:val="nil"/>
              <w:left w:val="nil"/>
              <w:bottom w:val="single" w:sz="4" w:space="0" w:color="auto"/>
              <w:right w:val="single" w:sz="8" w:space="0" w:color="auto"/>
            </w:tcBorders>
            <w:shd w:val="clear" w:color="auto" w:fill="auto"/>
            <w:noWrap/>
            <w:vAlign w:val="bottom"/>
            <w:hideMark/>
          </w:tcPr>
          <w:p w14:paraId="26ABC8B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B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7,927</w:t>
            </w:r>
          </w:p>
        </w:tc>
        <w:tc>
          <w:tcPr>
            <w:tcW w:w="851" w:type="dxa"/>
            <w:tcBorders>
              <w:top w:val="nil"/>
              <w:left w:val="nil"/>
              <w:bottom w:val="single" w:sz="4" w:space="0" w:color="auto"/>
              <w:right w:val="single" w:sz="4" w:space="0" w:color="auto"/>
            </w:tcBorders>
            <w:shd w:val="clear" w:color="auto" w:fill="auto"/>
            <w:noWrap/>
            <w:vAlign w:val="bottom"/>
            <w:hideMark/>
          </w:tcPr>
          <w:p w14:paraId="26ABC8B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7,733</w:t>
            </w:r>
          </w:p>
        </w:tc>
        <w:tc>
          <w:tcPr>
            <w:tcW w:w="708" w:type="dxa"/>
            <w:tcBorders>
              <w:top w:val="nil"/>
              <w:left w:val="nil"/>
              <w:bottom w:val="single" w:sz="4" w:space="0" w:color="auto"/>
              <w:right w:val="single" w:sz="4" w:space="0" w:color="auto"/>
            </w:tcBorders>
            <w:shd w:val="clear" w:color="auto" w:fill="auto"/>
            <w:noWrap/>
            <w:vAlign w:val="bottom"/>
            <w:hideMark/>
          </w:tcPr>
          <w:p w14:paraId="26ABC8B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98</w:t>
            </w:r>
          </w:p>
        </w:tc>
        <w:tc>
          <w:tcPr>
            <w:tcW w:w="993" w:type="dxa"/>
            <w:tcBorders>
              <w:top w:val="nil"/>
              <w:left w:val="nil"/>
              <w:bottom w:val="single" w:sz="4" w:space="0" w:color="auto"/>
              <w:right w:val="single" w:sz="8" w:space="0" w:color="auto"/>
            </w:tcBorders>
            <w:shd w:val="clear" w:color="auto" w:fill="auto"/>
            <w:noWrap/>
            <w:vAlign w:val="bottom"/>
            <w:hideMark/>
          </w:tcPr>
          <w:p w14:paraId="26ABC8B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164</w:t>
            </w:r>
          </w:p>
        </w:tc>
        <w:tc>
          <w:tcPr>
            <w:tcW w:w="849" w:type="dxa"/>
            <w:tcBorders>
              <w:top w:val="nil"/>
              <w:left w:val="nil"/>
              <w:bottom w:val="single" w:sz="4" w:space="0" w:color="auto"/>
              <w:right w:val="single" w:sz="4" w:space="0" w:color="auto"/>
            </w:tcBorders>
            <w:shd w:val="clear" w:color="auto" w:fill="auto"/>
            <w:noWrap/>
            <w:vAlign w:val="bottom"/>
            <w:hideMark/>
          </w:tcPr>
          <w:p w14:paraId="26ABC8B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8,003</w:t>
            </w:r>
          </w:p>
        </w:tc>
        <w:tc>
          <w:tcPr>
            <w:tcW w:w="826" w:type="dxa"/>
            <w:tcBorders>
              <w:top w:val="nil"/>
              <w:left w:val="nil"/>
              <w:bottom w:val="single" w:sz="4" w:space="0" w:color="auto"/>
              <w:right w:val="single" w:sz="4" w:space="0" w:color="auto"/>
            </w:tcBorders>
            <w:shd w:val="clear" w:color="auto" w:fill="auto"/>
            <w:noWrap/>
            <w:vAlign w:val="bottom"/>
            <w:hideMark/>
          </w:tcPr>
          <w:p w14:paraId="26ABC8B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7,729</w:t>
            </w:r>
          </w:p>
        </w:tc>
        <w:tc>
          <w:tcPr>
            <w:tcW w:w="734" w:type="dxa"/>
            <w:tcBorders>
              <w:top w:val="nil"/>
              <w:left w:val="nil"/>
              <w:bottom w:val="single" w:sz="4" w:space="0" w:color="auto"/>
              <w:right w:val="single" w:sz="4" w:space="0" w:color="auto"/>
            </w:tcBorders>
            <w:shd w:val="clear" w:color="auto" w:fill="auto"/>
            <w:noWrap/>
            <w:vAlign w:val="bottom"/>
            <w:hideMark/>
          </w:tcPr>
          <w:p w14:paraId="26ABC8B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96.6</w:t>
            </w:r>
          </w:p>
        </w:tc>
        <w:tc>
          <w:tcPr>
            <w:tcW w:w="993" w:type="dxa"/>
            <w:tcBorders>
              <w:top w:val="nil"/>
              <w:left w:val="nil"/>
              <w:bottom w:val="single" w:sz="4" w:space="0" w:color="auto"/>
              <w:right w:val="single" w:sz="8" w:space="0" w:color="auto"/>
            </w:tcBorders>
            <w:shd w:val="clear" w:color="auto" w:fill="auto"/>
            <w:noWrap/>
            <w:vAlign w:val="bottom"/>
            <w:hideMark/>
          </w:tcPr>
          <w:p w14:paraId="26ABC8B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214</w:t>
            </w:r>
          </w:p>
        </w:tc>
        <w:tc>
          <w:tcPr>
            <w:tcW w:w="849" w:type="dxa"/>
            <w:tcBorders>
              <w:top w:val="nil"/>
              <w:left w:val="nil"/>
              <w:bottom w:val="single" w:sz="4" w:space="0" w:color="auto"/>
              <w:right w:val="single" w:sz="4" w:space="0" w:color="auto"/>
            </w:tcBorders>
            <w:shd w:val="clear" w:color="auto" w:fill="auto"/>
            <w:noWrap/>
            <w:vAlign w:val="bottom"/>
            <w:hideMark/>
          </w:tcPr>
          <w:p w14:paraId="26ABC8B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7,739</w:t>
            </w:r>
          </w:p>
        </w:tc>
        <w:tc>
          <w:tcPr>
            <w:tcW w:w="851" w:type="dxa"/>
            <w:tcBorders>
              <w:top w:val="nil"/>
              <w:left w:val="nil"/>
              <w:bottom w:val="single" w:sz="4" w:space="0" w:color="auto"/>
              <w:right w:val="single" w:sz="4" w:space="0" w:color="auto"/>
            </w:tcBorders>
            <w:shd w:val="clear" w:color="auto" w:fill="auto"/>
            <w:noWrap/>
            <w:vAlign w:val="bottom"/>
            <w:hideMark/>
          </w:tcPr>
          <w:p w14:paraId="26ABC8B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7,438</w:t>
            </w:r>
          </w:p>
        </w:tc>
        <w:tc>
          <w:tcPr>
            <w:tcW w:w="602" w:type="dxa"/>
            <w:tcBorders>
              <w:top w:val="nil"/>
              <w:left w:val="nil"/>
              <w:bottom w:val="single" w:sz="4" w:space="0" w:color="auto"/>
              <w:right w:val="single" w:sz="4" w:space="0" w:color="auto"/>
            </w:tcBorders>
            <w:shd w:val="clear" w:color="auto" w:fill="auto"/>
            <w:noWrap/>
            <w:vAlign w:val="bottom"/>
            <w:hideMark/>
          </w:tcPr>
          <w:p w14:paraId="26ABC8C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96.1</w:t>
            </w:r>
          </w:p>
        </w:tc>
        <w:tc>
          <w:tcPr>
            <w:tcW w:w="958" w:type="dxa"/>
            <w:tcBorders>
              <w:top w:val="nil"/>
              <w:left w:val="nil"/>
              <w:bottom w:val="single" w:sz="4" w:space="0" w:color="auto"/>
              <w:right w:val="single" w:sz="8" w:space="0" w:color="auto"/>
            </w:tcBorders>
            <w:shd w:val="clear" w:color="auto" w:fill="auto"/>
            <w:noWrap/>
            <w:vAlign w:val="bottom"/>
            <w:hideMark/>
          </w:tcPr>
          <w:p w14:paraId="26ABC8C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248</w:t>
            </w:r>
          </w:p>
        </w:tc>
      </w:tr>
      <w:tr w:rsidR="006554DE" w:rsidRPr="00CE60B2" w14:paraId="26ABC8D4"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C3"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Rate's Tingle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C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1,021</w:t>
            </w:r>
          </w:p>
        </w:tc>
        <w:tc>
          <w:tcPr>
            <w:tcW w:w="850" w:type="dxa"/>
            <w:tcBorders>
              <w:top w:val="nil"/>
              <w:left w:val="nil"/>
              <w:bottom w:val="single" w:sz="4" w:space="0" w:color="auto"/>
              <w:right w:val="single" w:sz="4" w:space="0" w:color="auto"/>
            </w:tcBorders>
            <w:shd w:val="clear" w:color="auto" w:fill="auto"/>
            <w:noWrap/>
            <w:vAlign w:val="bottom"/>
            <w:hideMark/>
          </w:tcPr>
          <w:p w14:paraId="26ABC8C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1,021</w:t>
            </w:r>
          </w:p>
        </w:tc>
        <w:tc>
          <w:tcPr>
            <w:tcW w:w="709" w:type="dxa"/>
            <w:tcBorders>
              <w:top w:val="nil"/>
              <w:left w:val="nil"/>
              <w:bottom w:val="single" w:sz="4" w:space="0" w:color="auto"/>
              <w:right w:val="single" w:sz="4" w:space="0" w:color="auto"/>
            </w:tcBorders>
            <w:shd w:val="clear" w:color="auto" w:fill="auto"/>
            <w:noWrap/>
            <w:vAlign w:val="bottom"/>
            <w:hideMark/>
          </w:tcPr>
          <w:p w14:paraId="26ABC8C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2" w:type="dxa"/>
            <w:tcBorders>
              <w:top w:val="nil"/>
              <w:left w:val="nil"/>
              <w:bottom w:val="single" w:sz="4" w:space="0" w:color="auto"/>
              <w:right w:val="single" w:sz="8" w:space="0" w:color="auto"/>
            </w:tcBorders>
            <w:shd w:val="clear" w:color="auto" w:fill="auto"/>
            <w:noWrap/>
            <w:vAlign w:val="bottom"/>
            <w:hideMark/>
          </w:tcPr>
          <w:p w14:paraId="26ABC8C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C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1,091</w:t>
            </w:r>
          </w:p>
        </w:tc>
        <w:tc>
          <w:tcPr>
            <w:tcW w:w="851" w:type="dxa"/>
            <w:tcBorders>
              <w:top w:val="nil"/>
              <w:left w:val="nil"/>
              <w:bottom w:val="single" w:sz="4" w:space="0" w:color="auto"/>
              <w:right w:val="single" w:sz="4" w:space="0" w:color="auto"/>
            </w:tcBorders>
            <w:shd w:val="clear" w:color="auto" w:fill="auto"/>
            <w:noWrap/>
            <w:vAlign w:val="bottom"/>
            <w:hideMark/>
          </w:tcPr>
          <w:p w14:paraId="26ABC8C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1,091</w:t>
            </w:r>
          </w:p>
        </w:tc>
        <w:tc>
          <w:tcPr>
            <w:tcW w:w="708" w:type="dxa"/>
            <w:tcBorders>
              <w:top w:val="nil"/>
              <w:left w:val="nil"/>
              <w:bottom w:val="single" w:sz="4" w:space="0" w:color="auto"/>
              <w:right w:val="single" w:sz="4" w:space="0" w:color="auto"/>
            </w:tcBorders>
            <w:shd w:val="clear" w:color="auto" w:fill="auto"/>
            <w:noWrap/>
            <w:vAlign w:val="bottom"/>
            <w:hideMark/>
          </w:tcPr>
          <w:p w14:paraId="26ABC8C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w:t>
            </w:r>
          </w:p>
        </w:tc>
        <w:tc>
          <w:tcPr>
            <w:tcW w:w="993" w:type="dxa"/>
            <w:tcBorders>
              <w:top w:val="nil"/>
              <w:left w:val="nil"/>
              <w:bottom w:val="single" w:sz="4" w:space="0" w:color="auto"/>
              <w:right w:val="single" w:sz="8" w:space="0" w:color="auto"/>
            </w:tcBorders>
            <w:shd w:val="clear" w:color="auto" w:fill="auto"/>
            <w:noWrap/>
            <w:vAlign w:val="bottom"/>
            <w:hideMark/>
          </w:tcPr>
          <w:p w14:paraId="26ABC8C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8C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1,091</w:t>
            </w:r>
          </w:p>
        </w:tc>
        <w:tc>
          <w:tcPr>
            <w:tcW w:w="826" w:type="dxa"/>
            <w:tcBorders>
              <w:top w:val="nil"/>
              <w:left w:val="nil"/>
              <w:bottom w:val="single" w:sz="4" w:space="0" w:color="auto"/>
              <w:right w:val="single" w:sz="4" w:space="0" w:color="auto"/>
            </w:tcBorders>
            <w:shd w:val="clear" w:color="auto" w:fill="auto"/>
            <w:noWrap/>
            <w:vAlign w:val="bottom"/>
            <w:hideMark/>
          </w:tcPr>
          <w:p w14:paraId="26ABC8C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1,091</w:t>
            </w:r>
          </w:p>
        </w:tc>
        <w:tc>
          <w:tcPr>
            <w:tcW w:w="734" w:type="dxa"/>
            <w:tcBorders>
              <w:top w:val="nil"/>
              <w:left w:val="nil"/>
              <w:bottom w:val="single" w:sz="4" w:space="0" w:color="auto"/>
              <w:right w:val="single" w:sz="4" w:space="0" w:color="auto"/>
            </w:tcBorders>
            <w:shd w:val="clear" w:color="auto" w:fill="auto"/>
            <w:noWrap/>
            <w:vAlign w:val="bottom"/>
            <w:hideMark/>
          </w:tcPr>
          <w:p w14:paraId="26ABC8C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3" w:type="dxa"/>
            <w:tcBorders>
              <w:top w:val="nil"/>
              <w:left w:val="nil"/>
              <w:bottom w:val="single" w:sz="4" w:space="0" w:color="auto"/>
              <w:right w:val="single" w:sz="8" w:space="0" w:color="auto"/>
            </w:tcBorders>
            <w:shd w:val="clear" w:color="auto" w:fill="auto"/>
            <w:noWrap/>
            <w:vAlign w:val="bottom"/>
            <w:hideMark/>
          </w:tcPr>
          <w:p w14:paraId="26ABC8C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8D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1,091</w:t>
            </w:r>
          </w:p>
        </w:tc>
        <w:tc>
          <w:tcPr>
            <w:tcW w:w="851" w:type="dxa"/>
            <w:tcBorders>
              <w:top w:val="nil"/>
              <w:left w:val="nil"/>
              <w:bottom w:val="single" w:sz="4" w:space="0" w:color="auto"/>
              <w:right w:val="single" w:sz="4" w:space="0" w:color="auto"/>
            </w:tcBorders>
            <w:shd w:val="clear" w:color="auto" w:fill="auto"/>
            <w:noWrap/>
            <w:vAlign w:val="bottom"/>
            <w:hideMark/>
          </w:tcPr>
          <w:p w14:paraId="26ABC8D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1,091</w:t>
            </w:r>
          </w:p>
        </w:tc>
        <w:tc>
          <w:tcPr>
            <w:tcW w:w="602" w:type="dxa"/>
            <w:tcBorders>
              <w:top w:val="nil"/>
              <w:left w:val="nil"/>
              <w:bottom w:val="single" w:sz="4" w:space="0" w:color="auto"/>
              <w:right w:val="single" w:sz="4" w:space="0" w:color="auto"/>
            </w:tcBorders>
            <w:shd w:val="clear" w:color="auto" w:fill="auto"/>
            <w:noWrap/>
            <w:vAlign w:val="bottom"/>
            <w:hideMark/>
          </w:tcPr>
          <w:p w14:paraId="26ABC8D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58" w:type="dxa"/>
            <w:tcBorders>
              <w:top w:val="nil"/>
              <w:left w:val="nil"/>
              <w:bottom w:val="single" w:sz="4" w:space="0" w:color="auto"/>
              <w:right w:val="single" w:sz="8" w:space="0" w:color="auto"/>
            </w:tcBorders>
            <w:shd w:val="clear" w:color="auto" w:fill="auto"/>
            <w:noWrap/>
            <w:vAlign w:val="bottom"/>
            <w:hideMark/>
          </w:tcPr>
          <w:p w14:paraId="26ABC8D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r>
      <w:tr w:rsidR="006554DE" w:rsidRPr="00CE60B2" w14:paraId="26ABC8E6"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D5"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Red Tingle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D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214</w:t>
            </w:r>
          </w:p>
        </w:tc>
        <w:tc>
          <w:tcPr>
            <w:tcW w:w="850" w:type="dxa"/>
            <w:tcBorders>
              <w:top w:val="nil"/>
              <w:left w:val="nil"/>
              <w:bottom w:val="single" w:sz="4" w:space="0" w:color="auto"/>
              <w:right w:val="single" w:sz="4" w:space="0" w:color="auto"/>
            </w:tcBorders>
            <w:shd w:val="clear" w:color="auto" w:fill="auto"/>
            <w:noWrap/>
            <w:vAlign w:val="bottom"/>
            <w:hideMark/>
          </w:tcPr>
          <w:p w14:paraId="26ABC8D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214</w:t>
            </w:r>
          </w:p>
        </w:tc>
        <w:tc>
          <w:tcPr>
            <w:tcW w:w="709" w:type="dxa"/>
            <w:tcBorders>
              <w:top w:val="nil"/>
              <w:left w:val="nil"/>
              <w:bottom w:val="single" w:sz="4" w:space="0" w:color="auto"/>
              <w:right w:val="single" w:sz="4" w:space="0" w:color="auto"/>
            </w:tcBorders>
            <w:shd w:val="clear" w:color="auto" w:fill="auto"/>
            <w:noWrap/>
            <w:vAlign w:val="bottom"/>
            <w:hideMark/>
          </w:tcPr>
          <w:p w14:paraId="26ABC8D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2" w:type="dxa"/>
            <w:tcBorders>
              <w:top w:val="nil"/>
              <w:left w:val="nil"/>
              <w:bottom w:val="single" w:sz="4" w:space="0" w:color="auto"/>
              <w:right w:val="single" w:sz="8" w:space="0" w:color="auto"/>
            </w:tcBorders>
            <w:shd w:val="clear" w:color="auto" w:fill="auto"/>
            <w:noWrap/>
            <w:vAlign w:val="bottom"/>
            <w:hideMark/>
          </w:tcPr>
          <w:p w14:paraId="26ABC8D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D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214</w:t>
            </w:r>
          </w:p>
        </w:tc>
        <w:tc>
          <w:tcPr>
            <w:tcW w:w="851" w:type="dxa"/>
            <w:tcBorders>
              <w:top w:val="nil"/>
              <w:left w:val="nil"/>
              <w:bottom w:val="single" w:sz="4" w:space="0" w:color="auto"/>
              <w:right w:val="single" w:sz="4" w:space="0" w:color="auto"/>
            </w:tcBorders>
            <w:shd w:val="clear" w:color="auto" w:fill="auto"/>
            <w:noWrap/>
            <w:vAlign w:val="bottom"/>
            <w:hideMark/>
          </w:tcPr>
          <w:p w14:paraId="26ABC8D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214</w:t>
            </w:r>
          </w:p>
        </w:tc>
        <w:tc>
          <w:tcPr>
            <w:tcW w:w="708" w:type="dxa"/>
            <w:tcBorders>
              <w:top w:val="nil"/>
              <w:left w:val="nil"/>
              <w:bottom w:val="single" w:sz="4" w:space="0" w:color="auto"/>
              <w:right w:val="single" w:sz="4" w:space="0" w:color="auto"/>
            </w:tcBorders>
            <w:shd w:val="clear" w:color="auto" w:fill="auto"/>
            <w:noWrap/>
            <w:vAlign w:val="bottom"/>
            <w:hideMark/>
          </w:tcPr>
          <w:p w14:paraId="26ABC8D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w:t>
            </w:r>
          </w:p>
        </w:tc>
        <w:tc>
          <w:tcPr>
            <w:tcW w:w="993" w:type="dxa"/>
            <w:tcBorders>
              <w:top w:val="nil"/>
              <w:left w:val="nil"/>
              <w:bottom w:val="single" w:sz="4" w:space="0" w:color="auto"/>
              <w:right w:val="single" w:sz="8" w:space="0" w:color="auto"/>
            </w:tcBorders>
            <w:shd w:val="clear" w:color="auto" w:fill="auto"/>
            <w:noWrap/>
            <w:vAlign w:val="bottom"/>
            <w:hideMark/>
          </w:tcPr>
          <w:p w14:paraId="26ABC8D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8D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214</w:t>
            </w:r>
          </w:p>
        </w:tc>
        <w:tc>
          <w:tcPr>
            <w:tcW w:w="826" w:type="dxa"/>
            <w:tcBorders>
              <w:top w:val="nil"/>
              <w:left w:val="nil"/>
              <w:bottom w:val="single" w:sz="4" w:space="0" w:color="auto"/>
              <w:right w:val="single" w:sz="4" w:space="0" w:color="auto"/>
            </w:tcBorders>
            <w:shd w:val="clear" w:color="auto" w:fill="auto"/>
            <w:noWrap/>
            <w:vAlign w:val="bottom"/>
            <w:hideMark/>
          </w:tcPr>
          <w:p w14:paraId="26ABC8D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214</w:t>
            </w:r>
          </w:p>
        </w:tc>
        <w:tc>
          <w:tcPr>
            <w:tcW w:w="734" w:type="dxa"/>
            <w:tcBorders>
              <w:top w:val="nil"/>
              <w:left w:val="nil"/>
              <w:bottom w:val="single" w:sz="4" w:space="0" w:color="auto"/>
              <w:right w:val="single" w:sz="4" w:space="0" w:color="auto"/>
            </w:tcBorders>
            <w:shd w:val="clear" w:color="auto" w:fill="auto"/>
            <w:noWrap/>
            <w:vAlign w:val="bottom"/>
            <w:hideMark/>
          </w:tcPr>
          <w:p w14:paraId="26ABC8E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3" w:type="dxa"/>
            <w:tcBorders>
              <w:top w:val="nil"/>
              <w:left w:val="nil"/>
              <w:bottom w:val="single" w:sz="4" w:space="0" w:color="auto"/>
              <w:right w:val="single" w:sz="8" w:space="0" w:color="auto"/>
            </w:tcBorders>
            <w:shd w:val="clear" w:color="auto" w:fill="auto"/>
            <w:noWrap/>
            <w:vAlign w:val="bottom"/>
            <w:hideMark/>
          </w:tcPr>
          <w:p w14:paraId="26ABC8E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8E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214</w:t>
            </w:r>
          </w:p>
        </w:tc>
        <w:tc>
          <w:tcPr>
            <w:tcW w:w="851" w:type="dxa"/>
            <w:tcBorders>
              <w:top w:val="nil"/>
              <w:left w:val="nil"/>
              <w:bottom w:val="single" w:sz="4" w:space="0" w:color="auto"/>
              <w:right w:val="single" w:sz="4" w:space="0" w:color="auto"/>
            </w:tcBorders>
            <w:shd w:val="clear" w:color="auto" w:fill="auto"/>
            <w:noWrap/>
            <w:vAlign w:val="bottom"/>
            <w:hideMark/>
          </w:tcPr>
          <w:p w14:paraId="26ABC8E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214</w:t>
            </w:r>
          </w:p>
        </w:tc>
        <w:tc>
          <w:tcPr>
            <w:tcW w:w="602" w:type="dxa"/>
            <w:tcBorders>
              <w:top w:val="nil"/>
              <w:left w:val="nil"/>
              <w:bottom w:val="single" w:sz="4" w:space="0" w:color="auto"/>
              <w:right w:val="single" w:sz="4" w:space="0" w:color="auto"/>
            </w:tcBorders>
            <w:shd w:val="clear" w:color="auto" w:fill="auto"/>
            <w:noWrap/>
            <w:vAlign w:val="bottom"/>
            <w:hideMark/>
          </w:tcPr>
          <w:p w14:paraId="26ABC8E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58" w:type="dxa"/>
            <w:tcBorders>
              <w:top w:val="nil"/>
              <w:left w:val="nil"/>
              <w:bottom w:val="single" w:sz="4" w:space="0" w:color="auto"/>
              <w:right w:val="single" w:sz="8" w:space="0" w:color="auto"/>
            </w:tcBorders>
            <w:shd w:val="clear" w:color="auto" w:fill="auto"/>
            <w:noWrap/>
            <w:vAlign w:val="bottom"/>
            <w:hideMark/>
          </w:tcPr>
          <w:p w14:paraId="26ABC8E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r>
      <w:tr w:rsidR="006554DE" w:rsidRPr="00CE60B2" w14:paraId="26ABC8F8"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E7"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Sandy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E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2,170</w:t>
            </w:r>
          </w:p>
        </w:tc>
        <w:tc>
          <w:tcPr>
            <w:tcW w:w="850" w:type="dxa"/>
            <w:tcBorders>
              <w:top w:val="nil"/>
              <w:left w:val="nil"/>
              <w:bottom w:val="single" w:sz="4" w:space="0" w:color="auto"/>
              <w:right w:val="single" w:sz="4" w:space="0" w:color="auto"/>
            </w:tcBorders>
            <w:shd w:val="clear" w:color="auto" w:fill="auto"/>
            <w:noWrap/>
            <w:vAlign w:val="bottom"/>
            <w:hideMark/>
          </w:tcPr>
          <w:p w14:paraId="26ABC8E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2,170</w:t>
            </w:r>
          </w:p>
        </w:tc>
        <w:tc>
          <w:tcPr>
            <w:tcW w:w="709" w:type="dxa"/>
            <w:tcBorders>
              <w:top w:val="nil"/>
              <w:left w:val="nil"/>
              <w:bottom w:val="single" w:sz="4" w:space="0" w:color="auto"/>
              <w:right w:val="single" w:sz="4" w:space="0" w:color="auto"/>
            </w:tcBorders>
            <w:shd w:val="clear" w:color="auto" w:fill="auto"/>
            <w:noWrap/>
            <w:vAlign w:val="bottom"/>
            <w:hideMark/>
          </w:tcPr>
          <w:p w14:paraId="26ABC8E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2" w:type="dxa"/>
            <w:tcBorders>
              <w:top w:val="nil"/>
              <w:left w:val="nil"/>
              <w:bottom w:val="single" w:sz="4" w:space="0" w:color="auto"/>
              <w:right w:val="single" w:sz="8" w:space="0" w:color="auto"/>
            </w:tcBorders>
            <w:shd w:val="clear" w:color="auto" w:fill="auto"/>
            <w:noWrap/>
            <w:vAlign w:val="bottom"/>
            <w:hideMark/>
          </w:tcPr>
          <w:p w14:paraId="26ABC8E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E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2,223</w:t>
            </w:r>
          </w:p>
        </w:tc>
        <w:tc>
          <w:tcPr>
            <w:tcW w:w="851" w:type="dxa"/>
            <w:tcBorders>
              <w:top w:val="nil"/>
              <w:left w:val="nil"/>
              <w:bottom w:val="single" w:sz="4" w:space="0" w:color="auto"/>
              <w:right w:val="single" w:sz="4" w:space="0" w:color="auto"/>
            </w:tcBorders>
            <w:shd w:val="clear" w:color="auto" w:fill="auto"/>
            <w:noWrap/>
            <w:vAlign w:val="bottom"/>
            <w:hideMark/>
          </w:tcPr>
          <w:p w14:paraId="26ABC8E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2,220</w:t>
            </w:r>
          </w:p>
        </w:tc>
        <w:tc>
          <w:tcPr>
            <w:tcW w:w="708" w:type="dxa"/>
            <w:tcBorders>
              <w:top w:val="nil"/>
              <w:left w:val="nil"/>
              <w:bottom w:val="single" w:sz="4" w:space="0" w:color="auto"/>
              <w:right w:val="single" w:sz="4" w:space="0" w:color="auto"/>
            </w:tcBorders>
            <w:shd w:val="clear" w:color="auto" w:fill="auto"/>
            <w:noWrap/>
            <w:vAlign w:val="bottom"/>
            <w:hideMark/>
          </w:tcPr>
          <w:p w14:paraId="26ABC8E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w:t>
            </w:r>
          </w:p>
        </w:tc>
        <w:tc>
          <w:tcPr>
            <w:tcW w:w="993" w:type="dxa"/>
            <w:tcBorders>
              <w:top w:val="nil"/>
              <w:left w:val="nil"/>
              <w:bottom w:val="single" w:sz="4" w:space="0" w:color="auto"/>
              <w:right w:val="single" w:sz="8" w:space="0" w:color="auto"/>
            </w:tcBorders>
            <w:shd w:val="clear" w:color="auto" w:fill="auto"/>
            <w:noWrap/>
            <w:vAlign w:val="bottom"/>
            <w:hideMark/>
          </w:tcPr>
          <w:p w14:paraId="26ABC8E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w:t>
            </w:r>
          </w:p>
        </w:tc>
        <w:tc>
          <w:tcPr>
            <w:tcW w:w="849" w:type="dxa"/>
            <w:tcBorders>
              <w:top w:val="nil"/>
              <w:left w:val="nil"/>
              <w:bottom w:val="single" w:sz="4" w:space="0" w:color="auto"/>
              <w:right w:val="single" w:sz="4" w:space="0" w:color="auto"/>
            </w:tcBorders>
            <w:shd w:val="clear" w:color="auto" w:fill="auto"/>
            <w:noWrap/>
            <w:vAlign w:val="bottom"/>
            <w:hideMark/>
          </w:tcPr>
          <w:p w14:paraId="26ABC8F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2,224</w:t>
            </w:r>
          </w:p>
        </w:tc>
        <w:tc>
          <w:tcPr>
            <w:tcW w:w="826" w:type="dxa"/>
            <w:tcBorders>
              <w:top w:val="nil"/>
              <w:left w:val="nil"/>
              <w:bottom w:val="single" w:sz="4" w:space="0" w:color="auto"/>
              <w:right w:val="single" w:sz="4" w:space="0" w:color="auto"/>
            </w:tcBorders>
            <w:shd w:val="clear" w:color="auto" w:fill="auto"/>
            <w:noWrap/>
            <w:vAlign w:val="bottom"/>
            <w:hideMark/>
          </w:tcPr>
          <w:p w14:paraId="26ABC8F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2,212</w:t>
            </w:r>
          </w:p>
        </w:tc>
        <w:tc>
          <w:tcPr>
            <w:tcW w:w="734" w:type="dxa"/>
            <w:tcBorders>
              <w:top w:val="nil"/>
              <w:left w:val="nil"/>
              <w:bottom w:val="single" w:sz="4" w:space="0" w:color="auto"/>
              <w:right w:val="single" w:sz="4" w:space="0" w:color="auto"/>
            </w:tcBorders>
            <w:shd w:val="clear" w:color="auto" w:fill="auto"/>
            <w:noWrap/>
            <w:vAlign w:val="bottom"/>
            <w:hideMark/>
          </w:tcPr>
          <w:p w14:paraId="26ABC8F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99.4</w:t>
            </w:r>
          </w:p>
        </w:tc>
        <w:tc>
          <w:tcPr>
            <w:tcW w:w="993" w:type="dxa"/>
            <w:tcBorders>
              <w:top w:val="nil"/>
              <w:left w:val="nil"/>
              <w:bottom w:val="single" w:sz="4" w:space="0" w:color="auto"/>
              <w:right w:val="single" w:sz="8" w:space="0" w:color="auto"/>
            </w:tcBorders>
            <w:shd w:val="clear" w:color="auto" w:fill="auto"/>
            <w:noWrap/>
            <w:vAlign w:val="bottom"/>
            <w:hideMark/>
          </w:tcPr>
          <w:p w14:paraId="26ABC8F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w:t>
            </w:r>
          </w:p>
        </w:tc>
        <w:tc>
          <w:tcPr>
            <w:tcW w:w="849" w:type="dxa"/>
            <w:tcBorders>
              <w:top w:val="nil"/>
              <w:left w:val="nil"/>
              <w:bottom w:val="single" w:sz="4" w:space="0" w:color="auto"/>
              <w:right w:val="single" w:sz="4" w:space="0" w:color="auto"/>
            </w:tcBorders>
            <w:shd w:val="clear" w:color="auto" w:fill="auto"/>
            <w:noWrap/>
            <w:vAlign w:val="bottom"/>
            <w:hideMark/>
          </w:tcPr>
          <w:p w14:paraId="26ABC8F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2,224</w:t>
            </w:r>
          </w:p>
        </w:tc>
        <w:tc>
          <w:tcPr>
            <w:tcW w:w="851" w:type="dxa"/>
            <w:tcBorders>
              <w:top w:val="nil"/>
              <w:left w:val="nil"/>
              <w:bottom w:val="single" w:sz="4" w:space="0" w:color="auto"/>
              <w:right w:val="single" w:sz="4" w:space="0" w:color="auto"/>
            </w:tcBorders>
            <w:shd w:val="clear" w:color="auto" w:fill="auto"/>
            <w:noWrap/>
            <w:vAlign w:val="bottom"/>
            <w:hideMark/>
          </w:tcPr>
          <w:p w14:paraId="26ABC8F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2,212</w:t>
            </w:r>
          </w:p>
        </w:tc>
        <w:tc>
          <w:tcPr>
            <w:tcW w:w="602" w:type="dxa"/>
            <w:tcBorders>
              <w:top w:val="nil"/>
              <w:left w:val="nil"/>
              <w:bottom w:val="single" w:sz="4" w:space="0" w:color="auto"/>
              <w:right w:val="single" w:sz="4" w:space="0" w:color="auto"/>
            </w:tcBorders>
            <w:shd w:val="clear" w:color="auto" w:fill="auto"/>
            <w:noWrap/>
            <w:vAlign w:val="bottom"/>
            <w:hideMark/>
          </w:tcPr>
          <w:p w14:paraId="26ABC8F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99.4</w:t>
            </w:r>
          </w:p>
        </w:tc>
        <w:tc>
          <w:tcPr>
            <w:tcW w:w="958" w:type="dxa"/>
            <w:tcBorders>
              <w:top w:val="nil"/>
              <w:left w:val="nil"/>
              <w:bottom w:val="single" w:sz="4" w:space="0" w:color="auto"/>
              <w:right w:val="single" w:sz="8" w:space="0" w:color="auto"/>
            </w:tcBorders>
            <w:shd w:val="clear" w:color="auto" w:fill="auto"/>
            <w:noWrap/>
            <w:vAlign w:val="bottom"/>
            <w:hideMark/>
          </w:tcPr>
          <w:p w14:paraId="26ABC8F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w:t>
            </w:r>
          </w:p>
        </w:tc>
      </w:tr>
      <w:tr w:rsidR="006554DE" w:rsidRPr="00CE60B2" w14:paraId="26ABC90A"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8F9"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South</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8F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159,713</w:t>
            </w:r>
          </w:p>
        </w:tc>
        <w:tc>
          <w:tcPr>
            <w:tcW w:w="850" w:type="dxa"/>
            <w:tcBorders>
              <w:top w:val="nil"/>
              <w:left w:val="nil"/>
              <w:bottom w:val="single" w:sz="4" w:space="0" w:color="auto"/>
              <w:right w:val="single" w:sz="4" w:space="0" w:color="auto"/>
            </w:tcBorders>
            <w:shd w:val="clear" w:color="auto" w:fill="auto"/>
            <w:noWrap/>
            <w:vAlign w:val="bottom"/>
            <w:hideMark/>
          </w:tcPr>
          <w:p w14:paraId="26ABC8F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100,347</w:t>
            </w:r>
          </w:p>
        </w:tc>
        <w:tc>
          <w:tcPr>
            <w:tcW w:w="709" w:type="dxa"/>
            <w:tcBorders>
              <w:top w:val="nil"/>
              <w:left w:val="nil"/>
              <w:bottom w:val="single" w:sz="4" w:space="0" w:color="auto"/>
              <w:right w:val="single" w:sz="4" w:space="0" w:color="auto"/>
            </w:tcBorders>
            <w:shd w:val="clear" w:color="auto" w:fill="auto"/>
            <w:noWrap/>
            <w:vAlign w:val="bottom"/>
            <w:hideMark/>
          </w:tcPr>
          <w:p w14:paraId="26ABC8F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62.8</w:t>
            </w:r>
          </w:p>
        </w:tc>
        <w:tc>
          <w:tcPr>
            <w:tcW w:w="992" w:type="dxa"/>
            <w:tcBorders>
              <w:top w:val="nil"/>
              <w:left w:val="nil"/>
              <w:bottom w:val="single" w:sz="4" w:space="0" w:color="auto"/>
              <w:right w:val="single" w:sz="8" w:space="0" w:color="auto"/>
            </w:tcBorders>
            <w:shd w:val="clear" w:color="auto" w:fill="auto"/>
            <w:noWrap/>
            <w:vAlign w:val="bottom"/>
            <w:hideMark/>
          </w:tcPr>
          <w:p w14:paraId="26ABC8F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5,235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8F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151,267</w:t>
            </w:r>
          </w:p>
        </w:tc>
        <w:tc>
          <w:tcPr>
            <w:tcW w:w="851" w:type="dxa"/>
            <w:tcBorders>
              <w:top w:val="nil"/>
              <w:left w:val="nil"/>
              <w:bottom w:val="single" w:sz="4" w:space="0" w:color="auto"/>
              <w:right w:val="single" w:sz="4" w:space="0" w:color="auto"/>
            </w:tcBorders>
            <w:shd w:val="clear" w:color="auto" w:fill="auto"/>
            <w:noWrap/>
            <w:vAlign w:val="bottom"/>
            <w:hideMark/>
          </w:tcPr>
          <w:p w14:paraId="26ABC8F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143,312</w:t>
            </w:r>
          </w:p>
        </w:tc>
        <w:tc>
          <w:tcPr>
            <w:tcW w:w="708" w:type="dxa"/>
            <w:tcBorders>
              <w:top w:val="nil"/>
              <w:left w:val="nil"/>
              <w:bottom w:val="single" w:sz="4" w:space="0" w:color="auto"/>
              <w:right w:val="single" w:sz="4" w:space="0" w:color="auto"/>
            </w:tcBorders>
            <w:shd w:val="clear" w:color="auto" w:fill="auto"/>
            <w:noWrap/>
            <w:vAlign w:val="bottom"/>
            <w:hideMark/>
          </w:tcPr>
          <w:p w14:paraId="26ABC90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95</w:t>
            </w:r>
          </w:p>
        </w:tc>
        <w:tc>
          <w:tcPr>
            <w:tcW w:w="993" w:type="dxa"/>
            <w:tcBorders>
              <w:top w:val="nil"/>
              <w:left w:val="nil"/>
              <w:bottom w:val="single" w:sz="4" w:space="0" w:color="auto"/>
              <w:right w:val="single" w:sz="8" w:space="0" w:color="auto"/>
            </w:tcBorders>
            <w:shd w:val="clear" w:color="auto" w:fill="auto"/>
            <w:noWrap/>
            <w:vAlign w:val="bottom"/>
            <w:hideMark/>
          </w:tcPr>
          <w:p w14:paraId="26ABC90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7,956</w:t>
            </w:r>
          </w:p>
        </w:tc>
        <w:tc>
          <w:tcPr>
            <w:tcW w:w="849" w:type="dxa"/>
            <w:tcBorders>
              <w:top w:val="nil"/>
              <w:left w:val="nil"/>
              <w:bottom w:val="single" w:sz="4" w:space="0" w:color="auto"/>
              <w:right w:val="single" w:sz="4" w:space="0" w:color="auto"/>
            </w:tcBorders>
            <w:shd w:val="clear" w:color="auto" w:fill="auto"/>
            <w:noWrap/>
            <w:vAlign w:val="bottom"/>
            <w:hideMark/>
          </w:tcPr>
          <w:p w14:paraId="26ABC90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151,307</w:t>
            </w:r>
          </w:p>
        </w:tc>
        <w:tc>
          <w:tcPr>
            <w:tcW w:w="826" w:type="dxa"/>
            <w:tcBorders>
              <w:top w:val="nil"/>
              <w:left w:val="nil"/>
              <w:bottom w:val="single" w:sz="4" w:space="0" w:color="auto"/>
              <w:right w:val="single" w:sz="4" w:space="0" w:color="auto"/>
            </w:tcBorders>
            <w:shd w:val="clear" w:color="auto" w:fill="auto"/>
            <w:noWrap/>
            <w:vAlign w:val="bottom"/>
            <w:hideMark/>
          </w:tcPr>
          <w:p w14:paraId="26ABC90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142,392</w:t>
            </w:r>
          </w:p>
        </w:tc>
        <w:tc>
          <w:tcPr>
            <w:tcW w:w="734" w:type="dxa"/>
            <w:tcBorders>
              <w:top w:val="nil"/>
              <w:left w:val="nil"/>
              <w:bottom w:val="single" w:sz="4" w:space="0" w:color="auto"/>
              <w:right w:val="single" w:sz="4" w:space="0" w:color="auto"/>
            </w:tcBorders>
            <w:shd w:val="clear" w:color="auto" w:fill="auto"/>
            <w:noWrap/>
            <w:vAlign w:val="bottom"/>
            <w:hideMark/>
          </w:tcPr>
          <w:p w14:paraId="26ABC90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94.1</w:t>
            </w:r>
          </w:p>
        </w:tc>
        <w:tc>
          <w:tcPr>
            <w:tcW w:w="993" w:type="dxa"/>
            <w:tcBorders>
              <w:top w:val="nil"/>
              <w:left w:val="nil"/>
              <w:bottom w:val="single" w:sz="4" w:space="0" w:color="auto"/>
              <w:right w:val="single" w:sz="8" w:space="0" w:color="auto"/>
            </w:tcBorders>
            <w:shd w:val="clear" w:color="auto" w:fill="auto"/>
            <w:noWrap/>
            <w:vAlign w:val="bottom"/>
            <w:hideMark/>
          </w:tcPr>
          <w:p w14:paraId="26ABC90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8,915</w:t>
            </w:r>
          </w:p>
        </w:tc>
        <w:tc>
          <w:tcPr>
            <w:tcW w:w="849" w:type="dxa"/>
            <w:tcBorders>
              <w:top w:val="nil"/>
              <w:left w:val="nil"/>
              <w:bottom w:val="single" w:sz="4" w:space="0" w:color="auto"/>
              <w:right w:val="single" w:sz="4" w:space="0" w:color="auto"/>
            </w:tcBorders>
            <w:shd w:val="clear" w:color="auto" w:fill="auto"/>
            <w:noWrap/>
            <w:vAlign w:val="bottom"/>
            <w:hideMark/>
          </w:tcPr>
          <w:p w14:paraId="26ABC90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151,446</w:t>
            </w:r>
          </w:p>
        </w:tc>
        <w:tc>
          <w:tcPr>
            <w:tcW w:w="851" w:type="dxa"/>
            <w:tcBorders>
              <w:top w:val="nil"/>
              <w:left w:val="nil"/>
              <w:bottom w:val="single" w:sz="4" w:space="0" w:color="auto"/>
              <w:right w:val="single" w:sz="4" w:space="0" w:color="auto"/>
            </w:tcBorders>
            <w:shd w:val="clear" w:color="auto" w:fill="auto"/>
            <w:noWrap/>
            <w:vAlign w:val="bottom"/>
            <w:hideMark/>
          </w:tcPr>
          <w:p w14:paraId="26ABC90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142,167</w:t>
            </w:r>
          </w:p>
        </w:tc>
        <w:tc>
          <w:tcPr>
            <w:tcW w:w="602" w:type="dxa"/>
            <w:tcBorders>
              <w:top w:val="nil"/>
              <w:left w:val="nil"/>
              <w:bottom w:val="single" w:sz="4" w:space="0" w:color="auto"/>
              <w:right w:val="single" w:sz="4" w:space="0" w:color="auto"/>
            </w:tcBorders>
            <w:shd w:val="clear" w:color="auto" w:fill="auto"/>
            <w:noWrap/>
            <w:vAlign w:val="bottom"/>
            <w:hideMark/>
          </w:tcPr>
          <w:p w14:paraId="26ABC90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93.9</w:t>
            </w:r>
          </w:p>
        </w:tc>
        <w:tc>
          <w:tcPr>
            <w:tcW w:w="958" w:type="dxa"/>
            <w:tcBorders>
              <w:top w:val="nil"/>
              <w:left w:val="nil"/>
              <w:bottom w:val="single" w:sz="4" w:space="0" w:color="auto"/>
              <w:right w:val="single" w:sz="8" w:space="0" w:color="auto"/>
            </w:tcBorders>
            <w:shd w:val="clear" w:color="auto" w:fill="auto"/>
            <w:noWrap/>
            <w:vAlign w:val="bottom"/>
            <w:hideMark/>
          </w:tcPr>
          <w:p w14:paraId="26ABC90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9,069</w:t>
            </w:r>
          </w:p>
        </w:tc>
      </w:tr>
      <w:tr w:rsidR="006554DE" w:rsidRPr="00CE60B2" w14:paraId="26ABC91C"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0B" w14:textId="77777777" w:rsidR="006554DE" w:rsidRPr="00CE60B2" w:rsidRDefault="00754158"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w:t>
            </w:r>
            <w:r w:rsidR="006554DE" w:rsidRPr="00CE60B2">
              <w:rPr>
                <w:rFonts w:eastAsia="Times New Roman" w:cs="Segoe UI"/>
                <w:color w:val="000000"/>
                <w:sz w:val="16"/>
                <w:szCs w:val="16"/>
                <w:lang w:eastAsia="en-AU"/>
              </w:rPr>
              <w:t xml:space="preserve"> Unicup</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0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4,739</w:t>
            </w:r>
          </w:p>
        </w:tc>
        <w:tc>
          <w:tcPr>
            <w:tcW w:w="850" w:type="dxa"/>
            <w:tcBorders>
              <w:top w:val="nil"/>
              <w:left w:val="nil"/>
              <w:bottom w:val="single" w:sz="4" w:space="0" w:color="auto"/>
              <w:right w:val="single" w:sz="4" w:space="0" w:color="auto"/>
            </w:tcBorders>
            <w:shd w:val="clear" w:color="auto" w:fill="auto"/>
            <w:noWrap/>
            <w:vAlign w:val="bottom"/>
            <w:hideMark/>
          </w:tcPr>
          <w:p w14:paraId="26ABC90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2,916</w:t>
            </w:r>
          </w:p>
        </w:tc>
        <w:tc>
          <w:tcPr>
            <w:tcW w:w="709" w:type="dxa"/>
            <w:tcBorders>
              <w:top w:val="nil"/>
              <w:left w:val="nil"/>
              <w:bottom w:val="single" w:sz="4" w:space="0" w:color="auto"/>
              <w:right w:val="single" w:sz="4" w:space="0" w:color="auto"/>
            </w:tcBorders>
            <w:shd w:val="clear" w:color="auto" w:fill="auto"/>
            <w:noWrap/>
            <w:vAlign w:val="bottom"/>
            <w:hideMark/>
          </w:tcPr>
          <w:p w14:paraId="26ABC90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91.5</w:t>
            </w:r>
          </w:p>
        </w:tc>
        <w:tc>
          <w:tcPr>
            <w:tcW w:w="992" w:type="dxa"/>
            <w:tcBorders>
              <w:top w:val="nil"/>
              <w:left w:val="nil"/>
              <w:bottom w:val="single" w:sz="4" w:space="0" w:color="auto"/>
              <w:right w:val="single" w:sz="8" w:space="0" w:color="auto"/>
            </w:tcBorders>
            <w:shd w:val="clear" w:color="auto" w:fill="auto"/>
            <w:noWrap/>
            <w:vAlign w:val="bottom"/>
            <w:hideMark/>
          </w:tcPr>
          <w:p w14:paraId="26ABC90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89</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1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4,251</w:t>
            </w:r>
          </w:p>
        </w:tc>
        <w:tc>
          <w:tcPr>
            <w:tcW w:w="851" w:type="dxa"/>
            <w:tcBorders>
              <w:top w:val="nil"/>
              <w:left w:val="nil"/>
              <w:bottom w:val="single" w:sz="4" w:space="0" w:color="auto"/>
              <w:right w:val="single" w:sz="4" w:space="0" w:color="auto"/>
            </w:tcBorders>
            <w:shd w:val="clear" w:color="auto" w:fill="auto"/>
            <w:noWrap/>
            <w:vAlign w:val="bottom"/>
            <w:hideMark/>
          </w:tcPr>
          <w:p w14:paraId="26ABC91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4,230</w:t>
            </w:r>
          </w:p>
        </w:tc>
        <w:tc>
          <w:tcPr>
            <w:tcW w:w="708" w:type="dxa"/>
            <w:tcBorders>
              <w:top w:val="nil"/>
              <w:left w:val="nil"/>
              <w:bottom w:val="single" w:sz="4" w:space="0" w:color="auto"/>
              <w:right w:val="single" w:sz="4" w:space="0" w:color="auto"/>
            </w:tcBorders>
            <w:shd w:val="clear" w:color="auto" w:fill="auto"/>
            <w:noWrap/>
            <w:vAlign w:val="bottom"/>
            <w:hideMark/>
          </w:tcPr>
          <w:p w14:paraId="26ABC91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w:t>
            </w:r>
          </w:p>
        </w:tc>
        <w:tc>
          <w:tcPr>
            <w:tcW w:w="993" w:type="dxa"/>
            <w:tcBorders>
              <w:top w:val="nil"/>
              <w:left w:val="nil"/>
              <w:bottom w:val="single" w:sz="4" w:space="0" w:color="auto"/>
              <w:right w:val="single" w:sz="8" w:space="0" w:color="auto"/>
            </w:tcBorders>
            <w:shd w:val="clear" w:color="auto" w:fill="auto"/>
            <w:noWrap/>
            <w:vAlign w:val="bottom"/>
            <w:hideMark/>
          </w:tcPr>
          <w:p w14:paraId="26ABC91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w:t>
            </w:r>
          </w:p>
        </w:tc>
        <w:tc>
          <w:tcPr>
            <w:tcW w:w="849" w:type="dxa"/>
            <w:tcBorders>
              <w:top w:val="nil"/>
              <w:left w:val="nil"/>
              <w:bottom w:val="single" w:sz="4" w:space="0" w:color="auto"/>
              <w:right w:val="single" w:sz="4" w:space="0" w:color="auto"/>
            </w:tcBorders>
            <w:shd w:val="clear" w:color="auto" w:fill="auto"/>
            <w:noWrap/>
            <w:vAlign w:val="bottom"/>
            <w:hideMark/>
          </w:tcPr>
          <w:p w14:paraId="26ABC91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4,517</w:t>
            </w:r>
          </w:p>
        </w:tc>
        <w:tc>
          <w:tcPr>
            <w:tcW w:w="826" w:type="dxa"/>
            <w:tcBorders>
              <w:top w:val="nil"/>
              <w:left w:val="nil"/>
              <w:bottom w:val="single" w:sz="4" w:space="0" w:color="auto"/>
              <w:right w:val="single" w:sz="4" w:space="0" w:color="auto"/>
            </w:tcBorders>
            <w:shd w:val="clear" w:color="auto" w:fill="auto"/>
            <w:noWrap/>
            <w:vAlign w:val="bottom"/>
            <w:hideMark/>
          </w:tcPr>
          <w:p w14:paraId="26ABC91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4,241</w:t>
            </w:r>
          </w:p>
        </w:tc>
        <w:tc>
          <w:tcPr>
            <w:tcW w:w="734" w:type="dxa"/>
            <w:tcBorders>
              <w:top w:val="nil"/>
              <w:left w:val="nil"/>
              <w:bottom w:val="single" w:sz="4" w:space="0" w:color="auto"/>
              <w:right w:val="single" w:sz="4" w:space="0" w:color="auto"/>
            </w:tcBorders>
            <w:shd w:val="clear" w:color="auto" w:fill="auto"/>
            <w:noWrap/>
            <w:vAlign w:val="bottom"/>
            <w:hideMark/>
          </w:tcPr>
          <w:p w14:paraId="26ABC91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93.9</w:t>
            </w:r>
          </w:p>
        </w:tc>
        <w:tc>
          <w:tcPr>
            <w:tcW w:w="993" w:type="dxa"/>
            <w:tcBorders>
              <w:top w:val="nil"/>
              <w:left w:val="nil"/>
              <w:bottom w:val="single" w:sz="4" w:space="0" w:color="auto"/>
              <w:right w:val="single" w:sz="8" w:space="0" w:color="auto"/>
            </w:tcBorders>
            <w:shd w:val="clear" w:color="auto" w:fill="auto"/>
            <w:noWrap/>
            <w:vAlign w:val="bottom"/>
            <w:hideMark/>
          </w:tcPr>
          <w:p w14:paraId="26ABC91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21</w:t>
            </w:r>
          </w:p>
        </w:tc>
        <w:tc>
          <w:tcPr>
            <w:tcW w:w="849" w:type="dxa"/>
            <w:tcBorders>
              <w:top w:val="nil"/>
              <w:left w:val="nil"/>
              <w:bottom w:val="single" w:sz="4" w:space="0" w:color="auto"/>
              <w:right w:val="single" w:sz="4" w:space="0" w:color="auto"/>
            </w:tcBorders>
            <w:shd w:val="clear" w:color="auto" w:fill="auto"/>
            <w:noWrap/>
            <w:vAlign w:val="bottom"/>
            <w:hideMark/>
          </w:tcPr>
          <w:p w14:paraId="26ABC91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4,552</w:t>
            </w:r>
          </w:p>
        </w:tc>
        <w:tc>
          <w:tcPr>
            <w:tcW w:w="851" w:type="dxa"/>
            <w:tcBorders>
              <w:top w:val="nil"/>
              <w:left w:val="nil"/>
              <w:bottom w:val="single" w:sz="4" w:space="0" w:color="auto"/>
              <w:right w:val="single" w:sz="4" w:space="0" w:color="auto"/>
            </w:tcBorders>
            <w:shd w:val="clear" w:color="auto" w:fill="auto"/>
            <w:noWrap/>
            <w:vAlign w:val="bottom"/>
            <w:hideMark/>
          </w:tcPr>
          <w:p w14:paraId="26ABC91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4,277</w:t>
            </w:r>
          </w:p>
        </w:tc>
        <w:tc>
          <w:tcPr>
            <w:tcW w:w="602" w:type="dxa"/>
            <w:tcBorders>
              <w:top w:val="nil"/>
              <w:left w:val="nil"/>
              <w:bottom w:val="single" w:sz="4" w:space="0" w:color="auto"/>
              <w:right w:val="single" w:sz="4" w:space="0" w:color="auto"/>
            </w:tcBorders>
            <w:shd w:val="clear" w:color="auto" w:fill="auto"/>
            <w:noWrap/>
            <w:vAlign w:val="bottom"/>
            <w:hideMark/>
          </w:tcPr>
          <w:p w14:paraId="26ABC91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94.0</w:t>
            </w:r>
          </w:p>
        </w:tc>
        <w:tc>
          <w:tcPr>
            <w:tcW w:w="958" w:type="dxa"/>
            <w:tcBorders>
              <w:top w:val="nil"/>
              <w:left w:val="nil"/>
              <w:bottom w:val="single" w:sz="4" w:space="0" w:color="auto"/>
              <w:right w:val="single" w:sz="8" w:space="0" w:color="auto"/>
            </w:tcBorders>
            <w:shd w:val="clear" w:color="auto" w:fill="auto"/>
            <w:noWrap/>
            <w:vAlign w:val="bottom"/>
            <w:hideMark/>
          </w:tcPr>
          <w:p w14:paraId="26ABC91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20</w:t>
            </w:r>
          </w:p>
        </w:tc>
      </w:tr>
      <w:tr w:rsidR="006554DE" w:rsidRPr="00CE60B2" w14:paraId="26ABC92E"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1D"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Woodland</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1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13,215</w:t>
            </w:r>
          </w:p>
        </w:tc>
        <w:tc>
          <w:tcPr>
            <w:tcW w:w="850" w:type="dxa"/>
            <w:tcBorders>
              <w:top w:val="nil"/>
              <w:left w:val="nil"/>
              <w:bottom w:val="single" w:sz="4" w:space="0" w:color="auto"/>
              <w:right w:val="single" w:sz="4" w:space="0" w:color="auto"/>
            </w:tcBorders>
            <w:shd w:val="clear" w:color="auto" w:fill="auto"/>
            <w:noWrap/>
            <w:vAlign w:val="bottom"/>
            <w:hideMark/>
          </w:tcPr>
          <w:p w14:paraId="26ABC91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11,602</w:t>
            </w:r>
          </w:p>
        </w:tc>
        <w:tc>
          <w:tcPr>
            <w:tcW w:w="709" w:type="dxa"/>
            <w:tcBorders>
              <w:top w:val="nil"/>
              <w:left w:val="nil"/>
              <w:bottom w:val="single" w:sz="4" w:space="0" w:color="auto"/>
              <w:right w:val="single" w:sz="4" w:space="0" w:color="auto"/>
            </w:tcBorders>
            <w:shd w:val="clear" w:color="auto" w:fill="auto"/>
            <w:noWrap/>
            <w:vAlign w:val="bottom"/>
            <w:hideMark/>
          </w:tcPr>
          <w:p w14:paraId="26ABC92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87.8</w:t>
            </w:r>
          </w:p>
        </w:tc>
        <w:tc>
          <w:tcPr>
            <w:tcW w:w="992" w:type="dxa"/>
            <w:tcBorders>
              <w:top w:val="nil"/>
              <w:left w:val="nil"/>
              <w:bottom w:val="single" w:sz="4" w:space="0" w:color="auto"/>
              <w:right w:val="single" w:sz="8" w:space="0" w:color="auto"/>
            </w:tcBorders>
            <w:shd w:val="clear" w:color="auto" w:fill="auto"/>
            <w:noWrap/>
            <w:vAlign w:val="bottom"/>
            <w:hideMark/>
          </w:tcPr>
          <w:p w14:paraId="26ABC92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1,440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2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12,037</w:t>
            </w:r>
          </w:p>
        </w:tc>
        <w:tc>
          <w:tcPr>
            <w:tcW w:w="851" w:type="dxa"/>
            <w:tcBorders>
              <w:top w:val="nil"/>
              <w:left w:val="nil"/>
              <w:bottom w:val="single" w:sz="4" w:space="0" w:color="auto"/>
              <w:right w:val="single" w:sz="4" w:space="0" w:color="auto"/>
            </w:tcBorders>
            <w:shd w:val="clear" w:color="auto" w:fill="auto"/>
            <w:noWrap/>
            <w:vAlign w:val="bottom"/>
            <w:hideMark/>
          </w:tcPr>
          <w:p w14:paraId="26ABC92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11,876</w:t>
            </w:r>
          </w:p>
        </w:tc>
        <w:tc>
          <w:tcPr>
            <w:tcW w:w="708" w:type="dxa"/>
            <w:tcBorders>
              <w:top w:val="nil"/>
              <w:left w:val="nil"/>
              <w:bottom w:val="single" w:sz="4" w:space="0" w:color="auto"/>
              <w:right w:val="single" w:sz="4" w:space="0" w:color="auto"/>
            </w:tcBorders>
            <w:shd w:val="clear" w:color="auto" w:fill="auto"/>
            <w:noWrap/>
            <w:vAlign w:val="bottom"/>
            <w:hideMark/>
          </w:tcPr>
          <w:p w14:paraId="26ABC92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99</w:t>
            </w:r>
          </w:p>
        </w:tc>
        <w:tc>
          <w:tcPr>
            <w:tcW w:w="993" w:type="dxa"/>
            <w:tcBorders>
              <w:top w:val="nil"/>
              <w:left w:val="nil"/>
              <w:bottom w:val="single" w:sz="4" w:space="0" w:color="auto"/>
              <w:right w:val="single" w:sz="8" w:space="0" w:color="auto"/>
            </w:tcBorders>
            <w:shd w:val="clear" w:color="auto" w:fill="auto"/>
            <w:noWrap/>
            <w:vAlign w:val="bottom"/>
            <w:hideMark/>
          </w:tcPr>
          <w:p w14:paraId="26ABC92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113</w:t>
            </w:r>
          </w:p>
        </w:tc>
        <w:tc>
          <w:tcPr>
            <w:tcW w:w="849" w:type="dxa"/>
            <w:tcBorders>
              <w:top w:val="nil"/>
              <w:left w:val="nil"/>
              <w:bottom w:val="single" w:sz="4" w:space="0" w:color="auto"/>
              <w:right w:val="single" w:sz="4" w:space="0" w:color="auto"/>
            </w:tcBorders>
            <w:shd w:val="clear" w:color="auto" w:fill="auto"/>
            <w:noWrap/>
            <w:vAlign w:val="bottom"/>
            <w:hideMark/>
          </w:tcPr>
          <w:p w14:paraId="26ABC92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12,216</w:t>
            </w:r>
          </w:p>
        </w:tc>
        <w:tc>
          <w:tcPr>
            <w:tcW w:w="826" w:type="dxa"/>
            <w:tcBorders>
              <w:top w:val="nil"/>
              <w:left w:val="nil"/>
              <w:bottom w:val="single" w:sz="4" w:space="0" w:color="auto"/>
              <w:right w:val="single" w:sz="4" w:space="0" w:color="auto"/>
            </w:tcBorders>
            <w:shd w:val="clear" w:color="auto" w:fill="auto"/>
            <w:noWrap/>
            <w:vAlign w:val="bottom"/>
            <w:hideMark/>
          </w:tcPr>
          <w:p w14:paraId="26ABC92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12,090</w:t>
            </w:r>
          </w:p>
        </w:tc>
        <w:tc>
          <w:tcPr>
            <w:tcW w:w="734" w:type="dxa"/>
            <w:tcBorders>
              <w:top w:val="nil"/>
              <w:left w:val="nil"/>
              <w:bottom w:val="single" w:sz="4" w:space="0" w:color="auto"/>
              <w:right w:val="single" w:sz="4" w:space="0" w:color="auto"/>
            </w:tcBorders>
            <w:shd w:val="clear" w:color="auto" w:fill="auto"/>
            <w:noWrap/>
            <w:vAlign w:val="bottom"/>
            <w:hideMark/>
          </w:tcPr>
          <w:p w14:paraId="26ABC92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99.0</w:t>
            </w:r>
          </w:p>
        </w:tc>
        <w:tc>
          <w:tcPr>
            <w:tcW w:w="993" w:type="dxa"/>
            <w:tcBorders>
              <w:top w:val="nil"/>
              <w:left w:val="nil"/>
              <w:bottom w:val="single" w:sz="4" w:space="0" w:color="auto"/>
              <w:right w:val="single" w:sz="8" w:space="0" w:color="auto"/>
            </w:tcBorders>
            <w:shd w:val="clear" w:color="auto" w:fill="auto"/>
            <w:noWrap/>
            <w:vAlign w:val="bottom"/>
            <w:hideMark/>
          </w:tcPr>
          <w:p w14:paraId="26ABC92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126</w:t>
            </w:r>
          </w:p>
        </w:tc>
        <w:tc>
          <w:tcPr>
            <w:tcW w:w="849" w:type="dxa"/>
            <w:tcBorders>
              <w:top w:val="nil"/>
              <w:left w:val="nil"/>
              <w:bottom w:val="single" w:sz="4" w:space="0" w:color="auto"/>
              <w:right w:val="single" w:sz="4" w:space="0" w:color="auto"/>
            </w:tcBorders>
            <w:shd w:val="clear" w:color="auto" w:fill="auto"/>
            <w:noWrap/>
            <w:vAlign w:val="bottom"/>
            <w:hideMark/>
          </w:tcPr>
          <w:p w14:paraId="26ABC92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12,178</w:t>
            </w:r>
          </w:p>
        </w:tc>
        <w:tc>
          <w:tcPr>
            <w:tcW w:w="851" w:type="dxa"/>
            <w:tcBorders>
              <w:top w:val="nil"/>
              <w:left w:val="nil"/>
              <w:bottom w:val="single" w:sz="4" w:space="0" w:color="auto"/>
              <w:right w:val="single" w:sz="4" w:space="0" w:color="auto"/>
            </w:tcBorders>
            <w:shd w:val="clear" w:color="auto" w:fill="auto"/>
            <w:noWrap/>
            <w:vAlign w:val="bottom"/>
            <w:hideMark/>
          </w:tcPr>
          <w:p w14:paraId="26ABC92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12,047</w:t>
            </w:r>
          </w:p>
        </w:tc>
        <w:tc>
          <w:tcPr>
            <w:tcW w:w="602" w:type="dxa"/>
            <w:tcBorders>
              <w:top w:val="nil"/>
              <w:left w:val="nil"/>
              <w:bottom w:val="single" w:sz="4" w:space="0" w:color="auto"/>
              <w:right w:val="single" w:sz="4" w:space="0" w:color="auto"/>
            </w:tcBorders>
            <w:shd w:val="clear" w:color="auto" w:fill="auto"/>
            <w:noWrap/>
            <w:vAlign w:val="bottom"/>
            <w:hideMark/>
          </w:tcPr>
          <w:p w14:paraId="26ABC92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98.9</w:t>
            </w:r>
          </w:p>
        </w:tc>
        <w:tc>
          <w:tcPr>
            <w:tcW w:w="958" w:type="dxa"/>
            <w:tcBorders>
              <w:top w:val="nil"/>
              <w:left w:val="nil"/>
              <w:bottom w:val="single" w:sz="4" w:space="0" w:color="auto"/>
              <w:right w:val="single" w:sz="8" w:space="0" w:color="auto"/>
            </w:tcBorders>
            <w:shd w:val="clear" w:color="auto" w:fill="auto"/>
            <w:noWrap/>
            <w:vAlign w:val="bottom"/>
            <w:hideMark/>
          </w:tcPr>
          <w:p w14:paraId="26ABC92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125</w:t>
            </w:r>
          </w:p>
        </w:tc>
      </w:tr>
      <w:tr w:rsidR="006554DE" w:rsidRPr="00CE60B2" w14:paraId="26ABC940"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2F"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Jarrah Yellow Tingle</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3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7,249</w:t>
            </w:r>
          </w:p>
        </w:tc>
        <w:tc>
          <w:tcPr>
            <w:tcW w:w="850" w:type="dxa"/>
            <w:tcBorders>
              <w:top w:val="nil"/>
              <w:left w:val="nil"/>
              <w:bottom w:val="single" w:sz="4" w:space="0" w:color="auto"/>
              <w:right w:val="single" w:sz="4" w:space="0" w:color="auto"/>
            </w:tcBorders>
            <w:shd w:val="clear" w:color="auto" w:fill="auto"/>
            <w:noWrap/>
            <w:vAlign w:val="bottom"/>
            <w:hideMark/>
          </w:tcPr>
          <w:p w14:paraId="26ABC93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4,395</w:t>
            </w:r>
          </w:p>
        </w:tc>
        <w:tc>
          <w:tcPr>
            <w:tcW w:w="709" w:type="dxa"/>
            <w:tcBorders>
              <w:top w:val="nil"/>
              <w:left w:val="nil"/>
              <w:bottom w:val="single" w:sz="4" w:space="0" w:color="auto"/>
              <w:right w:val="single" w:sz="4" w:space="0" w:color="auto"/>
            </w:tcBorders>
            <w:shd w:val="clear" w:color="auto" w:fill="auto"/>
            <w:noWrap/>
            <w:vAlign w:val="bottom"/>
            <w:hideMark/>
          </w:tcPr>
          <w:p w14:paraId="26ABC93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60.6</w:t>
            </w:r>
          </w:p>
        </w:tc>
        <w:tc>
          <w:tcPr>
            <w:tcW w:w="992" w:type="dxa"/>
            <w:tcBorders>
              <w:top w:val="nil"/>
              <w:left w:val="nil"/>
              <w:bottom w:val="single" w:sz="4" w:space="0" w:color="auto"/>
              <w:right w:val="single" w:sz="8" w:space="0" w:color="auto"/>
            </w:tcBorders>
            <w:shd w:val="clear" w:color="auto" w:fill="auto"/>
            <w:noWrap/>
            <w:vAlign w:val="bottom"/>
            <w:hideMark/>
          </w:tcPr>
          <w:p w14:paraId="26ABC93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236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3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7,074</w:t>
            </w:r>
          </w:p>
        </w:tc>
        <w:tc>
          <w:tcPr>
            <w:tcW w:w="851" w:type="dxa"/>
            <w:tcBorders>
              <w:top w:val="nil"/>
              <w:left w:val="nil"/>
              <w:bottom w:val="single" w:sz="4" w:space="0" w:color="auto"/>
              <w:right w:val="single" w:sz="4" w:space="0" w:color="auto"/>
            </w:tcBorders>
            <w:shd w:val="clear" w:color="auto" w:fill="auto"/>
            <w:noWrap/>
            <w:vAlign w:val="bottom"/>
            <w:hideMark/>
          </w:tcPr>
          <w:p w14:paraId="26ABC93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7,074</w:t>
            </w:r>
          </w:p>
        </w:tc>
        <w:tc>
          <w:tcPr>
            <w:tcW w:w="708" w:type="dxa"/>
            <w:tcBorders>
              <w:top w:val="nil"/>
              <w:left w:val="nil"/>
              <w:bottom w:val="single" w:sz="4" w:space="0" w:color="auto"/>
              <w:right w:val="single" w:sz="4" w:space="0" w:color="auto"/>
            </w:tcBorders>
            <w:shd w:val="clear" w:color="auto" w:fill="auto"/>
            <w:noWrap/>
            <w:vAlign w:val="bottom"/>
            <w:hideMark/>
          </w:tcPr>
          <w:p w14:paraId="26ABC93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w:t>
            </w:r>
          </w:p>
        </w:tc>
        <w:tc>
          <w:tcPr>
            <w:tcW w:w="993" w:type="dxa"/>
            <w:tcBorders>
              <w:top w:val="nil"/>
              <w:left w:val="nil"/>
              <w:bottom w:val="single" w:sz="4" w:space="0" w:color="auto"/>
              <w:right w:val="single" w:sz="8" w:space="0" w:color="auto"/>
            </w:tcBorders>
            <w:shd w:val="clear" w:color="auto" w:fill="auto"/>
            <w:noWrap/>
            <w:vAlign w:val="bottom"/>
            <w:hideMark/>
          </w:tcPr>
          <w:p w14:paraId="26ABC93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3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7,074</w:t>
            </w:r>
          </w:p>
        </w:tc>
        <w:tc>
          <w:tcPr>
            <w:tcW w:w="826" w:type="dxa"/>
            <w:tcBorders>
              <w:top w:val="nil"/>
              <w:left w:val="nil"/>
              <w:bottom w:val="single" w:sz="4" w:space="0" w:color="auto"/>
              <w:right w:val="single" w:sz="4" w:space="0" w:color="auto"/>
            </w:tcBorders>
            <w:shd w:val="clear" w:color="auto" w:fill="auto"/>
            <w:noWrap/>
            <w:vAlign w:val="bottom"/>
            <w:hideMark/>
          </w:tcPr>
          <w:p w14:paraId="26ABC93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7,074</w:t>
            </w:r>
          </w:p>
        </w:tc>
        <w:tc>
          <w:tcPr>
            <w:tcW w:w="734" w:type="dxa"/>
            <w:tcBorders>
              <w:top w:val="nil"/>
              <w:left w:val="nil"/>
              <w:bottom w:val="single" w:sz="4" w:space="0" w:color="auto"/>
              <w:right w:val="single" w:sz="4" w:space="0" w:color="auto"/>
            </w:tcBorders>
            <w:shd w:val="clear" w:color="auto" w:fill="auto"/>
            <w:noWrap/>
            <w:vAlign w:val="bottom"/>
            <w:hideMark/>
          </w:tcPr>
          <w:p w14:paraId="26ABC93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3" w:type="dxa"/>
            <w:tcBorders>
              <w:top w:val="nil"/>
              <w:left w:val="nil"/>
              <w:bottom w:val="single" w:sz="4" w:space="0" w:color="auto"/>
              <w:right w:val="single" w:sz="8" w:space="0" w:color="auto"/>
            </w:tcBorders>
            <w:shd w:val="clear" w:color="auto" w:fill="auto"/>
            <w:noWrap/>
            <w:vAlign w:val="bottom"/>
            <w:hideMark/>
          </w:tcPr>
          <w:p w14:paraId="26ABC93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3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7,065</w:t>
            </w:r>
          </w:p>
        </w:tc>
        <w:tc>
          <w:tcPr>
            <w:tcW w:w="851" w:type="dxa"/>
            <w:tcBorders>
              <w:top w:val="nil"/>
              <w:left w:val="nil"/>
              <w:bottom w:val="single" w:sz="4" w:space="0" w:color="auto"/>
              <w:right w:val="single" w:sz="4" w:space="0" w:color="auto"/>
            </w:tcBorders>
            <w:shd w:val="clear" w:color="auto" w:fill="auto"/>
            <w:noWrap/>
            <w:vAlign w:val="bottom"/>
            <w:hideMark/>
          </w:tcPr>
          <w:p w14:paraId="26ABC93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7,065</w:t>
            </w:r>
          </w:p>
        </w:tc>
        <w:tc>
          <w:tcPr>
            <w:tcW w:w="602" w:type="dxa"/>
            <w:tcBorders>
              <w:top w:val="nil"/>
              <w:left w:val="nil"/>
              <w:bottom w:val="single" w:sz="4" w:space="0" w:color="auto"/>
              <w:right w:val="single" w:sz="4" w:space="0" w:color="auto"/>
            </w:tcBorders>
            <w:shd w:val="clear" w:color="auto" w:fill="auto"/>
            <w:noWrap/>
            <w:vAlign w:val="bottom"/>
            <w:hideMark/>
          </w:tcPr>
          <w:p w14:paraId="26ABC93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58" w:type="dxa"/>
            <w:tcBorders>
              <w:top w:val="nil"/>
              <w:left w:val="nil"/>
              <w:bottom w:val="single" w:sz="4" w:space="0" w:color="auto"/>
              <w:right w:val="single" w:sz="8" w:space="0" w:color="auto"/>
            </w:tcBorders>
            <w:shd w:val="clear" w:color="auto" w:fill="auto"/>
            <w:noWrap/>
            <w:vAlign w:val="bottom"/>
            <w:hideMark/>
          </w:tcPr>
          <w:p w14:paraId="26ABC93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r>
      <w:tr w:rsidR="006554DE" w:rsidRPr="00CE60B2" w14:paraId="26ABC952" w14:textId="77777777" w:rsidTr="006554DE">
        <w:trPr>
          <w:trHeight w:val="255"/>
        </w:trPr>
        <w:tc>
          <w:tcPr>
            <w:tcW w:w="2127" w:type="dxa"/>
            <w:tcBorders>
              <w:top w:val="nil"/>
              <w:left w:val="single" w:sz="4" w:space="0" w:color="auto"/>
              <w:bottom w:val="single" w:sz="4" w:space="0" w:color="auto"/>
              <w:right w:val="nil"/>
            </w:tcBorders>
            <w:shd w:val="clear" w:color="auto" w:fill="DFEFE1" w:themeFill="accent3" w:themeFillTint="66"/>
            <w:noWrap/>
            <w:vAlign w:val="bottom"/>
            <w:hideMark/>
          </w:tcPr>
          <w:p w14:paraId="26ABC941"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Sub-total Jarrah dominant</w:t>
            </w:r>
          </w:p>
        </w:tc>
        <w:tc>
          <w:tcPr>
            <w:tcW w:w="851" w:type="dxa"/>
            <w:tcBorders>
              <w:top w:val="nil"/>
              <w:left w:val="single" w:sz="8" w:space="0" w:color="auto"/>
              <w:bottom w:val="single" w:sz="4" w:space="0" w:color="auto"/>
              <w:right w:val="single" w:sz="4" w:space="0" w:color="auto"/>
            </w:tcBorders>
            <w:shd w:val="clear" w:color="auto" w:fill="DFEFE1" w:themeFill="accent3" w:themeFillTint="66"/>
            <w:noWrap/>
            <w:vAlign w:val="bottom"/>
            <w:hideMark/>
          </w:tcPr>
          <w:p w14:paraId="26ABC942"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270,892</w:t>
            </w:r>
          </w:p>
        </w:tc>
        <w:tc>
          <w:tcPr>
            <w:tcW w:w="850" w:type="dxa"/>
            <w:tcBorders>
              <w:top w:val="nil"/>
              <w:left w:val="nil"/>
              <w:bottom w:val="single" w:sz="4" w:space="0" w:color="auto"/>
              <w:right w:val="single" w:sz="4" w:space="0" w:color="auto"/>
            </w:tcBorders>
            <w:shd w:val="clear" w:color="auto" w:fill="DFEFE1" w:themeFill="accent3" w:themeFillTint="66"/>
            <w:noWrap/>
            <w:vAlign w:val="bottom"/>
            <w:hideMark/>
          </w:tcPr>
          <w:p w14:paraId="26ABC943"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181,092</w:t>
            </w:r>
          </w:p>
        </w:tc>
        <w:tc>
          <w:tcPr>
            <w:tcW w:w="709" w:type="dxa"/>
            <w:tcBorders>
              <w:top w:val="nil"/>
              <w:left w:val="nil"/>
              <w:bottom w:val="single" w:sz="4" w:space="0" w:color="auto"/>
              <w:right w:val="single" w:sz="4" w:space="0" w:color="auto"/>
            </w:tcBorders>
            <w:shd w:val="clear" w:color="auto" w:fill="DFEFE1" w:themeFill="accent3" w:themeFillTint="66"/>
            <w:noWrap/>
            <w:vAlign w:val="bottom"/>
            <w:hideMark/>
          </w:tcPr>
          <w:p w14:paraId="26ABC944"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 </w:t>
            </w:r>
          </w:p>
        </w:tc>
        <w:tc>
          <w:tcPr>
            <w:tcW w:w="992" w:type="dxa"/>
            <w:tcBorders>
              <w:top w:val="nil"/>
              <w:left w:val="nil"/>
              <w:bottom w:val="single" w:sz="4" w:space="0" w:color="auto"/>
              <w:right w:val="single" w:sz="8" w:space="0" w:color="auto"/>
            </w:tcBorders>
            <w:shd w:val="clear" w:color="auto" w:fill="DFEFE1" w:themeFill="accent3" w:themeFillTint="66"/>
            <w:noWrap/>
            <w:vAlign w:val="bottom"/>
            <w:hideMark/>
          </w:tcPr>
          <w:p w14:paraId="26ABC945"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8,573</w:t>
            </w:r>
          </w:p>
        </w:tc>
        <w:tc>
          <w:tcPr>
            <w:tcW w:w="850" w:type="dxa"/>
            <w:gridSpan w:val="2"/>
            <w:tcBorders>
              <w:top w:val="nil"/>
              <w:left w:val="nil"/>
              <w:bottom w:val="single" w:sz="4" w:space="0" w:color="auto"/>
              <w:right w:val="single" w:sz="4" w:space="0" w:color="auto"/>
            </w:tcBorders>
            <w:shd w:val="clear" w:color="auto" w:fill="DFEFE1" w:themeFill="accent3" w:themeFillTint="66"/>
            <w:noWrap/>
            <w:vAlign w:val="bottom"/>
            <w:hideMark/>
          </w:tcPr>
          <w:p w14:paraId="26ABC946"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257,449</w:t>
            </w:r>
          </w:p>
        </w:tc>
        <w:tc>
          <w:tcPr>
            <w:tcW w:w="851" w:type="dxa"/>
            <w:tcBorders>
              <w:top w:val="nil"/>
              <w:left w:val="nil"/>
              <w:bottom w:val="single" w:sz="4" w:space="0" w:color="auto"/>
              <w:right w:val="single" w:sz="4" w:space="0" w:color="auto"/>
            </w:tcBorders>
            <w:shd w:val="clear" w:color="auto" w:fill="DFEFE1" w:themeFill="accent3" w:themeFillTint="66"/>
            <w:noWrap/>
            <w:vAlign w:val="bottom"/>
            <w:hideMark/>
          </w:tcPr>
          <w:p w14:paraId="26ABC947"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245,905</w:t>
            </w:r>
          </w:p>
        </w:tc>
        <w:tc>
          <w:tcPr>
            <w:tcW w:w="708" w:type="dxa"/>
            <w:tcBorders>
              <w:top w:val="nil"/>
              <w:left w:val="nil"/>
              <w:bottom w:val="single" w:sz="4" w:space="0" w:color="auto"/>
              <w:right w:val="single" w:sz="4" w:space="0" w:color="auto"/>
            </w:tcBorders>
            <w:shd w:val="clear" w:color="auto" w:fill="DFEFE1" w:themeFill="accent3" w:themeFillTint="66"/>
            <w:noWrap/>
            <w:vAlign w:val="bottom"/>
            <w:hideMark/>
          </w:tcPr>
          <w:p w14:paraId="26ABC948"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 </w:t>
            </w:r>
          </w:p>
        </w:tc>
        <w:tc>
          <w:tcPr>
            <w:tcW w:w="993" w:type="dxa"/>
            <w:tcBorders>
              <w:top w:val="nil"/>
              <w:left w:val="nil"/>
              <w:bottom w:val="single" w:sz="4" w:space="0" w:color="auto"/>
              <w:right w:val="single" w:sz="8" w:space="0" w:color="auto"/>
            </w:tcBorders>
            <w:shd w:val="clear" w:color="auto" w:fill="DFEFE1" w:themeFill="accent3" w:themeFillTint="66"/>
            <w:noWrap/>
            <w:vAlign w:val="bottom"/>
            <w:hideMark/>
          </w:tcPr>
          <w:p w14:paraId="26ABC949"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11,152</w:t>
            </w:r>
          </w:p>
        </w:tc>
        <w:tc>
          <w:tcPr>
            <w:tcW w:w="849" w:type="dxa"/>
            <w:tcBorders>
              <w:top w:val="nil"/>
              <w:left w:val="nil"/>
              <w:bottom w:val="single" w:sz="4" w:space="0" w:color="auto"/>
              <w:right w:val="single" w:sz="4" w:space="0" w:color="auto"/>
            </w:tcBorders>
            <w:shd w:val="clear" w:color="auto" w:fill="DFEFE1" w:themeFill="accent3" w:themeFillTint="66"/>
            <w:noWrap/>
            <w:vAlign w:val="bottom"/>
            <w:hideMark/>
          </w:tcPr>
          <w:p w14:paraId="26ABC94A"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258,275</w:t>
            </w:r>
          </w:p>
        </w:tc>
        <w:tc>
          <w:tcPr>
            <w:tcW w:w="826" w:type="dxa"/>
            <w:tcBorders>
              <w:top w:val="nil"/>
              <w:left w:val="nil"/>
              <w:bottom w:val="single" w:sz="4" w:space="0" w:color="auto"/>
              <w:right w:val="single" w:sz="4" w:space="0" w:color="auto"/>
            </w:tcBorders>
            <w:shd w:val="clear" w:color="auto" w:fill="DFEFE1" w:themeFill="accent3" w:themeFillTint="66"/>
            <w:noWrap/>
            <w:vAlign w:val="bottom"/>
            <w:hideMark/>
          </w:tcPr>
          <w:p w14:paraId="26ABC94B"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245,104</w:t>
            </w:r>
          </w:p>
        </w:tc>
        <w:tc>
          <w:tcPr>
            <w:tcW w:w="734" w:type="dxa"/>
            <w:tcBorders>
              <w:top w:val="nil"/>
              <w:left w:val="nil"/>
              <w:bottom w:val="single" w:sz="4" w:space="0" w:color="auto"/>
              <w:right w:val="single" w:sz="4" w:space="0" w:color="auto"/>
            </w:tcBorders>
            <w:shd w:val="clear" w:color="auto" w:fill="DFEFE1" w:themeFill="accent3" w:themeFillTint="66"/>
            <w:noWrap/>
            <w:vAlign w:val="bottom"/>
            <w:hideMark/>
          </w:tcPr>
          <w:p w14:paraId="26ABC94C"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 </w:t>
            </w:r>
          </w:p>
        </w:tc>
        <w:tc>
          <w:tcPr>
            <w:tcW w:w="993" w:type="dxa"/>
            <w:tcBorders>
              <w:top w:val="nil"/>
              <w:left w:val="nil"/>
              <w:bottom w:val="single" w:sz="4" w:space="0" w:color="auto"/>
              <w:right w:val="single" w:sz="8" w:space="0" w:color="auto"/>
            </w:tcBorders>
            <w:shd w:val="clear" w:color="auto" w:fill="DFEFE1" w:themeFill="accent3" w:themeFillTint="66"/>
            <w:noWrap/>
            <w:vAlign w:val="bottom"/>
            <w:hideMark/>
          </w:tcPr>
          <w:p w14:paraId="26ABC94D"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12,920</w:t>
            </w:r>
          </w:p>
        </w:tc>
        <w:tc>
          <w:tcPr>
            <w:tcW w:w="849" w:type="dxa"/>
            <w:tcBorders>
              <w:top w:val="nil"/>
              <w:left w:val="nil"/>
              <w:bottom w:val="single" w:sz="4" w:space="0" w:color="auto"/>
              <w:right w:val="single" w:sz="4" w:space="0" w:color="auto"/>
            </w:tcBorders>
            <w:shd w:val="clear" w:color="auto" w:fill="DFEFE1" w:themeFill="accent3" w:themeFillTint="66"/>
            <w:noWrap/>
            <w:vAlign w:val="bottom"/>
            <w:hideMark/>
          </w:tcPr>
          <w:p w14:paraId="26ABC94E"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258,300</w:t>
            </w:r>
          </w:p>
        </w:tc>
        <w:tc>
          <w:tcPr>
            <w:tcW w:w="851" w:type="dxa"/>
            <w:tcBorders>
              <w:top w:val="nil"/>
              <w:left w:val="nil"/>
              <w:bottom w:val="single" w:sz="4" w:space="0" w:color="auto"/>
              <w:right w:val="single" w:sz="4" w:space="0" w:color="auto"/>
            </w:tcBorders>
            <w:shd w:val="clear" w:color="auto" w:fill="DFEFE1" w:themeFill="accent3" w:themeFillTint="66"/>
            <w:noWrap/>
            <w:vAlign w:val="bottom"/>
            <w:hideMark/>
          </w:tcPr>
          <w:p w14:paraId="26ABC94F"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244,432</w:t>
            </w:r>
          </w:p>
        </w:tc>
        <w:tc>
          <w:tcPr>
            <w:tcW w:w="602" w:type="dxa"/>
            <w:tcBorders>
              <w:top w:val="nil"/>
              <w:left w:val="nil"/>
              <w:bottom w:val="single" w:sz="4" w:space="0" w:color="auto"/>
              <w:right w:val="single" w:sz="4" w:space="0" w:color="auto"/>
            </w:tcBorders>
            <w:shd w:val="clear" w:color="auto" w:fill="DFEFE1" w:themeFill="accent3" w:themeFillTint="66"/>
            <w:noWrap/>
            <w:vAlign w:val="bottom"/>
            <w:hideMark/>
          </w:tcPr>
          <w:p w14:paraId="26ABC950"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 </w:t>
            </w:r>
          </w:p>
        </w:tc>
        <w:tc>
          <w:tcPr>
            <w:tcW w:w="958" w:type="dxa"/>
            <w:tcBorders>
              <w:top w:val="nil"/>
              <w:left w:val="nil"/>
              <w:bottom w:val="single" w:sz="4" w:space="0" w:color="auto"/>
              <w:right w:val="single" w:sz="8" w:space="0" w:color="auto"/>
            </w:tcBorders>
            <w:shd w:val="clear" w:color="auto" w:fill="DFEFE1" w:themeFill="accent3" w:themeFillTint="66"/>
            <w:noWrap/>
            <w:vAlign w:val="bottom"/>
            <w:hideMark/>
          </w:tcPr>
          <w:p w14:paraId="26ABC951"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13,291</w:t>
            </w:r>
          </w:p>
        </w:tc>
      </w:tr>
      <w:tr w:rsidR="006554DE" w:rsidRPr="00CE60B2" w14:paraId="26ABC964"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53"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Karri Main Belt</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5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53,569</w:t>
            </w:r>
          </w:p>
        </w:tc>
        <w:tc>
          <w:tcPr>
            <w:tcW w:w="850" w:type="dxa"/>
            <w:tcBorders>
              <w:top w:val="nil"/>
              <w:left w:val="nil"/>
              <w:bottom w:val="single" w:sz="4" w:space="0" w:color="auto"/>
              <w:right w:val="single" w:sz="4" w:space="0" w:color="auto"/>
            </w:tcBorders>
            <w:shd w:val="clear" w:color="auto" w:fill="auto"/>
            <w:noWrap/>
            <w:vAlign w:val="bottom"/>
            <w:hideMark/>
          </w:tcPr>
          <w:p w14:paraId="26ABC95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33,496</w:t>
            </w:r>
          </w:p>
        </w:tc>
        <w:tc>
          <w:tcPr>
            <w:tcW w:w="709" w:type="dxa"/>
            <w:tcBorders>
              <w:top w:val="nil"/>
              <w:left w:val="nil"/>
              <w:bottom w:val="single" w:sz="4" w:space="0" w:color="auto"/>
              <w:right w:val="single" w:sz="4" w:space="0" w:color="auto"/>
            </w:tcBorders>
            <w:shd w:val="clear" w:color="auto" w:fill="auto"/>
            <w:noWrap/>
            <w:vAlign w:val="bottom"/>
            <w:hideMark/>
          </w:tcPr>
          <w:p w14:paraId="26ABC95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62.5</w:t>
            </w:r>
          </w:p>
        </w:tc>
        <w:tc>
          <w:tcPr>
            <w:tcW w:w="992" w:type="dxa"/>
            <w:tcBorders>
              <w:top w:val="nil"/>
              <w:left w:val="nil"/>
              <w:bottom w:val="single" w:sz="4" w:space="0" w:color="auto"/>
              <w:right w:val="single" w:sz="8" w:space="0" w:color="auto"/>
            </w:tcBorders>
            <w:shd w:val="clear" w:color="auto" w:fill="auto"/>
            <w:noWrap/>
            <w:vAlign w:val="bottom"/>
            <w:hideMark/>
          </w:tcPr>
          <w:p w14:paraId="26ABC95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3,603</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5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51,928</w:t>
            </w:r>
          </w:p>
        </w:tc>
        <w:tc>
          <w:tcPr>
            <w:tcW w:w="851" w:type="dxa"/>
            <w:tcBorders>
              <w:top w:val="nil"/>
              <w:left w:val="nil"/>
              <w:bottom w:val="single" w:sz="4" w:space="0" w:color="auto"/>
              <w:right w:val="single" w:sz="4" w:space="0" w:color="auto"/>
            </w:tcBorders>
            <w:shd w:val="clear" w:color="auto" w:fill="auto"/>
            <w:noWrap/>
            <w:vAlign w:val="bottom"/>
            <w:hideMark/>
          </w:tcPr>
          <w:p w14:paraId="26ABC95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46,952</w:t>
            </w:r>
          </w:p>
        </w:tc>
        <w:tc>
          <w:tcPr>
            <w:tcW w:w="708" w:type="dxa"/>
            <w:tcBorders>
              <w:top w:val="nil"/>
              <w:left w:val="nil"/>
              <w:bottom w:val="single" w:sz="4" w:space="0" w:color="auto"/>
              <w:right w:val="single" w:sz="4" w:space="0" w:color="auto"/>
            </w:tcBorders>
            <w:shd w:val="clear" w:color="auto" w:fill="auto"/>
            <w:noWrap/>
            <w:vAlign w:val="bottom"/>
            <w:hideMark/>
          </w:tcPr>
          <w:p w14:paraId="26ABC95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90</w:t>
            </w:r>
          </w:p>
        </w:tc>
        <w:tc>
          <w:tcPr>
            <w:tcW w:w="993" w:type="dxa"/>
            <w:tcBorders>
              <w:top w:val="nil"/>
              <w:left w:val="nil"/>
              <w:bottom w:val="single" w:sz="4" w:space="0" w:color="auto"/>
              <w:right w:val="single" w:sz="8" w:space="0" w:color="auto"/>
            </w:tcBorders>
            <w:shd w:val="clear" w:color="auto" w:fill="auto"/>
            <w:noWrap/>
            <w:vAlign w:val="bottom"/>
            <w:hideMark/>
          </w:tcPr>
          <w:p w14:paraId="26ABC95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4,976</w:t>
            </w:r>
          </w:p>
        </w:tc>
        <w:tc>
          <w:tcPr>
            <w:tcW w:w="849" w:type="dxa"/>
            <w:tcBorders>
              <w:top w:val="nil"/>
              <w:left w:val="nil"/>
              <w:bottom w:val="single" w:sz="4" w:space="0" w:color="auto"/>
              <w:right w:val="single" w:sz="4" w:space="0" w:color="auto"/>
            </w:tcBorders>
            <w:shd w:val="clear" w:color="auto" w:fill="auto"/>
            <w:noWrap/>
            <w:vAlign w:val="bottom"/>
            <w:hideMark/>
          </w:tcPr>
          <w:p w14:paraId="26ABC95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53,210</w:t>
            </w:r>
          </w:p>
        </w:tc>
        <w:tc>
          <w:tcPr>
            <w:tcW w:w="826" w:type="dxa"/>
            <w:tcBorders>
              <w:top w:val="nil"/>
              <w:left w:val="nil"/>
              <w:bottom w:val="single" w:sz="4" w:space="0" w:color="auto"/>
              <w:right w:val="single" w:sz="4" w:space="0" w:color="auto"/>
            </w:tcBorders>
            <w:shd w:val="clear" w:color="auto" w:fill="auto"/>
            <w:noWrap/>
            <w:vAlign w:val="bottom"/>
            <w:hideMark/>
          </w:tcPr>
          <w:p w14:paraId="26ABC95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48,050</w:t>
            </w:r>
          </w:p>
        </w:tc>
        <w:tc>
          <w:tcPr>
            <w:tcW w:w="734" w:type="dxa"/>
            <w:tcBorders>
              <w:top w:val="nil"/>
              <w:left w:val="nil"/>
              <w:bottom w:val="single" w:sz="4" w:space="0" w:color="auto"/>
              <w:right w:val="single" w:sz="4" w:space="0" w:color="auto"/>
            </w:tcBorders>
            <w:shd w:val="clear" w:color="auto" w:fill="auto"/>
            <w:noWrap/>
            <w:vAlign w:val="bottom"/>
            <w:hideMark/>
          </w:tcPr>
          <w:p w14:paraId="26ABC95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90.3</w:t>
            </w:r>
          </w:p>
        </w:tc>
        <w:tc>
          <w:tcPr>
            <w:tcW w:w="993" w:type="dxa"/>
            <w:tcBorders>
              <w:top w:val="nil"/>
              <w:left w:val="nil"/>
              <w:bottom w:val="single" w:sz="4" w:space="0" w:color="auto"/>
              <w:right w:val="single" w:sz="8" w:space="0" w:color="auto"/>
            </w:tcBorders>
            <w:shd w:val="clear" w:color="auto" w:fill="auto"/>
            <w:noWrap/>
            <w:vAlign w:val="bottom"/>
            <w:hideMark/>
          </w:tcPr>
          <w:p w14:paraId="26ABC95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5,160</w:t>
            </w:r>
          </w:p>
        </w:tc>
        <w:tc>
          <w:tcPr>
            <w:tcW w:w="849" w:type="dxa"/>
            <w:tcBorders>
              <w:top w:val="nil"/>
              <w:left w:val="nil"/>
              <w:bottom w:val="single" w:sz="4" w:space="0" w:color="auto"/>
              <w:right w:val="single" w:sz="4" w:space="0" w:color="auto"/>
            </w:tcBorders>
            <w:shd w:val="clear" w:color="auto" w:fill="auto"/>
            <w:noWrap/>
            <w:vAlign w:val="bottom"/>
            <w:hideMark/>
          </w:tcPr>
          <w:p w14:paraId="26ABC96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53,308</w:t>
            </w:r>
          </w:p>
        </w:tc>
        <w:tc>
          <w:tcPr>
            <w:tcW w:w="851" w:type="dxa"/>
            <w:tcBorders>
              <w:top w:val="nil"/>
              <w:left w:val="nil"/>
              <w:bottom w:val="single" w:sz="4" w:space="0" w:color="auto"/>
              <w:right w:val="single" w:sz="4" w:space="0" w:color="auto"/>
            </w:tcBorders>
            <w:shd w:val="clear" w:color="auto" w:fill="auto"/>
            <w:noWrap/>
            <w:vAlign w:val="bottom"/>
            <w:hideMark/>
          </w:tcPr>
          <w:p w14:paraId="26ABC96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47,802</w:t>
            </w:r>
          </w:p>
        </w:tc>
        <w:tc>
          <w:tcPr>
            <w:tcW w:w="602" w:type="dxa"/>
            <w:tcBorders>
              <w:top w:val="nil"/>
              <w:left w:val="nil"/>
              <w:bottom w:val="single" w:sz="4" w:space="0" w:color="auto"/>
              <w:right w:val="single" w:sz="4" w:space="0" w:color="auto"/>
            </w:tcBorders>
            <w:shd w:val="clear" w:color="auto" w:fill="auto"/>
            <w:noWrap/>
            <w:vAlign w:val="bottom"/>
            <w:hideMark/>
          </w:tcPr>
          <w:p w14:paraId="26ABC96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89.7</w:t>
            </w:r>
          </w:p>
        </w:tc>
        <w:tc>
          <w:tcPr>
            <w:tcW w:w="958" w:type="dxa"/>
            <w:tcBorders>
              <w:top w:val="nil"/>
              <w:left w:val="nil"/>
              <w:bottom w:val="single" w:sz="4" w:space="0" w:color="auto"/>
              <w:right w:val="single" w:sz="8" w:space="0" w:color="auto"/>
            </w:tcBorders>
            <w:shd w:val="clear" w:color="auto" w:fill="auto"/>
            <w:noWrap/>
            <w:vAlign w:val="bottom"/>
            <w:hideMark/>
          </w:tcPr>
          <w:p w14:paraId="26ABC96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5,300</w:t>
            </w:r>
          </w:p>
        </w:tc>
      </w:tr>
      <w:tr w:rsidR="006554DE" w:rsidRPr="00CE60B2" w14:paraId="26ABC976"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65"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Karri Rate's Tingle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6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674</w:t>
            </w:r>
          </w:p>
        </w:tc>
        <w:tc>
          <w:tcPr>
            <w:tcW w:w="850" w:type="dxa"/>
            <w:tcBorders>
              <w:top w:val="nil"/>
              <w:left w:val="nil"/>
              <w:bottom w:val="single" w:sz="4" w:space="0" w:color="auto"/>
              <w:right w:val="single" w:sz="4" w:space="0" w:color="auto"/>
            </w:tcBorders>
            <w:shd w:val="clear" w:color="auto" w:fill="auto"/>
            <w:noWrap/>
            <w:vAlign w:val="bottom"/>
            <w:hideMark/>
          </w:tcPr>
          <w:p w14:paraId="26ABC96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674</w:t>
            </w:r>
          </w:p>
        </w:tc>
        <w:tc>
          <w:tcPr>
            <w:tcW w:w="709" w:type="dxa"/>
            <w:tcBorders>
              <w:top w:val="nil"/>
              <w:left w:val="nil"/>
              <w:bottom w:val="single" w:sz="4" w:space="0" w:color="auto"/>
              <w:right w:val="single" w:sz="4" w:space="0" w:color="auto"/>
            </w:tcBorders>
            <w:shd w:val="clear" w:color="auto" w:fill="auto"/>
            <w:noWrap/>
            <w:vAlign w:val="bottom"/>
            <w:hideMark/>
          </w:tcPr>
          <w:p w14:paraId="26ABC96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2" w:type="dxa"/>
            <w:tcBorders>
              <w:top w:val="nil"/>
              <w:left w:val="nil"/>
              <w:bottom w:val="single" w:sz="4" w:space="0" w:color="auto"/>
              <w:right w:val="single" w:sz="8" w:space="0" w:color="auto"/>
            </w:tcBorders>
            <w:shd w:val="clear" w:color="auto" w:fill="auto"/>
            <w:noWrap/>
            <w:vAlign w:val="bottom"/>
            <w:hideMark/>
          </w:tcPr>
          <w:p w14:paraId="26ABC96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6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731</w:t>
            </w:r>
          </w:p>
        </w:tc>
        <w:tc>
          <w:tcPr>
            <w:tcW w:w="851" w:type="dxa"/>
            <w:tcBorders>
              <w:top w:val="nil"/>
              <w:left w:val="nil"/>
              <w:bottom w:val="single" w:sz="4" w:space="0" w:color="auto"/>
              <w:right w:val="single" w:sz="4" w:space="0" w:color="auto"/>
            </w:tcBorders>
            <w:shd w:val="clear" w:color="auto" w:fill="auto"/>
            <w:noWrap/>
            <w:vAlign w:val="bottom"/>
            <w:hideMark/>
          </w:tcPr>
          <w:p w14:paraId="26ABC96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731</w:t>
            </w:r>
          </w:p>
        </w:tc>
        <w:tc>
          <w:tcPr>
            <w:tcW w:w="708" w:type="dxa"/>
            <w:tcBorders>
              <w:top w:val="nil"/>
              <w:left w:val="nil"/>
              <w:bottom w:val="single" w:sz="4" w:space="0" w:color="auto"/>
              <w:right w:val="single" w:sz="4" w:space="0" w:color="auto"/>
            </w:tcBorders>
            <w:shd w:val="clear" w:color="auto" w:fill="auto"/>
            <w:noWrap/>
            <w:vAlign w:val="bottom"/>
            <w:hideMark/>
          </w:tcPr>
          <w:p w14:paraId="26ABC96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w:t>
            </w:r>
          </w:p>
        </w:tc>
        <w:tc>
          <w:tcPr>
            <w:tcW w:w="993" w:type="dxa"/>
            <w:tcBorders>
              <w:top w:val="nil"/>
              <w:left w:val="nil"/>
              <w:bottom w:val="single" w:sz="4" w:space="0" w:color="auto"/>
              <w:right w:val="single" w:sz="8" w:space="0" w:color="auto"/>
            </w:tcBorders>
            <w:shd w:val="clear" w:color="auto" w:fill="auto"/>
            <w:noWrap/>
            <w:vAlign w:val="bottom"/>
            <w:hideMark/>
          </w:tcPr>
          <w:p w14:paraId="26ABC96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6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731</w:t>
            </w:r>
          </w:p>
        </w:tc>
        <w:tc>
          <w:tcPr>
            <w:tcW w:w="826" w:type="dxa"/>
            <w:tcBorders>
              <w:top w:val="nil"/>
              <w:left w:val="nil"/>
              <w:bottom w:val="single" w:sz="4" w:space="0" w:color="auto"/>
              <w:right w:val="single" w:sz="4" w:space="0" w:color="auto"/>
            </w:tcBorders>
            <w:shd w:val="clear" w:color="auto" w:fill="auto"/>
            <w:noWrap/>
            <w:vAlign w:val="bottom"/>
            <w:hideMark/>
          </w:tcPr>
          <w:p w14:paraId="26ABC96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731</w:t>
            </w:r>
          </w:p>
        </w:tc>
        <w:tc>
          <w:tcPr>
            <w:tcW w:w="734" w:type="dxa"/>
            <w:tcBorders>
              <w:top w:val="nil"/>
              <w:left w:val="nil"/>
              <w:bottom w:val="single" w:sz="4" w:space="0" w:color="auto"/>
              <w:right w:val="single" w:sz="4" w:space="0" w:color="auto"/>
            </w:tcBorders>
            <w:shd w:val="clear" w:color="auto" w:fill="auto"/>
            <w:noWrap/>
            <w:vAlign w:val="bottom"/>
            <w:hideMark/>
          </w:tcPr>
          <w:p w14:paraId="26ABC97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3" w:type="dxa"/>
            <w:tcBorders>
              <w:top w:val="nil"/>
              <w:left w:val="nil"/>
              <w:bottom w:val="single" w:sz="4" w:space="0" w:color="auto"/>
              <w:right w:val="single" w:sz="8" w:space="0" w:color="auto"/>
            </w:tcBorders>
            <w:shd w:val="clear" w:color="auto" w:fill="auto"/>
            <w:noWrap/>
            <w:vAlign w:val="bottom"/>
            <w:hideMark/>
          </w:tcPr>
          <w:p w14:paraId="26ABC97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7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731</w:t>
            </w:r>
          </w:p>
        </w:tc>
        <w:tc>
          <w:tcPr>
            <w:tcW w:w="851" w:type="dxa"/>
            <w:tcBorders>
              <w:top w:val="nil"/>
              <w:left w:val="nil"/>
              <w:bottom w:val="single" w:sz="4" w:space="0" w:color="auto"/>
              <w:right w:val="single" w:sz="4" w:space="0" w:color="auto"/>
            </w:tcBorders>
            <w:shd w:val="clear" w:color="auto" w:fill="auto"/>
            <w:noWrap/>
            <w:vAlign w:val="bottom"/>
            <w:hideMark/>
          </w:tcPr>
          <w:p w14:paraId="26ABC97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731</w:t>
            </w:r>
          </w:p>
        </w:tc>
        <w:tc>
          <w:tcPr>
            <w:tcW w:w="602" w:type="dxa"/>
            <w:tcBorders>
              <w:top w:val="nil"/>
              <w:left w:val="nil"/>
              <w:bottom w:val="single" w:sz="4" w:space="0" w:color="auto"/>
              <w:right w:val="single" w:sz="4" w:space="0" w:color="auto"/>
            </w:tcBorders>
            <w:shd w:val="clear" w:color="auto" w:fill="auto"/>
            <w:noWrap/>
            <w:vAlign w:val="bottom"/>
            <w:hideMark/>
          </w:tcPr>
          <w:p w14:paraId="26ABC97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58" w:type="dxa"/>
            <w:tcBorders>
              <w:top w:val="nil"/>
              <w:left w:val="nil"/>
              <w:bottom w:val="single" w:sz="4" w:space="0" w:color="auto"/>
              <w:right w:val="single" w:sz="8" w:space="0" w:color="auto"/>
            </w:tcBorders>
            <w:shd w:val="clear" w:color="auto" w:fill="auto"/>
            <w:noWrap/>
            <w:vAlign w:val="bottom"/>
            <w:hideMark/>
          </w:tcPr>
          <w:p w14:paraId="26ABC97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r>
      <w:tr w:rsidR="006554DE" w:rsidRPr="00CE60B2" w14:paraId="26ABC988"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77"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Karri Red Tingle</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7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3,283</w:t>
            </w:r>
          </w:p>
        </w:tc>
        <w:tc>
          <w:tcPr>
            <w:tcW w:w="850" w:type="dxa"/>
            <w:tcBorders>
              <w:top w:val="nil"/>
              <w:left w:val="nil"/>
              <w:bottom w:val="single" w:sz="4" w:space="0" w:color="auto"/>
              <w:right w:val="single" w:sz="4" w:space="0" w:color="auto"/>
            </w:tcBorders>
            <w:shd w:val="clear" w:color="auto" w:fill="auto"/>
            <w:noWrap/>
            <w:vAlign w:val="bottom"/>
            <w:hideMark/>
          </w:tcPr>
          <w:p w14:paraId="26ABC97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3,283</w:t>
            </w:r>
          </w:p>
        </w:tc>
        <w:tc>
          <w:tcPr>
            <w:tcW w:w="709" w:type="dxa"/>
            <w:tcBorders>
              <w:top w:val="nil"/>
              <w:left w:val="nil"/>
              <w:bottom w:val="single" w:sz="4" w:space="0" w:color="auto"/>
              <w:right w:val="single" w:sz="4" w:space="0" w:color="auto"/>
            </w:tcBorders>
            <w:shd w:val="clear" w:color="auto" w:fill="auto"/>
            <w:noWrap/>
            <w:vAlign w:val="bottom"/>
            <w:hideMark/>
          </w:tcPr>
          <w:p w14:paraId="26ABC97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2" w:type="dxa"/>
            <w:tcBorders>
              <w:top w:val="nil"/>
              <w:left w:val="nil"/>
              <w:bottom w:val="single" w:sz="4" w:space="0" w:color="auto"/>
              <w:right w:val="single" w:sz="8" w:space="0" w:color="auto"/>
            </w:tcBorders>
            <w:shd w:val="clear" w:color="auto" w:fill="auto"/>
            <w:noWrap/>
            <w:vAlign w:val="bottom"/>
            <w:hideMark/>
          </w:tcPr>
          <w:p w14:paraId="26ABC97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7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3,288</w:t>
            </w:r>
          </w:p>
        </w:tc>
        <w:tc>
          <w:tcPr>
            <w:tcW w:w="851" w:type="dxa"/>
            <w:tcBorders>
              <w:top w:val="nil"/>
              <w:left w:val="nil"/>
              <w:bottom w:val="single" w:sz="4" w:space="0" w:color="auto"/>
              <w:right w:val="single" w:sz="4" w:space="0" w:color="auto"/>
            </w:tcBorders>
            <w:shd w:val="clear" w:color="auto" w:fill="auto"/>
            <w:noWrap/>
            <w:vAlign w:val="bottom"/>
            <w:hideMark/>
          </w:tcPr>
          <w:p w14:paraId="26ABC97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3,288</w:t>
            </w:r>
          </w:p>
        </w:tc>
        <w:tc>
          <w:tcPr>
            <w:tcW w:w="708" w:type="dxa"/>
            <w:tcBorders>
              <w:top w:val="nil"/>
              <w:left w:val="nil"/>
              <w:bottom w:val="single" w:sz="4" w:space="0" w:color="auto"/>
              <w:right w:val="single" w:sz="4" w:space="0" w:color="auto"/>
            </w:tcBorders>
            <w:shd w:val="clear" w:color="auto" w:fill="auto"/>
            <w:noWrap/>
            <w:vAlign w:val="bottom"/>
            <w:hideMark/>
          </w:tcPr>
          <w:p w14:paraId="26ABC97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w:t>
            </w:r>
          </w:p>
        </w:tc>
        <w:tc>
          <w:tcPr>
            <w:tcW w:w="993" w:type="dxa"/>
            <w:tcBorders>
              <w:top w:val="nil"/>
              <w:left w:val="nil"/>
              <w:bottom w:val="single" w:sz="4" w:space="0" w:color="auto"/>
              <w:right w:val="single" w:sz="8" w:space="0" w:color="auto"/>
            </w:tcBorders>
            <w:shd w:val="clear" w:color="auto" w:fill="auto"/>
            <w:noWrap/>
            <w:vAlign w:val="bottom"/>
            <w:hideMark/>
          </w:tcPr>
          <w:p w14:paraId="26ABC97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8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3,288</w:t>
            </w:r>
          </w:p>
        </w:tc>
        <w:tc>
          <w:tcPr>
            <w:tcW w:w="826" w:type="dxa"/>
            <w:tcBorders>
              <w:top w:val="nil"/>
              <w:left w:val="nil"/>
              <w:bottom w:val="single" w:sz="4" w:space="0" w:color="auto"/>
              <w:right w:val="single" w:sz="4" w:space="0" w:color="auto"/>
            </w:tcBorders>
            <w:shd w:val="clear" w:color="auto" w:fill="auto"/>
            <w:noWrap/>
            <w:vAlign w:val="bottom"/>
            <w:hideMark/>
          </w:tcPr>
          <w:p w14:paraId="26ABC98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3,288</w:t>
            </w:r>
          </w:p>
        </w:tc>
        <w:tc>
          <w:tcPr>
            <w:tcW w:w="734" w:type="dxa"/>
            <w:tcBorders>
              <w:top w:val="nil"/>
              <w:left w:val="nil"/>
              <w:bottom w:val="single" w:sz="4" w:space="0" w:color="auto"/>
              <w:right w:val="single" w:sz="4" w:space="0" w:color="auto"/>
            </w:tcBorders>
            <w:shd w:val="clear" w:color="auto" w:fill="auto"/>
            <w:noWrap/>
            <w:vAlign w:val="bottom"/>
            <w:hideMark/>
          </w:tcPr>
          <w:p w14:paraId="26ABC98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3" w:type="dxa"/>
            <w:tcBorders>
              <w:top w:val="nil"/>
              <w:left w:val="nil"/>
              <w:bottom w:val="single" w:sz="4" w:space="0" w:color="auto"/>
              <w:right w:val="single" w:sz="8" w:space="0" w:color="auto"/>
            </w:tcBorders>
            <w:shd w:val="clear" w:color="auto" w:fill="auto"/>
            <w:noWrap/>
            <w:vAlign w:val="bottom"/>
            <w:hideMark/>
          </w:tcPr>
          <w:p w14:paraId="26ABC98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8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3,287</w:t>
            </w:r>
          </w:p>
        </w:tc>
        <w:tc>
          <w:tcPr>
            <w:tcW w:w="851" w:type="dxa"/>
            <w:tcBorders>
              <w:top w:val="nil"/>
              <w:left w:val="nil"/>
              <w:bottom w:val="single" w:sz="4" w:space="0" w:color="auto"/>
              <w:right w:val="single" w:sz="4" w:space="0" w:color="auto"/>
            </w:tcBorders>
            <w:shd w:val="clear" w:color="auto" w:fill="auto"/>
            <w:noWrap/>
            <w:vAlign w:val="bottom"/>
            <w:hideMark/>
          </w:tcPr>
          <w:p w14:paraId="26ABC98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3,287</w:t>
            </w:r>
          </w:p>
        </w:tc>
        <w:tc>
          <w:tcPr>
            <w:tcW w:w="602" w:type="dxa"/>
            <w:tcBorders>
              <w:top w:val="nil"/>
              <w:left w:val="nil"/>
              <w:bottom w:val="single" w:sz="4" w:space="0" w:color="auto"/>
              <w:right w:val="single" w:sz="4" w:space="0" w:color="auto"/>
            </w:tcBorders>
            <w:shd w:val="clear" w:color="auto" w:fill="auto"/>
            <w:noWrap/>
            <w:vAlign w:val="bottom"/>
            <w:hideMark/>
          </w:tcPr>
          <w:p w14:paraId="26ABC98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58" w:type="dxa"/>
            <w:tcBorders>
              <w:top w:val="nil"/>
              <w:left w:val="nil"/>
              <w:bottom w:val="single" w:sz="4" w:space="0" w:color="auto"/>
              <w:right w:val="single" w:sz="8" w:space="0" w:color="auto"/>
            </w:tcBorders>
            <w:shd w:val="clear" w:color="auto" w:fill="auto"/>
            <w:noWrap/>
            <w:vAlign w:val="bottom"/>
            <w:hideMark/>
          </w:tcPr>
          <w:p w14:paraId="26ABC98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r>
      <w:tr w:rsidR="006554DE" w:rsidRPr="00CE60B2" w14:paraId="26ABC99A"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89"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Karri West Coast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8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492</w:t>
            </w:r>
          </w:p>
        </w:tc>
        <w:tc>
          <w:tcPr>
            <w:tcW w:w="850" w:type="dxa"/>
            <w:tcBorders>
              <w:top w:val="nil"/>
              <w:left w:val="nil"/>
              <w:bottom w:val="single" w:sz="4" w:space="0" w:color="auto"/>
              <w:right w:val="single" w:sz="4" w:space="0" w:color="auto"/>
            </w:tcBorders>
            <w:shd w:val="clear" w:color="auto" w:fill="auto"/>
            <w:noWrap/>
            <w:vAlign w:val="bottom"/>
            <w:hideMark/>
          </w:tcPr>
          <w:p w14:paraId="26ABC98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492</w:t>
            </w:r>
          </w:p>
        </w:tc>
        <w:tc>
          <w:tcPr>
            <w:tcW w:w="709" w:type="dxa"/>
            <w:tcBorders>
              <w:top w:val="nil"/>
              <w:left w:val="nil"/>
              <w:bottom w:val="single" w:sz="4" w:space="0" w:color="auto"/>
              <w:right w:val="single" w:sz="4" w:space="0" w:color="auto"/>
            </w:tcBorders>
            <w:shd w:val="clear" w:color="auto" w:fill="auto"/>
            <w:noWrap/>
            <w:vAlign w:val="bottom"/>
            <w:hideMark/>
          </w:tcPr>
          <w:p w14:paraId="26ABC98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2" w:type="dxa"/>
            <w:tcBorders>
              <w:top w:val="nil"/>
              <w:left w:val="nil"/>
              <w:bottom w:val="single" w:sz="4" w:space="0" w:color="auto"/>
              <w:right w:val="single" w:sz="8" w:space="0" w:color="auto"/>
            </w:tcBorders>
            <w:shd w:val="clear" w:color="auto" w:fill="auto"/>
            <w:noWrap/>
            <w:vAlign w:val="bottom"/>
            <w:hideMark/>
          </w:tcPr>
          <w:p w14:paraId="26ABC98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8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522</w:t>
            </w:r>
          </w:p>
        </w:tc>
        <w:tc>
          <w:tcPr>
            <w:tcW w:w="851" w:type="dxa"/>
            <w:tcBorders>
              <w:top w:val="nil"/>
              <w:left w:val="nil"/>
              <w:bottom w:val="single" w:sz="4" w:space="0" w:color="auto"/>
              <w:right w:val="single" w:sz="4" w:space="0" w:color="auto"/>
            </w:tcBorders>
            <w:shd w:val="clear" w:color="auto" w:fill="auto"/>
            <w:noWrap/>
            <w:vAlign w:val="bottom"/>
            <w:hideMark/>
          </w:tcPr>
          <w:p w14:paraId="26ABC98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519</w:t>
            </w:r>
          </w:p>
        </w:tc>
        <w:tc>
          <w:tcPr>
            <w:tcW w:w="708" w:type="dxa"/>
            <w:tcBorders>
              <w:top w:val="nil"/>
              <w:left w:val="nil"/>
              <w:bottom w:val="single" w:sz="4" w:space="0" w:color="auto"/>
              <w:right w:val="single" w:sz="4" w:space="0" w:color="auto"/>
            </w:tcBorders>
            <w:shd w:val="clear" w:color="auto" w:fill="auto"/>
            <w:noWrap/>
            <w:vAlign w:val="bottom"/>
            <w:hideMark/>
          </w:tcPr>
          <w:p w14:paraId="26ABC99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99</w:t>
            </w:r>
          </w:p>
        </w:tc>
        <w:tc>
          <w:tcPr>
            <w:tcW w:w="993" w:type="dxa"/>
            <w:tcBorders>
              <w:top w:val="nil"/>
              <w:left w:val="nil"/>
              <w:bottom w:val="single" w:sz="4" w:space="0" w:color="auto"/>
              <w:right w:val="single" w:sz="8" w:space="0" w:color="auto"/>
            </w:tcBorders>
            <w:shd w:val="clear" w:color="auto" w:fill="auto"/>
            <w:noWrap/>
            <w:vAlign w:val="bottom"/>
            <w:hideMark/>
          </w:tcPr>
          <w:p w14:paraId="26ABC99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9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516</w:t>
            </w:r>
          </w:p>
        </w:tc>
        <w:tc>
          <w:tcPr>
            <w:tcW w:w="826" w:type="dxa"/>
            <w:tcBorders>
              <w:top w:val="nil"/>
              <w:left w:val="nil"/>
              <w:bottom w:val="single" w:sz="4" w:space="0" w:color="auto"/>
              <w:right w:val="single" w:sz="4" w:space="0" w:color="auto"/>
            </w:tcBorders>
            <w:shd w:val="clear" w:color="auto" w:fill="auto"/>
            <w:noWrap/>
            <w:vAlign w:val="bottom"/>
            <w:hideMark/>
          </w:tcPr>
          <w:p w14:paraId="26ABC99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516</w:t>
            </w:r>
          </w:p>
        </w:tc>
        <w:tc>
          <w:tcPr>
            <w:tcW w:w="734" w:type="dxa"/>
            <w:tcBorders>
              <w:top w:val="nil"/>
              <w:left w:val="nil"/>
              <w:bottom w:val="single" w:sz="4" w:space="0" w:color="auto"/>
              <w:right w:val="single" w:sz="4" w:space="0" w:color="auto"/>
            </w:tcBorders>
            <w:shd w:val="clear" w:color="auto" w:fill="auto"/>
            <w:noWrap/>
            <w:vAlign w:val="bottom"/>
            <w:hideMark/>
          </w:tcPr>
          <w:p w14:paraId="26ABC99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3" w:type="dxa"/>
            <w:tcBorders>
              <w:top w:val="nil"/>
              <w:left w:val="nil"/>
              <w:bottom w:val="single" w:sz="4" w:space="0" w:color="auto"/>
              <w:right w:val="single" w:sz="8" w:space="0" w:color="auto"/>
            </w:tcBorders>
            <w:shd w:val="clear" w:color="auto" w:fill="auto"/>
            <w:noWrap/>
            <w:vAlign w:val="bottom"/>
            <w:hideMark/>
          </w:tcPr>
          <w:p w14:paraId="26ABC99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9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516</w:t>
            </w:r>
          </w:p>
        </w:tc>
        <w:tc>
          <w:tcPr>
            <w:tcW w:w="851" w:type="dxa"/>
            <w:tcBorders>
              <w:top w:val="nil"/>
              <w:left w:val="nil"/>
              <w:bottom w:val="single" w:sz="4" w:space="0" w:color="auto"/>
              <w:right w:val="single" w:sz="4" w:space="0" w:color="auto"/>
            </w:tcBorders>
            <w:shd w:val="clear" w:color="auto" w:fill="auto"/>
            <w:noWrap/>
            <w:vAlign w:val="bottom"/>
            <w:hideMark/>
          </w:tcPr>
          <w:p w14:paraId="26ABC99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516</w:t>
            </w:r>
          </w:p>
        </w:tc>
        <w:tc>
          <w:tcPr>
            <w:tcW w:w="602" w:type="dxa"/>
            <w:tcBorders>
              <w:top w:val="nil"/>
              <w:left w:val="nil"/>
              <w:bottom w:val="single" w:sz="4" w:space="0" w:color="auto"/>
              <w:right w:val="single" w:sz="4" w:space="0" w:color="auto"/>
            </w:tcBorders>
            <w:shd w:val="clear" w:color="auto" w:fill="auto"/>
            <w:noWrap/>
            <w:vAlign w:val="bottom"/>
            <w:hideMark/>
          </w:tcPr>
          <w:p w14:paraId="26ABC99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58" w:type="dxa"/>
            <w:tcBorders>
              <w:top w:val="nil"/>
              <w:left w:val="nil"/>
              <w:bottom w:val="single" w:sz="4" w:space="0" w:color="auto"/>
              <w:right w:val="single" w:sz="8" w:space="0" w:color="auto"/>
            </w:tcBorders>
            <w:shd w:val="clear" w:color="auto" w:fill="auto"/>
            <w:noWrap/>
            <w:vAlign w:val="bottom"/>
            <w:hideMark/>
          </w:tcPr>
          <w:p w14:paraId="26ABC99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r>
      <w:tr w:rsidR="006554DE" w:rsidRPr="00CE60B2" w14:paraId="26ABC9AC"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9B"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Karri Yellow Tingle</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9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6,969</w:t>
            </w:r>
          </w:p>
        </w:tc>
        <w:tc>
          <w:tcPr>
            <w:tcW w:w="850" w:type="dxa"/>
            <w:tcBorders>
              <w:top w:val="nil"/>
              <w:left w:val="nil"/>
              <w:bottom w:val="single" w:sz="4" w:space="0" w:color="auto"/>
              <w:right w:val="single" w:sz="4" w:space="0" w:color="auto"/>
            </w:tcBorders>
            <w:shd w:val="clear" w:color="auto" w:fill="auto"/>
            <w:noWrap/>
            <w:vAlign w:val="bottom"/>
            <w:hideMark/>
          </w:tcPr>
          <w:p w14:paraId="26ABC99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4,190</w:t>
            </w:r>
          </w:p>
        </w:tc>
        <w:tc>
          <w:tcPr>
            <w:tcW w:w="709" w:type="dxa"/>
            <w:tcBorders>
              <w:top w:val="nil"/>
              <w:left w:val="nil"/>
              <w:bottom w:val="single" w:sz="4" w:space="0" w:color="auto"/>
              <w:right w:val="single" w:sz="4" w:space="0" w:color="auto"/>
            </w:tcBorders>
            <w:shd w:val="clear" w:color="auto" w:fill="auto"/>
            <w:noWrap/>
            <w:vAlign w:val="bottom"/>
            <w:hideMark/>
          </w:tcPr>
          <w:p w14:paraId="26ABC99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60.1</w:t>
            </w:r>
          </w:p>
        </w:tc>
        <w:tc>
          <w:tcPr>
            <w:tcW w:w="992" w:type="dxa"/>
            <w:tcBorders>
              <w:top w:val="nil"/>
              <w:left w:val="nil"/>
              <w:bottom w:val="single" w:sz="4" w:space="0" w:color="auto"/>
              <w:right w:val="single" w:sz="8" w:space="0" w:color="auto"/>
            </w:tcBorders>
            <w:shd w:val="clear" w:color="auto" w:fill="auto"/>
            <w:noWrap/>
            <w:vAlign w:val="bottom"/>
            <w:hideMark/>
          </w:tcPr>
          <w:p w14:paraId="26ABC99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308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A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6,956</w:t>
            </w:r>
          </w:p>
        </w:tc>
        <w:tc>
          <w:tcPr>
            <w:tcW w:w="851" w:type="dxa"/>
            <w:tcBorders>
              <w:top w:val="nil"/>
              <w:left w:val="nil"/>
              <w:bottom w:val="single" w:sz="4" w:space="0" w:color="auto"/>
              <w:right w:val="single" w:sz="4" w:space="0" w:color="auto"/>
            </w:tcBorders>
            <w:shd w:val="clear" w:color="auto" w:fill="auto"/>
            <w:noWrap/>
            <w:vAlign w:val="bottom"/>
            <w:hideMark/>
          </w:tcPr>
          <w:p w14:paraId="26ABC9A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6,953</w:t>
            </w:r>
          </w:p>
        </w:tc>
        <w:tc>
          <w:tcPr>
            <w:tcW w:w="708" w:type="dxa"/>
            <w:tcBorders>
              <w:top w:val="nil"/>
              <w:left w:val="nil"/>
              <w:bottom w:val="single" w:sz="4" w:space="0" w:color="auto"/>
              <w:right w:val="single" w:sz="4" w:space="0" w:color="auto"/>
            </w:tcBorders>
            <w:shd w:val="clear" w:color="auto" w:fill="auto"/>
            <w:noWrap/>
            <w:vAlign w:val="bottom"/>
            <w:hideMark/>
          </w:tcPr>
          <w:p w14:paraId="26ABC9A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w:t>
            </w:r>
          </w:p>
        </w:tc>
        <w:tc>
          <w:tcPr>
            <w:tcW w:w="993" w:type="dxa"/>
            <w:tcBorders>
              <w:top w:val="nil"/>
              <w:left w:val="nil"/>
              <w:bottom w:val="single" w:sz="4" w:space="0" w:color="auto"/>
              <w:right w:val="single" w:sz="8" w:space="0" w:color="auto"/>
            </w:tcBorders>
            <w:shd w:val="clear" w:color="auto" w:fill="auto"/>
            <w:noWrap/>
            <w:vAlign w:val="bottom"/>
            <w:hideMark/>
          </w:tcPr>
          <w:p w14:paraId="26ABC9A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w:t>
            </w:r>
          </w:p>
        </w:tc>
        <w:tc>
          <w:tcPr>
            <w:tcW w:w="849" w:type="dxa"/>
            <w:tcBorders>
              <w:top w:val="nil"/>
              <w:left w:val="nil"/>
              <w:bottom w:val="single" w:sz="4" w:space="0" w:color="auto"/>
              <w:right w:val="single" w:sz="4" w:space="0" w:color="auto"/>
            </w:tcBorders>
            <w:shd w:val="clear" w:color="auto" w:fill="auto"/>
            <w:noWrap/>
            <w:vAlign w:val="bottom"/>
            <w:hideMark/>
          </w:tcPr>
          <w:p w14:paraId="26ABC9A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6,956</w:t>
            </w:r>
          </w:p>
        </w:tc>
        <w:tc>
          <w:tcPr>
            <w:tcW w:w="826" w:type="dxa"/>
            <w:tcBorders>
              <w:top w:val="nil"/>
              <w:left w:val="nil"/>
              <w:bottom w:val="single" w:sz="4" w:space="0" w:color="auto"/>
              <w:right w:val="single" w:sz="4" w:space="0" w:color="auto"/>
            </w:tcBorders>
            <w:shd w:val="clear" w:color="auto" w:fill="auto"/>
            <w:noWrap/>
            <w:vAlign w:val="bottom"/>
            <w:hideMark/>
          </w:tcPr>
          <w:p w14:paraId="26ABC9A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6,956</w:t>
            </w:r>
          </w:p>
        </w:tc>
        <w:tc>
          <w:tcPr>
            <w:tcW w:w="734" w:type="dxa"/>
            <w:tcBorders>
              <w:top w:val="nil"/>
              <w:left w:val="nil"/>
              <w:bottom w:val="single" w:sz="4" w:space="0" w:color="auto"/>
              <w:right w:val="single" w:sz="4" w:space="0" w:color="auto"/>
            </w:tcBorders>
            <w:shd w:val="clear" w:color="auto" w:fill="auto"/>
            <w:noWrap/>
            <w:vAlign w:val="bottom"/>
            <w:hideMark/>
          </w:tcPr>
          <w:p w14:paraId="26ABC9A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3" w:type="dxa"/>
            <w:tcBorders>
              <w:top w:val="nil"/>
              <w:left w:val="nil"/>
              <w:bottom w:val="single" w:sz="4" w:space="0" w:color="auto"/>
              <w:right w:val="single" w:sz="8" w:space="0" w:color="auto"/>
            </w:tcBorders>
            <w:shd w:val="clear" w:color="auto" w:fill="auto"/>
            <w:noWrap/>
            <w:vAlign w:val="bottom"/>
            <w:hideMark/>
          </w:tcPr>
          <w:p w14:paraId="26ABC9A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A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6,946</w:t>
            </w:r>
          </w:p>
        </w:tc>
        <w:tc>
          <w:tcPr>
            <w:tcW w:w="851" w:type="dxa"/>
            <w:tcBorders>
              <w:top w:val="nil"/>
              <w:left w:val="nil"/>
              <w:bottom w:val="single" w:sz="4" w:space="0" w:color="auto"/>
              <w:right w:val="single" w:sz="4" w:space="0" w:color="auto"/>
            </w:tcBorders>
            <w:shd w:val="clear" w:color="auto" w:fill="auto"/>
            <w:noWrap/>
            <w:vAlign w:val="bottom"/>
            <w:hideMark/>
          </w:tcPr>
          <w:p w14:paraId="26ABC9A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6,946</w:t>
            </w:r>
          </w:p>
        </w:tc>
        <w:tc>
          <w:tcPr>
            <w:tcW w:w="602" w:type="dxa"/>
            <w:tcBorders>
              <w:top w:val="nil"/>
              <w:left w:val="nil"/>
              <w:bottom w:val="single" w:sz="4" w:space="0" w:color="auto"/>
              <w:right w:val="single" w:sz="4" w:space="0" w:color="auto"/>
            </w:tcBorders>
            <w:shd w:val="clear" w:color="auto" w:fill="auto"/>
            <w:noWrap/>
            <w:vAlign w:val="bottom"/>
            <w:hideMark/>
          </w:tcPr>
          <w:p w14:paraId="26ABC9A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58" w:type="dxa"/>
            <w:tcBorders>
              <w:top w:val="nil"/>
              <w:left w:val="nil"/>
              <w:bottom w:val="single" w:sz="4" w:space="0" w:color="auto"/>
              <w:right w:val="single" w:sz="8" w:space="0" w:color="auto"/>
            </w:tcBorders>
            <w:shd w:val="clear" w:color="auto" w:fill="auto"/>
            <w:noWrap/>
            <w:vAlign w:val="bottom"/>
            <w:hideMark/>
          </w:tcPr>
          <w:p w14:paraId="26ABC9A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r>
      <w:tr w:rsidR="006554DE" w:rsidRPr="00CE60B2" w14:paraId="26ABC9BE"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AD"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Karri South Coast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A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364</w:t>
            </w:r>
          </w:p>
        </w:tc>
        <w:tc>
          <w:tcPr>
            <w:tcW w:w="850" w:type="dxa"/>
            <w:tcBorders>
              <w:top w:val="nil"/>
              <w:left w:val="nil"/>
              <w:bottom w:val="single" w:sz="4" w:space="0" w:color="auto"/>
              <w:right w:val="single" w:sz="4" w:space="0" w:color="auto"/>
            </w:tcBorders>
            <w:shd w:val="clear" w:color="auto" w:fill="auto"/>
            <w:noWrap/>
            <w:vAlign w:val="bottom"/>
            <w:hideMark/>
          </w:tcPr>
          <w:p w14:paraId="26ABC9A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76</w:t>
            </w:r>
          </w:p>
        </w:tc>
        <w:tc>
          <w:tcPr>
            <w:tcW w:w="709" w:type="dxa"/>
            <w:tcBorders>
              <w:top w:val="nil"/>
              <w:left w:val="nil"/>
              <w:bottom w:val="single" w:sz="4" w:space="0" w:color="auto"/>
              <w:right w:val="single" w:sz="4" w:space="0" w:color="auto"/>
            </w:tcBorders>
            <w:shd w:val="clear" w:color="auto" w:fill="auto"/>
            <w:noWrap/>
            <w:vAlign w:val="bottom"/>
            <w:hideMark/>
          </w:tcPr>
          <w:p w14:paraId="26ABC9B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76.8</w:t>
            </w:r>
          </w:p>
        </w:tc>
        <w:tc>
          <w:tcPr>
            <w:tcW w:w="992" w:type="dxa"/>
            <w:tcBorders>
              <w:top w:val="nil"/>
              <w:left w:val="nil"/>
              <w:bottom w:val="single" w:sz="4" w:space="0" w:color="auto"/>
              <w:right w:val="single" w:sz="8" w:space="0" w:color="auto"/>
            </w:tcBorders>
            <w:shd w:val="clear" w:color="auto" w:fill="auto"/>
            <w:noWrap/>
            <w:vAlign w:val="bottom"/>
            <w:hideMark/>
          </w:tcPr>
          <w:p w14:paraId="26ABC9B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B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362</w:t>
            </w:r>
          </w:p>
        </w:tc>
        <w:tc>
          <w:tcPr>
            <w:tcW w:w="851" w:type="dxa"/>
            <w:tcBorders>
              <w:top w:val="nil"/>
              <w:left w:val="nil"/>
              <w:bottom w:val="single" w:sz="4" w:space="0" w:color="auto"/>
              <w:right w:val="single" w:sz="4" w:space="0" w:color="auto"/>
            </w:tcBorders>
            <w:shd w:val="clear" w:color="auto" w:fill="auto"/>
            <w:noWrap/>
            <w:vAlign w:val="bottom"/>
            <w:hideMark/>
          </w:tcPr>
          <w:p w14:paraId="26ABC9B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353</w:t>
            </w:r>
          </w:p>
        </w:tc>
        <w:tc>
          <w:tcPr>
            <w:tcW w:w="708" w:type="dxa"/>
            <w:tcBorders>
              <w:top w:val="nil"/>
              <w:left w:val="nil"/>
              <w:bottom w:val="single" w:sz="4" w:space="0" w:color="auto"/>
              <w:right w:val="single" w:sz="4" w:space="0" w:color="auto"/>
            </w:tcBorders>
            <w:shd w:val="clear" w:color="auto" w:fill="auto"/>
            <w:noWrap/>
            <w:vAlign w:val="bottom"/>
            <w:hideMark/>
          </w:tcPr>
          <w:p w14:paraId="26ABC9B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98</w:t>
            </w:r>
          </w:p>
        </w:tc>
        <w:tc>
          <w:tcPr>
            <w:tcW w:w="993" w:type="dxa"/>
            <w:tcBorders>
              <w:top w:val="nil"/>
              <w:left w:val="nil"/>
              <w:bottom w:val="single" w:sz="4" w:space="0" w:color="auto"/>
              <w:right w:val="single" w:sz="8" w:space="0" w:color="auto"/>
            </w:tcBorders>
            <w:shd w:val="clear" w:color="auto" w:fill="auto"/>
            <w:noWrap/>
            <w:vAlign w:val="bottom"/>
            <w:hideMark/>
          </w:tcPr>
          <w:p w14:paraId="26ABC9B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w:t>
            </w:r>
          </w:p>
        </w:tc>
        <w:tc>
          <w:tcPr>
            <w:tcW w:w="849" w:type="dxa"/>
            <w:tcBorders>
              <w:top w:val="nil"/>
              <w:left w:val="nil"/>
              <w:bottom w:val="single" w:sz="4" w:space="0" w:color="auto"/>
              <w:right w:val="single" w:sz="4" w:space="0" w:color="auto"/>
            </w:tcBorders>
            <w:shd w:val="clear" w:color="auto" w:fill="auto"/>
            <w:noWrap/>
            <w:vAlign w:val="bottom"/>
            <w:hideMark/>
          </w:tcPr>
          <w:p w14:paraId="26ABC9B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363</w:t>
            </w:r>
          </w:p>
        </w:tc>
        <w:tc>
          <w:tcPr>
            <w:tcW w:w="826" w:type="dxa"/>
            <w:tcBorders>
              <w:top w:val="nil"/>
              <w:left w:val="nil"/>
              <w:bottom w:val="single" w:sz="4" w:space="0" w:color="auto"/>
              <w:right w:val="single" w:sz="4" w:space="0" w:color="auto"/>
            </w:tcBorders>
            <w:shd w:val="clear" w:color="auto" w:fill="auto"/>
            <w:noWrap/>
            <w:vAlign w:val="bottom"/>
            <w:hideMark/>
          </w:tcPr>
          <w:p w14:paraId="26ABC9B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363</w:t>
            </w:r>
          </w:p>
        </w:tc>
        <w:tc>
          <w:tcPr>
            <w:tcW w:w="734" w:type="dxa"/>
            <w:tcBorders>
              <w:top w:val="nil"/>
              <w:left w:val="nil"/>
              <w:bottom w:val="single" w:sz="4" w:space="0" w:color="auto"/>
              <w:right w:val="single" w:sz="4" w:space="0" w:color="auto"/>
            </w:tcBorders>
            <w:shd w:val="clear" w:color="auto" w:fill="auto"/>
            <w:noWrap/>
            <w:vAlign w:val="bottom"/>
            <w:hideMark/>
          </w:tcPr>
          <w:p w14:paraId="26ABC9B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93" w:type="dxa"/>
            <w:tcBorders>
              <w:top w:val="nil"/>
              <w:left w:val="nil"/>
              <w:bottom w:val="single" w:sz="4" w:space="0" w:color="auto"/>
              <w:right w:val="single" w:sz="8" w:space="0" w:color="auto"/>
            </w:tcBorders>
            <w:shd w:val="clear" w:color="auto" w:fill="auto"/>
            <w:noWrap/>
            <w:vAlign w:val="bottom"/>
            <w:hideMark/>
          </w:tcPr>
          <w:p w14:paraId="26ABC9B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c>
          <w:tcPr>
            <w:tcW w:w="849" w:type="dxa"/>
            <w:tcBorders>
              <w:top w:val="nil"/>
              <w:left w:val="nil"/>
              <w:bottom w:val="single" w:sz="4" w:space="0" w:color="auto"/>
              <w:right w:val="single" w:sz="4" w:space="0" w:color="auto"/>
            </w:tcBorders>
            <w:shd w:val="clear" w:color="auto" w:fill="auto"/>
            <w:noWrap/>
            <w:vAlign w:val="bottom"/>
            <w:hideMark/>
          </w:tcPr>
          <w:p w14:paraId="26ABC9B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360</w:t>
            </w:r>
          </w:p>
        </w:tc>
        <w:tc>
          <w:tcPr>
            <w:tcW w:w="851" w:type="dxa"/>
            <w:tcBorders>
              <w:top w:val="nil"/>
              <w:left w:val="nil"/>
              <w:bottom w:val="single" w:sz="4" w:space="0" w:color="auto"/>
              <w:right w:val="single" w:sz="4" w:space="0" w:color="auto"/>
            </w:tcBorders>
            <w:shd w:val="clear" w:color="auto" w:fill="auto"/>
            <w:noWrap/>
            <w:vAlign w:val="bottom"/>
            <w:hideMark/>
          </w:tcPr>
          <w:p w14:paraId="26ABC9B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360</w:t>
            </w:r>
          </w:p>
        </w:tc>
        <w:tc>
          <w:tcPr>
            <w:tcW w:w="602" w:type="dxa"/>
            <w:tcBorders>
              <w:top w:val="nil"/>
              <w:left w:val="nil"/>
              <w:bottom w:val="single" w:sz="4" w:space="0" w:color="auto"/>
              <w:right w:val="single" w:sz="4" w:space="0" w:color="auto"/>
            </w:tcBorders>
            <w:shd w:val="clear" w:color="auto" w:fill="auto"/>
            <w:noWrap/>
            <w:vAlign w:val="bottom"/>
            <w:hideMark/>
          </w:tcPr>
          <w:p w14:paraId="26ABC9B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100.0</w:t>
            </w:r>
          </w:p>
        </w:tc>
        <w:tc>
          <w:tcPr>
            <w:tcW w:w="958" w:type="dxa"/>
            <w:tcBorders>
              <w:top w:val="nil"/>
              <w:left w:val="nil"/>
              <w:bottom w:val="single" w:sz="4" w:space="0" w:color="auto"/>
              <w:right w:val="single" w:sz="8" w:space="0" w:color="auto"/>
            </w:tcBorders>
            <w:shd w:val="clear" w:color="auto" w:fill="auto"/>
            <w:noWrap/>
            <w:vAlign w:val="bottom"/>
            <w:hideMark/>
          </w:tcPr>
          <w:p w14:paraId="26ABC9B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0</w:t>
            </w:r>
          </w:p>
        </w:tc>
      </w:tr>
      <w:tr w:rsidR="006554DE" w:rsidRPr="00CE60B2" w14:paraId="26ABC9D0" w14:textId="77777777" w:rsidTr="006554DE">
        <w:trPr>
          <w:trHeight w:val="255"/>
        </w:trPr>
        <w:tc>
          <w:tcPr>
            <w:tcW w:w="2127" w:type="dxa"/>
            <w:tcBorders>
              <w:top w:val="nil"/>
              <w:left w:val="single" w:sz="4" w:space="0" w:color="auto"/>
              <w:bottom w:val="single" w:sz="4" w:space="0" w:color="auto"/>
              <w:right w:val="nil"/>
            </w:tcBorders>
            <w:shd w:val="clear" w:color="auto" w:fill="DFEFE1" w:themeFill="accent3" w:themeFillTint="66"/>
            <w:noWrap/>
            <w:vAlign w:val="bottom"/>
            <w:hideMark/>
          </w:tcPr>
          <w:p w14:paraId="26ABC9BF"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Sub-total Karri dominant</w:t>
            </w:r>
          </w:p>
        </w:tc>
        <w:tc>
          <w:tcPr>
            <w:tcW w:w="851" w:type="dxa"/>
            <w:tcBorders>
              <w:top w:val="nil"/>
              <w:left w:val="single" w:sz="8" w:space="0" w:color="auto"/>
              <w:bottom w:val="single" w:sz="4" w:space="0" w:color="auto"/>
              <w:right w:val="single" w:sz="4" w:space="0" w:color="auto"/>
            </w:tcBorders>
            <w:shd w:val="clear" w:color="auto" w:fill="DFEFE1" w:themeFill="accent3" w:themeFillTint="66"/>
            <w:noWrap/>
            <w:vAlign w:val="bottom"/>
            <w:hideMark/>
          </w:tcPr>
          <w:p w14:paraId="26ABC9C0"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65,351</w:t>
            </w:r>
          </w:p>
        </w:tc>
        <w:tc>
          <w:tcPr>
            <w:tcW w:w="850" w:type="dxa"/>
            <w:tcBorders>
              <w:top w:val="nil"/>
              <w:left w:val="nil"/>
              <w:bottom w:val="single" w:sz="4" w:space="0" w:color="auto"/>
              <w:right w:val="single" w:sz="4" w:space="0" w:color="auto"/>
            </w:tcBorders>
            <w:shd w:val="clear" w:color="auto" w:fill="DFEFE1" w:themeFill="accent3" w:themeFillTint="66"/>
            <w:noWrap/>
            <w:vAlign w:val="bottom"/>
            <w:hideMark/>
          </w:tcPr>
          <w:p w14:paraId="26ABC9C1"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42,211</w:t>
            </w:r>
          </w:p>
        </w:tc>
        <w:tc>
          <w:tcPr>
            <w:tcW w:w="709" w:type="dxa"/>
            <w:tcBorders>
              <w:top w:val="nil"/>
              <w:left w:val="nil"/>
              <w:bottom w:val="single" w:sz="4" w:space="0" w:color="auto"/>
              <w:right w:val="single" w:sz="4" w:space="0" w:color="auto"/>
            </w:tcBorders>
            <w:shd w:val="clear" w:color="auto" w:fill="DFEFE1" w:themeFill="accent3" w:themeFillTint="66"/>
            <w:noWrap/>
            <w:vAlign w:val="bottom"/>
            <w:hideMark/>
          </w:tcPr>
          <w:p w14:paraId="26ABC9C2"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 </w:t>
            </w:r>
          </w:p>
        </w:tc>
        <w:tc>
          <w:tcPr>
            <w:tcW w:w="992" w:type="dxa"/>
            <w:tcBorders>
              <w:top w:val="nil"/>
              <w:left w:val="nil"/>
              <w:bottom w:val="single" w:sz="4" w:space="0" w:color="auto"/>
              <w:right w:val="single" w:sz="8" w:space="0" w:color="auto"/>
            </w:tcBorders>
            <w:shd w:val="clear" w:color="auto" w:fill="DFEFE1" w:themeFill="accent3" w:themeFillTint="66"/>
            <w:noWrap/>
            <w:vAlign w:val="bottom"/>
            <w:hideMark/>
          </w:tcPr>
          <w:p w14:paraId="26ABC9C3"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3,915</w:t>
            </w:r>
          </w:p>
        </w:tc>
        <w:tc>
          <w:tcPr>
            <w:tcW w:w="850" w:type="dxa"/>
            <w:gridSpan w:val="2"/>
            <w:tcBorders>
              <w:top w:val="nil"/>
              <w:left w:val="nil"/>
              <w:bottom w:val="single" w:sz="4" w:space="0" w:color="auto"/>
              <w:right w:val="single" w:sz="4" w:space="0" w:color="auto"/>
            </w:tcBorders>
            <w:shd w:val="clear" w:color="auto" w:fill="DFEFE1" w:themeFill="accent3" w:themeFillTint="66"/>
            <w:noWrap/>
            <w:vAlign w:val="bottom"/>
            <w:hideMark/>
          </w:tcPr>
          <w:p w14:paraId="26ABC9C4"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63,787</w:t>
            </w:r>
          </w:p>
        </w:tc>
        <w:tc>
          <w:tcPr>
            <w:tcW w:w="851" w:type="dxa"/>
            <w:tcBorders>
              <w:top w:val="nil"/>
              <w:left w:val="nil"/>
              <w:bottom w:val="single" w:sz="4" w:space="0" w:color="auto"/>
              <w:right w:val="single" w:sz="4" w:space="0" w:color="auto"/>
            </w:tcBorders>
            <w:shd w:val="clear" w:color="auto" w:fill="DFEFE1" w:themeFill="accent3" w:themeFillTint="66"/>
            <w:noWrap/>
            <w:vAlign w:val="bottom"/>
            <w:hideMark/>
          </w:tcPr>
          <w:p w14:paraId="26ABC9C5"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58,796</w:t>
            </w:r>
          </w:p>
        </w:tc>
        <w:tc>
          <w:tcPr>
            <w:tcW w:w="708" w:type="dxa"/>
            <w:tcBorders>
              <w:top w:val="nil"/>
              <w:left w:val="nil"/>
              <w:bottom w:val="single" w:sz="4" w:space="0" w:color="auto"/>
              <w:right w:val="single" w:sz="4" w:space="0" w:color="auto"/>
            </w:tcBorders>
            <w:shd w:val="clear" w:color="auto" w:fill="DFEFE1" w:themeFill="accent3" w:themeFillTint="66"/>
            <w:noWrap/>
            <w:vAlign w:val="bottom"/>
            <w:hideMark/>
          </w:tcPr>
          <w:p w14:paraId="26ABC9C6"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 </w:t>
            </w:r>
          </w:p>
        </w:tc>
        <w:tc>
          <w:tcPr>
            <w:tcW w:w="993" w:type="dxa"/>
            <w:tcBorders>
              <w:top w:val="nil"/>
              <w:left w:val="nil"/>
              <w:bottom w:val="single" w:sz="4" w:space="0" w:color="auto"/>
              <w:right w:val="single" w:sz="8" w:space="0" w:color="auto"/>
            </w:tcBorders>
            <w:shd w:val="clear" w:color="auto" w:fill="DFEFE1" w:themeFill="accent3" w:themeFillTint="66"/>
            <w:noWrap/>
            <w:vAlign w:val="bottom"/>
            <w:hideMark/>
          </w:tcPr>
          <w:p w14:paraId="26ABC9C7"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4,988</w:t>
            </w:r>
          </w:p>
        </w:tc>
        <w:tc>
          <w:tcPr>
            <w:tcW w:w="849" w:type="dxa"/>
            <w:tcBorders>
              <w:top w:val="nil"/>
              <w:left w:val="nil"/>
              <w:bottom w:val="single" w:sz="4" w:space="0" w:color="auto"/>
              <w:right w:val="single" w:sz="4" w:space="0" w:color="auto"/>
            </w:tcBorders>
            <w:shd w:val="clear" w:color="auto" w:fill="DFEFE1" w:themeFill="accent3" w:themeFillTint="66"/>
            <w:noWrap/>
            <w:vAlign w:val="bottom"/>
            <w:hideMark/>
          </w:tcPr>
          <w:p w14:paraId="26ABC9C8"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65,064</w:t>
            </w:r>
          </w:p>
        </w:tc>
        <w:tc>
          <w:tcPr>
            <w:tcW w:w="826" w:type="dxa"/>
            <w:tcBorders>
              <w:top w:val="nil"/>
              <w:left w:val="nil"/>
              <w:bottom w:val="single" w:sz="4" w:space="0" w:color="auto"/>
              <w:right w:val="single" w:sz="4" w:space="0" w:color="auto"/>
            </w:tcBorders>
            <w:shd w:val="clear" w:color="auto" w:fill="DFEFE1" w:themeFill="accent3" w:themeFillTint="66"/>
            <w:noWrap/>
            <w:vAlign w:val="bottom"/>
            <w:hideMark/>
          </w:tcPr>
          <w:p w14:paraId="26ABC9C9"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59,904</w:t>
            </w:r>
          </w:p>
        </w:tc>
        <w:tc>
          <w:tcPr>
            <w:tcW w:w="734" w:type="dxa"/>
            <w:tcBorders>
              <w:top w:val="nil"/>
              <w:left w:val="nil"/>
              <w:bottom w:val="single" w:sz="4" w:space="0" w:color="auto"/>
              <w:right w:val="single" w:sz="4" w:space="0" w:color="auto"/>
            </w:tcBorders>
            <w:shd w:val="clear" w:color="auto" w:fill="DFEFE1" w:themeFill="accent3" w:themeFillTint="66"/>
            <w:noWrap/>
            <w:vAlign w:val="bottom"/>
            <w:hideMark/>
          </w:tcPr>
          <w:p w14:paraId="26ABC9CA"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 </w:t>
            </w:r>
          </w:p>
        </w:tc>
        <w:tc>
          <w:tcPr>
            <w:tcW w:w="993" w:type="dxa"/>
            <w:tcBorders>
              <w:top w:val="nil"/>
              <w:left w:val="nil"/>
              <w:bottom w:val="single" w:sz="4" w:space="0" w:color="auto"/>
              <w:right w:val="single" w:sz="8" w:space="0" w:color="auto"/>
            </w:tcBorders>
            <w:shd w:val="clear" w:color="auto" w:fill="DFEFE1" w:themeFill="accent3" w:themeFillTint="66"/>
            <w:noWrap/>
            <w:vAlign w:val="bottom"/>
            <w:hideMark/>
          </w:tcPr>
          <w:p w14:paraId="26ABC9CB"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5,160</w:t>
            </w:r>
          </w:p>
        </w:tc>
        <w:tc>
          <w:tcPr>
            <w:tcW w:w="849" w:type="dxa"/>
            <w:tcBorders>
              <w:top w:val="nil"/>
              <w:left w:val="nil"/>
              <w:bottom w:val="single" w:sz="4" w:space="0" w:color="auto"/>
              <w:right w:val="single" w:sz="4" w:space="0" w:color="auto"/>
            </w:tcBorders>
            <w:shd w:val="clear" w:color="auto" w:fill="DFEFE1" w:themeFill="accent3" w:themeFillTint="66"/>
            <w:noWrap/>
            <w:vAlign w:val="bottom"/>
            <w:hideMark/>
          </w:tcPr>
          <w:p w14:paraId="26ABC9CC"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65,146</w:t>
            </w:r>
          </w:p>
        </w:tc>
        <w:tc>
          <w:tcPr>
            <w:tcW w:w="851" w:type="dxa"/>
            <w:tcBorders>
              <w:top w:val="nil"/>
              <w:left w:val="nil"/>
              <w:bottom w:val="single" w:sz="4" w:space="0" w:color="auto"/>
              <w:right w:val="single" w:sz="4" w:space="0" w:color="auto"/>
            </w:tcBorders>
            <w:shd w:val="clear" w:color="auto" w:fill="DFEFE1" w:themeFill="accent3" w:themeFillTint="66"/>
            <w:noWrap/>
            <w:vAlign w:val="bottom"/>
            <w:hideMark/>
          </w:tcPr>
          <w:p w14:paraId="26ABC9CD"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59,641</w:t>
            </w:r>
          </w:p>
        </w:tc>
        <w:tc>
          <w:tcPr>
            <w:tcW w:w="602" w:type="dxa"/>
            <w:tcBorders>
              <w:top w:val="nil"/>
              <w:left w:val="nil"/>
              <w:bottom w:val="single" w:sz="4" w:space="0" w:color="auto"/>
              <w:right w:val="single" w:sz="4" w:space="0" w:color="auto"/>
            </w:tcBorders>
            <w:shd w:val="clear" w:color="auto" w:fill="DFEFE1" w:themeFill="accent3" w:themeFillTint="66"/>
            <w:noWrap/>
            <w:vAlign w:val="bottom"/>
            <w:hideMark/>
          </w:tcPr>
          <w:p w14:paraId="26ABC9CE"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 </w:t>
            </w:r>
          </w:p>
        </w:tc>
        <w:tc>
          <w:tcPr>
            <w:tcW w:w="958" w:type="dxa"/>
            <w:tcBorders>
              <w:top w:val="nil"/>
              <w:left w:val="nil"/>
              <w:bottom w:val="single" w:sz="4" w:space="0" w:color="auto"/>
              <w:right w:val="single" w:sz="8" w:space="0" w:color="auto"/>
            </w:tcBorders>
            <w:shd w:val="clear" w:color="auto" w:fill="DFEFE1" w:themeFill="accent3" w:themeFillTint="66"/>
            <w:noWrap/>
            <w:vAlign w:val="bottom"/>
            <w:hideMark/>
          </w:tcPr>
          <w:p w14:paraId="26ABC9CF"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5,300</w:t>
            </w:r>
          </w:p>
        </w:tc>
      </w:tr>
      <w:tr w:rsidR="006554DE" w:rsidRPr="00CE60B2" w14:paraId="26ABC9E2"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D1"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Western Wandoo forest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D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7,832</w:t>
            </w:r>
          </w:p>
        </w:tc>
        <w:tc>
          <w:tcPr>
            <w:tcW w:w="850" w:type="dxa"/>
            <w:tcBorders>
              <w:top w:val="nil"/>
              <w:left w:val="nil"/>
              <w:bottom w:val="single" w:sz="4" w:space="0" w:color="auto"/>
              <w:right w:val="single" w:sz="4" w:space="0" w:color="auto"/>
            </w:tcBorders>
            <w:shd w:val="clear" w:color="auto" w:fill="auto"/>
            <w:noWrap/>
            <w:vAlign w:val="bottom"/>
            <w:hideMark/>
          </w:tcPr>
          <w:p w14:paraId="26ABC9D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6,810</w:t>
            </w:r>
          </w:p>
        </w:tc>
        <w:tc>
          <w:tcPr>
            <w:tcW w:w="709" w:type="dxa"/>
            <w:tcBorders>
              <w:top w:val="nil"/>
              <w:left w:val="nil"/>
              <w:bottom w:val="single" w:sz="4" w:space="0" w:color="auto"/>
              <w:right w:val="single" w:sz="4" w:space="0" w:color="auto"/>
            </w:tcBorders>
            <w:shd w:val="clear" w:color="auto" w:fill="auto"/>
            <w:noWrap/>
            <w:vAlign w:val="bottom"/>
            <w:hideMark/>
          </w:tcPr>
          <w:p w14:paraId="26ABC9D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87.0</w:t>
            </w:r>
          </w:p>
        </w:tc>
        <w:tc>
          <w:tcPr>
            <w:tcW w:w="992" w:type="dxa"/>
            <w:tcBorders>
              <w:top w:val="nil"/>
              <w:left w:val="nil"/>
              <w:bottom w:val="single" w:sz="4" w:space="0" w:color="auto"/>
              <w:right w:val="single" w:sz="8" w:space="0" w:color="auto"/>
            </w:tcBorders>
            <w:shd w:val="clear" w:color="auto" w:fill="auto"/>
            <w:noWrap/>
            <w:vAlign w:val="bottom"/>
            <w:hideMark/>
          </w:tcPr>
          <w:p w14:paraId="26ABC9D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137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D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8,804</w:t>
            </w:r>
          </w:p>
        </w:tc>
        <w:tc>
          <w:tcPr>
            <w:tcW w:w="851" w:type="dxa"/>
            <w:tcBorders>
              <w:top w:val="nil"/>
              <w:left w:val="nil"/>
              <w:bottom w:val="single" w:sz="4" w:space="0" w:color="auto"/>
              <w:right w:val="single" w:sz="4" w:space="0" w:color="auto"/>
            </w:tcBorders>
            <w:shd w:val="clear" w:color="auto" w:fill="auto"/>
            <w:noWrap/>
            <w:vAlign w:val="bottom"/>
            <w:hideMark/>
          </w:tcPr>
          <w:p w14:paraId="26ABC9D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7,950</w:t>
            </w:r>
          </w:p>
        </w:tc>
        <w:tc>
          <w:tcPr>
            <w:tcW w:w="708" w:type="dxa"/>
            <w:tcBorders>
              <w:top w:val="nil"/>
              <w:left w:val="nil"/>
              <w:bottom w:val="single" w:sz="4" w:space="0" w:color="auto"/>
              <w:right w:val="single" w:sz="4" w:space="0" w:color="auto"/>
            </w:tcBorders>
            <w:shd w:val="clear" w:color="auto" w:fill="auto"/>
            <w:noWrap/>
            <w:vAlign w:val="bottom"/>
            <w:hideMark/>
          </w:tcPr>
          <w:p w14:paraId="26ABC9D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90</w:t>
            </w:r>
          </w:p>
        </w:tc>
        <w:tc>
          <w:tcPr>
            <w:tcW w:w="993" w:type="dxa"/>
            <w:tcBorders>
              <w:top w:val="nil"/>
              <w:left w:val="nil"/>
              <w:bottom w:val="single" w:sz="4" w:space="0" w:color="auto"/>
              <w:right w:val="single" w:sz="8" w:space="0" w:color="auto"/>
            </w:tcBorders>
            <w:shd w:val="clear" w:color="auto" w:fill="auto"/>
            <w:noWrap/>
            <w:vAlign w:val="bottom"/>
            <w:hideMark/>
          </w:tcPr>
          <w:p w14:paraId="26ABC9D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847</w:t>
            </w:r>
          </w:p>
        </w:tc>
        <w:tc>
          <w:tcPr>
            <w:tcW w:w="849" w:type="dxa"/>
            <w:tcBorders>
              <w:top w:val="nil"/>
              <w:left w:val="nil"/>
              <w:bottom w:val="single" w:sz="4" w:space="0" w:color="auto"/>
              <w:right w:val="single" w:sz="4" w:space="0" w:color="auto"/>
            </w:tcBorders>
            <w:shd w:val="clear" w:color="auto" w:fill="auto"/>
            <w:noWrap/>
            <w:vAlign w:val="bottom"/>
            <w:hideMark/>
          </w:tcPr>
          <w:p w14:paraId="26ABC9D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8,923</w:t>
            </w:r>
          </w:p>
        </w:tc>
        <w:tc>
          <w:tcPr>
            <w:tcW w:w="826" w:type="dxa"/>
            <w:tcBorders>
              <w:top w:val="nil"/>
              <w:left w:val="nil"/>
              <w:bottom w:val="single" w:sz="4" w:space="0" w:color="auto"/>
              <w:right w:val="single" w:sz="4" w:space="0" w:color="auto"/>
            </w:tcBorders>
            <w:shd w:val="clear" w:color="auto" w:fill="auto"/>
            <w:noWrap/>
            <w:vAlign w:val="bottom"/>
            <w:hideMark/>
          </w:tcPr>
          <w:p w14:paraId="26ABC9D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7,956</w:t>
            </w:r>
          </w:p>
        </w:tc>
        <w:tc>
          <w:tcPr>
            <w:tcW w:w="734" w:type="dxa"/>
            <w:tcBorders>
              <w:top w:val="nil"/>
              <w:left w:val="nil"/>
              <w:bottom w:val="single" w:sz="4" w:space="0" w:color="auto"/>
              <w:right w:val="single" w:sz="4" w:space="0" w:color="auto"/>
            </w:tcBorders>
            <w:shd w:val="clear" w:color="auto" w:fill="auto"/>
            <w:noWrap/>
            <w:vAlign w:val="bottom"/>
            <w:hideMark/>
          </w:tcPr>
          <w:p w14:paraId="26ABC9D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89.2</w:t>
            </w:r>
          </w:p>
        </w:tc>
        <w:tc>
          <w:tcPr>
            <w:tcW w:w="993" w:type="dxa"/>
            <w:tcBorders>
              <w:top w:val="nil"/>
              <w:left w:val="nil"/>
              <w:bottom w:val="single" w:sz="4" w:space="0" w:color="auto"/>
              <w:right w:val="single" w:sz="8" w:space="0" w:color="auto"/>
            </w:tcBorders>
            <w:shd w:val="clear" w:color="auto" w:fill="auto"/>
            <w:noWrap/>
            <w:vAlign w:val="bottom"/>
            <w:hideMark/>
          </w:tcPr>
          <w:p w14:paraId="26ABC9D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922</w:t>
            </w:r>
          </w:p>
        </w:tc>
        <w:tc>
          <w:tcPr>
            <w:tcW w:w="849" w:type="dxa"/>
            <w:tcBorders>
              <w:top w:val="nil"/>
              <w:left w:val="nil"/>
              <w:bottom w:val="single" w:sz="4" w:space="0" w:color="auto"/>
              <w:right w:val="single" w:sz="4" w:space="0" w:color="auto"/>
            </w:tcBorders>
            <w:shd w:val="clear" w:color="auto" w:fill="auto"/>
            <w:noWrap/>
            <w:vAlign w:val="bottom"/>
            <w:hideMark/>
          </w:tcPr>
          <w:p w14:paraId="26ABC9D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8,931</w:t>
            </w:r>
          </w:p>
        </w:tc>
        <w:tc>
          <w:tcPr>
            <w:tcW w:w="851" w:type="dxa"/>
            <w:tcBorders>
              <w:top w:val="nil"/>
              <w:left w:val="nil"/>
              <w:bottom w:val="single" w:sz="4" w:space="0" w:color="auto"/>
              <w:right w:val="single" w:sz="4" w:space="0" w:color="auto"/>
            </w:tcBorders>
            <w:shd w:val="clear" w:color="auto" w:fill="auto"/>
            <w:noWrap/>
            <w:vAlign w:val="bottom"/>
            <w:hideMark/>
          </w:tcPr>
          <w:p w14:paraId="26ABC9D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7,939</w:t>
            </w:r>
          </w:p>
        </w:tc>
        <w:tc>
          <w:tcPr>
            <w:tcW w:w="602" w:type="dxa"/>
            <w:tcBorders>
              <w:top w:val="nil"/>
              <w:left w:val="nil"/>
              <w:bottom w:val="single" w:sz="4" w:space="0" w:color="auto"/>
              <w:right w:val="single" w:sz="4" w:space="0" w:color="auto"/>
            </w:tcBorders>
            <w:shd w:val="clear" w:color="auto" w:fill="auto"/>
            <w:noWrap/>
            <w:vAlign w:val="bottom"/>
            <w:hideMark/>
          </w:tcPr>
          <w:p w14:paraId="26ABC9E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88.9</w:t>
            </w:r>
          </w:p>
        </w:tc>
        <w:tc>
          <w:tcPr>
            <w:tcW w:w="958" w:type="dxa"/>
            <w:tcBorders>
              <w:top w:val="nil"/>
              <w:left w:val="nil"/>
              <w:bottom w:val="single" w:sz="4" w:space="0" w:color="auto"/>
              <w:right w:val="single" w:sz="8" w:space="0" w:color="auto"/>
            </w:tcBorders>
            <w:shd w:val="clear" w:color="auto" w:fill="auto"/>
            <w:noWrap/>
            <w:vAlign w:val="bottom"/>
            <w:hideMark/>
          </w:tcPr>
          <w:p w14:paraId="26ABC9E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948</w:t>
            </w:r>
          </w:p>
        </w:tc>
      </w:tr>
      <w:tr w:rsidR="006554DE" w:rsidRPr="00CE60B2" w14:paraId="26ABC9F4" w14:textId="77777777" w:rsidTr="006554DE">
        <w:trPr>
          <w:trHeight w:val="255"/>
        </w:trPr>
        <w:tc>
          <w:tcPr>
            <w:tcW w:w="2127" w:type="dxa"/>
            <w:tcBorders>
              <w:top w:val="nil"/>
              <w:left w:val="single" w:sz="4" w:space="0" w:color="auto"/>
              <w:bottom w:val="single" w:sz="4" w:space="0" w:color="auto"/>
              <w:right w:val="nil"/>
            </w:tcBorders>
            <w:shd w:val="clear" w:color="auto" w:fill="auto"/>
            <w:noWrap/>
            <w:vAlign w:val="bottom"/>
            <w:hideMark/>
          </w:tcPr>
          <w:p w14:paraId="26ABC9E3" w14:textId="77777777" w:rsidR="006554DE" w:rsidRPr="00CE60B2" w:rsidRDefault="006554DE" w:rsidP="006554DE">
            <w:pPr>
              <w:spacing w:before="0" w:after="0"/>
              <w:rPr>
                <w:rFonts w:eastAsia="Times New Roman" w:cs="Segoe UI"/>
                <w:color w:val="000000"/>
                <w:sz w:val="16"/>
                <w:szCs w:val="16"/>
                <w:lang w:eastAsia="en-AU"/>
              </w:rPr>
            </w:pPr>
            <w:r w:rsidRPr="00CE60B2">
              <w:rPr>
                <w:rFonts w:eastAsia="Times New Roman" w:cs="Segoe UI"/>
                <w:color w:val="000000"/>
                <w:sz w:val="16"/>
                <w:szCs w:val="16"/>
                <w:lang w:eastAsia="en-AU"/>
              </w:rPr>
              <w:t>Western Wandoo woodland *</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6ABC9E4"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3,007</w:t>
            </w:r>
          </w:p>
        </w:tc>
        <w:tc>
          <w:tcPr>
            <w:tcW w:w="850" w:type="dxa"/>
            <w:tcBorders>
              <w:top w:val="nil"/>
              <w:left w:val="nil"/>
              <w:bottom w:val="single" w:sz="4" w:space="0" w:color="auto"/>
              <w:right w:val="single" w:sz="4" w:space="0" w:color="auto"/>
            </w:tcBorders>
            <w:shd w:val="clear" w:color="auto" w:fill="auto"/>
            <w:noWrap/>
            <w:vAlign w:val="bottom"/>
            <w:hideMark/>
          </w:tcPr>
          <w:p w14:paraId="26ABC9E5"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2,788</w:t>
            </w:r>
          </w:p>
        </w:tc>
        <w:tc>
          <w:tcPr>
            <w:tcW w:w="709" w:type="dxa"/>
            <w:tcBorders>
              <w:top w:val="nil"/>
              <w:left w:val="nil"/>
              <w:bottom w:val="single" w:sz="4" w:space="0" w:color="auto"/>
              <w:right w:val="single" w:sz="4" w:space="0" w:color="auto"/>
            </w:tcBorders>
            <w:shd w:val="clear" w:color="auto" w:fill="auto"/>
            <w:noWrap/>
            <w:vAlign w:val="bottom"/>
            <w:hideMark/>
          </w:tcPr>
          <w:p w14:paraId="26ABC9E6"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92.7</w:t>
            </w:r>
          </w:p>
        </w:tc>
        <w:tc>
          <w:tcPr>
            <w:tcW w:w="992" w:type="dxa"/>
            <w:tcBorders>
              <w:top w:val="nil"/>
              <w:left w:val="nil"/>
              <w:bottom w:val="single" w:sz="4" w:space="0" w:color="auto"/>
              <w:right w:val="single" w:sz="8" w:space="0" w:color="auto"/>
            </w:tcBorders>
            <w:shd w:val="clear" w:color="auto" w:fill="auto"/>
            <w:noWrap/>
            <w:vAlign w:val="bottom"/>
            <w:hideMark/>
          </w:tcPr>
          <w:p w14:paraId="26ABC9E7"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26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ABC9E8"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3,246</w:t>
            </w:r>
          </w:p>
        </w:tc>
        <w:tc>
          <w:tcPr>
            <w:tcW w:w="851" w:type="dxa"/>
            <w:tcBorders>
              <w:top w:val="nil"/>
              <w:left w:val="nil"/>
              <w:bottom w:val="single" w:sz="4" w:space="0" w:color="auto"/>
              <w:right w:val="single" w:sz="4" w:space="0" w:color="auto"/>
            </w:tcBorders>
            <w:shd w:val="clear" w:color="auto" w:fill="auto"/>
            <w:noWrap/>
            <w:vAlign w:val="bottom"/>
            <w:hideMark/>
          </w:tcPr>
          <w:p w14:paraId="26ABC9E9"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3,114</w:t>
            </w:r>
          </w:p>
        </w:tc>
        <w:tc>
          <w:tcPr>
            <w:tcW w:w="708" w:type="dxa"/>
            <w:tcBorders>
              <w:top w:val="nil"/>
              <w:left w:val="nil"/>
              <w:bottom w:val="single" w:sz="4" w:space="0" w:color="auto"/>
              <w:right w:val="single" w:sz="4" w:space="0" w:color="auto"/>
            </w:tcBorders>
            <w:shd w:val="clear" w:color="auto" w:fill="auto"/>
            <w:noWrap/>
            <w:vAlign w:val="bottom"/>
            <w:hideMark/>
          </w:tcPr>
          <w:p w14:paraId="26ABC9EA"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96</w:t>
            </w:r>
          </w:p>
        </w:tc>
        <w:tc>
          <w:tcPr>
            <w:tcW w:w="993" w:type="dxa"/>
            <w:tcBorders>
              <w:top w:val="nil"/>
              <w:left w:val="nil"/>
              <w:bottom w:val="single" w:sz="4" w:space="0" w:color="auto"/>
              <w:right w:val="single" w:sz="8" w:space="0" w:color="auto"/>
            </w:tcBorders>
            <w:shd w:val="clear" w:color="auto" w:fill="auto"/>
            <w:noWrap/>
            <w:vAlign w:val="bottom"/>
            <w:hideMark/>
          </w:tcPr>
          <w:p w14:paraId="26ABC9EB"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129</w:t>
            </w:r>
          </w:p>
        </w:tc>
        <w:tc>
          <w:tcPr>
            <w:tcW w:w="849" w:type="dxa"/>
            <w:tcBorders>
              <w:top w:val="nil"/>
              <w:left w:val="nil"/>
              <w:bottom w:val="single" w:sz="4" w:space="0" w:color="auto"/>
              <w:right w:val="single" w:sz="4" w:space="0" w:color="auto"/>
            </w:tcBorders>
            <w:shd w:val="clear" w:color="auto" w:fill="auto"/>
            <w:noWrap/>
            <w:vAlign w:val="bottom"/>
            <w:hideMark/>
          </w:tcPr>
          <w:p w14:paraId="26ABC9EC"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3,192</w:t>
            </w:r>
          </w:p>
        </w:tc>
        <w:tc>
          <w:tcPr>
            <w:tcW w:w="826" w:type="dxa"/>
            <w:tcBorders>
              <w:top w:val="nil"/>
              <w:left w:val="nil"/>
              <w:bottom w:val="single" w:sz="4" w:space="0" w:color="auto"/>
              <w:right w:val="single" w:sz="4" w:space="0" w:color="auto"/>
            </w:tcBorders>
            <w:shd w:val="clear" w:color="auto" w:fill="auto"/>
            <w:noWrap/>
            <w:vAlign w:val="bottom"/>
            <w:hideMark/>
          </w:tcPr>
          <w:p w14:paraId="26ABC9ED"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3,043</w:t>
            </w:r>
          </w:p>
        </w:tc>
        <w:tc>
          <w:tcPr>
            <w:tcW w:w="734" w:type="dxa"/>
            <w:tcBorders>
              <w:top w:val="nil"/>
              <w:left w:val="nil"/>
              <w:bottom w:val="single" w:sz="4" w:space="0" w:color="auto"/>
              <w:right w:val="single" w:sz="4" w:space="0" w:color="auto"/>
            </w:tcBorders>
            <w:shd w:val="clear" w:color="auto" w:fill="auto"/>
            <w:noWrap/>
            <w:vAlign w:val="bottom"/>
            <w:hideMark/>
          </w:tcPr>
          <w:p w14:paraId="26ABC9EE"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95.3</w:t>
            </w:r>
          </w:p>
        </w:tc>
        <w:tc>
          <w:tcPr>
            <w:tcW w:w="993" w:type="dxa"/>
            <w:tcBorders>
              <w:top w:val="nil"/>
              <w:left w:val="nil"/>
              <w:bottom w:val="single" w:sz="4" w:space="0" w:color="auto"/>
              <w:right w:val="single" w:sz="8" w:space="0" w:color="auto"/>
            </w:tcBorders>
            <w:shd w:val="clear" w:color="auto" w:fill="auto"/>
            <w:noWrap/>
            <w:vAlign w:val="bottom"/>
            <w:hideMark/>
          </w:tcPr>
          <w:p w14:paraId="26ABC9EF"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149</w:t>
            </w:r>
          </w:p>
        </w:tc>
        <w:tc>
          <w:tcPr>
            <w:tcW w:w="849" w:type="dxa"/>
            <w:tcBorders>
              <w:top w:val="nil"/>
              <w:left w:val="nil"/>
              <w:bottom w:val="single" w:sz="4" w:space="0" w:color="auto"/>
              <w:right w:val="single" w:sz="4" w:space="0" w:color="auto"/>
            </w:tcBorders>
            <w:shd w:val="clear" w:color="auto" w:fill="auto"/>
            <w:noWrap/>
            <w:vAlign w:val="bottom"/>
            <w:hideMark/>
          </w:tcPr>
          <w:p w14:paraId="26ABC9F0"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3,179</w:t>
            </w:r>
          </w:p>
        </w:tc>
        <w:tc>
          <w:tcPr>
            <w:tcW w:w="851" w:type="dxa"/>
            <w:tcBorders>
              <w:top w:val="nil"/>
              <w:left w:val="nil"/>
              <w:bottom w:val="single" w:sz="4" w:space="0" w:color="auto"/>
              <w:right w:val="single" w:sz="4" w:space="0" w:color="auto"/>
            </w:tcBorders>
            <w:shd w:val="clear" w:color="auto" w:fill="auto"/>
            <w:noWrap/>
            <w:vAlign w:val="bottom"/>
            <w:hideMark/>
          </w:tcPr>
          <w:p w14:paraId="26ABC9F1"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3,018</w:t>
            </w:r>
          </w:p>
        </w:tc>
        <w:tc>
          <w:tcPr>
            <w:tcW w:w="602" w:type="dxa"/>
            <w:tcBorders>
              <w:top w:val="nil"/>
              <w:left w:val="nil"/>
              <w:bottom w:val="single" w:sz="4" w:space="0" w:color="auto"/>
              <w:right w:val="single" w:sz="4" w:space="0" w:color="auto"/>
            </w:tcBorders>
            <w:shd w:val="clear" w:color="auto" w:fill="auto"/>
            <w:noWrap/>
            <w:vAlign w:val="bottom"/>
            <w:hideMark/>
          </w:tcPr>
          <w:p w14:paraId="26ABC9F2"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94.9</w:t>
            </w:r>
          </w:p>
        </w:tc>
        <w:tc>
          <w:tcPr>
            <w:tcW w:w="958" w:type="dxa"/>
            <w:tcBorders>
              <w:top w:val="nil"/>
              <w:left w:val="nil"/>
              <w:bottom w:val="single" w:sz="4" w:space="0" w:color="auto"/>
              <w:right w:val="single" w:sz="8" w:space="0" w:color="auto"/>
            </w:tcBorders>
            <w:shd w:val="clear" w:color="auto" w:fill="auto"/>
            <w:noWrap/>
            <w:vAlign w:val="bottom"/>
            <w:hideMark/>
          </w:tcPr>
          <w:p w14:paraId="26ABC9F3" w14:textId="77777777" w:rsidR="006554DE" w:rsidRPr="00CE60B2" w:rsidRDefault="006554DE" w:rsidP="006554DE">
            <w:pPr>
              <w:spacing w:before="0" w:after="0"/>
              <w:jc w:val="right"/>
              <w:rPr>
                <w:rFonts w:eastAsia="Times New Roman" w:cs="Segoe UI"/>
                <w:color w:val="000000"/>
                <w:sz w:val="16"/>
                <w:szCs w:val="16"/>
                <w:lang w:eastAsia="en-AU"/>
              </w:rPr>
            </w:pPr>
            <w:r w:rsidRPr="00CE60B2">
              <w:rPr>
                <w:rFonts w:eastAsia="Times New Roman" w:cs="Segoe UI"/>
                <w:color w:val="000000"/>
                <w:sz w:val="16"/>
                <w:szCs w:val="16"/>
                <w:lang w:eastAsia="en-AU"/>
              </w:rPr>
              <w:t>150</w:t>
            </w:r>
          </w:p>
        </w:tc>
      </w:tr>
      <w:tr w:rsidR="006554DE" w:rsidRPr="00CE60B2" w14:paraId="26ABCA06" w14:textId="77777777" w:rsidTr="006554DE">
        <w:trPr>
          <w:trHeight w:val="255"/>
        </w:trPr>
        <w:tc>
          <w:tcPr>
            <w:tcW w:w="2127" w:type="dxa"/>
            <w:tcBorders>
              <w:top w:val="nil"/>
              <w:left w:val="single" w:sz="4" w:space="0" w:color="auto"/>
              <w:bottom w:val="single" w:sz="4" w:space="0" w:color="auto"/>
              <w:right w:val="nil"/>
            </w:tcBorders>
            <w:shd w:val="clear" w:color="auto" w:fill="DFEFE1" w:themeFill="accent3" w:themeFillTint="66"/>
            <w:noWrap/>
            <w:vAlign w:val="bottom"/>
            <w:hideMark/>
          </w:tcPr>
          <w:p w14:paraId="26ABC9F5"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Sub-total Wandoo dominant</w:t>
            </w:r>
          </w:p>
        </w:tc>
        <w:tc>
          <w:tcPr>
            <w:tcW w:w="851" w:type="dxa"/>
            <w:tcBorders>
              <w:top w:val="nil"/>
              <w:left w:val="single" w:sz="8" w:space="0" w:color="auto"/>
              <w:bottom w:val="single" w:sz="4" w:space="0" w:color="auto"/>
              <w:right w:val="single" w:sz="4" w:space="0" w:color="auto"/>
            </w:tcBorders>
            <w:shd w:val="clear" w:color="auto" w:fill="DFEFE1" w:themeFill="accent3" w:themeFillTint="66"/>
            <w:noWrap/>
            <w:vAlign w:val="bottom"/>
            <w:hideMark/>
          </w:tcPr>
          <w:p w14:paraId="26ABC9F6"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10,839</w:t>
            </w:r>
          </w:p>
        </w:tc>
        <w:tc>
          <w:tcPr>
            <w:tcW w:w="850" w:type="dxa"/>
            <w:tcBorders>
              <w:top w:val="nil"/>
              <w:left w:val="nil"/>
              <w:bottom w:val="single" w:sz="4" w:space="0" w:color="auto"/>
              <w:right w:val="single" w:sz="4" w:space="0" w:color="auto"/>
            </w:tcBorders>
            <w:shd w:val="clear" w:color="auto" w:fill="DFEFE1" w:themeFill="accent3" w:themeFillTint="66"/>
            <w:noWrap/>
            <w:vAlign w:val="bottom"/>
            <w:hideMark/>
          </w:tcPr>
          <w:p w14:paraId="26ABC9F7"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9,598</w:t>
            </w:r>
          </w:p>
        </w:tc>
        <w:tc>
          <w:tcPr>
            <w:tcW w:w="709" w:type="dxa"/>
            <w:tcBorders>
              <w:top w:val="nil"/>
              <w:left w:val="nil"/>
              <w:bottom w:val="single" w:sz="4" w:space="0" w:color="auto"/>
              <w:right w:val="single" w:sz="4" w:space="0" w:color="auto"/>
            </w:tcBorders>
            <w:shd w:val="clear" w:color="auto" w:fill="DFEFE1" w:themeFill="accent3" w:themeFillTint="66"/>
            <w:noWrap/>
            <w:vAlign w:val="bottom"/>
            <w:hideMark/>
          </w:tcPr>
          <w:p w14:paraId="26ABC9F8"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 </w:t>
            </w:r>
          </w:p>
        </w:tc>
        <w:tc>
          <w:tcPr>
            <w:tcW w:w="992" w:type="dxa"/>
            <w:tcBorders>
              <w:top w:val="nil"/>
              <w:left w:val="nil"/>
              <w:bottom w:val="single" w:sz="4" w:space="0" w:color="auto"/>
              <w:right w:val="single" w:sz="8" w:space="0" w:color="auto"/>
            </w:tcBorders>
            <w:shd w:val="clear" w:color="auto" w:fill="DFEFE1" w:themeFill="accent3" w:themeFillTint="66"/>
            <w:noWrap/>
            <w:vAlign w:val="bottom"/>
            <w:hideMark/>
          </w:tcPr>
          <w:p w14:paraId="26ABC9F9"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163</w:t>
            </w:r>
          </w:p>
        </w:tc>
        <w:tc>
          <w:tcPr>
            <w:tcW w:w="850" w:type="dxa"/>
            <w:gridSpan w:val="2"/>
            <w:tcBorders>
              <w:top w:val="nil"/>
              <w:left w:val="nil"/>
              <w:bottom w:val="single" w:sz="4" w:space="0" w:color="auto"/>
              <w:right w:val="single" w:sz="4" w:space="0" w:color="auto"/>
            </w:tcBorders>
            <w:shd w:val="clear" w:color="auto" w:fill="DFEFE1" w:themeFill="accent3" w:themeFillTint="66"/>
            <w:noWrap/>
            <w:vAlign w:val="bottom"/>
            <w:hideMark/>
          </w:tcPr>
          <w:p w14:paraId="26ABC9FA"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12,050</w:t>
            </w:r>
          </w:p>
        </w:tc>
        <w:tc>
          <w:tcPr>
            <w:tcW w:w="851" w:type="dxa"/>
            <w:tcBorders>
              <w:top w:val="nil"/>
              <w:left w:val="nil"/>
              <w:bottom w:val="single" w:sz="4" w:space="0" w:color="auto"/>
              <w:right w:val="single" w:sz="4" w:space="0" w:color="auto"/>
            </w:tcBorders>
            <w:shd w:val="clear" w:color="auto" w:fill="DFEFE1" w:themeFill="accent3" w:themeFillTint="66"/>
            <w:noWrap/>
            <w:vAlign w:val="bottom"/>
            <w:hideMark/>
          </w:tcPr>
          <w:p w14:paraId="26ABC9FB"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11,064</w:t>
            </w:r>
          </w:p>
        </w:tc>
        <w:tc>
          <w:tcPr>
            <w:tcW w:w="708" w:type="dxa"/>
            <w:tcBorders>
              <w:top w:val="nil"/>
              <w:left w:val="nil"/>
              <w:bottom w:val="single" w:sz="4" w:space="0" w:color="auto"/>
              <w:right w:val="single" w:sz="4" w:space="0" w:color="auto"/>
            </w:tcBorders>
            <w:shd w:val="clear" w:color="auto" w:fill="DFEFE1" w:themeFill="accent3" w:themeFillTint="66"/>
            <w:noWrap/>
            <w:vAlign w:val="bottom"/>
            <w:hideMark/>
          </w:tcPr>
          <w:p w14:paraId="26ABC9FC"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 </w:t>
            </w:r>
          </w:p>
        </w:tc>
        <w:tc>
          <w:tcPr>
            <w:tcW w:w="993" w:type="dxa"/>
            <w:tcBorders>
              <w:top w:val="nil"/>
              <w:left w:val="nil"/>
              <w:bottom w:val="single" w:sz="4" w:space="0" w:color="auto"/>
              <w:right w:val="single" w:sz="8" w:space="0" w:color="auto"/>
            </w:tcBorders>
            <w:shd w:val="clear" w:color="auto" w:fill="DFEFE1" w:themeFill="accent3" w:themeFillTint="66"/>
            <w:noWrap/>
            <w:vAlign w:val="bottom"/>
            <w:hideMark/>
          </w:tcPr>
          <w:p w14:paraId="26ABC9FD"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976</w:t>
            </w:r>
          </w:p>
        </w:tc>
        <w:tc>
          <w:tcPr>
            <w:tcW w:w="849" w:type="dxa"/>
            <w:tcBorders>
              <w:top w:val="nil"/>
              <w:left w:val="nil"/>
              <w:bottom w:val="single" w:sz="4" w:space="0" w:color="auto"/>
              <w:right w:val="single" w:sz="4" w:space="0" w:color="auto"/>
            </w:tcBorders>
            <w:shd w:val="clear" w:color="auto" w:fill="DFEFE1" w:themeFill="accent3" w:themeFillTint="66"/>
            <w:noWrap/>
            <w:vAlign w:val="bottom"/>
            <w:hideMark/>
          </w:tcPr>
          <w:p w14:paraId="26ABC9FE"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12,115</w:t>
            </w:r>
          </w:p>
        </w:tc>
        <w:tc>
          <w:tcPr>
            <w:tcW w:w="826" w:type="dxa"/>
            <w:tcBorders>
              <w:top w:val="nil"/>
              <w:left w:val="nil"/>
              <w:bottom w:val="single" w:sz="4" w:space="0" w:color="auto"/>
              <w:right w:val="single" w:sz="4" w:space="0" w:color="auto"/>
            </w:tcBorders>
            <w:shd w:val="clear" w:color="auto" w:fill="DFEFE1" w:themeFill="accent3" w:themeFillTint="66"/>
            <w:noWrap/>
            <w:vAlign w:val="bottom"/>
            <w:hideMark/>
          </w:tcPr>
          <w:p w14:paraId="26ABC9FF"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10,999</w:t>
            </w:r>
          </w:p>
        </w:tc>
        <w:tc>
          <w:tcPr>
            <w:tcW w:w="734" w:type="dxa"/>
            <w:tcBorders>
              <w:top w:val="nil"/>
              <w:left w:val="nil"/>
              <w:bottom w:val="single" w:sz="4" w:space="0" w:color="auto"/>
              <w:right w:val="single" w:sz="4" w:space="0" w:color="auto"/>
            </w:tcBorders>
            <w:shd w:val="clear" w:color="auto" w:fill="DFEFE1" w:themeFill="accent3" w:themeFillTint="66"/>
            <w:noWrap/>
            <w:vAlign w:val="bottom"/>
            <w:hideMark/>
          </w:tcPr>
          <w:p w14:paraId="26ABCA00"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 </w:t>
            </w:r>
          </w:p>
        </w:tc>
        <w:tc>
          <w:tcPr>
            <w:tcW w:w="993" w:type="dxa"/>
            <w:tcBorders>
              <w:top w:val="nil"/>
              <w:left w:val="nil"/>
              <w:bottom w:val="single" w:sz="4" w:space="0" w:color="auto"/>
              <w:right w:val="single" w:sz="8" w:space="0" w:color="auto"/>
            </w:tcBorders>
            <w:shd w:val="clear" w:color="auto" w:fill="DFEFE1" w:themeFill="accent3" w:themeFillTint="66"/>
            <w:noWrap/>
            <w:vAlign w:val="bottom"/>
            <w:hideMark/>
          </w:tcPr>
          <w:p w14:paraId="26ABCA01"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1,071</w:t>
            </w:r>
          </w:p>
        </w:tc>
        <w:tc>
          <w:tcPr>
            <w:tcW w:w="849" w:type="dxa"/>
            <w:tcBorders>
              <w:top w:val="nil"/>
              <w:left w:val="nil"/>
              <w:bottom w:val="single" w:sz="4" w:space="0" w:color="auto"/>
              <w:right w:val="single" w:sz="4" w:space="0" w:color="auto"/>
            </w:tcBorders>
            <w:shd w:val="clear" w:color="auto" w:fill="DFEFE1" w:themeFill="accent3" w:themeFillTint="66"/>
            <w:noWrap/>
            <w:vAlign w:val="bottom"/>
            <w:hideMark/>
          </w:tcPr>
          <w:p w14:paraId="26ABCA02"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12,111</w:t>
            </w:r>
          </w:p>
        </w:tc>
        <w:tc>
          <w:tcPr>
            <w:tcW w:w="851" w:type="dxa"/>
            <w:tcBorders>
              <w:top w:val="nil"/>
              <w:left w:val="nil"/>
              <w:bottom w:val="single" w:sz="4" w:space="0" w:color="auto"/>
              <w:right w:val="single" w:sz="4" w:space="0" w:color="auto"/>
            </w:tcBorders>
            <w:shd w:val="clear" w:color="auto" w:fill="DFEFE1" w:themeFill="accent3" w:themeFillTint="66"/>
            <w:noWrap/>
            <w:vAlign w:val="bottom"/>
            <w:hideMark/>
          </w:tcPr>
          <w:p w14:paraId="26ABCA03"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10,957</w:t>
            </w:r>
          </w:p>
        </w:tc>
        <w:tc>
          <w:tcPr>
            <w:tcW w:w="602" w:type="dxa"/>
            <w:tcBorders>
              <w:top w:val="nil"/>
              <w:left w:val="nil"/>
              <w:bottom w:val="single" w:sz="4" w:space="0" w:color="auto"/>
              <w:right w:val="single" w:sz="4" w:space="0" w:color="auto"/>
            </w:tcBorders>
            <w:shd w:val="clear" w:color="auto" w:fill="DFEFE1" w:themeFill="accent3" w:themeFillTint="66"/>
            <w:noWrap/>
            <w:vAlign w:val="bottom"/>
            <w:hideMark/>
          </w:tcPr>
          <w:p w14:paraId="26ABCA04"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 </w:t>
            </w:r>
          </w:p>
        </w:tc>
        <w:tc>
          <w:tcPr>
            <w:tcW w:w="958" w:type="dxa"/>
            <w:tcBorders>
              <w:top w:val="nil"/>
              <w:left w:val="nil"/>
              <w:bottom w:val="single" w:sz="4" w:space="0" w:color="auto"/>
              <w:right w:val="single" w:sz="8" w:space="0" w:color="auto"/>
            </w:tcBorders>
            <w:shd w:val="clear" w:color="auto" w:fill="DFEFE1" w:themeFill="accent3" w:themeFillTint="66"/>
            <w:noWrap/>
            <w:vAlign w:val="bottom"/>
            <w:hideMark/>
          </w:tcPr>
          <w:p w14:paraId="26ABCA05"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1,098</w:t>
            </w:r>
          </w:p>
        </w:tc>
      </w:tr>
      <w:tr w:rsidR="006554DE" w:rsidRPr="00CE60B2" w14:paraId="26ABCA18" w14:textId="77777777" w:rsidTr="006554DE">
        <w:trPr>
          <w:trHeight w:val="270"/>
        </w:trPr>
        <w:tc>
          <w:tcPr>
            <w:tcW w:w="2127" w:type="dxa"/>
            <w:tcBorders>
              <w:top w:val="nil"/>
              <w:left w:val="single" w:sz="4" w:space="0" w:color="auto"/>
              <w:bottom w:val="single" w:sz="4" w:space="0" w:color="auto"/>
              <w:right w:val="nil"/>
            </w:tcBorders>
            <w:shd w:val="clear" w:color="auto" w:fill="DFEFE1" w:themeFill="accent3" w:themeFillTint="66"/>
            <w:noWrap/>
            <w:vAlign w:val="bottom"/>
            <w:hideMark/>
          </w:tcPr>
          <w:p w14:paraId="26ABCA07" w14:textId="77777777" w:rsidR="006554DE" w:rsidRPr="00CE60B2" w:rsidRDefault="006554DE" w:rsidP="006554DE">
            <w:pPr>
              <w:spacing w:before="0" w:after="0"/>
              <w:rPr>
                <w:rFonts w:eastAsia="Times New Roman" w:cs="Segoe UI"/>
                <w:b/>
                <w:bCs/>
                <w:sz w:val="16"/>
                <w:szCs w:val="16"/>
                <w:lang w:eastAsia="en-AU"/>
              </w:rPr>
            </w:pPr>
            <w:r w:rsidRPr="00CE60B2">
              <w:rPr>
                <w:rFonts w:eastAsia="Times New Roman" w:cs="Segoe UI"/>
                <w:b/>
                <w:bCs/>
                <w:sz w:val="16"/>
                <w:szCs w:val="16"/>
                <w:lang w:eastAsia="en-AU"/>
              </w:rPr>
              <w:t>GRAND TOTAL</w:t>
            </w:r>
          </w:p>
        </w:tc>
        <w:tc>
          <w:tcPr>
            <w:tcW w:w="851" w:type="dxa"/>
            <w:tcBorders>
              <w:top w:val="nil"/>
              <w:left w:val="single" w:sz="8" w:space="0" w:color="auto"/>
              <w:bottom w:val="single" w:sz="8" w:space="0" w:color="auto"/>
              <w:right w:val="single" w:sz="4" w:space="0" w:color="auto"/>
            </w:tcBorders>
            <w:shd w:val="clear" w:color="auto" w:fill="DFEFE1" w:themeFill="accent3" w:themeFillTint="66"/>
            <w:noWrap/>
            <w:vAlign w:val="bottom"/>
            <w:hideMark/>
          </w:tcPr>
          <w:p w14:paraId="26ABCA08"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347,082</w:t>
            </w:r>
          </w:p>
        </w:tc>
        <w:tc>
          <w:tcPr>
            <w:tcW w:w="850" w:type="dxa"/>
            <w:tcBorders>
              <w:top w:val="nil"/>
              <w:left w:val="nil"/>
              <w:bottom w:val="single" w:sz="8" w:space="0" w:color="auto"/>
              <w:right w:val="single" w:sz="4" w:space="0" w:color="auto"/>
            </w:tcBorders>
            <w:shd w:val="clear" w:color="auto" w:fill="DFEFE1" w:themeFill="accent3" w:themeFillTint="66"/>
            <w:noWrap/>
            <w:vAlign w:val="bottom"/>
            <w:hideMark/>
          </w:tcPr>
          <w:p w14:paraId="26ABCA09"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232,901</w:t>
            </w:r>
          </w:p>
        </w:tc>
        <w:tc>
          <w:tcPr>
            <w:tcW w:w="709" w:type="dxa"/>
            <w:tcBorders>
              <w:top w:val="nil"/>
              <w:left w:val="nil"/>
              <w:bottom w:val="single" w:sz="8" w:space="0" w:color="auto"/>
              <w:right w:val="single" w:sz="4" w:space="0" w:color="auto"/>
            </w:tcBorders>
            <w:shd w:val="clear" w:color="auto" w:fill="DFEFE1" w:themeFill="accent3" w:themeFillTint="66"/>
            <w:noWrap/>
            <w:vAlign w:val="bottom"/>
            <w:hideMark/>
          </w:tcPr>
          <w:p w14:paraId="26ABCA0A"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 </w:t>
            </w:r>
          </w:p>
        </w:tc>
        <w:tc>
          <w:tcPr>
            <w:tcW w:w="992" w:type="dxa"/>
            <w:tcBorders>
              <w:top w:val="nil"/>
              <w:left w:val="nil"/>
              <w:bottom w:val="single" w:sz="8" w:space="0" w:color="auto"/>
              <w:right w:val="single" w:sz="8" w:space="0" w:color="auto"/>
            </w:tcBorders>
            <w:shd w:val="clear" w:color="auto" w:fill="DFEFE1" w:themeFill="accent3" w:themeFillTint="66"/>
            <w:noWrap/>
            <w:vAlign w:val="bottom"/>
            <w:hideMark/>
          </w:tcPr>
          <w:p w14:paraId="26ABCA0B"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12,651</w:t>
            </w:r>
          </w:p>
        </w:tc>
        <w:tc>
          <w:tcPr>
            <w:tcW w:w="850" w:type="dxa"/>
            <w:gridSpan w:val="2"/>
            <w:tcBorders>
              <w:top w:val="nil"/>
              <w:left w:val="nil"/>
              <w:bottom w:val="single" w:sz="8" w:space="0" w:color="auto"/>
              <w:right w:val="single" w:sz="4" w:space="0" w:color="auto"/>
            </w:tcBorders>
            <w:shd w:val="clear" w:color="auto" w:fill="DFEFE1" w:themeFill="accent3" w:themeFillTint="66"/>
            <w:noWrap/>
            <w:vAlign w:val="bottom"/>
            <w:hideMark/>
          </w:tcPr>
          <w:p w14:paraId="26ABCA0C"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332,286</w:t>
            </w:r>
          </w:p>
        </w:tc>
        <w:tc>
          <w:tcPr>
            <w:tcW w:w="851" w:type="dxa"/>
            <w:tcBorders>
              <w:top w:val="nil"/>
              <w:left w:val="nil"/>
              <w:bottom w:val="single" w:sz="8" w:space="0" w:color="auto"/>
              <w:right w:val="single" w:sz="4" w:space="0" w:color="auto"/>
            </w:tcBorders>
            <w:shd w:val="clear" w:color="auto" w:fill="DFEFE1" w:themeFill="accent3" w:themeFillTint="66"/>
            <w:noWrap/>
            <w:vAlign w:val="bottom"/>
            <w:hideMark/>
          </w:tcPr>
          <w:p w14:paraId="26ABCA0D"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315,765</w:t>
            </w:r>
          </w:p>
        </w:tc>
        <w:tc>
          <w:tcPr>
            <w:tcW w:w="708" w:type="dxa"/>
            <w:tcBorders>
              <w:top w:val="nil"/>
              <w:left w:val="nil"/>
              <w:bottom w:val="single" w:sz="8" w:space="0" w:color="auto"/>
              <w:right w:val="single" w:sz="4" w:space="0" w:color="auto"/>
            </w:tcBorders>
            <w:shd w:val="clear" w:color="auto" w:fill="DFEFE1" w:themeFill="accent3" w:themeFillTint="66"/>
            <w:noWrap/>
            <w:vAlign w:val="bottom"/>
            <w:hideMark/>
          </w:tcPr>
          <w:p w14:paraId="26ABCA0E"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 </w:t>
            </w:r>
          </w:p>
        </w:tc>
        <w:tc>
          <w:tcPr>
            <w:tcW w:w="993" w:type="dxa"/>
            <w:tcBorders>
              <w:top w:val="nil"/>
              <w:left w:val="nil"/>
              <w:bottom w:val="single" w:sz="8" w:space="0" w:color="auto"/>
              <w:right w:val="single" w:sz="8" w:space="0" w:color="auto"/>
            </w:tcBorders>
            <w:shd w:val="clear" w:color="auto" w:fill="DFEFE1" w:themeFill="accent3" w:themeFillTint="66"/>
            <w:noWrap/>
            <w:vAlign w:val="bottom"/>
            <w:hideMark/>
          </w:tcPr>
          <w:p w14:paraId="26ABCA0F"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17,116</w:t>
            </w:r>
          </w:p>
        </w:tc>
        <w:tc>
          <w:tcPr>
            <w:tcW w:w="849" w:type="dxa"/>
            <w:tcBorders>
              <w:top w:val="nil"/>
              <w:left w:val="nil"/>
              <w:bottom w:val="single" w:sz="8" w:space="0" w:color="auto"/>
              <w:right w:val="single" w:sz="4" w:space="0" w:color="auto"/>
            </w:tcBorders>
            <w:shd w:val="clear" w:color="auto" w:fill="DFEFE1" w:themeFill="accent3" w:themeFillTint="66"/>
            <w:noWrap/>
            <w:vAlign w:val="bottom"/>
            <w:hideMark/>
          </w:tcPr>
          <w:p w14:paraId="26ABCA10"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335,454</w:t>
            </w:r>
          </w:p>
        </w:tc>
        <w:tc>
          <w:tcPr>
            <w:tcW w:w="826" w:type="dxa"/>
            <w:tcBorders>
              <w:top w:val="nil"/>
              <w:left w:val="nil"/>
              <w:bottom w:val="single" w:sz="8" w:space="0" w:color="auto"/>
              <w:right w:val="single" w:sz="4" w:space="0" w:color="auto"/>
            </w:tcBorders>
            <w:shd w:val="clear" w:color="auto" w:fill="DFEFE1" w:themeFill="accent3" w:themeFillTint="66"/>
            <w:noWrap/>
            <w:vAlign w:val="bottom"/>
            <w:hideMark/>
          </w:tcPr>
          <w:p w14:paraId="26ABCA11"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316,007</w:t>
            </w:r>
          </w:p>
        </w:tc>
        <w:tc>
          <w:tcPr>
            <w:tcW w:w="734" w:type="dxa"/>
            <w:tcBorders>
              <w:top w:val="nil"/>
              <w:left w:val="nil"/>
              <w:bottom w:val="single" w:sz="8" w:space="0" w:color="auto"/>
              <w:right w:val="single" w:sz="4" w:space="0" w:color="auto"/>
            </w:tcBorders>
            <w:shd w:val="clear" w:color="auto" w:fill="DFEFE1" w:themeFill="accent3" w:themeFillTint="66"/>
            <w:noWrap/>
            <w:vAlign w:val="bottom"/>
            <w:hideMark/>
          </w:tcPr>
          <w:p w14:paraId="26ABCA12"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 </w:t>
            </w:r>
          </w:p>
        </w:tc>
        <w:tc>
          <w:tcPr>
            <w:tcW w:w="993" w:type="dxa"/>
            <w:tcBorders>
              <w:top w:val="nil"/>
              <w:left w:val="nil"/>
              <w:bottom w:val="single" w:sz="8" w:space="0" w:color="auto"/>
              <w:right w:val="single" w:sz="8" w:space="0" w:color="auto"/>
            </w:tcBorders>
            <w:shd w:val="clear" w:color="auto" w:fill="DFEFE1" w:themeFill="accent3" w:themeFillTint="66"/>
            <w:noWrap/>
            <w:vAlign w:val="bottom"/>
            <w:hideMark/>
          </w:tcPr>
          <w:p w14:paraId="26ABCA13"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19,151</w:t>
            </w:r>
          </w:p>
        </w:tc>
        <w:tc>
          <w:tcPr>
            <w:tcW w:w="849" w:type="dxa"/>
            <w:tcBorders>
              <w:top w:val="nil"/>
              <w:left w:val="nil"/>
              <w:bottom w:val="single" w:sz="8" w:space="0" w:color="auto"/>
              <w:right w:val="single" w:sz="4" w:space="0" w:color="auto"/>
            </w:tcBorders>
            <w:shd w:val="clear" w:color="auto" w:fill="DFEFE1" w:themeFill="accent3" w:themeFillTint="66"/>
            <w:noWrap/>
            <w:vAlign w:val="bottom"/>
            <w:hideMark/>
          </w:tcPr>
          <w:p w14:paraId="26ABCA14"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335,557</w:t>
            </w:r>
          </w:p>
        </w:tc>
        <w:tc>
          <w:tcPr>
            <w:tcW w:w="851" w:type="dxa"/>
            <w:tcBorders>
              <w:top w:val="nil"/>
              <w:left w:val="nil"/>
              <w:bottom w:val="single" w:sz="8" w:space="0" w:color="auto"/>
              <w:right w:val="single" w:sz="4" w:space="0" w:color="auto"/>
            </w:tcBorders>
            <w:shd w:val="clear" w:color="auto" w:fill="DFEFE1" w:themeFill="accent3" w:themeFillTint="66"/>
            <w:noWrap/>
            <w:vAlign w:val="bottom"/>
            <w:hideMark/>
          </w:tcPr>
          <w:p w14:paraId="26ABCA15"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315,029</w:t>
            </w:r>
          </w:p>
        </w:tc>
        <w:tc>
          <w:tcPr>
            <w:tcW w:w="602" w:type="dxa"/>
            <w:tcBorders>
              <w:top w:val="nil"/>
              <w:left w:val="nil"/>
              <w:bottom w:val="single" w:sz="8" w:space="0" w:color="auto"/>
              <w:right w:val="single" w:sz="4" w:space="0" w:color="auto"/>
            </w:tcBorders>
            <w:shd w:val="clear" w:color="auto" w:fill="DFEFE1" w:themeFill="accent3" w:themeFillTint="66"/>
            <w:noWrap/>
            <w:vAlign w:val="bottom"/>
            <w:hideMark/>
          </w:tcPr>
          <w:p w14:paraId="26ABCA16"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 </w:t>
            </w:r>
          </w:p>
        </w:tc>
        <w:tc>
          <w:tcPr>
            <w:tcW w:w="958" w:type="dxa"/>
            <w:tcBorders>
              <w:top w:val="nil"/>
              <w:left w:val="nil"/>
              <w:bottom w:val="single" w:sz="8" w:space="0" w:color="auto"/>
              <w:right w:val="single" w:sz="8" w:space="0" w:color="auto"/>
            </w:tcBorders>
            <w:shd w:val="clear" w:color="auto" w:fill="DFEFE1" w:themeFill="accent3" w:themeFillTint="66"/>
            <w:noWrap/>
            <w:vAlign w:val="bottom"/>
            <w:hideMark/>
          </w:tcPr>
          <w:p w14:paraId="26ABCA17" w14:textId="77777777" w:rsidR="006554DE" w:rsidRPr="00CE60B2" w:rsidRDefault="006554DE" w:rsidP="006554DE">
            <w:pPr>
              <w:spacing w:before="0" w:after="0"/>
              <w:jc w:val="right"/>
              <w:rPr>
                <w:rFonts w:eastAsia="Times New Roman" w:cs="Segoe UI"/>
                <w:b/>
                <w:bCs/>
                <w:sz w:val="16"/>
                <w:szCs w:val="16"/>
                <w:lang w:eastAsia="en-AU"/>
              </w:rPr>
            </w:pPr>
            <w:r w:rsidRPr="00CE60B2">
              <w:rPr>
                <w:rFonts w:eastAsia="Times New Roman" w:cs="Segoe UI"/>
                <w:b/>
                <w:bCs/>
                <w:sz w:val="16"/>
                <w:szCs w:val="16"/>
                <w:lang w:eastAsia="en-AU"/>
              </w:rPr>
              <w:t>19,690</w:t>
            </w:r>
          </w:p>
        </w:tc>
      </w:tr>
    </w:tbl>
    <w:p w14:paraId="26ABCA19" w14:textId="77777777" w:rsidR="006554DE" w:rsidRPr="00CE60B2" w:rsidRDefault="006554DE" w:rsidP="006554DE">
      <w:pPr>
        <w:rPr>
          <w:rFonts w:cs="Segoe UI"/>
          <w:b/>
        </w:rPr>
        <w:sectPr w:rsidR="006554DE" w:rsidRPr="00CE60B2" w:rsidSect="006554DE">
          <w:pgSz w:w="16838" w:h="11906" w:orient="landscape"/>
          <w:pgMar w:top="1440" w:right="567" w:bottom="1440" w:left="567" w:header="709" w:footer="709" w:gutter="0"/>
          <w:cols w:space="708"/>
          <w:docGrid w:linePitch="360"/>
        </w:sectPr>
      </w:pPr>
    </w:p>
    <w:p w14:paraId="26ABCA1A" w14:textId="77777777" w:rsidR="006554DE" w:rsidRPr="00CE60B2" w:rsidRDefault="006554DE" w:rsidP="006554DE">
      <w:pPr>
        <w:rPr>
          <w:rFonts w:cs="Segoe UI"/>
          <w:sz w:val="16"/>
          <w:szCs w:val="16"/>
        </w:rPr>
      </w:pPr>
      <w:r w:rsidRPr="00CE60B2">
        <w:rPr>
          <w:rFonts w:cs="Segoe UI"/>
          <w:sz w:val="16"/>
          <w:szCs w:val="16"/>
        </w:rPr>
        <w:lastRenderedPageBreak/>
        <w:t>* Rare or depleted ecosystem</w:t>
      </w:r>
    </w:p>
    <w:p w14:paraId="26ABCA1B" w14:textId="77777777" w:rsidR="006554DE" w:rsidRPr="00CE60B2" w:rsidRDefault="006554DE" w:rsidP="006554DE">
      <w:pPr>
        <w:rPr>
          <w:rFonts w:cs="Segoe UI"/>
          <w:sz w:val="16"/>
          <w:szCs w:val="16"/>
        </w:rPr>
      </w:pPr>
      <w:r w:rsidRPr="00CE60B2">
        <w:rPr>
          <w:rFonts w:cs="Segoe UI"/>
          <w:sz w:val="16"/>
          <w:szCs w:val="16"/>
        </w:rPr>
        <w:t>** No current estimate of ecosystems on private land was available to contribute to a "total present area". The estimate produced for the WA RFA was out-dated.</w:t>
      </w:r>
    </w:p>
    <w:p w14:paraId="26ABCA1C" w14:textId="77777777" w:rsidR="006554DE" w:rsidRPr="00CE60B2" w:rsidRDefault="006554DE" w:rsidP="006554DE">
      <w:pPr>
        <w:rPr>
          <w:rFonts w:cs="Segoe UI"/>
          <w:sz w:val="16"/>
          <w:szCs w:val="16"/>
        </w:rPr>
      </w:pPr>
      <w:r w:rsidRPr="00CE60B2">
        <w:rPr>
          <w:rFonts w:cs="Segoe UI"/>
          <w:sz w:val="16"/>
          <w:szCs w:val="16"/>
        </w:rPr>
        <w:t>*** Sum of area on private and public land. Ecosystems on private land derived from historic forest types.</w:t>
      </w:r>
    </w:p>
    <w:p w14:paraId="26ABCA1D" w14:textId="77777777" w:rsidR="006554DE" w:rsidRPr="00CE60B2" w:rsidRDefault="006554DE" w:rsidP="006554DE">
      <w:pPr>
        <w:rPr>
          <w:rFonts w:cs="Segoe UI"/>
          <w:sz w:val="16"/>
          <w:szCs w:val="16"/>
        </w:rPr>
      </w:pPr>
      <w:r w:rsidRPr="00CE60B2">
        <w:rPr>
          <w:rFonts w:cs="Segoe UI"/>
          <w:sz w:val="16"/>
          <w:szCs w:val="16"/>
        </w:rPr>
        <w:t>^ Majority occurs outside the WA RFA region.</w:t>
      </w:r>
    </w:p>
    <w:p w14:paraId="26ABCA1E" w14:textId="77777777" w:rsidR="006554DE" w:rsidRPr="00CE60B2" w:rsidRDefault="006554DE" w:rsidP="006554DE">
      <w:pPr>
        <w:rPr>
          <w:rFonts w:cs="Segoe UI"/>
          <w:sz w:val="16"/>
          <w:szCs w:val="16"/>
        </w:rPr>
      </w:pPr>
      <w:r w:rsidRPr="00CE60B2">
        <w:rPr>
          <w:rFonts w:cs="Segoe UI"/>
          <w:sz w:val="16"/>
          <w:szCs w:val="16"/>
        </w:rPr>
        <w:t>" Darling Scarp old-growth forest includes jarrah and wandoo dominant forest</w:t>
      </w:r>
    </w:p>
    <w:p w14:paraId="26ABCA20" w14:textId="77777777" w:rsidR="009B7A26" w:rsidRPr="00CE60B2" w:rsidRDefault="009B7A26" w:rsidP="009B7A26">
      <w:pPr>
        <w:spacing w:before="0"/>
        <w:rPr>
          <w:rFonts w:cs="Segoe UI"/>
          <w:b/>
          <w:color w:val="000000" w:themeColor="text1"/>
          <w:sz w:val="24"/>
          <w:szCs w:val="24"/>
        </w:rPr>
      </w:pPr>
    </w:p>
    <w:p w14:paraId="26ABCA21" w14:textId="77777777" w:rsidR="006554DE" w:rsidRPr="00CE60B2" w:rsidRDefault="006554DE">
      <w:pPr>
        <w:spacing w:before="0" w:after="480" w:line="276" w:lineRule="auto"/>
        <w:rPr>
          <w:rFonts w:cs="Segoe UI"/>
          <w:b/>
          <w:color w:val="000000" w:themeColor="text1"/>
          <w:sz w:val="24"/>
          <w:szCs w:val="24"/>
        </w:rPr>
      </w:pPr>
      <w:r w:rsidRPr="00CE60B2">
        <w:rPr>
          <w:rFonts w:cs="Segoe UI"/>
          <w:b/>
          <w:color w:val="000000" w:themeColor="text1"/>
          <w:sz w:val="24"/>
          <w:szCs w:val="24"/>
        </w:rPr>
        <w:br w:type="page"/>
      </w:r>
    </w:p>
    <w:p w14:paraId="26ABCA22" w14:textId="77777777" w:rsidR="006554DE" w:rsidRPr="00CE60B2" w:rsidRDefault="006554DE" w:rsidP="009B7A26">
      <w:pPr>
        <w:spacing w:before="0"/>
        <w:rPr>
          <w:rFonts w:cs="Segoe UI"/>
          <w:b/>
          <w:color w:val="000000" w:themeColor="text1"/>
          <w:sz w:val="24"/>
          <w:szCs w:val="24"/>
        </w:rPr>
        <w:sectPr w:rsidR="006554DE" w:rsidRPr="00CE60B2" w:rsidSect="006554DE">
          <w:headerReference w:type="even" r:id="rId23"/>
          <w:headerReference w:type="default" r:id="rId24"/>
          <w:headerReference w:type="first" r:id="rId25"/>
          <w:pgSz w:w="16838" w:h="11906" w:orient="landscape"/>
          <w:pgMar w:top="1440" w:right="1440" w:bottom="1440" w:left="1440" w:header="709" w:footer="709" w:gutter="0"/>
          <w:cols w:space="708"/>
          <w:docGrid w:linePitch="360"/>
        </w:sectPr>
      </w:pPr>
    </w:p>
    <w:p w14:paraId="26ABCA23" w14:textId="77777777" w:rsidR="00AF064B" w:rsidRPr="005D4FC0" w:rsidRDefault="00AF064B" w:rsidP="005D4FC0">
      <w:pPr>
        <w:pStyle w:val="Heading3"/>
      </w:pPr>
      <w:bookmarkStart w:id="31" w:name="_Toc2776030"/>
      <w:r w:rsidRPr="005D4FC0">
        <w:lastRenderedPageBreak/>
        <w:t>Wilderness values</w:t>
      </w:r>
      <w:bookmarkEnd w:id="31"/>
    </w:p>
    <w:p w14:paraId="26ABCA24" w14:textId="77777777" w:rsidR="00CE151B" w:rsidRPr="00CE60B2" w:rsidRDefault="00CE151B" w:rsidP="00CE151B">
      <w:pPr>
        <w:rPr>
          <w:rFonts w:cs="Segoe UI"/>
          <w:szCs w:val="16"/>
        </w:rPr>
      </w:pPr>
      <w:r w:rsidRPr="00CE60B2">
        <w:rPr>
          <w:rFonts w:cs="Segoe UI"/>
          <w:szCs w:val="16"/>
        </w:rPr>
        <w:t xml:space="preserve">The </w:t>
      </w:r>
      <w:r w:rsidR="009320E7">
        <w:rPr>
          <w:rFonts w:cs="Segoe UI"/>
          <w:szCs w:val="16"/>
        </w:rPr>
        <w:t>NFPS</w:t>
      </w:r>
      <w:r w:rsidRPr="00CE60B2">
        <w:rPr>
          <w:rFonts w:cs="Segoe UI"/>
          <w:szCs w:val="16"/>
        </w:rPr>
        <w:t>/JANIS Criteria defines Wilderness as:</w:t>
      </w:r>
    </w:p>
    <w:p w14:paraId="26ABCA25" w14:textId="77777777" w:rsidR="00CE151B" w:rsidRPr="00CE60B2" w:rsidRDefault="00CE151B" w:rsidP="00CE151B">
      <w:pPr>
        <w:ind w:left="567"/>
        <w:rPr>
          <w:rFonts w:cs="Segoe UI"/>
          <w:i/>
          <w:szCs w:val="16"/>
        </w:rPr>
      </w:pPr>
      <w:r w:rsidRPr="00CE60B2">
        <w:rPr>
          <w:rFonts w:cs="Segoe UI"/>
          <w:i/>
          <w:szCs w:val="16"/>
        </w:rPr>
        <w:t>Land that, together with its plant and animal communities, is in a state that has not been substantially modified by, and is remote from, the influences of European settlement…</w:t>
      </w:r>
      <w:r w:rsidR="00766A5D" w:rsidRPr="00CE60B2">
        <w:rPr>
          <w:rStyle w:val="FootnoteReference"/>
          <w:rFonts w:cs="Segoe UI"/>
          <w:i/>
          <w:szCs w:val="16"/>
        </w:rPr>
        <w:footnoteReference w:id="3"/>
      </w:r>
    </w:p>
    <w:p w14:paraId="26ABCA26" w14:textId="77777777" w:rsidR="000A7214" w:rsidRPr="00CE60B2" w:rsidRDefault="00CE151B" w:rsidP="00CE151B">
      <w:pPr>
        <w:rPr>
          <w:rFonts w:cs="Segoe UI"/>
          <w:szCs w:val="16"/>
        </w:rPr>
      </w:pPr>
      <w:r w:rsidRPr="00CE60B2">
        <w:rPr>
          <w:rFonts w:cs="Segoe UI"/>
          <w:szCs w:val="16"/>
        </w:rPr>
        <w:t xml:space="preserve">Delineated Wilderness was determined for the CRA by a desktop analysis of datasets relating to landscape factors (remoteness, naturalness, size etc.) that relate to the NFPS/JANIS wilderness definition. Delineated Wilderness was the layer used to determine the JANIS reservation targets (90%, or more if practicable) for wilderness in the development of the </w:t>
      </w:r>
      <w:r w:rsidR="00713F88" w:rsidRPr="00CE60B2">
        <w:rPr>
          <w:rFonts w:cs="Segoe UI"/>
          <w:szCs w:val="16"/>
        </w:rPr>
        <w:t>WA</w:t>
      </w:r>
      <w:r w:rsidR="00533E7C">
        <w:rPr>
          <w:rFonts w:cs="Segoe UI"/>
          <w:szCs w:val="16"/>
        </w:rPr>
        <w:t> </w:t>
      </w:r>
      <w:r w:rsidRPr="00CE60B2">
        <w:rPr>
          <w:rFonts w:cs="Segoe UI"/>
          <w:szCs w:val="16"/>
        </w:rPr>
        <w:t>RFA.</w:t>
      </w:r>
    </w:p>
    <w:p w14:paraId="26ABCA27" w14:textId="77777777" w:rsidR="00CE151B" w:rsidRPr="00CE60B2" w:rsidRDefault="00D26B76" w:rsidP="00D15AAD">
      <w:pPr>
        <w:pStyle w:val="Heading4"/>
        <w:rPr>
          <w:rFonts w:cs="Segoe UI"/>
        </w:rPr>
      </w:pPr>
      <w:r w:rsidRPr="00CE60B2">
        <w:rPr>
          <w:rFonts w:cs="Segoe UI"/>
        </w:rPr>
        <w:t xml:space="preserve">Wilderness extent </w:t>
      </w:r>
      <w:r w:rsidR="00E94BF6" w:rsidRPr="00CE60B2">
        <w:rPr>
          <w:rFonts w:cs="Segoe UI"/>
        </w:rPr>
        <w:t xml:space="preserve">and protection </w:t>
      </w:r>
      <w:r w:rsidRPr="00CE60B2">
        <w:rPr>
          <w:rFonts w:cs="Segoe UI"/>
        </w:rPr>
        <w:t xml:space="preserve">in </w:t>
      </w:r>
      <w:r w:rsidR="005F5553" w:rsidRPr="00CE60B2">
        <w:rPr>
          <w:rFonts w:cs="Segoe UI"/>
        </w:rPr>
        <w:t>WA</w:t>
      </w:r>
      <w:r w:rsidRPr="00CE60B2">
        <w:rPr>
          <w:rFonts w:cs="Segoe UI"/>
        </w:rPr>
        <w:t xml:space="preserve"> RFA region</w:t>
      </w:r>
    </w:p>
    <w:p w14:paraId="26ABCA28" w14:textId="77777777" w:rsidR="006554DE" w:rsidRPr="00CE60B2" w:rsidRDefault="006554DE" w:rsidP="006554DE">
      <w:pPr>
        <w:rPr>
          <w:rFonts w:cs="Segoe UI"/>
          <w:szCs w:val="16"/>
        </w:rPr>
      </w:pPr>
      <w:r w:rsidRPr="00CE60B2">
        <w:rPr>
          <w:rFonts w:cs="Segoe UI"/>
          <w:szCs w:val="16"/>
        </w:rPr>
        <w:t xml:space="preserve">There were no wilderness areas identified in the CRA as none met the combined thresholds for the wilderness indicators to be delineated. </w:t>
      </w:r>
    </w:p>
    <w:p w14:paraId="26ABCA29" w14:textId="283996DD" w:rsidR="006554DE" w:rsidRPr="00CE60B2" w:rsidRDefault="00115E2F" w:rsidP="006554DE">
      <w:pPr>
        <w:rPr>
          <w:rFonts w:cs="Segoe UI"/>
          <w:szCs w:val="16"/>
        </w:rPr>
      </w:pPr>
      <w:r>
        <w:rPr>
          <w:rFonts w:cs="Segoe UI"/>
          <w:szCs w:val="16"/>
        </w:rPr>
        <w:t>E</w:t>
      </w:r>
      <w:r w:rsidR="006554DE" w:rsidRPr="00CE60B2">
        <w:rPr>
          <w:rFonts w:cs="Segoe UI"/>
          <w:szCs w:val="16"/>
        </w:rPr>
        <w:t>xtensive areas with high wilderness quality and high biophysical naturalness were incorporated int</w:t>
      </w:r>
      <w:r w:rsidR="008240E4">
        <w:rPr>
          <w:rFonts w:cs="Segoe UI"/>
          <w:szCs w:val="16"/>
        </w:rPr>
        <w:t xml:space="preserve">o the CAR reserve system. </w:t>
      </w:r>
      <w:r w:rsidR="008240E4">
        <w:rPr>
          <w:rFonts w:cs="Segoe UI"/>
          <w:szCs w:val="16"/>
        </w:rPr>
        <w:fldChar w:fldCharType="begin"/>
      </w:r>
      <w:r w:rsidR="008240E4">
        <w:rPr>
          <w:rFonts w:cs="Segoe UI"/>
          <w:szCs w:val="16"/>
        </w:rPr>
        <w:instrText xml:space="preserve"> REF _Ref527450313 </w:instrText>
      </w:r>
      <w:r w:rsidR="008240E4">
        <w:rPr>
          <w:rFonts w:cs="Segoe UI"/>
          <w:szCs w:val="16"/>
        </w:rPr>
        <w:fldChar w:fldCharType="separate"/>
      </w:r>
      <w:r w:rsidR="003C7091">
        <w:t xml:space="preserve">Table </w:t>
      </w:r>
      <w:r w:rsidR="003C7091">
        <w:rPr>
          <w:noProof/>
        </w:rPr>
        <w:t>3</w:t>
      </w:r>
      <w:r w:rsidR="008240E4">
        <w:rPr>
          <w:rFonts w:cs="Segoe UI"/>
          <w:szCs w:val="16"/>
        </w:rPr>
        <w:fldChar w:fldCharType="end"/>
      </w:r>
      <w:r w:rsidR="006554DE" w:rsidRPr="00CE60B2">
        <w:rPr>
          <w:rFonts w:cs="Segoe UI"/>
          <w:szCs w:val="16"/>
        </w:rPr>
        <w:t xml:space="preserve"> summarises the reservation levels for the wilderness quality and biophysical naturalness identified during the CRA process in 1999 and as currently reserved at 30</w:t>
      </w:r>
      <w:r w:rsidR="00E23EED">
        <w:rPr>
          <w:rFonts w:cs="Segoe UI"/>
          <w:szCs w:val="16"/>
        </w:rPr>
        <w:t> </w:t>
      </w:r>
      <w:r w:rsidR="006554DE" w:rsidRPr="00CE60B2">
        <w:rPr>
          <w:rFonts w:cs="Segoe UI"/>
          <w:szCs w:val="16"/>
        </w:rPr>
        <w:t>June</w:t>
      </w:r>
      <w:r w:rsidR="00E23EED">
        <w:rPr>
          <w:rFonts w:cs="Segoe UI"/>
          <w:szCs w:val="16"/>
        </w:rPr>
        <w:t> </w:t>
      </w:r>
      <w:r w:rsidR="006554DE" w:rsidRPr="00CE60B2">
        <w:rPr>
          <w:rFonts w:cs="Segoe UI"/>
          <w:szCs w:val="16"/>
        </w:rPr>
        <w:t xml:space="preserve">2018.  There has been a significant increase in the proportion for each value in the CAR reserve system due to the progressive additions to reserves over this period. </w:t>
      </w:r>
    </w:p>
    <w:p w14:paraId="26ABCA2A" w14:textId="6BFD7849" w:rsidR="008240E4" w:rsidRDefault="008240E4" w:rsidP="00C421F0">
      <w:pPr>
        <w:pStyle w:val="Caption"/>
        <w:keepNext/>
        <w:spacing w:after="0"/>
      </w:pPr>
      <w:bookmarkStart w:id="32" w:name="_Ref527450313"/>
      <w:bookmarkStart w:id="33" w:name="_Toc531002164"/>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3</w:t>
      </w:r>
      <w:r w:rsidR="005C10D4">
        <w:rPr>
          <w:noProof/>
        </w:rPr>
        <w:fldChar w:fldCharType="end"/>
      </w:r>
      <w:bookmarkEnd w:id="32"/>
      <w:r>
        <w:t>: Reservation levels of wilderness values in the CAR Reserve System from 1999 to 2018.</w:t>
      </w:r>
      <w:bookmarkEnd w:id="33"/>
    </w:p>
    <w:tbl>
      <w:tblPr>
        <w:tblW w:w="8380" w:type="dxa"/>
        <w:tblLook w:val="04A0" w:firstRow="1" w:lastRow="0" w:firstColumn="1" w:lastColumn="0" w:noHBand="0" w:noVBand="1"/>
      </w:tblPr>
      <w:tblGrid>
        <w:gridCol w:w="2552"/>
        <w:gridCol w:w="974"/>
        <w:gridCol w:w="974"/>
        <w:gridCol w:w="1018"/>
        <w:gridCol w:w="954"/>
        <w:gridCol w:w="954"/>
        <w:gridCol w:w="954"/>
      </w:tblGrid>
      <w:tr w:rsidR="00C421F0" w:rsidRPr="00CE60B2" w14:paraId="26ABCA2C" w14:textId="77777777" w:rsidTr="00C421F0">
        <w:trPr>
          <w:gridAfter w:val="6"/>
          <w:wAfter w:w="5828" w:type="dxa"/>
          <w:trHeight w:val="255"/>
        </w:trPr>
        <w:tc>
          <w:tcPr>
            <w:tcW w:w="2552" w:type="dxa"/>
            <w:tcBorders>
              <w:top w:val="nil"/>
              <w:left w:val="nil"/>
              <w:bottom w:val="nil"/>
              <w:right w:val="nil"/>
            </w:tcBorders>
            <w:shd w:val="clear" w:color="auto" w:fill="auto"/>
            <w:noWrap/>
            <w:vAlign w:val="bottom"/>
            <w:hideMark/>
          </w:tcPr>
          <w:p w14:paraId="26ABCA2B" w14:textId="77777777" w:rsidR="00C421F0" w:rsidRPr="00CE60B2" w:rsidRDefault="00C421F0" w:rsidP="006554DE">
            <w:pPr>
              <w:spacing w:before="0" w:after="0"/>
              <w:rPr>
                <w:rFonts w:eastAsia="Times New Roman" w:cs="Segoe UI"/>
                <w:sz w:val="24"/>
                <w:szCs w:val="24"/>
                <w:lang w:eastAsia="en-AU"/>
              </w:rPr>
            </w:pPr>
          </w:p>
        </w:tc>
      </w:tr>
      <w:tr w:rsidR="00C421F0" w:rsidRPr="00CE60B2" w14:paraId="26ABCA30" w14:textId="77777777" w:rsidTr="00C421F0">
        <w:trPr>
          <w:trHeight w:val="255"/>
        </w:trPr>
        <w:tc>
          <w:tcPr>
            <w:tcW w:w="2552" w:type="dxa"/>
            <w:vMerge w:val="restart"/>
            <w:tcBorders>
              <w:top w:val="single" w:sz="4" w:space="0" w:color="auto"/>
              <w:left w:val="single" w:sz="4" w:space="0" w:color="auto"/>
              <w:bottom w:val="single" w:sz="4" w:space="0" w:color="000000"/>
              <w:right w:val="single" w:sz="4" w:space="0" w:color="auto"/>
            </w:tcBorders>
            <w:shd w:val="clear" w:color="auto" w:fill="DFEFE1" w:themeFill="accent3" w:themeFillTint="66"/>
            <w:noWrap/>
            <w:vAlign w:val="center"/>
            <w:hideMark/>
          </w:tcPr>
          <w:p w14:paraId="26ABCA2D" w14:textId="77777777" w:rsidR="00C421F0" w:rsidRPr="00CE60B2" w:rsidRDefault="00C421F0" w:rsidP="006554DE">
            <w:pPr>
              <w:spacing w:before="0" w:after="0"/>
              <w:rPr>
                <w:rFonts w:eastAsia="Times New Roman" w:cs="Segoe UI"/>
                <w:b/>
                <w:sz w:val="18"/>
                <w:szCs w:val="18"/>
                <w:lang w:eastAsia="en-AU"/>
              </w:rPr>
            </w:pPr>
            <w:r w:rsidRPr="00CE60B2">
              <w:rPr>
                <w:rFonts w:eastAsia="Times New Roman" w:cs="Segoe UI"/>
                <w:b/>
                <w:sz w:val="18"/>
                <w:szCs w:val="18"/>
                <w:lang w:eastAsia="en-AU"/>
              </w:rPr>
              <w:t>Value</w:t>
            </w:r>
          </w:p>
        </w:tc>
        <w:tc>
          <w:tcPr>
            <w:tcW w:w="974" w:type="dxa"/>
            <w:vMerge w:val="restart"/>
            <w:tcBorders>
              <w:top w:val="single" w:sz="4" w:space="0" w:color="auto"/>
              <w:left w:val="single" w:sz="4" w:space="0" w:color="auto"/>
              <w:bottom w:val="nil"/>
              <w:right w:val="single" w:sz="4" w:space="0" w:color="auto"/>
            </w:tcBorders>
            <w:shd w:val="clear" w:color="auto" w:fill="DFEFE1" w:themeFill="accent3" w:themeFillTint="66"/>
            <w:vAlign w:val="center"/>
            <w:hideMark/>
          </w:tcPr>
          <w:p w14:paraId="26ABCA2E"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Present area</w:t>
            </w:r>
          </w:p>
        </w:tc>
        <w:tc>
          <w:tcPr>
            <w:tcW w:w="4854" w:type="dxa"/>
            <w:gridSpan w:val="5"/>
            <w:tcBorders>
              <w:top w:val="single" w:sz="4" w:space="0" w:color="auto"/>
              <w:left w:val="nil"/>
              <w:bottom w:val="nil"/>
              <w:right w:val="single" w:sz="4" w:space="0" w:color="auto"/>
            </w:tcBorders>
            <w:shd w:val="clear" w:color="auto" w:fill="DFEFE1" w:themeFill="accent3" w:themeFillTint="66"/>
            <w:noWrap/>
            <w:vAlign w:val="bottom"/>
            <w:hideMark/>
          </w:tcPr>
          <w:p w14:paraId="26ABCA2F"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CAR Reserve System</w:t>
            </w:r>
          </w:p>
        </w:tc>
      </w:tr>
      <w:tr w:rsidR="00C421F0" w:rsidRPr="00CE60B2" w14:paraId="26ABCA36" w14:textId="77777777" w:rsidTr="00C421F0">
        <w:trPr>
          <w:trHeight w:val="255"/>
        </w:trPr>
        <w:tc>
          <w:tcPr>
            <w:tcW w:w="2552" w:type="dxa"/>
            <w:vMerge/>
            <w:tcBorders>
              <w:top w:val="single" w:sz="4" w:space="0" w:color="auto"/>
              <w:left w:val="single" w:sz="4" w:space="0" w:color="auto"/>
              <w:bottom w:val="single" w:sz="4" w:space="0" w:color="000000"/>
              <w:right w:val="single" w:sz="4" w:space="0" w:color="auto"/>
            </w:tcBorders>
            <w:shd w:val="clear" w:color="auto" w:fill="DFEFE1" w:themeFill="accent3" w:themeFillTint="66"/>
            <w:vAlign w:val="center"/>
            <w:hideMark/>
          </w:tcPr>
          <w:p w14:paraId="26ABCA31" w14:textId="77777777" w:rsidR="00C421F0" w:rsidRPr="00CE60B2" w:rsidRDefault="00C421F0" w:rsidP="006554DE">
            <w:pPr>
              <w:spacing w:before="0" w:after="0"/>
              <w:rPr>
                <w:rFonts w:eastAsia="Times New Roman" w:cs="Segoe UI"/>
                <w:b/>
                <w:sz w:val="18"/>
                <w:szCs w:val="18"/>
                <w:lang w:eastAsia="en-AU"/>
              </w:rPr>
            </w:pPr>
          </w:p>
        </w:tc>
        <w:tc>
          <w:tcPr>
            <w:tcW w:w="974" w:type="dxa"/>
            <w:vMerge/>
            <w:tcBorders>
              <w:top w:val="nil"/>
              <w:left w:val="single" w:sz="4" w:space="0" w:color="auto"/>
              <w:bottom w:val="nil"/>
              <w:right w:val="single" w:sz="4" w:space="0" w:color="auto"/>
            </w:tcBorders>
            <w:shd w:val="clear" w:color="auto" w:fill="DFEFE1" w:themeFill="accent3" w:themeFillTint="66"/>
            <w:vAlign w:val="center"/>
            <w:hideMark/>
          </w:tcPr>
          <w:p w14:paraId="26ABCA32" w14:textId="77777777" w:rsidR="00C421F0" w:rsidRPr="00CE60B2" w:rsidRDefault="00C421F0" w:rsidP="006554DE">
            <w:pPr>
              <w:spacing w:before="0" w:after="0"/>
              <w:rPr>
                <w:rFonts w:eastAsia="Times New Roman" w:cs="Segoe UI"/>
                <w:b/>
                <w:sz w:val="18"/>
                <w:szCs w:val="18"/>
                <w:lang w:eastAsia="en-AU"/>
              </w:rPr>
            </w:pPr>
          </w:p>
        </w:tc>
        <w:tc>
          <w:tcPr>
            <w:tcW w:w="2946" w:type="dxa"/>
            <w:gridSpan w:val="3"/>
            <w:tcBorders>
              <w:top w:val="nil"/>
              <w:left w:val="nil"/>
              <w:bottom w:val="nil"/>
              <w:right w:val="single" w:sz="4" w:space="0" w:color="000000"/>
            </w:tcBorders>
            <w:shd w:val="clear" w:color="auto" w:fill="DFEFE1" w:themeFill="accent3" w:themeFillTint="66"/>
            <w:noWrap/>
            <w:vAlign w:val="bottom"/>
            <w:hideMark/>
          </w:tcPr>
          <w:p w14:paraId="26ABCA33"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Formal Reserves</w:t>
            </w:r>
          </w:p>
        </w:tc>
        <w:tc>
          <w:tcPr>
            <w:tcW w:w="954" w:type="dxa"/>
            <w:vMerge w:val="restart"/>
            <w:tcBorders>
              <w:top w:val="nil"/>
              <w:left w:val="single" w:sz="4" w:space="0" w:color="auto"/>
              <w:bottom w:val="nil"/>
              <w:right w:val="single" w:sz="4" w:space="0" w:color="auto"/>
            </w:tcBorders>
            <w:shd w:val="clear" w:color="auto" w:fill="DFEFE1" w:themeFill="accent3" w:themeFillTint="66"/>
            <w:vAlign w:val="bottom"/>
            <w:hideMark/>
          </w:tcPr>
          <w:p w14:paraId="26ABCA34"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CAR</w:t>
            </w:r>
            <w:r w:rsidRPr="00CE60B2">
              <w:rPr>
                <w:rFonts w:eastAsia="Times New Roman" w:cs="Segoe UI"/>
                <w:b/>
                <w:sz w:val="18"/>
                <w:szCs w:val="18"/>
                <w:lang w:eastAsia="en-AU"/>
              </w:rPr>
              <w:br/>
              <w:t>Informal Reserves</w:t>
            </w:r>
          </w:p>
        </w:tc>
        <w:tc>
          <w:tcPr>
            <w:tcW w:w="954" w:type="dxa"/>
            <w:vMerge w:val="restart"/>
            <w:tcBorders>
              <w:top w:val="nil"/>
              <w:left w:val="single" w:sz="4" w:space="0" w:color="auto"/>
              <w:bottom w:val="nil"/>
              <w:right w:val="single" w:sz="4" w:space="0" w:color="auto"/>
            </w:tcBorders>
            <w:shd w:val="clear" w:color="auto" w:fill="DFEFE1" w:themeFill="accent3" w:themeFillTint="66"/>
            <w:vAlign w:val="center"/>
            <w:hideMark/>
          </w:tcPr>
          <w:p w14:paraId="26ABCA35"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Total CAR</w:t>
            </w:r>
          </w:p>
        </w:tc>
      </w:tr>
      <w:tr w:rsidR="00C421F0" w:rsidRPr="00CE60B2" w14:paraId="26ABCA3E" w14:textId="77777777" w:rsidTr="00C421F0">
        <w:trPr>
          <w:trHeight w:val="525"/>
        </w:trPr>
        <w:tc>
          <w:tcPr>
            <w:tcW w:w="2552" w:type="dxa"/>
            <w:vMerge/>
            <w:tcBorders>
              <w:top w:val="single" w:sz="4" w:space="0" w:color="auto"/>
              <w:left w:val="single" w:sz="4" w:space="0" w:color="auto"/>
              <w:bottom w:val="single" w:sz="4" w:space="0" w:color="000000"/>
              <w:right w:val="single" w:sz="4" w:space="0" w:color="auto"/>
            </w:tcBorders>
            <w:shd w:val="clear" w:color="auto" w:fill="DFEFE1" w:themeFill="accent3" w:themeFillTint="66"/>
            <w:vAlign w:val="center"/>
            <w:hideMark/>
          </w:tcPr>
          <w:p w14:paraId="26ABCA37" w14:textId="77777777" w:rsidR="00C421F0" w:rsidRPr="00CE60B2" w:rsidRDefault="00C421F0" w:rsidP="006554DE">
            <w:pPr>
              <w:spacing w:before="0" w:after="0"/>
              <w:rPr>
                <w:rFonts w:eastAsia="Times New Roman" w:cs="Segoe UI"/>
                <w:b/>
                <w:sz w:val="18"/>
                <w:szCs w:val="18"/>
                <w:lang w:eastAsia="en-AU"/>
              </w:rPr>
            </w:pPr>
          </w:p>
        </w:tc>
        <w:tc>
          <w:tcPr>
            <w:tcW w:w="974" w:type="dxa"/>
            <w:vMerge/>
            <w:tcBorders>
              <w:top w:val="nil"/>
              <w:left w:val="single" w:sz="4" w:space="0" w:color="auto"/>
              <w:bottom w:val="nil"/>
              <w:right w:val="single" w:sz="4" w:space="0" w:color="auto"/>
            </w:tcBorders>
            <w:shd w:val="clear" w:color="auto" w:fill="DFEFE1" w:themeFill="accent3" w:themeFillTint="66"/>
            <w:vAlign w:val="center"/>
            <w:hideMark/>
          </w:tcPr>
          <w:p w14:paraId="26ABCA38" w14:textId="77777777" w:rsidR="00C421F0" w:rsidRPr="00CE60B2" w:rsidRDefault="00C421F0" w:rsidP="006554DE">
            <w:pPr>
              <w:spacing w:before="0" w:after="0"/>
              <w:rPr>
                <w:rFonts w:eastAsia="Times New Roman" w:cs="Segoe UI"/>
                <w:b/>
                <w:sz w:val="18"/>
                <w:szCs w:val="18"/>
                <w:lang w:eastAsia="en-AU"/>
              </w:rPr>
            </w:pPr>
          </w:p>
        </w:tc>
        <w:tc>
          <w:tcPr>
            <w:tcW w:w="974" w:type="dxa"/>
            <w:tcBorders>
              <w:top w:val="nil"/>
              <w:left w:val="nil"/>
              <w:bottom w:val="nil"/>
              <w:right w:val="single" w:sz="4" w:space="0" w:color="auto"/>
            </w:tcBorders>
            <w:shd w:val="clear" w:color="auto" w:fill="DFEFE1" w:themeFill="accent3" w:themeFillTint="66"/>
            <w:noWrap/>
            <w:vAlign w:val="bottom"/>
            <w:hideMark/>
          </w:tcPr>
          <w:p w14:paraId="26ABCA39"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Gazetted</w:t>
            </w:r>
          </w:p>
        </w:tc>
        <w:tc>
          <w:tcPr>
            <w:tcW w:w="1018" w:type="dxa"/>
            <w:tcBorders>
              <w:top w:val="nil"/>
              <w:left w:val="nil"/>
              <w:bottom w:val="nil"/>
              <w:right w:val="single" w:sz="4" w:space="0" w:color="auto"/>
            </w:tcBorders>
            <w:shd w:val="clear" w:color="auto" w:fill="DFEFE1" w:themeFill="accent3" w:themeFillTint="66"/>
            <w:vAlign w:val="bottom"/>
            <w:hideMark/>
          </w:tcPr>
          <w:p w14:paraId="26ABCA3A"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FMP Proposed</w:t>
            </w:r>
          </w:p>
        </w:tc>
        <w:tc>
          <w:tcPr>
            <w:tcW w:w="954" w:type="dxa"/>
            <w:tcBorders>
              <w:top w:val="nil"/>
              <w:left w:val="nil"/>
              <w:bottom w:val="nil"/>
              <w:right w:val="single" w:sz="4" w:space="0" w:color="auto"/>
            </w:tcBorders>
            <w:shd w:val="clear" w:color="auto" w:fill="DFEFE1" w:themeFill="accent3" w:themeFillTint="66"/>
            <w:noWrap/>
            <w:vAlign w:val="bottom"/>
            <w:hideMark/>
          </w:tcPr>
          <w:p w14:paraId="26ABCA3B"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New</w:t>
            </w:r>
          </w:p>
        </w:tc>
        <w:tc>
          <w:tcPr>
            <w:tcW w:w="954" w:type="dxa"/>
            <w:vMerge/>
            <w:tcBorders>
              <w:top w:val="nil"/>
              <w:left w:val="single" w:sz="4" w:space="0" w:color="auto"/>
              <w:bottom w:val="nil"/>
              <w:right w:val="single" w:sz="4" w:space="0" w:color="auto"/>
            </w:tcBorders>
            <w:shd w:val="clear" w:color="auto" w:fill="DFEFE1" w:themeFill="accent3" w:themeFillTint="66"/>
            <w:vAlign w:val="center"/>
            <w:hideMark/>
          </w:tcPr>
          <w:p w14:paraId="26ABCA3C" w14:textId="77777777" w:rsidR="00C421F0" w:rsidRPr="00CE60B2" w:rsidRDefault="00C421F0" w:rsidP="006554DE">
            <w:pPr>
              <w:spacing w:before="0" w:after="0"/>
              <w:rPr>
                <w:rFonts w:eastAsia="Times New Roman" w:cs="Segoe UI"/>
                <w:b/>
                <w:sz w:val="18"/>
                <w:szCs w:val="18"/>
                <w:lang w:eastAsia="en-AU"/>
              </w:rPr>
            </w:pPr>
          </w:p>
        </w:tc>
        <w:tc>
          <w:tcPr>
            <w:tcW w:w="954" w:type="dxa"/>
            <w:vMerge/>
            <w:tcBorders>
              <w:top w:val="nil"/>
              <w:left w:val="single" w:sz="4" w:space="0" w:color="auto"/>
              <w:bottom w:val="nil"/>
              <w:right w:val="single" w:sz="4" w:space="0" w:color="auto"/>
            </w:tcBorders>
            <w:shd w:val="clear" w:color="auto" w:fill="DFEFE1" w:themeFill="accent3" w:themeFillTint="66"/>
            <w:vAlign w:val="center"/>
            <w:hideMark/>
          </w:tcPr>
          <w:p w14:paraId="26ABCA3D" w14:textId="77777777" w:rsidR="00C421F0" w:rsidRPr="00CE60B2" w:rsidRDefault="00C421F0" w:rsidP="006554DE">
            <w:pPr>
              <w:spacing w:before="0" w:after="0"/>
              <w:rPr>
                <w:rFonts w:eastAsia="Times New Roman" w:cs="Segoe UI"/>
                <w:b/>
                <w:sz w:val="18"/>
                <w:szCs w:val="18"/>
                <w:lang w:eastAsia="en-AU"/>
              </w:rPr>
            </w:pPr>
          </w:p>
        </w:tc>
      </w:tr>
      <w:tr w:rsidR="00C421F0" w:rsidRPr="00CE60B2" w14:paraId="26ABCA46" w14:textId="77777777" w:rsidTr="00C421F0">
        <w:trPr>
          <w:trHeight w:val="255"/>
        </w:trPr>
        <w:tc>
          <w:tcPr>
            <w:tcW w:w="2552" w:type="dxa"/>
            <w:vMerge/>
            <w:tcBorders>
              <w:top w:val="single" w:sz="4" w:space="0" w:color="auto"/>
              <w:left w:val="single" w:sz="4" w:space="0" w:color="auto"/>
              <w:bottom w:val="single" w:sz="4" w:space="0" w:color="000000"/>
              <w:right w:val="single" w:sz="4" w:space="0" w:color="auto"/>
            </w:tcBorders>
            <w:shd w:val="clear" w:color="auto" w:fill="DFEFE1" w:themeFill="accent3" w:themeFillTint="66"/>
            <w:vAlign w:val="center"/>
            <w:hideMark/>
          </w:tcPr>
          <w:p w14:paraId="26ABCA3F" w14:textId="77777777" w:rsidR="00C421F0" w:rsidRPr="00CE60B2" w:rsidRDefault="00C421F0" w:rsidP="006554DE">
            <w:pPr>
              <w:spacing w:before="0" w:after="0"/>
              <w:rPr>
                <w:rFonts w:eastAsia="Times New Roman" w:cs="Segoe UI"/>
                <w:b/>
                <w:sz w:val="18"/>
                <w:szCs w:val="18"/>
                <w:lang w:eastAsia="en-AU"/>
              </w:rPr>
            </w:pPr>
          </w:p>
        </w:tc>
        <w:tc>
          <w:tcPr>
            <w:tcW w:w="974" w:type="dxa"/>
            <w:tcBorders>
              <w:top w:val="nil"/>
              <w:left w:val="nil"/>
              <w:bottom w:val="single" w:sz="4" w:space="0" w:color="auto"/>
              <w:right w:val="single" w:sz="4" w:space="0" w:color="auto"/>
            </w:tcBorders>
            <w:shd w:val="clear" w:color="auto" w:fill="DFEFE1" w:themeFill="accent3" w:themeFillTint="66"/>
            <w:noWrap/>
            <w:vAlign w:val="bottom"/>
            <w:hideMark/>
          </w:tcPr>
          <w:p w14:paraId="26ABCA40"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(ha)</w:t>
            </w:r>
          </w:p>
        </w:tc>
        <w:tc>
          <w:tcPr>
            <w:tcW w:w="974" w:type="dxa"/>
            <w:tcBorders>
              <w:top w:val="nil"/>
              <w:left w:val="nil"/>
              <w:bottom w:val="single" w:sz="4" w:space="0" w:color="auto"/>
              <w:right w:val="single" w:sz="4" w:space="0" w:color="auto"/>
            </w:tcBorders>
            <w:shd w:val="clear" w:color="auto" w:fill="DFEFE1" w:themeFill="accent3" w:themeFillTint="66"/>
            <w:noWrap/>
            <w:vAlign w:val="bottom"/>
            <w:hideMark/>
          </w:tcPr>
          <w:p w14:paraId="26ABCA41"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c>
          <w:tcPr>
            <w:tcW w:w="1018" w:type="dxa"/>
            <w:tcBorders>
              <w:top w:val="nil"/>
              <w:left w:val="nil"/>
              <w:bottom w:val="single" w:sz="4" w:space="0" w:color="auto"/>
              <w:right w:val="single" w:sz="4" w:space="0" w:color="auto"/>
            </w:tcBorders>
            <w:shd w:val="clear" w:color="auto" w:fill="DFEFE1" w:themeFill="accent3" w:themeFillTint="66"/>
            <w:noWrap/>
            <w:vAlign w:val="bottom"/>
            <w:hideMark/>
          </w:tcPr>
          <w:p w14:paraId="26ABCA42"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c>
          <w:tcPr>
            <w:tcW w:w="954" w:type="dxa"/>
            <w:tcBorders>
              <w:top w:val="nil"/>
              <w:left w:val="nil"/>
              <w:bottom w:val="single" w:sz="4" w:space="0" w:color="auto"/>
              <w:right w:val="single" w:sz="4" w:space="0" w:color="auto"/>
            </w:tcBorders>
            <w:shd w:val="clear" w:color="auto" w:fill="DFEFE1" w:themeFill="accent3" w:themeFillTint="66"/>
            <w:noWrap/>
            <w:vAlign w:val="bottom"/>
            <w:hideMark/>
          </w:tcPr>
          <w:p w14:paraId="26ABCA43"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c>
          <w:tcPr>
            <w:tcW w:w="954" w:type="dxa"/>
            <w:tcBorders>
              <w:top w:val="nil"/>
              <w:left w:val="nil"/>
              <w:bottom w:val="single" w:sz="4" w:space="0" w:color="auto"/>
              <w:right w:val="single" w:sz="4" w:space="0" w:color="auto"/>
            </w:tcBorders>
            <w:shd w:val="clear" w:color="auto" w:fill="DFEFE1" w:themeFill="accent3" w:themeFillTint="66"/>
            <w:noWrap/>
            <w:vAlign w:val="bottom"/>
            <w:hideMark/>
          </w:tcPr>
          <w:p w14:paraId="26ABCA44"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c>
          <w:tcPr>
            <w:tcW w:w="954" w:type="dxa"/>
            <w:tcBorders>
              <w:top w:val="nil"/>
              <w:left w:val="nil"/>
              <w:bottom w:val="single" w:sz="4" w:space="0" w:color="auto"/>
              <w:right w:val="single" w:sz="4" w:space="0" w:color="auto"/>
            </w:tcBorders>
            <w:shd w:val="clear" w:color="auto" w:fill="DFEFE1" w:themeFill="accent3" w:themeFillTint="66"/>
            <w:noWrap/>
            <w:vAlign w:val="bottom"/>
            <w:hideMark/>
          </w:tcPr>
          <w:p w14:paraId="26ABCA45"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r>
      <w:tr w:rsidR="00C421F0" w:rsidRPr="00CE60B2" w14:paraId="26ABCA4E"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47"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Wilderness quality &gt;= 12</w:t>
            </w:r>
          </w:p>
        </w:tc>
        <w:tc>
          <w:tcPr>
            <w:tcW w:w="974" w:type="dxa"/>
            <w:tcBorders>
              <w:top w:val="nil"/>
              <w:left w:val="nil"/>
              <w:bottom w:val="single" w:sz="4" w:space="0" w:color="auto"/>
              <w:right w:val="single" w:sz="4" w:space="0" w:color="auto"/>
            </w:tcBorders>
            <w:shd w:val="clear" w:color="auto" w:fill="auto"/>
            <w:noWrap/>
            <w:vAlign w:val="bottom"/>
            <w:hideMark/>
          </w:tcPr>
          <w:p w14:paraId="26ABCA48"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214,392</w:t>
            </w:r>
          </w:p>
        </w:tc>
        <w:tc>
          <w:tcPr>
            <w:tcW w:w="974" w:type="dxa"/>
            <w:tcBorders>
              <w:top w:val="nil"/>
              <w:left w:val="nil"/>
              <w:bottom w:val="single" w:sz="4" w:space="0" w:color="auto"/>
              <w:right w:val="single" w:sz="4" w:space="0" w:color="auto"/>
            </w:tcBorders>
            <w:shd w:val="clear" w:color="auto" w:fill="auto"/>
            <w:noWrap/>
            <w:vAlign w:val="bottom"/>
            <w:hideMark/>
          </w:tcPr>
          <w:p w14:paraId="26ABCA49"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44.6</w:t>
            </w:r>
          </w:p>
        </w:tc>
        <w:tc>
          <w:tcPr>
            <w:tcW w:w="1018" w:type="dxa"/>
            <w:tcBorders>
              <w:top w:val="nil"/>
              <w:left w:val="nil"/>
              <w:bottom w:val="single" w:sz="4" w:space="0" w:color="auto"/>
              <w:right w:val="single" w:sz="4" w:space="0" w:color="auto"/>
            </w:tcBorders>
            <w:shd w:val="clear" w:color="auto" w:fill="auto"/>
            <w:noWrap/>
            <w:vAlign w:val="bottom"/>
            <w:hideMark/>
          </w:tcPr>
          <w:p w14:paraId="26ABCA4A"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18.4</w:t>
            </w:r>
          </w:p>
        </w:tc>
        <w:tc>
          <w:tcPr>
            <w:tcW w:w="954" w:type="dxa"/>
            <w:tcBorders>
              <w:top w:val="nil"/>
              <w:left w:val="nil"/>
              <w:bottom w:val="single" w:sz="4" w:space="0" w:color="auto"/>
              <w:right w:val="single" w:sz="4" w:space="0" w:color="auto"/>
            </w:tcBorders>
            <w:shd w:val="clear" w:color="auto" w:fill="auto"/>
            <w:noWrap/>
            <w:vAlign w:val="bottom"/>
            <w:hideMark/>
          </w:tcPr>
          <w:p w14:paraId="26ABCA4B"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17.4</w:t>
            </w:r>
          </w:p>
        </w:tc>
        <w:tc>
          <w:tcPr>
            <w:tcW w:w="954" w:type="dxa"/>
            <w:tcBorders>
              <w:top w:val="nil"/>
              <w:left w:val="nil"/>
              <w:bottom w:val="single" w:sz="4" w:space="0" w:color="auto"/>
              <w:right w:val="single" w:sz="4" w:space="0" w:color="auto"/>
            </w:tcBorders>
            <w:shd w:val="clear" w:color="auto" w:fill="auto"/>
            <w:noWrap/>
            <w:vAlign w:val="bottom"/>
            <w:hideMark/>
          </w:tcPr>
          <w:p w14:paraId="26ABCA4C"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4.6</w:t>
            </w:r>
          </w:p>
        </w:tc>
        <w:tc>
          <w:tcPr>
            <w:tcW w:w="954" w:type="dxa"/>
            <w:tcBorders>
              <w:top w:val="nil"/>
              <w:left w:val="nil"/>
              <w:bottom w:val="single" w:sz="4" w:space="0" w:color="auto"/>
              <w:right w:val="single" w:sz="4" w:space="0" w:color="auto"/>
            </w:tcBorders>
            <w:shd w:val="clear" w:color="auto" w:fill="auto"/>
            <w:noWrap/>
            <w:vAlign w:val="bottom"/>
            <w:hideMark/>
          </w:tcPr>
          <w:p w14:paraId="26ABCA4D"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85.0</w:t>
            </w:r>
          </w:p>
        </w:tc>
      </w:tr>
      <w:tr w:rsidR="00C421F0" w:rsidRPr="00CE60B2" w14:paraId="26ABCA56"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4F"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Wilderness quality &gt;= 10</w:t>
            </w:r>
          </w:p>
        </w:tc>
        <w:tc>
          <w:tcPr>
            <w:tcW w:w="974" w:type="dxa"/>
            <w:tcBorders>
              <w:top w:val="nil"/>
              <w:left w:val="nil"/>
              <w:bottom w:val="single" w:sz="4" w:space="0" w:color="auto"/>
              <w:right w:val="single" w:sz="4" w:space="0" w:color="auto"/>
            </w:tcBorders>
            <w:shd w:val="clear" w:color="auto" w:fill="auto"/>
            <w:noWrap/>
            <w:vAlign w:val="bottom"/>
            <w:hideMark/>
          </w:tcPr>
          <w:p w14:paraId="26ABCA50"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558,261</w:t>
            </w:r>
          </w:p>
        </w:tc>
        <w:tc>
          <w:tcPr>
            <w:tcW w:w="974" w:type="dxa"/>
            <w:tcBorders>
              <w:top w:val="nil"/>
              <w:left w:val="nil"/>
              <w:bottom w:val="single" w:sz="4" w:space="0" w:color="auto"/>
              <w:right w:val="single" w:sz="4" w:space="0" w:color="auto"/>
            </w:tcBorders>
            <w:shd w:val="clear" w:color="auto" w:fill="auto"/>
            <w:noWrap/>
            <w:vAlign w:val="bottom"/>
            <w:hideMark/>
          </w:tcPr>
          <w:p w14:paraId="26ABCA51"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37.4</w:t>
            </w:r>
          </w:p>
        </w:tc>
        <w:tc>
          <w:tcPr>
            <w:tcW w:w="1018" w:type="dxa"/>
            <w:tcBorders>
              <w:top w:val="nil"/>
              <w:left w:val="nil"/>
              <w:bottom w:val="single" w:sz="4" w:space="0" w:color="auto"/>
              <w:right w:val="single" w:sz="4" w:space="0" w:color="auto"/>
            </w:tcBorders>
            <w:shd w:val="clear" w:color="auto" w:fill="auto"/>
            <w:noWrap/>
            <w:vAlign w:val="bottom"/>
            <w:hideMark/>
          </w:tcPr>
          <w:p w14:paraId="26ABCA52"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17.2</w:t>
            </w:r>
          </w:p>
        </w:tc>
        <w:tc>
          <w:tcPr>
            <w:tcW w:w="954" w:type="dxa"/>
            <w:tcBorders>
              <w:top w:val="nil"/>
              <w:left w:val="nil"/>
              <w:bottom w:val="single" w:sz="4" w:space="0" w:color="auto"/>
              <w:right w:val="single" w:sz="4" w:space="0" w:color="auto"/>
            </w:tcBorders>
            <w:shd w:val="clear" w:color="auto" w:fill="auto"/>
            <w:noWrap/>
            <w:vAlign w:val="bottom"/>
            <w:hideMark/>
          </w:tcPr>
          <w:p w14:paraId="26ABCA53"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15.1</w:t>
            </w:r>
          </w:p>
        </w:tc>
        <w:tc>
          <w:tcPr>
            <w:tcW w:w="954" w:type="dxa"/>
            <w:tcBorders>
              <w:top w:val="nil"/>
              <w:left w:val="nil"/>
              <w:bottom w:val="single" w:sz="4" w:space="0" w:color="auto"/>
              <w:right w:val="single" w:sz="4" w:space="0" w:color="auto"/>
            </w:tcBorders>
            <w:shd w:val="clear" w:color="auto" w:fill="auto"/>
            <w:noWrap/>
            <w:vAlign w:val="bottom"/>
            <w:hideMark/>
          </w:tcPr>
          <w:p w14:paraId="26ABCA54"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6.8</w:t>
            </w:r>
          </w:p>
        </w:tc>
        <w:tc>
          <w:tcPr>
            <w:tcW w:w="954" w:type="dxa"/>
            <w:tcBorders>
              <w:top w:val="nil"/>
              <w:left w:val="nil"/>
              <w:bottom w:val="single" w:sz="4" w:space="0" w:color="auto"/>
              <w:right w:val="single" w:sz="4" w:space="0" w:color="auto"/>
            </w:tcBorders>
            <w:shd w:val="clear" w:color="auto" w:fill="auto"/>
            <w:noWrap/>
            <w:vAlign w:val="bottom"/>
            <w:hideMark/>
          </w:tcPr>
          <w:p w14:paraId="26ABCA55"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76.5</w:t>
            </w:r>
          </w:p>
        </w:tc>
      </w:tr>
      <w:tr w:rsidR="00C421F0" w:rsidRPr="00CE60B2" w14:paraId="26ABCA5E"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57"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Wilderness quality &gt;= 8</w:t>
            </w:r>
          </w:p>
        </w:tc>
        <w:tc>
          <w:tcPr>
            <w:tcW w:w="974" w:type="dxa"/>
            <w:tcBorders>
              <w:top w:val="nil"/>
              <w:left w:val="nil"/>
              <w:bottom w:val="single" w:sz="4" w:space="0" w:color="auto"/>
              <w:right w:val="single" w:sz="4" w:space="0" w:color="auto"/>
            </w:tcBorders>
            <w:shd w:val="clear" w:color="auto" w:fill="auto"/>
            <w:noWrap/>
            <w:vAlign w:val="bottom"/>
            <w:hideMark/>
          </w:tcPr>
          <w:p w14:paraId="26ABCA58"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1,107,504</w:t>
            </w:r>
          </w:p>
        </w:tc>
        <w:tc>
          <w:tcPr>
            <w:tcW w:w="974" w:type="dxa"/>
            <w:tcBorders>
              <w:top w:val="nil"/>
              <w:left w:val="nil"/>
              <w:bottom w:val="single" w:sz="4" w:space="0" w:color="auto"/>
              <w:right w:val="single" w:sz="4" w:space="0" w:color="auto"/>
            </w:tcBorders>
            <w:shd w:val="clear" w:color="auto" w:fill="auto"/>
            <w:noWrap/>
            <w:vAlign w:val="bottom"/>
            <w:hideMark/>
          </w:tcPr>
          <w:p w14:paraId="26ABCA59"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28.3</w:t>
            </w:r>
          </w:p>
        </w:tc>
        <w:tc>
          <w:tcPr>
            <w:tcW w:w="1018" w:type="dxa"/>
            <w:tcBorders>
              <w:top w:val="nil"/>
              <w:left w:val="nil"/>
              <w:bottom w:val="single" w:sz="4" w:space="0" w:color="auto"/>
              <w:right w:val="single" w:sz="4" w:space="0" w:color="auto"/>
            </w:tcBorders>
            <w:shd w:val="clear" w:color="auto" w:fill="auto"/>
            <w:noWrap/>
            <w:vAlign w:val="bottom"/>
            <w:hideMark/>
          </w:tcPr>
          <w:p w14:paraId="26ABCA5A"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14.6</w:t>
            </w:r>
          </w:p>
        </w:tc>
        <w:tc>
          <w:tcPr>
            <w:tcW w:w="954" w:type="dxa"/>
            <w:tcBorders>
              <w:top w:val="nil"/>
              <w:left w:val="nil"/>
              <w:bottom w:val="single" w:sz="4" w:space="0" w:color="auto"/>
              <w:right w:val="single" w:sz="4" w:space="0" w:color="auto"/>
            </w:tcBorders>
            <w:shd w:val="clear" w:color="auto" w:fill="auto"/>
            <w:noWrap/>
            <w:vAlign w:val="bottom"/>
            <w:hideMark/>
          </w:tcPr>
          <w:p w14:paraId="26ABCA5B"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11.4</w:t>
            </w:r>
          </w:p>
        </w:tc>
        <w:tc>
          <w:tcPr>
            <w:tcW w:w="954" w:type="dxa"/>
            <w:tcBorders>
              <w:top w:val="nil"/>
              <w:left w:val="nil"/>
              <w:bottom w:val="single" w:sz="4" w:space="0" w:color="auto"/>
              <w:right w:val="single" w:sz="4" w:space="0" w:color="auto"/>
            </w:tcBorders>
            <w:shd w:val="clear" w:color="auto" w:fill="auto"/>
            <w:noWrap/>
            <w:vAlign w:val="bottom"/>
            <w:hideMark/>
          </w:tcPr>
          <w:p w14:paraId="26ABCA5C"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7.1</w:t>
            </w:r>
          </w:p>
        </w:tc>
        <w:tc>
          <w:tcPr>
            <w:tcW w:w="954" w:type="dxa"/>
            <w:tcBorders>
              <w:top w:val="nil"/>
              <w:left w:val="nil"/>
              <w:bottom w:val="single" w:sz="4" w:space="0" w:color="auto"/>
              <w:right w:val="single" w:sz="4" w:space="0" w:color="auto"/>
            </w:tcBorders>
            <w:shd w:val="clear" w:color="auto" w:fill="auto"/>
            <w:noWrap/>
            <w:vAlign w:val="bottom"/>
            <w:hideMark/>
          </w:tcPr>
          <w:p w14:paraId="26ABCA5D"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61.5</w:t>
            </w:r>
          </w:p>
        </w:tc>
      </w:tr>
      <w:tr w:rsidR="00C421F0" w:rsidRPr="00CE60B2" w14:paraId="26ABCA66"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5F"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Biophysical naturalness &gt;= 5</w:t>
            </w:r>
          </w:p>
        </w:tc>
        <w:tc>
          <w:tcPr>
            <w:tcW w:w="974" w:type="dxa"/>
            <w:tcBorders>
              <w:top w:val="nil"/>
              <w:left w:val="nil"/>
              <w:bottom w:val="single" w:sz="4" w:space="0" w:color="auto"/>
              <w:right w:val="single" w:sz="4" w:space="0" w:color="auto"/>
            </w:tcBorders>
            <w:shd w:val="clear" w:color="auto" w:fill="auto"/>
            <w:noWrap/>
            <w:vAlign w:val="bottom"/>
            <w:hideMark/>
          </w:tcPr>
          <w:p w14:paraId="26ABCA60"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666,640</w:t>
            </w:r>
          </w:p>
        </w:tc>
        <w:tc>
          <w:tcPr>
            <w:tcW w:w="974" w:type="dxa"/>
            <w:tcBorders>
              <w:top w:val="nil"/>
              <w:left w:val="nil"/>
              <w:bottom w:val="single" w:sz="4" w:space="0" w:color="auto"/>
              <w:right w:val="single" w:sz="4" w:space="0" w:color="auto"/>
            </w:tcBorders>
            <w:shd w:val="clear" w:color="auto" w:fill="auto"/>
            <w:noWrap/>
            <w:vAlign w:val="bottom"/>
            <w:hideMark/>
          </w:tcPr>
          <w:p w14:paraId="26ABCA61"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31.7</w:t>
            </w:r>
          </w:p>
        </w:tc>
        <w:tc>
          <w:tcPr>
            <w:tcW w:w="1018" w:type="dxa"/>
            <w:tcBorders>
              <w:top w:val="nil"/>
              <w:left w:val="nil"/>
              <w:bottom w:val="single" w:sz="4" w:space="0" w:color="auto"/>
              <w:right w:val="single" w:sz="4" w:space="0" w:color="auto"/>
            </w:tcBorders>
            <w:shd w:val="clear" w:color="auto" w:fill="auto"/>
            <w:noWrap/>
            <w:vAlign w:val="bottom"/>
            <w:hideMark/>
          </w:tcPr>
          <w:p w14:paraId="26ABCA62"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18.6</w:t>
            </w:r>
          </w:p>
        </w:tc>
        <w:tc>
          <w:tcPr>
            <w:tcW w:w="954" w:type="dxa"/>
            <w:tcBorders>
              <w:top w:val="nil"/>
              <w:left w:val="nil"/>
              <w:bottom w:val="single" w:sz="4" w:space="0" w:color="auto"/>
              <w:right w:val="single" w:sz="4" w:space="0" w:color="auto"/>
            </w:tcBorders>
            <w:shd w:val="clear" w:color="auto" w:fill="auto"/>
            <w:noWrap/>
            <w:vAlign w:val="bottom"/>
            <w:hideMark/>
          </w:tcPr>
          <w:p w14:paraId="26ABCA63"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16.5</w:t>
            </w:r>
          </w:p>
        </w:tc>
        <w:tc>
          <w:tcPr>
            <w:tcW w:w="954" w:type="dxa"/>
            <w:tcBorders>
              <w:top w:val="nil"/>
              <w:left w:val="nil"/>
              <w:bottom w:val="single" w:sz="4" w:space="0" w:color="auto"/>
              <w:right w:val="single" w:sz="4" w:space="0" w:color="auto"/>
            </w:tcBorders>
            <w:shd w:val="clear" w:color="auto" w:fill="auto"/>
            <w:noWrap/>
            <w:vAlign w:val="bottom"/>
            <w:hideMark/>
          </w:tcPr>
          <w:p w14:paraId="26ABCA64"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10.2</w:t>
            </w:r>
          </w:p>
        </w:tc>
        <w:tc>
          <w:tcPr>
            <w:tcW w:w="954" w:type="dxa"/>
            <w:tcBorders>
              <w:top w:val="nil"/>
              <w:left w:val="nil"/>
              <w:bottom w:val="single" w:sz="4" w:space="0" w:color="auto"/>
              <w:right w:val="single" w:sz="4" w:space="0" w:color="auto"/>
            </w:tcBorders>
            <w:shd w:val="clear" w:color="auto" w:fill="auto"/>
            <w:noWrap/>
            <w:vAlign w:val="bottom"/>
            <w:hideMark/>
          </w:tcPr>
          <w:p w14:paraId="26ABCA65"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77.0</w:t>
            </w:r>
          </w:p>
        </w:tc>
      </w:tr>
      <w:tr w:rsidR="00C421F0" w:rsidRPr="00CE60B2" w14:paraId="26ABCA6E"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67"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Biophysical naturalness &gt;= 4</w:t>
            </w:r>
          </w:p>
        </w:tc>
        <w:tc>
          <w:tcPr>
            <w:tcW w:w="974" w:type="dxa"/>
            <w:tcBorders>
              <w:top w:val="nil"/>
              <w:left w:val="nil"/>
              <w:bottom w:val="single" w:sz="4" w:space="0" w:color="auto"/>
              <w:right w:val="single" w:sz="4" w:space="0" w:color="auto"/>
            </w:tcBorders>
            <w:shd w:val="clear" w:color="auto" w:fill="auto"/>
            <w:noWrap/>
            <w:vAlign w:val="bottom"/>
            <w:hideMark/>
          </w:tcPr>
          <w:p w14:paraId="26ABCA68"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732,451</w:t>
            </w:r>
          </w:p>
        </w:tc>
        <w:tc>
          <w:tcPr>
            <w:tcW w:w="974" w:type="dxa"/>
            <w:tcBorders>
              <w:top w:val="nil"/>
              <w:left w:val="nil"/>
              <w:bottom w:val="single" w:sz="4" w:space="0" w:color="auto"/>
              <w:right w:val="single" w:sz="4" w:space="0" w:color="auto"/>
            </w:tcBorders>
            <w:shd w:val="clear" w:color="auto" w:fill="auto"/>
            <w:noWrap/>
            <w:vAlign w:val="bottom"/>
            <w:hideMark/>
          </w:tcPr>
          <w:p w14:paraId="26ABCA69"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36.5</w:t>
            </w:r>
          </w:p>
        </w:tc>
        <w:tc>
          <w:tcPr>
            <w:tcW w:w="1018" w:type="dxa"/>
            <w:tcBorders>
              <w:top w:val="nil"/>
              <w:left w:val="nil"/>
              <w:bottom w:val="single" w:sz="4" w:space="0" w:color="auto"/>
              <w:right w:val="single" w:sz="4" w:space="0" w:color="auto"/>
            </w:tcBorders>
            <w:shd w:val="clear" w:color="auto" w:fill="auto"/>
            <w:noWrap/>
            <w:vAlign w:val="bottom"/>
            <w:hideMark/>
          </w:tcPr>
          <w:p w14:paraId="26ABCA6A"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17.4</w:t>
            </w:r>
          </w:p>
        </w:tc>
        <w:tc>
          <w:tcPr>
            <w:tcW w:w="954" w:type="dxa"/>
            <w:tcBorders>
              <w:top w:val="nil"/>
              <w:left w:val="nil"/>
              <w:bottom w:val="single" w:sz="4" w:space="0" w:color="auto"/>
              <w:right w:val="single" w:sz="4" w:space="0" w:color="auto"/>
            </w:tcBorders>
            <w:shd w:val="clear" w:color="auto" w:fill="auto"/>
            <w:noWrap/>
            <w:vAlign w:val="bottom"/>
            <w:hideMark/>
          </w:tcPr>
          <w:p w14:paraId="26ABCA6B"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15.4</w:t>
            </w:r>
          </w:p>
        </w:tc>
        <w:tc>
          <w:tcPr>
            <w:tcW w:w="954" w:type="dxa"/>
            <w:tcBorders>
              <w:top w:val="nil"/>
              <w:left w:val="nil"/>
              <w:bottom w:val="single" w:sz="4" w:space="0" w:color="auto"/>
              <w:right w:val="single" w:sz="4" w:space="0" w:color="auto"/>
            </w:tcBorders>
            <w:shd w:val="clear" w:color="auto" w:fill="auto"/>
            <w:noWrap/>
            <w:vAlign w:val="bottom"/>
            <w:hideMark/>
          </w:tcPr>
          <w:p w14:paraId="26ABCA6C"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9.3</w:t>
            </w:r>
          </w:p>
        </w:tc>
        <w:tc>
          <w:tcPr>
            <w:tcW w:w="954" w:type="dxa"/>
            <w:tcBorders>
              <w:top w:val="nil"/>
              <w:left w:val="nil"/>
              <w:bottom w:val="single" w:sz="4" w:space="0" w:color="auto"/>
              <w:right w:val="single" w:sz="4" w:space="0" w:color="auto"/>
            </w:tcBorders>
            <w:shd w:val="clear" w:color="auto" w:fill="auto"/>
            <w:noWrap/>
            <w:vAlign w:val="bottom"/>
            <w:hideMark/>
          </w:tcPr>
          <w:p w14:paraId="26ABCA6D"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78.5</w:t>
            </w:r>
          </w:p>
        </w:tc>
      </w:tr>
      <w:tr w:rsidR="00C421F0" w:rsidRPr="00CE60B2" w14:paraId="26ABCA76"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6F"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Biophysical naturalness &gt;= 3</w:t>
            </w:r>
          </w:p>
        </w:tc>
        <w:tc>
          <w:tcPr>
            <w:tcW w:w="974" w:type="dxa"/>
            <w:tcBorders>
              <w:top w:val="nil"/>
              <w:left w:val="nil"/>
              <w:bottom w:val="single" w:sz="4" w:space="0" w:color="auto"/>
              <w:right w:val="single" w:sz="4" w:space="0" w:color="auto"/>
            </w:tcBorders>
            <w:shd w:val="clear" w:color="auto" w:fill="auto"/>
            <w:noWrap/>
            <w:vAlign w:val="bottom"/>
            <w:hideMark/>
          </w:tcPr>
          <w:p w14:paraId="26ABCA70"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789,432</w:t>
            </w:r>
          </w:p>
        </w:tc>
        <w:tc>
          <w:tcPr>
            <w:tcW w:w="974" w:type="dxa"/>
            <w:tcBorders>
              <w:top w:val="nil"/>
              <w:left w:val="nil"/>
              <w:bottom w:val="single" w:sz="4" w:space="0" w:color="auto"/>
              <w:right w:val="single" w:sz="4" w:space="0" w:color="auto"/>
            </w:tcBorders>
            <w:shd w:val="clear" w:color="auto" w:fill="auto"/>
            <w:noWrap/>
            <w:vAlign w:val="bottom"/>
            <w:hideMark/>
          </w:tcPr>
          <w:p w14:paraId="26ABCA71"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35.1</w:t>
            </w:r>
          </w:p>
        </w:tc>
        <w:tc>
          <w:tcPr>
            <w:tcW w:w="1018" w:type="dxa"/>
            <w:tcBorders>
              <w:top w:val="nil"/>
              <w:left w:val="nil"/>
              <w:bottom w:val="single" w:sz="4" w:space="0" w:color="auto"/>
              <w:right w:val="single" w:sz="4" w:space="0" w:color="auto"/>
            </w:tcBorders>
            <w:shd w:val="clear" w:color="auto" w:fill="auto"/>
            <w:noWrap/>
            <w:vAlign w:val="bottom"/>
            <w:hideMark/>
          </w:tcPr>
          <w:p w14:paraId="26ABCA72"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16.5</w:t>
            </w:r>
          </w:p>
        </w:tc>
        <w:tc>
          <w:tcPr>
            <w:tcW w:w="954" w:type="dxa"/>
            <w:tcBorders>
              <w:top w:val="nil"/>
              <w:left w:val="nil"/>
              <w:bottom w:val="single" w:sz="4" w:space="0" w:color="auto"/>
              <w:right w:val="single" w:sz="4" w:space="0" w:color="auto"/>
            </w:tcBorders>
            <w:shd w:val="clear" w:color="auto" w:fill="auto"/>
            <w:noWrap/>
            <w:vAlign w:val="bottom"/>
            <w:hideMark/>
          </w:tcPr>
          <w:p w14:paraId="26ABCA73"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14.7</w:t>
            </w:r>
          </w:p>
        </w:tc>
        <w:tc>
          <w:tcPr>
            <w:tcW w:w="954" w:type="dxa"/>
            <w:tcBorders>
              <w:top w:val="nil"/>
              <w:left w:val="nil"/>
              <w:bottom w:val="single" w:sz="4" w:space="0" w:color="auto"/>
              <w:right w:val="single" w:sz="4" w:space="0" w:color="auto"/>
            </w:tcBorders>
            <w:shd w:val="clear" w:color="auto" w:fill="auto"/>
            <w:noWrap/>
            <w:vAlign w:val="bottom"/>
            <w:hideMark/>
          </w:tcPr>
          <w:p w14:paraId="26ABCA74"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9.7</w:t>
            </w:r>
          </w:p>
        </w:tc>
        <w:tc>
          <w:tcPr>
            <w:tcW w:w="954" w:type="dxa"/>
            <w:tcBorders>
              <w:top w:val="nil"/>
              <w:left w:val="nil"/>
              <w:bottom w:val="single" w:sz="4" w:space="0" w:color="auto"/>
              <w:right w:val="single" w:sz="4" w:space="0" w:color="auto"/>
            </w:tcBorders>
            <w:shd w:val="clear" w:color="auto" w:fill="auto"/>
            <w:noWrap/>
            <w:vAlign w:val="bottom"/>
            <w:hideMark/>
          </w:tcPr>
          <w:p w14:paraId="26ABCA75"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76.1</w:t>
            </w:r>
          </w:p>
        </w:tc>
      </w:tr>
      <w:tr w:rsidR="00C421F0" w:rsidRPr="00CE60B2" w14:paraId="26ABCA7E" w14:textId="77777777" w:rsidTr="00C421F0">
        <w:trPr>
          <w:trHeight w:val="255"/>
        </w:trPr>
        <w:tc>
          <w:tcPr>
            <w:tcW w:w="2552" w:type="dxa"/>
            <w:tcBorders>
              <w:top w:val="nil"/>
              <w:left w:val="nil"/>
              <w:bottom w:val="nil"/>
              <w:right w:val="nil"/>
            </w:tcBorders>
            <w:shd w:val="clear" w:color="auto" w:fill="auto"/>
            <w:noWrap/>
            <w:vAlign w:val="bottom"/>
            <w:hideMark/>
          </w:tcPr>
          <w:p w14:paraId="26ABCA77" w14:textId="77777777" w:rsidR="00C421F0" w:rsidRPr="00CE60B2" w:rsidRDefault="00C421F0" w:rsidP="006554DE">
            <w:pPr>
              <w:spacing w:before="0" w:after="0"/>
              <w:jc w:val="right"/>
              <w:rPr>
                <w:rFonts w:eastAsia="Times New Roman" w:cs="Segoe UI"/>
                <w:sz w:val="18"/>
                <w:szCs w:val="18"/>
                <w:lang w:eastAsia="en-AU"/>
              </w:rPr>
            </w:pPr>
          </w:p>
        </w:tc>
        <w:tc>
          <w:tcPr>
            <w:tcW w:w="974" w:type="dxa"/>
            <w:tcBorders>
              <w:top w:val="nil"/>
              <w:left w:val="nil"/>
              <w:bottom w:val="single" w:sz="4" w:space="0" w:color="auto"/>
              <w:right w:val="nil"/>
            </w:tcBorders>
            <w:shd w:val="clear" w:color="auto" w:fill="auto"/>
            <w:noWrap/>
            <w:vAlign w:val="bottom"/>
            <w:hideMark/>
          </w:tcPr>
          <w:p w14:paraId="26ABCA78"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 </w:t>
            </w:r>
          </w:p>
        </w:tc>
        <w:tc>
          <w:tcPr>
            <w:tcW w:w="974" w:type="dxa"/>
            <w:tcBorders>
              <w:top w:val="nil"/>
              <w:left w:val="nil"/>
              <w:bottom w:val="single" w:sz="4" w:space="0" w:color="auto"/>
              <w:right w:val="nil"/>
            </w:tcBorders>
            <w:shd w:val="clear" w:color="auto" w:fill="auto"/>
            <w:noWrap/>
            <w:vAlign w:val="bottom"/>
            <w:hideMark/>
          </w:tcPr>
          <w:p w14:paraId="26ABCA79"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 </w:t>
            </w:r>
          </w:p>
        </w:tc>
        <w:tc>
          <w:tcPr>
            <w:tcW w:w="1018" w:type="dxa"/>
            <w:tcBorders>
              <w:top w:val="nil"/>
              <w:left w:val="nil"/>
              <w:bottom w:val="single" w:sz="4" w:space="0" w:color="auto"/>
              <w:right w:val="nil"/>
            </w:tcBorders>
            <w:shd w:val="clear" w:color="auto" w:fill="auto"/>
            <w:noWrap/>
            <w:vAlign w:val="bottom"/>
            <w:hideMark/>
          </w:tcPr>
          <w:p w14:paraId="26ABCA7A"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 </w:t>
            </w:r>
          </w:p>
        </w:tc>
        <w:tc>
          <w:tcPr>
            <w:tcW w:w="954" w:type="dxa"/>
            <w:tcBorders>
              <w:top w:val="nil"/>
              <w:left w:val="nil"/>
              <w:bottom w:val="single" w:sz="4" w:space="0" w:color="auto"/>
              <w:right w:val="nil"/>
            </w:tcBorders>
            <w:shd w:val="clear" w:color="auto" w:fill="auto"/>
            <w:noWrap/>
            <w:vAlign w:val="bottom"/>
            <w:hideMark/>
          </w:tcPr>
          <w:p w14:paraId="26ABCA7B"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 </w:t>
            </w:r>
          </w:p>
        </w:tc>
        <w:tc>
          <w:tcPr>
            <w:tcW w:w="954" w:type="dxa"/>
            <w:tcBorders>
              <w:top w:val="nil"/>
              <w:left w:val="nil"/>
              <w:bottom w:val="single" w:sz="4" w:space="0" w:color="auto"/>
              <w:right w:val="nil"/>
            </w:tcBorders>
            <w:shd w:val="clear" w:color="auto" w:fill="auto"/>
            <w:noWrap/>
            <w:vAlign w:val="bottom"/>
            <w:hideMark/>
          </w:tcPr>
          <w:p w14:paraId="26ABCA7C"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 </w:t>
            </w:r>
          </w:p>
        </w:tc>
        <w:tc>
          <w:tcPr>
            <w:tcW w:w="954" w:type="dxa"/>
            <w:tcBorders>
              <w:top w:val="nil"/>
              <w:left w:val="nil"/>
              <w:bottom w:val="single" w:sz="4" w:space="0" w:color="auto"/>
              <w:right w:val="nil"/>
            </w:tcBorders>
            <w:shd w:val="clear" w:color="auto" w:fill="auto"/>
            <w:noWrap/>
            <w:vAlign w:val="bottom"/>
            <w:hideMark/>
          </w:tcPr>
          <w:p w14:paraId="26ABCA7D"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 </w:t>
            </w:r>
          </w:p>
        </w:tc>
      </w:tr>
    </w:tbl>
    <w:p w14:paraId="26ABCA7F" w14:textId="77777777" w:rsidR="00C421F0" w:rsidRDefault="00C421F0">
      <w:r>
        <w:br w:type="page"/>
      </w:r>
    </w:p>
    <w:tbl>
      <w:tblPr>
        <w:tblW w:w="8380" w:type="dxa"/>
        <w:tblLook w:val="04A0" w:firstRow="1" w:lastRow="0" w:firstColumn="1" w:lastColumn="0" w:noHBand="0" w:noVBand="1"/>
      </w:tblPr>
      <w:tblGrid>
        <w:gridCol w:w="2552"/>
        <w:gridCol w:w="974"/>
        <w:gridCol w:w="974"/>
        <w:gridCol w:w="1018"/>
        <w:gridCol w:w="954"/>
        <w:gridCol w:w="954"/>
        <w:gridCol w:w="954"/>
      </w:tblGrid>
      <w:tr w:rsidR="00C421F0" w:rsidRPr="00CE60B2" w14:paraId="26ABCA81" w14:textId="77777777" w:rsidTr="00C421F0">
        <w:trPr>
          <w:gridAfter w:val="6"/>
          <w:wAfter w:w="5828" w:type="dxa"/>
          <w:trHeight w:val="255"/>
        </w:trPr>
        <w:tc>
          <w:tcPr>
            <w:tcW w:w="2552" w:type="dxa"/>
            <w:tcBorders>
              <w:top w:val="nil"/>
              <w:left w:val="nil"/>
              <w:bottom w:val="nil"/>
              <w:right w:val="nil"/>
            </w:tcBorders>
            <w:shd w:val="clear" w:color="auto" w:fill="auto"/>
            <w:noWrap/>
            <w:vAlign w:val="bottom"/>
            <w:hideMark/>
          </w:tcPr>
          <w:p w14:paraId="26ABCA80" w14:textId="77777777" w:rsidR="00C421F0" w:rsidRPr="00CE60B2" w:rsidRDefault="00C421F0" w:rsidP="006554DE">
            <w:pPr>
              <w:spacing w:before="0" w:after="0"/>
              <w:rPr>
                <w:rFonts w:eastAsia="Times New Roman" w:cs="Segoe UI"/>
                <w:sz w:val="18"/>
                <w:szCs w:val="18"/>
                <w:lang w:eastAsia="en-AU"/>
              </w:rPr>
            </w:pPr>
          </w:p>
        </w:tc>
      </w:tr>
      <w:tr w:rsidR="00C421F0" w:rsidRPr="00CE60B2" w14:paraId="26ABCA86" w14:textId="77777777" w:rsidTr="00C421F0">
        <w:trPr>
          <w:trHeight w:val="255"/>
        </w:trPr>
        <w:tc>
          <w:tcPr>
            <w:tcW w:w="2552" w:type="dxa"/>
            <w:vMerge w:val="restart"/>
            <w:tcBorders>
              <w:top w:val="single" w:sz="4" w:space="0" w:color="auto"/>
              <w:left w:val="single" w:sz="4" w:space="0" w:color="auto"/>
              <w:bottom w:val="single" w:sz="4" w:space="0" w:color="000000"/>
              <w:right w:val="single" w:sz="4" w:space="0" w:color="auto"/>
            </w:tcBorders>
            <w:shd w:val="clear" w:color="auto" w:fill="DFEFE1" w:themeFill="accent3" w:themeFillTint="66"/>
            <w:noWrap/>
            <w:vAlign w:val="center"/>
            <w:hideMark/>
          </w:tcPr>
          <w:p w14:paraId="26ABCA82" w14:textId="77777777" w:rsidR="00C421F0" w:rsidRPr="00CE60B2" w:rsidRDefault="00C421F0" w:rsidP="006554DE">
            <w:pPr>
              <w:spacing w:before="0" w:after="0"/>
              <w:rPr>
                <w:rFonts w:eastAsia="Times New Roman" w:cs="Segoe UI"/>
                <w:b/>
                <w:sz w:val="18"/>
                <w:szCs w:val="18"/>
                <w:lang w:eastAsia="en-AU"/>
              </w:rPr>
            </w:pPr>
            <w:r>
              <w:rPr>
                <w:rFonts w:eastAsia="Times New Roman" w:cs="Segoe UI"/>
                <w:b/>
                <w:sz w:val="18"/>
                <w:szCs w:val="18"/>
                <w:lang w:eastAsia="en-AU"/>
              </w:rPr>
              <w:t>V</w:t>
            </w:r>
            <w:r w:rsidRPr="00CE60B2">
              <w:rPr>
                <w:rFonts w:eastAsia="Times New Roman" w:cs="Segoe UI"/>
                <w:b/>
                <w:sz w:val="18"/>
                <w:szCs w:val="18"/>
                <w:lang w:eastAsia="en-AU"/>
              </w:rPr>
              <w:t>alue</w:t>
            </w:r>
          </w:p>
        </w:tc>
        <w:tc>
          <w:tcPr>
            <w:tcW w:w="974" w:type="dxa"/>
            <w:vMerge w:val="restart"/>
            <w:tcBorders>
              <w:top w:val="single" w:sz="4" w:space="0" w:color="auto"/>
              <w:left w:val="single" w:sz="4" w:space="0" w:color="auto"/>
              <w:bottom w:val="nil"/>
              <w:right w:val="single" w:sz="4" w:space="0" w:color="auto"/>
            </w:tcBorders>
            <w:shd w:val="clear" w:color="auto" w:fill="DFEFE1" w:themeFill="accent3" w:themeFillTint="66"/>
            <w:vAlign w:val="center"/>
            <w:hideMark/>
          </w:tcPr>
          <w:p w14:paraId="26ABCA83"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Present area*</w:t>
            </w:r>
          </w:p>
        </w:tc>
        <w:tc>
          <w:tcPr>
            <w:tcW w:w="3900" w:type="dxa"/>
            <w:gridSpan w:val="4"/>
            <w:tcBorders>
              <w:top w:val="single" w:sz="4" w:space="0" w:color="auto"/>
              <w:left w:val="nil"/>
              <w:bottom w:val="nil"/>
              <w:right w:val="single" w:sz="4" w:space="0" w:color="auto"/>
            </w:tcBorders>
            <w:shd w:val="clear" w:color="auto" w:fill="DFEFE1" w:themeFill="accent3" w:themeFillTint="66"/>
            <w:noWrap/>
            <w:vAlign w:val="bottom"/>
            <w:hideMark/>
          </w:tcPr>
          <w:p w14:paraId="26ABCA84"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CAR Reserve System</w:t>
            </w:r>
          </w:p>
        </w:tc>
        <w:tc>
          <w:tcPr>
            <w:tcW w:w="954" w:type="dxa"/>
            <w:vMerge w:val="restart"/>
            <w:tcBorders>
              <w:top w:val="single" w:sz="4" w:space="0" w:color="auto"/>
              <w:left w:val="single" w:sz="4" w:space="0" w:color="auto"/>
              <w:bottom w:val="nil"/>
              <w:right w:val="single" w:sz="4" w:space="0" w:color="auto"/>
            </w:tcBorders>
            <w:shd w:val="clear" w:color="auto" w:fill="DFEFE1" w:themeFill="accent3" w:themeFillTint="66"/>
            <w:vAlign w:val="center"/>
            <w:hideMark/>
          </w:tcPr>
          <w:p w14:paraId="26ABCA85"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Other</w:t>
            </w:r>
            <w:r w:rsidRPr="00CE60B2">
              <w:rPr>
                <w:rFonts w:eastAsia="Times New Roman" w:cs="Segoe UI"/>
                <w:b/>
                <w:sz w:val="18"/>
                <w:szCs w:val="18"/>
                <w:lang w:eastAsia="en-AU"/>
              </w:rPr>
              <w:br/>
              <w:t>Informal Reserves</w:t>
            </w:r>
          </w:p>
        </w:tc>
      </w:tr>
      <w:tr w:rsidR="00C421F0" w:rsidRPr="00CE60B2" w14:paraId="26ABCA8D" w14:textId="77777777" w:rsidTr="00C421F0">
        <w:trPr>
          <w:trHeight w:val="315"/>
        </w:trPr>
        <w:tc>
          <w:tcPr>
            <w:tcW w:w="2552" w:type="dxa"/>
            <w:vMerge/>
            <w:tcBorders>
              <w:top w:val="single" w:sz="4" w:space="0" w:color="auto"/>
              <w:left w:val="single" w:sz="4" w:space="0" w:color="auto"/>
              <w:bottom w:val="single" w:sz="4" w:space="0" w:color="000000"/>
              <w:right w:val="single" w:sz="4" w:space="0" w:color="auto"/>
            </w:tcBorders>
            <w:shd w:val="clear" w:color="auto" w:fill="DFEFE1" w:themeFill="accent3" w:themeFillTint="66"/>
            <w:vAlign w:val="center"/>
            <w:hideMark/>
          </w:tcPr>
          <w:p w14:paraId="26ABCA87" w14:textId="77777777" w:rsidR="00C421F0" w:rsidRPr="00CE60B2" w:rsidRDefault="00C421F0" w:rsidP="006554DE">
            <w:pPr>
              <w:spacing w:before="0" w:after="0"/>
              <w:rPr>
                <w:rFonts w:eastAsia="Times New Roman" w:cs="Segoe UI"/>
                <w:sz w:val="18"/>
                <w:szCs w:val="18"/>
                <w:lang w:eastAsia="en-AU"/>
              </w:rPr>
            </w:pPr>
          </w:p>
        </w:tc>
        <w:tc>
          <w:tcPr>
            <w:tcW w:w="974" w:type="dxa"/>
            <w:vMerge/>
            <w:tcBorders>
              <w:top w:val="nil"/>
              <w:left w:val="single" w:sz="4" w:space="0" w:color="auto"/>
              <w:bottom w:val="nil"/>
              <w:right w:val="single" w:sz="4" w:space="0" w:color="auto"/>
            </w:tcBorders>
            <w:shd w:val="clear" w:color="auto" w:fill="DFEFE1" w:themeFill="accent3" w:themeFillTint="66"/>
            <w:vAlign w:val="center"/>
            <w:hideMark/>
          </w:tcPr>
          <w:p w14:paraId="26ABCA88" w14:textId="77777777" w:rsidR="00C421F0" w:rsidRPr="00CE60B2" w:rsidRDefault="00C421F0" w:rsidP="006554DE">
            <w:pPr>
              <w:spacing w:before="0" w:after="0"/>
              <w:rPr>
                <w:rFonts w:eastAsia="Times New Roman" w:cs="Segoe UI"/>
                <w:b/>
                <w:sz w:val="18"/>
                <w:szCs w:val="18"/>
                <w:lang w:eastAsia="en-AU"/>
              </w:rPr>
            </w:pPr>
          </w:p>
        </w:tc>
        <w:tc>
          <w:tcPr>
            <w:tcW w:w="1992" w:type="dxa"/>
            <w:gridSpan w:val="2"/>
            <w:tcBorders>
              <w:top w:val="nil"/>
              <w:left w:val="nil"/>
              <w:bottom w:val="nil"/>
              <w:right w:val="single" w:sz="4" w:space="0" w:color="auto"/>
            </w:tcBorders>
            <w:shd w:val="clear" w:color="auto" w:fill="DFEFE1" w:themeFill="accent3" w:themeFillTint="66"/>
            <w:noWrap/>
            <w:vAlign w:val="bottom"/>
            <w:hideMark/>
          </w:tcPr>
          <w:p w14:paraId="26ABCA89"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Formal Reserves</w:t>
            </w:r>
          </w:p>
        </w:tc>
        <w:tc>
          <w:tcPr>
            <w:tcW w:w="954" w:type="dxa"/>
            <w:vMerge w:val="restart"/>
            <w:tcBorders>
              <w:top w:val="nil"/>
              <w:left w:val="single" w:sz="4" w:space="0" w:color="auto"/>
              <w:bottom w:val="nil"/>
              <w:right w:val="single" w:sz="4" w:space="0" w:color="auto"/>
            </w:tcBorders>
            <w:shd w:val="clear" w:color="auto" w:fill="DFEFE1" w:themeFill="accent3" w:themeFillTint="66"/>
            <w:vAlign w:val="bottom"/>
            <w:hideMark/>
          </w:tcPr>
          <w:p w14:paraId="26ABCA8A"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CAR</w:t>
            </w:r>
            <w:r w:rsidRPr="00CE60B2">
              <w:rPr>
                <w:rFonts w:eastAsia="Times New Roman" w:cs="Segoe UI"/>
                <w:b/>
                <w:sz w:val="18"/>
                <w:szCs w:val="18"/>
                <w:lang w:eastAsia="en-AU"/>
              </w:rPr>
              <w:br/>
              <w:t>Informal Reserves</w:t>
            </w:r>
          </w:p>
        </w:tc>
        <w:tc>
          <w:tcPr>
            <w:tcW w:w="954" w:type="dxa"/>
            <w:vMerge w:val="restart"/>
            <w:tcBorders>
              <w:top w:val="nil"/>
              <w:left w:val="single" w:sz="4" w:space="0" w:color="auto"/>
              <w:bottom w:val="nil"/>
              <w:right w:val="single" w:sz="4" w:space="0" w:color="auto"/>
            </w:tcBorders>
            <w:shd w:val="clear" w:color="auto" w:fill="DFEFE1" w:themeFill="accent3" w:themeFillTint="66"/>
            <w:vAlign w:val="center"/>
            <w:hideMark/>
          </w:tcPr>
          <w:p w14:paraId="26ABCA8B"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Total CAR</w:t>
            </w:r>
          </w:p>
        </w:tc>
        <w:tc>
          <w:tcPr>
            <w:tcW w:w="954" w:type="dxa"/>
            <w:vMerge/>
            <w:tcBorders>
              <w:top w:val="nil"/>
              <w:left w:val="single" w:sz="4" w:space="0" w:color="auto"/>
              <w:bottom w:val="nil"/>
              <w:right w:val="single" w:sz="4" w:space="0" w:color="auto"/>
            </w:tcBorders>
            <w:shd w:val="clear" w:color="auto" w:fill="DFEFE1" w:themeFill="accent3" w:themeFillTint="66"/>
            <w:vAlign w:val="center"/>
            <w:hideMark/>
          </w:tcPr>
          <w:p w14:paraId="26ABCA8C" w14:textId="77777777" w:rsidR="00C421F0" w:rsidRPr="00CE60B2" w:rsidRDefault="00C421F0" w:rsidP="006554DE">
            <w:pPr>
              <w:spacing w:before="0" w:after="0"/>
              <w:rPr>
                <w:rFonts w:eastAsia="Times New Roman" w:cs="Segoe UI"/>
                <w:b/>
                <w:sz w:val="18"/>
                <w:szCs w:val="18"/>
                <w:lang w:eastAsia="en-AU"/>
              </w:rPr>
            </w:pPr>
          </w:p>
        </w:tc>
      </w:tr>
      <w:tr w:rsidR="00C421F0" w:rsidRPr="00CE60B2" w14:paraId="26ABCA95" w14:textId="77777777" w:rsidTr="00C421F0">
        <w:trPr>
          <w:trHeight w:val="480"/>
        </w:trPr>
        <w:tc>
          <w:tcPr>
            <w:tcW w:w="2552" w:type="dxa"/>
            <w:vMerge/>
            <w:tcBorders>
              <w:top w:val="single" w:sz="4" w:space="0" w:color="auto"/>
              <w:left w:val="single" w:sz="4" w:space="0" w:color="auto"/>
              <w:bottom w:val="single" w:sz="4" w:space="0" w:color="000000"/>
              <w:right w:val="single" w:sz="4" w:space="0" w:color="auto"/>
            </w:tcBorders>
            <w:shd w:val="clear" w:color="auto" w:fill="DFEFE1" w:themeFill="accent3" w:themeFillTint="66"/>
            <w:vAlign w:val="center"/>
            <w:hideMark/>
          </w:tcPr>
          <w:p w14:paraId="26ABCA8E" w14:textId="77777777" w:rsidR="00C421F0" w:rsidRPr="00CE60B2" w:rsidRDefault="00C421F0" w:rsidP="006554DE">
            <w:pPr>
              <w:spacing w:before="0" w:after="0"/>
              <w:rPr>
                <w:rFonts w:eastAsia="Times New Roman" w:cs="Segoe UI"/>
                <w:sz w:val="18"/>
                <w:szCs w:val="18"/>
                <w:lang w:eastAsia="en-AU"/>
              </w:rPr>
            </w:pPr>
          </w:p>
        </w:tc>
        <w:tc>
          <w:tcPr>
            <w:tcW w:w="974" w:type="dxa"/>
            <w:vMerge/>
            <w:tcBorders>
              <w:top w:val="nil"/>
              <w:left w:val="single" w:sz="4" w:space="0" w:color="auto"/>
              <w:bottom w:val="nil"/>
              <w:right w:val="single" w:sz="4" w:space="0" w:color="auto"/>
            </w:tcBorders>
            <w:shd w:val="clear" w:color="auto" w:fill="DFEFE1" w:themeFill="accent3" w:themeFillTint="66"/>
            <w:vAlign w:val="center"/>
            <w:hideMark/>
          </w:tcPr>
          <w:p w14:paraId="26ABCA8F" w14:textId="77777777" w:rsidR="00C421F0" w:rsidRPr="00CE60B2" w:rsidRDefault="00C421F0" w:rsidP="006554DE">
            <w:pPr>
              <w:spacing w:before="0" w:after="0"/>
              <w:rPr>
                <w:rFonts w:eastAsia="Times New Roman" w:cs="Segoe UI"/>
                <w:b/>
                <w:sz w:val="18"/>
                <w:szCs w:val="18"/>
                <w:lang w:eastAsia="en-AU"/>
              </w:rPr>
            </w:pPr>
          </w:p>
        </w:tc>
        <w:tc>
          <w:tcPr>
            <w:tcW w:w="974" w:type="dxa"/>
            <w:tcBorders>
              <w:top w:val="nil"/>
              <w:left w:val="nil"/>
              <w:bottom w:val="nil"/>
              <w:right w:val="single" w:sz="4" w:space="0" w:color="auto"/>
            </w:tcBorders>
            <w:shd w:val="clear" w:color="auto" w:fill="DFEFE1" w:themeFill="accent3" w:themeFillTint="66"/>
            <w:noWrap/>
            <w:vAlign w:val="bottom"/>
            <w:hideMark/>
          </w:tcPr>
          <w:p w14:paraId="26ABCA90"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Gazetted</w:t>
            </w:r>
          </w:p>
        </w:tc>
        <w:tc>
          <w:tcPr>
            <w:tcW w:w="1018" w:type="dxa"/>
            <w:tcBorders>
              <w:top w:val="nil"/>
              <w:left w:val="nil"/>
              <w:bottom w:val="nil"/>
              <w:right w:val="single" w:sz="4" w:space="0" w:color="auto"/>
            </w:tcBorders>
            <w:shd w:val="clear" w:color="auto" w:fill="DFEFE1" w:themeFill="accent3" w:themeFillTint="66"/>
            <w:noWrap/>
            <w:vAlign w:val="bottom"/>
            <w:hideMark/>
          </w:tcPr>
          <w:p w14:paraId="26ABCA91"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Proposed</w:t>
            </w:r>
          </w:p>
        </w:tc>
        <w:tc>
          <w:tcPr>
            <w:tcW w:w="954" w:type="dxa"/>
            <w:vMerge/>
            <w:tcBorders>
              <w:top w:val="nil"/>
              <w:left w:val="single" w:sz="4" w:space="0" w:color="auto"/>
              <w:bottom w:val="nil"/>
              <w:right w:val="single" w:sz="4" w:space="0" w:color="auto"/>
            </w:tcBorders>
            <w:shd w:val="clear" w:color="auto" w:fill="DFEFE1" w:themeFill="accent3" w:themeFillTint="66"/>
            <w:vAlign w:val="center"/>
            <w:hideMark/>
          </w:tcPr>
          <w:p w14:paraId="26ABCA92" w14:textId="77777777" w:rsidR="00C421F0" w:rsidRPr="00CE60B2" w:rsidRDefault="00C421F0" w:rsidP="006554DE">
            <w:pPr>
              <w:spacing w:before="0" w:after="0"/>
              <w:rPr>
                <w:rFonts w:eastAsia="Times New Roman" w:cs="Segoe UI"/>
                <w:b/>
                <w:sz w:val="18"/>
                <w:szCs w:val="18"/>
                <w:lang w:eastAsia="en-AU"/>
              </w:rPr>
            </w:pPr>
          </w:p>
        </w:tc>
        <w:tc>
          <w:tcPr>
            <w:tcW w:w="954" w:type="dxa"/>
            <w:vMerge/>
            <w:tcBorders>
              <w:top w:val="nil"/>
              <w:left w:val="single" w:sz="4" w:space="0" w:color="auto"/>
              <w:bottom w:val="nil"/>
              <w:right w:val="single" w:sz="4" w:space="0" w:color="auto"/>
            </w:tcBorders>
            <w:shd w:val="clear" w:color="auto" w:fill="DFEFE1" w:themeFill="accent3" w:themeFillTint="66"/>
            <w:vAlign w:val="center"/>
            <w:hideMark/>
          </w:tcPr>
          <w:p w14:paraId="26ABCA93" w14:textId="77777777" w:rsidR="00C421F0" w:rsidRPr="00CE60B2" w:rsidRDefault="00C421F0" w:rsidP="006554DE">
            <w:pPr>
              <w:spacing w:before="0" w:after="0"/>
              <w:rPr>
                <w:rFonts w:eastAsia="Times New Roman" w:cs="Segoe UI"/>
                <w:b/>
                <w:sz w:val="18"/>
                <w:szCs w:val="18"/>
                <w:lang w:eastAsia="en-AU"/>
              </w:rPr>
            </w:pPr>
          </w:p>
        </w:tc>
        <w:tc>
          <w:tcPr>
            <w:tcW w:w="954" w:type="dxa"/>
            <w:vMerge/>
            <w:tcBorders>
              <w:top w:val="nil"/>
              <w:left w:val="single" w:sz="4" w:space="0" w:color="auto"/>
              <w:bottom w:val="nil"/>
              <w:right w:val="single" w:sz="4" w:space="0" w:color="auto"/>
            </w:tcBorders>
            <w:shd w:val="clear" w:color="auto" w:fill="DFEFE1" w:themeFill="accent3" w:themeFillTint="66"/>
            <w:vAlign w:val="center"/>
            <w:hideMark/>
          </w:tcPr>
          <w:p w14:paraId="26ABCA94" w14:textId="77777777" w:rsidR="00C421F0" w:rsidRPr="00CE60B2" w:rsidRDefault="00C421F0" w:rsidP="006554DE">
            <w:pPr>
              <w:spacing w:before="0" w:after="0"/>
              <w:rPr>
                <w:rFonts w:eastAsia="Times New Roman" w:cs="Segoe UI"/>
                <w:b/>
                <w:sz w:val="18"/>
                <w:szCs w:val="18"/>
                <w:lang w:eastAsia="en-AU"/>
              </w:rPr>
            </w:pPr>
          </w:p>
        </w:tc>
      </w:tr>
      <w:tr w:rsidR="00C421F0" w:rsidRPr="00CE60B2" w14:paraId="26ABCA9D" w14:textId="77777777" w:rsidTr="00C421F0">
        <w:trPr>
          <w:trHeight w:val="255"/>
        </w:trPr>
        <w:tc>
          <w:tcPr>
            <w:tcW w:w="2552" w:type="dxa"/>
            <w:vMerge/>
            <w:tcBorders>
              <w:top w:val="single" w:sz="4" w:space="0" w:color="auto"/>
              <w:left w:val="single" w:sz="4" w:space="0" w:color="auto"/>
              <w:bottom w:val="single" w:sz="4" w:space="0" w:color="000000"/>
              <w:right w:val="single" w:sz="4" w:space="0" w:color="auto"/>
            </w:tcBorders>
            <w:shd w:val="clear" w:color="auto" w:fill="DFEFE1" w:themeFill="accent3" w:themeFillTint="66"/>
            <w:vAlign w:val="center"/>
            <w:hideMark/>
          </w:tcPr>
          <w:p w14:paraId="26ABCA96" w14:textId="77777777" w:rsidR="00C421F0" w:rsidRPr="00CE60B2" w:rsidRDefault="00C421F0" w:rsidP="006554DE">
            <w:pPr>
              <w:spacing w:before="0" w:after="0"/>
              <w:rPr>
                <w:rFonts w:eastAsia="Times New Roman" w:cs="Segoe UI"/>
                <w:sz w:val="18"/>
                <w:szCs w:val="18"/>
                <w:lang w:eastAsia="en-AU"/>
              </w:rPr>
            </w:pPr>
          </w:p>
        </w:tc>
        <w:tc>
          <w:tcPr>
            <w:tcW w:w="974" w:type="dxa"/>
            <w:tcBorders>
              <w:top w:val="nil"/>
              <w:left w:val="nil"/>
              <w:bottom w:val="single" w:sz="4" w:space="0" w:color="auto"/>
              <w:right w:val="single" w:sz="4" w:space="0" w:color="auto"/>
            </w:tcBorders>
            <w:shd w:val="clear" w:color="auto" w:fill="DFEFE1" w:themeFill="accent3" w:themeFillTint="66"/>
            <w:noWrap/>
            <w:vAlign w:val="bottom"/>
            <w:hideMark/>
          </w:tcPr>
          <w:p w14:paraId="26ABCA97"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(ha)</w:t>
            </w:r>
          </w:p>
        </w:tc>
        <w:tc>
          <w:tcPr>
            <w:tcW w:w="974" w:type="dxa"/>
            <w:tcBorders>
              <w:top w:val="nil"/>
              <w:left w:val="nil"/>
              <w:bottom w:val="single" w:sz="4" w:space="0" w:color="auto"/>
              <w:right w:val="single" w:sz="4" w:space="0" w:color="auto"/>
            </w:tcBorders>
            <w:shd w:val="clear" w:color="auto" w:fill="DFEFE1" w:themeFill="accent3" w:themeFillTint="66"/>
            <w:noWrap/>
            <w:vAlign w:val="bottom"/>
            <w:hideMark/>
          </w:tcPr>
          <w:p w14:paraId="26ABCA98"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c>
          <w:tcPr>
            <w:tcW w:w="1018" w:type="dxa"/>
            <w:tcBorders>
              <w:top w:val="nil"/>
              <w:left w:val="nil"/>
              <w:bottom w:val="single" w:sz="4" w:space="0" w:color="auto"/>
              <w:right w:val="single" w:sz="4" w:space="0" w:color="auto"/>
            </w:tcBorders>
            <w:shd w:val="clear" w:color="auto" w:fill="DFEFE1" w:themeFill="accent3" w:themeFillTint="66"/>
            <w:noWrap/>
            <w:vAlign w:val="bottom"/>
            <w:hideMark/>
          </w:tcPr>
          <w:p w14:paraId="26ABCA99"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c>
          <w:tcPr>
            <w:tcW w:w="954" w:type="dxa"/>
            <w:tcBorders>
              <w:top w:val="nil"/>
              <w:left w:val="nil"/>
              <w:bottom w:val="single" w:sz="4" w:space="0" w:color="auto"/>
              <w:right w:val="single" w:sz="4" w:space="0" w:color="auto"/>
            </w:tcBorders>
            <w:shd w:val="clear" w:color="auto" w:fill="DFEFE1" w:themeFill="accent3" w:themeFillTint="66"/>
            <w:noWrap/>
            <w:vAlign w:val="bottom"/>
            <w:hideMark/>
          </w:tcPr>
          <w:p w14:paraId="26ABCA9A"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c>
          <w:tcPr>
            <w:tcW w:w="954" w:type="dxa"/>
            <w:tcBorders>
              <w:top w:val="nil"/>
              <w:left w:val="nil"/>
              <w:bottom w:val="single" w:sz="4" w:space="0" w:color="auto"/>
              <w:right w:val="single" w:sz="4" w:space="0" w:color="auto"/>
            </w:tcBorders>
            <w:shd w:val="clear" w:color="auto" w:fill="DFEFE1" w:themeFill="accent3" w:themeFillTint="66"/>
            <w:noWrap/>
            <w:vAlign w:val="bottom"/>
            <w:hideMark/>
          </w:tcPr>
          <w:p w14:paraId="26ABCA9B"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c>
          <w:tcPr>
            <w:tcW w:w="954" w:type="dxa"/>
            <w:tcBorders>
              <w:top w:val="nil"/>
              <w:left w:val="nil"/>
              <w:bottom w:val="single" w:sz="4" w:space="0" w:color="auto"/>
              <w:right w:val="single" w:sz="4" w:space="0" w:color="auto"/>
            </w:tcBorders>
            <w:shd w:val="clear" w:color="auto" w:fill="DFEFE1" w:themeFill="accent3" w:themeFillTint="66"/>
            <w:noWrap/>
            <w:vAlign w:val="bottom"/>
            <w:hideMark/>
          </w:tcPr>
          <w:p w14:paraId="26ABCA9C" w14:textId="77777777" w:rsidR="00C421F0" w:rsidRPr="00CE60B2" w:rsidRDefault="00C421F0" w:rsidP="006554DE">
            <w:pPr>
              <w:spacing w:before="0" w:after="0"/>
              <w:jc w:val="center"/>
              <w:rPr>
                <w:rFonts w:eastAsia="Times New Roman" w:cs="Segoe UI"/>
                <w:b/>
                <w:sz w:val="18"/>
                <w:szCs w:val="18"/>
                <w:lang w:eastAsia="en-AU"/>
              </w:rPr>
            </w:pPr>
            <w:r w:rsidRPr="00CE60B2">
              <w:rPr>
                <w:rFonts w:eastAsia="Times New Roman" w:cs="Segoe UI"/>
                <w:b/>
                <w:sz w:val="18"/>
                <w:szCs w:val="18"/>
                <w:lang w:eastAsia="en-AU"/>
              </w:rPr>
              <w:t>(%)</w:t>
            </w:r>
          </w:p>
        </w:tc>
      </w:tr>
      <w:tr w:rsidR="00C421F0" w:rsidRPr="00CE60B2" w14:paraId="26ABCAA5"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9E"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Wilderness quality &gt;= 12</w:t>
            </w:r>
          </w:p>
        </w:tc>
        <w:tc>
          <w:tcPr>
            <w:tcW w:w="974" w:type="dxa"/>
            <w:tcBorders>
              <w:top w:val="nil"/>
              <w:left w:val="nil"/>
              <w:bottom w:val="single" w:sz="4" w:space="0" w:color="auto"/>
              <w:right w:val="single" w:sz="4" w:space="0" w:color="auto"/>
            </w:tcBorders>
            <w:shd w:val="clear" w:color="auto" w:fill="auto"/>
            <w:noWrap/>
            <w:vAlign w:val="bottom"/>
            <w:hideMark/>
          </w:tcPr>
          <w:p w14:paraId="26ABCA9F"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214,392</w:t>
            </w:r>
          </w:p>
        </w:tc>
        <w:tc>
          <w:tcPr>
            <w:tcW w:w="974" w:type="dxa"/>
            <w:tcBorders>
              <w:top w:val="nil"/>
              <w:left w:val="nil"/>
              <w:bottom w:val="single" w:sz="4" w:space="0" w:color="auto"/>
              <w:right w:val="single" w:sz="4" w:space="0" w:color="auto"/>
            </w:tcBorders>
            <w:shd w:val="clear" w:color="auto" w:fill="auto"/>
            <w:noWrap/>
            <w:vAlign w:val="bottom"/>
            <w:hideMark/>
          </w:tcPr>
          <w:p w14:paraId="26ABCAA0"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89.1</w:t>
            </w:r>
          </w:p>
        </w:tc>
        <w:tc>
          <w:tcPr>
            <w:tcW w:w="1018" w:type="dxa"/>
            <w:tcBorders>
              <w:top w:val="nil"/>
              <w:left w:val="nil"/>
              <w:bottom w:val="single" w:sz="4" w:space="0" w:color="auto"/>
              <w:right w:val="single" w:sz="4" w:space="0" w:color="auto"/>
            </w:tcBorders>
            <w:shd w:val="clear" w:color="auto" w:fill="auto"/>
            <w:noWrap/>
            <w:vAlign w:val="bottom"/>
            <w:hideMark/>
          </w:tcPr>
          <w:p w14:paraId="26ABCAA1"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5.5</w:t>
            </w:r>
          </w:p>
        </w:tc>
        <w:tc>
          <w:tcPr>
            <w:tcW w:w="954" w:type="dxa"/>
            <w:tcBorders>
              <w:top w:val="nil"/>
              <w:left w:val="nil"/>
              <w:bottom w:val="single" w:sz="4" w:space="0" w:color="auto"/>
              <w:right w:val="single" w:sz="4" w:space="0" w:color="auto"/>
            </w:tcBorders>
            <w:shd w:val="clear" w:color="auto" w:fill="auto"/>
            <w:noWrap/>
            <w:vAlign w:val="bottom"/>
            <w:hideMark/>
          </w:tcPr>
          <w:p w14:paraId="26ABCAA2"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1.2</w:t>
            </w:r>
          </w:p>
        </w:tc>
        <w:tc>
          <w:tcPr>
            <w:tcW w:w="954" w:type="dxa"/>
            <w:tcBorders>
              <w:top w:val="nil"/>
              <w:left w:val="nil"/>
              <w:bottom w:val="single" w:sz="4" w:space="0" w:color="auto"/>
              <w:right w:val="single" w:sz="4" w:space="0" w:color="auto"/>
            </w:tcBorders>
            <w:shd w:val="clear" w:color="auto" w:fill="auto"/>
            <w:noWrap/>
            <w:vAlign w:val="bottom"/>
            <w:hideMark/>
          </w:tcPr>
          <w:p w14:paraId="26ABCAA3"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95.8</w:t>
            </w:r>
          </w:p>
        </w:tc>
        <w:tc>
          <w:tcPr>
            <w:tcW w:w="954" w:type="dxa"/>
            <w:tcBorders>
              <w:top w:val="nil"/>
              <w:left w:val="nil"/>
              <w:bottom w:val="single" w:sz="4" w:space="0" w:color="auto"/>
              <w:right w:val="single" w:sz="4" w:space="0" w:color="auto"/>
            </w:tcBorders>
            <w:shd w:val="clear" w:color="auto" w:fill="auto"/>
            <w:noWrap/>
            <w:vAlign w:val="bottom"/>
            <w:hideMark/>
          </w:tcPr>
          <w:p w14:paraId="26ABCAA4"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0.7</w:t>
            </w:r>
          </w:p>
        </w:tc>
      </w:tr>
      <w:tr w:rsidR="00C421F0" w:rsidRPr="00CE60B2" w14:paraId="26ABCAAD"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A6"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Wilderness quality &gt;= 10</w:t>
            </w:r>
          </w:p>
        </w:tc>
        <w:tc>
          <w:tcPr>
            <w:tcW w:w="974" w:type="dxa"/>
            <w:tcBorders>
              <w:top w:val="nil"/>
              <w:left w:val="nil"/>
              <w:bottom w:val="single" w:sz="4" w:space="0" w:color="auto"/>
              <w:right w:val="single" w:sz="4" w:space="0" w:color="auto"/>
            </w:tcBorders>
            <w:shd w:val="clear" w:color="auto" w:fill="auto"/>
            <w:noWrap/>
            <w:vAlign w:val="bottom"/>
            <w:hideMark/>
          </w:tcPr>
          <w:p w14:paraId="26ABCAA7"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558,261</w:t>
            </w:r>
          </w:p>
        </w:tc>
        <w:tc>
          <w:tcPr>
            <w:tcW w:w="974" w:type="dxa"/>
            <w:tcBorders>
              <w:top w:val="nil"/>
              <w:left w:val="nil"/>
              <w:bottom w:val="single" w:sz="4" w:space="0" w:color="auto"/>
              <w:right w:val="single" w:sz="4" w:space="0" w:color="auto"/>
            </w:tcBorders>
            <w:shd w:val="clear" w:color="auto" w:fill="auto"/>
            <w:noWrap/>
            <w:vAlign w:val="bottom"/>
            <w:hideMark/>
          </w:tcPr>
          <w:p w14:paraId="26ABCAA8"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80.6</w:t>
            </w:r>
          </w:p>
        </w:tc>
        <w:tc>
          <w:tcPr>
            <w:tcW w:w="1018" w:type="dxa"/>
            <w:tcBorders>
              <w:top w:val="nil"/>
              <w:left w:val="nil"/>
              <w:bottom w:val="single" w:sz="4" w:space="0" w:color="auto"/>
              <w:right w:val="single" w:sz="4" w:space="0" w:color="auto"/>
            </w:tcBorders>
            <w:shd w:val="clear" w:color="auto" w:fill="auto"/>
            <w:noWrap/>
            <w:vAlign w:val="bottom"/>
            <w:hideMark/>
          </w:tcPr>
          <w:p w14:paraId="26ABCAA9"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6.1</w:t>
            </w:r>
          </w:p>
        </w:tc>
        <w:tc>
          <w:tcPr>
            <w:tcW w:w="954" w:type="dxa"/>
            <w:tcBorders>
              <w:top w:val="nil"/>
              <w:left w:val="nil"/>
              <w:bottom w:val="single" w:sz="4" w:space="0" w:color="auto"/>
              <w:right w:val="single" w:sz="4" w:space="0" w:color="auto"/>
            </w:tcBorders>
            <w:shd w:val="clear" w:color="auto" w:fill="auto"/>
            <w:noWrap/>
            <w:vAlign w:val="bottom"/>
            <w:hideMark/>
          </w:tcPr>
          <w:p w14:paraId="26ABCAAA"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2.3</w:t>
            </w:r>
          </w:p>
        </w:tc>
        <w:tc>
          <w:tcPr>
            <w:tcW w:w="954" w:type="dxa"/>
            <w:tcBorders>
              <w:top w:val="nil"/>
              <w:left w:val="nil"/>
              <w:bottom w:val="single" w:sz="4" w:space="0" w:color="auto"/>
              <w:right w:val="single" w:sz="4" w:space="0" w:color="auto"/>
            </w:tcBorders>
            <w:shd w:val="clear" w:color="auto" w:fill="auto"/>
            <w:noWrap/>
            <w:vAlign w:val="bottom"/>
            <w:hideMark/>
          </w:tcPr>
          <w:p w14:paraId="26ABCAAB"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89.0</w:t>
            </w:r>
          </w:p>
        </w:tc>
        <w:tc>
          <w:tcPr>
            <w:tcW w:w="954" w:type="dxa"/>
            <w:tcBorders>
              <w:top w:val="nil"/>
              <w:left w:val="nil"/>
              <w:bottom w:val="single" w:sz="4" w:space="0" w:color="auto"/>
              <w:right w:val="single" w:sz="4" w:space="0" w:color="auto"/>
            </w:tcBorders>
            <w:shd w:val="clear" w:color="auto" w:fill="auto"/>
            <w:noWrap/>
            <w:vAlign w:val="bottom"/>
            <w:hideMark/>
          </w:tcPr>
          <w:p w14:paraId="26ABCAAC"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1.6</w:t>
            </w:r>
          </w:p>
        </w:tc>
      </w:tr>
      <w:tr w:rsidR="00C421F0" w:rsidRPr="00CE60B2" w14:paraId="26ABCAB5"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AE"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Wilderness quality &gt;= 8</w:t>
            </w:r>
          </w:p>
        </w:tc>
        <w:tc>
          <w:tcPr>
            <w:tcW w:w="974" w:type="dxa"/>
            <w:tcBorders>
              <w:top w:val="nil"/>
              <w:left w:val="nil"/>
              <w:bottom w:val="single" w:sz="4" w:space="0" w:color="auto"/>
              <w:right w:val="single" w:sz="4" w:space="0" w:color="auto"/>
            </w:tcBorders>
            <w:shd w:val="clear" w:color="auto" w:fill="auto"/>
            <w:noWrap/>
            <w:vAlign w:val="bottom"/>
            <w:hideMark/>
          </w:tcPr>
          <w:p w14:paraId="26ABCAAF"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1,107,504</w:t>
            </w:r>
          </w:p>
        </w:tc>
        <w:tc>
          <w:tcPr>
            <w:tcW w:w="974" w:type="dxa"/>
            <w:tcBorders>
              <w:top w:val="nil"/>
              <w:left w:val="nil"/>
              <w:bottom w:val="single" w:sz="4" w:space="0" w:color="auto"/>
              <w:right w:val="single" w:sz="4" w:space="0" w:color="auto"/>
            </w:tcBorders>
            <w:shd w:val="clear" w:color="auto" w:fill="auto"/>
            <w:noWrap/>
            <w:vAlign w:val="bottom"/>
            <w:hideMark/>
          </w:tcPr>
          <w:p w14:paraId="26ABCAB0"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61.3</w:t>
            </w:r>
          </w:p>
        </w:tc>
        <w:tc>
          <w:tcPr>
            <w:tcW w:w="1018" w:type="dxa"/>
            <w:tcBorders>
              <w:top w:val="nil"/>
              <w:left w:val="nil"/>
              <w:bottom w:val="single" w:sz="4" w:space="0" w:color="auto"/>
              <w:right w:val="single" w:sz="4" w:space="0" w:color="auto"/>
            </w:tcBorders>
            <w:shd w:val="clear" w:color="auto" w:fill="auto"/>
            <w:noWrap/>
            <w:vAlign w:val="bottom"/>
            <w:hideMark/>
          </w:tcPr>
          <w:p w14:paraId="26ABCAB1"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7.7</w:t>
            </w:r>
          </w:p>
        </w:tc>
        <w:tc>
          <w:tcPr>
            <w:tcW w:w="954" w:type="dxa"/>
            <w:tcBorders>
              <w:top w:val="nil"/>
              <w:left w:val="nil"/>
              <w:bottom w:val="single" w:sz="4" w:space="0" w:color="auto"/>
              <w:right w:val="single" w:sz="4" w:space="0" w:color="auto"/>
            </w:tcBorders>
            <w:shd w:val="clear" w:color="auto" w:fill="auto"/>
            <w:noWrap/>
            <w:vAlign w:val="bottom"/>
            <w:hideMark/>
          </w:tcPr>
          <w:p w14:paraId="26ABCAB2"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3.6</w:t>
            </w:r>
          </w:p>
        </w:tc>
        <w:tc>
          <w:tcPr>
            <w:tcW w:w="954" w:type="dxa"/>
            <w:tcBorders>
              <w:top w:val="nil"/>
              <w:left w:val="nil"/>
              <w:bottom w:val="single" w:sz="4" w:space="0" w:color="auto"/>
              <w:right w:val="single" w:sz="4" w:space="0" w:color="auto"/>
            </w:tcBorders>
            <w:shd w:val="clear" w:color="auto" w:fill="auto"/>
            <w:noWrap/>
            <w:vAlign w:val="bottom"/>
            <w:hideMark/>
          </w:tcPr>
          <w:p w14:paraId="26ABCAB3"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72.5</w:t>
            </w:r>
          </w:p>
        </w:tc>
        <w:tc>
          <w:tcPr>
            <w:tcW w:w="954" w:type="dxa"/>
            <w:tcBorders>
              <w:top w:val="nil"/>
              <w:left w:val="nil"/>
              <w:bottom w:val="single" w:sz="4" w:space="0" w:color="auto"/>
              <w:right w:val="single" w:sz="4" w:space="0" w:color="auto"/>
            </w:tcBorders>
            <w:shd w:val="clear" w:color="auto" w:fill="auto"/>
            <w:noWrap/>
            <w:vAlign w:val="bottom"/>
            <w:hideMark/>
          </w:tcPr>
          <w:p w14:paraId="26ABCAB4"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2.9</w:t>
            </w:r>
          </w:p>
        </w:tc>
      </w:tr>
      <w:tr w:rsidR="00C421F0" w:rsidRPr="00CE60B2" w14:paraId="26ABCABD"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B6"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Biophysical naturalness &gt;= 5</w:t>
            </w:r>
          </w:p>
        </w:tc>
        <w:tc>
          <w:tcPr>
            <w:tcW w:w="974" w:type="dxa"/>
            <w:tcBorders>
              <w:top w:val="nil"/>
              <w:left w:val="nil"/>
              <w:bottom w:val="single" w:sz="4" w:space="0" w:color="auto"/>
              <w:right w:val="single" w:sz="4" w:space="0" w:color="auto"/>
            </w:tcBorders>
            <w:shd w:val="clear" w:color="auto" w:fill="auto"/>
            <w:noWrap/>
            <w:vAlign w:val="bottom"/>
            <w:hideMark/>
          </w:tcPr>
          <w:p w14:paraId="26ABCAB7"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653,918</w:t>
            </w:r>
          </w:p>
        </w:tc>
        <w:tc>
          <w:tcPr>
            <w:tcW w:w="974" w:type="dxa"/>
            <w:tcBorders>
              <w:top w:val="nil"/>
              <w:left w:val="nil"/>
              <w:bottom w:val="single" w:sz="4" w:space="0" w:color="auto"/>
              <w:right w:val="single" w:sz="4" w:space="0" w:color="auto"/>
            </w:tcBorders>
            <w:shd w:val="clear" w:color="auto" w:fill="auto"/>
            <w:noWrap/>
            <w:vAlign w:val="bottom"/>
            <w:hideMark/>
          </w:tcPr>
          <w:p w14:paraId="26ABCAB8"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82.7</w:t>
            </w:r>
          </w:p>
        </w:tc>
        <w:tc>
          <w:tcPr>
            <w:tcW w:w="1018" w:type="dxa"/>
            <w:tcBorders>
              <w:top w:val="nil"/>
              <w:left w:val="nil"/>
              <w:bottom w:val="single" w:sz="4" w:space="0" w:color="auto"/>
              <w:right w:val="single" w:sz="4" w:space="0" w:color="auto"/>
            </w:tcBorders>
            <w:shd w:val="clear" w:color="auto" w:fill="auto"/>
            <w:noWrap/>
            <w:vAlign w:val="bottom"/>
            <w:hideMark/>
          </w:tcPr>
          <w:p w14:paraId="26ABCAB9"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6.6</w:t>
            </w:r>
          </w:p>
        </w:tc>
        <w:tc>
          <w:tcPr>
            <w:tcW w:w="954" w:type="dxa"/>
            <w:tcBorders>
              <w:top w:val="nil"/>
              <w:left w:val="nil"/>
              <w:bottom w:val="single" w:sz="4" w:space="0" w:color="auto"/>
              <w:right w:val="single" w:sz="4" w:space="0" w:color="auto"/>
            </w:tcBorders>
            <w:shd w:val="clear" w:color="auto" w:fill="auto"/>
            <w:noWrap/>
            <w:vAlign w:val="bottom"/>
            <w:hideMark/>
          </w:tcPr>
          <w:p w14:paraId="26ABCABA"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3.1</w:t>
            </w:r>
          </w:p>
        </w:tc>
        <w:tc>
          <w:tcPr>
            <w:tcW w:w="954" w:type="dxa"/>
            <w:tcBorders>
              <w:top w:val="nil"/>
              <w:left w:val="nil"/>
              <w:bottom w:val="single" w:sz="4" w:space="0" w:color="auto"/>
              <w:right w:val="single" w:sz="4" w:space="0" w:color="auto"/>
            </w:tcBorders>
            <w:shd w:val="clear" w:color="auto" w:fill="auto"/>
            <w:noWrap/>
            <w:vAlign w:val="bottom"/>
            <w:hideMark/>
          </w:tcPr>
          <w:p w14:paraId="26ABCABB"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92.5</w:t>
            </w:r>
          </w:p>
        </w:tc>
        <w:tc>
          <w:tcPr>
            <w:tcW w:w="954" w:type="dxa"/>
            <w:tcBorders>
              <w:top w:val="nil"/>
              <w:left w:val="nil"/>
              <w:bottom w:val="single" w:sz="4" w:space="0" w:color="auto"/>
              <w:right w:val="single" w:sz="4" w:space="0" w:color="auto"/>
            </w:tcBorders>
            <w:shd w:val="clear" w:color="auto" w:fill="auto"/>
            <w:noWrap/>
            <w:vAlign w:val="bottom"/>
            <w:hideMark/>
          </w:tcPr>
          <w:p w14:paraId="26ABCABC"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3.9</w:t>
            </w:r>
          </w:p>
        </w:tc>
      </w:tr>
      <w:tr w:rsidR="00C421F0" w:rsidRPr="00CE60B2" w14:paraId="26ABCAC5"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BE"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Biophysical naturalness &gt;= 4</w:t>
            </w:r>
          </w:p>
        </w:tc>
        <w:tc>
          <w:tcPr>
            <w:tcW w:w="974" w:type="dxa"/>
            <w:tcBorders>
              <w:top w:val="nil"/>
              <w:left w:val="nil"/>
              <w:bottom w:val="single" w:sz="4" w:space="0" w:color="auto"/>
              <w:right w:val="single" w:sz="4" w:space="0" w:color="auto"/>
            </w:tcBorders>
            <w:shd w:val="clear" w:color="auto" w:fill="auto"/>
            <w:noWrap/>
            <w:vAlign w:val="bottom"/>
            <w:hideMark/>
          </w:tcPr>
          <w:p w14:paraId="26ABCABF"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719,349</w:t>
            </w:r>
          </w:p>
        </w:tc>
        <w:tc>
          <w:tcPr>
            <w:tcW w:w="974" w:type="dxa"/>
            <w:tcBorders>
              <w:top w:val="nil"/>
              <w:left w:val="nil"/>
              <w:bottom w:val="single" w:sz="4" w:space="0" w:color="auto"/>
              <w:right w:val="single" w:sz="4" w:space="0" w:color="auto"/>
            </w:tcBorders>
            <w:shd w:val="clear" w:color="auto" w:fill="auto"/>
            <w:noWrap/>
            <w:vAlign w:val="bottom"/>
            <w:hideMark/>
          </w:tcPr>
          <w:p w14:paraId="26ABCAC0"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83.2</w:t>
            </w:r>
          </w:p>
        </w:tc>
        <w:tc>
          <w:tcPr>
            <w:tcW w:w="1018" w:type="dxa"/>
            <w:tcBorders>
              <w:top w:val="nil"/>
              <w:left w:val="nil"/>
              <w:bottom w:val="single" w:sz="4" w:space="0" w:color="auto"/>
              <w:right w:val="single" w:sz="4" w:space="0" w:color="auto"/>
            </w:tcBorders>
            <w:shd w:val="clear" w:color="auto" w:fill="auto"/>
            <w:noWrap/>
            <w:vAlign w:val="bottom"/>
            <w:hideMark/>
          </w:tcPr>
          <w:p w14:paraId="26ABCAC1"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6.9</w:t>
            </w:r>
          </w:p>
        </w:tc>
        <w:tc>
          <w:tcPr>
            <w:tcW w:w="954" w:type="dxa"/>
            <w:tcBorders>
              <w:top w:val="nil"/>
              <w:left w:val="nil"/>
              <w:bottom w:val="single" w:sz="4" w:space="0" w:color="auto"/>
              <w:right w:val="single" w:sz="4" w:space="0" w:color="auto"/>
            </w:tcBorders>
            <w:shd w:val="clear" w:color="auto" w:fill="auto"/>
            <w:noWrap/>
            <w:vAlign w:val="bottom"/>
            <w:hideMark/>
          </w:tcPr>
          <w:p w14:paraId="26ABCAC2"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2.9</w:t>
            </w:r>
          </w:p>
        </w:tc>
        <w:tc>
          <w:tcPr>
            <w:tcW w:w="954" w:type="dxa"/>
            <w:tcBorders>
              <w:top w:val="nil"/>
              <w:left w:val="nil"/>
              <w:bottom w:val="single" w:sz="4" w:space="0" w:color="auto"/>
              <w:right w:val="single" w:sz="4" w:space="0" w:color="auto"/>
            </w:tcBorders>
            <w:shd w:val="clear" w:color="auto" w:fill="auto"/>
            <w:noWrap/>
            <w:vAlign w:val="bottom"/>
            <w:hideMark/>
          </w:tcPr>
          <w:p w14:paraId="26ABCAC3"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92.9</w:t>
            </w:r>
          </w:p>
        </w:tc>
        <w:tc>
          <w:tcPr>
            <w:tcW w:w="954" w:type="dxa"/>
            <w:tcBorders>
              <w:top w:val="nil"/>
              <w:left w:val="nil"/>
              <w:bottom w:val="single" w:sz="4" w:space="0" w:color="auto"/>
              <w:right w:val="single" w:sz="4" w:space="0" w:color="auto"/>
            </w:tcBorders>
            <w:shd w:val="clear" w:color="auto" w:fill="auto"/>
            <w:noWrap/>
            <w:vAlign w:val="bottom"/>
            <w:hideMark/>
          </w:tcPr>
          <w:p w14:paraId="26ABCAC4"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3.6</w:t>
            </w:r>
          </w:p>
        </w:tc>
      </w:tr>
      <w:tr w:rsidR="00C421F0" w:rsidRPr="00CE60B2" w14:paraId="26ABCACD" w14:textId="77777777" w:rsidTr="00C421F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ABCAC6" w14:textId="77777777" w:rsidR="00C421F0" w:rsidRPr="00CE60B2" w:rsidRDefault="00C421F0" w:rsidP="006554DE">
            <w:pPr>
              <w:spacing w:before="0" w:after="0"/>
              <w:rPr>
                <w:rFonts w:eastAsia="Times New Roman" w:cs="Segoe UI"/>
                <w:sz w:val="18"/>
                <w:szCs w:val="18"/>
                <w:lang w:eastAsia="en-AU"/>
              </w:rPr>
            </w:pPr>
            <w:r w:rsidRPr="00CE60B2">
              <w:rPr>
                <w:rFonts w:eastAsia="Times New Roman" w:cs="Segoe UI"/>
                <w:sz w:val="18"/>
                <w:szCs w:val="18"/>
                <w:lang w:eastAsia="en-AU"/>
              </w:rPr>
              <w:t>Biophysical naturalness &gt;= 3</w:t>
            </w:r>
          </w:p>
        </w:tc>
        <w:tc>
          <w:tcPr>
            <w:tcW w:w="974" w:type="dxa"/>
            <w:tcBorders>
              <w:top w:val="nil"/>
              <w:left w:val="nil"/>
              <w:bottom w:val="single" w:sz="4" w:space="0" w:color="auto"/>
              <w:right w:val="single" w:sz="4" w:space="0" w:color="auto"/>
            </w:tcBorders>
            <w:shd w:val="clear" w:color="auto" w:fill="auto"/>
            <w:noWrap/>
            <w:vAlign w:val="bottom"/>
            <w:hideMark/>
          </w:tcPr>
          <w:p w14:paraId="26ABCAC7"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780,953</w:t>
            </w:r>
          </w:p>
        </w:tc>
        <w:tc>
          <w:tcPr>
            <w:tcW w:w="974" w:type="dxa"/>
            <w:tcBorders>
              <w:top w:val="nil"/>
              <w:left w:val="nil"/>
              <w:bottom w:val="single" w:sz="4" w:space="0" w:color="auto"/>
              <w:right w:val="single" w:sz="4" w:space="0" w:color="auto"/>
            </w:tcBorders>
            <w:shd w:val="clear" w:color="auto" w:fill="auto"/>
            <w:noWrap/>
            <w:vAlign w:val="bottom"/>
            <w:hideMark/>
          </w:tcPr>
          <w:p w14:paraId="26ABCAC8"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80.5</w:t>
            </w:r>
          </w:p>
        </w:tc>
        <w:tc>
          <w:tcPr>
            <w:tcW w:w="1018" w:type="dxa"/>
            <w:tcBorders>
              <w:top w:val="nil"/>
              <w:left w:val="nil"/>
              <w:bottom w:val="single" w:sz="4" w:space="0" w:color="auto"/>
              <w:right w:val="single" w:sz="4" w:space="0" w:color="auto"/>
            </w:tcBorders>
            <w:shd w:val="clear" w:color="auto" w:fill="auto"/>
            <w:noWrap/>
            <w:vAlign w:val="bottom"/>
            <w:hideMark/>
          </w:tcPr>
          <w:p w14:paraId="26ABCAC9"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6.6</w:t>
            </w:r>
          </w:p>
        </w:tc>
        <w:tc>
          <w:tcPr>
            <w:tcW w:w="954" w:type="dxa"/>
            <w:tcBorders>
              <w:top w:val="nil"/>
              <w:left w:val="nil"/>
              <w:bottom w:val="single" w:sz="4" w:space="0" w:color="auto"/>
              <w:right w:val="single" w:sz="4" w:space="0" w:color="auto"/>
            </w:tcBorders>
            <w:shd w:val="clear" w:color="auto" w:fill="auto"/>
            <w:noWrap/>
            <w:vAlign w:val="bottom"/>
            <w:hideMark/>
          </w:tcPr>
          <w:p w14:paraId="26ABCACA"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3.5</w:t>
            </w:r>
          </w:p>
        </w:tc>
        <w:tc>
          <w:tcPr>
            <w:tcW w:w="954" w:type="dxa"/>
            <w:tcBorders>
              <w:top w:val="nil"/>
              <w:left w:val="nil"/>
              <w:bottom w:val="single" w:sz="4" w:space="0" w:color="auto"/>
              <w:right w:val="single" w:sz="4" w:space="0" w:color="auto"/>
            </w:tcBorders>
            <w:shd w:val="clear" w:color="auto" w:fill="auto"/>
            <w:noWrap/>
            <w:vAlign w:val="bottom"/>
            <w:hideMark/>
          </w:tcPr>
          <w:p w14:paraId="26ABCACB"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90.6</w:t>
            </w:r>
          </w:p>
        </w:tc>
        <w:tc>
          <w:tcPr>
            <w:tcW w:w="954" w:type="dxa"/>
            <w:tcBorders>
              <w:top w:val="nil"/>
              <w:left w:val="nil"/>
              <w:bottom w:val="single" w:sz="4" w:space="0" w:color="auto"/>
              <w:right w:val="single" w:sz="4" w:space="0" w:color="auto"/>
            </w:tcBorders>
            <w:shd w:val="clear" w:color="auto" w:fill="auto"/>
            <w:noWrap/>
            <w:vAlign w:val="bottom"/>
            <w:hideMark/>
          </w:tcPr>
          <w:p w14:paraId="26ABCACC" w14:textId="77777777" w:rsidR="00C421F0" w:rsidRPr="00CE60B2" w:rsidRDefault="00C421F0" w:rsidP="006554DE">
            <w:pPr>
              <w:spacing w:before="0" w:after="0"/>
              <w:jc w:val="right"/>
              <w:rPr>
                <w:rFonts w:eastAsia="Times New Roman" w:cs="Segoe UI"/>
                <w:sz w:val="18"/>
                <w:szCs w:val="18"/>
                <w:lang w:eastAsia="en-AU"/>
              </w:rPr>
            </w:pPr>
            <w:r w:rsidRPr="00CE60B2">
              <w:rPr>
                <w:rFonts w:eastAsia="Times New Roman" w:cs="Segoe UI"/>
                <w:sz w:val="18"/>
                <w:szCs w:val="18"/>
                <w:lang w:eastAsia="en-AU"/>
              </w:rPr>
              <w:t>4.0</w:t>
            </w:r>
          </w:p>
        </w:tc>
      </w:tr>
      <w:tr w:rsidR="00C421F0" w:rsidRPr="00CE60B2" w14:paraId="26ABCAD5" w14:textId="77777777" w:rsidTr="00C421F0">
        <w:trPr>
          <w:trHeight w:val="255"/>
        </w:trPr>
        <w:tc>
          <w:tcPr>
            <w:tcW w:w="2552" w:type="dxa"/>
            <w:tcBorders>
              <w:top w:val="nil"/>
              <w:left w:val="nil"/>
              <w:bottom w:val="nil"/>
              <w:right w:val="nil"/>
            </w:tcBorders>
            <w:shd w:val="clear" w:color="auto" w:fill="auto"/>
            <w:noWrap/>
            <w:vAlign w:val="bottom"/>
            <w:hideMark/>
          </w:tcPr>
          <w:p w14:paraId="26ABCACE" w14:textId="77777777" w:rsidR="00C421F0" w:rsidRPr="00CE60B2" w:rsidRDefault="00C421F0" w:rsidP="006554DE">
            <w:pPr>
              <w:spacing w:before="0" w:after="0"/>
              <w:jc w:val="right"/>
              <w:rPr>
                <w:rFonts w:eastAsia="Times New Roman" w:cs="Segoe UI"/>
                <w:sz w:val="18"/>
                <w:szCs w:val="18"/>
                <w:lang w:eastAsia="en-AU"/>
              </w:rPr>
            </w:pPr>
          </w:p>
        </w:tc>
        <w:tc>
          <w:tcPr>
            <w:tcW w:w="974" w:type="dxa"/>
            <w:tcBorders>
              <w:top w:val="nil"/>
              <w:left w:val="nil"/>
              <w:bottom w:val="nil"/>
              <w:right w:val="nil"/>
            </w:tcBorders>
            <w:shd w:val="clear" w:color="auto" w:fill="auto"/>
            <w:noWrap/>
            <w:vAlign w:val="bottom"/>
            <w:hideMark/>
          </w:tcPr>
          <w:p w14:paraId="26ABCACF" w14:textId="77777777" w:rsidR="00C421F0" w:rsidRPr="00CE60B2" w:rsidRDefault="00C421F0" w:rsidP="006554DE">
            <w:pPr>
              <w:spacing w:before="0" w:after="0"/>
              <w:rPr>
                <w:rFonts w:eastAsia="Times New Roman" w:cs="Segoe UI"/>
                <w:sz w:val="20"/>
                <w:szCs w:val="20"/>
                <w:lang w:eastAsia="en-AU"/>
              </w:rPr>
            </w:pPr>
          </w:p>
        </w:tc>
        <w:tc>
          <w:tcPr>
            <w:tcW w:w="974" w:type="dxa"/>
            <w:tcBorders>
              <w:top w:val="nil"/>
              <w:left w:val="nil"/>
              <w:bottom w:val="nil"/>
              <w:right w:val="nil"/>
            </w:tcBorders>
            <w:shd w:val="clear" w:color="auto" w:fill="auto"/>
            <w:noWrap/>
            <w:vAlign w:val="bottom"/>
            <w:hideMark/>
          </w:tcPr>
          <w:p w14:paraId="26ABCAD0" w14:textId="77777777" w:rsidR="00C421F0" w:rsidRPr="00CE60B2" w:rsidRDefault="00C421F0" w:rsidP="006554DE">
            <w:pPr>
              <w:spacing w:before="0" w:after="0"/>
              <w:rPr>
                <w:rFonts w:eastAsia="Times New Roman" w:cs="Segoe UI"/>
                <w:sz w:val="20"/>
                <w:szCs w:val="20"/>
                <w:lang w:eastAsia="en-AU"/>
              </w:rPr>
            </w:pPr>
          </w:p>
        </w:tc>
        <w:tc>
          <w:tcPr>
            <w:tcW w:w="1018" w:type="dxa"/>
            <w:tcBorders>
              <w:top w:val="nil"/>
              <w:left w:val="nil"/>
              <w:bottom w:val="nil"/>
              <w:right w:val="nil"/>
            </w:tcBorders>
            <w:shd w:val="clear" w:color="auto" w:fill="auto"/>
            <w:noWrap/>
            <w:vAlign w:val="bottom"/>
            <w:hideMark/>
          </w:tcPr>
          <w:p w14:paraId="26ABCAD1" w14:textId="77777777" w:rsidR="00C421F0" w:rsidRPr="00CE60B2" w:rsidRDefault="00C421F0" w:rsidP="006554DE">
            <w:pPr>
              <w:spacing w:before="0" w:after="0"/>
              <w:rPr>
                <w:rFonts w:eastAsia="Times New Roman" w:cs="Segoe UI"/>
                <w:sz w:val="20"/>
                <w:szCs w:val="20"/>
                <w:lang w:eastAsia="en-AU"/>
              </w:rPr>
            </w:pPr>
          </w:p>
        </w:tc>
        <w:tc>
          <w:tcPr>
            <w:tcW w:w="954" w:type="dxa"/>
            <w:tcBorders>
              <w:top w:val="nil"/>
              <w:left w:val="nil"/>
              <w:bottom w:val="nil"/>
              <w:right w:val="nil"/>
            </w:tcBorders>
            <w:shd w:val="clear" w:color="auto" w:fill="auto"/>
            <w:noWrap/>
            <w:vAlign w:val="bottom"/>
            <w:hideMark/>
          </w:tcPr>
          <w:p w14:paraId="26ABCAD2" w14:textId="77777777" w:rsidR="00C421F0" w:rsidRPr="00CE60B2" w:rsidRDefault="00C421F0" w:rsidP="006554DE">
            <w:pPr>
              <w:spacing w:before="0" w:after="0"/>
              <w:rPr>
                <w:rFonts w:eastAsia="Times New Roman" w:cs="Segoe UI"/>
                <w:sz w:val="20"/>
                <w:szCs w:val="20"/>
                <w:lang w:eastAsia="en-AU"/>
              </w:rPr>
            </w:pPr>
          </w:p>
        </w:tc>
        <w:tc>
          <w:tcPr>
            <w:tcW w:w="954" w:type="dxa"/>
            <w:tcBorders>
              <w:top w:val="nil"/>
              <w:left w:val="nil"/>
              <w:bottom w:val="nil"/>
              <w:right w:val="nil"/>
            </w:tcBorders>
            <w:shd w:val="clear" w:color="auto" w:fill="auto"/>
            <w:noWrap/>
            <w:vAlign w:val="bottom"/>
            <w:hideMark/>
          </w:tcPr>
          <w:p w14:paraId="26ABCAD3" w14:textId="77777777" w:rsidR="00C421F0" w:rsidRPr="00CE60B2" w:rsidRDefault="00C421F0" w:rsidP="006554DE">
            <w:pPr>
              <w:spacing w:before="0" w:after="0"/>
              <w:rPr>
                <w:rFonts w:eastAsia="Times New Roman" w:cs="Segoe UI"/>
                <w:sz w:val="20"/>
                <w:szCs w:val="20"/>
                <w:lang w:eastAsia="en-AU"/>
              </w:rPr>
            </w:pPr>
          </w:p>
        </w:tc>
        <w:tc>
          <w:tcPr>
            <w:tcW w:w="954" w:type="dxa"/>
            <w:tcBorders>
              <w:top w:val="nil"/>
              <w:left w:val="nil"/>
              <w:bottom w:val="nil"/>
              <w:right w:val="nil"/>
            </w:tcBorders>
            <w:shd w:val="clear" w:color="auto" w:fill="auto"/>
            <w:noWrap/>
            <w:vAlign w:val="bottom"/>
            <w:hideMark/>
          </w:tcPr>
          <w:p w14:paraId="26ABCAD4" w14:textId="77777777" w:rsidR="00C421F0" w:rsidRPr="00CE60B2" w:rsidRDefault="00C421F0" w:rsidP="006554DE">
            <w:pPr>
              <w:spacing w:before="0" w:after="0"/>
              <w:rPr>
                <w:rFonts w:eastAsia="Times New Roman" w:cs="Segoe UI"/>
                <w:sz w:val="20"/>
                <w:szCs w:val="20"/>
                <w:lang w:eastAsia="en-AU"/>
              </w:rPr>
            </w:pPr>
          </w:p>
        </w:tc>
      </w:tr>
    </w:tbl>
    <w:p w14:paraId="26ABCAD6" w14:textId="77777777" w:rsidR="006554DE" w:rsidRPr="00CE60B2" w:rsidRDefault="006554DE" w:rsidP="006554DE">
      <w:pPr>
        <w:rPr>
          <w:rFonts w:cs="Segoe UI"/>
          <w:szCs w:val="16"/>
        </w:rPr>
      </w:pPr>
      <w:r w:rsidRPr="00CE60B2">
        <w:rPr>
          <w:rFonts w:cs="Segoe UI"/>
          <w:szCs w:val="16"/>
        </w:rPr>
        <w:t xml:space="preserve">Since the commencement of the </w:t>
      </w:r>
      <w:r w:rsidR="002369E9">
        <w:rPr>
          <w:rFonts w:cs="Segoe UI"/>
          <w:szCs w:val="16"/>
        </w:rPr>
        <w:t>WA </w:t>
      </w:r>
      <w:r w:rsidRPr="00CE60B2">
        <w:rPr>
          <w:rFonts w:cs="Segoe UI"/>
          <w:szCs w:val="16"/>
        </w:rPr>
        <w:t xml:space="preserve">RFA the State government undertook in the </w:t>
      </w:r>
      <w:r w:rsidRPr="00CE60B2">
        <w:rPr>
          <w:rFonts w:cs="Segoe UI"/>
          <w:i/>
          <w:szCs w:val="16"/>
        </w:rPr>
        <w:t xml:space="preserve">Protecting </w:t>
      </w:r>
      <w:r w:rsidR="00506AA1">
        <w:rPr>
          <w:rFonts w:cs="Segoe UI"/>
          <w:i/>
          <w:szCs w:val="16"/>
        </w:rPr>
        <w:t>o</w:t>
      </w:r>
      <w:r w:rsidRPr="00CE60B2">
        <w:rPr>
          <w:rFonts w:cs="Segoe UI"/>
          <w:i/>
          <w:szCs w:val="16"/>
        </w:rPr>
        <w:t>ur Old-</w:t>
      </w:r>
      <w:r w:rsidR="00506AA1">
        <w:rPr>
          <w:rFonts w:cs="Segoe UI"/>
          <w:i/>
          <w:szCs w:val="16"/>
        </w:rPr>
        <w:t>g</w:t>
      </w:r>
      <w:r w:rsidRPr="00CE60B2">
        <w:rPr>
          <w:rFonts w:cs="Segoe UI"/>
          <w:i/>
          <w:szCs w:val="16"/>
        </w:rPr>
        <w:t>rowth Forests</w:t>
      </w:r>
      <w:r w:rsidRPr="00CE60B2">
        <w:rPr>
          <w:rFonts w:cs="Segoe UI"/>
          <w:szCs w:val="16"/>
        </w:rPr>
        <w:t xml:space="preserve"> policy to create a ‘Walpole Wilderness’ area</w:t>
      </w:r>
      <w:r w:rsidRPr="000257F2">
        <w:rPr>
          <w:rFonts w:cs="Segoe UI"/>
        </w:rPr>
        <w:t xml:space="preserve"> (</w:t>
      </w:r>
      <w:r w:rsidRPr="00587028">
        <w:rPr>
          <w:rFonts w:cs="Segoe UI"/>
        </w:rPr>
        <w:t>a conceptual name for a group of conservation reserves</w:t>
      </w:r>
      <w:r w:rsidR="0037609A" w:rsidRPr="00587028">
        <w:rPr>
          <w:rFonts w:cs="Segoe UI"/>
        </w:rPr>
        <w:t>, see Figure 3</w:t>
      </w:r>
      <w:r w:rsidRPr="00587028">
        <w:rPr>
          <w:rFonts w:cs="Segoe UI"/>
        </w:rPr>
        <w:t>).</w:t>
      </w:r>
      <w:r w:rsidRPr="00CE60B2">
        <w:rPr>
          <w:rFonts w:cs="Segoe UI"/>
          <w:sz w:val="24"/>
          <w:szCs w:val="16"/>
        </w:rPr>
        <w:t xml:space="preserve"> </w:t>
      </w:r>
      <w:r w:rsidRPr="00CE60B2">
        <w:rPr>
          <w:rFonts w:cs="Segoe UI"/>
          <w:szCs w:val="16"/>
        </w:rPr>
        <w:t>The DBCA</w:t>
      </w:r>
      <w:r w:rsidR="00E23EED">
        <w:rPr>
          <w:rFonts w:cs="Segoe UI"/>
          <w:szCs w:val="16"/>
        </w:rPr>
        <w:t> </w:t>
      </w:r>
      <w:r w:rsidRPr="00CE60B2">
        <w:rPr>
          <w:rFonts w:cs="Segoe UI"/>
          <w:szCs w:val="16"/>
        </w:rPr>
        <w:t>(then DEC) developed Policy</w:t>
      </w:r>
      <w:r w:rsidR="00E23EED">
        <w:rPr>
          <w:rFonts w:cs="Segoe UI"/>
          <w:szCs w:val="16"/>
        </w:rPr>
        <w:t> </w:t>
      </w:r>
      <w:r w:rsidRPr="00CE60B2">
        <w:rPr>
          <w:rFonts w:cs="Segoe UI"/>
          <w:szCs w:val="16"/>
        </w:rPr>
        <w:t>No.</w:t>
      </w:r>
      <w:r w:rsidR="00E23EED">
        <w:rPr>
          <w:rFonts w:cs="Segoe UI"/>
          <w:szCs w:val="16"/>
        </w:rPr>
        <w:t> </w:t>
      </w:r>
      <w:r w:rsidRPr="00CE60B2">
        <w:rPr>
          <w:rFonts w:cs="Segoe UI"/>
          <w:szCs w:val="16"/>
        </w:rPr>
        <w:t>62</w:t>
      </w:r>
      <w:r w:rsidR="00E23EED">
        <w:rPr>
          <w:rFonts w:cs="Segoe UI"/>
          <w:szCs w:val="16"/>
        </w:rPr>
        <w:t> </w:t>
      </w:r>
      <w:r w:rsidRPr="00CE60B2">
        <w:rPr>
          <w:rFonts w:cs="Segoe UI"/>
          <w:szCs w:val="16"/>
        </w:rPr>
        <w:t>–</w:t>
      </w:r>
      <w:r w:rsidR="00E23EED">
        <w:rPr>
          <w:rFonts w:cs="Segoe UI"/>
          <w:szCs w:val="16"/>
        </w:rPr>
        <w:t> </w:t>
      </w:r>
      <w:r w:rsidRPr="00CE60B2">
        <w:rPr>
          <w:rFonts w:cs="Segoe UI"/>
          <w:i/>
          <w:szCs w:val="16"/>
        </w:rPr>
        <w:t>Identification and Management of Wilderness and Surrounding Areas</w:t>
      </w:r>
      <w:r w:rsidRPr="00CE60B2">
        <w:rPr>
          <w:rFonts w:cs="Segoe UI"/>
          <w:szCs w:val="16"/>
        </w:rPr>
        <w:t>, which incorporates the National Wilderness Index</w:t>
      </w:r>
      <w:r w:rsidR="00E23EED">
        <w:rPr>
          <w:rFonts w:cs="Segoe UI"/>
          <w:szCs w:val="16"/>
        </w:rPr>
        <w:t> </w:t>
      </w:r>
      <w:r w:rsidRPr="00CE60B2">
        <w:rPr>
          <w:rFonts w:cs="Segoe UI"/>
          <w:szCs w:val="16"/>
        </w:rPr>
        <w:t>(NWI) criteria and defines a ‘wilderness area’ as an area that has a NWI wilderness quality rating of ≥12 and meets a minimum size threshold of 8,000</w:t>
      </w:r>
      <w:r w:rsidR="00E23EED">
        <w:rPr>
          <w:rFonts w:cs="Segoe UI"/>
          <w:szCs w:val="16"/>
        </w:rPr>
        <w:t> </w:t>
      </w:r>
      <w:r w:rsidRPr="00CE60B2">
        <w:rPr>
          <w:rFonts w:cs="Segoe UI"/>
          <w:szCs w:val="16"/>
        </w:rPr>
        <w:t xml:space="preserve">hectares in temperate areas. </w:t>
      </w:r>
      <w:r w:rsidRPr="00587028">
        <w:rPr>
          <w:rFonts w:cs="Segoe UI"/>
        </w:rPr>
        <w:t>The CRA d</w:t>
      </w:r>
      <w:r w:rsidRPr="000257F2">
        <w:rPr>
          <w:rFonts w:cs="Segoe UI"/>
        </w:rPr>
        <w:t>atasets</w:t>
      </w:r>
      <w:r w:rsidRPr="00CE60B2">
        <w:rPr>
          <w:rFonts w:cs="Segoe UI"/>
          <w:szCs w:val="16"/>
        </w:rPr>
        <w:t xml:space="preserve"> were used to delineate two areas in the Walpole area of high Wilderness quality which also had practical boundaries for fire protection, strategic access control and were fea</w:t>
      </w:r>
      <w:r w:rsidR="00425B54">
        <w:rPr>
          <w:rFonts w:cs="Segoe UI"/>
          <w:szCs w:val="16"/>
        </w:rPr>
        <w:t xml:space="preserve">sible to manage as wilderness. </w:t>
      </w:r>
    </w:p>
    <w:p w14:paraId="26ABCAD7" w14:textId="77777777" w:rsidR="007E62B1" w:rsidRDefault="00141D0D" w:rsidP="007E62B1">
      <w:pPr>
        <w:keepNext/>
      </w:pPr>
      <w:r>
        <w:rPr>
          <w:noProof/>
          <w:lang w:eastAsia="en-AU"/>
        </w:rPr>
        <w:lastRenderedPageBreak/>
        <w:drawing>
          <wp:inline distT="0" distB="0" distL="0" distR="0" wp14:anchorId="26ABE256" wp14:editId="26ABE257">
            <wp:extent cx="5731510" cy="83832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8383270"/>
                    </a:xfrm>
                    <a:prstGeom prst="rect">
                      <a:avLst/>
                    </a:prstGeom>
                    <a:noFill/>
                    <a:ln>
                      <a:noFill/>
                    </a:ln>
                  </pic:spPr>
                </pic:pic>
              </a:graphicData>
            </a:graphic>
          </wp:inline>
        </w:drawing>
      </w:r>
    </w:p>
    <w:p w14:paraId="26ABCAD8" w14:textId="7019AC6C" w:rsidR="007E62B1" w:rsidRDefault="007E62B1" w:rsidP="007E62B1">
      <w:pPr>
        <w:pStyle w:val="Caption"/>
      </w:pPr>
      <w:bookmarkStart w:id="34" w:name="_Toc2776004"/>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3</w:t>
      </w:r>
      <w:r w:rsidR="0002253A">
        <w:rPr>
          <w:noProof/>
        </w:rPr>
        <w:fldChar w:fldCharType="end"/>
      </w:r>
      <w:r>
        <w:t xml:space="preserve">: </w:t>
      </w:r>
      <w:r w:rsidRPr="00666E6D">
        <w:t>WA RFA region and the Proposed Walpole Wilderness Area in 2018.</w:t>
      </w:r>
      <w:bookmarkEnd w:id="34"/>
    </w:p>
    <w:p w14:paraId="26ABCAD9" w14:textId="77777777" w:rsidR="006554DE" w:rsidRPr="00CE60B2" w:rsidRDefault="006554DE" w:rsidP="006554DE">
      <w:pPr>
        <w:rPr>
          <w:rFonts w:cs="Segoe UI"/>
          <w:szCs w:val="16"/>
        </w:rPr>
      </w:pPr>
      <w:r w:rsidRPr="00CE60B2">
        <w:rPr>
          <w:rFonts w:cs="Segoe UI"/>
          <w:szCs w:val="16"/>
        </w:rPr>
        <w:lastRenderedPageBreak/>
        <w:t>Management of the Walpo</w:t>
      </w:r>
      <w:r w:rsidR="009F5B87">
        <w:rPr>
          <w:rFonts w:cs="Segoe UI"/>
          <w:szCs w:val="16"/>
        </w:rPr>
        <w:t>l</w:t>
      </w:r>
      <w:r w:rsidRPr="00CE60B2">
        <w:rPr>
          <w:rFonts w:cs="Segoe UI"/>
          <w:szCs w:val="16"/>
        </w:rPr>
        <w:t xml:space="preserve">e Wilderness areas is in accordance with the </w:t>
      </w:r>
      <w:r w:rsidRPr="00CE60B2">
        <w:rPr>
          <w:rFonts w:cs="Segoe UI"/>
          <w:i/>
          <w:szCs w:val="16"/>
        </w:rPr>
        <w:t>Walpole Wilderness Management Plan</w:t>
      </w:r>
      <w:r w:rsidR="00E23EED">
        <w:rPr>
          <w:rFonts w:cs="Segoe UI"/>
          <w:i/>
          <w:szCs w:val="16"/>
        </w:rPr>
        <w:t> </w:t>
      </w:r>
      <w:r w:rsidRPr="00CE60B2">
        <w:rPr>
          <w:rFonts w:cs="Segoe UI"/>
          <w:i/>
          <w:szCs w:val="16"/>
        </w:rPr>
        <w:t>2008</w:t>
      </w:r>
      <w:r w:rsidRPr="00CE60B2">
        <w:rPr>
          <w:rFonts w:cs="Segoe UI"/>
          <w:szCs w:val="16"/>
        </w:rPr>
        <w:t xml:space="preserve"> and Policy</w:t>
      </w:r>
      <w:r w:rsidR="00E23EED">
        <w:rPr>
          <w:rFonts w:cs="Segoe UI"/>
          <w:szCs w:val="16"/>
        </w:rPr>
        <w:t> </w:t>
      </w:r>
      <w:r w:rsidRPr="00CE60B2">
        <w:rPr>
          <w:rFonts w:cs="Segoe UI"/>
          <w:szCs w:val="16"/>
        </w:rPr>
        <w:t>62 which aim</w:t>
      </w:r>
      <w:r w:rsidR="00F804E2">
        <w:rPr>
          <w:rFonts w:cs="Segoe UI"/>
          <w:szCs w:val="16"/>
        </w:rPr>
        <w:t>s</w:t>
      </w:r>
      <w:r w:rsidRPr="00CE60B2">
        <w:rPr>
          <w:rFonts w:cs="Segoe UI"/>
          <w:szCs w:val="16"/>
        </w:rPr>
        <w:t xml:space="preserve"> to maintain or enhance wilderness qualities within these areas through such actions as restricting access, </w:t>
      </w:r>
      <w:r w:rsidR="00F36649">
        <w:rPr>
          <w:rFonts w:cs="Segoe UI"/>
          <w:szCs w:val="16"/>
        </w:rPr>
        <w:t xml:space="preserve">limiting </w:t>
      </w:r>
      <w:r w:rsidRPr="00CE60B2">
        <w:rPr>
          <w:rFonts w:cs="Segoe UI"/>
          <w:szCs w:val="16"/>
        </w:rPr>
        <w:t>the use of mechanised transport, the placement of infrastructure (including closure and rehabilitation of legacy tracks and trails) and other measures.</w:t>
      </w:r>
      <w:r w:rsidR="00F36649">
        <w:rPr>
          <w:rFonts w:cs="Segoe UI"/>
          <w:szCs w:val="16"/>
        </w:rPr>
        <w:t xml:space="preserve"> These areas are within a national park (part of the CAR reserve system) and will continue to be managed over the long-term to preserve their biophysical naturalness and wilderness attributes.</w:t>
      </w:r>
    </w:p>
    <w:p w14:paraId="26ABCADA" w14:textId="77777777" w:rsidR="006554DE" w:rsidRPr="00CE60B2" w:rsidRDefault="006554DE" w:rsidP="00D15AAD">
      <w:pPr>
        <w:pStyle w:val="Heading4"/>
        <w:rPr>
          <w:rFonts w:cs="Segoe UI"/>
          <w:sz w:val="24"/>
          <w:szCs w:val="24"/>
        </w:rPr>
      </w:pPr>
      <w:r w:rsidRPr="00CE60B2">
        <w:rPr>
          <w:rFonts w:cs="Segoe UI"/>
          <w:sz w:val="24"/>
          <w:szCs w:val="24"/>
        </w:rPr>
        <w:t>Other Wilderness definitions</w:t>
      </w:r>
    </w:p>
    <w:p w14:paraId="26ABCADB" w14:textId="77777777" w:rsidR="006554DE" w:rsidRPr="00CE60B2" w:rsidRDefault="006554DE" w:rsidP="006554DE">
      <w:pPr>
        <w:rPr>
          <w:rFonts w:cs="Segoe UI"/>
          <w:szCs w:val="16"/>
        </w:rPr>
      </w:pPr>
      <w:r w:rsidRPr="00CE60B2">
        <w:rPr>
          <w:rFonts w:cs="Segoe UI"/>
          <w:szCs w:val="16"/>
        </w:rPr>
        <w:t>The extent of formally reserved Delineated Wilderness, formally reserved Identified Wilderness, and the</w:t>
      </w:r>
      <w:r w:rsidR="009320E7">
        <w:rPr>
          <w:rFonts w:cs="Segoe UI"/>
          <w:szCs w:val="16"/>
        </w:rPr>
        <w:t xml:space="preserve"> </w:t>
      </w:r>
      <w:r w:rsidR="009320E7" w:rsidRPr="00CE60B2">
        <w:rPr>
          <w:rFonts w:cs="Segoe UI"/>
          <w:szCs w:val="16"/>
        </w:rPr>
        <w:t>International Union for Conservation of Nature</w:t>
      </w:r>
      <w:r w:rsidR="00E23EED">
        <w:rPr>
          <w:rFonts w:cs="Segoe UI"/>
          <w:szCs w:val="16"/>
        </w:rPr>
        <w:t> </w:t>
      </w:r>
      <w:r w:rsidR="009320E7">
        <w:rPr>
          <w:rFonts w:cs="Segoe UI"/>
          <w:szCs w:val="16"/>
        </w:rPr>
        <w:t>(</w:t>
      </w:r>
      <w:r w:rsidRPr="00CE60B2">
        <w:rPr>
          <w:rFonts w:cs="Segoe UI"/>
          <w:szCs w:val="16"/>
        </w:rPr>
        <w:t>IUCN</w:t>
      </w:r>
      <w:r w:rsidR="009320E7">
        <w:rPr>
          <w:rFonts w:cs="Segoe UI"/>
          <w:szCs w:val="16"/>
        </w:rPr>
        <w:t>)</w:t>
      </w:r>
      <w:r w:rsidRPr="00CE60B2">
        <w:rPr>
          <w:rFonts w:cs="Segoe UI"/>
          <w:szCs w:val="16"/>
        </w:rPr>
        <w:t xml:space="preserve"> Protected Areas Wilderness Category, are each determined through mechanisms using </w:t>
      </w:r>
      <w:r w:rsidR="00115E2F">
        <w:rPr>
          <w:rFonts w:cs="Segoe UI"/>
          <w:szCs w:val="16"/>
        </w:rPr>
        <w:t xml:space="preserve">differing </w:t>
      </w:r>
      <w:r w:rsidRPr="00CE60B2">
        <w:rPr>
          <w:rFonts w:cs="Segoe UI"/>
          <w:szCs w:val="16"/>
        </w:rPr>
        <w:t>definitions of wilderness. The IUCN Wilderness Area is derived from</w:t>
      </w:r>
      <w:r w:rsidR="008D2711">
        <w:rPr>
          <w:rFonts w:cs="Segoe UI"/>
          <w:szCs w:val="16"/>
        </w:rPr>
        <w:t xml:space="preserve"> </w:t>
      </w:r>
      <w:r w:rsidR="008D2711" w:rsidRPr="00CE60B2">
        <w:rPr>
          <w:rFonts w:cs="Segoe UI"/>
          <w:szCs w:val="16"/>
        </w:rPr>
        <w:t>the Commonwealth Department of the Environment and Energy’s Collaborative Australian Protected Area Database</w:t>
      </w:r>
      <w:r w:rsidRPr="00CE60B2">
        <w:rPr>
          <w:rFonts w:cs="Segoe UI"/>
          <w:szCs w:val="16"/>
        </w:rPr>
        <w:t xml:space="preserve"> </w:t>
      </w:r>
      <w:r w:rsidR="008D2711">
        <w:rPr>
          <w:rFonts w:cs="Segoe UI"/>
          <w:szCs w:val="16"/>
        </w:rPr>
        <w:t>(</w:t>
      </w:r>
      <w:r w:rsidRPr="00CE60B2">
        <w:rPr>
          <w:rFonts w:cs="Segoe UI"/>
        </w:rPr>
        <w:t>CAPAD</w:t>
      </w:r>
      <w:r w:rsidR="008D2711">
        <w:rPr>
          <w:rFonts w:cs="Segoe UI"/>
        </w:rPr>
        <w:t>)</w:t>
      </w:r>
      <w:r w:rsidRPr="00CE60B2">
        <w:rPr>
          <w:rFonts w:cs="Segoe UI"/>
          <w:szCs w:val="16"/>
        </w:rPr>
        <w:t xml:space="preserve"> so may include wilderness outside formal reserves but otherwise protected through mechanisms recorded in CAPAD, such as informal reserves.  Declared Wilderness is a subset of Identified Wilderness.</w:t>
      </w:r>
    </w:p>
    <w:p w14:paraId="26ABCADC" w14:textId="77777777" w:rsidR="00CE151B" w:rsidRPr="00CE60B2" w:rsidRDefault="00CE151B" w:rsidP="00D15AAD">
      <w:pPr>
        <w:pStyle w:val="Heading5"/>
        <w:rPr>
          <w:rFonts w:cs="Segoe UI"/>
        </w:rPr>
      </w:pPr>
      <w:r w:rsidRPr="00CE60B2">
        <w:rPr>
          <w:rFonts w:cs="Segoe UI"/>
        </w:rPr>
        <w:t>International Union for Conservation of Nature wilderness</w:t>
      </w:r>
    </w:p>
    <w:p w14:paraId="26ABCADD" w14:textId="77777777" w:rsidR="00CE151B" w:rsidRPr="00CE60B2" w:rsidRDefault="00CE151B" w:rsidP="00CE151B">
      <w:pPr>
        <w:rPr>
          <w:rFonts w:cs="Segoe UI"/>
          <w:szCs w:val="16"/>
        </w:rPr>
      </w:pPr>
      <w:r w:rsidRPr="00CE60B2">
        <w:rPr>
          <w:rFonts w:cs="Segoe UI"/>
          <w:szCs w:val="16"/>
        </w:rPr>
        <w:t>The IUCN defines Wilderness as:</w:t>
      </w:r>
    </w:p>
    <w:p w14:paraId="26ABCADE" w14:textId="77777777" w:rsidR="00CE151B" w:rsidRPr="00CE60B2" w:rsidRDefault="00CE151B" w:rsidP="00CE151B">
      <w:pPr>
        <w:ind w:left="567"/>
        <w:rPr>
          <w:rFonts w:cs="Segoe UI"/>
          <w:szCs w:val="16"/>
        </w:rPr>
      </w:pPr>
      <w:r w:rsidRPr="00CE60B2">
        <w:rPr>
          <w:rFonts w:cs="Segoe UI"/>
          <w:i/>
          <w:szCs w:val="16"/>
        </w:rPr>
        <w:t>Protected areas that are usually large unmodified or slightly modified areas, retaining their natural character and influence, without permanent or significant human habitation, which are protected and managed so as to preserve their natural condition</w:t>
      </w:r>
      <w:r w:rsidRPr="00CE60B2">
        <w:rPr>
          <w:rFonts w:cs="Segoe UI"/>
          <w:szCs w:val="16"/>
        </w:rPr>
        <w:t>.</w:t>
      </w:r>
    </w:p>
    <w:p w14:paraId="26ABCADF" w14:textId="77777777" w:rsidR="006F0056" w:rsidRPr="00CE60B2" w:rsidRDefault="006F0056" w:rsidP="006F0056">
      <w:pPr>
        <w:rPr>
          <w:rFonts w:cs="Segoe UI"/>
          <w:szCs w:val="16"/>
        </w:rPr>
      </w:pPr>
      <w:bookmarkStart w:id="35" w:name="_Toc524952786"/>
      <w:r w:rsidRPr="00CE60B2">
        <w:rPr>
          <w:rFonts w:cs="Segoe UI"/>
          <w:szCs w:val="16"/>
        </w:rPr>
        <w:t xml:space="preserve">The IUCN Protected Areas Category Ib: Wilderness Area is reported through the CAPAD. </w:t>
      </w:r>
      <w:r w:rsidR="00B83939">
        <w:rPr>
          <w:rFonts w:cs="Segoe UI"/>
          <w:szCs w:val="16"/>
        </w:rPr>
        <w:t>There are no IUCN Wilderness Areas within the WA</w:t>
      </w:r>
      <w:r w:rsidR="00E23EED">
        <w:rPr>
          <w:rFonts w:cs="Segoe UI"/>
          <w:szCs w:val="16"/>
        </w:rPr>
        <w:t> </w:t>
      </w:r>
      <w:r w:rsidR="00B83939">
        <w:rPr>
          <w:rFonts w:cs="Segoe UI"/>
          <w:szCs w:val="16"/>
        </w:rPr>
        <w:t>RFA region.</w:t>
      </w:r>
      <w:r w:rsidRPr="00CE60B2">
        <w:rPr>
          <w:rFonts w:cs="Segoe UI"/>
          <w:szCs w:val="16"/>
        </w:rPr>
        <w:t xml:space="preserve"> </w:t>
      </w:r>
    </w:p>
    <w:p w14:paraId="26ABCAE0" w14:textId="77777777" w:rsidR="00AF064B" w:rsidRPr="00CE60B2" w:rsidRDefault="000A7214" w:rsidP="00D15AAD">
      <w:pPr>
        <w:pStyle w:val="Heading3"/>
        <w:rPr>
          <w:lang w:eastAsia="en-AU"/>
        </w:rPr>
      </w:pPr>
      <w:bookmarkStart w:id="36" w:name="_Toc2776031"/>
      <w:r w:rsidRPr="00CE60B2">
        <w:rPr>
          <w:lang w:eastAsia="en-AU"/>
        </w:rPr>
        <w:t>E</w:t>
      </w:r>
      <w:r w:rsidR="00AF064B" w:rsidRPr="00CE60B2">
        <w:rPr>
          <w:lang w:eastAsia="en-AU"/>
        </w:rPr>
        <w:t>ndangered species values</w:t>
      </w:r>
      <w:bookmarkEnd w:id="35"/>
      <w:bookmarkEnd w:id="36"/>
    </w:p>
    <w:p w14:paraId="26ABCAE1" w14:textId="77777777" w:rsidR="00636977" w:rsidRDefault="00636977" w:rsidP="00636977">
      <w:r>
        <w:t xml:space="preserve">According to the </w:t>
      </w:r>
      <w:r>
        <w:rPr>
          <w:i/>
          <w:iCs/>
        </w:rPr>
        <w:t xml:space="preserve">National Forest Policy Statement </w:t>
      </w:r>
      <w:r>
        <w:t>(</w:t>
      </w:r>
      <w:r w:rsidRPr="00587028">
        <w:t>1992)</w:t>
      </w:r>
      <w:r>
        <w:t xml:space="preserve">, endangered species are species of animals or plants that are at risk of extinction and whose survival is unlikely if the causal factors continue </w:t>
      </w:r>
      <w:r w:rsidRPr="00587028">
        <w:t>operating (Commonwealth of Australia 1992).</w:t>
      </w:r>
      <w:r>
        <w:t xml:space="preserve"> Included are species whose numbers have been reduced to a critical level or whose habitats have been reduced </w:t>
      </w:r>
      <w:r w:rsidR="00F804E2">
        <w:t xml:space="preserve">so </w:t>
      </w:r>
      <w:r>
        <w:t>that the species are</w:t>
      </w:r>
      <w:r w:rsidR="00AE7593">
        <w:t xml:space="preserve"> now</w:t>
      </w:r>
      <w:r>
        <w:t xml:space="preserve"> deemed to be in danger of extinction. Also included are species that are possibly already extinct but have definitely been seen in the wild in the past fifty years and have not been subject to recent thorough searching. </w:t>
      </w:r>
    </w:p>
    <w:p w14:paraId="26ABCAE2" w14:textId="77777777" w:rsidR="00636977" w:rsidRPr="00374166" w:rsidRDefault="00CE6A21" w:rsidP="00636977">
      <w:r>
        <w:t>Under the WA </w:t>
      </w:r>
      <w:r w:rsidR="00636977">
        <w:t xml:space="preserve">RFA, endangered species were included in the list of threatened flora and fauna. It </w:t>
      </w:r>
      <w:r>
        <w:t>is proposed that an extended WA </w:t>
      </w:r>
      <w:r w:rsidR="00636977">
        <w:t xml:space="preserve">RFA will have new terminology: ‘Listed Species and Communities’. This is defined as species and communities listed in accordance with Part 13 of the </w:t>
      </w:r>
      <w:r>
        <w:rPr>
          <w:iCs/>
        </w:rPr>
        <w:t>EPBC </w:t>
      </w:r>
      <w:r w:rsidR="00636977" w:rsidRPr="00BB4A05">
        <w:rPr>
          <w:iCs/>
        </w:rPr>
        <w:t>Act</w:t>
      </w:r>
      <w:r w:rsidR="00636977">
        <w:t>, including threatened species, ecological communities, migratory species and other listed cate</w:t>
      </w:r>
      <w:r w:rsidR="00636977" w:rsidRPr="00BB4A05">
        <w:t xml:space="preserve">gories, or threatened species and communities listed under the </w:t>
      </w:r>
      <w:r w:rsidRPr="00FC3853">
        <w:rPr>
          <w:i/>
        </w:rPr>
        <w:t>Wildlife Conservation Act 1950</w:t>
      </w:r>
      <w:r>
        <w:rPr>
          <w:i/>
        </w:rPr>
        <w:t xml:space="preserve"> </w:t>
      </w:r>
      <w:r w:rsidRPr="00CE6A21">
        <w:t>(WA) (WC </w:t>
      </w:r>
      <w:r w:rsidR="00636977" w:rsidRPr="00CE6A21">
        <w:t>Act</w:t>
      </w:r>
      <w:r w:rsidRPr="00CE6A21">
        <w:t>)</w:t>
      </w:r>
      <w:r>
        <w:t xml:space="preserve"> or subsequent </w:t>
      </w:r>
      <w:r>
        <w:rPr>
          <w:i/>
          <w:color w:val="333333"/>
          <w:lang w:val="en-GB"/>
        </w:rPr>
        <w:t>Biodiversity Conservation Act </w:t>
      </w:r>
      <w:r w:rsidRPr="00CE6A21">
        <w:rPr>
          <w:i/>
          <w:color w:val="333333"/>
          <w:lang w:val="en-GB"/>
        </w:rPr>
        <w:t>2016</w:t>
      </w:r>
      <w:r>
        <w:t xml:space="preserve"> (WA) (BC Act)</w:t>
      </w:r>
      <w:r w:rsidR="00636977" w:rsidRPr="00BB4A05">
        <w:t xml:space="preserve">. </w:t>
      </w:r>
      <w:r w:rsidR="00636977">
        <w:t xml:space="preserve">Listed species (or threatened species) in this assessment will encompass ‘endangered species’, which are specifically referred to as part of ‘environmental values’ in para (a)(j) of the definition of ‘RFA’ in the </w:t>
      </w:r>
      <w:r w:rsidR="00636977" w:rsidRPr="00BB4A05">
        <w:rPr>
          <w:iCs/>
        </w:rPr>
        <w:t>RFA Act</w:t>
      </w:r>
      <w:r w:rsidR="00636977">
        <w:t xml:space="preserve">. However, the concept of ‘listed species’ is broader than the meaning of endangered species as defined in the </w:t>
      </w:r>
      <w:r w:rsidR="00636977">
        <w:rPr>
          <w:i/>
          <w:iCs/>
        </w:rPr>
        <w:t xml:space="preserve">National Forest </w:t>
      </w:r>
      <w:r w:rsidR="00636977">
        <w:rPr>
          <w:i/>
          <w:iCs/>
        </w:rPr>
        <w:lastRenderedPageBreak/>
        <w:t xml:space="preserve">Policy Statement </w:t>
      </w:r>
      <w:r w:rsidR="00636977">
        <w:t xml:space="preserve">as it includes extinct, extinct in the wild, critically endangered, endangered, vulnerable and conservation dependent categories. Listed threatened species and ecological communities are Matters of National Environmental Significance </w:t>
      </w:r>
      <w:r w:rsidR="00C9181A">
        <w:t xml:space="preserve">(MNES) </w:t>
      </w:r>
      <w:r w:rsidR="00636977">
        <w:t>under the EPBC Act.</w:t>
      </w:r>
    </w:p>
    <w:p w14:paraId="26ABCAE3" w14:textId="77777777" w:rsidR="00AB7488" w:rsidRPr="00CE60B2" w:rsidRDefault="00AB7488" w:rsidP="00D15AAD">
      <w:pPr>
        <w:pStyle w:val="Heading4"/>
        <w:rPr>
          <w:rFonts w:cs="Segoe UI"/>
        </w:rPr>
      </w:pPr>
      <w:r w:rsidRPr="00CE60B2">
        <w:rPr>
          <w:rFonts w:cs="Segoe UI"/>
        </w:rPr>
        <w:t xml:space="preserve">National Legislation protecting Listed Species and Communities </w:t>
      </w:r>
    </w:p>
    <w:p w14:paraId="26ABCAE4" w14:textId="77777777" w:rsidR="00AB7488" w:rsidRPr="00CE60B2" w:rsidRDefault="00702DC9" w:rsidP="00AB7488">
      <w:pPr>
        <w:rPr>
          <w:rFonts w:cs="Segoe UI"/>
        </w:rPr>
      </w:pPr>
      <w:r>
        <w:rPr>
          <w:rFonts w:cs="Segoe UI"/>
        </w:rPr>
        <w:t>T</w:t>
      </w:r>
      <w:r w:rsidR="00AB7488" w:rsidRPr="00CE60B2">
        <w:rPr>
          <w:rFonts w:cs="Segoe UI"/>
        </w:rPr>
        <w:t xml:space="preserve">he </w:t>
      </w:r>
      <w:r w:rsidR="00435758" w:rsidRPr="00CE60B2">
        <w:rPr>
          <w:rFonts w:cs="Segoe UI"/>
        </w:rPr>
        <w:t xml:space="preserve">WA </w:t>
      </w:r>
      <w:r w:rsidR="00AB7488" w:rsidRPr="00CE60B2">
        <w:rPr>
          <w:rFonts w:cs="Segoe UI"/>
        </w:rPr>
        <w:t>RFA</w:t>
      </w:r>
      <w:r w:rsidR="00435758" w:rsidRPr="00CE60B2">
        <w:rPr>
          <w:rFonts w:cs="Segoe UI"/>
        </w:rPr>
        <w:t xml:space="preserve"> </w:t>
      </w:r>
      <w:r w:rsidR="00AB7488" w:rsidRPr="00CE60B2">
        <w:rPr>
          <w:rFonts w:cs="Segoe UI"/>
        </w:rPr>
        <w:t>w</w:t>
      </w:r>
      <w:r w:rsidR="00435758" w:rsidRPr="00CE60B2">
        <w:rPr>
          <w:rFonts w:cs="Segoe UI"/>
        </w:rPr>
        <w:t>as</w:t>
      </w:r>
      <w:r w:rsidR="00AB7488" w:rsidRPr="00CE60B2">
        <w:rPr>
          <w:rFonts w:cs="Segoe UI"/>
        </w:rPr>
        <w:t xml:space="preserve"> signed</w:t>
      </w:r>
      <w:r>
        <w:rPr>
          <w:rFonts w:cs="Segoe UI"/>
        </w:rPr>
        <w:t xml:space="preserve"> prior</w:t>
      </w:r>
      <w:r w:rsidR="00574B1D">
        <w:rPr>
          <w:rFonts w:cs="Segoe UI"/>
        </w:rPr>
        <w:t xml:space="preserve"> to the</w:t>
      </w:r>
      <w:r w:rsidR="00AB7488" w:rsidRPr="00CE60B2">
        <w:rPr>
          <w:rFonts w:cs="Segoe UI"/>
        </w:rPr>
        <w:t xml:space="preserve"> new Commonwealth </w:t>
      </w:r>
      <w:r w:rsidR="00851CC5" w:rsidRPr="00CE60B2">
        <w:rPr>
          <w:rFonts w:cs="Segoe UI"/>
        </w:rPr>
        <w:t>environmental</w:t>
      </w:r>
      <w:r w:rsidR="00AB7488" w:rsidRPr="00CE60B2">
        <w:rPr>
          <w:rFonts w:cs="Segoe UI"/>
        </w:rPr>
        <w:t xml:space="preserve"> legislation </w:t>
      </w:r>
      <w:r w:rsidR="00574B1D">
        <w:rPr>
          <w:rFonts w:cs="Segoe UI"/>
        </w:rPr>
        <w:t xml:space="preserve">that </w:t>
      </w:r>
      <w:r w:rsidR="00AB7488" w:rsidRPr="00CE60B2">
        <w:rPr>
          <w:rFonts w:cs="Segoe UI"/>
        </w:rPr>
        <w:t xml:space="preserve">came into force </w:t>
      </w:r>
      <w:r w:rsidR="002D56EB">
        <w:rPr>
          <w:rFonts w:cs="Segoe UI"/>
        </w:rPr>
        <w:t>and</w:t>
      </w:r>
      <w:r w:rsidR="002D56EB" w:rsidRPr="00CE60B2">
        <w:rPr>
          <w:rFonts w:cs="Segoe UI"/>
        </w:rPr>
        <w:t xml:space="preserve"> changed</w:t>
      </w:r>
      <w:r w:rsidR="00AB7488" w:rsidRPr="00CE60B2">
        <w:rPr>
          <w:rFonts w:cs="Segoe UI"/>
        </w:rPr>
        <w:t xml:space="preserve"> the definition and assessment of threatened species at the national level. The</w:t>
      </w:r>
      <w:r w:rsidR="00AB7488" w:rsidRPr="00CE60B2">
        <w:rPr>
          <w:rFonts w:cs="Segoe UI"/>
          <w:i/>
        </w:rPr>
        <w:t xml:space="preserve"> </w:t>
      </w:r>
      <w:r w:rsidR="00AB7488" w:rsidRPr="00CE60B2">
        <w:rPr>
          <w:rFonts w:cs="Segoe UI"/>
        </w:rPr>
        <w:t>EPBC Act protects Australia’s native species and ecological communities by providing for the:</w:t>
      </w:r>
    </w:p>
    <w:p w14:paraId="26ABCAE5" w14:textId="77777777" w:rsidR="00AB7488" w:rsidRPr="00CE60B2" w:rsidRDefault="00AB7488" w:rsidP="00C903EE">
      <w:pPr>
        <w:pStyle w:val="ListParagraph"/>
        <w:numPr>
          <w:ilvl w:val="0"/>
          <w:numId w:val="19"/>
        </w:numPr>
        <w:rPr>
          <w:rFonts w:cs="Segoe UI"/>
        </w:rPr>
      </w:pPr>
      <w:r w:rsidRPr="00CE60B2">
        <w:rPr>
          <w:rFonts w:cs="Segoe UI"/>
        </w:rPr>
        <w:t>identification and listing of threatened species and ecological communities</w:t>
      </w:r>
    </w:p>
    <w:p w14:paraId="26ABCAE6" w14:textId="77777777" w:rsidR="00AB7488" w:rsidRPr="00CE60B2" w:rsidRDefault="00AB7488" w:rsidP="00C903EE">
      <w:pPr>
        <w:pStyle w:val="ListParagraph"/>
        <w:numPr>
          <w:ilvl w:val="0"/>
          <w:numId w:val="19"/>
        </w:numPr>
        <w:rPr>
          <w:rFonts w:cs="Segoe UI"/>
        </w:rPr>
      </w:pPr>
      <w:r w:rsidRPr="00CE60B2">
        <w:rPr>
          <w:rFonts w:cs="Segoe UI"/>
        </w:rPr>
        <w:t>development of conservation advice and, where appropriate, recovery plans for listed species and ecological communities</w:t>
      </w:r>
    </w:p>
    <w:p w14:paraId="26ABCAE7" w14:textId="77777777" w:rsidR="00AB7488" w:rsidRPr="00CE60B2" w:rsidRDefault="00AB7488" w:rsidP="00C903EE">
      <w:pPr>
        <w:pStyle w:val="ListParagraph"/>
        <w:numPr>
          <w:ilvl w:val="0"/>
          <w:numId w:val="19"/>
        </w:numPr>
        <w:rPr>
          <w:rFonts w:cs="Segoe UI"/>
        </w:rPr>
      </w:pPr>
      <w:r w:rsidRPr="00CE60B2">
        <w:rPr>
          <w:rFonts w:cs="Segoe UI"/>
        </w:rPr>
        <w:t xml:space="preserve">development of a register of critical habitat identification </w:t>
      </w:r>
    </w:p>
    <w:p w14:paraId="26ABCAE8" w14:textId="77777777" w:rsidR="00AB7488" w:rsidRPr="00CE60B2" w:rsidRDefault="00AB7488" w:rsidP="00C903EE">
      <w:pPr>
        <w:pStyle w:val="ListParagraph"/>
        <w:numPr>
          <w:ilvl w:val="0"/>
          <w:numId w:val="19"/>
        </w:numPr>
        <w:rPr>
          <w:rFonts w:cs="Segoe UI"/>
        </w:rPr>
      </w:pPr>
      <w:r w:rsidRPr="00CE60B2">
        <w:rPr>
          <w:rFonts w:cs="Segoe UI"/>
        </w:rPr>
        <w:t>recognition of key threatening processes</w:t>
      </w:r>
    </w:p>
    <w:p w14:paraId="26ABCAE9" w14:textId="77777777" w:rsidR="005B5082" w:rsidRPr="00CE60B2" w:rsidRDefault="00AB7488" w:rsidP="00C903EE">
      <w:pPr>
        <w:pStyle w:val="ListParagraph"/>
        <w:numPr>
          <w:ilvl w:val="0"/>
          <w:numId w:val="19"/>
        </w:numPr>
        <w:rPr>
          <w:rFonts w:cs="Segoe UI"/>
        </w:rPr>
      </w:pPr>
      <w:r w:rsidRPr="00CE60B2">
        <w:rPr>
          <w:rFonts w:cs="Segoe UI"/>
        </w:rPr>
        <w:t>development of threat abatement plans where appropriate</w:t>
      </w:r>
      <w:r w:rsidR="000A7214" w:rsidRPr="00CE60B2">
        <w:rPr>
          <w:rFonts w:cs="Segoe UI"/>
        </w:rPr>
        <w:t xml:space="preserve"> </w:t>
      </w:r>
    </w:p>
    <w:p w14:paraId="26ABCAEA" w14:textId="77777777" w:rsidR="00AB7488" w:rsidRPr="00CE60B2" w:rsidRDefault="005B5082" w:rsidP="00C903EE">
      <w:pPr>
        <w:pStyle w:val="ListParagraph"/>
        <w:numPr>
          <w:ilvl w:val="0"/>
          <w:numId w:val="19"/>
        </w:numPr>
        <w:rPr>
          <w:rFonts w:cs="Segoe UI"/>
        </w:rPr>
      </w:pPr>
      <w:r w:rsidRPr="00CE60B2">
        <w:rPr>
          <w:rFonts w:cs="Segoe UI"/>
        </w:rPr>
        <w:t>implementation of environmental impact assessment processes for proposed actions with significant impacts to listed threatened species and ecological communities</w:t>
      </w:r>
      <w:r w:rsidR="00AB7488" w:rsidRPr="00CE60B2">
        <w:rPr>
          <w:rFonts w:cs="Segoe UI"/>
        </w:rPr>
        <w:t xml:space="preserve">. </w:t>
      </w:r>
    </w:p>
    <w:p w14:paraId="26ABCAEB" w14:textId="77777777" w:rsidR="00AB7488" w:rsidRPr="00CE60B2" w:rsidRDefault="00AB7488" w:rsidP="00D15AAD">
      <w:pPr>
        <w:pStyle w:val="Heading5"/>
        <w:rPr>
          <w:rFonts w:cs="Segoe UI"/>
        </w:rPr>
      </w:pPr>
      <w:r w:rsidRPr="00CE60B2">
        <w:rPr>
          <w:rFonts w:cs="Segoe UI"/>
        </w:rPr>
        <w:t xml:space="preserve">Listing and protection processes </w:t>
      </w:r>
    </w:p>
    <w:p w14:paraId="26ABCAEC" w14:textId="77777777" w:rsidR="00AB7488" w:rsidRPr="00CE60B2" w:rsidRDefault="001C426E" w:rsidP="00AB7488">
      <w:pPr>
        <w:rPr>
          <w:rFonts w:cs="Segoe UI"/>
        </w:rPr>
      </w:pPr>
      <w:r w:rsidRPr="00CE60B2">
        <w:rPr>
          <w:rFonts w:cs="Segoe UI"/>
        </w:rPr>
        <w:t xml:space="preserve">Listing species or ecological communities recognises their long–term survival is under threat. </w:t>
      </w:r>
      <w:r w:rsidR="00AB7488" w:rsidRPr="00CE60B2">
        <w:rPr>
          <w:rFonts w:cs="Segoe UI"/>
        </w:rPr>
        <w:t xml:space="preserve">The national listing of species and ecological communities follows a rigorous scientific assessment process and involves consultation with stakeholders including scientific experts and the public. Advice on the eligibility of a species or ecological community for listing is provided to the Minister by the independent Threatened Species Scientific Committee. </w:t>
      </w:r>
    </w:p>
    <w:p w14:paraId="26ABCAED" w14:textId="77777777" w:rsidR="00AB7488" w:rsidRPr="00CE60B2" w:rsidRDefault="00AB7488" w:rsidP="00AB7488">
      <w:pPr>
        <w:rPr>
          <w:rFonts w:cs="Segoe UI"/>
        </w:rPr>
      </w:pPr>
      <w:r w:rsidRPr="00CE60B2">
        <w:rPr>
          <w:rFonts w:cs="Segoe UI"/>
        </w:rPr>
        <w:t xml:space="preserve">Once listed a threatened species and ecological community is recognised as a matter of national environmental significance and </w:t>
      </w:r>
      <w:r w:rsidR="00347F4E" w:rsidRPr="00CE60B2">
        <w:rPr>
          <w:rFonts w:cs="Segoe UI"/>
        </w:rPr>
        <w:t>must be considered in</w:t>
      </w:r>
      <w:r w:rsidRPr="00CE60B2">
        <w:rPr>
          <w:rFonts w:cs="Segoe UI"/>
        </w:rPr>
        <w:t xml:space="preserve"> the EPBC Act’s assessment and approval provisions. </w:t>
      </w:r>
    </w:p>
    <w:p w14:paraId="26ABCAEE" w14:textId="77777777" w:rsidR="00AB7488" w:rsidRPr="00CE60B2" w:rsidRDefault="00AB7488" w:rsidP="00D15AAD">
      <w:pPr>
        <w:pStyle w:val="Heading5"/>
        <w:rPr>
          <w:rFonts w:cs="Segoe UI"/>
        </w:rPr>
      </w:pPr>
      <w:r w:rsidRPr="00CE60B2">
        <w:rPr>
          <w:rFonts w:cs="Segoe UI"/>
        </w:rPr>
        <w:t xml:space="preserve">Conservation advice and recovery plans </w:t>
      </w:r>
    </w:p>
    <w:p w14:paraId="26ABCAEF" w14:textId="77777777" w:rsidR="00AB7488" w:rsidRPr="00CE60B2" w:rsidRDefault="004262DF" w:rsidP="00AB7488">
      <w:pPr>
        <w:rPr>
          <w:rFonts w:cs="Segoe UI"/>
        </w:rPr>
      </w:pPr>
      <w:r w:rsidRPr="00CE60B2">
        <w:rPr>
          <w:rFonts w:cs="Segoe UI"/>
        </w:rPr>
        <w:t xml:space="preserve">Since 2007, </w:t>
      </w:r>
      <w:r w:rsidR="00AB7488" w:rsidRPr="00CE60B2">
        <w:rPr>
          <w:rFonts w:cs="Segoe UI"/>
        </w:rPr>
        <w:t>conservation advice is required at the time of listing a threatened species or ecological community. Conservation advices outline the eligibility for listing, and immediate priorities for conservation, research and recovery</w:t>
      </w:r>
      <w:r w:rsidR="002C06ED" w:rsidRPr="00CE60B2">
        <w:rPr>
          <w:rFonts w:cs="Segoe UI"/>
        </w:rPr>
        <w:t xml:space="preserve"> (Department of the Environment and Energy, 2018)</w:t>
      </w:r>
      <w:r w:rsidR="00AB7488" w:rsidRPr="00CE60B2">
        <w:rPr>
          <w:rFonts w:cs="Segoe UI"/>
        </w:rPr>
        <w:t xml:space="preserve">. </w:t>
      </w:r>
    </w:p>
    <w:p w14:paraId="26ABCAF0" w14:textId="77777777" w:rsidR="00AB7488" w:rsidRPr="00CE60B2" w:rsidRDefault="00AB7488" w:rsidP="00AB7488">
      <w:pPr>
        <w:rPr>
          <w:rFonts w:cs="Segoe UI"/>
        </w:rPr>
      </w:pPr>
      <w:r w:rsidRPr="00CE60B2">
        <w:rPr>
          <w:rFonts w:cs="Segoe UI"/>
        </w:rPr>
        <w:t xml:space="preserve">For some species and ecological communities, a more comprehensive recovery plan may also be developed to guide recovery action. Recovery plans set out the research and management actions that are necessary to stop the decline of, and support the recovery of, listed threatened species and ecological communities, </w:t>
      </w:r>
      <w:r w:rsidR="002C06ED" w:rsidRPr="00CE60B2">
        <w:rPr>
          <w:rFonts w:cs="Segoe UI"/>
        </w:rPr>
        <w:t>(Department of the Environment and Energy, 2018a)</w:t>
      </w:r>
      <w:r w:rsidRPr="00CE60B2">
        <w:rPr>
          <w:rFonts w:cs="Segoe UI"/>
        </w:rPr>
        <w:t xml:space="preserve">. The aim of a recovery plan is to </w:t>
      </w:r>
      <w:r w:rsidR="00347F4E" w:rsidRPr="00CE60B2">
        <w:rPr>
          <w:rFonts w:cs="Segoe UI"/>
        </w:rPr>
        <w:t>assist</w:t>
      </w:r>
      <w:r w:rsidRPr="00CE60B2">
        <w:rPr>
          <w:rFonts w:cs="Segoe UI"/>
        </w:rPr>
        <w:t xml:space="preserve"> the long-term survival in its natural environment of the s</w:t>
      </w:r>
      <w:r w:rsidR="00E00AE6" w:rsidRPr="00CE60B2">
        <w:rPr>
          <w:rFonts w:cs="Segoe UI"/>
        </w:rPr>
        <w:t>pecies or ecological community.</w:t>
      </w:r>
    </w:p>
    <w:p w14:paraId="26ABCAF1" w14:textId="77777777" w:rsidR="00AB7488" w:rsidRPr="00CE60B2" w:rsidRDefault="00AB7488" w:rsidP="005D4FC0">
      <w:pPr>
        <w:pStyle w:val="Heading5"/>
      </w:pPr>
      <w:r w:rsidRPr="00CE60B2">
        <w:t xml:space="preserve">Key threatening processes and threat abatement plans </w:t>
      </w:r>
    </w:p>
    <w:p w14:paraId="26ABCAF2" w14:textId="77777777" w:rsidR="00AB7488" w:rsidRPr="00CE60B2" w:rsidRDefault="00AB7488" w:rsidP="00AB7488">
      <w:pPr>
        <w:rPr>
          <w:rFonts w:cs="Segoe UI"/>
        </w:rPr>
      </w:pPr>
      <w:r w:rsidRPr="00CE60B2">
        <w:rPr>
          <w:rFonts w:cs="Segoe UI"/>
        </w:rPr>
        <w:t xml:space="preserve">The listing process for key threatening processes is similar to the listing of species and ecological communities. A listed key threatening process is not a matter of national environmental significance. Once a key threatening process is listed under the EPBC Act, a threat abatement plan is developed if it is shown to be a ‘feasible, effective and efficient way’ </w:t>
      </w:r>
      <w:r w:rsidRPr="00CE60B2">
        <w:rPr>
          <w:rFonts w:cs="Segoe UI"/>
        </w:rPr>
        <w:lastRenderedPageBreak/>
        <w:t>to abate the threatening process.  Threat abatement plans provide for the research, management, and any other actions necessary to reduce the impact of a listed key threatening process on native species and ecological communities.</w:t>
      </w:r>
    </w:p>
    <w:p w14:paraId="26ABCAF3" w14:textId="77777777" w:rsidR="00AB7488" w:rsidRPr="00CE60B2" w:rsidRDefault="00AB7488" w:rsidP="00AB7488">
      <w:pPr>
        <w:rPr>
          <w:rFonts w:cs="Segoe UI"/>
        </w:rPr>
      </w:pPr>
      <w:r w:rsidRPr="00CE60B2">
        <w:rPr>
          <w:rFonts w:cs="Segoe UI"/>
        </w:rPr>
        <w:t>As with recovery plans, a threat aba</w:t>
      </w:r>
      <w:r w:rsidR="00813F2B" w:rsidRPr="00CE60B2">
        <w:rPr>
          <w:rFonts w:cs="Segoe UI"/>
        </w:rPr>
        <w:t>tement plan can be made by the M</w:t>
      </w:r>
      <w:r w:rsidRPr="00CE60B2">
        <w:rPr>
          <w:rFonts w:cs="Segoe UI"/>
        </w:rPr>
        <w:t xml:space="preserve">inister alone or jointly with relevant states and territories, or the </w:t>
      </w:r>
      <w:r w:rsidR="001C426E">
        <w:rPr>
          <w:rFonts w:cs="Segoe UI"/>
        </w:rPr>
        <w:t>M</w:t>
      </w:r>
      <w:r w:rsidRPr="00CE60B2">
        <w:rPr>
          <w:rFonts w:cs="Segoe UI"/>
        </w:rPr>
        <w:t>inister can adopt a state or territory plan. Before a plan is made or adopted, there must be public consultation and advice from the Threatened Species Scientific Committee about the plan.</w:t>
      </w:r>
    </w:p>
    <w:p w14:paraId="26ABCAF4" w14:textId="77777777" w:rsidR="00AB7488" w:rsidRPr="00CE60B2" w:rsidRDefault="00AB7488" w:rsidP="00D15AAD">
      <w:pPr>
        <w:pStyle w:val="Heading5"/>
        <w:rPr>
          <w:rFonts w:cs="Segoe UI"/>
        </w:rPr>
      </w:pPr>
      <w:r w:rsidRPr="00CE60B2">
        <w:rPr>
          <w:rFonts w:cs="Segoe UI"/>
        </w:rPr>
        <w:t xml:space="preserve">Interaction between the </w:t>
      </w:r>
      <w:r w:rsidR="00785E22" w:rsidRPr="00CE60B2">
        <w:rPr>
          <w:rFonts w:cs="Segoe UI"/>
        </w:rPr>
        <w:t>RFA</w:t>
      </w:r>
      <w:r w:rsidRPr="00CE60B2">
        <w:rPr>
          <w:rFonts w:cs="Segoe UI"/>
        </w:rPr>
        <w:t xml:space="preserve"> and the EPBC Act</w:t>
      </w:r>
    </w:p>
    <w:p w14:paraId="26ABCAF5" w14:textId="77777777" w:rsidR="00AB7488" w:rsidRPr="00CE60B2" w:rsidRDefault="00354333" w:rsidP="00AB7488">
      <w:pPr>
        <w:rPr>
          <w:rFonts w:cs="Segoe UI"/>
        </w:rPr>
      </w:pPr>
      <w:r>
        <w:rPr>
          <w:rFonts w:cs="Segoe UI"/>
        </w:rPr>
        <w:t>Consistent</w:t>
      </w:r>
      <w:r w:rsidR="00C76948" w:rsidRPr="00CE60B2">
        <w:rPr>
          <w:rFonts w:cs="Segoe UI"/>
        </w:rPr>
        <w:t xml:space="preserve"> with </w:t>
      </w:r>
      <w:r>
        <w:rPr>
          <w:rFonts w:cs="Segoe UI"/>
        </w:rPr>
        <w:t>the objectives of</w:t>
      </w:r>
      <w:r w:rsidR="00C76948" w:rsidRPr="00CE60B2">
        <w:rPr>
          <w:rFonts w:cs="Segoe UI"/>
        </w:rPr>
        <w:t xml:space="preserve"> t</w:t>
      </w:r>
      <w:r w:rsidR="00AB7488" w:rsidRPr="00CE60B2">
        <w:rPr>
          <w:rFonts w:cs="Segoe UI"/>
        </w:rPr>
        <w:t>he EPBC Act</w:t>
      </w:r>
      <w:r>
        <w:rPr>
          <w:rFonts w:cs="Segoe UI"/>
        </w:rPr>
        <w:t xml:space="preserve">, </w:t>
      </w:r>
      <w:r w:rsidR="007B5035">
        <w:rPr>
          <w:rFonts w:cs="Segoe UI"/>
        </w:rPr>
        <w:t xml:space="preserve">the </w:t>
      </w:r>
      <w:r>
        <w:rPr>
          <w:rFonts w:cs="Segoe UI"/>
        </w:rPr>
        <w:t>RFA</w:t>
      </w:r>
      <w:r w:rsidR="00AB7488" w:rsidRPr="00CE60B2">
        <w:rPr>
          <w:rFonts w:cs="Segoe UI"/>
        </w:rPr>
        <w:t xml:space="preserve"> provide</w:t>
      </w:r>
      <w:r w:rsidR="007B5035">
        <w:rPr>
          <w:rFonts w:cs="Segoe UI"/>
        </w:rPr>
        <w:t>s</w:t>
      </w:r>
      <w:r w:rsidR="00AB7488" w:rsidRPr="00CE60B2">
        <w:rPr>
          <w:rFonts w:cs="Segoe UI"/>
        </w:rPr>
        <w:t xml:space="preserve"> for protection of the environment; promote</w:t>
      </w:r>
      <w:r w:rsidR="007B5035">
        <w:rPr>
          <w:rFonts w:cs="Segoe UI"/>
        </w:rPr>
        <w:t>s</w:t>
      </w:r>
      <w:r w:rsidR="00AB7488" w:rsidRPr="00CE60B2">
        <w:rPr>
          <w:rFonts w:cs="Segoe UI"/>
        </w:rPr>
        <w:t xml:space="preserve"> ecologically sustainable development; promote</w:t>
      </w:r>
      <w:r w:rsidR="007B5035">
        <w:rPr>
          <w:rFonts w:cs="Segoe UI"/>
        </w:rPr>
        <w:t>s</w:t>
      </w:r>
      <w:r w:rsidR="00AB7488" w:rsidRPr="00CE60B2">
        <w:rPr>
          <w:rFonts w:cs="Segoe UI"/>
        </w:rPr>
        <w:t xml:space="preserve"> the conservation of biodiversity; and provide</w:t>
      </w:r>
      <w:r w:rsidR="007B5035">
        <w:rPr>
          <w:rFonts w:cs="Segoe UI"/>
        </w:rPr>
        <w:t>s</w:t>
      </w:r>
      <w:r w:rsidR="00AB7488" w:rsidRPr="00CE60B2">
        <w:rPr>
          <w:rFonts w:cs="Segoe UI"/>
        </w:rPr>
        <w:t xml:space="preserve"> for the protection of heritage. </w:t>
      </w:r>
    </w:p>
    <w:p w14:paraId="26ABCAF6" w14:textId="77777777" w:rsidR="00AB7488" w:rsidRPr="00CE60B2" w:rsidRDefault="00AB7488" w:rsidP="00AB7488">
      <w:pPr>
        <w:rPr>
          <w:rFonts w:cs="Segoe UI"/>
        </w:rPr>
      </w:pPr>
      <w:r w:rsidRPr="00CE60B2">
        <w:rPr>
          <w:rFonts w:cs="Segoe UI"/>
        </w:rPr>
        <w:t xml:space="preserve">Section 38 of the EPBC Act streamlines forest planning processes by exempting forest operations in </w:t>
      </w:r>
      <w:r w:rsidR="00851CC5" w:rsidRPr="00CE60B2">
        <w:rPr>
          <w:rFonts w:cs="Segoe UI"/>
        </w:rPr>
        <w:t xml:space="preserve">RFA </w:t>
      </w:r>
      <w:r w:rsidR="001566C6" w:rsidRPr="00CE60B2">
        <w:rPr>
          <w:rFonts w:cs="Segoe UI"/>
        </w:rPr>
        <w:t>areas</w:t>
      </w:r>
      <w:r w:rsidRPr="00CE60B2">
        <w:rPr>
          <w:rFonts w:cs="Segoe UI"/>
        </w:rPr>
        <w:t xml:space="preserve"> from assessment and approval </w:t>
      </w:r>
      <w:r w:rsidR="001C426E">
        <w:rPr>
          <w:rFonts w:cs="Segoe UI"/>
        </w:rPr>
        <w:t xml:space="preserve">processes </w:t>
      </w:r>
      <w:r w:rsidRPr="00CE60B2">
        <w:rPr>
          <w:rFonts w:cs="Segoe UI"/>
        </w:rPr>
        <w:t xml:space="preserve">under the </w:t>
      </w:r>
      <w:r w:rsidR="007F180D">
        <w:rPr>
          <w:rFonts w:cs="Segoe UI"/>
        </w:rPr>
        <w:t>EPBC </w:t>
      </w:r>
      <w:r w:rsidRPr="00CE60B2">
        <w:rPr>
          <w:rFonts w:cs="Segoe UI"/>
        </w:rPr>
        <w:t xml:space="preserve">Act. This means forestry operations that are undertaken in accordance with a RFA do not require approval for the purposes of any </w:t>
      </w:r>
      <w:r w:rsidR="007F180D">
        <w:rPr>
          <w:rFonts w:cs="Segoe UI"/>
        </w:rPr>
        <w:t>provision in Part 3 of the EPBC </w:t>
      </w:r>
      <w:r w:rsidRPr="00CE60B2">
        <w:rPr>
          <w:rFonts w:cs="Segoe UI"/>
        </w:rPr>
        <w:t>Act</w:t>
      </w:r>
      <w:r w:rsidR="004262DF" w:rsidRPr="00CE60B2">
        <w:rPr>
          <w:rFonts w:cs="Segoe UI"/>
        </w:rPr>
        <w:t xml:space="preserve"> (Commonwealth of Australia 1998)</w:t>
      </w:r>
      <w:r w:rsidRPr="00CE60B2">
        <w:rPr>
          <w:rFonts w:cs="Segoe UI"/>
        </w:rPr>
        <w:t>. The rationale</w:t>
      </w:r>
      <w:r w:rsidR="001C426E">
        <w:rPr>
          <w:rFonts w:cs="Segoe UI"/>
        </w:rPr>
        <w:t xml:space="preserve"> for this approach is that </w:t>
      </w:r>
      <w:r w:rsidRPr="00CE60B2">
        <w:rPr>
          <w:rFonts w:cs="Segoe UI"/>
        </w:rPr>
        <w:t xml:space="preserve">the </w:t>
      </w:r>
      <w:r w:rsidR="00851CC5" w:rsidRPr="00CE60B2">
        <w:rPr>
          <w:rFonts w:cs="Segoe UI"/>
        </w:rPr>
        <w:t>EPBC</w:t>
      </w:r>
      <w:r w:rsidR="007F180D">
        <w:rPr>
          <w:rFonts w:cs="Segoe UI"/>
        </w:rPr>
        <w:t> </w:t>
      </w:r>
      <w:r w:rsidRPr="00CE60B2">
        <w:rPr>
          <w:rFonts w:cs="Segoe UI"/>
        </w:rPr>
        <w:t>Act recognises ‘that in each RFA region a comprehensive assessment has been undertaken to address the environmental, economic and social impacts of forestry operations’</w:t>
      </w:r>
      <w:r w:rsidR="004262DF" w:rsidRPr="00CE60B2">
        <w:rPr>
          <w:rFonts w:cs="Segoe UI"/>
        </w:rPr>
        <w:t xml:space="preserve"> (Commonwealth of Australia 1998)</w:t>
      </w:r>
      <w:r w:rsidRPr="00CE60B2">
        <w:rPr>
          <w:rFonts w:cs="Segoe UI"/>
        </w:rPr>
        <w:t xml:space="preserve">. </w:t>
      </w:r>
      <w:r w:rsidR="001C426E" w:rsidRPr="00CE60B2">
        <w:rPr>
          <w:rFonts w:cs="Segoe UI"/>
        </w:rPr>
        <w:t xml:space="preserve">The exception is forestry operations within World Heritage </w:t>
      </w:r>
      <w:r w:rsidR="009775B2">
        <w:rPr>
          <w:rFonts w:cs="Segoe UI"/>
        </w:rPr>
        <w:t xml:space="preserve">properties </w:t>
      </w:r>
      <w:r w:rsidR="001C426E" w:rsidRPr="00CE60B2">
        <w:rPr>
          <w:rFonts w:cs="Segoe UI"/>
        </w:rPr>
        <w:t>or Ramsar wetlands sites, where assessment and approval is required.</w:t>
      </w:r>
    </w:p>
    <w:p w14:paraId="26ABCAF7" w14:textId="77777777" w:rsidR="00AB7488" w:rsidRPr="00CE60B2" w:rsidRDefault="00435758" w:rsidP="00D15AAD">
      <w:pPr>
        <w:pStyle w:val="Heading4"/>
        <w:rPr>
          <w:rFonts w:cs="Segoe UI"/>
        </w:rPr>
      </w:pPr>
      <w:r w:rsidRPr="00CE60B2">
        <w:rPr>
          <w:rFonts w:cs="Segoe UI"/>
        </w:rPr>
        <w:t>WA</w:t>
      </w:r>
      <w:r w:rsidR="00AB7488" w:rsidRPr="00CE60B2">
        <w:rPr>
          <w:rFonts w:cs="Segoe UI"/>
        </w:rPr>
        <w:t xml:space="preserve"> Legislation protecting Listed Species and Communities</w:t>
      </w:r>
    </w:p>
    <w:p w14:paraId="26ABCAF8" w14:textId="77777777" w:rsidR="00C27201" w:rsidRDefault="007F180D" w:rsidP="00483BBF">
      <w:bookmarkStart w:id="37" w:name="_Hlk529625447"/>
      <w:bookmarkStart w:id="38" w:name="_Toc524952787"/>
      <w:r>
        <w:t>At the time the WA </w:t>
      </w:r>
      <w:r w:rsidR="00FC1771">
        <w:t xml:space="preserve">RFA was signed the </w:t>
      </w:r>
      <w:r>
        <w:t>WC </w:t>
      </w:r>
      <w:r w:rsidR="00CE6A21">
        <w:t>Act</w:t>
      </w:r>
      <w:r w:rsidR="00E115AF">
        <w:t xml:space="preserve"> </w:t>
      </w:r>
      <w:r w:rsidR="00941064">
        <w:t xml:space="preserve">and the </w:t>
      </w:r>
      <w:r w:rsidR="00941064" w:rsidRPr="00FC3853">
        <w:rPr>
          <w:i/>
        </w:rPr>
        <w:t>Environmental Protection Act 1986</w:t>
      </w:r>
      <w:r w:rsidR="00941064">
        <w:t xml:space="preserve"> </w:t>
      </w:r>
      <w:r w:rsidR="00810A67">
        <w:t xml:space="preserve">(WA) </w:t>
      </w:r>
      <w:r>
        <w:t>(EP </w:t>
      </w:r>
      <w:r w:rsidR="00941064">
        <w:t>Act) were the key pieces of legislation providing protection for listed species</w:t>
      </w:r>
      <w:r w:rsidR="00C27201">
        <w:t xml:space="preserve"> in WA</w:t>
      </w:r>
      <w:r w:rsidR="00941064">
        <w:t xml:space="preserve">. </w:t>
      </w:r>
      <w:bookmarkEnd w:id="37"/>
      <w:r w:rsidR="003D0F0C">
        <w:t>T</w:t>
      </w:r>
      <w:r w:rsidR="00941064">
        <w:t xml:space="preserve">he BC Act </w:t>
      </w:r>
      <w:r w:rsidR="003D0F0C">
        <w:t xml:space="preserve">and supporting Biodiversity Conservation Regulations 2018 </w:t>
      </w:r>
      <w:r>
        <w:t>will replace the WC </w:t>
      </w:r>
      <w:r w:rsidR="00941064">
        <w:t>Act on 1 Janua</w:t>
      </w:r>
      <w:r w:rsidR="00723112">
        <w:t>r</w:t>
      </w:r>
      <w:r w:rsidR="00941064">
        <w:t>y 2019</w:t>
      </w:r>
      <w:r w:rsidR="003D0F0C">
        <w:t xml:space="preserve"> and provide </w:t>
      </w:r>
      <w:r w:rsidR="00634C95">
        <w:t>a modern and effective approach to biodiversity conservation and the ecologically sustainable use of biodiversity.</w:t>
      </w:r>
    </w:p>
    <w:p w14:paraId="26ABCAF9" w14:textId="77777777" w:rsidR="00E115AF" w:rsidRDefault="007F180D">
      <w:r>
        <w:t>The BC </w:t>
      </w:r>
      <w:r w:rsidR="00941064">
        <w:t>Act</w:t>
      </w:r>
      <w:r w:rsidR="00E115AF">
        <w:t xml:space="preserve"> </w:t>
      </w:r>
      <w:r w:rsidR="00365047">
        <w:t xml:space="preserve">and its associated regulations </w:t>
      </w:r>
      <w:r w:rsidR="00E115AF">
        <w:t>improves on the WC Act in a number of ways including:</w:t>
      </w:r>
    </w:p>
    <w:p w14:paraId="26ABCAFA" w14:textId="77777777" w:rsidR="00365047" w:rsidRDefault="00365047" w:rsidP="00C903EE">
      <w:pPr>
        <w:pStyle w:val="ListParagraph"/>
        <w:numPr>
          <w:ilvl w:val="0"/>
          <w:numId w:val="36"/>
        </w:numPr>
      </w:pPr>
      <w:r>
        <w:t xml:space="preserve">provisions </w:t>
      </w:r>
      <w:r w:rsidR="00E115AF">
        <w:t xml:space="preserve">for </w:t>
      </w:r>
      <w:r>
        <w:t xml:space="preserve">listing threatened species and </w:t>
      </w:r>
      <w:r w:rsidR="00E115AF">
        <w:t>threatened ecological communities</w:t>
      </w:r>
      <w:r>
        <w:t xml:space="preserve"> that are based on the internationally accepted IUCN criteria</w:t>
      </w:r>
      <w:r w:rsidR="00E115AF">
        <w:t>,</w:t>
      </w:r>
    </w:p>
    <w:p w14:paraId="26ABCAFB" w14:textId="77777777" w:rsidR="00E115AF" w:rsidRDefault="002A1D56" w:rsidP="00C903EE">
      <w:pPr>
        <w:pStyle w:val="ListParagraph"/>
        <w:numPr>
          <w:ilvl w:val="0"/>
          <w:numId w:val="36"/>
        </w:numPr>
      </w:pPr>
      <w:r>
        <w:t xml:space="preserve">introducing provisions for listing key </w:t>
      </w:r>
      <w:r w:rsidR="00E115AF">
        <w:t xml:space="preserve">threatening processes, </w:t>
      </w:r>
      <w:r>
        <w:t xml:space="preserve">and </w:t>
      </w:r>
      <w:r w:rsidR="00E115AF">
        <w:t>critical habitats;</w:t>
      </w:r>
    </w:p>
    <w:p w14:paraId="26ABCAFC" w14:textId="77777777" w:rsidR="00E115AF" w:rsidRDefault="00E115AF" w:rsidP="00C903EE">
      <w:pPr>
        <w:pStyle w:val="ListParagraph"/>
        <w:numPr>
          <w:ilvl w:val="0"/>
          <w:numId w:val="36"/>
        </w:numPr>
      </w:pPr>
      <w:r>
        <w:t xml:space="preserve">providing incentives for private and community conservation initiatives, including conservation </w:t>
      </w:r>
      <w:r w:rsidR="00754158">
        <w:t>agreements</w:t>
      </w:r>
      <w:r>
        <w:t xml:space="preserve"> and biodiversity conservation covenants;</w:t>
      </w:r>
    </w:p>
    <w:p w14:paraId="26ABCAFD" w14:textId="77777777" w:rsidR="00E115AF" w:rsidRDefault="00E115AF" w:rsidP="00C903EE">
      <w:pPr>
        <w:pStyle w:val="ListParagraph"/>
        <w:numPr>
          <w:ilvl w:val="0"/>
          <w:numId w:val="36"/>
        </w:numPr>
      </w:pPr>
      <w:r>
        <w:t xml:space="preserve">significantly increasing the protection for </w:t>
      </w:r>
      <w:r w:rsidR="00754158">
        <w:t>threatened</w:t>
      </w:r>
      <w:r>
        <w:t xml:space="preserve"> species </w:t>
      </w:r>
      <w:r w:rsidR="002A1D56">
        <w:t xml:space="preserve">as well as </w:t>
      </w:r>
      <w:r>
        <w:t xml:space="preserve">threatened ecological communities </w:t>
      </w:r>
      <w:r w:rsidR="002A1D56">
        <w:t xml:space="preserve">with significantly increased </w:t>
      </w:r>
      <w:r>
        <w:t>maximum penalties for illegal taking</w:t>
      </w:r>
      <w:r w:rsidR="002A1D56">
        <w:t xml:space="preserve"> of a threatened species, </w:t>
      </w:r>
      <w:r w:rsidR="003D0F0C">
        <w:t>or modif</w:t>
      </w:r>
      <w:r w:rsidR="002A1D56">
        <w:t>ication of a threatened ecological community</w:t>
      </w:r>
      <w:r>
        <w:t>;</w:t>
      </w:r>
    </w:p>
    <w:p w14:paraId="26ABCAFE" w14:textId="77777777" w:rsidR="007C2A96" w:rsidRDefault="002A1D56" w:rsidP="00C903EE">
      <w:pPr>
        <w:pStyle w:val="ListParagraph"/>
        <w:numPr>
          <w:ilvl w:val="0"/>
          <w:numId w:val="36"/>
        </w:numPr>
      </w:pPr>
      <w:r>
        <w:t>provisions for approving, amending and adopting Reco</w:t>
      </w:r>
      <w:r w:rsidR="00112C84">
        <w:t>v</w:t>
      </w:r>
      <w:r>
        <w:t>ery Plans and Interim Recovery Plans; and</w:t>
      </w:r>
      <w:r w:rsidR="007C2A96">
        <w:t xml:space="preserve"> </w:t>
      </w:r>
    </w:p>
    <w:p w14:paraId="26ABCAFF" w14:textId="77777777" w:rsidR="00483BBF" w:rsidRDefault="007C2A96" w:rsidP="00C903EE">
      <w:pPr>
        <w:pStyle w:val="ListParagraph"/>
        <w:numPr>
          <w:ilvl w:val="0"/>
          <w:numId w:val="36"/>
        </w:numPr>
      </w:pPr>
      <w:r>
        <w:t>minimising superfluous regulation and avoiding regulation where non</w:t>
      </w:r>
      <w:r w:rsidR="003D0F0C">
        <w:t>-</w:t>
      </w:r>
      <w:r>
        <w:t>regulatory processes are adequate.</w:t>
      </w:r>
    </w:p>
    <w:p w14:paraId="26ABCB00" w14:textId="4E2AAB62" w:rsidR="00636977" w:rsidRPr="002658D5" w:rsidRDefault="00636977" w:rsidP="00636977">
      <w:r>
        <w:lastRenderedPageBreak/>
        <w:t>Listed t</w:t>
      </w:r>
      <w:r w:rsidRPr="003D153D">
        <w:t xml:space="preserve">hreatened species and ecological communities are </w:t>
      </w:r>
      <w:r>
        <w:t xml:space="preserve">also </w:t>
      </w:r>
      <w:r w:rsidRPr="003D153D">
        <w:t>protected by a suite of planning and operational controls within WA’s FMS that operate across a range of scales. The framework to guide planning and decision-making reflect both the scale and direct effects of operations locally, and as a component of an integrated management system linked into broader scales of strategic planning over longer timeframes.</w:t>
      </w:r>
      <w:r>
        <w:t xml:space="preserve"> The document </w:t>
      </w:r>
      <w:r w:rsidRPr="00F636EC">
        <w:rPr>
          <w:rFonts w:cs="Segoe UI"/>
          <w:i/>
          <w:lang w:eastAsia="ja-JP"/>
        </w:rPr>
        <w:t xml:space="preserve">the Forest Management System in Western Australia: </w:t>
      </w:r>
      <w:r w:rsidR="0061707C">
        <w:rPr>
          <w:rFonts w:cs="Segoe UI"/>
          <w:i/>
          <w:lang w:eastAsia="ja-JP"/>
        </w:rPr>
        <w:t>A</w:t>
      </w:r>
      <w:r w:rsidRPr="00F636EC">
        <w:rPr>
          <w:rFonts w:cs="Segoe UI"/>
          <w:i/>
          <w:lang w:eastAsia="ja-JP"/>
        </w:rPr>
        <w:t xml:space="preserve">n Overview </w:t>
      </w:r>
      <w:r w:rsidRPr="00F636EC">
        <w:rPr>
          <w:rFonts w:cs="Segoe UI"/>
          <w:lang w:eastAsia="ja-JP"/>
        </w:rPr>
        <w:t xml:space="preserve">(2018) provides details on how WA’s FMS manages </w:t>
      </w:r>
      <w:r w:rsidRPr="00B456DC">
        <w:rPr>
          <w:rFonts w:cs="Segoe UI"/>
          <w:lang w:eastAsia="ja-JP"/>
        </w:rPr>
        <w:t xml:space="preserve">and provides protection </w:t>
      </w:r>
      <w:r w:rsidR="00BA6589">
        <w:rPr>
          <w:rFonts w:cs="Segoe UI"/>
          <w:lang w:eastAsia="ja-JP"/>
        </w:rPr>
        <w:t>for</w:t>
      </w:r>
      <w:r w:rsidRPr="00B456DC">
        <w:rPr>
          <w:rFonts w:cs="Segoe UI"/>
          <w:lang w:eastAsia="ja-JP"/>
        </w:rPr>
        <w:t xml:space="preserve"> threatened species and ecological communities. </w:t>
      </w:r>
    </w:p>
    <w:p w14:paraId="26ABCB01" w14:textId="77777777" w:rsidR="005F6939" w:rsidRPr="00FF0D54" w:rsidRDefault="005F6939" w:rsidP="00D15AAD">
      <w:pPr>
        <w:pStyle w:val="Heading4"/>
        <w:rPr>
          <w:rFonts w:cs="Segoe UI"/>
          <w:i w:val="0"/>
          <w:color w:val="000000" w:themeColor="text1"/>
          <w:sz w:val="24"/>
          <w:szCs w:val="24"/>
          <w:lang w:eastAsia="en-AU"/>
        </w:rPr>
      </w:pPr>
      <w:r w:rsidRPr="00FF0D54">
        <w:rPr>
          <w:rFonts w:cs="Segoe UI"/>
          <w:i w:val="0"/>
          <w:color w:val="000000" w:themeColor="text1"/>
          <w:sz w:val="24"/>
          <w:szCs w:val="24"/>
          <w:lang w:eastAsia="en-AU"/>
        </w:rPr>
        <w:t>Indicator 1.2b</w:t>
      </w:r>
      <w:r w:rsidRPr="00FF0D54">
        <w:rPr>
          <w:rFonts w:cs="Segoe UI"/>
          <w:i w:val="0"/>
          <w:color w:val="000000" w:themeColor="text1"/>
          <w:sz w:val="24"/>
          <w:szCs w:val="24"/>
          <w:lang w:eastAsia="en-AU"/>
        </w:rPr>
        <w:tab/>
      </w:r>
      <w:r w:rsidR="008240E4" w:rsidRPr="00FF0D54">
        <w:rPr>
          <w:rFonts w:cs="Segoe UI"/>
          <w:i w:val="0"/>
          <w:color w:val="000000" w:themeColor="text1"/>
          <w:sz w:val="24"/>
          <w:szCs w:val="24"/>
          <w:lang w:eastAsia="en-AU"/>
        </w:rPr>
        <w:t xml:space="preserve"> </w:t>
      </w:r>
      <w:r w:rsidRPr="00FF0D54">
        <w:rPr>
          <w:rFonts w:cs="Segoe UI"/>
          <w:i w:val="0"/>
          <w:color w:val="000000" w:themeColor="text1"/>
          <w:sz w:val="24"/>
          <w:szCs w:val="24"/>
          <w:lang w:eastAsia="en-AU"/>
        </w:rPr>
        <w:t>Status of forest dwelling species at risk of not maintaining viable breeding populations, as determined by legislation or scientific assessment</w:t>
      </w:r>
      <w:bookmarkEnd w:id="38"/>
    </w:p>
    <w:p w14:paraId="26ABCB02" w14:textId="77777777" w:rsidR="00424610" w:rsidRPr="00CE60B2" w:rsidRDefault="00424610" w:rsidP="00D43267">
      <w:pPr>
        <w:rPr>
          <w:rFonts w:cs="Segoe UI"/>
          <w:color w:val="000000"/>
        </w:rPr>
      </w:pPr>
      <w:r w:rsidRPr="00CE60B2">
        <w:rPr>
          <w:rStyle w:val="Emphasis"/>
          <w:rFonts w:cs="Segoe UI"/>
          <w:i w:val="0"/>
          <w:color w:val="000000"/>
          <w:bdr w:val="none" w:sz="0" w:space="0" w:color="auto" w:frame="1"/>
        </w:rPr>
        <w:t>This indicator measures the conservation status of nationally listed threatened forest dwelling species. Documentation of this information over time allows analysis of changes to species’ conservation status indicating the extent to which forest species biodiversity is being maintained.</w:t>
      </w:r>
      <w:r w:rsidR="00DD5608" w:rsidRPr="00CE60B2">
        <w:rPr>
          <w:rStyle w:val="Emphasis"/>
          <w:rFonts w:cs="Segoe UI"/>
          <w:i w:val="0"/>
          <w:color w:val="000000"/>
          <w:bdr w:val="none" w:sz="0" w:space="0" w:color="auto" w:frame="1"/>
        </w:rPr>
        <w:t xml:space="preserve"> </w:t>
      </w:r>
      <w:r w:rsidR="00DD5608" w:rsidRPr="00CE60B2">
        <w:rPr>
          <w:rFonts w:cs="Segoe UI"/>
          <w:color w:val="000000"/>
        </w:rPr>
        <w:t>Forest-dwelling species are species that occur in forest vegetation types, although they may also occur outside forests. Forest-dependent species are species that require a forest habitat for at least part of their lifecycles.</w:t>
      </w:r>
    </w:p>
    <w:p w14:paraId="26ABCB03" w14:textId="77777777" w:rsidR="004C6FF7" w:rsidRPr="00CE60B2" w:rsidRDefault="004C6FF7" w:rsidP="00D15AAD">
      <w:pPr>
        <w:pStyle w:val="Heading4"/>
        <w:rPr>
          <w:rFonts w:cs="Segoe UI"/>
          <w:lang w:eastAsia="en-AU"/>
        </w:rPr>
      </w:pPr>
      <w:r w:rsidRPr="00CE60B2">
        <w:rPr>
          <w:rFonts w:cs="Segoe UI"/>
          <w:lang w:eastAsia="en-AU"/>
        </w:rPr>
        <w:t xml:space="preserve">Threatened Flora and Fauna </w:t>
      </w:r>
    </w:p>
    <w:p w14:paraId="26ABCB04" w14:textId="49A1A43E" w:rsidR="00563FD7" w:rsidRPr="00D63888" w:rsidRDefault="007F180D" w:rsidP="00563FD7">
      <w:pPr>
        <w:rPr>
          <w:rFonts w:cs="Segoe UI"/>
          <w:bCs/>
        </w:rPr>
      </w:pPr>
      <w:r>
        <w:rPr>
          <w:rFonts w:cs="Segoe UI"/>
        </w:rPr>
        <w:t>When the WA </w:t>
      </w:r>
      <w:r w:rsidR="00563FD7" w:rsidRPr="00CE60B2">
        <w:rPr>
          <w:rFonts w:cs="Segoe UI"/>
        </w:rPr>
        <w:t xml:space="preserve">RFA was signed in 1999, 12 threatened fauna species </w:t>
      </w:r>
      <w:r w:rsidR="003F2EB5">
        <w:rPr>
          <w:rFonts w:cs="Segoe UI"/>
        </w:rPr>
        <w:t xml:space="preserve">and </w:t>
      </w:r>
      <w:r w:rsidR="003F2EB5" w:rsidRPr="00CE60B2">
        <w:rPr>
          <w:rFonts w:cs="Segoe UI"/>
        </w:rPr>
        <w:t xml:space="preserve">57 threatened flora species </w:t>
      </w:r>
      <w:r w:rsidR="00563FD7" w:rsidRPr="00CE60B2">
        <w:rPr>
          <w:rFonts w:cs="Segoe UI"/>
        </w:rPr>
        <w:t>that occurred (or whi</w:t>
      </w:r>
      <w:r w:rsidR="00E64557">
        <w:rPr>
          <w:rFonts w:cs="Segoe UI"/>
        </w:rPr>
        <w:t>ch had occurred) within the WA </w:t>
      </w:r>
      <w:r w:rsidR="00563FD7" w:rsidRPr="00CE60B2">
        <w:rPr>
          <w:rFonts w:cs="Segoe UI"/>
        </w:rPr>
        <w:t xml:space="preserve">RFA region were declared as specially protected fauna </w:t>
      </w:r>
      <w:r w:rsidR="003F2EB5">
        <w:rPr>
          <w:rFonts w:cs="Segoe UI"/>
        </w:rPr>
        <w:t xml:space="preserve">or flora </w:t>
      </w:r>
      <w:r w:rsidR="00563FD7" w:rsidRPr="00CE60B2">
        <w:rPr>
          <w:rFonts w:cs="Segoe UI"/>
        </w:rPr>
        <w:t>under the</w:t>
      </w:r>
      <w:r w:rsidR="00563FD7">
        <w:rPr>
          <w:rFonts w:cs="Segoe UI"/>
          <w:i/>
        </w:rPr>
        <w:t xml:space="preserve"> </w:t>
      </w:r>
      <w:r w:rsidR="00E64557">
        <w:rPr>
          <w:rFonts w:cs="Segoe UI"/>
        </w:rPr>
        <w:t>WC </w:t>
      </w:r>
      <w:r w:rsidR="00563FD7" w:rsidRPr="00F54B80">
        <w:rPr>
          <w:rFonts w:cs="Segoe UI"/>
        </w:rPr>
        <w:t>Act</w:t>
      </w:r>
      <w:r w:rsidR="00563FD7" w:rsidRPr="00CE60B2">
        <w:rPr>
          <w:rFonts w:cs="Segoe UI"/>
        </w:rPr>
        <w:t xml:space="preserve"> or listed in the Schedules to the then </w:t>
      </w:r>
      <w:r w:rsidR="00563FD7" w:rsidRPr="00CE60B2">
        <w:rPr>
          <w:rFonts w:cs="Segoe UI"/>
          <w:i/>
        </w:rPr>
        <w:t>En</w:t>
      </w:r>
      <w:r w:rsidR="00732DB6">
        <w:rPr>
          <w:rFonts w:cs="Segoe UI"/>
          <w:i/>
        </w:rPr>
        <w:t>dangered Species Protection Act </w:t>
      </w:r>
      <w:r w:rsidR="00563FD7" w:rsidRPr="00CE60B2">
        <w:rPr>
          <w:rFonts w:cs="Segoe UI"/>
          <w:i/>
        </w:rPr>
        <w:t>1992</w:t>
      </w:r>
      <w:r w:rsidR="00732DB6">
        <w:rPr>
          <w:rFonts w:cs="Segoe UI"/>
        </w:rPr>
        <w:t xml:space="preserve"> (ESP </w:t>
      </w:r>
      <w:r w:rsidR="00563FD7" w:rsidRPr="00CE60B2">
        <w:rPr>
          <w:rFonts w:cs="Segoe UI"/>
        </w:rPr>
        <w:t>Act)</w:t>
      </w:r>
      <w:r w:rsidR="00563FD7" w:rsidRPr="00CE60B2">
        <w:rPr>
          <w:rFonts w:cs="Segoe UI"/>
          <w:i/>
        </w:rPr>
        <w:t>.</w:t>
      </w:r>
    </w:p>
    <w:p w14:paraId="26ABCB05" w14:textId="77777777" w:rsidR="006F0056" w:rsidRPr="00CE60B2" w:rsidRDefault="00563FD7" w:rsidP="002B07C7">
      <w:pPr>
        <w:rPr>
          <w:rFonts w:cs="Segoe UI"/>
          <w:color w:val="000000"/>
        </w:rPr>
      </w:pPr>
      <w:r w:rsidRPr="00CE60B2">
        <w:rPr>
          <w:rFonts w:cs="Segoe UI"/>
        </w:rPr>
        <w:t xml:space="preserve">By 2018, </w:t>
      </w:r>
      <w:r w:rsidR="008638B4" w:rsidRPr="00844F9B">
        <w:rPr>
          <w:rFonts w:cs="Segoe UI"/>
        </w:rPr>
        <w:t>55</w:t>
      </w:r>
      <w:r w:rsidR="008638B4" w:rsidRPr="0067459F">
        <w:rPr>
          <w:rFonts w:cs="Segoe UI"/>
        </w:rPr>
        <w:t xml:space="preserve"> </w:t>
      </w:r>
      <w:r w:rsidRPr="0067459F">
        <w:rPr>
          <w:rFonts w:cs="Segoe UI"/>
        </w:rPr>
        <w:t xml:space="preserve">threatened fauna taxa </w:t>
      </w:r>
      <w:r w:rsidR="003F2EB5" w:rsidRPr="0067459F">
        <w:rPr>
          <w:rFonts w:cs="Segoe UI"/>
        </w:rPr>
        <w:t xml:space="preserve">and </w:t>
      </w:r>
      <w:r w:rsidR="008638B4">
        <w:rPr>
          <w:rFonts w:cs="Segoe UI"/>
        </w:rPr>
        <w:t>146</w:t>
      </w:r>
      <w:r w:rsidR="008638B4" w:rsidRPr="00CE60B2">
        <w:rPr>
          <w:rFonts w:cs="Segoe UI"/>
        </w:rPr>
        <w:t xml:space="preserve"> </w:t>
      </w:r>
      <w:r w:rsidR="003F2EB5" w:rsidRPr="00CE60B2">
        <w:rPr>
          <w:rFonts w:cs="Segoe UI"/>
        </w:rPr>
        <w:t xml:space="preserve">threatened flora species </w:t>
      </w:r>
      <w:r w:rsidRPr="00CE60B2">
        <w:rPr>
          <w:rFonts w:cs="Segoe UI"/>
        </w:rPr>
        <w:t xml:space="preserve">declared as protected </w:t>
      </w:r>
      <w:r w:rsidR="003F2EB5">
        <w:rPr>
          <w:rFonts w:cs="Segoe UI"/>
        </w:rPr>
        <w:t>or rare</w:t>
      </w:r>
      <w:r w:rsidR="003F2EB5" w:rsidRPr="00CE60B2">
        <w:rPr>
          <w:rFonts w:cs="Segoe UI"/>
        </w:rPr>
        <w:t xml:space="preserve"> </w:t>
      </w:r>
      <w:r w:rsidRPr="00CE60B2">
        <w:rPr>
          <w:rFonts w:cs="Segoe UI"/>
        </w:rPr>
        <w:t>under the WC Act</w:t>
      </w:r>
      <w:r w:rsidR="006B2344">
        <w:rPr>
          <w:rFonts w:cs="Segoe UI"/>
        </w:rPr>
        <w:t xml:space="preserve"> </w:t>
      </w:r>
      <w:r w:rsidR="006B2344" w:rsidRPr="00CE60B2">
        <w:rPr>
          <w:rFonts w:cs="Segoe UI"/>
        </w:rPr>
        <w:t>or listed in the Schedules to the EPBC Ac</w:t>
      </w:r>
      <w:r w:rsidR="006B2344">
        <w:rPr>
          <w:rFonts w:cs="Segoe UI"/>
        </w:rPr>
        <w:t>t</w:t>
      </w:r>
      <w:r w:rsidRPr="00CE60B2">
        <w:rPr>
          <w:rFonts w:cs="Segoe UI"/>
        </w:rPr>
        <w:t xml:space="preserve"> had (or were believed to have had) populations within the WA</w:t>
      </w:r>
      <w:r>
        <w:rPr>
          <w:rFonts w:cs="Segoe UI"/>
        </w:rPr>
        <w:t> </w:t>
      </w:r>
      <w:r w:rsidRPr="00CE60B2">
        <w:rPr>
          <w:rFonts w:cs="Segoe UI"/>
        </w:rPr>
        <w:t>RFA region.</w:t>
      </w:r>
      <w:r w:rsidR="002B07C7">
        <w:rPr>
          <w:rFonts w:cs="Segoe UI"/>
        </w:rPr>
        <w:t xml:space="preserve"> </w:t>
      </w:r>
      <w:r w:rsidR="008638B4" w:rsidRPr="009057B5">
        <w:rPr>
          <w:rStyle w:val="Emphasis"/>
          <w:rFonts w:cs="Segoe UI"/>
          <w:i w:val="0"/>
          <w:color w:val="000000"/>
          <w:bdr w:val="none" w:sz="0" w:space="0" w:color="auto" w:frame="1"/>
        </w:rPr>
        <w:t>Over 70</w:t>
      </w:r>
      <w:r w:rsidR="00BD7BE3" w:rsidRPr="009057B5">
        <w:rPr>
          <w:rStyle w:val="Emphasis"/>
          <w:rFonts w:cs="Segoe UI"/>
          <w:i w:val="0"/>
          <w:color w:val="000000"/>
          <w:bdr w:val="none" w:sz="0" w:space="0" w:color="auto" w:frame="1"/>
        </w:rPr>
        <w:t> per cent</w:t>
      </w:r>
      <w:r w:rsidR="00F00266" w:rsidRPr="009057B5">
        <w:rPr>
          <w:rStyle w:val="Emphasis"/>
          <w:rFonts w:cs="Segoe UI"/>
          <w:i w:val="0"/>
          <w:color w:val="000000"/>
          <w:bdr w:val="none" w:sz="0" w:space="0" w:color="auto" w:frame="1"/>
        </w:rPr>
        <w:t xml:space="preserve"> of these threatened species </w:t>
      </w:r>
      <w:r w:rsidR="00F83E17" w:rsidRPr="009057B5">
        <w:rPr>
          <w:rStyle w:val="Emphasis"/>
          <w:rFonts w:cs="Segoe UI"/>
          <w:i w:val="0"/>
          <w:color w:val="000000"/>
          <w:bdr w:val="none" w:sz="0" w:space="0" w:color="auto" w:frame="1"/>
        </w:rPr>
        <w:t xml:space="preserve">were </w:t>
      </w:r>
      <w:r w:rsidR="00F00266" w:rsidRPr="009057B5">
        <w:rPr>
          <w:rStyle w:val="Emphasis"/>
          <w:rFonts w:cs="Segoe UI"/>
          <w:i w:val="0"/>
          <w:color w:val="000000"/>
          <w:bdr w:val="none" w:sz="0" w:space="0" w:color="auto" w:frame="1"/>
        </w:rPr>
        <w:t>plants</w:t>
      </w:r>
      <w:r w:rsidR="00090EDC" w:rsidRPr="009057B5">
        <w:rPr>
          <w:rStyle w:val="Emphasis"/>
          <w:rFonts w:cs="Segoe UI"/>
          <w:i w:val="0"/>
          <w:color w:val="000000"/>
          <w:bdr w:val="none" w:sz="0" w:space="0" w:color="auto" w:frame="1"/>
        </w:rPr>
        <w:t>.</w:t>
      </w:r>
      <w:r w:rsidR="008240E4">
        <w:rPr>
          <w:rStyle w:val="Emphasis"/>
          <w:rFonts w:cs="Segoe UI"/>
          <w:i w:val="0"/>
          <w:color w:val="000000"/>
          <w:bdr w:val="none" w:sz="0" w:space="0" w:color="auto" w:frame="1"/>
        </w:rPr>
        <w:t xml:space="preserve"> </w:t>
      </w:r>
      <w:r w:rsidR="004A343D" w:rsidRPr="00CE60B2">
        <w:rPr>
          <w:rStyle w:val="Emphasis"/>
          <w:rFonts w:cs="Segoe UI"/>
          <w:i w:val="0"/>
          <w:color w:val="000000"/>
          <w:bdr w:val="none" w:sz="0" w:space="0" w:color="auto" w:frame="1"/>
        </w:rPr>
        <w:t xml:space="preserve"> </w:t>
      </w:r>
      <w:r w:rsidR="00C83998">
        <w:rPr>
          <w:rStyle w:val="Emphasis"/>
          <w:rFonts w:cs="Segoe UI"/>
          <w:i w:val="0"/>
          <w:color w:val="000000"/>
          <w:bdr w:val="none" w:sz="0" w:space="0" w:color="auto" w:frame="1"/>
        </w:rPr>
        <w:t xml:space="preserve"> </w:t>
      </w:r>
    </w:p>
    <w:p w14:paraId="26ABCB06" w14:textId="77777777" w:rsidR="00537A5A" w:rsidRDefault="00537A5A" w:rsidP="00537A5A">
      <w:pPr>
        <w:rPr>
          <w:rStyle w:val="Emphasis"/>
          <w:rFonts w:cs="Segoe UI"/>
          <w:i w:val="0"/>
          <w:color w:val="000000"/>
          <w:bdr w:val="none" w:sz="0" w:space="0" w:color="auto" w:frame="1"/>
        </w:rPr>
      </w:pPr>
      <w:r w:rsidRPr="00CE60B2">
        <w:rPr>
          <w:rStyle w:val="Emphasis"/>
          <w:rFonts w:cs="Segoe UI"/>
          <w:i w:val="0"/>
          <w:color w:val="000000"/>
          <w:bdr w:val="none" w:sz="0" w:space="0" w:color="auto" w:frame="1"/>
        </w:rPr>
        <w:t xml:space="preserve">Appendix </w:t>
      </w:r>
      <w:r w:rsidRPr="00D40D52">
        <w:rPr>
          <w:rStyle w:val="Emphasis"/>
          <w:rFonts w:cs="Segoe UI"/>
          <w:i w:val="0"/>
          <w:color w:val="000000"/>
          <w:bdr w:val="none" w:sz="0" w:space="0" w:color="auto" w:frame="1"/>
        </w:rPr>
        <w:t>B details</w:t>
      </w:r>
      <w:r w:rsidR="00090EDC">
        <w:rPr>
          <w:rStyle w:val="Emphasis"/>
          <w:rFonts w:cs="Segoe UI"/>
          <w:i w:val="0"/>
          <w:color w:val="000000"/>
          <w:bdr w:val="none" w:sz="0" w:space="0" w:color="auto" w:frame="1"/>
        </w:rPr>
        <w:t>,</w:t>
      </w:r>
      <w:r w:rsidRPr="00D40D52">
        <w:rPr>
          <w:rStyle w:val="Emphasis"/>
          <w:rFonts w:cs="Segoe UI"/>
          <w:i w:val="0"/>
          <w:color w:val="000000"/>
          <w:bdr w:val="none" w:sz="0" w:space="0" w:color="auto" w:frame="1"/>
        </w:rPr>
        <w:t xml:space="preserve"> </w:t>
      </w:r>
      <w:r w:rsidR="00090EDC">
        <w:rPr>
          <w:rStyle w:val="Emphasis"/>
          <w:rFonts w:cs="Segoe UI"/>
          <w:i w:val="0"/>
          <w:color w:val="000000"/>
          <w:bdr w:val="none" w:sz="0" w:space="0" w:color="auto" w:frame="1"/>
        </w:rPr>
        <w:t xml:space="preserve">as of 2018, </w:t>
      </w:r>
      <w:r w:rsidRPr="00D40D52">
        <w:rPr>
          <w:rStyle w:val="Emphasis"/>
          <w:rFonts w:cs="Segoe UI"/>
          <w:i w:val="0"/>
          <w:color w:val="000000"/>
          <w:bdr w:val="none" w:sz="0" w:space="0" w:color="auto" w:frame="1"/>
        </w:rPr>
        <w:t xml:space="preserve">all </w:t>
      </w:r>
      <w:r w:rsidR="006B2344" w:rsidRPr="00CE60B2">
        <w:rPr>
          <w:rStyle w:val="Emphasis"/>
          <w:rFonts w:cs="Segoe UI"/>
          <w:i w:val="0"/>
          <w:color w:val="000000"/>
          <w:bdr w:val="none" w:sz="0" w:space="0" w:color="auto" w:frame="1"/>
        </w:rPr>
        <w:t>WA</w:t>
      </w:r>
      <w:r w:rsidR="00732DB6">
        <w:rPr>
          <w:rStyle w:val="Emphasis"/>
          <w:rFonts w:cs="Segoe UI"/>
          <w:i w:val="0"/>
          <w:color w:val="000000"/>
          <w:bdr w:val="none" w:sz="0" w:space="0" w:color="auto" w:frame="1"/>
        </w:rPr>
        <w:t>, WC </w:t>
      </w:r>
      <w:r w:rsidR="006B2344">
        <w:rPr>
          <w:rStyle w:val="Emphasis"/>
          <w:rFonts w:cs="Segoe UI"/>
          <w:i w:val="0"/>
          <w:color w:val="000000"/>
          <w:bdr w:val="none" w:sz="0" w:space="0" w:color="auto" w:frame="1"/>
        </w:rPr>
        <w:t>Act</w:t>
      </w:r>
      <w:r w:rsidR="006B2344" w:rsidRPr="00CE60B2">
        <w:rPr>
          <w:rStyle w:val="Emphasis"/>
          <w:rFonts w:cs="Segoe UI"/>
          <w:i w:val="0"/>
          <w:color w:val="000000"/>
          <w:bdr w:val="none" w:sz="0" w:space="0" w:color="auto" w:frame="1"/>
        </w:rPr>
        <w:t xml:space="preserve"> listed threatened species</w:t>
      </w:r>
      <w:r w:rsidR="006B2344">
        <w:rPr>
          <w:rStyle w:val="Emphasis"/>
          <w:rFonts w:cs="Segoe UI"/>
          <w:i w:val="0"/>
          <w:color w:val="000000"/>
          <w:bdr w:val="none" w:sz="0" w:space="0" w:color="auto" w:frame="1"/>
        </w:rPr>
        <w:t>, and</w:t>
      </w:r>
      <w:r w:rsidR="006B2344" w:rsidRPr="00D40D52">
        <w:rPr>
          <w:rStyle w:val="Emphasis"/>
          <w:rFonts w:cs="Segoe UI"/>
          <w:i w:val="0"/>
          <w:color w:val="000000"/>
          <w:bdr w:val="none" w:sz="0" w:space="0" w:color="auto" w:frame="1"/>
        </w:rPr>
        <w:t xml:space="preserve"> </w:t>
      </w:r>
      <w:r w:rsidRPr="00D40D52">
        <w:rPr>
          <w:rStyle w:val="Emphasis"/>
          <w:rFonts w:cs="Segoe UI"/>
          <w:i w:val="0"/>
          <w:color w:val="000000"/>
          <w:bdr w:val="none" w:sz="0" w:space="0" w:color="auto" w:frame="1"/>
        </w:rPr>
        <w:t>EPBC</w:t>
      </w:r>
      <w:r w:rsidR="007F180D">
        <w:rPr>
          <w:rStyle w:val="Emphasis"/>
          <w:rFonts w:cs="Segoe UI"/>
          <w:i w:val="0"/>
          <w:color w:val="000000"/>
          <w:bdr w:val="none" w:sz="0" w:space="0" w:color="auto" w:frame="1"/>
        </w:rPr>
        <w:t> </w:t>
      </w:r>
      <w:r w:rsidR="0081544B">
        <w:rPr>
          <w:rStyle w:val="Emphasis"/>
          <w:rFonts w:cs="Segoe UI"/>
          <w:i w:val="0"/>
          <w:color w:val="000000"/>
          <w:bdr w:val="none" w:sz="0" w:space="0" w:color="auto" w:frame="1"/>
        </w:rPr>
        <w:t>Act</w:t>
      </w:r>
      <w:r w:rsidRPr="00D40D52">
        <w:rPr>
          <w:rStyle w:val="Emphasis"/>
          <w:rFonts w:cs="Segoe UI"/>
          <w:i w:val="0"/>
          <w:color w:val="000000"/>
          <w:bdr w:val="none" w:sz="0" w:space="0" w:color="auto" w:frame="1"/>
        </w:rPr>
        <w:t xml:space="preserve"> listed species that </w:t>
      </w:r>
      <w:r w:rsidR="00090EDC" w:rsidRPr="00CE60B2">
        <w:rPr>
          <w:rFonts w:cs="Segoe UI"/>
        </w:rPr>
        <w:t>had (or were believed to have</w:t>
      </w:r>
      <w:r w:rsidR="007F180D">
        <w:rPr>
          <w:rFonts w:cs="Segoe UI"/>
        </w:rPr>
        <w:t xml:space="preserve"> had) populations within the WA </w:t>
      </w:r>
      <w:r w:rsidR="00090EDC" w:rsidRPr="00CE60B2">
        <w:rPr>
          <w:rFonts w:cs="Segoe UI"/>
        </w:rPr>
        <w:t>RFA region</w:t>
      </w:r>
      <w:r w:rsidR="00090EDC">
        <w:rPr>
          <w:rFonts w:cs="Segoe UI"/>
          <w:i/>
        </w:rPr>
        <w:t xml:space="preserve"> </w:t>
      </w:r>
      <w:r w:rsidRPr="00D40D52">
        <w:rPr>
          <w:rStyle w:val="Emphasis"/>
          <w:rFonts w:cs="Segoe UI"/>
          <w:i w:val="0"/>
          <w:color w:val="000000"/>
          <w:bdr w:val="none" w:sz="0" w:space="0" w:color="auto" w:frame="1"/>
        </w:rPr>
        <w:t xml:space="preserve">as well as the status of </w:t>
      </w:r>
      <w:r w:rsidR="006B2344">
        <w:rPr>
          <w:rStyle w:val="Emphasis"/>
          <w:rFonts w:cs="Segoe UI"/>
          <w:i w:val="0"/>
          <w:color w:val="000000"/>
          <w:bdr w:val="none" w:sz="0" w:space="0" w:color="auto" w:frame="1"/>
        </w:rPr>
        <w:t>relevant</w:t>
      </w:r>
      <w:r w:rsidR="006B2344" w:rsidRPr="00D40D52">
        <w:rPr>
          <w:rStyle w:val="Emphasis"/>
          <w:rFonts w:cs="Segoe UI"/>
          <w:i w:val="0"/>
          <w:color w:val="000000"/>
          <w:bdr w:val="none" w:sz="0" w:space="0" w:color="auto" w:frame="1"/>
        </w:rPr>
        <w:t xml:space="preserve"> </w:t>
      </w:r>
      <w:r w:rsidRPr="00D40D52">
        <w:rPr>
          <w:rStyle w:val="Emphasis"/>
          <w:rFonts w:cs="Segoe UI"/>
          <w:i w:val="0"/>
          <w:color w:val="000000"/>
          <w:bdr w:val="none" w:sz="0" w:space="0" w:color="auto" w:frame="1"/>
        </w:rPr>
        <w:t>conservation advices and recovery plans.</w:t>
      </w:r>
    </w:p>
    <w:p w14:paraId="26ABCB07" w14:textId="272AC48C" w:rsidR="00DD5608" w:rsidRPr="00B3368E" w:rsidRDefault="0079380D" w:rsidP="00B3368E">
      <w:pPr>
        <w:rPr>
          <w:rStyle w:val="Emphasis"/>
          <w:rFonts w:cs="Segoe UI"/>
          <w:i w:val="0"/>
          <w:iCs w:val="0"/>
        </w:rPr>
      </w:pPr>
      <w:r>
        <w:rPr>
          <w:rFonts w:cs="Segoe UI"/>
          <w:lang w:eastAsia="en-AU"/>
        </w:rPr>
        <w:t>A</w:t>
      </w:r>
      <w:r w:rsidR="008E165A">
        <w:rPr>
          <w:rFonts w:cs="Segoe UI"/>
          <w:lang w:eastAsia="en-AU"/>
        </w:rPr>
        <w:t xml:space="preserve"> case study on the management of prescribed fire</w:t>
      </w:r>
      <w:r w:rsidR="00732DB6">
        <w:rPr>
          <w:rFonts w:cs="Segoe UI"/>
          <w:lang w:eastAsia="en-AU"/>
        </w:rPr>
        <w:t xml:space="preserve"> and threatened flora in the WA </w:t>
      </w:r>
      <w:r w:rsidR="008E165A">
        <w:rPr>
          <w:rFonts w:cs="Segoe UI"/>
          <w:lang w:eastAsia="en-AU"/>
        </w:rPr>
        <w:t>RFA region</w:t>
      </w:r>
      <w:r>
        <w:rPr>
          <w:rFonts w:cs="Segoe UI"/>
          <w:lang w:eastAsia="en-AU"/>
        </w:rPr>
        <w:t xml:space="preserve"> is presented in </w:t>
      </w:r>
      <w:r>
        <w:rPr>
          <w:rFonts w:cs="Segoe UI"/>
          <w:i/>
          <w:lang w:eastAsia="en-AU"/>
        </w:rPr>
        <w:t xml:space="preserve">The Forest Management System in Western Australia: </w:t>
      </w:r>
      <w:r w:rsidRPr="0061707C">
        <w:rPr>
          <w:rFonts w:cs="Segoe UI"/>
          <w:i/>
          <w:lang w:eastAsia="en-AU"/>
        </w:rPr>
        <w:t xml:space="preserve">An </w:t>
      </w:r>
      <w:r w:rsidR="008A4C96" w:rsidRPr="0061707C">
        <w:rPr>
          <w:rFonts w:cs="Segoe UI"/>
          <w:i/>
          <w:lang w:eastAsia="en-AU"/>
        </w:rPr>
        <w:t>Overview</w:t>
      </w:r>
      <w:r w:rsidR="0061707C" w:rsidRPr="0061707C">
        <w:rPr>
          <w:rFonts w:cs="Segoe UI"/>
          <w:i/>
          <w:lang w:eastAsia="en-AU"/>
        </w:rPr>
        <w:t xml:space="preserve"> (2018)</w:t>
      </w:r>
      <w:r w:rsidR="0061707C">
        <w:rPr>
          <w:rFonts w:cs="Segoe UI"/>
          <w:lang w:eastAsia="en-AU"/>
        </w:rPr>
        <w:t>.</w:t>
      </w:r>
      <w:r w:rsidR="008A4C96" w:rsidRPr="00CE60B2">
        <w:rPr>
          <w:rFonts w:cs="Segoe UI"/>
        </w:rPr>
        <w:t xml:space="preserve"> The</w:t>
      </w:r>
      <w:r w:rsidR="006F0056" w:rsidRPr="00CE60B2">
        <w:rPr>
          <w:rFonts w:cs="Segoe UI"/>
        </w:rPr>
        <w:t xml:space="preserve"> status of threatened species listings are reviewed annually and the WA Environment Minister considers recommendations on threatened categories</w:t>
      </w:r>
      <w:r>
        <w:rPr>
          <w:rFonts w:cs="Segoe UI"/>
        </w:rPr>
        <w:t xml:space="preserve"> (D</w:t>
      </w:r>
      <w:r w:rsidR="00942221">
        <w:rPr>
          <w:rFonts w:cs="Segoe UI"/>
        </w:rPr>
        <w:t>BCA</w:t>
      </w:r>
      <w:r>
        <w:rPr>
          <w:rFonts w:cs="Segoe UI"/>
        </w:rPr>
        <w:t>, n.d.)</w:t>
      </w:r>
      <w:r w:rsidR="006F0056" w:rsidRPr="00CE60B2">
        <w:rPr>
          <w:rFonts w:cs="Segoe UI"/>
        </w:rPr>
        <w:t>.</w:t>
      </w:r>
    </w:p>
    <w:p w14:paraId="26ABCB08" w14:textId="77777777" w:rsidR="00AB7488" w:rsidRPr="00CE60B2" w:rsidRDefault="00AB7488" w:rsidP="00D15AAD">
      <w:pPr>
        <w:pStyle w:val="Heading4"/>
        <w:rPr>
          <w:rFonts w:cs="Segoe UI"/>
        </w:rPr>
      </w:pPr>
      <w:r w:rsidRPr="00CE60B2">
        <w:rPr>
          <w:rFonts w:cs="Segoe UI"/>
        </w:rPr>
        <w:t xml:space="preserve">Status of Listed Species recovery plans and conservation advice </w:t>
      </w:r>
    </w:p>
    <w:p w14:paraId="26ABCB09" w14:textId="2A1A2275" w:rsidR="000D12A3" w:rsidRDefault="00B03C54" w:rsidP="000810F8">
      <w:pPr>
        <w:rPr>
          <w:rFonts w:cs="Segoe UI"/>
        </w:rPr>
      </w:pPr>
      <w:r>
        <w:rPr>
          <w:rFonts w:cs="Segoe UI"/>
        </w:rPr>
        <w:t>All</w:t>
      </w:r>
      <w:r w:rsidR="008574E7" w:rsidRPr="00CE60B2">
        <w:rPr>
          <w:rFonts w:cs="Segoe UI"/>
        </w:rPr>
        <w:t xml:space="preserve"> </w:t>
      </w:r>
      <w:r w:rsidR="009B19E1" w:rsidRPr="00CE60B2">
        <w:rPr>
          <w:rFonts w:cs="Segoe UI"/>
        </w:rPr>
        <w:t>EPBC</w:t>
      </w:r>
      <w:r w:rsidR="00AF6FF2">
        <w:rPr>
          <w:rFonts w:cs="Segoe UI"/>
        </w:rPr>
        <w:t xml:space="preserve"> Act</w:t>
      </w:r>
      <w:r w:rsidR="009B19E1" w:rsidRPr="00CE60B2">
        <w:rPr>
          <w:rFonts w:cs="Segoe UI"/>
        </w:rPr>
        <w:t xml:space="preserve"> </w:t>
      </w:r>
      <w:r w:rsidR="008574E7" w:rsidRPr="00CE60B2">
        <w:rPr>
          <w:rFonts w:cs="Segoe UI"/>
        </w:rPr>
        <w:t>listed threatened species known o</w:t>
      </w:r>
      <w:r w:rsidR="00732DB6">
        <w:rPr>
          <w:rFonts w:cs="Segoe UI"/>
        </w:rPr>
        <w:t>r likely to occur within the WA </w:t>
      </w:r>
      <w:r w:rsidR="008574E7" w:rsidRPr="00CE60B2">
        <w:rPr>
          <w:rFonts w:cs="Segoe UI"/>
        </w:rPr>
        <w:t xml:space="preserve">RFA region (Appendix </w:t>
      </w:r>
      <w:r w:rsidR="000F05A4" w:rsidRPr="007C2D5E">
        <w:rPr>
          <w:rFonts w:cs="Segoe UI"/>
        </w:rPr>
        <w:t>B</w:t>
      </w:r>
      <w:r w:rsidR="008574E7" w:rsidRPr="00CE60B2">
        <w:rPr>
          <w:rFonts w:cs="Segoe UI"/>
        </w:rPr>
        <w:t xml:space="preserve">) have either a conservation advice, recovery plan or both to </w:t>
      </w:r>
      <w:r w:rsidR="005538C6" w:rsidRPr="005538C6">
        <w:rPr>
          <w:rFonts w:cs="Segoe UI"/>
        </w:rPr>
        <w:t>guide their</w:t>
      </w:r>
      <w:r w:rsidR="008574E7" w:rsidRPr="00CE60B2">
        <w:rPr>
          <w:rFonts w:cs="Segoe UI"/>
        </w:rPr>
        <w:t xml:space="preserve"> recovery.</w:t>
      </w:r>
      <w:r w:rsidR="00AF6FF2">
        <w:rPr>
          <w:rFonts w:cs="Segoe UI"/>
        </w:rPr>
        <w:t xml:space="preserve"> </w:t>
      </w:r>
      <w:r w:rsidR="000D12A3" w:rsidRPr="009057B5">
        <w:rPr>
          <w:rFonts w:cs="Segoe UI"/>
        </w:rPr>
        <w:t>The 12 non-threatened EPBC</w:t>
      </w:r>
      <w:r w:rsidR="00AF6FF2" w:rsidRPr="009057B5">
        <w:rPr>
          <w:rFonts w:cs="Segoe UI"/>
        </w:rPr>
        <w:t xml:space="preserve"> Act</w:t>
      </w:r>
      <w:r w:rsidR="000D12A3" w:rsidRPr="009057B5">
        <w:rPr>
          <w:rFonts w:cs="Segoe UI"/>
        </w:rPr>
        <w:t xml:space="preserve"> listed migratory birds do not require a conservation advice or recovery plan</w:t>
      </w:r>
      <w:r w:rsidR="000D12A3" w:rsidRPr="00844F9B">
        <w:rPr>
          <w:rFonts w:cs="Segoe UI"/>
        </w:rPr>
        <w:t>.</w:t>
      </w:r>
      <w:r w:rsidR="000D12A3" w:rsidRPr="00CE60B2">
        <w:rPr>
          <w:rFonts w:cs="Segoe UI"/>
        </w:rPr>
        <w:t xml:space="preserve"> </w:t>
      </w:r>
      <w:r w:rsidR="00844F9B">
        <w:rPr>
          <w:rFonts w:cs="Segoe UI"/>
        </w:rPr>
        <w:t xml:space="preserve">Of the 55 threatened fauna species, 24 have either a WA or </w:t>
      </w:r>
      <w:r w:rsidR="0067459F">
        <w:rPr>
          <w:rFonts w:cs="Segoe UI"/>
        </w:rPr>
        <w:t>N</w:t>
      </w:r>
      <w:r w:rsidR="00844F9B">
        <w:rPr>
          <w:rFonts w:cs="Segoe UI"/>
        </w:rPr>
        <w:t xml:space="preserve">ational recovery plan in place. Of the 146 threatened flora species, 65 have either a WA or </w:t>
      </w:r>
      <w:r w:rsidR="0067459F">
        <w:rPr>
          <w:rFonts w:cs="Segoe UI"/>
        </w:rPr>
        <w:t>N</w:t>
      </w:r>
      <w:r w:rsidR="00844F9B">
        <w:rPr>
          <w:rFonts w:cs="Segoe UI"/>
        </w:rPr>
        <w:t xml:space="preserve">ational recovery plan in place. </w:t>
      </w:r>
      <w:r w:rsidR="000D12A3">
        <w:rPr>
          <w:rFonts w:cs="Segoe UI"/>
        </w:rPr>
        <w:t>WA </w:t>
      </w:r>
      <w:r w:rsidR="000D12A3" w:rsidRPr="00CE60B2">
        <w:rPr>
          <w:rFonts w:cs="Segoe UI"/>
        </w:rPr>
        <w:t xml:space="preserve">Recovery plans </w:t>
      </w:r>
      <w:r w:rsidR="000D12A3">
        <w:rPr>
          <w:rFonts w:cs="Segoe UI"/>
        </w:rPr>
        <w:t>are</w:t>
      </w:r>
      <w:r w:rsidR="000D12A3" w:rsidRPr="00CE60B2">
        <w:rPr>
          <w:rFonts w:cs="Segoe UI"/>
        </w:rPr>
        <w:t xml:space="preserve"> preferentially prepared for species listed as critically endangered. </w:t>
      </w:r>
      <w:r w:rsidR="000D12A3">
        <w:rPr>
          <w:rFonts w:cs="Segoe UI"/>
        </w:rPr>
        <w:t>WA </w:t>
      </w:r>
      <w:r w:rsidR="000D12A3" w:rsidRPr="00CE60B2">
        <w:rPr>
          <w:rFonts w:cs="Segoe UI"/>
        </w:rPr>
        <w:t xml:space="preserve">Recovery plans </w:t>
      </w:r>
      <w:r w:rsidR="000D12A3">
        <w:rPr>
          <w:rFonts w:cs="Segoe UI"/>
        </w:rPr>
        <w:t>are</w:t>
      </w:r>
      <w:r w:rsidR="000D12A3" w:rsidRPr="00CE60B2">
        <w:rPr>
          <w:rFonts w:cs="Segoe UI"/>
        </w:rPr>
        <w:t xml:space="preserve"> also prepared for species listed </w:t>
      </w:r>
      <w:r w:rsidR="000D12A3" w:rsidRPr="00CE60B2">
        <w:rPr>
          <w:rFonts w:cs="Segoe UI"/>
        </w:rPr>
        <w:lastRenderedPageBreak/>
        <w:t>as endangered or vulnerable where resources are available and requirements for managing the species justif</w:t>
      </w:r>
      <w:r w:rsidR="001D1D1F">
        <w:rPr>
          <w:rFonts w:cs="Segoe UI"/>
        </w:rPr>
        <w:t>y</w:t>
      </w:r>
      <w:r w:rsidR="000D12A3" w:rsidRPr="00CE60B2">
        <w:rPr>
          <w:rFonts w:cs="Segoe UI"/>
        </w:rPr>
        <w:t xml:space="preserve"> preparing such a plan.</w:t>
      </w:r>
      <w:r w:rsidR="000D12A3">
        <w:rPr>
          <w:rFonts w:cs="Segoe UI"/>
        </w:rPr>
        <w:t xml:space="preserve"> </w:t>
      </w:r>
      <w:r w:rsidR="005538C6" w:rsidRPr="005538C6">
        <w:rPr>
          <w:rFonts w:cs="Segoe UI"/>
        </w:rPr>
        <w:t xml:space="preserve">The </w:t>
      </w:r>
      <w:r w:rsidR="005176FA">
        <w:rPr>
          <w:rFonts w:cs="Segoe UI"/>
        </w:rPr>
        <w:t>Australian</w:t>
      </w:r>
      <w:r w:rsidR="005176FA" w:rsidRPr="005538C6">
        <w:rPr>
          <w:rFonts w:cs="Segoe UI"/>
        </w:rPr>
        <w:t xml:space="preserve"> </w:t>
      </w:r>
      <w:r w:rsidR="005538C6" w:rsidRPr="005538C6">
        <w:rPr>
          <w:rFonts w:cs="Segoe UI"/>
        </w:rPr>
        <w:t>and WA governments continue to work collaboratively in prioritising the development of new</w:t>
      </w:r>
      <w:r w:rsidR="000D12A3">
        <w:rPr>
          <w:rFonts w:cs="Segoe UI"/>
        </w:rPr>
        <w:t xml:space="preserve"> recovery plans.</w:t>
      </w:r>
      <w:r w:rsidR="008574E7" w:rsidRPr="00CE60B2">
        <w:rPr>
          <w:rFonts w:cs="Segoe UI"/>
        </w:rPr>
        <w:t xml:space="preserve"> </w:t>
      </w:r>
    </w:p>
    <w:p w14:paraId="26ABCB0A" w14:textId="77777777" w:rsidR="008574E7" w:rsidRDefault="000D12A3" w:rsidP="000810F8">
      <w:pPr>
        <w:rPr>
          <w:rFonts w:cs="Segoe UI"/>
        </w:rPr>
      </w:pPr>
      <w:r w:rsidRPr="00CE60B2">
        <w:rPr>
          <w:rFonts w:cs="Segoe UI"/>
        </w:rPr>
        <w:t xml:space="preserve">In addition to the specific species recovery planning for threatened flora, there are regional wildlife management programs (flora) covering </w:t>
      </w:r>
      <w:r>
        <w:rPr>
          <w:rFonts w:cs="Segoe UI"/>
        </w:rPr>
        <w:t>DBCA</w:t>
      </w:r>
      <w:r w:rsidRPr="00CE60B2">
        <w:rPr>
          <w:rFonts w:cs="Segoe UI"/>
        </w:rPr>
        <w:t>’s Swan, South West and Warren regions</w:t>
      </w:r>
      <w:r w:rsidRPr="00CE60B2">
        <w:rPr>
          <w:rFonts w:cs="Segoe UI"/>
          <w:vertAlign w:val="superscript"/>
        </w:rPr>
        <w:footnoteReference w:id="4"/>
      </w:r>
      <w:r w:rsidRPr="00CE60B2">
        <w:rPr>
          <w:rFonts w:cs="Segoe UI"/>
        </w:rPr>
        <w:t>.</w:t>
      </w:r>
      <w:r w:rsidR="00BD7568">
        <w:rPr>
          <w:rFonts w:cs="Segoe UI"/>
        </w:rPr>
        <w:t xml:space="preserve"> The RFA region is a subset of these DBCA regions.</w:t>
      </w:r>
      <w:r w:rsidRPr="00CE60B2">
        <w:rPr>
          <w:rFonts w:cs="Segoe UI"/>
        </w:rPr>
        <w:t xml:space="preserve"> The regional wildlife management programs (flora) provide a brief description of the appearance, distribution, habitat and conservation status of flora species, subspecies or varieties which </w:t>
      </w:r>
      <w:r w:rsidR="002A7CBC">
        <w:rPr>
          <w:rFonts w:cs="Segoe UI"/>
        </w:rPr>
        <w:t>are</w:t>
      </w:r>
      <w:r w:rsidRPr="00CE60B2">
        <w:rPr>
          <w:rFonts w:cs="Segoe UI"/>
        </w:rPr>
        <w:t xml:space="preserve"> declared as rare or listed as priority flora. These plans include recommendations for research and management actions to assist towards the continued survival of the species identified.</w:t>
      </w:r>
    </w:p>
    <w:p w14:paraId="26ABCB0B" w14:textId="7D5D60FE" w:rsidR="00FC1AA1" w:rsidRPr="00CE60B2" w:rsidRDefault="00C83998" w:rsidP="000810F8">
      <w:pPr>
        <w:rPr>
          <w:rFonts w:cs="Segoe UI"/>
        </w:rPr>
      </w:pPr>
      <w:r>
        <w:rPr>
          <w:rFonts w:cs="Segoe UI"/>
        </w:rPr>
        <w:t>C</w:t>
      </w:r>
      <w:r w:rsidR="00FC1AA1">
        <w:rPr>
          <w:rFonts w:cs="Segoe UI"/>
        </w:rPr>
        <w:t xml:space="preserve">ase studies on the management of three nationally listed species, the </w:t>
      </w:r>
      <w:r w:rsidR="00FC1AA1" w:rsidRPr="00640505">
        <w:rPr>
          <w:rFonts w:cs="Segoe UI"/>
        </w:rPr>
        <w:t>Woylie</w:t>
      </w:r>
      <w:r w:rsidR="00FC1AA1">
        <w:rPr>
          <w:rFonts w:cs="Segoe UI"/>
        </w:rPr>
        <w:t xml:space="preserve">, the </w:t>
      </w:r>
      <w:r w:rsidR="00FC1AA1" w:rsidRPr="00640505">
        <w:rPr>
          <w:rFonts w:cs="Segoe UI"/>
        </w:rPr>
        <w:t>Numbat</w:t>
      </w:r>
      <w:r w:rsidR="00FC1AA1">
        <w:rPr>
          <w:rFonts w:cs="Segoe UI"/>
        </w:rPr>
        <w:t xml:space="preserve"> and the </w:t>
      </w:r>
      <w:r w:rsidR="00FC1AA1" w:rsidRPr="00640505">
        <w:rPr>
          <w:rFonts w:cs="Segoe UI"/>
        </w:rPr>
        <w:t>Black Cockatoo</w:t>
      </w:r>
      <w:r w:rsidR="005C4876">
        <w:rPr>
          <w:rFonts w:cs="Segoe UI"/>
        </w:rPr>
        <w:t xml:space="preserve"> are outlined in Appendix </w:t>
      </w:r>
      <w:r w:rsidR="005B3805">
        <w:rPr>
          <w:rFonts w:cs="Segoe UI"/>
        </w:rPr>
        <w:t xml:space="preserve">4 </w:t>
      </w:r>
      <w:r w:rsidR="005C4876">
        <w:rPr>
          <w:rFonts w:cs="Segoe UI"/>
        </w:rPr>
        <w:t>of</w:t>
      </w:r>
      <w:r>
        <w:rPr>
          <w:rFonts w:cs="Segoe UI"/>
        </w:rPr>
        <w:t xml:space="preserve"> </w:t>
      </w:r>
      <w:r w:rsidR="007F29AE">
        <w:rPr>
          <w:rFonts w:cs="Segoe UI"/>
          <w:i/>
        </w:rPr>
        <w:t>The Forest Management System in</w:t>
      </w:r>
      <w:r>
        <w:rPr>
          <w:rFonts w:cs="Segoe UI"/>
          <w:i/>
        </w:rPr>
        <w:t xml:space="preserve"> Western Australia: An </w:t>
      </w:r>
      <w:r w:rsidR="0061707C">
        <w:rPr>
          <w:rFonts w:cs="Segoe UI"/>
          <w:i/>
        </w:rPr>
        <w:t>O</w:t>
      </w:r>
      <w:r>
        <w:rPr>
          <w:rFonts w:cs="Segoe UI"/>
          <w:i/>
        </w:rPr>
        <w:t>verview</w:t>
      </w:r>
      <w:r w:rsidR="0061707C">
        <w:rPr>
          <w:rFonts w:cs="Segoe UI"/>
          <w:i/>
        </w:rPr>
        <w:t xml:space="preserve"> (2018)</w:t>
      </w:r>
      <w:r w:rsidR="00FC1AA1">
        <w:rPr>
          <w:rFonts w:cs="Segoe UI"/>
        </w:rPr>
        <w:t>.</w:t>
      </w:r>
    </w:p>
    <w:p w14:paraId="26ABCB0C" w14:textId="77777777" w:rsidR="004C6FF7" w:rsidRPr="00CE60B2" w:rsidRDefault="004C6FF7" w:rsidP="00713D83">
      <w:pPr>
        <w:pStyle w:val="Heading4"/>
        <w:rPr>
          <w:rFonts w:cs="Segoe UI"/>
          <w:lang w:eastAsia="en-AU"/>
        </w:rPr>
      </w:pPr>
      <w:r w:rsidRPr="00CE60B2">
        <w:rPr>
          <w:rFonts w:cs="Segoe UI"/>
          <w:lang w:eastAsia="en-AU"/>
        </w:rPr>
        <w:t xml:space="preserve">Threatened Ecological Communities </w:t>
      </w:r>
    </w:p>
    <w:p w14:paraId="26ABCB0D" w14:textId="786600E8" w:rsidR="00647CD2" w:rsidRPr="00647CD2" w:rsidRDefault="009057B5" w:rsidP="00CA3023">
      <w:pPr>
        <w:rPr>
          <w:highlight w:val="cyan"/>
          <w:lang w:eastAsia="en-AU"/>
        </w:rPr>
      </w:pPr>
      <w:r>
        <w:rPr>
          <w:lang w:eastAsia="en-AU"/>
        </w:rPr>
        <w:t xml:space="preserve">No Ecological communities were listed in WA until 2001. </w:t>
      </w:r>
      <w:r w:rsidR="004C6FF7" w:rsidRPr="00B11CAC">
        <w:t xml:space="preserve">As of </w:t>
      </w:r>
      <w:r w:rsidR="008913FD" w:rsidRPr="00B11CAC">
        <w:t>July 2018,</w:t>
      </w:r>
      <w:r w:rsidR="004C6FF7" w:rsidRPr="00B11CAC">
        <w:t xml:space="preserve"> there were </w:t>
      </w:r>
      <w:r w:rsidR="004B242F" w:rsidRPr="00B11CAC">
        <w:t>1</w:t>
      </w:r>
      <w:r w:rsidR="001238A9" w:rsidRPr="00B11CAC">
        <w:t>5</w:t>
      </w:r>
      <w:r w:rsidR="004C6FF7" w:rsidRPr="00B11CAC">
        <w:t xml:space="preserve"> ecological communities listed as threatened under the EPBC</w:t>
      </w:r>
      <w:r w:rsidR="00C2045D" w:rsidRPr="00B11CAC">
        <w:t> </w:t>
      </w:r>
      <w:r w:rsidR="004C6FF7" w:rsidRPr="00B11CAC">
        <w:t xml:space="preserve">Act </w:t>
      </w:r>
      <w:r w:rsidR="00361F44" w:rsidRPr="00B11CAC">
        <w:t xml:space="preserve">that were </w:t>
      </w:r>
      <w:r w:rsidR="001238A9" w:rsidRPr="00B11CAC">
        <w:t xml:space="preserve">known or likely to occur </w:t>
      </w:r>
      <w:r w:rsidR="004C6FF7" w:rsidRPr="00B11CAC">
        <w:t>in the WA RFA region (</w:t>
      </w:r>
      <w:fldSimple w:instr=" REF _Ref527450982  \* MERGEFORMAT ">
        <w:r w:rsidR="003C7091" w:rsidRPr="00713D83">
          <w:t xml:space="preserve">Table </w:t>
        </w:r>
        <w:r w:rsidR="003C7091">
          <w:rPr>
            <w:noProof/>
          </w:rPr>
          <w:t>4</w:t>
        </w:r>
      </w:fldSimple>
      <w:r w:rsidR="004C6FF7" w:rsidRPr="00B11CAC">
        <w:t xml:space="preserve">). </w:t>
      </w:r>
      <w:r w:rsidR="009619BC" w:rsidRPr="00B11CAC">
        <w:t>Ten</w:t>
      </w:r>
      <w:r w:rsidR="004C6FF7" w:rsidRPr="00B11CAC">
        <w:t xml:space="preserve"> threatened ecological communities were </w:t>
      </w:r>
      <w:r w:rsidR="007942D0" w:rsidRPr="00B11CAC">
        <w:t>assessed un</w:t>
      </w:r>
      <w:r w:rsidR="007F180D">
        <w:t>der the predecessor to the EPBC </w:t>
      </w:r>
      <w:r w:rsidR="007942D0" w:rsidRPr="00B11CAC">
        <w:t>Act, the</w:t>
      </w:r>
      <w:r w:rsidR="008A4C96" w:rsidRPr="00B11CAC">
        <w:t xml:space="preserve"> </w:t>
      </w:r>
      <w:r w:rsidR="007F180D">
        <w:t>ESP </w:t>
      </w:r>
      <w:r w:rsidR="00CA6D64" w:rsidRPr="00B11CAC">
        <w:t>Act</w:t>
      </w:r>
      <w:r w:rsidR="007F180D">
        <w:t>, and transferred to the EPBC </w:t>
      </w:r>
      <w:r w:rsidR="007942D0" w:rsidRPr="00B11CAC">
        <w:t xml:space="preserve">Act in 2000. A further five were </w:t>
      </w:r>
      <w:r w:rsidR="004C6FF7" w:rsidRPr="00B11CAC">
        <w:t xml:space="preserve">listed between </w:t>
      </w:r>
      <w:r w:rsidR="00D01B51" w:rsidRPr="00B11CAC">
        <w:t>16</w:t>
      </w:r>
      <w:r w:rsidR="00CA3B30" w:rsidRPr="00B11CAC">
        <w:t> </w:t>
      </w:r>
      <w:r w:rsidR="00D01B51" w:rsidRPr="00B11CAC">
        <w:t>July</w:t>
      </w:r>
      <w:r w:rsidR="00CA3B30" w:rsidRPr="00B11CAC">
        <w:t> </w:t>
      </w:r>
      <w:r w:rsidR="00D01B51" w:rsidRPr="00B11CAC">
        <w:t>2000</w:t>
      </w:r>
      <w:r w:rsidR="004C6FF7" w:rsidRPr="00B11CAC">
        <w:t xml:space="preserve"> and </w:t>
      </w:r>
      <w:r w:rsidR="00D01B51" w:rsidRPr="00B11CAC">
        <w:t>16</w:t>
      </w:r>
      <w:r w:rsidR="00C2045D" w:rsidRPr="00B11CAC">
        <w:t> </w:t>
      </w:r>
      <w:r w:rsidR="00D01B51" w:rsidRPr="00B11CAC">
        <w:t>September</w:t>
      </w:r>
      <w:r w:rsidR="00C2045D" w:rsidRPr="00B11CAC">
        <w:t> </w:t>
      </w:r>
      <w:r w:rsidR="00D01B51" w:rsidRPr="00B11CAC">
        <w:t>2016,</w:t>
      </w:r>
      <w:r w:rsidR="004C6FF7" w:rsidRPr="00B11CAC">
        <w:t xml:space="preserve"> </w:t>
      </w:r>
      <w:r w:rsidR="007942D0" w:rsidRPr="00B11CAC">
        <w:t xml:space="preserve">all </w:t>
      </w:r>
      <w:r w:rsidR="007F180D">
        <w:t>after the WA </w:t>
      </w:r>
      <w:r w:rsidR="004C6FF7" w:rsidRPr="00B11CAC">
        <w:t xml:space="preserve">RFA had been signed in 1999. </w:t>
      </w:r>
      <w:r w:rsidR="00A9379A" w:rsidRPr="00B11CAC">
        <w:rPr>
          <w:lang w:eastAsia="en-AU"/>
        </w:rPr>
        <w:t xml:space="preserve">Between </w:t>
      </w:r>
      <w:r w:rsidR="006444E0" w:rsidRPr="00B11CAC">
        <w:rPr>
          <w:lang w:eastAsia="en-AU"/>
        </w:rPr>
        <w:t>2001</w:t>
      </w:r>
      <w:r w:rsidR="00A9379A" w:rsidRPr="00B11CAC">
        <w:rPr>
          <w:lang w:eastAsia="en-AU"/>
        </w:rPr>
        <w:t xml:space="preserve"> and </w:t>
      </w:r>
      <w:r w:rsidR="006444E0" w:rsidRPr="00B11CAC">
        <w:rPr>
          <w:lang w:eastAsia="en-AU"/>
        </w:rPr>
        <w:t>2002</w:t>
      </w:r>
      <w:r w:rsidR="00A9379A" w:rsidRPr="00B11CAC">
        <w:rPr>
          <w:lang w:eastAsia="en-AU"/>
        </w:rPr>
        <w:t xml:space="preserve">, the WA Minister for Environment endorsed a list of ecological communities that were considered to be at threat of being destroyed. </w:t>
      </w:r>
      <w:r w:rsidR="0067459F" w:rsidRPr="009057B5">
        <w:rPr>
          <w:lang w:eastAsia="en-AU"/>
        </w:rPr>
        <w:t>In 2018</w:t>
      </w:r>
      <w:r w:rsidR="007F180D">
        <w:rPr>
          <w:lang w:eastAsia="en-AU"/>
        </w:rPr>
        <w:t>,</w:t>
      </w:r>
      <w:r w:rsidR="0067459F" w:rsidRPr="009057B5">
        <w:rPr>
          <w:lang w:eastAsia="en-AU"/>
        </w:rPr>
        <w:t xml:space="preserve"> </w:t>
      </w:r>
      <w:r w:rsidR="008857D7" w:rsidRPr="00CA3023">
        <w:rPr>
          <w:lang w:eastAsia="en-AU"/>
        </w:rPr>
        <w:t>27</w:t>
      </w:r>
      <w:r w:rsidR="0067459F">
        <w:rPr>
          <w:lang w:eastAsia="en-AU"/>
        </w:rPr>
        <w:t xml:space="preserve"> e</w:t>
      </w:r>
      <w:r w:rsidR="00A9379A" w:rsidRPr="00B11CAC">
        <w:rPr>
          <w:lang w:eastAsia="en-AU"/>
        </w:rPr>
        <w:t xml:space="preserve">cological communities were </w:t>
      </w:r>
      <w:r w:rsidR="007F180D">
        <w:rPr>
          <w:lang w:eastAsia="en-AU"/>
        </w:rPr>
        <w:t>listed in this manner in the WA </w:t>
      </w:r>
      <w:r w:rsidR="00A9379A" w:rsidRPr="00B11CAC">
        <w:rPr>
          <w:lang w:eastAsia="en-AU"/>
        </w:rPr>
        <w:t>RFA area.</w:t>
      </w:r>
    </w:p>
    <w:p w14:paraId="26ABCB0E" w14:textId="77777777" w:rsidR="00B27528" w:rsidRPr="00B27528" w:rsidRDefault="00B27528" w:rsidP="00B27528">
      <w:pPr>
        <w:rPr>
          <w:lang w:eastAsia="en-AU"/>
        </w:rPr>
      </w:pPr>
      <w:r>
        <w:rPr>
          <w:lang w:eastAsia="en-AU"/>
        </w:rPr>
        <w:t xml:space="preserve">A list of ecological communities </w:t>
      </w:r>
      <w:r w:rsidR="00F83E17">
        <w:rPr>
          <w:lang w:eastAsia="en-AU"/>
        </w:rPr>
        <w:t xml:space="preserve">occurring </w:t>
      </w:r>
      <w:r>
        <w:rPr>
          <w:lang w:eastAsia="en-AU"/>
        </w:rPr>
        <w:t>in the WA RFA region is provided at Appendix B.</w:t>
      </w:r>
    </w:p>
    <w:p w14:paraId="26ABCB0F" w14:textId="4863DAFA" w:rsidR="002227B6" w:rsidRDefault="002227B6" w:rsidP="002227B6">
      <w:pPr>
        <w:pStyle w:val="Caption"/>
        <w:keepNext/>
      </w:pPr>
      <w:bookmarkStart w:id="39" w:name="_Ref527450982"/>
      <w:bookmarkStart w:id="40" w:name="_Toc531002165"/>
      <w:r w:rsidRPr="00713D83">
        <w:t xml:space="preserve">Table </w:t>
      </w:r>
      <w:r w:rsidR="005C10D4" w:rsidRPr="00713D83">
        <w:rPr>
          <w:noProof/>
        </w:rPr>
        <w:fldChar w:fldCharType="begin"/>
      </w:r>
      <w:r w:rsidR="005C10D4" w:rsidRPr="00713D83">
        <w:rPr>
          <w:noProof/>
        </w:rPr>
        <w:instrText xml:space="preserve"> SEQ Table \* ARABIC </w:instrText>
      </w:r>
      <w:r w:rsidR="005C10D4" w:rsidRPr="00713D83">
        <w:rPr>
          <w:noProof/>
        </w:rPr>
        <w:fldChar w:fldCharType="separate"/>
      </w:r>
      <w:r w:rsidR="003C7091">
        <w:rPr>
          <w:noProof/>
        </w:rPr>
        <w:t>4</w:t>
      </w:r>
      <w:r w:rsidR="005C10D4" w:rsidRPr="00713D83">
        <w:rPr>
          <w:noProof/>
        </w:rPr>
        <w:fldChar w:fldCharType="end"/>
      </w:r>
      <w:bookmarkEnd w:id="39"/>
      <w:r w:rsidRPr="00713D83">
        <w:t>:</w:t>
      </w:r>
      <w:r>
        <w:t xml:space="preserve"> </w:t>
      </w:r>
      <w:r w:rsidRPr="00FE4BEE">
        <w:t>Number of Threatened Ecological Communities listed under the EPBC Act in the WA RFA region.</w:t>
      </w:r>
      <w:bookmarkEnd w:id="40"/>
    </w:p>
    <w:tbl>
      <w:tblPr>
        <w:tblStyle w:val="dpitablestyle"/>
        <w:tblW w:w="10065"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843"/>
        <w:gridCol w:w="1984"/>
        <w:gridCol w:w="1984"/>
        <w:gridCol w:w="1985"/>
      </w:tblGrid>
      <w:tr w:rsidR="004C6FF7" w:rsidRPr="00CE60B2" w14:paraId="26ABCB15" w14:textId="77777777" w:rsidTr="005F1CF3">
        <w:trPr>
          <w:cnfStyle w:val="100000000000" w:firstRow="1" w:lastRow="0" w:firstColumn="0" w:lastColumn="0" w:oddVBand="0" w:evenVBand="0" w:oddHBand="0" w:evenHBand="0" w:firstRowFirstColumn="0" w:firstRowLastColumn="0" w:lastRowFirstColumn="0" w:lastRowLastColumn="0"/>
          <w:trHeight w:val="666"/>
        </w:trPr>
        <w:tc>
          <w:tcPr>
            <w:tcW w:w="2269" w:type="dxa"/>
            <w:tcBorders>
              <w:bottom w:val="nil"/>
            </w:tcBorders>
          </w:tcPr>
          <w:p w14:paraId="26ABCB10" w14:textId="77777777" w:rsidR="004C6FF7" w:rsidRPr="00CE60B2" w:rsidRDefault="004C6FF7" w:rsidP="005F1CF3">
            <w:pPr>
              <w:rPr>
                <w:rFonts w:cs="Segoe UI"/>
              </w:rPr>
            </w:pPr>
          </w:p>
        </w:tc>
        <w:tc>
          <w:tcPr>
            <w:tcW w:w="1843" w:type="dxa"/>
            <w:tcBorders>
              <w:bottom w:val="nil"/>
            </w:tcBorders>
          </w:tcPr>
          <w:p w14:paraId="26ABCB11" w14:textId="77777777" w:rsidR="004C6FF7" w:rsidRPr="00CE60B2" w:rsidRDefault="004C6FF7" w:rsidP="005F1CF3">
            <w:pPr>
              <w:rPr>
                <w:rFonts w:cs="Segoe UI"/>
              </w:rPr>
            </w:pPr>
            <w:r w:rsidRPr="00CE60B2">
              <w:rPr>
                <w:rFonts w:cs="Segoe UI"/>
              </w:rPr>
              <w:t>Critically endangered</w:t>
            </w:r>
          </w:p>
        </w:tc>
        <w:tc>
          <w:tcPr>
            <w:tcW w:w="1984" w:type="dxa"/>
            <w:tcBorders>
              <w:bottom w:val="nil"/>
            </w:tcBorders>
          </w:tcPr>
          <w:p w14:paraId="26ABCB12" w14:textId="77777777" w:rsidR="004C6FF7" w:rsidRPr="00CE60B2" w:rsidRDefault="004C6FF7" w:rsidP="005F1CF3">
            <w:pPr>
              <w:rPr>
                <w:rFonts w:cs="Segoe UI"/>
              </w:rPr>
            </w:pPr>
            <w:r w:rsidRPr="00CE60B2">
              <w:rPr>
                <w:rFonts w:cs="Segoe UI"/>
              </w:rPr>
              <w:t>Endangered</w:t>
            </w:r>
          </w:p>
        </w:tc>
        <w:tc>
          <w:tcPr>
            <w:tcW w:w="1984" w:type="dxa"/>
            <w:tcBorders>
              <w:bottom w:val="nil"/>
            </w:tcBorders>
          </w:tcPr>
          <w:p w14:paraId="26ABCB13" w14:textId="77777777" w:rsidR="004C6FF7" w:rsidRPr="00CE60B2" w:rsidRDefault="004C6FF7" w:rsidP="005F1CF3">
            <w:pPr>
              <w:rPr>
                <w:rFonts w:cs="Segoe UI"/>
              </w:rPr>
            </w:pPr>
            <w:r w:rsidRPr="00CE60B2">
              <w:rPr>
                <w:rFonts w:cs="Segoe UI"/>
              </w:rPr>
              <w:t>Vulnerable</w:t>
            </w:r>
          </w:p>
        </w:tc>
        <w:tc>
          <w:tcPr>
            <w:tcW w:w="1985" w:type="dxa"/>
            <w:tcBorders>
              <w:bottom w:val="nil"/>
            </w:tcBorders>
          </w:tcPr>
          <w:p w14:paraId="26ABCB14" w14:textId="77777777" w:rsidR="004C6FF7" w:rsidRPr="00CE60B2" w:rsidRDefault="004C6FF7" w:rsidP="005F1CF3">
            <w:pPr>
              <w:rPr>
                <w:rFonts w:cs="Segoe UI"/>
              </w:rPr>
            </w:pPr>
            <w:r w:rsidRPr="00CE60B2">
              <w:rPr>
                <w:rFonts w:cs="Segoe UI"/>
              </w:rPr>
              <w:t>Total</w:t>
            </w:r>
          </w:p>
        </w:tc>
      </w:tr>
      <w:tr w:rsidR="004C6FF7" w:rsidRPr="00CE60B2" w14:paraId="26ABCB1B" w14:textId="77777777" w:rsidTr="005F1CF3">
        <w:trPr>
          <w:cnfStyle w:val="000000100000" w:firstRow="0" w:lastRow="0" w:firstColumn="0" w:lastColumn="0" w:oddVBand="0" w:evenVBand="0" w:oddHBand="1" w:evenHBand="0" w:firstRowFirstColumn="0" w:firstRowLastColumn="0" w:lastRowFirstColumn="0" w:lastRowLastColumn="0"/>
          <w:trHeight w:val="430"/>
        </w:trPr>
        <w:tc>
          <w:tcPr>
            <w:tcW w:w="2269" w:type="dxa"/>
            <w:tcBorders>
              <w:top w:val="single" w:sz="4" w:space="0" w:color="auto"/>
              <w:left w:val="nil"/>
              <w:bottom w:val="single" w:sz="4" w:space="0" w:color="auto"/>
              <w:right w:val="nil"/>
            </w:tcBorders>
          </w:tcPr>
          <w:p w14:paraId="26ABCB16" w14:textId="77777777" w:rsidR="004C6FF7" w:rsidRPr="00CE60B2" w:rsidRDefault="004C6FF7" w:rsidP="005F1CF3">
            <w:pPr>
              <w:rPr>
                <w:rFonts w:cs="Segoe UI"/>
                <w:b/>
              </w:rPr>
            </w:pPr>
            <w:r w:rsidRPr="00CE60B2">
              <w:rPr>
                <w:rFonts w:cs="Segoe UI"/>
                <w:b/>
              </w:rPr>
              <w:t>Total</w:t>
            </w:r>
          </w:p>
        </w:tc>
        <w:tc>
          <w:tcPr>
            <w:tcW w:w="1843" w:type="dxa"/>
            <w:tcBorders>
              <w:top w:val="single" w:sz="4" w:space="0" w:color="auto"/>
              <w:left w:val="nil"/>
              <w:bottom w:val="single" w:sz="4" w:space="0" w:color="auto"/>
              <w:right w:val="nil"/>
            </w:tcBorders>
          </w:tcPr>
          <w:p w14:paraId="26ABCB17" w14:textId="77777777" w:rsidR="004C6FF7" w:rsidRPr="00CE60B2" w:rsidRDefault="00844E59" w:rsidP="005F1CF3">
            <w:pPr>
              <w:rPr>
                <w:rFonts w:cs="Segoe UI"/>
              </w:rPr>
            </w:pPr>
            <w:r w:rsidRPr="00CE60B2">
              <w:rPr>
                <w:rFonts w:cs="Segoe UI"/>
              </w:rPr>
              <w:t>2</w:t>
            </w:r>
          </w:p>
        </w:tc>
        <w:tc>
          <w:tcPr>
            <w:tcW w:w="1984" w:type="dxa"/>
            <w:tcBorders>
              <w:top w:val="single" w:sz="4" w:space="0" w:color="auto"/>
              <w:left w:val="nil"/>
              <w:bottom w:val="single" w:sz="4" w:space="0" w:color="auto"/>
              <w:right w:val="nil"/>
            </w:tcBorders>
          </w:tcPr>
          <w:p w14:paraId="26ABCB18" w14:textId="77777777" w:rsidR="004C6FF7" w:rsidRPr="00CE60B2" w:rsidRDefault="00844E59" w:rsidP="00957D43">
            <w:pPr>
              <w:rPr>
                <w:rFonts w:cs="Segoe UI"/>
              </w:rPr>
            </w:pPr>
            <w:r w:rsidRPr="00CE60B2">
              <w:rPr>
                <w:rFonts w:cs="Segoe UI"/>
              </w:rPr>
              <w:t>1</w:t>
            </w:r>
            <w:r w:rsidR="001238A9" w:rsidRPr="00CE60B2">
              <w:rPr>
                <w:rFonts w:cs="Segoe UI"/>
              </w:rPr>
              <w:t>2</w:t>
            </w:r>
          </w:p>
        </w:tc>
        <w:tc>
          <w:tcPr>
            <w:tcW w:w="1984" w:type="dxa"/>
            <w:tcBorders>
              <w:top w:val="single" w:sz="4" w:space="0" w:color="auto"/>
              <w:left w:val="nil"/>
              <w:bottom w:val="single" w:sz="4" w:space="0" w:color="auto"/>
              <w:right w:val="nil"/>
            </w:tcBorders>
          </w:tcPr>
          <w:p w14:paraId="26ABCB19" w14:textId="77777777" w:rsidR="004C6FF7" w:rsidRPr="00CE60B2" w:rsidRDefault="00844E59" w:rsidP="005F1CF3">
            <w:pPr>
              <w:rPr>
                <w:rFonts w:cs="Segoe UI"/>
              </w:rPr>
            </w:pPr>
            <w:r w:rsidRPr="00CE60B2">
              <w:rPr>
                <w:rFonts w:cs="Segoe UI"/>
              </w:rPr>
              <w:t>1</w:t>
            </w:r>
          </w:p>
        </w:tc>
        <w:tc>
          <w:tcPr>
            <w:tcW w:w="1985" w:type="dxa"/>
            <w:tcBorders>
              <w:top w:val="single" w:sz="4" w:space="0" w:color="auto"/>
              <w:left w:val="nil"/>
              <w:bottom w:val="single" w:sz="4" w:space="0" w:color="auto"/>
              <w:right w:val="nil"/>
            </w:tcBorders>
          </w:tcPr>
          <w:p w14:paraId="26ABCB1A" w14:textId="77777777" w:rsidR="004C6FF7" w:rsidRPr="00CE60B2" w:rsidRDefault="00844E59" w:rsidP="001238A9">
            <w:pPr>
              <w:rPr>
                <w:rFonts w:cs="Segoe UI"/>
              </w:rPr>
            </w:pPr>
            <w:r w:rsidRPr="00CE60B2">
              <w:rPr>
                <w:rFonts w:cs="Segoe UI"/>
              </w:rPr>
              <w:t>1</w:t>
            </w:r>
            <w:r w:rsidR="001238A9" w:rsidRPr="00CE60B2">
              <w:rPr>
                <w:rFonts w:cs="Segoe UI"/>
              </w:rPr>
              <w:t>5</w:t>
            </w:r>
          </w:p>
        </w:tc>
      </w:tr>
    </w:tbl>
    <w:p w14:paraId="26ABCB1C" w14:textId="77777777" w:rsidR="00AB7488" w:rsidRPr="00CE60B2" w:rsidRDefault="00AB7488" w:rsidP="00D15AAD">
      <w:pPr>
        <w:pStyle w:val="Heading4"/>
        <w:rPr>
          <w:rFonts w:cs="Segoe UI"/>
        </w:rPr>
      </w:pPr>
      <w:bookmarkStart w:id="41" w:name="_Toc381089210"/>
      <w:r w:rsidRPr="00CE60B2">
        <w:rPr>
          <w:rFonts w:cs="Segoe UI"/>
        </w:rPr>
        <w:t xml:space="preserve">Status of Listed Communities recovery plans and conservation advice </w:t>
      </w:r>
    </w:p>
    <w:p w14:paraId="26ABCB1D" w14:textId="2EE8E07A" w:rsidR="004C6FF7" w:rsidRPr="00CE60B2" w:rsidRDefault="004C6FF7" w:rsidP="00CE60B2">
      <w:pPr>
        <w:rPr>
          <w:lang w:eastAsia="en-AU"/>
        </w:rPr>
      </w:pPr>
      <w:r w:rsidRPr="00CE60B2">
        <w:t xml:space="preserve">Of the </w:t>
      </w:r>
      <w:r w:rsidR="00844E59" w:rsidRPr="00CE60B2">
        <w:t>1</w:t>
      </w:r>
      <w:r w:rsidR="00FB5412" w:rsidRPr="00CE60B2">
        <w:t>5</w:t>
      </w:r>
      <w:r w:rsidRPr="00CE60B2">
        <w:t xml:space="preserve"> EPBC listed threatened ecological communit</w:t>
      </w:r>
      <w:r w:rsidR="002227B6">
        <w:t>ies within WA</w:t>
      </w:r>
      <w:r w:rsidR="00C2045D">
        <w:t> </w:t>
      </w:r>
      <w:r w:rsidR="002227B6">
        <w:t>RFA region (</w:t>
      </w:r>
      <w:r w:rsidR="006B2344" w:rsidRPr="00713D83">
        <w:fldChar w:fldCharType="begin"/>
      </w:r>
      <w:r w:rsidR="006B2344" w:rsidRPr="00713D83">
        <w:instrText xml:space="preserve"> REF _Ref527450982 </w:instrText>
      </w:r>
      <w:r w:rsidR="00090EDC" w:rsidRPr="00713D83">
        <w:instrText xml:space="preserve"> \* MERGEFORMAT </w:instrText>
      </w:r>
      <w:r w:rsidR="006B2344" w:rsidRPr="00713D83">
        <w:fldChar w:fldCharType="separate"/>
      </w:r>
      <w:r w:rsidR="003C7091" w:rsidRPr="00713D83">
        <w:t xml:space="preserve">Table </w:t>
      </w:r>
      <w:r w:rsidR="003C7091">
        <w:rPr>
          <w:noProof/>
        </w:rPr>
        <w:t>4</w:t>
      </w:r>
      <w:r w:rsidR="006B2344" w:rsidRPr="00713D83">
        <w:rPr>
          <w:noProof/>
        </w:rPr>
        <w:fldChar w:fldCharType="end"/>
      </w:r>
      <w:r w:rsidRPr="00CE60B2">
        <w:t xml:space="preserve">), all have either a conservation advice, recovery plan or both in place to </w:t>
      </w:r>
      <w:r w:rsidR="00997ADD">
        <w:t>guide their</w:t>
      </w:r>
      <w:r w:rsidRPr="00CE60B2">
        <w:t xml:space="preserve"> recovery. </w:t>
      </w:r>
    </w:p>
    <w:bookmarkEnd w:id="41"/>
    <w:p w14:paraId="26ABCB1E" w14:textId="77777777" w:rsidR="00AB7488" w:rsidRPr="00CE60B2" w:rsidRDefault="00AB7488" w:rsidP="00D728C2">
      <w:pPr>
        <w:pStyle w:val="Heading4"/>
        <w:rPr>
          <w:rFonts w:cs="Segoe UI"/>
          <w:b w:val="0"/>
          <w:sz w:val="24"/>
        </w:rPr>
      </w:pPr>
      <w:r w:rsidRPr="00CE60B2">
        <w:rPr>
          <w:rFonts w:cs="Segoe UI"/>
          <w:sz w:val="24"/>
        </w:rPr>
        <w:t xml:space="preserve">Key threatening processes </w:t>
      </w:r>
    </w:p>
    <w:p w14:paraId="26ABCB1F" w14:textId="1CDACF8D" w:rsidR="00FD2316" w:rsidRDefault="00AB7488" w:rsidP="00AB7488">
      <w:pPr>
        <w:rPr>
          <w:rFonts w:cs="Segoe UI"/>
        </w:rPr>
      </w:pPr>
      <w:r w:rsidRPr="00CE60B2">
        <w:rPr>
          <w:rFonts w:cs="Segoe UI"/>
          <w:lang w:val="en"/>
        </w:rPr>
        <w:t xml:space="preserve">There are </w:t>
      </w:r>
      <w:r w:rsidR="00356EC1" w:rsidRPr="00CE60B2">
        <w:rPr>
          <w:rFonts w:cs="Segoe UI"/>
          <w:lang w:val="en"/>
        </w:rPr>
        <w:t xml:space="preserve">12 </w:t>
      </w:r>
      <w:r w:rsidRPr="00CE60B2">
        <w:rPr>
          <w:rFonts w:cs="Segoe UI"/>
          <w:lang w:val="en"/>
        </w:rPr>
        <w:t xml:space="preserve">threatening processes </w:t>
      </w:r>
      <w:r w:rsidR="00FC797A" w:rsidRPr="00CE60B2">
        <w:rPr>
          <w:rFonts w:cs="Segoe UI"/>
          <w:lang w:val="en"/>
        </w:rPr>
        <w:t>listed under the EPBC</w:t>
      </w:r>
      <w:r w:rsidR="00C2045D">
        <w:rPr>
          <w:rFonts w:cs="Segoe UI"/>
          <w:lang w:val="en"/>
        </w:rPr>
        <w:t> </w:t>
      </w:r>
      <w:r w:rsidR="00FC797A" w:rsidRPr="00CE60B2">
        <w:rPr>
          <w:rFonts w:cs="Segoe UI"/>
          <w:lang w:val="en"/>
        </w:rPr>
        <w:t>Act</w:t>
      </w:r>
      <w:r w:rsidRPr="00CE60B2">
        <w:rPr>
          <w:rFonts w:cs="Segoe UI"/>
          <w:lang w:val="en"/>
        </w:rPr>
        <w:t xml:space="preserve"> </w:t>
      </w:r>
      <w:r w:rsidR="00EE7BBF">
        <w:rPr>
          <w:rFonts w:cs="Segoe UI"/>
          <w:lang w:val="en"/>
        </w:rPr>
        <w:t xml:space="preserve">potentially </w:t>
      </w:r>
      <w:r w:rsidRPr="00CE60B2">
        <w:rPr>
          <w:rFonts w:cs="Segoe UI"/>
          <w:lang w:val="en"/>
        </w:rPr>
        <w:t xml:space="preserve">affecting threatened species in the </w:t>
      </w:r>
      <w:r w:rsidR="005F5553" w:rsidRPr="00CE60B2">
        <w:rPr>
          <w:rFonts w:cs="Segoe UI"/>
          <w:lang w:val="en"/>
        </w:rPr>
        <w:t>WA</w:t>
      </w:r>
      <w:r w:rsidR="007F180D">
        <w:rPr>
          <w:rFonts w:cs="Segoe UI"/>
          <w:lang w:val="en"/>
        </w:rPr>
        <w:t> </w:t>
      </w:r>
      <w:r w:rsidRPr="00CE60B2">
        <w:rPr>
          <w:rFonts w:cs="Segoe UI"/>
          <w:lang w:val="en"/>
        </w:rPr>
        <w:t>RFA region (see</w:t>
      </w:r>
      <w:r w:rsidR="002227B6">
        <w:rPr>
          <w:rFonts w:cs="Segoe UI"/>
          <w:lang w:val="en"/>
        </w:rPr>
        <w:t xml:space="preserve"> </w:t>
      </w:r>
      <w:r w:rsidR="002227B6" w:rsidRPr="00713D83">
        <w:rPr>
          <w:rFonts w:cs="Segoe UI"/>
          <w:lang w:val="en"/>
        </w:rPr>
        <w:fldChar w:fldCharType="begin"/>
      </w:r>
      <w:r w:rsidR="002227B6" w:rsidRPr="00713D83">
        <w:rPr>
          <w:rFonts w:cs="Segoe UI"/>
          <w:lang w:val="en"/>
        </w:rPr>
        <w:instrText xml:space="preserve"> REF _Ref527451120 </w:instrText>
      </w:r>
      <w:r w:rsidR="00090EDC" w:rsidRPr="00713D83">
        <w:rPr>
          <w:rFonts w:cs="Segoe UI"/>
          <w:lang w:val="en"/>
        </w:rPr>
        <w:instrText xml:space="preserve"> \* MERGEFORMAT </w:instrText>
      </w:r>
      <w:r w:rsidR="002227B6" w:rsidRPr="00713D83">
        <w:rPr>
          <w:rFonts w:cs="Segoe UI"/>
          <w:lang w:val="en"/>
        </w:rPr>
        <w:fldChar w:fldCharType="separate"/>
      </w:r>
      <w:r w:rsidR="003C7091" w:rsidRPr="00713D83">
        <w:t xml:space="preserve">Table </w:t>
      </w:r>
      <w:r w:rsidR="003C7091">
        <w:rPr>
          <w:noProof/>
        </w:rPr>
        <w:t>5</w:t>
      </w:r>
      <w:r w:rsidR="002227B6" w:rsidRPr="00713D83">
        <w:rPr>
          <w:rFonts w:cs="Segoe UI"/>
          <w:lang w:val="en"/>
        </w:rPr>
        <w:fldChar w:fldCharType="end"/>
      </w:r>
      <w:r w:rsidR="007F180D">
        <w:rPr>
          <w:rFonts w:cs="Segoe UI"/>
          <w:lang w:val="en"/>
        </w:rPr>
        <w:t xml:space="preserve">). </w:t>
      </w:r>
      <w:r w:rsidRPr="00CE60B2">
        <w:rPr>
          <w:rFonts w:cs="Segoe UI"/>
        </w:rPr>
        <w:t xml:space="preserve">The Australian Government has </w:t>
      </w:r>
      <w:r w:rsidRPr="00CE60B2">
        <w:rPr>
          <w:rFonts w:cs="Segoe UI"/>
        </w:rPr>
        <w:lastRenderedPageBreak/>
        <w:t>developed threat abatement plans for most of the key threatening processes registered under the EPBC</w:t>
      </w:r>
      <w:r w:rsidR="00C2045D">
        <w:rPr>
          <w:rFonts w:cs="Segoe UI"/>
        </w:rPr>
        <w:t> </w:t>
      </w:r>
      <w:r w:rsidRPr="00CE60B2">
        <w:rPr>
          <w:rFonts w:cs="Segoe UI"/>
        </w:rPr>
        <w:t xml:space="preserve">Act. </w:t>
      </w:r>
    </w:p>
    <w:p w14:paraId="26ABCB20" w14:textId="05BB176D" w:rsidR="00C83CE3" w:rsidRDefault="00C83CE3" w:rsidP="00C83CE3">
      <w:pPr>
        <w:pStyle w:val="Caption"/>
        <w:keepNext/>
      </w:pPr>
      <w:bookmarkStart w:id="42" w:name="_Ref527451120"/>
      <w:bookmarkStart w:id="43" w:name="_Toc531002166"/>
      <w:r w:rsidRPr="00713D83">
        <w:t xml:space="preserve">Table </w:t>
      </w:r>
      <w:r w:rsidRPr="00713D83">
        <w:rPr>
          <w:noProof/>
        </w:rPr>
        <w:fldChar w:fldCharType="begin"/>
      </w:r>
      <w:r w:rsidRPr="00713D83">
        <w:rPr>
          <w:noProof/>
        </w:rPr>
        <w:instrText xml:space="preserve"> SEQ Table \* ARABIC </w:instrText>
      </w:r>
      <w:r w:rsidRPr="00713D83">
        <w:rPr>
          <w:noProof/>
        </w:rPr>
        <w:fldChar w:fldCharType="separate"/>
      </w:r>
      <w:r w:rsidR="003C7091">
        <w:rPr>
          <w:noProof/>
        </w:rPr>
        <w:t>5</w:t>
      </w:r>
      <w:r w:rsidRPr="00713D83">
        <w:rPr>
          <w:noProof/>
        </w:rPr>
        <w:fldChar w:fldCharType="end"/>
      </w:r>
      <w:bookmarkEnd w:id="42"/>
      <w:r w:rsidRPr="00713D83">
        <w:t>:</w:t>
      </w:r>
      <w:r>
        <w:t xml:space="preserve"> EPBC listed k</w:t>
      </w:r>
      <w:r w:rsidRPr="00BA6385">
        <w:t>ey threatening processes</w:t>
      </w:r>
      <w:r w:rsidR="004C1FB6">
        <w:t xml:space="preserve"> potentially</w:t>
      </w:r>
      <w:r w:rsidRPr="00BA6385">
        <w:t xml:space="preserve"> affecting threatened species in WA RFA region</w:t>
      </w:r>
      <w:bookmarkEnd w:id="43"/>
    </w:p>
    <w:tbl>
      <w:tblPr>
        <w:tblStyle w:val="dpitablestyle"/>
        <w:tblW w:w="10104"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640"/>
        <w:gridCol w:w="3954"/>
      </w:tblGrid>
      <w:tr w:rsidR="00C83CE3" w:rsidRPr="00CE60B2" w14:paraId="26ABCB24" w14:textId="77777777" w:rsidTr="005E56C8">
        <w:trPr>
          <w:cnfStyle w:val="100000000000" w:firstRow="1" w:lastRow="0" w:firstColumn="0" w:lastColumn="0" w:oddVBand="0" w:evenVBand="0" w:oddHBand="0" w:evenHBand="0" w:firstRowFirstColumn="0" w:firstRowLastColumn="0" w:lastRowFirstColumn="0" w:lastRowLastColumn="0"/>
          <w:trHeight w:val="666"/>
        </w:trPr>
        <w:tc>
          <w:tcPr>
            <w:tcW w:w="4510" w:type="dxa"/>
            <w:tcBorders>
              <w:top w:val="none" w:sz="0" w:space="0" w:color="auto"/>
              <w:left w:val="none" w:sz="0" w:space="0" w:color="auto"/>
              <w:bottom w:val="none" w:sz="0" w:space="0" w:color="auto"/>
              <w:right w:val="none" w:sz="0" w:space="0" w:color="auto"/>
            </w:tcBorders>
          </w:tcPr>
          <w:p w14:paraId="26ABCB21" w14:textId="77777777" w:rsidR="00C83CE3" w:rsidRPr="00CE60B2" w:rsidRDefault="00C83CE3" w:rsidP="005E56C8">
            <w:pPr>
              <w:rPr>
                <w:rFonts w:cs="Segoe UI"/>
              </w:rPr>
            </w:pPr>
            <w:r w:rsidRPr="00CE60B2">
              <w:rPr>
                <w:rFonts w:cs="Segoe UI"/>
              </w:rPr>
              <w:t>EPBC listed key threatening process</w:t>
            </w:r>
          </w:p>
        </w:tc>
        <w:tc>
          <w:tcPr>
            <w:tcW w:w="1640" w:type="dxa"/>
            <w:tcBorders>
              <w:top w:val="none" w:sz="0" w:space="0" w:color="auto"/>
              <w:left w:val="none" w:sz="0" w:space="0" w:color="auto"/>
              <w:bottom w:val="none" w:sz="0" w:space="0" w:color="auto"/>
              <w:right w:val="none" w:sz="0" w:space="0" w:color="auto"/>
            </w:tcBorders>
          </w:tcPr>
          <w:p w14:paraId="26ABCB22" w14:textId="77777777" w:rsidR="00C83CE3" w:rsidRPr="00CE60B2" w:rsidRDefault="00C83CE3" w:rsidP="005E56C8">
            <w:pPr>
              <w:rPr>
                <w:rFonts w:cs="Segoe UI"/>
              </w:rPr>
            </w:pPr>
            <w:r w:rsidRPr="00CE60B2">
              <w:rPr>
                <w:rFonts w:cs="Segoe UI"/>
              </w:rPr>
              <w:t>Effective listing date</w:t>
            </w:r>
          </w:p>
        </w:tc>
        <w:tc>
          <w:tcPr>
            <w:tcW w:w="3954" w:type="dxa"/>
            <w:tcBorders>
              <w:top w:val="none" w:sz="0" w:space="0" w:color="auto"/>
              <w:left w:val="none" w:sz="0" w:space="0" w:color="auto"/>
              <w:bottom w:val="none" w:sz="0" w:space="0" w:color="auto"/>
              <w:right w:val="none" w:sz="0" w:space="0" w:color="auto"/>
            </w:tcBorders>
          </w:tcPr>
          <w:p w14:paraId="26ABCB23" w14:textId="77777777" w:rsidR="00C83CE3" w:rsidRPr="00CE60B2" w:rsidRDefault="00C83CE3" w:rsidP="005E56C8">
            <w:pPr>
              <w:rPr>
                <w:rFonts w:cs="Segoe UI"/>
              </w:rPr>
            </w:pPr>
            <w:r w:rsidRPr="00CE60B2">
              <w:rPr>
                <w:rFonts w:cs="Segoe UI"/>
              </w:rPr>
              <w:t>Threat abatement plan date of approval</w:t>
            </w:r>
          </w:p>
        </w:tc>
      </w:tr>
      <w:tr w:rsidR="00C83CE3" w:rsidRPr="008913FD" w14:paraId="26ABCB28" w14:textId="77777777" w:rsidTr="005E56C8">
        <w:trPr>
          <w:cnfStyle w:val="000000100000" w:firstRow="0" w:lastRow="0" w:firstColumn="0" w:lastColumn="0" w:oddVBand="0" w:evenVBand="0" w:oddHBand="1" w:evenHBand="0" w:firstRowFirstColumn="0" w:firstRowLastColumn="0" w:lastRowFirstColumn="0" w:lastRowLastColumn="0"/>
          <w:trHeight w:val="430"/>
        </w:trPr>
        <w:tc>
          <w:tcPr>
            <w:tcW w:w="4510" w:type="dxa"/>
            <w:tcBorders>
              <w:bottom w:val="single" w:sz="4" w:space="0" w:color="auto"/>
            </w:tcBorders>
          </w:tcPr>
          <w:p w14:paraId="26ABCB25" w14:textId="77777777" w:rsidR="00C83CE3" w:rsidRPr="008913FD" w:rsidRDefault="00C83CE3" w:rsidP="005E56C8">
            <w:pPr>
              <w:spacing w:before="0" w:after="0"/>
              <w:rPr>
                <w:rFonts w:cs="Segoe UI"/>
                <w:color w:val="auto"/>
              </w:rPr>
            </w:pPr>
            <w:r w:rsidRPr="008913FD">
              <w:rPr>
                <w:rFonts w:cs="Segoe UI"/>
                <w:color w:val="auto"/>
                <w:sz w:val="22"/>
              </w:rPr>
              <w:t>Competition and land degradation by rabbits</w:t>
            </w:r>
          </w:p>
        </w:tc>
        <w:tc>
          <w:tcPr>
            <w:tcW w:w="1640" w:type="dxa"/>
            <w:tcBorders>
              <w:bottom w:val="none" w:sz="0" w:space="0" w:color="auto"/>
            </w:tcBorders>
          </w:tcPr>
          <w:p w14:paraId="26ABCB26" w14:textId="77777777" w:rsidR="00C83CE3" w:rsidRPr="008913FD" w:rsidRDefault="00C83CE3" w:rsidP="005E56C8">
            <w:pPr>
              <w:rPr>
                <w:rFonts w:cs="Segoe UI"/>
                <w:color w:val="auto"/>
              </w:rPr>
            </w:pPr>
            <w:r w:rsidRPr="008913FD">
              <w:rPr>
                <w:rFonts w:cs="Segoe UI"/>
                <w:color w:val="auto"/>
              </w:rPr>
              <w:t>16 July 2000</w:t>
            </w:r>
          </w:p>
        </w:tc>
        <w:tc>
          <w:tcPr>
            <w:tcW w:w="3954" w:type="dxa"/>
            <w:tcBorders>
              <w:bottom w:val="none" w:sz="0" w:space="0" w:color="auto"/>
            </w:tcBorders>
          </w:tcPr>
          <w:p w14:paraId="26ABCB27" w14:textId="77777777" w:rsidR="00C83CE3" w:rsidRPr="008913FD" w:rsidRDefault="00C83CE3" w:rsidP="005E56C8">
            <w:pPr>
              <w:rPr>
                <w:rFonts w:cs="Segoe UI"/>
                <w:color w:val="auto"/>
              </w:rPr>
            </w:pPr>
            <w:r w:rsidRPr="008913FD">
              <w:rPr>
                <w:rFonts w:cs="Segoe UI"/>
                <w:color w:val="auto"/>
              </w:rPr>
              <w:t>2016</w:t>
            </w:r>
          </w:p>
        </w:tc>
      </w:tr>
      <w:tr w:rsidR="00C83CE3" w:rsidRPr="00CE60B2" w14:paraId="26ABCB2C" w14:textId="77777777" w:rsidTr="005E56C8">
        <w:trPr>
          <w:cnfStyle w:val="000000010000" w:firstRow="0" w:lastRow="0" w:firstColumn="0" w:lastColumn="0" w:oddVBand="0" w:evenVBand="0" w:oddHBand="0" w:evenHBand="1" w:firstRowFirstColumn="0" w:firstRowLastColumn="0" w:lastRowFirstColumn="0" w:lastRowLastColumn="0"/>
          <w:trHeight w:val="430"/>
        </w:trPr>
        <w:tc>
          <w:tcPr>
            <w:tcW w:w="4510" w:type="dxa"/>
            <w:tcBorders>
              <w:left w:val="single" w:sz="4" w:space="0" w:color="auto"/>
              <w:bottom w:val="none" w:sz="0" w:space="0" w:color="auto"/>
            </w:tcBorders>
          </w:tcPr>
          <w:p w14:paraId="26ABCB29" w14:textId="77777777" w:rsidR="00C83CE3" w:rsidRPr="00CE60B2" w:rsidRDefault="00C83CE3" w:rsidP="005E56C8">
            <w:pPr>
              <w:spacing w:before="0" w:after="0"/>
              <w:rPr>
                <w:rFonts w:cs="Segoe UI"/>
              </w:rPr>
            </w:pPr>
            <w:r w:rsidRPr="00CE60B2">
              <w:rPr>
                <w:rFonts w:cs="Segoe UI"/>
                <w:color w:val="000000"/>
                <w:sz w:val="22"/>
              </w:rPr>
              <w:t>Competition and land degradation by unmanaged goats</w:t>
            </w:r>
          </w:p>
        </w:tc>
        <w:tc>
          <w:tcPr>
            <w:tcW w:w="1640" w:type="dxa"/>
            <w:tcBorders>
              <w:bottom w:val="none" w:sz="0" w:space="0" w:color="auto"/>
            </w:tcBorders>
          </w:tcPr>
          <w:p w14:paraId="26ABCB2A" w14:textId="77777777" w:rsidR="00C83CE3" w:rsidRPr="00CE60B2" w:rsidRDefault="00C83CE3" w:rsidP="005E56C8">
            <w:pPr>
              <w:rPr>
                <w:rFonts w:cs="Segoe UI"/>
              </w:rPr>
            </w:pPr>
            <w:r w:rsidRPr="00CE60B2">
              <w:rPr>
                <w:rFonts w:cs="Segoe UI"/>
              </w:rPr>
              <w:t>16 July 2000</w:t>
            </w:r>
          </w:p>
        </w:tc>
        <w:tc>
          <w:tcPr>
            <w:tcW w:w="3954" w:type="dxa"/>
            <w:tcBorders>
              <w:bottom w:val="none" w:sz="0" w:space="0" w:color="auto"/>
            </w:tcBorders>
          </w:tcPr>
          <w:p w14:paraId="26ABCB2B" w14:textId="77777777" w:rsidR="00C83CE3" w:rsidRPr="00CE60B2" w:rsidRDefault="00C83CE3" w:rsidP="005E56C8">
            <w:pPr>
              <w:rPr>
                <w:rFonts w:cs="Segoe UI"/>
              </w:rPr>
            </w:pPr>
            <w:r w:rsidRPr="00CE60B2">
              <w:rPr>
                <w:rFonts w:cs="Segoe UI"/>
              </w:rPr>
              <w:t>2008</w:t>
            </w:r>
          </w:p>
        </w:tc>
      </w:tr>
      <w:tr w:rsidR="00C83CE3" w:rsidRPr="00CE60B2" w14:paraId="26ABCB30" w14:textId="77777777" w:rsidTr="005E56C8">
        <w:trPr>
          <w:cnfStyle w:val="000000100000" w:firstRow="0" w:lastRow="0" w:firstColumn="0" w:lastColumn="0" w:oddVBand="0" w:evenVBand="0" w:oddHBand="1" w:evenHBand="0" w:firstRowFirstColumn="0" w:firstRowLastColumn="0" w:lastRowFirstColumn="0" w:lastRowLastColumn="0"/>
          <w:trHeight w:val="430"/>
        </w:trPr>
        <w:tc>
          <w:tcPr>
            <w:tcW w:w="4510" w:type="dxa"/>
            <w:tcBorders>
              <w:bottom w:val="single" w:sz="4" w:space="0" w:color="auto"/>
            </w:tcBorders>
          </w:tcPr>
          <w:p w14:paraId="26ABCB2D" w14:textId="77777777" w:rsidR="00C83CE3" w:rsidRPr="00CE60B2" w:rsidRDefault="00C83CE3" w:rsidP="005E56C8">
            <w:pPr>
              <w:spacing w:before="0" w:after="0"/>
              <w:rPr>
                <w:rFonts w:cs="Segoe UI"/>
              </w:rPr>
            </w:pPr>
            <w:r w:rsidRPr="00CE60B2">
              <w:rPr>
                <w:rFonts w:cs="Segoe UI"/>
                <w:color w:val="000000"/>
                <w:sz w:val="22"/>
              </w:rPr>
              <w:t>Dieback caused by the root-rot fungus (</w:t>
            </w:r>
            <w:r w:rsidRPr="00CE60B2">
              <w:rPr>
                <w:rFonts w:cs="Segoe UI"/>
                <w:i/>
                <w:iCs/>
                <w:color w:val="000000"/>
                <w:sz w:val="22"/>
              </w:rPr>
              <w:t>Phytophthora cinnamomi</w:t>
            </w:r>
            <w:r w:rsidRPr="00CE60B2">
              <w:rPr>
                <w:rFonts w:cs="Segoe UI"/>
                <w:color w:val="000000"/>
                <w:sz w:val="22"/>
              </w:rPr>
              <w:t>)</w:t>
            </w:r>
          </w:p>
        </w:tc>
        <w:tc>
          <w:tcPr>
            <w:tcW w:w="1640" w:type="dxa"/>
            <w:tcBorders>
              <w:bottom w:val="none" w:sz="0" w:space="0" w:color="auto"/>
            </w:tcBorders>
          </w:tcPr>
          <w:p w14:paraId="26ABCB2E" w14:textId="77777777" w:rsidR="00C83CE3" w:rsidRPr="00CE60B2" w:rsidRDefault="00C83CE3" w:rsidP="005E56C8">
            <w:pPr>
              <w:rPr>
                <w:rFonts w:cs="Segoe UI"/>
              </w:rPr>
            </w:pPr>
            <w:r w:rsidRPr="00CE60B2">
              <w:rPr>
                <w:rFonts w:cs="Segoe UI"/>
              </w:rPr>
              <w:t>16 July 2000</w:t>
            </w:r>
          </w:p>
        </w:tc>
        <w:tc>
          <w:tcPr>
            <w:tcW w:w="3954" w:type="dxa"/>
            <w:tcBorders>
              <w:bottom w:val="none" w:sz="0" w:space="0" w:color="auto"/>
            </w:tcBorders>
          </w:tcPr>
          <w:p w14:paraId="26ABCB2F" w14:textId="77777777" w:rsidR="00C83CE3" w:rsidRPr="00CE60B2" w:rsidRDefault="00C83CE3" w:rsidP="005E56C8">
            <w:pPr>
              <w:rPr>
                <w:rFonts w:cs="Segoe UI"/>
              </w:rPr>
            </w:pPr>
            <w:r w:rsidRPr="00CE60B2">
              <w:rPr>
                <w:rFonts w:cs="Segoe UI"/>
              </w:rPr>
              <w:t>2014</w:t>
            </w:r>
          </w:p>
        </w:tc>
      </w:tr>
      <w:tr w:rsidR="00C83CE3" w:rsidRPr="00CE60B2" w14:paraId="26ABCB34" w14:textId="77777777" w:rsidTr="005E56C8">
        <w:trPr>
          <w:cnfStyle w:val="000000010000" w:firstRow="0" w:lastRow="0" w:firstColumn="0" w:lastColumn="0" w:oddVBand="0" w:evenVBand="0" w:oddHBand="0" w:evenHBand="1" w:firstRowFirstColumn="0" w:firstRowLastColumn="0" w:lastRowFirstColumn="0" w:lastRowLastColumn="0"/>
          <w:trHeight w:val="430"/>
        </w:trPr>
        <w:tc>
          <w:tcPr>
            <w:tcW w:w="4510" w:type="dxa"/>
            <w:tcBorders>
              <w:left w:val="single" w:sz="4" w:space="0" w:color="auto"/>
              <w:bottom w:val="none" w:sz="0" w:space="0" w:color="auto"/>
            </w:tcBorders>
          </w:tcPr>
          <w:p w14:paraId="26ABCB31" w14:textId="77777777" w:rsidR="00C83CE3" w:rsidRPr="00CE60B2" w:rsidRDefault="00C83CE3" w:rsidP="005E56C8">
            <w:pPr>
              <w:spacing w:before="0" w:after="0"/>
              <w:rPr>
                <w:rFonts w:cs="Segoe UI"/>
              </w:rPr>
            </w:pPr>
            <w:r w:rsidRPr="00CE60B2">
              <w:rPr>
                <w:rFonts w:cs="Segoe UI"/>
                <w:color w:val="000000"/>
                <w:sz w:val="22"/>
              </w:rPr>
              <w:t>Infection of amphibians with chytrid fungus resulting in chytridiomycosis</w:t>
            </w:r>
          </w:p>
        </w:tc>
        <w:tc>
          <w:tcPr>
            <w:tcW w:w="1640" w:type="dxa"/>
            <w:tcBorders>
              <w:bottom w:val="none" w:sz="0" w:space="0" w:color="auto"/>
            </w:tcBorders>
          </w:tcPr>
          <w:p w14:paraId="26ABCB32" w14:textId="77777777" w:rsidR="00C83CE3" w:rsidRPr="00CE60B2" w:rsidRDefault="00C83CE3" w:rsidP="005E56C8">
            <w:pPr>
              <w:rPr>
                <w:rFonts w:cs="Segoe UI"/>
              </w:rPr>
            </w:pPr>
            <w:r w:rsidRPr="00CE60B2">
              <w:rPr>
                <w:rFonts w:cs="Segoe UI"/>
              </w:rPr>
              <w:t>23 July 2002</w:t>
            </w:r>
          </w:p>
        </w:tc>
        <w:tc>
          <w:tcPr>
            <w:tcW w:w="3954" w:type="dxa"/>
            <w:tcBorders>
              <w:bottom w:val="none" w:sz="0" w:space="0" w:color="auto"/>
            </w:tcBorders>
          </w:tcPr>
          <w:p w14:paraId="26ABCB33" w14:textId="77777777" w:rsidR="00C83CE3" w:rsidRPr="00CE60B2" w:rsidRDefault="00C83CE3" w:rsidP="005E56C8">
            <w:pPr>
              <w:rPr>
                <w:rFonts w:cs="Segoe UI"/>
              </w:rPr>
            </w:pPr>
            <w:r w:rsidRPr="00CE60B2">
              <w:rPr>
                <w:rFonts w:cs="Segoe UI"/>
              </w:rPr>
              <w:t>2016</w:t>
            </w:r>
          </w:p>
        </w:tc>
      </w:tr>
      <w:tr w:rsidR="00C83CE3" w:rsidRPr="00CE60B2" w14:paraId="26ABCB38" w14:textId="77777777" w:rsidTr="005E56C8">
        <w:trPr>
          <w:cnfStyle w:val="000000100000" w:firstRow="0" w:lastRow="0" w:firstColumn="0" w:lastColumn="0" w:oddVBand="0" w:evenVBand="0" w:oddHBand="1" w:evenHBand="0" w:firstRowFirstColumn="0" w:firstRowLastColumn="0" w:lastRowFirstColumn="0" w:lastRowLastColumn="0"/>
          <w:trHeight w:val="430"/>
        </w:trPr>
        <w:tc>
          <w:tcPr>
            <w:tcW w:w="4510" w:type="dxa"/>
            <w:tcBorders>
              <w:bottom w:val="single" w:sz="4" w:space="0" w:color="auto"/>
            </w:tcBorders>
          </w:tcPr>
          <w:p w14:paraId="26ABCB35" w14:textId="77777777" w:rsidR="00C83CE3" w:rsidRPr="00CE60B2" w:rsidRDefault="00C83CE3" w:rsidP="005E56C8">
            <w:pPr>
              <w:spacing w:before="0" w:after="0"/>
              <w:rPr>
                <w:rFonts w:cs="Segoe UI"/>
              </w:rPr>
            </w:pPr>
            <w:r w:rsidRPr="00CE60B2">
              <w:rPr>
                <w:rFonts w:cs="Segoe UI"/>
                <w:color w:val="000000"/>
                <w:sz w:val="22"/>
              </w:rPr>
              <w:t>Land clearance</w:t>
            </w:r>
          </w:p>
        </w:tc>
        <w:tc>
          <w:tcPr>
            <w:tcW w:w="1640" w:type="dxa"/>
            <w:tcBorders>
              <w:bottom w:val="none" w:sz="0" w:space="0" w:color="auto"/>
            </w:tcBorders>
          </w:tcPr>
          <w:p w14:paraId="26ABCB36" w14:textId="77777777" w:rsidR="00C83CE3" w:rsidRPr="00CE60B2" w:rsidRDefault="00C83CE3" w:rsidP="005E56C8">
            <w:pPr>
              <w:rPr>
                <w:rFonts w:cs="Segoe UI"/>
              </w:rPr>
            </w:pPr>
            <w:r w:rsidRPr="00CE60B2">
              <w:rPr>
                <w:rFonts w:cs="Segoe UI"/>
              </w:rPr>
              <w:t>4 April 2001</w:t>
            </w:r>
          </w:p>
        </w:tc>
        <w:tc>
          <w:tcPr>
            <w:tcW w:w="3954" w:type="dxa"/>
            <w:tcBorders>
              <w:bottom w:val="none" w:sz="0" w:space="0" w:color="auto"/>
            </w:tcBorders>
          </w:tcPr>
          <w:p w14:paraId="26ABCB37" w14:textId="77777777" w:rsidR="00C83CE3" w:rsidRPr="00CE60B2" w:rsidRDefault="00C83CE3" w:rsidP="005E56C8">
            <w:pPr>
              <w:rPr>
                <w:rFonts w:cs="Segoe UI"/>
              </w:rPr>
            </w:pPr>
            <w:r w:rsidRPr="00CE60B2">
              <w:rPr>
                <w:rFonts w:cs="Segoe UI"/>
              </w:rPr>
              <w:t>Not applicable - threat abatement plan not considered a feasible, effective or efficient way to abate the process.</w:t>
            </w:r>
          </w:p>
        </w:tc>
      </w:tr>
      <w:tr w:rsidR="00C83CE3" w:rsidRPr="00CE60B2" w14:paraId="26ABCB3C" w14:textId="77777777" w:rsidTr="005E56C8">
        <w:trPr>
          <w:cnfStyle w:val="000000010000" w:firstRow="0" w:lastRow="0" w:firstColumn="0" w:lastColumn="0" w:oddVBand="0" w:evenVBand="0" w:oddHBand="0" w:evenHBand="1" w:firstRowFirstColumn="0" w:firstRowLastColumn="0" w:lastRowFirstColumn="0" w:lastRowLastColumn="0"/>
          <w:trHeight w:val="430"/>
        </w:trPr>
        <w:tc>
          <w:tcPr>
            <w:tcW w:w="4510" w:type="dxa"/>
            <w:tcBorders>
              <w:left w:val="single" w:sz="4" w:space="0" w:color="auto"/>
              <w:bottom w:val="none" w:sz="0" w:space="0" w:color="auto"/>
            </w:tcBorders>
          </w:tcPr>
          <w:p w14:paraId="26ABCB39" w14:textId="77777777" w:rsidR="00C83CE3" w:rsidRPr="00CE60B2" w:rsidRDefault="00C83CE3" w:rsidP="005E56C8">
            <w:pPr>
              <w:spacing w:before="0" w:after="0"/>
              <w:rPr>
                <w:rFonts w:cs="Segoe UI"/>
              </w:rPr>
            </w:pPr>
            <w:r w:rsidRPr="00CE60B2">
              <w:rPr>
                <w:rFonts w:cs="Segoe UI"/>
                <w:color w:val="000000"/>
                <w:sz w:val="22"/>
              </w:rPr>
              <w:t>Loss and degradation of native plant and animal habitat by invasion of escaped garden plants, including aquatic plants</w:t>
            </w:r>
          </w:p>
        </w:tc>
        <w:tc>
          <w:tcPr>
            <w:tcW w:w="1640" w:type="dxa"/>
            <w:tcBorders>
              <w:bottom w:val="none" w:sz="0" w:space="0" w:color="auto"/>
            </w:tcBorders>
          </w:tcPr>
          <w:p w14:paraId="26ABCB3A" w14:textId="77777777" w:rsidR="00C83CE3" w:rsidRPr="00CE60B2" w:rsidRDefault="00C83CE3" w:rsidP="005E56C8">
            <w:pPr>
              <w:rPr>
                <w:rFonts w:cs="Segoe UI"/>
              </w:rPr>
            </w:pPr>
            <w:r w:rsidRPr="00CE60B2">
              <w:rPr>
                <w:rFonts w:cs="Segoe UI"/>
              </w:rPr>
              <w:t>8 January 2010</w:t>
            </w:r>
          </w:p>
        </w:tc>
        <w:tc>
          <w:tcPr>
            <w:tcW w:w="3954" w:type="dxa"/>
            <w:tcBorders>
              <w:bottom w:val="none" w:sz="0" w:space="0" w:color="auto"/>
            </w:tcBorders>
          </w:tcPr>
          <w:p w14:paraId="26ABCB3B" w14:textId="77777777" w:rsidR="00C83CE3" w:rsidRPr="00CE60B2" w:rsidRDefault="00C83CE3" w:rsidP="005E56C8">
            <w:pPr>
              <w:rPr>
                <w:rFonts w:cs="Segoe UI"/>
              </w:rPr>
            </w:pPr>
            <w:r w:rsidRPr="00CE60B2">
              <w:rPr>
                <w:rFonts w:cs="Segoe UI"/>
              </w:rPr>
              <w:t xml:space="preserve">Not applicable - threat abatement plan not considered a feasible, effective or efficient way to abate the process. </w:t>
            </w:r>
          </w:p>
        </w:tc>
      </w:tr>
      <w:tr w:rsidR="00C83CE3" w:rsidRPr="00CE60B2" w14:paraId="26ABCB40" w14:textId="77777777" w:rsidTr="005E56C8">
        <w:trPr>
          <w:cnfStyle w:val="000000100000" w:firstRow="0" w:lastRow="0" w:firstColumn="0" w:lastColumn="0" w:oddVBand="0" w:evenVBand="0" w:oddHBand="1" w:evenHBand="0" w:firstRowFirstColumn="0" w:firstRowLastColumn="0" w:lastRowFirstColumn="0" w:lastRowLastColumn="0"/>
          <w:trHeight w:val="430"/>
        </w:trPr>
        <w:tc>
          <w:tcPr>
            <w:tcW w:w="4510" w:type="dxa"/>
            <w:tcBorders>
              <w:bottom w:val="single" w:sz="4" w:space="0" w:color="auto"/>
            </w:tcBorders>
          </w:tcPr>
          <w:p w14:paraId="26ABCB3D" w14:textId="77777777" w:rsidR="00C83CE3" w:rsidRPr="00CE60B2" w:rsidRDefault="00C83CE3" w:rsidP="005E56C8">
            <w:pPr>
              <w:spacing w:before="0" w:after="0"/>
              <w:rPr>
                <w:rFonts w:cs="Segoe UI"/>
              </w:rPr>
            </w:pPr>
            <w:r w:rsidRPr="00CE60B2">
              <w:rPr>
                <w:rFonts w:cs="Segoe UI"/>
                <w:color w:val="000000"/>
                <w:sz w:val="22"/>
              </w:rPr>
              <w:t>Loss of climatic habitat caused by anthropogenic emissions of greenhouse gases</w:t>
            </w:r>
          </w:p>
        </w:tc>
        <w:tc>
          <w:tcPr>
            <w:tcW w:w="1640" w:type="dxa"/>
            <w:tcBorders>
              <w:bottom w:val="none" w:sz="0" w:space="0" w:color="auto"/>
            </w:tcBorders>
          </w:tcPr>
          <w:p w14:paraId="26ABCB3E" w14:textId="77777777" w:rsidR="00C83CE3" w:rsidRPr="00CE60B2" w:rsidRDefault="00C83CE3" w:rsidP="005E56C8">
            <w:pPr>
              <w:rPr>
                <w:rFonts w:cs="Segoe UI"/>
              </w:rPr>
            </w:pPr>
            <w:r w:rsidRPr="00CE60B2">
              <w:rPr>
                <w:rFonts w:cs="Segoe UI"/>
              </w:rPr>
              <w:t>4 April 2001</w:t>
            </w:r>
          </w:p>
        </w:tc>
        <w:tc>
          <w:tcPr>
            <w:tcW w:w="3954" w:type="dxa"/>
            <w:tcBorders>
              <w:bottom w:val="none" w:sz="0" w:space="0" w:color="auto"/>
            </w:tcBorders>
          </w:tcPr>
          <w:p w14:paraId="26ABCB3F" w14:textId="77777777" w:rsidR="00C83CE3" w:rsidRPr="00CE60B2" w:rsidRDefault="00C83CE3" w:rsidP="005E56C8">
            <w:pPr>
              <w:rPr>
                <w:rFonts w:cs="Segoe UI"/>
              </w:rPr>
            </w:pPr>
            <w:r w:rsidRPr="00CE60B2">
              <w:rPr>
                <w:rFonts w:cs="Segoe UI"/>
              </w:rPr>
              <w:t xml:space="preserve">Not applicable - threat abatement plan not considered a feasible, effective or efficient way to abate the process. </w:t>
            </w:r>
          </w:p>
        </w:tc>
      </w:tr>
      <w:tr w:rsidR="00C83CE3" w:rsidRPr="00CE60B2" w14:paraId="26ABCB44" w14:textId="77777777" w:rsidTr="005E56C8">
        <w:trPr>
          <w:cnfStyle w:val="000000010000" w:firstRow="0" w:lastRow="0" w:firstColumn="0" w:lastColumn="0" w:oddVBand="0" w:evenVBand="0" w:oddHBand="0" w:evenHBand="1" w:firstRowFirstColumn="0" w:firstRowLastColumn="0" w:lastRowFirstColumn="0" w:lastRowLastColumn="0"/>
          <w:trHeight w:val="430"/>
        </w:trPr>
        <w:tc>
          <w:tcPr>
            <w:tcW w:w="4510" w:type="dxa"/>
            <w:tcBorders>
              <w:left w:val="single" w:sz="4" w:space="0" w:color="auto"/>
              <w:bottom w:val="none" w:sz="0" w:space="0" w:color="auto"/>
            </w:tcBorders>
          </w:tcPr>
          <w:p w14:paraId="26ABCB41" w14:textId="77777777" w:rsidR="00C83CE3" w:rsidRPr="00CE60B2" w:rsidRDefault="00C83CE3" w:rsidP="005E56C8">
            <w:pPr>
              <w:spacing w:before="0" w:after="0"/>
              <w:rPr>
                <w:rFonts w:cs="Segoe UI"/>
              </w:rPr>
            </w:pPr>
            <w:r w:rsidRPr="00CE60B2">
              <w:rPr>
                <w:rFonts w:cs="Segoe UI"/>
                <w:color w:val="000000"/>
                <w:sz w:val="22"/>
              </w:rPr>
              <w:t>Novel biota and their impact on biodiversity</w:t>
            </w:r>
          </w:p>
        </w:tc>
        <w:tc>
          <w:tcPr>
            <w:tcW w:w="1640" w:type="dxa"/>
            <w:tcBorders>
              <w:bottom w:val="none" w:sz="0" w:space="0" w:color="auto"/>
            </w:tcBorders>
          </w:tcPr>
          <w:p w14:paraId="26ABCB42" w14:textId="77777777" w:rsidR="00C83CE3" w:rsidRPr="00CE60B2" w:rsidRDefault="00C83CE3" w:rsidP="005E56C8">
            <w:pPr>
              <w:rPr>
                <w:rFonts w:cs="Segoe UI"/>
              </w:rPr>
            </w:pPr>
            <w:r w:rsidRPr="00CE60B2">
              <w:rPr>
                <w:rFonts w:cs="Segoe UI"/>
              </w:rPr>
              <w:t>23 February 2013</w:t>
            </w:r>
          </w:p>
        </w:tc>
        <w:tc>
          <w:tcPr>
            <w:tcW w:w="3954" w:type="dxa"/>
            <w:tcBorders>
              <w:bottom w:val="none" w:sz="0" w:space="0" w:color="auto"/>
            </w:tcBorders>
          </w:tcPr>
          <w:p w14:paraId="26ABCB43" w14:textId="77777777" w:rsidR="00C83CE3" w:rsidRPr="00CE60B2" w:rsidRDefault="00C83CE3" w:rsidP="005E56C8">
            <w:pPr>
              <w:rPr>
                <w:rFonts w:cs="Segoe UI"/>
              </w:rPr>
            </w:pPr>
            <w:r w:rsidRPr="00CE60B2">
              <w:rPr>
                <w:rFonts w:cs="Segoe UI"/>
              </w:rPr>
              <w:t xml:space="preserve">Not applicable - threat abatement plan not considered a feasible, effective or efficient way to abate the process. </w:t>
            </w:r>
          </w:p>
        </w:tc>
      </w:tr>
      <w:tr w:rsidR="00C83CE3" w:rsidRPr="00CE60B2" w14:paraId="26ABCB48" w14:textId="77777777" w:rsidTr="005E56C8">
        <w:trPr>
          <w:cnfStyle w:val="000000100000" w:firstRow="0" w:lastRow="0" w:firstColumn="0" w:lastColumn="0" w:oddVBand="0" w:evenVBand="0" w:oddHBand="1" w:evenHBand="0" w:firstRowFirstColumn="0" w:firstRowLastColumn="0" w:lastRowFirstColumn="0" w:lastRowLastColumn="0"/>
          <w:trHeight w:val="430"/>
        </w:trPr>
        <w:tc>
          <w:tcPr>
            <w:tcW w:w="4510" w:type="dxa"/>
            <w:tcBorders>
              <w:bottom w:val="single" w:sz="4" w:space="0" w:color="auto"/>
            </w:tcBorders>
          </w:tcPr>
          <w:p w14:paraId="26ABCB45" w14:textId="77777777" w:rsidR="00C83CE3" w:rsidRPr="00CE60B2" w:rsidRDefault="00C83CE3" w:rsidP="005E56C8">
            <w:pPr>
              <w:spacing w:before="0" w:after="0"/>
              <w:rPr>
                <w:rFonts w:cs="Segoe UI"/>
              </w:rPr>
            </w:pPr>
            <w:r w:rsidRPr="00CE60B2">
              <w:rPr>
                <w:rFonts w:cs="Segoe UI"/>
                <w:color w:val="000000"/>
                <w:sz w:val="22"/>
              </w:rPr>
              <w:t>Predation by European red fox</w:t>
            </w:r>
          </w:p>
        </w:tc>
        <w:tc>
          <w:tcPr>
            <w:tcW w:w="1640" w:type="dxa"/>
          </w:tcPr>
          <w:p w14:paraId="26ABCB46" w14:textId="77777777" w:rsidR="00C83CE3" w:rsidRPr="00CE60B2" w:rsidRDefault="00C83CE3" w:rsidP="005E56C8">
            <w:pPr>
              <w:rPr>
                <w:rFonts w:cs="Segoe UI"/>
              </w:rPr>
            </w:pPr>
            <w:r w:rsidRPr="00CE60B2">
              <w:rPr>
                <w:rFonts w:cs="Segoe UI"/>
              </w:rPr>
              <w:t>16 July 2000</w:t>
            </w:r>
          </w:p>
        </w:tc>
        <w:tc>
          <w:tcPr>
            <w:tcW w:w="3954" w:type="dxa"/>
          </w:tcPr>
          <w:p w14:paraId="26ABCB47" w14:textId="77777777" w:rsidR="00C83CE3" w:rsidRPr="00CE60B2" w:rsidRDefault="00C83CE3" w:rsidP="005E56C8">
            <w:pPr>
              <w:rPr>
                <w:rFonts w:cs="Segoe UI"/>
              </w:rPr>
            </w:pPr>
            <w:r w:rsidRPr="00CE60B2">
              <w:rPr>
                <w:rFonts w:cs="Segoe UI"/>
              </w:rPr>
              <w:t>2008</w:t>
            </w:r>
          </w:p>
        </w:tc>
      </w:tr>
      <w:tr w:rsidR="00C83CE3" w:rsidRPr="00CE60B2" w14:paraId="26ABCB4C" w14:textId="77777777" w:rsidTr="005E56C8">
        <w:trPr>
          <w:cnfStyle w:val="000000010000" w:firstRow="0" w:lastRow="0" w:firstColumn="0" w:lastColumn="0" w:oddVBand="0" w:evenVBand="0" w:oddHBand="0" w:evenHBand="1" w:firstRowFirstColumn="0" w:firstRowLastColumn="0" w:lastRowFirstColumn="0" w:lastRowLastColumn="0"/>
          <w:trHeight w:val="430"/>
        </w:trPr>
        <w:tc>
          <w:tcPr>
            <w:tcW w:w="4510" w:type="dxa"/>
            <w:tcBorders>
              <w:left w:val="single" w:sz="4" w:space="0" w:color="auto"/>
              <w:bottom w:val="single" w:sz="4" w:space="0" w:color="auto"/>
            </w:tcBorders>
          </w:tcPr>
          <w:p w14:paraId="26ABCB49" w14:textId="77777777" w:rsidR="00C83CE3" w:rsidRPr="00CE60B2" w:rsidRDefault="00C83CE3" w:rsidP="005E56C8">
            <w:pPr>
              <w:spacing w:before="0" w:after="0"/>
              <w:rPr>
                <w:rFonts w:cs="Segoe UI"/>
                <w:color w:val="000000"/>
              </w:rPr>
            </w:pPr>
            <w:r w:rsidRPr="00CE60B2">
              <w:rPr>
                <w:rFonts w:cs="Segoe UI"/>
                <w:color w:val="000000"/>
                <w:sz w:val="22"/>
              </w:rPr>
              <w:t>Predation by feral cats</w:t>
            </w:r>
          </w:p>
        </w:tc>
        <w:tc>
          <w:tcPr>
            <w:tcW w:w="1640" w:type="dxa"/>
            <w:tcBorders>
              <w:bottom w:val="single" w:sz="4" w:space="0" w:color="auto"/>
            </w:tcBorders>
          </w:tcPr>
          <w:p w14:paraId="26ABCB4A" w14:textId="77777777" w:rsidR="00C83CE3" w:rsidRPr="00CE60B2" w:rsidRDefault="00C83CE3" w:rsidP="005E56C8">
            <w:pPr>
              <w:rPr>
                <w:rFonts w:cs="Segoe UI"/>
              </w:rPr>
            </w:pPr>
            <w:r w:rsidRPr="00CE60B2">
              <w:rPr>
                <w:rFonts w:cs="Segoe UI"/>
              </w:rPr>
              <w:t>16 July 2000</w:t>
            </w:r>
          </w:p>
        </w:tc>
        <w:tc>
          <w:tcPr>
            <w:tcW w:w="3954" w:type="dxa"/>
            <w:tcBorders>
              <w:bottom w:val="single" w:sz="4" w:space="0" w:color="auto"/>
            </w:tcBorders>
          </w:tcPr>
          <w:p w14:paraId="26ABCB4B" w14:textId="77777777" w:rsidR="00C83CE3" w:rsidRPr="00CE60B2" w:rsidRDefault="00C83CE3" w:rsidP="005E56C8">
            <w:pPr>
              <w:rPr>
                <w:rFonts w:cs="Segoe UI"/>
              </w:rPr>
            </w:pPr>
            <w:r w:rsidRPr="00CE60B2">
              <w:rPr>
                <w:rFonts w:cs="Segoe UI"/>
              </w:rPr>
              <w:t>2015</w:t>
            </w:r>
          </w:p>
        </w:tc>
      </w:tr>
      <w:tr w:rsidR="00C83CE3" w:rsidRPr="00CE60B2" w14:paraId="26ABCB50" w14:textId="77777777" w:rsidTr="005E56C8">
        <w:trPr>
          <w:cnfStyle w:val="000000100000" w:firstRow="0" w:lastRow="0" w:firstColumn="0" w:lastColumn="0" w:oddVBand="0" w:evenVBand="0" w:oddHBand="1" w:evenHBand="0" w:firstRowFirstColumn="0" w:firstRowLastColumn="0" w:lastRowFirstColumn="0" w:lastRowLastColumn="0"/>
          <w:trHeight w:val="430"/>
        </w:trPr>
        <w:tc>
          <w:tcPr>
            <w:tcW w:w="4510" w:type="dxa"/>
            <w:tcBorders>
              <w:top w:val="single" w:sz="4" w:space="0" w:color="auto"/>
              <w:bottom w:val="single" w:sz="4" w:space="0" w:color="auto"/>
            </w:tcBorders>
          </w:tcPr>
          <w:p w14:paraId="26ABCB4D" w14:textId="77777777" w:rsidR="00C83CE3" w:rsidRPr="00CE60B2" w:rsidRDefault="00C83CE3" w:rsidP="005E56C8">
            <w:pPr>
              <w:spacing w:before="0" w:after="0"/>
              <w:rPr>
                <w:rFonts w:cs="Segoe UI"/>
                <w:color w:val="000000"/>
              </w:rPr>
            </w:pPr>
            <w:r w:rsidRPr="00CE60B2">
              <w:rPr>
                <w:rFonts w:cs="Segoe UI"/>
                <w:color w:val="000000"/>
                <w:sz w:val="22"/>
              </w:rPr>
              <w:t>Predation, Habitat Degradation, Competition and Disease Transmission by Feral Pigs</w:t>
            </w:r>
          </w:p>
        </w:tc>
        <w:tc>
          <w:tcPr>
            <w:tcW w:w="1640" w:type="dxa"/>
            <w:tcBorders>
              <w:bottom w:val="none" w:sz="0" w:space="0" w:color="auto"/>
            </w:tcBorders>
          </w:tcPr>
          <w:p w14:paraId="26ABCB4E" w14:textId="77777777" w:rsidR="00C83CE3" w:rsidRPr="00CE60B2" w:rsidRDefault="00C83CE3" w:rsidP="005E56C8">
            <w:pPr>
              <w:rPr>
                <w:rFonts w:cs="Segoe UI"/>
              </w:rPr>
            </w:pPr>
            <w:r w:rsidRPr="00CE60B2">
              <w:rPr>
                <w:rFonts w:cs="Segoe UI"/>
              </w:rPr>
              <w:t>6 August 2001</w:t>
            </w:r>
          </w:p>
        </w:tc>
        <w:tc>
          <w:tcPr>
            <w:tcW w:w="3954" w:type="dxa"/>
            <w:tcBorders>
              <w:bottom w:val="none" w:sz="0" w:space="0" w:color="auto"/>
            </w:tcBorders>
          </w:tcPr>
          <w:p w14:paraId="26ABCB4F" w14:textId="77777777" w:rsidR="00C83CE3" w:rsidRPr="00CE60B2" w:rsidRDefault="00C83CE3" w:rsidP="005E56C8">
            <w:pPr>
              <w:rPr>
                <w:rFonts w:cs="Segoe UI"/>
              </w:rPr>
            </w:pPr>
            <w:r w:rsidRPr="00CE60B2">
              <w:rPr>
                <w:rFonts w:cs="Segoe UI"/>
              </w:rPr>
              <w:t>2017</w:t>
            </w:r>
          </w:p>
        </w:tc>
      </w:tr>
      <w:tr w:rsidR="00C83CE3" w:rsidRPr="00CE60B2" w14:paraId="26ABCB54" w14:textId="77777777" w:rsidTr="005E56C8">
        <w:trPr>
          <w:cnfStyle w:val="000000010000" w:firstRow="0" w:lastRow="0" w:firstColumn="0" w:lastColumn="0" w:oddVBand="0" w:evenVBand="0" w:oddHBand="0" w:evenHBand="1" w:firstRowFirstColumn="0" w:firstRowLastColumn="0" w:lastRowFirstColumn="0" w:lastRowLastColumn="0"/>
          <w:trHeight w:val="430"/>
        </w:trPr>
        <w:tc>
          <w:tcPr>
            <w:tcW w:w="4510" w:type="dxa"/>
            <w:tcBorders>
              <w:top w:val="single" w:sz="4" w:space="0" w:color="auto"/>
              <w:left w:val="single" w:sz="4" w:space="0" w:color="auto"/>
              <w:bottom w:val="single" w:sz="4" w:space="0" w:color="auto"/>
            </w:tcBorders>
          </w:tcPr>
          <w:p w14:paraId="26ABCB51" w14:textId="77777777" w:rsidR="00C83CE3" w:rsidRPr="00CE60B2" w:rsidRDefault="00C83CE3" w:rsidP="005E56C8">
            <w:pPr>
              <w:spacing w:before="0" w:after="0"/>
              <w:rPr>
                <w:rFonts w:cs="Segoe UI"/>
                <w:color w:val="000000"/>
              </w:rPr>
            </w:pPr>
            <w:r w:rsidRPr="00CE60B2">
              <w:rPr>
                <w:rFonts w:cs="Segoe UI"/>
                <w:color w:val="000000"/>
                <w:sz w:val="22"/>
              </w:rPr>
              <w:t>Psittaci</w:t>
            </w:r>
            <w:r w:rsidR="00150FEA">
              <w:rPr>
                <w:rFonts w:cs="Segoe UI"/>
                <w:color w:val="000000"/>
                <w:sz w:val="22"/>
              </w:rPr>
              <w:t>ne Circoviral (beak and feather</w:t>
            </w:r>
            <w:r w:rsidRPr="00CE60B2">
              <w:rPr>
                <w:rFonts w:cs="Segoe UI"/>
                <w:color w:val="000000"/>
                <w:sz w:val="22"/>
              </w:rPr>
              <w:t>) Disease affecting endangered psittacine species</w:t>
            </w:r>
          </w:p>
        </w:tc>
        <w:tc>
          <w:tcPr>
            <w:tcW w:w="1640" w:type="dxa"/>
            <w:tcBorders>
              <w:bottom w:val="none" w:sz="0" w:space="0" w:color="auto"/>
            </w:tcBorders>
          </w:tcPr>
          <w:p w14:paraId="26ABCB52" w14:textId="77777777" w:rsidR="00C83CE3" w:rsidRPr="00CE60B2" w:rsidRDefault="00C83CE3" w:rsidP="005E56C8">
            <w:pPr>
              <w:rPr>
                <w:rFonts w:cs="Segoe UI"/>
              </w:rPr>
            </w:pPr>
            <w:r w:rsidRPr="00CE60B2">
              <w:rPr>
                <w:rFonts w:cs="Segoe UI"/>
              </w:rPr>
              <w:t>4 April 2001</w:t>
            </w:r>
          </w:p>
        </w:tc>
        <w:tc>
          <w:tcPr>
            <w:tcW w:w="3954" w:type="dxa"/>
            <w:tcBorders>
              <w:bottom w:val="none" w:sz="0" w:space="0" w:color="auto"/>
            </w:tcBorders>
          </w:tcPr>
          <w:p w14:paraId="26ABCB53" w14:textId="77777777" w:rsidR="00C83CE3" w:rsidRPr="00CE60B2" w:rsidRDefault="00C83CE3" w:rsidP="005E56C8">
            <w:pPr>
              <w:rPr>
                <w:rFonts w:cs="Segoe UI"/>
              </w:rPr>
            </w:pPr>
            <w:r w:rsidRPr="00CE60B2">
              <w:rPr>
                <w:rFonts w:cs="Segoe UI"/>
              </w:rPr>
              <w:t>2005 (ceased on 1 October 2015)</w:t>
            </w:r>
            <w:r>
              <w:rPr>
                <w:rFonts w:cs="Segoe UI"/>
              </w:rPr>
              <w:t>, however a non-statutory threat abatement advice is in place.</w:t>
            </w:r>
          </w:p>
        </w:tc>
      </w:tr>
    </w:tbl>
    <w:p w14:paraId="26ABCB55" w14:textId="77777777" w:rsidR="00FF0D54" w:rsidRDefault="00FF0D54">
      <w:pPr>
        <w:spacing w:before="0" w:after="480" w:line="276" w:lineRule="auto"/>
        <w:rPr>
          <w:rFonts w:cs="Segoe UI"/>
        </w:rPr>
      </w:pPr>
      <w:r>
        <w:rPr>
          <w:rFonts w:cs="Segoe UI"/>
        </w:rPr>
        <w:br w:type="page"/>
      </w:r>
    </w:p>
    <w:p w14:paraId="26ABCB56" w14:textId="77777777" w:rsidR="00B45AF2" w:rsidRDefault="003C5C76" w:rsidP="00AB7488">
      <w:pPr>
        <w:rPr>
          <w:rFonts w:cs="Segoe UI"/>
        </w:rPr>
      </w:pPr>
      <w:r w:rsidRPr="00CE60B2">
        <w:rPr>
          <w:rFonts w:cs="Segoe UI"/>
        </w:rPr>
        <w:lastRenderedPageBreak/>
        <w:t>A risk-based approach is adopted by DBCA when setting priorities for management activities to address key threatening processes on public lands within the WA RFA region.</w:t>
      </w:r>
    </w:p>
    <w:p w14:paraId="26ABCB57" w14:textId="77777777" w:rsidR="00B45AF2" w:rsidRDefault="003C5C76" w:rsidP="00AB7488">
      <w:r w:rsidRPr="00CE60B2">
        <w:rPr>
          <w:rFonts w:cs="Segoe UI"/>
        </w:rPr>
        <w:t>Throughout the period 1999 to 2018</w:t>
      </w:r>
      <w:r w:rsidR="008144C4">
        <w:rPr>
          <w:rFonts w:cs="Segoe UI"/>
        </w:rPr>
        <w:t>,</w:t>
      </w:r>
      <w:r w:rsidRPr="00CE60B2">
        <w:rPr>
          <w:rFonts w:cs="Segoe UI"/>
        </w:rPr>
        <w:t xml:space="preserve"> </w:t>
      </w:r>
      <w:r w:rsidR="00514F73">
        <w:rPr>
          <w:rFonts w:cs="Segoe UI"/>
        </w:rPr>
        <w:t>DBCA</w:t>
      </w:r>
      <w:r w:rsidR="00514F73" w:rsidRPr="00CE60B2">
        <w:rPr>
          <w:rFonts w:cs="Segoe UI"/>
        </w:rPr>
        <w:t xml:space="preserve"> </w:t>
      </w:r>
      <w:r w:rsidR="00041521">
        <w:rPr>
          <w:rFonts w:cs="Segoe UI"/>
        </w:rPr>
        <w:t xml:space="preserve">(and its predecessors) </w:t>
      </w:r>
      <w:r w:rsidRPr="00CE60B2">
        <w:rPr>
          <w:rFonts w:cs="Segoe UI"/>
        </w:rPr>
        <w:t>has maintain</w:t>
      </w:r>
      <w:r w:rsidR="00041521">
        <w:rPr>
          <w:rFonts w:cs="Segoe UI"/>
        </w:rPr>
        <w:t>ed</w:t>
      </w:r>
      <w:r w:rsidRPr="00CE60B2">
        <w:rPr>
          <w:rFonts w:cs="Segoe UI"/>
        </w:rPr>
        <w:t xml:space="preserve"> major programs to address the spread of </w:t>
      </w:r>
      <w:r w:rsidRPr="00CE60B2">
        <w:rPr>
          <w:rFonts w:cs="Segoe UI"/>
          <w:i/>
        </w:rPr>
        <w:t>Phytophthora</w:t>
      </w:r>
      <w:r w:rsidRPr="00CE60B2">
        <w:rPr>
          <w:rFonts w:cs="Segoe UI"/>
        </w:rPr>
        <w:t xml:space="preserve"> dieback disease in forest ecosystems</w:t>
      </w:r>
      <w:r w:rsidR="00B45AF2">
        <w:rPr>
          <w:rFonts w:cs="Segoe UI"/>
        </w:rPr>
        <w:t>.</w:t>
      </w:r>
      <w:r w:rsidRPr="00CE60B2">
        <w:rPr>
          <w:rFonts w:cs="Segoe UI"/>
        </w:rPr>
        <w:t xml:space="preserve"> </w:t>
      </w:r>
      <w:r w:rsidR="00B45AF2">
        <w:t>Since the RFA was signed there has been over 220</w:t>
      </w:r>
      <w:r w:rsidR="008144C4">
        <w:t>,000</w:t>
      </w:r>
      <w:r w:rsidR="00B45AF2">
        <w:t xml:space="preserve"> hectares of </w:t>
      </w:r>
      <w:r w:rsidR="00FD4352">
        <w:t>DBCA</w:t>
      </w:r>
      <w:r w:rsidR="00B45AF2">
        <w:t xml:space="preserve"> managed land </w:t>
      </w:r>
      <w:r w:rsidR="00041521">
        <w:t xml:space="preserve">within the WA RFA region </w:t>
      </w:r>
      <w:r w:rsidR="00B45AF2">
        <w:t xml:space="preserve">intensively mapped for the presence of </w:t>
      </w:r>
      <w:r w:rsidR="00B45AF2" w:rsidRPr="00B83D92">
        <w:rPr>
          <w:i/>
        </w:rPr>
        <w:t>Phytophthora</w:t>
      </w:r>
      <w:r w:rsidR="00B45AF2">
        <w:t xml:space="preserve"> dieback. Dieback management plans are developed to minimise the </w:t>
      </w:r>
      <w:r w:rsidR="00111CA6">
        <w:t>risk</w:t>
      </w:r>
      <w:r w:rsidR="00B45AF2">
        <w:t xml:space="preserve"> of introducing or spreading </w:t>
      </w:r>
      <w:r w:rsidR="00B45AF2" w:rsidRPr="00565588">
        <w:rPr>
          <w:i/>
        </w:rPr>
        <w:t>Phytophthora</w:t>
      </w:r>
      <w:r w:rsidR="00B45AF2">
        <w:t xml:space="preserve"> dieback when undertaking disturbance activities such as timber harvesting, roading and building infrastructure. Where appropriate,</w:t>
      </w:r>
      <w:r w:rsidR="008144C4">
        <w:t xml:space="preserve"> </w:t>
      </w:r>
      <w:r w:rsidR="00514F73">
        <w:t>DBCA</w:t>
      </w:r>
      <w:r w:rsidR="00B45AF2">
        <w:t xml:space="preserve"> also uses a biodegradable fungicide, ‘phosphite’ to protect plants against </w:t>
      </w:r>
      <w:r w:rsidR="00B45AF2" w:rsidRPr="00184302">
        <w:rPr>
          <w:i/>
        </w:rPr>
        <w:t>Phytophthora</w:t>
      </w:r>
      <w:r w:rsidR="00B45AF2">
        <w:t xml:space="preserve"> dieback.</w:t>
      </w:r>
    </w:p>
    <w:p w14:paraId="26ABCB58" w14:textId="77777777" w:rsidR="00B45AF2" w:rsidRDefault="00111CA6" w:rsidP="00B45AF2">
      <w:r>
        <w:t>Commencing in 1996, ‘</w:t>
      </w:r>
      <w:r w:rsidR="00B45AF2">
        <w:t>Western Shield</w:t>
      </w:r>
      <w:r>
        <w:t>’</w:t>
      </w:r>
      <w:r w:rsidR="00B45AF2">
        <w:t xml:space="preserve"> is one of the biggest wildlife </w:t>
      </w:r>
      <w:r w:rsidR="008340DE">
        <w:t xml:space="preserve">recovery </w:t>
      </w:r>
      <w:r w:rsidR="00B45AF2">
        <w:t>programs ever undertaken in Australia</w:t>
      </w:r>
      <w:r w:rsidR="008144C4">
        <w:t xml:space="preserve"> and aims t</w:t>
      </w:r>
      <w:r w:rsidR="00B45AF2">
        <w:t xml:space="preserve">o return the balance and mix of native animals to levels comparable to pre-European settlement. </w:t>
      </w:r>
      <w:r w:rsidR="008144C4">
        <w:t>Working to protect WA’s native wildlife though the broadscale control of introduced</w:t>
      </w:r>
      <w:r w:rsidR="009854B1">
        <w:t xml:space="preserve"> predators including foxes and feral cats, </w:t>
      </w:r>
      <w:r w:rsidR="00B45AF2">
        <w:t>Western Shield monitoring has shown increases in the population size and distribution of priority native species including quokka, western brush wallaby and chuditch.</w:t>
      </w:r>
      <w:r w:rsidR="009854B1">
        <w:t xml:space="preserve"> Approximately 80</w:t>
      </w:r>
      <w:r w:rsidR="007C2D5E">
        <w:t> </w:t>
      </w:r>
      <w:r w:rsidR="009854B1">
        <w:t>per</w:t>
      </w:r>
      <w:r w:rsidR="007C2D5E">
        <w:t> </w:t>
      </w:r>
      <w:r w:rsidR="009854B1">
        <w:t>cent of the annual baiting program occurs within the WA</w:t>
      </w:r>
      <w:r w:rsidR="007C2D5E">
        <w:t> </w:t>
      </w:r>
      <w:r w:rsidR="009854B1">
        <w:t>RFA region.</w:t>
      </w:r>
    </w:p>
    <w:p w14:paraId="26ABCB59" w14:textId="77777777" w:rsidR="00FD2316" w:rsidRDefault="00FD2316" w:rsidP="00B45AF2">
      <w:r>
        <w:t xml:space="preserve">The RFA region has experienced a drying and warming trend </w:t>
      </w:r>
      <w:r w:rsidR="0096537B">
        <w:t xml:space="preserve">which commenced prior to the signing of the RFA in 1999, and this </w:t>
      </w:r>
      <w:r w:rsidR="00B95D17">
        <w:t xml:space="preserve">change in </w:t>
      </w:r>
      <w:r w:rsidR="0096537B">
        <w:t xml:space="preserve">climate </w:t>
      </w:r>
      <w:r>
        <w:t>is predicted to continue</w:t>
      </w:r>
      <w:r w:rsidR="0096537B">
        <w:t xml:space="preserve"> in future decades. </w:t>
      </w:r>
      <w:r w:rsidR="00B95D17">
        <w:t>In addition to an expansion of the CAR formal reserve system (providing enhanced protection to threatened species) t</w:t>
      </w:r>
      <w:r w:rsidR="0096537B">
        <w:t>he FMP 2004-2013 incorporated refined management practices</w:t>
      </w:r>
      <w:r w:rsidR="00B95D17">
        <w:t>,</w:t>
      </w:r>
      <w:r w:rsidR="0096537B">
        <w:t xml:space="preserve"> adjustments to the informal reserve network and </w:t>
      </w:r>
      <w:r w:rsidR="00B95D17">
        <w:t xml:space="preserve">reduced </w:t>
      </w:r>
      <w:r w:rsidR="0096537B">
        <w:t xml:space="preserve">forest growth projections </w:t>
      </w:r>
      <w:r w:rsidR="00B95D17">
        <w:t xml:space="preserve">in response </w:t>
      </w:r>
      <w:r w:rsidR="0096537B">
        <w:t xml:space="preserve">to climate change. </w:t>
      </w:r>
      <w:r w:rsidR="00B95D17">
        <w:t>These adaptation</w:t>
      </w:r>
      <w:r w:rsidR="0096537B">
        <w:t xml:space="preserve"> measures were </w:t>
      </w:r>
      <w:r w:rsidR="00B95D17">
        <w:t>built upon</w:t>
      </w:r>
      <w:r w:rsidR="0096537B">
        <w:t xml:space="preserve"> in the FMP 2014-2023 </w:t>
      </w:r>
      <w:r w:rsidR="00B95D17">
        <w:t>through a refinement of the fauna habitat zone</w:t>
      </w:r>
      <w:r w:rsidR="00883751">
        <w:t xml:space="preserve"> (FHZ)</w:t>
      </w:r>
      <w:r w:rsidR="00B95D17">
        <w:t xml:space="preserve"> network (outside the CAR reserve system), ongoing refinement of silviculture and prescribed fire practices, further reductions in the projection of timber yields, and provision for management of vegetation density </w:t>
      </w:r>
      <w:r w:rsidR="0096537B">
        <w:t xml:space="preserve">to increase resilience </w:t>
      </w:r>
      <w:r w:rsidR="00B95D17">
        <w:t xml:space="preserve">of landscapes to reduced </w:t>
      </w:r>
      <w:r w:rsidR="003A78A2">
        <w:t>rainfall.</w:t>
      </w:r>
      <w:r w:rsidR="0096537B">
        <w:t xml:space="preserve"> </w:t>
      </w:r>
    </w:p>
    <w:p w14:paraId="26ABCB5A" w14:textId="77777777" w:rsidR="00AF064B" w:rsidRPr="00CE60B2" w:rsidRDefault="00AF064B" w:rsidP="00D15AAD">
      <w:pPr>
        <w:pStyle w:val="Heading3"/>
        <w:rPr>
          <w:lang w:eastAsia="en-AU"/>
        </w:rPr>
      </w:pPr>
      <w:bookmarkStart w:id="44" w:name="_Toc524952788"/>
      <w:bookmarkStart w:id="45" w:name="_Toc2776032"/>
      <w:r w:rsidRPr="00CE60B2">
        <w:rPr>
          <w:lang w:eastAsia="en-AU"/>
        </w:rPr>
        <w:t>National Estate values</w:t>
      </w:r>
      <w:bookmarkEnd w:id="44"/>
      <w:bookmarkEnd w:id="45"/>
    </w:p>
    <w:p w14:paraId="26ABCB5B" w14:textId="77777777" w:rsidR="00B82AE0" w:rsidRPr="00CE60B2" w:rsidRDefault="00B82AE0" w:rsidP="00B82AE0">
      <w:pPr>
        <w:rPr>
          <w:rStyle w:val="Emphasis"/>
          <w:rFonts w:cs="Segoe UI"/>
          <w:i w:val="0"/>
          <w:color w:val="000000"/>
          <w:bdr w:val="none" w:sz="0" w:space="0" w:color="auto" w:frame="1"/>
        </w:rPr>
      </w:pPr>
      <w:r w:rsidRPr="00CE60B2">
        <w:rPr>
          <w:rFonts w:cs="Segoe UI"/>
        </w:rPr>
        <w:t xml:space="preserve">The term </w:t>
      </w:r>
      <w:r w:rsidRPr="00CE60B2">
        <w:rPr>
          <w:rFonts w:cs="Segoe UI"/>
          <w:i/>
        </w:rPr>
        <w:t>National Estate</w:t>
      </w:r>
      <w:r w:rsidRPr="00CE60B2">
        <w:rPr>
          <w:rFonts w:cs="Segoe UI"/>
        </w:rPr>
        <w:t xml:space="preserve"> refers to places defined in section 4 of the repealed </w:t>
      </w:r>
      <w:r w:rsidRPr="00CE60B2">
        <w:rPr>
          <w:rFonts w:cs="Segoe UI"/>
          <w:i/>
        </w:rPr>
        <w:t>Australian Heritage Commission Act 1975</w:t>
      </w:r>
      <w:r w:rsidRPr="00CE60B2">
        <w:rPr>
          <w:rFonts w:cs="Segoe UI"/>
        </w:rPr>
        <w:t xml:space="preserve"> (</w:t>
      </w:r>
      <w:r w:rsidR="0045412A" w:rsidRPr="00CE60B2">
        <w:rPr>
          <w:rFonts w:cs="Segoe UI"/>
        </w:rPr>
        <w:t>Cth</w:t>
      </w:r>
      <w:r w:rsidRPr="00CE60B2">
        <w:rPr>
          <w:rFonts w:cs="Segoe UI"/>
        </w:rPr>
        <w:t>)</w:t>
      </w:r>
      <w:r w:rsidR="007B469F">
        <w:rPr>
          <w:rFonts w:cs="Segoe UI"/>
        </w:rPr>
        <w:t xml:space="preserve"> (AHC Act)</w:t>
      </w:r>
      <w:r w:rsidRPr="00CE60B2">
        <w:rPr>
          <w:rFonts w:cs="Segoe UI"/>
        </w:rPr>
        <w:t>. After the signing of the</w:t>
      </w:r>
      <w:r w:rsidR="00105759" w:rsidRPr="00CE60B2">
        <w:rPr>
          <w:rFonts w:cs="Segoe UI"/>
        </w:rPr>
        <w:t xml:space="preserve"> WA </w:t>
      </w:r>
      <w:r w:rsidRPr="00CE60B2">
        <w:rPr>
          <w:rFonts w:cs="Segoe UI"/>
        </w:rPr>
        <w:t xml:space="preserve">RFA, the </w:t>
      </w:r>
      <w:r w:rsidR="007B469F" w:rsidRPr="007B469F">
        <w:rPr>
          <w:rStyle w:val="Emphasis"/>
          <w:rFonts w:cs="Segoe UI"/>
          <w:i w:val="0"/>
          <w:color w:val="000000"/>
          <w:bdr w:val="none" w:sz="0" w:space="0" w:color="auto" w:frame="1"/>
        </w:rPr>
        <w:t>AHC Act</w:t>
      </w:r>
      <w:r w:rsidR="00CC4C83" w:rsidRPr="00CE60B2">
        <w:rPr>
          <w:rStyle w:val="Emphasis"/>
          <w:rFonts w:cs="Segoe UI"/>
          <w:i w:val="0"/>
          <w:color w:val="000000"/>
          <w:bdr w:val="none" w:sz="0" w:space="0" w:color="auto" w:frame="1"/>
        </w:rPr>
        <w:t xml:space="preserve"> </w:t>
      </w:r>
      <w:r w:rsidRPr="00CE60B2">
        <w:rPr>
          <w:rStyle w:val="Emphasis"/>
          <w:rFonts w:cs="Segoe UI"/>
          <w:i w:val="0"/>
          <w:color w:val="000000"/>
          <w:bdr w:val="none" w:sz="0" w:space="0" w:color="auto" w:frame="1"/>
        </w:rPr>
        <w:t>was repealed</w:t>
      </w:r>
      <w:r w:rsidRPr="00CE60B2">
        <w:rPr>
          <w:rFonts w:cs="Segoe UI"/>
          <w:i/>
        </w:rPr>
        <w:t xml:space="preserve"> </w:t>
      </w:r>
      <w:r w:rsidRPr="00CE60B2">
        <w:rPr>
          <w:rFonts w:cs="Segoe UI"/>
        </w:rPr>
        <w:t>and the Register of the</w:t>
      </w:r>
      <w:r w:rsidRPr="00CE60B2">
        <w:rPr>
          <w:rFonts w:cs="Segoe UI"/>
          <w:lang w:eastAsia="ja-JP"/>
        </w:rPr>
        <w:t xml:space="preserve"> National Estate was phased out</w:t>
      </w:r>
      <w:r w:rsidRPr="00CE60B2">
        <w:rPr>
          <w:rStyle w:val="Emphasis"/>
          <w:rFonts w:cs="Segoe UI"/>
          <w:color w:val="000000"/>
          <w:bdr w:val="none" w:sz="0" w:space="0" w:color="auto" w:frame="1"/>
        </w:rPr>
        <w:t>.</w:t>
      </w:r>
      <w:r w:rsidRPr="00CE60B2">
        <w:rPr>
          <w:rStyle w:val="Emphasis"/>
          <w:rFonts w:cs="Segoe UI"/>
          <w:i w:val="0"/>
          <w:color w:val="000000"/>
          <w:bdr w:val="none" w:sz="0" w:space="0" w:color="auto" w:frame="1"/>
        </w:rPr>
        <w:t xml:space="preserve"> As a consequence, the RFAs do not reflect the current system of heritage protection under the EPBC Act through the National and Commonwealth Heritage Lists and </w:t>
      </w:r>
      <w:r w:rsidRPr="00CE60B2">
        <w:rPr>
          <w:rFonts w:cs="Segoe UI"/>
        </w:rPr>
        <w:t>the </w:t>
      </w:r>
      <w:r w:rsidRPr="00CE60B2">
        <w:rPr>
          <w:rStyle w:val="Emphasis"/>
          <w:rFonts w:cs="Segoe UI"/>
          <w:color w:val="000000"/>
          <w:bdr w:val="none" w:sz="0" w:space="0" w:color="auto" w:frame="1"/>
        </w:rPr>
        <w:t>Austra</w:t>
      </w:r>
      <w:r w:rsidR="004835EA" w:rsidRPr="00CE60B2">
        <w:rPr>
          <w:rStyle w:val="Emphasis"/>
          <w:rFonts w:cs="Segoe UI"/>
          <w:color w:val="000000"/>
          <w:bdr w:val="none" w:sz="0" w:space="0" w:color="auto" w:frame="1"/>
        </w:rPr>
        <w:t>lian Heritage Council Act 2003</w:t>
      </w:r>
      <w:r w:rsidR="00E664A9">
        <w:rPr>
          <w:rStyle w:val="Emphasis"/>
          <w:rFonts w:cs="Segoe UI"/>
          <w:color w:val="000000"/>
          <w:bdr w:val="none" w:sz="0" w:space="0" w:color="auto" w:frame="1"/>
        </w:rPr>
        <w:t xml:space="preserve"> (Cth)</w:t>
      </w:r>
      <w:r w:rsidR="004835EA" w:rsidRPr="00CE60B2">
        <w:rPr>
          <w:rStyle w:val="Emphasis"/>
          <w:rFonts w:cs="Segoe UI"/>
          <w:color w:val="000000"/>
          <w:bdr w:val="none" w:sz="0" w:space="0" w:color="auto" w:frame="1"/>
        </w:rPr>
        <w:t>.</w:t>
      </w:r>
    </w:p>
    <w:p w14:paraId="26ABCB5C" w14:textId="77777777" w:rsidR="00636977" w:rsidRDefault="00636977" w:rsidP="00B82AE0">
      <w:pPr>
        <w:rPr>
          <w:rFonts w:cs="Segoe UI"/>
        </w:rPr>
      </w:pPr>
      <w:r>
        <w:rPr>
          <w:rFonts w:cs="Segoe UI"/>
        </w:rPr>
        <w:t xml:space="preserve">As part of the CRA process the Western Australia National Estate Aesthetic Value Identification and Assessment Project recommended 42 places could be included in the Register of the National Estate (ERM Mitchell McCotter, 1998). </w:t>
      </w:r>
    </w:p>
    <w:p w14:paraId="26ABCB5D" w14:textId="48434FFC" w:rsidR="00B82AE0" w:rsidRPr="00CE60B2" w:rsidRDefault="00B82AE0" w:rsidP="00B82AE0">
      <w:pPr>
        <w:rPr>
          <w:rFonts w:cs="Segoe UI"/>
        </w:rPr>
      </w:pPr>
      <w:r w:rsidRPr="00CE60B2">
        <w:rPr>
          <w:rFonts w:cs="Segoe UI"/>
        </w:rPr>
        <w:t xml:space="preserve">There </w:t>
      </w:r>
      <w:r w:rsidR="00DA20E0" w:rsidRPr="00CE60B2">
        <w:rPr>
          <w:rFonts w:cs="Segoe UI"/>
        </w:rPr>
        <w:t>is one</w:t>
      </w:r>
      <w:r w:rsidRPr="00CE60B2">
        <w:rPr>
          <w:rFonts w:cs="Segoe UI"/>
        </w:rPr>
        <w:t xml:space="preserve"> place on the National Heritage List and </w:t>
      </w:r>
      <w:r w:rsidR="00DA20E0" w:rsidRPr="00CE60B2">
        <w:rPr>
          <w:rFonts w:cs="Segoe UI"/>
        </w:rPr>
        <w:t>two</w:t>
      </w:r>
      <w:r w:rsidRPr="00CE60B2">
        <w:rPr>
          <w:rFonts w:cs="Segoe UI"/>
        </w:rPr>
        <w:t xml:space="preserve"> places on the Commonwealth Heritage List within the </w:t>
      </w:r>
      <w:r w:rsidR="007F180D">
        <w:rPr>
          <w:rFonts w:cs="Segoe UI"/>
        </w:rPr>
        <w:t>WA </w:t>
      </w:r>
      <w:r w:rsidRPr="00CE60B2">
        <w:rPr>
          <w:rFonts w:cs="Segoe UI"/>
        </w:rPr>
        <w:t>RFA region</w:t>
      </w:r>
      <w:r w:rsidR="00DA20E0" w:rsidRPr="00CE60B2">
        <w:rPr>
          <w:rFonts w:cs="Segoe UI"/>
        </w:rPr>
        <w:t xml:space="preserve"> (</w:t>
      </w:r>
      <w:r w:rsidR="00C5528D">
        <w:rPr>
          <w:rFonts w:cs="Segoe UI"/>
          <w:b/>
          <w:highlight w:val="yellow"/>
        </w:rPr>
        <w:fldChar w:fldCharType="begin"/>
      </w:r>
      <w:r w:rsidR="00C5528D">
        <w:rPr>
          <w:rFonts w:cs="Segoe UI"/>
        </w:rPr>
        <w:instrText xml:space="preserve"> REF _Ref527451246 </w:instrText>
      </w:r>
      <w:r w:rsidR="00C5528D">
        <w:rPr>
          <w:rFonts w:cs="Segoe UI"/>
          <w:b/>
          <w:highlight w:val="yellow"/>
        </w:rPr>
        <w:fldChar w:fldCharType="separate"/>
      </w:r>
      <w:r w:rsidR="003C7091">
        <w:t xml:space="preserve">Table </w:t>
      </w:r>
      <w:r w:rsidR="003C7091">
        <w:rPr>
          <w:noProof/>
        </w:rPr>
        <w:t>6</w:t>
      </w:r>
      <w:r w:rsidR="00C5528D">
        <w:rPr>
          <w:rFonts w:cs="Segoe UI"/>
          <w:b/>
          <w:highlight w:val="yellow"/>
        </w:rPr>
        <w:fldChar w:fldCharType="end"/>
      </w:r>
      <w:r w:rsidR="00DA20E0" w:rsidRPr="00CE60B2">
        <w:rPr>
          <w:rFonts w:cs="Segoe UI"/>
        </w:rPr>
        <w:t xml:space="preserve"> and </w:t>
      </w:r>
      <w:r w:rsidR="00C5528D">
        <w:rPr>
          <w:rFonts w:cs="Segoe UI"/>
          <w:b/>
          <w:highlight w:val="yellow"/>
        </w:rPr>
        <w:fldChar w:fldCharType="begin"/>
      </w:r>
      <w:r w:rsidR="00C5528D">
        <w:rPr>
          <w:rFonts w:cs="Segoe UI"/>
        </w:rPr>
        <w:instrText xml:space="preserve"> REF _Ref527451258 </w:instrText>
      </w:r>
      <w:r w:rsidR="00C5528D">
        <w:rPr>
          <w:rFonts w:cs="Segoe UI"/>
          <w:b/>
          <w:highlight w:val="yellow"/>
        </w:rPr>
        <w:fldChar w:fldCharType="separate"/>
      </w:r>
      <w:r w:rsidR="003C7091">
        <w:t xml:space="preserve">Table </w:t>
      </w:r>
      <w:r w:rsidR="003C7091">
        <w:rPr>
          <w:noProof/>
        </w:rPr>
        <w:t>7</w:t>
      </w:r>
      <w:r w:rsidR="00C5528D">
        <w:rPr>
          <w:rFonts w:cs="Segoe UI"/>
          <w:b/>
          <w:highlight w:val="yellow"/>
        </w:rPr>
        <w:fldChar w:fldCharType="end"/>
      </w:r>
      <w:r w:rsidR="00DA20E0" w:rsidRPr="00CE60B2">
        <w:rPr>
          <w:rFonts w:cs="Segoe UI"/>
        </w:rPr>
        <w:t>)</w:t>
      </w:r>
      <w:r w:rsidRPr="00CE60B2">
        <w:rPr>
          <w:rFonts w:cs="Segoe UI"/>
        </w:rPr>
        <w:t xml:space="preserve">. </w:t>
      </w:r>
      <w:r w:rsidR="00DA20E0" w:rsidRPr="00CE60B2">
        <w:rPr>
          <w:rFonts w:cs="Segoe UI"/>
        </w:rPr>
        <w:t>All</w:t>
      </w:r>
      <w:r w:rsidRPr="00CE60B2">
        <w:rPr>
          <w:rFonts w:cs="Segoe UI"/>
        </w:rPr>
        <w:t xml:space="preserve"> of these places have management plans that outline how the heritage values of the site are protected.</w:t>
      </w:r>
    </w:p>
    <w:p w14:paraId="26ABCB5E" w14:textId="77777777" w:rsidR="00B82AE0" w:rsidRPr="00CE60B2" w:rsidRDefault="00B82AE0" w:rsidP="00B82AE0">
      <w:pPr>
        <w:rPr>
          <w:rFonts w:cs="Segoe UI"/>
        </w:rPr>
      </w:pPr>
      <w:r w:rsidRPr="00CE60B2">
        <w:rPr>
          <w:rFonts w:cs="Segoe UI"/>
        </w:rPr>
        <w:t xml:space="preserve">For the past 20 years, the </w:t>
      </w:r>
      <w:r w:rsidR="00105759" w:rsidRPr="00CE60B2">
        <w:rPr>
          <w:rFonts w:cs="Segoe UI"/>
        </w:rPr>
        <w:t>WA</w:t>
      </w:r>
      <w:r w:rsidRPr="00CE60B2">
        <w:rPr>
          <w:rFonts w:cs="Segoe UI"/>
        </w:rPr>
        <w:t xml:space="preserve"> Forest Management </w:t>
      </w:r>
      <w:r w:rsidR="00105759" w:rsidRPr="00CE60B2">
        <w:rPr>
          <w:rFonts w:cs="Segoe UI"/>
        </w:rPr>
        <w:t>System</w:t>
      </w:r>
      <w:r w:rsidRPr="00CE60B2">
        <w:rPr>
          <w:rFonts w:cs="Segoe UI"/>
        </w:rPr>
        <w:t xml:space="preserve"> </w:t>
      </w:r>
      <w:r w:rsidR="00EC5421">
        <w:rPr>
          <w:rFonts w:cs="Segoe UI"/>
        </w:rPr>
        <w:t xml:space="preserve">(FMS) </w:t>
      </w:r>
      <w:r w:rsidRPr="00CE60B2">
        <w:rPr>
          <w:rFonts w:cs="Segoe UI"/>
        </w:rPr>
        <w:t>has provided for the protection of National Heritage Values of National Heritage Places in accordance with National Heritage Management Principles.</w:t>
      </w:r>
      <w:r w:rsidR="00E4278F">
        <w:rPr>
          <w:rFonts w:cs="Segoe UI"/>
        </w:rPr>
        <w:t xml:space="preserve"> </w:t>
      </w:r>
    </w:p>
    <w:p w14:paraId="26ABCB5F" w14:textId="77777777" w:rsidR="00543571" w:rsidRPr="00CE60B2" w:rsidRDefault="00543571" w:rsidP="00543571">
      <w:pPr>
        <w:rPr>
          <w:rFonts w:cs="Segoe UI"/>
        </w:rPr>
      </w:pPr>
      <w:r w:rsidRPr="00543571">
        <w:lastRenderedPageBreak/>
        <w:t xml:space="preserve">National Estate values in the </w:t>
      </w:r>
      <w:r w:rsidR="009953E9" w:rsidRPr="009953E9">
        <w:rPr>
          <w:iCs/>
        </w:rPr>
        <w:t>RFA Act</w:t>
      </w:r>
      <w:r w:rsidRPr="009953E9">
        <w:t xml:space="preserve"> </w:t>
      </w:r>
      <w:r w:rsidRPr="00543571">
        <w:t>refer to the aesthetic, historic, scientific or social significance or other values of places that form part of the natural environment or cultural environment of Australia that make those places of significance or special value to current and future generations. National Estate values are protected and managed through</w:t>
      </w:r>
      <w:r w:rsidRPr="00543571">
        <w:rPr>
          <w:rFonts w:cs="Segoe UI"/>
        </w:rPr>
        <w:t xml:space="preserve"> implementation of </w:t>
      </w:r>
      <w:r w:rsidRPr="00543571">
        <w:t>the CAR reserve system and the application of the WA FMS.</w:t>
      </w:r>
    </w:p>
    <w:p w14:paraId="26ABCB60" w14:textId="77777777" w:rsidR="00B82AE0" w:rsidRPr="00CE60B2" w:rsidRDefault="00B82AE0" w:rsidP="00D15AAD">
      <w:pPr>
        <w:pStyle w:val="Heading4"/>
        <w:rPr>
          <w:rFonts w:cs="Segoe UI"/>
          <w:lang w:eastAsia="en-AU"/>
        </w:rPr>
      </w:pPr>
      <w:r w:rsidRPr="00CE60B2">
        <w:rPr>
          <w:rFonts w:cs="Segoe UI"/>
          <w:lang w:eastAsia="en-AU"/>
        </w:rPr>
        <w:t xml:space="preserve">Changes to National Legislation </w:t>
      </w:r>
    </w:p>
    <w:p w14:paraId="26ABCB61" w14:textId="77777777" w:rsidR="00B82AE0" w:rsidRPr="00CE60B2" w:rsidRDefault="00B82AE0" w:rsidP="00D15AAD">
      <w:pPr>
        <w:pStyle w:val="Heading5"/>
        <w:rPr>
          <w:rFonts w:cs="Segoe UI"/>
        </w:rPr>
      </w:pPr>
      <w:r w:rsidRPr="00CE60B2">
        <w:rPr>
          <w:rFonts w:cs="Segoe UI"/>
        </w:rPr>
        <w:t xml:space="preserve">Closure of the Register of the National Estate </w:t>
      </w:r>
    </w:p>
    <w:p w14:paraId="26ABCB62" w14:textId="77777777" w:rsidR="00B82AE0" w:rsidRPr="00CE60B2" w:rsidRDefault="00B82AE0" w:rsidP="00B82AE0">
      <w:pPr>
        <w:spacing w:before="0" w:after="0"/>
        <w:rPr>
          <w:rFonts w:cs="Segoe UI"/>
        </w:rPr>
      </w:pPr>
      <w:r w:rsidRPr="00CE60B2">
        <w:rPr>
          <w:rFonts w:cs="Segoe UI"/>
        </w:rPr>
        <w:t xml:space="preserve">After the </w:t>
      </w:r>
      <w:r w:rsidR="00105759" w:rsidRPr="00CE60B2">
        <w:rPr>
          <w:rFonts w:cs="Segoe UI"/>
        </w:rPr>
        <w:t xml:space="preserve">WA </w:t>
      </w:r>
      <w:r w:rsidRPr="00CE60B2">
        <w:rPr>
          <w:rFonts w:cs="Segoe UI"/>
        </w:rPr>
        <w:t>RFA w</w:t>
      </w:r>
      <w:r w:rsidR="00105759" w:rsidRPr="00CE60B2">
        <w:rPr>
          <w:rFonts w:cs="Segoe UI"/>
        </w:rPr>
        <w:t>as</w:t>
      </w:r>
      <w:r w:rsidRPr="00CE60B2">
        <w:rPr>
          <w:rFonts w:cs="Segoe UI"/>
        </w:rPr>
        <w:t xml:space="preserve"> signed </w:t>
      </w:r>
      <w:r w:rsidR="0025700F" w:rsidRPr="00CE60B2">
        <w:rPr>
          <w:rFonts w:cs="Segoe UI"/>
        </w:rPr>
        <w:t>in</w:t>
      </w:r>
      <w:r w:rsidRPr="00CE60B2">
        <w:rPr>
          <w:rFonts w:cs="Segoe UI"/>
        </w:rPr>
        <w:t xml:space="preserve"> 199</w:t>
      </w:r>
      <w:r w:rsidR="00CC4C83" w:rsidRPr="00CE60B2">
        <w:rPr>
          <w:rFonts w:cs="Segoe UI"/>
        </w:rPr>
        <w:t>9</w:t>
      </w:r>
      <w:r w:rsidRPr="00CE60B2">
        <w:rPr>
          <w:rFonts w:cs="Segoe UI"/>
        </w:rPr>
        <w:t xml:space="preserve">, a new system of </w:t>
      </w:r>
      <w:r w:rsidR="00CC4C83" w:rsidRPr="00CE60B2">
        <w:rPr>
          <w:rFonts w:cs="Segoe UI"/>
        </w:rPr>
        <w:t>national</w:t>
      </w:r>
      <w:r w:rsidRPr="00CE60B2">
        <w:rPr>
          <w:rFonts w:cs="Segoe UI"/>
        </w:rPr>
        <w:t xml:space="preserve"> heritage protection was introduced. The Register of the National Estate was a national list of places of natural, historic and Indigenous significance. Each site was identified under the </w:t>
      </w:r>
      <w:r w:rsidR="00CC4C83" w:rsidRPr="00CE60B2">
        <w:rPr>
          <w:rFonts w:cs="Segoe UI"/>
        </w:rPr>
        <w:t>repealed</w:t>
      </w:r>
      <w:r w:rsidRPr="00CE60B2">
        <w:rPr>
          <w:rFonts w:cs="Segoe UI"/>
        </w:rPr>
        <w:t xml:space="preserve"> </w:t>
      </w:r>
      <w:r w:rsidR="007B469F" w:rsidRPr="007B469F">
        <w:rPr>
          <w:rFonts w:cs="Segoe UI"/>
        </w:rPr>
        <w:t>AHC Act</w:t>
      </w:r>
      <w:r w:rsidR="00CC4C83" w:rsidRPr="00CE60B2">
        <w:rPr>
          <w:rFonts w:cs="Segoe UI"/>
        </w:rPr>
        <w:t xml:space="preserve"> </w:t>
      </w:r>
      <w:r w:rsidRPr="00CE60B2">
        <w:rPr>
          <w:rFonts w:cs="Segoe UI"/>
        </w:rPr>
        <w:t xml:space="preserve">and the EPBC Act. The Register was maintained by the Australian Heritage Commission and later the Australian Government between 1975 and 2007. </w:t>
      </w:r>
    </w:p>
    <w:p w14:paraId="26ABCB63" w14:textId="77777777" w:rsidR="00B82AE0" w:rsidRPr="00CE60B2" w:rsidRDefault="00B82AE0" w:rsidP="00B82AE0">
      <w:pPr>
        <w:rPr>
          <w:rFonts w:cs="Segoe UI"/>
        </w:rPr>
      </w:pPr>
      <w:r w:rsidRPr="00CE60B2">
        <w:rPr>
          <w:rFonts w:cs="Segoe UI"/>
        </w:rPr>
        <w:t>In 1997, the Council of Australian Governments agreed that it was more appropriate for heritage listing and protection to be the responsibility of the government agencies that were best placed to deliver agreed outcomes. As a result, the </w:t>
      </w:r>
      <w:r w:rsidR="007B469F" w:rsidRPr="007B469F">
        <w:rPr>
          <w:rStyle w:val="Emphasis"/>
          <w:rFonts w:cs="Segoe UI"/>
          <w:i w:val="0"/>
          <w:color w:val="000000"/>
          <w:bdr w:val="none" w:sz="0" w:space="0" w:color="auto" w:frame="1"/>
        </w:rPr>
        <w:t>A</w:t>
      </w:r>
      <w:r w:rsidR="007B469F" w:rsidRPr="00E664A9">
        <w:rPr>
          <w:rStyle w:val="Emphasis"/>
          <w:rFonts w:cs="Segoe UI"/>
          <w:i w:val="0"/>
          <w:color w:val="000000"/>
          <w:bdr w:val="none" w:sz="0" w:space="0" w:color="auto" w:frame="1"/>
        </w:rPr>
        <w:t>HC Act</w:t>
      </w:r>
      <w:r w:rsidR="00CC4C83" w:rsidRPr="00E664A9">
        <w:rPr>
          <w:rStyle w:val="Emphasis"/>
          <w:rFonts w:cs="Segoe UI"/>
          <w:i w:val="0"/>
          <w:color w:val="000000"/>
          <w:bdr w:val="none" w:sz="0" w:space="0" w:color="auto" w:frame="1"/>
        </w:rPr>
        <w:t xml:space="preserve"> </w:t>
      </w:r>
      <w:r w:rsidRPr="00CE60B2">
        <w:rPr>
          <w:rStyle w:val="Emphasis"/>
          <w:rFonts w:cs="Segoe UI"/>
          <w:i w:val="0"/>
          <w:color w:val="000000"/>
          <w:bdr w:val="none" w:sz="0" w:space="0" w:color="auto" w:frame="1"/>
        </w:rPr>
        <w:t xml:space="preserve">was repealed and </w:t>
      </w:r>
      <w:r w:rsidRPr="00CE60B2">
        <w:rPr>
          <w:rFonts w:cs="Segoe UI"/>
        </w:rPr>
        <w:t xml:space="preserve">the Register of the National Estate was phased out as a statutory list. </w:t>
      </w:r>
    </w:p>
    <w:p w14:paraId="26ABCB64" w14:textId="77777777" w:rsidR="00B82AE0" w:rsidRPr="00CE60B2" w:rsidRDefault="00B82AE0" w:rsidP="00B82AE0">
      <w:pPr>
        <w:rPr>
          <w:rFonts w:cs="Segoe UI"/>
        </w:rPr>
      </w:pPr>
      <w:r w:rsidRPr="00CE60B2">
        <w:rPr>
          <w:rFonts w:cs="Segoe UI"/>
        </w:rPr>
        <w:t>The Register was frozen in 2007 and ceased to be a recogn</w:t>
      </w:r>
      <w:r w:rsidR="00E4295E">
        <w:rPr>
          <w:rFonts w:cs="Segoe UI"/>
        </w:rPr>
        <w:t>ised statutory list in February </w:t>
      </w:r>
      <w:r w:rsidRPr="00CE60B2">
        <w:rPr>
          <w:rFonts w:cs="Segoe UI"/>
        </w:rPr>
        <w:t xml:space="preserve">2012. The Register of the National Estate is maintained on a non-statutory basis as a publicly available archive of </w:t>
      </w:r>
      <w:r w:rsidR="00E4295E">
        <w:rPr>
          <w:rFonts w:cs="Segoe UI"/>
        </w:rPr>
        <w:t>information on more than 13,000 </w:t>
      </w:r>
      <w:r w:rsidRPr="00CE60B2">
        <w:rPr>
          <w:rFonts w:cs="Segoe UI"/>
        </w:rPr>
        <w:t xml:space="preserve">places throughout Australia. This list can be publicly accessed on the Australian Heritage Database. </w:t>
      </w:r>
    </w:p>
    <w:p w14:paraId="26ABCB65" w14:textId="77777777" w:rsidR="00B82AE0" w:rsidRPr="00CE60B2" w:rsidRDefault="00B82AE0" w:rsidP="00D15AAD">
      <w:pPr>
        <w:pStyle w:val="Heading5"/>
        <w:rPr>
          <w:rFonts w:cs="Segoe UI"/>
        </w:rPr>
      </w:pPr>
      <w:r w:rsidRPr="00CE60B2">
        <w:rPr>
          <w:rFonts w:cs="Segoe UI"/>
        </w:rPr>
        <w:t>A new national heritage system</w:t>
      </w:r>
    </w:p>
    <w:p w14:paraId="26ABCB66" w14:textId="77777777" w:rsidR="00B82AE0" w:rsidRPr="00CE60B2" w:rsidRDefault="00B82AE0" w:rsidP="00B82AE0">
      <w:pPr>
        <w:spacing w:before="0" w:after="0"/>
        <w:rPr>
          <w:rFonts w:cs="Segoe UI"/>
        </w:rPr>
      </w:pPr>
      <w:r w:rsidRPr="00CE60B2">
        <w:rPr>
          <w:rFonts w:cs="Segoe UI"/>
        </w:rPr>
        <w:t xml:space="preserve">The expiration and repeal of parts of the EPBC Act and the </w:t>
      </w:r>
      <w:r w:rsidR="00E4295E">
        <w:rPr>
          <w:rFonts w:cs="Segoe UI"/>
          <w:i/>
        </w:rPr>
        <w:t>Australian Heritage Council Act </w:t>
      </w:r>
      <w:r w:rsidRPr="00CE60B2">
        <w:rPr>
          <w:rFonts w:cs="Segoe UI"/>
          <w:i/>
        </w:rPr>
        <w:t>2003</w:t>
      </w:r>
      <w:r w:rsidRPr="00CE60B2">
        <w:rPr>
          <w:rFonts w:cs="Segoe UI"/>
        </w:rPr>
        <w:t xml:space="preserve"> </w:t>
      </w:r>
      <w:r w:rsidR="00CC4C83" w:rsidRPr="00CE60B2">
        <w:rPr>
          <w:rFonts w:cs="Segoe UI"/>
        </w:rPr>
        <w:t xml:space="preserve">(Cth) </w:t>
      </w:r>
      <w:r w:rsidRPr="00CE60B2">
        <w:rPr>
          <w:rFonts w:cs="Segoe UI"/>
        </w:rPr>
        <w:t>relating to the Register of National Estate did not diminish protection of Commonwealth heritage places. These parts were superseded by stronger ongoing heritage protection provisions under national environment law.</w:t>
      </w:r>
    </w:p>
    <w:p w14:paraId="26ABCB67" w14:textId="77777777" w:rsidR="00B82AE0" w:rsidRPr="00CE60B2" w:rsidRDefault="00B82AE0" w:rsidP="00B82AE0">
      <w:pPr>
        <w:spacing w:before="0" w:after="0"/>
        <w:rPr>
          <w:rFonts w:cs="Segoe UI"/>
        </w:rPr>
      </w:pPr>
    </w:p>
    <w:p w14:paraId="26ABCB68" w14:textId="77777777" w:rsidR="00B82AE0" w:rsidRPr="00CE60B2" w:rsidRDefault="00B82AE0" w:rsidP="00B82AE0">
      <w:pPr>
        <w:spacing w:before="0" w:after="160" w:line="259" w:lineRule="auto"/>
        <w:rPr>
          <w:rFonts w:cs="Segoe UI"/>
          <w:i/>
        </w:rPr>
      </w:pPr>
      <w:r w:rsidRPr="00CE60B2">
        <w:rPr>
          <w:rFonts w:cs="Segoe UI"/>
        </w:rPr>
        <w:t xml:space="preserve">National Estate Values are now managed through a combination of </w:t>
      </w:r>
      <w:r w:rsidR="004C35E3">
        <w:rPr>
          <w:rFonts w:cs="Segoe UI"/>
        </w:rPr>
        <w:t xml:space="preserve">formal and informal reserve systems, </w:t>
      </w:r>
      <w:r w:rsidRPr="00CE60B2">
        <w:rPr>
          <w:rFonts w:cs="Segoe UI"/>
        </w:rPr>
        <w:t xml:space="preserve">the National and Commonwealth Heritage Lists, </w:t>
      </w:r>
      <w:r w:rsidR="000E2FDF" w:rsidRPr="00FD10BB">
        <w:t>WA heritage provisions</w:t>
      </w:r>
      <w:r w:rsidR="00EE3424" w:rsidRPr="00EE3424">
        <w:rPr>
          <w:rFonts w:cs="Segoe UI"/>
        </w:rPr>
        <w:t xml:space="preserve">, including the </w:t>
      </w:r>
      <w:r w:rsidR="00EE3424" w:rsidRPr="00EE3424">
        <w:rPr>
          <w:rFonts w:cs="Segoe UI"/>
          <w:i/>
        </w:rPr>
        <w:t>Heritage of Western Australia Act 1990</w:t>
      </w:r>
      <w:r w:rsidR="00EE3424" w:rsidRPr="00EE3424">
        <w:rPr>
          <w:rFonts w:cs="Segoe UI"/>
        </w:rPr>
        <w:t xml:space="preserve">, </w:t>
      </w:r>
      <w:r w:rsidRPr="00CE60B2">
        <w:rPr>
          <w:rFonts w:cs="Segoe UI"/>
        </w:rPr>
        <w:t>and the Heritage Codes of local planning schemes.</w:t>
      </w:r>
      <w:r w:rsidRPr="00CE60B2">
        <w:rPr>
          <w:rFonts w:cs="Segoe UI"/>
          <w:i/>
        </w:rPr>
        <w:t xml:space="preserve"> </w:t>
      </w:r>
      <w:r w:rsidRPr="00CE60B2">
        <w:rPr>
          <w:rFonts w:cs="Segoe UI"/>
        </w:rPr>
        <w:t>The National Heritage List includes places of outstanding heritage value to the nation, and the Commonwealth Heritage List includes heritage places owned or controlled by the Commonwealth.</w:t>
      </w:r>
    </w:p>
    <w:p w14:paraId="26ABCB69" w14:textId="77777777" w:rsidR="00B82AE0" w:rsidRPr="00CE60B2" w:rsidRDefault="00B82AE0" w:rsidP="00D15AAD">
      <w:pPr>
        <w:pStyle w:val="Heading5"/>
        <w:rPr>
          <w:rFonts w:cs="Segoe UI"/>
        </w:rPr>
      </w:pPr>
      <w:r w:rsidRPr="00CE60B2">
        <w:rPr>
          <w:rFonts w:cs="Segoe UI"/>
        </w:rPr>
        <w:t xml:space="preserve">Commonwealth and National Heritage List assessment </w:t>
      </w:r>
    </w:p>
    <w:p w14:paraId="26ABCB6A" w14:textId="77777777" w:rsidR="00B82AE0" w:rsidRPr="00CE60B2" w:rsidRDefault="00B82AE0" w:rsidP="00B82AE0">
      <w:pPr>
        <w:spacing w:before="0" w:after="0"/>
        <w:rPr>
          <w:rFonts w:cs="Segoe UI"/>
          <w:lang w:eastAsia="en-AU"/>
        </w:rPr>
      </w:pPr>
      <w:r w:rsidRPr="00CE60B2">
        <w:rPr>
          <w:rFonts w:cs="Segoe UI"/>
          <w:lang w:eastAsia="en-AU"/>
        </w:rPr>
        <w:t>Anyone can nominate a place with significant or outstanding heritage values for the Commonwealth or National Heritage List.</w:t>
      </w:r>
      <w:r w:rsidRPr="00CE60B2">
        <w:rPr>
          <w:rFonts w:cs="Segoe UI"/>
        </w:rPr>
        <w:t xml:space="preserve"> The Australian Heritage Council assesses the values of nominated places against set criteria and makes recommendations to the Minister for the Environment about listing. There are two key tools used to assess Commonwealth and National Heritage List nominations: criteria and thresholds.</w:t>
      </w:r>
      <w:r w:rsidRPr="00CE60B2">
        <w:rPr>
          <w:rFonts w:cs="Segoe UI"/>
          <w:lang w:eastAsia="en-AU"/>
        </w:rPr>
        <w:t xml:space="preserve"> To reach the threshold for the National Heritage List, a place must have 'outstanding' heritage value to the nation. This means that it must be important to the Australian community as a whole. The threshold for inclusion on the Commonwealth Heritage List is local heritage significance.</w:t>
      </w:r>
    </w:p>
    <w:p w14:paraId="26ABCB6B" w14:textId="77777777" w:rsidR="00756ADA" w:rsidRPr="00CE60B2" w:rsidRDefault="00756ADA" w:rsidP="00FF0D54">
      <w:pPr>
        <w:pStyle w:val="Heading3"/>
        <w:keepNext/>
        <w:keepLines/>
        <w:rPr>
          <w:lang w:eastAsia="en-AU"/>
        </w:rPr>
      </w:pPr>
      <w:bookmarkStart w:id="46" w:name="_Toc524952789"/>
      <w:bookmarkStart w:id="47" w:name="_Toc2776033"/>
      <w:r w:rsidRPr="00CE60B2">
        <w:lastRenderedPageBreak/>
        <w:t xml:space="preserve">Indicator </w:t>
      </w:r>
      <w:r w:rsidRPr="00CE60B2">
        <w:rPr>
          <w:lang w:eastAsia="en-AU"/>
        </w:rPr>
        <w:t>6.4b</w:t>
      </w:r>
      <w:r w:rsidRPr="00CE60B2">
        <w:rPr>
          <w:lang w:eastAsia="en-AU"/>
        </w:rPr>
        <w:tab/>
        <w:t>Registered places of non-Indigenous cultural value in forests that are formally managed to protect those values</w:t>
      </w:r>
      <w:bookmarkEnd w:id="46"/>
      <w:bookmarkEnd w:id="47"/>
    </w:p>
    <w:p w14:paraId="26ABCB6C" w14:textId="77777777" w:rsidR="003C5C76" w:rsidRPr="00CE60B2" w:rsidRDefault="003C5C76" w:rsidP="00FF0D54">
      <w:pPr>
        <w:keepNext/>
        <w:keepLines/>
        <w:rPr>
          <w:rFonts w:cs="Segoe UI"/>
          <w:color w:val="000000"/>
          <w:lang w:eastAsia="en-AU"/>
        </w:rPr>
      </w:pPr>
      <w:r w:rsidRPr="00CE60B2">
        <w:rPr>
          <w:rFonts w:cs="Segoe UI"/>
        </w:rPr>
        <w:t xml:space="preserve">This indicator measures and monitors management regimes for non-Indigenous cultural values, such as historical, research, education, aesthetic, and social heritage values. </w:t>
      </w:r>
    </w:p>
    <w:p w14:paraId="26ABCB6D" w14:textId="77777777" w:rsidR="003C5C76" w:rsidRPr="00CE60B2" w:rsidRDefault="003C5C76" w:rsidP="003C5C76">
      <w:pPr>
        <w:rPr>
          <w:rFonts w:cs="Segoe UI"/>
          <w:lang w:eastAsia="ja-JP"/>
        </w:rPr>
      </w:pPr>
      <w:r w:rsidRPr="00CE60B2">
        <w:rPr>
          <w:rFonts w:cs="Segoe UI"/>
          <w:lang w:eastAsia="ja-JP"/>
        </w:rPr>
        <w:t xml:space="preserve">Within the WA RFA region there is one ‘site’ registered on the National Heritage List. The Goldfields Water Supply Scheme, an above ground pipeline stretching from Perth to Kalgoorlie, was opened in 1903 and registered as a listed feature </w:t>
      </w:r>
      <w:r w:rsidRPr="001C5EE3">
        <w:rPr>
          <w:rFonts w:cs="Segoe UI"/>
          <w:lang w:eastAsia="ja-JP"/>
        </w:rPr>
        <w:t>in 201</w:t>
      </w:r>
      <w:r w:rsidR="00F82A31" w:rsidRPr="001C5EE3">
        <w:rPr>
          <w:rFonts w:cs="Segoe UI"/>
          <w:lang w:eastAsia="ja-JP"/>
        </w:rPr>
        <w:t>1</w:t>
      </w:r>
      <w:r w:rsidRPr="00CE60B2">
        <w:rPr>
          <w:rFonts w:cs="Segoe UI"/>
          <w:lang w:eastAsia="ja-JP"/>
        </w:rPr>
        <w:t>. This pipeline is still in use today, providing a critical water supply to the Goldfields region.</w:t>
      </w:r>
      <w:r w:rsidR="0008332C">
        <w:rPr>
          <w:rFonts w:cs="Segoe UI"/>
          <w:lang w:eastAsia="ja-JP"/>
        </w:rPr>
        <w:t xml:space="preserve"> The pipeline corridor is recorded in DBCA spatial datasets referenced during planning and disturbance approval processes. Activities such as the construction and maintenance of adjacent fire breaks and regular fuel reduction burning adjacent to the pipeline and associated pumping stations are undertaken to protect this feature.</w:t>
      </w:r>
    </w:p>
    <w:p w14:paraId="26ABCB6E" w14:textId="77777777" w:rsidR="0008332C" w:rsidRDefault="00BE0594" w:rsidP="003C5C76">
      <w:pPr>
        <w:rPr>
          <w:rFonts w:cs="Segoe UI"/>
        </w:rPr>
      </w:pPr>
      <w:r>
        <w:rPr>
          <w:rFonts w:cs="Segoe UI"/>
        </w:rPr>
        <w:t xml:space="preserve">Within the </w:t>
      </w:r>
      <w:r w:rsidRPr="00CE60B2">
        <w:rPr>
          <w:rFonts w:cs="Segoe UI"/>
        </w:rPr>
        <w:t xml:space="preserve">WA RFA region </w:t>
      </w:r>
      <w:r>
        <w:rPr>
          <w:rFonts w:cs="Segoe UI"/>
        </w:rPr>
        <w:t>t</w:t>
      </w:r>
      <w:r w:rsidR="003C5C76" w:rsidRPr="00CE60B2">
        <w:rPr>
          <w:rFonts w:cs="Segoe UI"/>
        </w:rPr>
        <w:t xml:space="preserve">here </w:t>
      </w:r>
      <w:r w:rsidR="0008332C">
        <w:rPr>
          <w:rFonts w:cs="Segoe UI"/>
        </w:rPr>
        <w:t>are</w:t>
      </w:r>
      <w:r w:rsidR="003C5C76" w:rsidRPr="00CE60B2">
        <w:rPr>
          <w:rFonts w:cs="Segoe UI"/>
        </w:rPr>
        <w:t xml:space="preserve"> </w:t>
      </w:r>
      <w:r w:rsidR="0008332C">
        <w:rPr>
          <w:rFonts w:cs="Segoe UI"/>
        </w:rPr>
        <w:t xml:space="preserve">two </w:t>
      </w:r>
      <w:r w:rsidR="003C5C76" w:rsidRPr="00CE60B2">
        <w:rPr>
          <w:rFonts w:cs="Segoe UI"/>
        </w:rPr>
        <w:t>place</w:t>
      </w:r>
      <w:r w:rsidR="0008332C">
        <w:rPr>
          <w:rFonts w:cs="Segoe UI"/>
        </w:rPr>
        <w:t>s</w:t>
      </w:r>
      <w:r w:rsidR="003C5C76" w:rsidRPr="00CE60B2">
        <w:rPr>
          <w:rFonts w:cs="Segoe UI"/>
        </w:rPr>
        <w:t xml:space="preserve"> on the Commonwealth Heritage List</w:t>
      </w:r>
      <w:r w:rsidR="00E4278F">
        <w:rPr>
          <w:rFonts w:cs="Segoe UI"/>
        </w:rPr>
        <w:t>:</w:t>
      </w:r>
      <w:r>
        <w:rPr>
          <w:rFonts w:cs="Segoe UI"/>
        </w:rPr>
        <w:t xml:space="preserve"> </w:t>
      </w:r>
      <w:r w:rsidR="006C03A0">
        <w:rPr>
          <w:rFonts w:cs="Segoe UI"/>
        </w:rPr>
        <w:t>the</w:t>
      </w:r>
      <w:r w:rsidR="006C03A0" w:rsidRPr="00CE60B2">
        <w:rPr>
          <w:rFonts w:cs="Segoe UI"/>
        </w:rPr>
        <w:t xml:space="preserve"> Bindoon</w:t>
      </w:r>
      <w:r w:rsidR="003C5C76" w:rsidRPr="00CE60B2">
        <w:rPr>
          <w:rFonts w:cs="Segoe UI"/>
        </w:rPr>
        <w:t xml:space="preserve"> Defence Training Area</w:t>
      </w:r>
      <w:r>
        <w:rPr>
          <w:rFonts w:cs="Segoe UI"/>
        </w:rPr>
        <w:t xml:space="preserve"> (BDTA)</w:t>
      </w:r>
      <w:r w:rsidR="0008332C">
        <w:rPr>
          <w:rFonts w:cs="Segoe UI"/>
        </w:rPr>
        <w:t xml:space="preserve"> and the Cape Leeuwin Lighthouse</w:t>
      </w:r>
      <w:r w:rsidR="003C5C76" w:rsidRPr="00CE60B2">
        <w:rPr>
          <w:rFonts w:cs="Segoe UI"/>
        </w:rPr>
        <w:t xml:space="preserve">. </w:t>
      </w:r>
      <w:r w:rsidR="0037609A">
        <w:rPr>
          <w:rFonts w:cs="Segoe UI"/>
        </w:rPr>
        <w:t>Figure 4 shows the location of the listed National and Commonw</w:t>
      </w:r>
      <w:r w:rsidR="00E4295E">
        <w:rPr>
          <w:rFonts w:cs="Segoe UI"/>
        </w:rPr>
        <w:t>ealth Heritage places in the WA </w:t>
      </w:r>
      <w:r w:rsidR="0037609A">
        <w:rPr>
          <w:rFonts w:cs="Segoe UI"/>
        </w:rPr>
        <w:t>RFA area.</w:t>
      </w:r>
    </w:p>
    <w:p w14:paraId="26ABCB6F" w14:textId="77777777" w:rsidR="003C5C76" w:rsidRDefault="00BE0594" w:rsidP="003C5C76">
      <w:pPr>
        <w:rPr>
          <w:rFonts w:cs="Segoe UI"/>
        </w:rPr>
      </w:pPr>
      <w:r>
        <w:rPr>
          <w:rFonts w:cs="Segoe UI"/>
        </w:rPr>
        <w:t>The Department of Defence manage</w:t>
      </w:r>
      <w:r w:rsidR="00823110">
        <w:rPr>
          <w:rFonts w:cs="Segoe UI"/>
        </w:rPr>
        <w:t>s</w:t>
      </w:r>
      <w:r>
        <w:rPr>
          <w:rFonts w:cs="Segoe UI"/>
        </w:rPr>
        <w:t xml:space="preserve"> the natural values of the BDTA</w:t>
      </w:r>
      <w:r w:rsidR="00E53532">
        <w:rPr>
          <w:rFonts w:cs="Segoe UI"/>
        </w:rPr>
        <w:t xml:space="preserve">, as a </w:t>
      </w:r>
      <w:r w:rsidR="00E53532" w:rsidRPr="00E53532">
        <w:rPr>
          <w:rFonts w:cs="Segoe UI"/>
        </w:rPr>
        <w:t xml:space="preserve">CAR </w:t>
      </w:r>
      <w:r w:rsidR="00E53532">
        <w:rPr>
          <w:rFonts w:cs="Segoe UI"/>
        </w:rPr>
        <w:t>Informal Reserve</w:t>
      </w:r>
      <w:r w:rsidR="00E53532" w:rsidRPr="00E53532">
        <w:rPr>
          <w:rFonts w:cs="Segoe UI"/>
        </w:rPr>
        <w:t xml:space="preserve"> for the protection of identified CAR values</w:t>
      </w:r>
      <w:r>
        <w:rPr>
          <w:rFonts w:cs="Segoe UI"/>
        </w:rPr>
        <w:t>.</w:t>
      </w:r>
      <w:r w:rsidR="006A700F">
        <w:rPr>
          <w:rFonts w:cs="Segoe UI"/>
        </w:rPr>
        <w:t xml:space="preserve"> The establishment of the reserve is based on the development of Defence management arrangements (</w:t>
      </w:r>
      <w:r w:rsidR="008A4C96">
        <w:rPr>
          <w:rFonts w:cs="Segoe UI"/>
        </w:rPr>
        <w:t>i.e.</w:t>
      </w:r>
      <w:r w:rsidR="006A700F">
        <w:rPr>
          <w:rFonts w:cs="Segoe UI"/>
        </w:rPr>
        <w:t xml:space="preserve"> Defence Environmental Plans) that prescribe the management regime for the reserve.</w:t>
      </w:r>
    </w:p>
    <w:p w14:paraId="26ABCB70" w14:textId="77777777" w:rsidR="00375B5A" w:rsidRPr="00375B5A" w:rsidRDefault="00375B5A" w:rsidP="003C5C76">
      <w:pPr>
        <w:rPr>
          <w:rFonts w:cs="Segoe UI"/>
        </w:rPr>
      </w:pPr>
      <w:r>
        <w:rPr>
          <w:rFonts w:cs="Segoe UI"/>
        </w:rPr>
        <w:t xml:space="preserve">The Cape </w:t>
      </w:r>
      <w:r w:rsidR="00F02346">
        <w:rPr>
          <w:rFonts w:cs="Segoe UI"/>
        </w:rPr>
        <w:t xml:space="preserve">Leeuwin Lighthouse was </w:t>
      </w:r>
      <w:r w:rsidR="00E4278F">
        <w:rPr>
          <w:rFonts w:cs="Segoe UI"/>
        </w:rPr>
        <w:t>listed in 2004 in recognition of</w:t>
      </w:r>
      <w:r w:rsidR="00F02346">
        <w:rPr>
          <w:rFonts w:cs="Segoe UI"/>
        </w:rPr>
        <w:t xml:space="preserve"> its historical value</w:t>
      </w:r>
      <w:r w:rsidR="006A700F">
        <w:rPr>
          <w:rFonts w:cs="Segoe UI"/>
        </w:rPr>
        <w:t>, and is covered by a conservation plan.</w:t>
      </w:r>
      <w:r w:rsidR="00F02346">
        <w:rPr>
          <w:rFonts w:cs="Segoe UI"/>
        </w:rPr>
        <w:t xml:space="preserve"> The lighthouse was built in 1896 from locally-quarried ashlar limestone, and is considered exceptionally important as its original lens array and rotation mechanism demonstrate the earliest use of the mercury bath system in Australia (D</w:t>
      </w:r>
      <w:r w:rsidR="00143111">
        <w:rPr>
          <w:rFonts w:cs="Segoe UI"/>
        </w:rPr>
        <w:t>epartment of the Environment and Energy, n.d.</w:t>
      </w:r>
      <w:r w:rsidR="00F02346">
        <w:rPr>
          <w:rFonts w:cs="Segoe UI"/>
        </w:rPr>
        <w:t>)</w:t>
      </w:r>
      <w:r w:rsidR="00124700">
        <w:rPr>
          <w:rFonts w:cs="Segoe UI"/>
        </w:rPr>
        <w:t xml:space="preserve"> </w:t>
      </w:r>
      <w:r w:rsidR="00046CDF">
        <w:rPr>
          <w:rFonts w:cs="Segoe UI"/>
        </w:rPr>
        <w:t>The lighthouse remains operational, and is actively managed as a popular tourist destination.</w:t>
      </w:r>
    </w:p>
    <w:p w14:paraId="26ABCB71" w14:textId="77777777" w:rsidR="007E62B1" w:rsidRDefault="00924D17" w:rsidP="007E62B1">
      <w:pPr>
        <w:keepNext/>
      </w:pPr>
      <w:r>
        <w:rPr>
          <w:noProof/>
          <w:lang w:eastAsia="en-AU"/>
        </w:rPr>
        <w:lastRenderedPageBreak/>
        <w:drawing>
          <wp:inline distT="0" distB="0" distL="0" distR="0" wp14:anchorId="26ABE258" wp14:editId="26ABE259">
            <wp:extent cx="5731510" cy="83832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8383270"/>
                    </a:xfrm>
                    <a:prstGeom prst="rect">
                      <a:avLst/>
                    </a:prstGeom>
                    <a:noFill/>
                    <a:ln>
                      <a:noFill/>
                    </a:ln>
                  </pic:spPr>
                </pic:pic>
              </a:graphicData>
            </a:graphic>
          </wp:inline>
        </w:drawing>
      </w:r>
    </w:p>
    <w:p w14:paraId="26ABCB72" w14:textId="1C668B9F" w:rsidR="007E62B1" w:rsidRDefault="007E62B1" w:rsidP="007E62B1">
      <w:pPr>
        <w:pStyle w:val="Caption"/>
      </w:pPr>
      <w:bookmarkStart w:id="48" w:name="_Toc2776005"/>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4</w:t>
      </w:r>
      <w:r w:rsidR="0002253A">
        <w:rPr>
          <w:noProof/>
        </w:rPr>
        <w:fldChar w:fldCharType="end"/>
      </w:r>
      <w:r>
        <w:t xml:space="preserve">: </w:t>
      </w:r>
      <w:r w:rsidRPr="00B00FA6">
        <w:t>WA RFA region and the location of the places on the National and Commonwealth Heritage lists in 2018.</w:t>
      </w:r>
      <w:bookmarkEnd w:id="48"/>
    </w:p>
    <w:p w14:paraId="26ABCB73" w14:textId="77777777" w:rsidR="003C5C76" w:rsidRPr="00CE60B2" w:rsidRDefault="003C5C76" w:rsidP="003C5C76">
      <w:pPr>
        <w:rPr>
          <w:rFonts w:cs="Segoe UI"/>
          <w:lang w:eastAsia="ja-JP"/>
        </w:rPr>
      </w:pPr>
      <w:r w:rsidRPr="00CE60B2">
        <w:rPr>
          <w:rFonts w:cs="Segoe UI"/>
          <w:lang w:eastAsia="ja-JP"/>
        </w:rPr>
        <w:lastRenderedPageBreak/>
        <w:t xml:space="preserve">There are many local heritage sites listed on State and local shire inventories. The process for approving forestry operations and other ground disturbance activities on lands vested in the </w:t>
      </w:r>
      <w:r w:rsidR="00FC41D8">
        <w:rPr>
          <w:rFonts w:cs="Segoe UI"/>
          <w:lang w:eastAsia="ja-JP"/>
        </w:rPr>
        <w:t>CPC</w:t>
      </w:r>
      <w:r w:rsidRPr="00CE60B2">
        <w:rPr>
          <w:rFonts w:cs="Segoe UI"/>
          <w:lang w:eastAsia="ja-JP"/>
        </w:rPr>
        <w:t xml:space="preserve"> requires a check for listed sites, and if present, appropriate measures for protection or modification of activities is required. The availability of the data improves over time as databases are enhanced.</w:t>
      </w:r>
    </w:p>
    <w:p w14:paraId="26ABCB74" w14:textId="77777777" w:rsidR="003C5C76" w:rsidRPr="00CE60B2" w:rsidRDefault="003C5C76" w:rsidP="003C5C76">
      <w:pPr>
        <w:rPr>
          <w:rFonts w:cs="Segoe UI"/>
        </w:rPr>
      </w:pPr>
      <w:r w:rsidRPr="00CE60B2">
        <w:rPr>
          <w:rFonts w:cs="Segoe UI"/>
        </w:rPr>
        <w:t>For the past 20 years, the WA</w:t>
      </w:r>
      <w:r w:rsidR="00EC5421">
        <w:rPr>
          <w:rFonts w:cs="Segoe UI"/>
        </w:rPr>
        <w:t> FMS</w:t>
      </w:r>
      <w:r w:rsidRPr="00CE60B2">
        <w:rPr>
          <w:rFonts w:cs="Segoe UI"/>
        </w:rPr>
        <w:t xml:space="preserve"> has provided for the protection of National Heritage Values of National Heritage Places in accordance with National Heritage Management Principles.</w:t>
      </w:r>
    </w:p>
    <w:p w14:paraId="26ABCB75" w14:textId="4A6CD0C0" w:rsidR="00C5528D" w:rsidRDefault="00C5528D" w:rsidP="00C5528D">
      <w:pPr>
        <w:pStyle w:val="Caption"/>
        <w:keepNext/>
      </w:pPr>
      <w:bookmarkStart w:id="49" w:name="_Ref527451246"/>
      <w:bookmarkStart w:id="50" w:name="_Toc531002167"/>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6</w:t>
      </w:r>
      <w:r w:rsidR="005C10D4">
        <w:rPr>
          <w:noProof/>
        </w:rPr>
        <w:fldChar w:fldCharType="end"/>
      </w:r>
      <w:bookmarkEnd w:id="49"/>
      <w:r>
        <w:t xml:space="preserve">: </w:t>
      </w:r>
      <w:r w:rsidRPr="00900917">
        <w:t>WA National Heritage List places</w:t>
      </w:r>
      <w:bookmarkEnd w:id="50"/>
    </w:p>
    <w:tbl>
      <w:tblPr>
        <w:tblStyle w:val="dpitablestyle"/>
        <w:tblW w:w="767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1888"/>
        <w:gridCol w:w="1586"/>
      </w:tblGrid>
      <w:tr w:rsidR="00723968" w:rsidRPr="00CE60B2" w14:paraId="26ABCB79" w14:textId="77777777" w:rsidTr="00D43267">
        <w:trPr>
          <w:cnfStyle w:val="100000000000" w:firstRow="1" w:lastRow="0" w:firstColumn="0" w:lastColumn="0" w:oddVBand="0" w:evenVBand="0" w:oddHBand="0" w:evenHBand="0" w:firstRowFirstColumn="0" w:firstRowLastColumn="0" w:lastRowFirstColumn="0" w:lastRowLastColumn="0"/>
          <w:trHeight w:val="258"/>
        </w:trPr>
        <w:tc>
          <w:tcPr>
            <w:tcW w:w="4205" w:type="dxa"/>
            <w:tcBorders>
              <w:bottom w:val="single" w:sz="4" w:space="0" w:color="auto"/>
            </w:tcBorders>
          </w:tcPr>
          <w:p w14:paraId="26ABCB76" w14:textId="77777777" w:rsidR="00723968" w:rsidRPr="00CE60B2" w:rsidRDefault="00723968" w:rsidP="00B82AE0">
            <w:pPr>
              <w:pStyle w:val="Caption"/>
              <w:rPr>
                <w:rFonts w:ascii="Segoe UI" w:hAnsi="Segoe UI" w:cs="Segoe UI"/>
                <w:color w:val="auto"/>
                <w:szCs w:val="20"/>
                <w:lang w:eastAsia="ja-JP"/>
              </w:rPr>
            </w:pPr>
            <w:r w:rsidRPr="00CE60B2">
              <w:rPr>
                <w:rFonts w:ascii="Segoe UI" w:hAnsi="Segoe UI" w:cs="Segoe UI"/>
                <w:bCs/>
                <w:color w:val="auto"/>
                <w:szCs w:val="20"/>
              </w:rPr>
              <w:t>Name</w:t>
            </w:r>
          </w:p>
        </w:tc>
        <w:tc>
          <w:tcPr>
            <w:tcW w:w="1888" w:type="dxa"/>
            <w:tcBorders>
              <w:bottom w:val="single" w:sz="4" w:space="0" w:color="auto"/>
            </w:tcBorders>
          </w:tcPr>
          <w:p w14:paraId="26ABCB77" w14:textId="77777777" w:rsidR="00723968" w:rsidRPr="00CE60B2" w:rsidRDefault="00723968" w:rsidP="00B82AE0">
            <w:pPr>
              <w:pStyle w:val="Caption"/>
              <w:rPr>
                <w:rFonts w:ascii="Segoe UI" w:hAnsi="Segoe UI" w:cs="Segoe UI"/>
                <w:bCs/>
                <w:color w:val="auto"/>
                <w:szCs w:val="20"/>
              </w:rPr>
            </w:pPr>
            <w:r w:rsidRPr="00CE60B2">
              <w:rPr>
                <w:rFonts w:ascii="Segoe UI" w:hAnsi="Segoe UI" w:cs="Segoe UI"/>
                <w:bCs/>
                <w:color w:val="auto"/>
                <w:szCs w:val="20"/>
              </w:rPr>
              <w:t>Type</w:t>
            </w:r>
          </w:p>
        </w:tc>
        <w:tc>
          <w:tcPr>
            <w:tcW w:w="1586" w:type="dxa"/>
            <w:tcBorders>
              <w:bottom w:val="single" w:sz="4" w:space="0" w:color="auto"/>
            </w:tcBorders>
          </w:tcPr>
          <w:p w14:paraId="26ABCB78" w14:textId="77777777" w:rsidR="00723968" w:rsidRPr="00CE60B2" w:rsidRDefault="00723968" w:rsidP="00B82AE0">
            <w:pPr>
              <w:pStyle w:val="Caption"/>
              <w:rPr>
                <w:rFonts w:ascii="Segoe UI" w:hAnsi="Segoe UI" w:cs="Segoe UI"/>
                <w:bCs/>
                <w:color w:val="auto"/>
                <w:szCs w:val="20"/>
              </w:rPr>
            </w:pPr>
            <w:r w:rsidRPr="00CE60B2">
              <w:rPr>
                <w:rFonts w:ascii="Segoe UI" w:hAnsi="Segoe UI" w:cs="Segoe UI"/>
                <w:bCs/>
                <w:color w:val="auto"/>
                <w:szCs w:val="20"/>
              </w:rPr>
              <w:t>Listing date</w:t>
            </w:r>
          </w:p>
        </w:tc>
      </w:tr>
      <w:tr w:rsidR="00723968" w:rsidRPr="00CE60B2" w14:paraId="26ABCB7D" w14:textId="77777777" w:rsidTr="00D43267">
        <w:trPr>
          <w:cnfStyle w:val="000000100000" w:firstRow="0" w:lastRow="0" w:firstColumn="0" w:lastColumn="0" w:oddVBand="0" w:evenVBand="0" w:oddHBand="1" w:evenHBand="0" w:firstRowFirstColumn="0" w:firstRowLastColumn="0" w:lastRowFirstColumn="0" w:lastRowLastColumn="0"/>
          <w:trHeight w:val="335"/>
        </w:trPr>
        <w:tc>
          <w:tcPr>
            <w:tcW w:w="4205" w:type="dxa"/>
            <w:tcBorders>
              <w:top w:val="single" w:sz="4" w:space="0" w:color="auto"/>
              <w:left w:val="nil"/>
              <w:bottom w:val="single" w:sz="4" w:space="0" w:color="auto"/>
              <w:right w:val="nil"/>
            </w:tcBorders>
          </w:tcPr>
          <w:p w14:paraId="26ABCB7A" w14:textId="77777777" w:rsidR="00723968" w:rsidRPr="00CE60B2" w:rsidRDefault="003D001E" w:rsidP="00B82AE0">
            <w:pPr>
              <w:pStyle w:val="Caption"/>
              <w:rPr>
                <w:rFonts w:ascii="Segoe UI" w:hAnsi="Segoe UI" w:cs="Segoe UI"/>
                <w:color w:val="auto"/>
                <w:szCs w:val="20"/>
                <w:lang w:eastAsia="ja-JP"/>
              </w:rPr>
            </w:pPr>
            <w:r w:rsidRPr="00CE60B2">
              <w:rPr>
                <w:rFonts w:ascii="Segoe UI" w:hAnsi="Segoe UI" w:cs="Segoe UI"/>
                <w:color w:val="auto"/>
                <w:szCs w:val="20"/>
                <w:lang w:eastAsia="ja-JP"/>
              </w:rPr>
              <w:t>The Goldfields Water Supply</w:t>
            </w:r>
          </w:p>
        </w:tc>
        <w:tc>
          <w:tcPr>
            <w:tcW w:w="1888" w:type="dxa"/>
            <w:tcBorders>
              <w:top w:val="single" w:sz="4" w:space="0" w:color="auto"/>
              <w:left w:val="nil"/>
              <w:bottom w:val="single" w:sz="4" w:space="0" w:color="auto"/>
              <w:right w:val="nil"/>
            </w:tcBorders>
          </w:tcPr>
          <w:p w14:paraId="26ABCB7B" w14:textId="77777777" w:rsidR="00723968" w:rsidRPr="00CE60B2" w:rsidRDefault="003D001E" w:rsidP="00B82AE0">
            <w:pPr>
              <w:pStyle w:val="Caption"/>
              <w:rPr>
                <w:rFonts w:ascii="Segoe UI" w:hAnsi="Segoe UI" w:cs="Segoe UI"/>
                <w:color w:val="auto"/>
                <w:szCs w:val="20"/>
                <w:lang w:eastAsia="ja-JP"/>
              </w:rPr>
            </w:pPr>
            <w:r w:rsidRPr="00CE60B2">
              <w:rPr>
                <w:rFonts w:ascii="Segoe UI" w:hAnsi="Segoe UI" w:cs="Segoe UI"/>
                <w:color w:val="auto"/>
                <w:szCs w:val="20"/>
                <w:lang w:eastAsia="ja-JP"/>
              </w:rPr>
              <w:t>Historic</w:t>
            </w:r>
          </w:p>
        </w:tc>
        <w:tc>
          <w:tcPr>
            <w:tcW w:w="1586" w:type="dxa"/>
            <w:tcBorders>
              <w:top w:val="single" w:sz="4" w:space="0" w:color="auto"/>
              <w:left w:val="nil"/>
              <w:bottom w:val="single" w:sz="4" w:space="0" w:color="auto"/>
              <w:right w:val="nil"/>
            </w:tcBorders>
          </w:tcPr>
          <w:p w14:paraId="26ABCB7C" w14:textId="77777777" w:rsidR="00723968" w:rsidRPr="00CE60B2" w:rsidRDefault="003D001E" w:rsidP="00B82AE0">
            <w:pPr>
              <w:rPr>
                <w:rFonts w:cs="Segoe UI"/>
                <w:szCs w:val="20"/>
                <w:highlight w:val="yellow"/>
              </w:rPr>
            </w:pPr>
            <w:r w:rsidRPr="00C25CAE">
              <w:rPr>
                <w:rFonts w:cs="Segoe UI"/>
                <w:szCs w:val="20"/>
              </w:rPr>
              <w:t>23 June 2011</w:t>
            </w:r>
          </w:p>
        </w:tc>
      </w:tr>
    </w:tbl>
    <w:p w14:paraId="26ABCB7E" w14:textId="77777777" w:rsidR="00127F50" w:rsidRPr="00DC5455" w:rsidRDefault="00127F50" w:rsidP="00B217A1">
      <w:pPr>
        <w:rPr>
          <w:rFonts w:cs="Segoe UI"/>
        </w:rPr>
      </w:pPr>
      <w:bookmarkStart w:id="51" w:name="_Ref514682931"/>
    </w:p>
    <w:p w14:paraId="26ABCB7F" w14:textId="4FC0C26A" w:rsidR="00C5528D" w:rsidRDefault="00C5528D" w:rsidP="00C5528D">
      <w:pPr>
        <w:pStyle w:val="Caption"/>
        <w:keepNext/>
      </w:pPr>
      <w:bookmarkStart w:id="52" w:name="_Ref527451258"/>
      <w:bookmarkStart w:id="53" w:name="_Toc531002168"/>
      <w:bookmarkEnd w:id="51"/>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7</w:t>
      </w:r>
      <w:r w:rsidR="005C10D4">
        <w:rPr>
          <w:noProof/>
        </w:rPr>
        <w:fldChar w:fldCharType="end"/>
      </w:r>
      <w:bookmarkEnd w:id="52"/>
      <w:r>
        <w:t xml:space="preserve">: </w:t>
      </w:r>
      <w:r w:rsidRPr="00236317">
        <w:t>WA Commonwealth Heritage List places</w:t>
      </w:r>
      <w:bookmarkEnd w:id="53"/>
    </w:p>
    <w:tbl>
      <w:tblPr>
        <w:tblStyle w:val="dpitablestyle"/>
        <w:tblW w:w="767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1888"/>
        <w:gridCol w:w="1586"/>
      </w:tblGrid>
      <w:tr w:rsidR="00723968" w:rsidRPr="00CE60B2" w14:paraId="26ABCB83" w14:textId="77777777" w:rsidTr="00D43267">
        <w:trPr>
          <w:cnfStyle w:val="100000000000" w:firstRow="1" w:lastRow="0" w:firstColumn="0" w:lastColumn="0" w:oddVBand="0" w:evenVBand="0" w:oddHBand="0" w:evenHBand="0" w:firstRowFirstColumn="0" w:firstRowLastColumn="0" w:lastRowFirstColumn="0" w:lastRowLastColumn="0"/>
          <w:trHeight w:val="258"/>
        </w:trPr>
        <w:tc>
          <w:tcPr>
            <w:tcW w:w="4205" w:type="dxa"/>
            <w:tcBorders>
              <w:bottom w:val="single" w:sz="4" w:space="0" w:color="auto"/>
            </w:tcBorders>
          </w:tcPr>
          <w:p w14:paraId="26ABCB80" w14:textId="77777777" w:rsidR="00723968" w:rsidRPr="00CE60B2" w:rsidRDefault="00723968" w:rsidP="00D43267">
            <w:pPr>
              <w:pStyle w:val="Caption"/>
              <w:rPr>
                <w:rFonts w:ascii="Segoe UI" w:hAnsi="Segoe UI" w:cs="Segoe UI"/>
                <w:color w:val="000000"/>
              </w:rPr>
            </w:pPr>
            <w:r w:rsidRPr="00CE60B2">
              <w:rPr>
                <w:rFonts w:ascii="Segoe UI" w:hAnsi="Segoe UI" w:cs="Segoe UI"/>
                <w:color w:val="000000"/>
              </w:rPr>
              <w:t>Place</w:t>
            </w:r>
          </w:p>
        </w:tc>
        <w:tc>
          <w:tcPr>
            <w:tcW w:w="1888" w:type="dxa"/>
            <w:tcBorders>
              <w:bottom w:val="single" w:sz="4" w:space="0" w:color="auto"/>
            </w:tcBorders>
          </w:tcPr>
          <w:p w14:paraId="26ABCB81" w14:textId="77777777" w:rsidR="00723968" w:rsidRPr="00CE60B2" w:rsidRDefault="00723968" w:rsidP="00D43267">
            <w:pPr>
              <w:pStyle w:val="Caption"/>
              <w:rPr>
                <w:rFonts w:ascii="Segoe UI" w:hAnsi="Segoe UI" w:cs="Segoe UI"/>
                <w:color w:val="000000"/>
              </w:rPr>
            </w:pPr>
            <w:r w:rsidRPr="00CE60B2">
              <w:rPr>
                <w:rFonts w:ascii="Segoe UI" w:hAnsi="Segoe UI" w:cs="Segoe UI"/>
                <w:color w:val="000000"/>
              </w:rPr>
              <w:t>Type</w:t>
            </w:r>
          </w:p>
        </w:tc>
        <w:tc>
          <w:tcPr>
            <w:tcW w:w="1586" w:type="dxa"/>
            <w:tcBorders>
              <w:bottom w:val="single" w:sz="4" w:space="0" w:color="auto"/>
            </w:tcBorders>
          </w:tcPr>
          <w:p w14:paraId="26ABCB82" w14:textId="77777777" w:rsidR="00723968" w:rsidRPr="00CE60B2" w:rsidRDefault="00723968" w:rsidP="00D43267">
            <w:pPr>
              <w:pStyle w:val="Caption"/>
              <w:rPr>
                <w:rFonts w:ascii="Segoe UI" w:hAnsi="Segoe UI" w:cs="Segoe UI"/>
                <w:color w:val="000000"/>
              </w:rPr>
            </w:pPr>
            <w:r w:rsidRPr="00CE60B2">
              <w:rPr>
                <w:rFonts w:ascii="Segoe UI" w:hAnsi="Segoe UI" w:cs="Segoe UI"/>
                <w:color w:val="000000"/>
              </w:rPr>
              <w:t>Listing date</w:t>
            </w:r>
          </w:p>
        </w:tc>
      </w:tr>
      <w:tr w:rsidR="00723968" w:rsidRPr="00CE60B2" w14:paraId="26ABCB87" w14:textId="77777777" w:rsidTr="00D43267">
        <w:trPr>
          <w:cnfStyle w:val="000000100000" w:firstRow="0" w:lastRow="0" w:firstColumn="0" w:lastColumn="0" w:oddVBand="0" w:evenVBand="0" w:oddHBand="1" w:evenHBand="0" w:firstRowFirstColumn="0" w:firstRowLastColumn="0" w:lastRowFirstColumn="0" w:lastRowLastColumn="0"/>
          <w:trHeight w:val="335"/>
        </w:trPr>
        <w:tc>
          <w:tcPr>
            <w:tcW w:w="4205" w:type="dxa"/>
            <w:tcBorders>
              <w:top w:val="single" w:sz="4" w:space="0" w:color="auto"/>
              <w:left w:val="nil"/>
              <w:bottom w:val="single" w:sz="4" w:space="0" w:color="auto"/>
              <w:right w:val="nil"/>
            </w:tcBorders>
          </w:tcPr>
          <w:p w14:paraId="26ABCB84" w14:textId="77777777" w:rsidR="00723968" w:rsidRPr="00CE60B2" w:rsidRDefault="007D722C" w:rsidP="00D43267">
            <w:pPr>
              <w:pStyle w:val="Caption"/>
              <w:rPr>
                <w:rFonts w:ascii="Segoe UI" w:hAnsi="Segoe UI" w:cs="Segoe UI"/>
                <w:color w:val="000000"/>
              </w:rPr>
            </w:pPr>
            <w:r w:rsidRPr="00CE60B2">
              <w:rPr>
                <w:rFonts w:ascii="Segoe UI" w:hAnsi="Segoe UI" w:cs="Segoe UI"/>
                <w:color w:val="auto"/>
                <w:szCs w:val="20"/>
                <w:lang w:eastAsia="ja-JP"/>
              </w:rPr>
              <w:t>Bindoon Defence Training Area</w:t>
            </w:r>
          </w:p>
        </w:tc>
        <w:tc>
          <w:tcPr>
            <w:tcW w:w="1888" w:type="dxa"/>
            <w:tcBorders>
              <w:top w:val="single" w:sz="4" w:space="0" w:color="auto"/>
              <w:left w:val="nil"/>
              <w:bottom w:val="single" w:sz="4" w:space="0" w:color="auto"/>
              <w:right w:val="nil"/>
            </w:tcBorders>
          </w:tcPr>
          <w:p w14:paraId="26ABCB85" w14:textId="77777777" w:rsidR="00723968" w:rsidRPr="00CE60B2" w:rsidRDefault="007D722C" w:rsidP="00D43267">
            <w:pPr>
              <w:pStyle w:val="Caption"/>
              <w:rPr>
                <w:rFonts w:ascii="Segoe UI" w:hAnsi="Segoe UI" w:cs="Segoe UI"/>
                <w:color w:val="000000"/>
              </w:rPr>
            </w:pPr>
            <w:r w:rsidRPr="00CE60B2">
              <w:rPr>
                <w:rFonts w:ascii="Segoe UI" w:hAnsi="Segoe UI" w:cs="Segoe UI"/>
                <w:color w:val="auto"/>
                <w:szCs w:val="20"/>
                <w:lang w:eastAsia="ja-JP"/>
              </w:rPr>
              <w:t>Natural</w:t>
            </w:r>
          </w:p>
        </w:tc>
        <w:tc>
          <w:tcPr>
            <w:tcW w:w="1586" w:type="dxa"/>
            <w:tcBorders>
              <w:top w:val="single" w:sz="4" w:space="0" w:color="auto"/>
              <w:left w:val="nil"/>
              <w:bottom w:val="single" w:sz="4" w:space="0" w:color="auto"/>
              <w:right w:val="nil"/>
            </w:tcBorders>
          </w:tcPr>
          <w:p w14:paraId="26ABCB86" w14:textId="77777777" w:rsidR="00723968" w:rsidRPr="00CE60B2" w:rsidRDefault="007D722C" w:rsidP="00D43267">
            <w:pPr>
              <w:rPr>
                <w:rFonts w:cs="Segoe UI"/>
                <w:color w:val="000000"/>
              </w:rPr>
            </w:pPr>
            <w:r w:rsidRPr="00CE60B2">
              <w:rPr>
                <w:rFonts w:eastAsia="Times New Roman" w:cs="Segoe UI"/>
                <w:color w:val="auto"/>
                <w:szCs w:val="20"/>
                <w:lang w:eastAsia="ja-JP"/>
              </w:rPr>
              <w:t>25 October 2004</w:t>
            </w:r>
          </w:p>
        </w:tc>
      </w:tr>
      <w:tr w:rsidR="00723968" w:rsidRPr="00CE60B2" w14:paraId="26ABCB8B" w14:textId="77777777" w:rsidTr="00D43267">
        <w:trPr>
          <w:cnfStyle w:val="000000010000" w:firstRow="0" w:lastRow="0" w:firstColumn="0" w:lastColumn="0" w:oddVBand="0" w:evenVBand="0" w:oddHBand="0" w:evenHBand="1" w:firstRowFirstColumn="0" w:firstRowLastColumn="0" w:lastRowFirstColumn="0" w:lastRowLastColumn="0"/>
          <w:trHeight w:val="335"/>
        </w:trPr>
        <w:tc>
          <w:tcPr>
            <w:tcW w:w="4205" w:type="dxa"/>
            <w:tcBorders>
              <w:top w:val="single" w:sz="4" w:space="0" w:color="auto"/>
              <w:bottom w:val="single" w:sz="4" w:space="0" w:color="auto"/>
              <w:right w:val="nil"/>
            </w:tcBorders>
          </w:tcPr>
          <w:p w14:paraId="26ABCB88" w14:textId="77777777" w:rsidR="00723968" w:rsidRPr="00CE60B2" w:rsidRDefault="007D722C" w:rsidP="00D43267">
            <w:pPr>
              <w:pStyle w:val="Caption"/>
              <w:rPr>
                <w:rFonts w:ascii="Segoe UI" w:hAnsi="Segoe UI" w:cs="Segoe UI"/>
                <w:color w:val="000000"/>
              </w:rPr>
            </w:pPr>
            <w:r w:rsidRPr="00CE60B2">
              <w:rPr>
                <w:rFonts w:ascii="Segoe UI" w:hAnsi="Segoe UI" w:cs="Segoe UI"/>
                <w:color w:val="auto"/>
                <w:szCs w:val="20"/>
                <w:lang w:eastAsia="ja-JP"/>
              </w:rPr>
              <w:t>Cape Leeuwin Lighthouse</w:t>
            </w:r>
          </w:p>
        </w:tc>
        <w:tc>
          <w:tcPr>
            <w:tcW w:w="1888" w:type="dxa"/>
            <w:tcBorders>
              <w:top w:val="single" w:sz="4" w:space="0" w:color="auto"/>
              <w:left w:val="nil"/>
              <w:bottom w:val="single" w:sz="4" w:space="0" w:color="auto"/>
              <w:right w:val="nil"/>
            </w:tcBorders>
          </w:tcPr>
          <w:p w14:paraId="26ABCB89" w14:textId="77777777" w:rsidR="00723968" w:rsidRPr="00CE60B2" w:rsidRDefault="007D722C" w:rsidP="00D43267">
            <w:pPr>
              <w:pStyle w:val="Caption"/>
              <w:rPr>
                <w:rFonts w:ascii="Segoe UI" w:hAnsi="Segoe UI" w:cs="Segoe UI"/>
                <w:color w:val="000000"/>
              </w:rPr>
            </w:pPr>
            <w:r w:rsidRPr="00CE60B2">
              <w:rPr>
                <w:rFonts w:ascii="Segoe UI" w:hAnsi="Segoe UI" w:cs="Segoe UI"/>
                <w:color w:val="auto"/>
                <w:szCs w:val="20"/>
                <w:lang w:eastAsia="ja-JP"/>
              </w:rPr>
              <w:t>Historic</w:t>
            </w:r>
          </w:p>
        </w:tc>
        <w:tc>
          <w:tcPr>
            <w:tcW w:w="1586" w:type="dxa"/>
            <w:tcBorders>
              <w:top w:val="single" w:sz="4" w:space="0" w:color="auto"/>
              <w:left w:val="nil"/>
              <w:bottom w:val="single" w:sz="4" w:space="0" w:color="auto"/>
              <w:right w:val="nil"/>
            </w:tcBorders>
          </w:tcPr>
          <w:p w14:paraId="26ABCB8A" w14:textId="77777777" w:rsidR="00723968" w:rsidRPr="00CE60B2" w:rsidRDefault="007D722C" w:rsidP="00D43267">
            <w:pPr>
              <w:rPr>
                <w:rFonts w:cs="Segoe UI"/>
                <w:color w:val="000000"/>
              </w:rPr>
            </w:pPr>
            <w:r w:rsidRPr="00CE60B2">
              <w:rPr>
                <w:rFonts w:eastAsia="Times New Roman" w:cs="Segoe UI"/>
                <w:color w:val="auto"/>
                <w:szCs w:val="20"/>
                <w:lang w:eastAsia="ja-JP"/>
              </w:rPr>
              <w:t>22 June 2004</w:t>
            </w:r>
          </w:p>
        </w:tc>
      </w:tr>
    </w:tbl>
    <w:p w14:paraId="26ABCB8C" w14:textId="77777777" w:rsidR="007D722C" w:rsidRPr="00CE60B2" w:rsidRDefault="007D722C" w:rsidP="00B217A1">
      <w:pPr>
        <w:rPr>
          <w:rFonts w:cs="Segoe UI"/>
          <w:b/>
          <w:lang w:eastAsia="ja-JP"/>
        </w:rPr>
      </w:pPr>
    </w:p>
    <w:p w14:paraId="26ABCB8D" w14:textId="77777777" w:rsidR="009D166C" w:rsidRPr="00CE60B2" w:rsidRDefault="009D166C" w:rsidP="009D166C">
      <w:pPr>
        <w:rPr>
          <w:rFonts w:cs="Segoe UI"/>
          <w:lang w:eastAsia="en-AU"/>
        </w:rPr>
        <w:sectPr w:rsidR="009D166C" w:rsidRPr="00CE60B2" w:rsidSect="006554DE">
          <w:pgSz w:w="11906" w:h="16838"/>
          <w:pgMar w:top="1440" w:right="1440" w:bottom="1440" w:left="1440" w:header="709" w:footer="709" w:gutter="0"/>
          <w:cols w:space="708"/>
          <w:docGrid w:linePitch="360"/>
        </w:sectPr>
      </w:pPr>
    </w:p>
    <w:p w14:paraId="26ABCB8E" w14:textId="77777777" w:rsidR="00AF064B" w:rsidRPr="00CE60B2" w:rsidRDefault="00AF064B" w:rsidP="00D15AAD">
      <w:pPr>
        <w:pStyle w:val="Heading3"/>
      </w:pPr>
      <w:bookmarkStart w:id="54" w:name="_Toc524952790"/>
      <w:bookmarkStart w:id="55" w:name="_Toc2776034"/>
      <w:r w:rsidRPr="00CE60B2">
        <w:lastRenderedPageBreak/>
        <w:t>World Heritage values</w:t>
      </w:r>
      <w:bookmarkEnd w:id="54"/>
      <w:bookmarkEnd w:id="55"/>
    </w:p>
    <w:p w14:paraId="26ABCB8F" w14:textId="77777777" w:rsidR="00CD53E7" w:rsidRPr="00CE60B2" w:rsidRDefault="00DA20E0" w:rsidP="00737CC3">
      <w:pPr>
        <w:rPr>
          <w:rFonts w:cs="Segoe UI"/>
        </w:rPr>
      </w:pPr>
      <w:r w:rsidRPr="00CE60B2">
        <w:rPr>
          <w:rFonts w:cs="Segoe UI"/>
        </w:rPr>
        <w:t>There are four World Heritage properties in Western Australia</w:t>
      </w:r>
      <w:r w:rsidR="003D03DF">
        <w:rPr>
          <w:rFonts w:cs="Segoe UI"/>
        </w:rPr>
        <w:t>, but</w:t>
      </w:r>
      <w:r w:rsidR="00E4295E">
        <w:rPr>
          <w:rFonts w:cs="Segoe UI"/>
        </w:rPr>
        <w:t xml:space="preserve"> none are located within the WA </w:t>
      </w:r>
      <w:r w:rsidR="003D03DF">
        <w:rPr>
          <w:rFonts w:cs="Segoe UI"/>
        </w:rPr>
        <w:t>RFA region.</w:t>
      </w:r>
      <w:r w:rsidRPr="00CE60B2">
        <w:rPr>
          <w:rFonts w:cs="Segoe UI"/>
        </w:rPr>
        <w:t xml:space="preserve"> </w:t>
      </w:r>
      <w:r w:rsidR="003D03DF">
        <w:rPr>
          <w:rFonts w:cs="Segoe UI"/>
        </w:rPr>
        <w:t xml:space="preserve">The four are: </w:t>
      </w:r>
      <w:r w:rsidRPr="00CE60B2">
        <w:rPr>
          <w:rFonts w:cs="Segoe UI"/>
        </w:rPr>
        <w:t>Australian Convict Sites – Fremantle Prison (former); Purnululu National Park; Shark Bay</w:t>
      </w:r>
      <w:r w:rsidR="00095F1C" w:rsidRPr="00CE60B2">
        <w:rPr>
          <w:rFonts w:cs="Segoe UI"/>
        </w:rPr>
        <w:t>;</w:t>
      </w:r>
      <w:r w:rsidRPr="00CE60B2">
        <w:rPr>
          <w:rFonts w:cs="Segoe UI"/>
        </w:rPr>
        <w:t xml:space="preserve"> and The Ningaloo Coast.</w:t>
      </w:r>
    </w:p>
    <w:p w14:paraId="26ABCB90" w14:textId="77777777" w:rsidR="00A12F9B" w:rsidRDefault="00A12F9B" w:rsidP="00A12F9B">
      <w:pPr>
        <w:rPr>
          <w:rFonts w:cs="Segoe UI"/>
          <w:lang w:eastAsia="ja-JP"/>
        </w:rPr>
      </w:pPr>
      <w:r w:rsidRPr="00CE60B2">
        <w:rPr>
          <w:rFonts w:cs="Segoe UI"/>
        </w:rPr>
        <w:t xml:space="preserve">If World Heritage properties </w:t>
      </w:r>
      <w:r w:rsidR="003D03DF">
        <w:rPr>
          <w:rFonts w:cs="Segoe UI"/>
        </w:rPr>
        <w:t xml:space="preserve">were to be listed within the </w:t>
      </w:r>
      <w:r w:rsidR="00E4295E">
        <w:rPr>
          <w:rFonts w:cs="Segoe UI"/>
        </w:rPr>
        <w:t>WA </w:t>
      </w:r>
      <w:r w:rsidR="003D03DF">
        <w:rPr>
          <w:rFonts w:cs="Segoe UI"/>
        </w:rPr>
        <w:t xml:space="preserve">RFA region they </w:t>
      </w:r>
      <w:r w:rsidRPr="00CE60B2">
        <w:rPr>
          <w:rFonts w:cs="Segoe UI"/>
        </w:rPr>
        <w:t>would be managed separately from p</w:t>
      </w:r>
      <w:r w:rsidR="00E4295E">
        <w:rPr>
          <w:rFonts w:cs="Segoe UI"/>
        </w:rPr>
        <w:t>rocesses put in place by the WA </w:t>
      </w:r>
      <w:r w:rsidRPr="00CE60B2">
        <w:rPr>
          <w:rFonts w:cs="Segoe UI"/>
        </w:rPr>
        <w:t xml:space="preserve">RFA, </w:t>
      </w:r>
      <w:r w:rsidR="008A4C96" w:rsidRPr="00CE60B2">
        <w:rPr>
          <w:rFonts w:cs="Segoe UI"/>
        </w:rPr>
        <w:t>and</w:t>
      </w:r>
      <w:r w:rsidR="008A4C96">
        <w:rPr>
          <w:rFonts w:cs="Segoe UI"/>
        </w:rPr>
        <w:t xml:space="preserve"> be</w:t>
      </w:r>
      <w:r w:rsidRPr="00CE60B2">
        <w:rPr>
          <w:rFonts w:cs="Segoe UI"/>
        </w:rPr>
        <w:t xml:space="preserve"> protected by Part 3 of the EPBC</w:t>
      </w:r>
      <w:r w:rsidR="00C430DF">
        <w:rPr>
          <w:rFonts w:cs="Segoe UI"/>
        </w:rPr>
        <w:t> </w:t>
      </w:r>
      <w:r w:rsidRPr="00CE60B2">
        <w:rPr>
          <w:rFonts w:cs="Segoe UI"/>
        </w:rPr>
        <w:t>Act. T</w:t>
      </w:r>
      <w:r w:rsidRPr="00CE60B2">
        <w:rPr>
          <w:rFonts w:cs="Segoe UI"/>
          <w:lang w:eastAsia="ja-JP"/>
        </w:rPr>
        <w:t>he Australian and WA</w:t>
      </w:r>
      <w:r w:rsidR="00C430DF">
        <w:rPr>
          <w:rFonts w:cs="Segoe UI"/>
          <w:lang w:eastAsia="ja-JP"/>
        </w:rPr>
        <w:t> g</w:t>
      </w:r>
      <w:r w:rsidRPr="00CE60B2">
        <w:rPr>
          <w:rFonts w:cs="Segoe UI"/>
          <w:lang w:eastAsia="ja-JP"/>
        </w:rPr>
        <w:t xml:space="preserve">overnments will continue to participate in the assessment and protection of any future World Heritage places consistent with the Australian World Heritage Intergovernmental Agreement. </w:t>
      </w:r>
    </w:p>
    <w:p w14:paraId="26ABCB91" w14:textId="77777777" w:rsidR="00543571" w:rsidRPr="00CE60B2" w:rsidRDefault="00543571" w:rsidP="00543571">
      <w:pPr>
        <w:rPr>
          <w:rFonts w:cs="Segoe UI"/>
        </w:rPr>
      </w:pPr>
      <w:r w:rsidRPr="00543571">
        <w:rPr>
          <w:rFonts w:cs="Segoe UI"/>
          <w:lang w:eastAsia="ja-JP"/>
        </w:rPr>
        <w:t>Natural and cultural heritage, which contribute to the concept of World Heritage Values, are protected and managed through the implementation of the CAR reserve s</w:t>
      </w:r>
      <w:r w:rsidR="00E4295E">
        <w:rPr>
          <w:rFonts w:cs="Segoe UI"/>
          <w:lang w:eastAsia="ja-JP"/>
        </w:rPr>
        <w:t>ystem and application of the WA </w:t>
      </w:r>
      <w:r w:rsidRPr="00543571">
        <w:rPr>
          <w:rFonts w:cs="Segoe UI"/>
          <w:lang w:eastAsia="ja-JP"/>
        </w:rPr>
        <w:t>FMS.</w:t>
      </w:r>
    </w:p>
    <w:p w14:paraId="26ABCB92" w14:textId="77777777" w:rsidR="00CD53E7" w:rsidRPr="00CE60B2" w:rsidRDefault="00CD53E7" w:rsidP="00D15AAD">
      <w:pPr>
        <w:pStyle w:val="Heading4"/>
        <w:rPr>
          <w:rFonts w:cs="Segoe UI"/>
        </w:rPr>
      </w:pPr>
      <w:r w:rsidRPr="00CE60B2">
        <w:rPr>
          <w:rFonts w:cs="Segoe UI"/>
        </w:rPr>
        <w:t xml:space="preserve">Legislative protection of World Heritage values </w:t>
      </w:r>
    </w:p>
    <w:p w14:paraId="26ABCB93" w14:textId="77777777" w:rsidR="00CD53E7" w:rsidRPr="00CE60B2" w:rsidRDefault="00CD53E7" w:rsidP="00737CC3">
      <w:pPr>
        <w:rPr>
          <w:rFonts w:cs="Segoe UI"/>
        </w:rPr>
      </w:pPr>
      <w:r w:rsidRPr="00CE60B2">
        <w:rPr>
          <w:rFonts w:cs="Segoe UI"/>
        </w:rPr>
        <w:t xml:space="preserve">The </w:t>
      </w:r>
      <w:r w:rsidR="00F34351" w:rsidRPr="00CE60B2">
        <w:rPr>
          <w:rFonts w:cs="Segoe UI"/>
        </w:rPr>
        <w:t xml:space="preserve">UNESCO </w:t>
      </w:r>
      <w:r w:rsidR="00E4295E">
        <w:rPr>
          <w:rFonts w:cs="Segoe UI"/>
        </w:rPr>
        <w:t>World Heritage Convention </w:t>
      </w:r>
      <w:r w:rsidR="00F34351" w:rsidRPr="00CE60B2">
        <w:rPr>
          <w:rFonts w:cs="Segoe UI"/>
        </w:rPr>
        <w:t xml:space="preserve">1972 </w:t>
      </w:r>
      <w:r w:rsidRPr="00CE60B2">
        <w:rPr>
          <w:rFonts w:cs="Segoe UI"/>
        </w:rPr>
        <w:t>establishes a list of places that have natural and/or cultural values of outstanding global significance. As a signatory to the convention, Australia has an obligation to identify, protect and conserve places on the World Heritage List</w:t>
      </w:r>
      <w:r w:rsidR="00723968" w:rsidRPr="00CE60B2">
        <w:rPr>
          <w:rFonts w:cs="Segoe UI"/>
        </w:rPr>
        <w:t xml:space="preserve"> (Department of the Environment and Energy, 2018b)</w:t>
      </w:r>
      <w:r w:rsidRPr="00CE60B2">
        <w:rPr>
          <w:rFonts w:cs="Segoe UI"/>
        </w:rPr>
        <w:t>.</w:t>
      </w:r>
    </w:p>
    <w:p w14:paraId="26ABCB94" w14:textId="77777777" w:rsidR="00CD53E7" w:rsidRPr="00CE60B2" w:rsidRDefault="003924AD" w:rsidP="00737CC3">
      <w:pPr>
        <w:rPr>
          <w:rFonts w:cs="Segoe UI"/>
        </w:rPr>
      </w:pPr>
      <w:r w:rsidRPr="00CE60B2">
        <w:rPr>
          <w:rFonts w:eastAsia="Times New Roman" w:cs="Segoe UI"/>
          <w:lang w:val="en" w:eastAsia="en-AU"/>
        </w:rPr>
        <w:t>Under the EPB</w:t>
      </w:r>
      <w:r w:rsidR="00E4295E">
        <w:rPr>
          <w:rFonts w:eastAsia="Times New Roman" w:cs="Segoe UI"/>
          <w:lang w:val="en" w:eastAsia="en-AU"/>
        </w:rPr>
        <w:t>C </w:t>
      </w:r>
      <w:r w:rsidRPr="00CE60B2">
        <w:rPr>
          <w:rFonts w:eastAsia="Times New Roman" w:cs="Segoe UI"/>
          <w:lang w:val="en" w:eastAsia="en-AU"/>
        </w:rPr>
        <w:t xml:space="preserve">Act, World Heritage properties are </w:t>
      </w:r>
      <w:r w:rsidR="00C9181A">
        <w:rPr>
          <w:rFonts w:eastAsia="Times New Roman" w:cs="Segoe UI"/>
          <w:lang w:val="en" w:eastAsia="en-AU"/>
        </w:rPr>
        <w:t>MNES</w:t>
      </w:r>
      <w:r w:rsidRPr="00CE60B2">
        <w:rPr>
          <w:rFonts w:eastAsia="Times New Roman" w:cs="Segoe UI"/>
          <w:lang w:val="en" w:eastAsia="en-AU"/>
        </w:rPr>
        <w:t xml:space="preserve">. </w:t>
      </w:r>
      <w:r w:rsidR="00E4295E">
        <w:rPr>
          <w:rFonts w:eastAsia="Times New Roman" w:cs="Segoe UI"/>
          <w:lang w:val="en" w:eastAsia="en-AU"/>
        </w:rPr>
        <w:t>The EPBC </w:t>
      </w:r>
      <w:r w:rsidR="00CD53E7" w:rsidRPr="00CE60B2">
        <w:rPr>
          <w:rFonts w:eastAsia="Times New Roman" w:cs="Segoe UI"/>
          <w:lang w:val="en" w:eastAsia="en-AU"/>
        </w:rPr>
        <w:t xml:space="preserve">Act </w:t>
      </w:r>
      <w:r w:rsidRPr="00CE60B2">
        <w:rPr>
          <w:rFonts w:eastAsia="Times New Roman" w:cs="Segoe UI"/>
          <w:lang w:val="en" w:eastAsia="en-AU"/>
        </w:rPr>
        <w:t xml:space="preserve">therefore </w:t>
      </w:r>
      <w:r w:rsidR="00CD53E7" w:rsidRPr="00CE60B2">
        <w:rPr>
          <w:rFonts w:eastAsia="Times New Roman" w:cs="Segoe UI"/>
          <w:lang w:val="en" w:eastAsia="en-AU"/>
        </w:rPr>
        <w:t xml:space="preserve">provides protection for World Heritage </w:t>
      </w:r>
      <w:r w:rsidR="000B0E15" w:rsidRPr="00CE60B2">
        <w:rPr>
          <w:rFonts w:eastAsia="Times New Roman" w:cs="Segoe UI"/>
          <w:lang w:val="en" w:eastAsia="en-AU"/>
        </w:rPr>
        <w:t>p</w:t>
      </w:r>
      <w:r w:rsidR="00CD53E7" w:rsidRPr="00CE60B2">
        <w:rPr>
          <w:rFonts w:eastAsia="Times New Roman" w:cs="Segoe UI"/>
          <w:lang w:val="en" w:eastAsia="en-AU"/>
        </w:rPr>
        <w:t>roperties by ensuring that an assessment process is undertaken for proposed actions (including forestry operations) that will, or are likely to, have a significant impact on the World Heritage values of a declared world heritage property. This process allows the Commonwealth Minister for the Environment to grant or refuse approval to take an action, and to impose conditions on the taking of an action</w:t>
      </w:r>
      <w:r w:rsidR="007A1D95" w:rsidRPr="00CE60B2">
        <w:rPr>
          <w:rFonts w:eastAsia="Times New Roman" w:cs="Segoe UI"/>
          <w:lang w:val="en" w:eastAsia="en-AU"/>
        </w:rPr>
        <w:t xml:space="preserve"> within a world heritage property</w:t>
      </w:r>
      <w:r w:rsidR="00CD53E7" w:rsidRPr="00CE60B2">
        <w:rPr>
          <w:rFonts w:eastAsia="Times New Roman" w:cs="Segoe UI"/>
          <w:lang w:val="en" w:eastAsia="en-AU"/>
        </w:rPr>
        <w:t>.</w:t>
      </w:r>
      <w:r w:rsidR="007A1D95" w:rsidRPr="00CE60B2">
        <w:rPr>
          <w:rFonts w:eastAsia="Times New Roman" w:cs="Segoe UI"/>
          <w:lang w:val="en" w:eastAsia="en-AU"/>
        </w:rPr>
        <w:t xml:space="preserve"> The EPBC </w:t>
      </w:r>
      <w:r w:rsidR="007A1D95" w:rsidRPr="00CE60B2">
        <w:rPr>
          <w:rFonts w:cs="Segoe UI"/>
        </w:rPr>
        <w:t>Act also provides for the preparation of management plans which set out the significant heritage aspects of the place and how the values of the site will be managed</w:t>
      </w:r>
      <w:r w:rsidR="00CD53E7" w:rsidRPr="00CE60B2">
        <w:rPr>
          <w:rFonts w:cs="Segoe UI"/>
          <w:lang w:val="en"/>
        </w:rPr>
        <w:t>.</w:t>
      </w:r>
    </w:p>
    <w:p w14:paraId="26ABCB95" w14:textId="77777777" w:rsidR="00CD53E7" w:rsidRPr="00CE60B2" w:rsidRDefault="00CD53E7" w:rsidP="00737CC3">
      <w:pPr>
        <w:rPr>
          <w:rFonts w:cs="Segoe UI"/>
        </w:rPr>
      </w:pPr>
      <w:r w:rsidRPr="00CE60B2">
        <w:rPr>
          <w:rFonts w:cs="Segoe UI"/>
        </w:rPr>
        <w:t>The exemption of forestry operations in RFAs from Commonwealth assessment and approval requirements under section 38 of the EPBC</w:t>
      </w:r>
      <w:r w:rsidR="00C430DF">
        <w:rPr>
          <w:rFonts w:cs="Segoe UI"/>
        </w:rPr>
        <w:t> </w:t>
      </w:r>
      <w:r w:rsidRPr="00CE60B2">
        <w:rPr>
          <w:rFonts w:cs="Segoe UI"/>
        </w:rPr>
        <w:t>Act does not apply to operations within World Heritage properties or Ramsar wetland sites</w:t>
      </w:r>
      <w:r w:rsidRPr="00CE60B2">
        <w:rPr>
          <w:rStyle w:val="FootnoteReference"/>
          <w:rFonts w:cs="Segoe UI"/>
        </w:rPr>
        <w:footnoteReference w:id="5"/>
      </w:r>
      <w:r w:rsidRPr="00CE60B2">
        <w:rPr>
          <w:rFonts w:cs="Segoe UI"/>
        </w:rPr>
        <w:t>.</w:t>
      </w:r>
    </w:p>
    <w:p w14:paraId="26ABCB96" w14:textId="77777777" w:rsidR="00CD53E7" w:rsidRPr="00CE60B2" w:rsidRDefault="00CD53E7" w:rsidP="00D15AAD">
      <w:pPr>
        <w:pStyle w:val="Heading4"/>
        <w:rPr>
          <w:rFonts w:cs="Segoe UI"/>
          <w:i w:val="0"/>
        </w:rPr>
      </w:pPr>
      <w:r w:rsidRPr="00CE60B2">
        <w:rPr>
          <w:rFonts w:cs="Segoe UI"/>
        </w:rPr>
        <w:t xml:space="preserve">World Heritage listing </w:t>
      </w:r>
    </w:p>
    <w:p w14:paraId="26ABCB97" w14:textId="77777777" w:rsidR="00CD53E7" w:rsidRPr="00CE60B2" w:rsidRDefault="00CD53E7" w:rsidP="00737CC3">
      <w:pPr>
        <w:rPr>
          <w:rFonts w:cs="Segoe UI"/>
        </w:rPr>
      </w:pPr>
      <w:r w:rsidRPr="00CE60B2">
        <w:rPr>
          <w:rFonts w:cs="Segoe UI"/>
        </w:rPr>
        <w:t>To be in</w:t>
      </w:r>
      <w:r w:rsidR="0031353A" w:rsidRPr="00CE60B2">
        <w:rPr>
          <w:rFonts w:cs="Segoe UI"/>
        </w:rPr>
        <w:t>scribed</w:t>
      </w:r>
      <w:r w:rsidRPr="00CE60B2">
        <w:rPr>
          <w:rFonts w:cs="Segoe UI"/>
        </w:rPr>
        <w:t xml:space="preserve"> on the World Heritage list, properties must </w:t>
      </w:r>
      <w:r w:rsidR="0031353A" w:rsidRPr="00CE60B2">
        <w:rPr>
          <w:rFonts w:cs="Segoe UI"/>
        </w:rPr>
        <w:t>demonstrate</w:t>
      </w:r>
      <w:r w:rsidRPr="00CE60B2">
        <w:rPr>
          <w:rFonts w:cs="Segoe UI"/>
        </w:rPr>
        <w:t xml:space="preserve"> outstanding universal value and meet at least one </w:t>
      </w:r>
      <w:r w:rsidR="009D5B22" w:rsidRPr="00CE60B2">
        <w:rPr>
          <w:rFonts w:cs="Segoe UI"/>
        </w:rPr>
        <w:t xml:space="preserve">of the </w:t>
      </w:r>
      <w:r w:rsidRPr="00CE60B2">
        <w:rPr>
          <w:rFonts w:cs="Segoe UI"/>
        </w:rPr>
        <w:t xml:space="preserve">ten selection criteria. These criteria are based on cultural heritage and natural heritage as defined in the </w:t>
      </w:r>
      <w:r w:rsidR="0031353A" w:rsidRPr="00CE60B2">
        <w:rPr>
          <w:rFonts w:cs="Segoe UI"/>
        </w:rPr>
        <w:t xml:space="preserve">World Heritage </w:t>
      </w:r>
      <w:r w:rsidRPr="00CE60B2">
        <w:rPr>
          <w:rFonts w:cs="Segoe UI"/>
        </w:rPr>
        <w:t>Convention.</w:t>
      </w:r>
    </w:p>
    <w:p w14:paraId="26ABCB98" w14:textId="77777777" w:rsidR="00CD53E7" w:rsidRPr="00CE60B2" w:rsidRDefault="00CD53E7" w:rsidP="00737CC3">
      <w:pPr>
        <w:rPr>
          <w:rFonts w:cs="Segoe UI"/>
        </w:rPr>
      </w:pPr>
      <w:r w:rsidRPr="00CE60B2">
        <w:rPr>
          <w:rFonts w:cs="Segoe UI"/>
        </w:rPr>
        <w:t xml:space="preserve">Only the Australian Government can nominate Australian places for </w:t>
      </w:r>
      <w:r w:rsidR="0031353A" w:rsidRPr="00CE60B2">
        <w:rPr>
          <w:rFonts w:cs="Segoe UI"/>
        </w:rPr>
        <w:t>inclusion</w:t>
      </w:r>
      <w:r w:rsidRPr="00CE60B2">
        <w:rPr>
          <w:rFonts w:cs="Segoe UI"/>
        </w:rPr>
        <w:t xml:space="preserve"> on the World Heritage List. The World Heritage Committee assesses nominated places against </w:t>
      </w:r>
      <w:r w:rsidR="0031353A" w:rsidRPr="00CE60B2">
        <w:rPr>
          <w:rFonts w:cs="Segoe UI"/>
        </w:rPr>
        <w:t xml:space="preserve">the </w:t>
      </w:r>
      <w:r w:rsidRPr="00CE60B2">
        <w:rPr>
          <w:rFonts w:cs="Segoe UI"/>
        </w:rPr>
        <w:t xml:space="preserve">set criteria and makes the final decision as to the places that are included on the World Heritage List. </w:t>
      </w:r>
    </w:p>
    <w:p w14:paraId="26ABCB99" w14:textId="77777777" w:rsidR="00AF064B" w:rsidRPr="00CE60B2" w:rsidRDefault="00AF064B" w:rsidP="00FF0D54">
      <w:pPr>
        <w:pStyle w:val="Heading3"/>
        <w:keepNext/>
        <w:keepLines/>
        <w:rPr>
          <w:lang w:eastAsia="en-AU"/>
        </w:rPr>
      </w:pPr>
      <w:bookmarkStart w:id="56" w:name="_Toc524952791"/>
      <w:bookmarkStart w:id="57" w:name="_Toc2776035"/>
      <w:r w:rsidRPr="00CE60B2">
        <w:rPr>
          <w:lang w:eastAsia="en-AU"/>
        </w:rPr>
        <w:lastRenderedPageBreak/>
        <w:t>Biodiversity Values</w:t>
      </w:r>
      <w:bookmarkEnd w:id="56"/>
      <w:bookmarkEnd w:id="57"/>
    </w:p>
    <w:p w14:paraId="26ABCB9A" w14:textId="77777777" w:rsidR="002D72A4" w:rsidRPr="00CE60B2" w:rsidRDefault="002D72A4" w:rsidP="00FF0D54">
      <w:pPr>
        <w:keepNext/>
        <w:keepLines/>
        <w:rPr>
          <w:rFonts w:cs="Segoe UI"/>
        </w:rPr>
      </w:pPr>
      <w:r w:rsidRPr="00CE60B2">
        <w:rPr>
          <w:rFonts w:cs="Segoe UI"/>
        </w:rPr>
        <w:t xml:space="preserve">Biodiversity is the name given to the variety of living things, the different </w:t>
      </w:r>
      <w:r w:rsidR="00761B18" w:rsidRPr="00CE60B2">
        <w:rPr>
          <w:rFonts w:cs="Segoe UI"/>
        </w:rPr>
        <w:t>flora</w:t>
      </w:r>
      <w:r w:rsidRPr="00CE60B2">
        <w:rPr>
          <w:rFonts w:cs="Segoe UI"/>
        </w:rPr>
        <w:t xml:space="preserve">, </w:t>
      </w:r>
      <w:r w:rsidR="00761B18" w:rsidRPr="00CE60B2">
        <w:rPr>
          <w:rFonts w:cs="Segoe UI"/>
        </w:rPr>
        <w:t>fauna</w:t>
      </w:r>
      <w:r w:rsidRPr="00CE60B2">
        <w:rPr>
          <w:rFonts w:cs="Segoe UI"/>
        </w:rPr>
        <w:t xml:space="preserve"> and organisms, the genetic information they contain and the ecosystems they form. </w:t>
      </w:r>
      <w:r w:rsidR="005751B1">
        <w:rPr>
          <w:rFonts w:cs="Segoe UI"/>
        </w:rPr>
        <w:t xml:space="preserve">The CRA process drew together extensive </w:t>
      </w:r>
      <w:r w:rsidR="008A4C96">
        <w:rPr>
          <w:rFonts w:cs="Segoe UI"/>
        </w:rPr>
        <w:t>datasets</w:t>
      </w:r>
      <w:r w:rsidR="005751B1">
        <w:rPr>
          <w:rFonts w:cs="Segoe UI"/>
        </w:rPr>
        <w:t xml:space="preserve"> on bi</w:t>
      </w:r>
      <w:r w:rsidR="00D944C5">
        <w:rPr>
          <w:rFonts w:cs="Segoe UI"/>
        </w:rPr>
        <w:t>odiversity values within the WA </w:t>
      </w:r>
      <w:r w:rsidR="005751B1">
        <w:rPr>
          <w:rFonts w:cs="Segoe UI"/>
        </w:rPr>
        <w:t>RFA region which were used to inform the design of</w:t>
      </w:r>
      <w:r w:rsidR="00143111">
        <w:rPr>
          <w:rFonts w:cs="Segoe UI"/>
        </w:rPr>
        <w:t xml:space="preserve"> </w:t>
      </w:r>
      <w:r w:rsidR="00EB1CBA">
        <w:rPr>
          <w:rFonts w:cs="Segoe UI"/>
        </w:rPr>
        <w:t xml:space="preserve">the </w:t>
      </w:r>
      <w:r w:rsidR="00761B18" w:rsidRPr="00CE60B2">
        <w:rPr>
          <w:rFonts w:cs="Segoe UI"/>
        </w:rPr>
        <w:t xml:space="preserve">CAR </w:t>
      </w:r>
      <w:r w:rsidRPr="00CE60B2">
        <w:rPr>
          <w:rFonts w:cs="Segoe UI"/>
        </w:rPr>
        <w:t xml:space="preserve">reserve system. </w:t>
      </w:r>
      <w:r w:rsidR="005D68AA">
        <w:rPr>
          <w:rFonts w:cs="Segoe UI"/>
        </w:rPr>
        <w:t>The</w:t>
      </w:r>
      <w:r w:rsidR="00F57B6F">
        <w:rPr>
          <w:rFonts w:cs="Segoe UI"/>
        </w:rPr>
        <w:t xml:space="preserve"> </w:t>
      </w:r>
      <w:r w:rsidR="003013A5">
        <w:rPr>
          <w:rFonts w:cs="Segoe UI"/>
        </w:rPr>
        <w:t>comprehensiveness of biodiversity</w:t>
      </w:r>
      <w:r w:rsidR="005D68AA">
        <w:rPr>
          <w:rFonts w:cs="Segoe UI"/>
        </w:rPr>
        <w:t xml:space="preserve"> datasets ha</w:t>
      </w:r>
      <w:r w:rsidR="003013A5">
        <w:rPr>
          <w:rFonts w:cs="Segoe UI"/>
        </w:rPr>
        <w:t xml:space="preserve">s </w:t>
      </w:r>
      <w:r w:rsidR="005D68AA">
        <w:rPr>
          <w:rFonts w:cs="Segoe UI"/>
        </w:rPr>
        <w:t>continued to</w:t>
      </w:r>
      <w:r w:rsidR="003013A5">
        <w:rPr>
          <w:rFonts w:cs="Segoe UI"/>
        </w:rPr>
        <w:t xml:space="preserve"> grow throughout the period of the RFA through research and monitoring programs undertaken by DBCA, the WA Herbarium, WA </w:t>
      </w:r>
      <w:r w:rsidR="00D944C5">
        <w:rPr>
          <w:rFonts w:cs="Segoe UI"/>
        </w:rPr>
        <w:t>Museum and universities. The WA </w:t>
      </w:r>
      <w:r w:rsidR="003013A5">
        <w:rPr>
          <w:rFonts w:cs="Segoe UI"/>
        </w:rPr>
        <w:t xml:space="preserve">FMS </w:t>
      </w:r>
      <w:r w:rsidR="00F57B6F">
        <w:rPr>
          <w:rFonts w:cs="Segoe UI"/>
        </w:rPr>
        <w:t>references th</w:t>
      </w:r>
      <w:r w:rsidR="003013A5">
        <w:rPr>
          <w:rFonts w:cs="Segoe UI"/>
        </w:rPr>
        <w:t xml:space="preserve">ese </w:t>
      </w:r>
      <w:r w:rsidR="00F57B6F">
        <w:rPr>
          <w:rFonts w:cs="Segoe UI"/>
        </w:rPr>
        <w:t xml:space="preserve">CRA and updated data to inform disturbance approval processes, refinement of the formal and informal reserve systems on public lands, and the protection of biodiversity values during management activities such as prescribed burning on public lands. Some of the CRA datasets (such as forest ecosystems) </w:t>
      </w:r>
      <w:r w:rsidR="008E1D1B">
        <w:rPr>
          <w:rFonts w:cs="Segoe UI"/>
        </w:rPr>
        <w:t xml:space="preserve">have annual update cycles as they </w:t>
      </w:r>
      <w:r w:rsidR="00F57B6F">
        <w:rPr>
          <w:rFonts w:cs="Segoe UI"/>
        </w:rPr>
        <w:t xml:space="preserve">provide </w:t>
      </w:r>
      <w:r w:rsidR="008E1D1B">
        <w:rPr>
          <w:rFonts w:cs="Segoe UI"/>
        </w:rPr>
        <w:t>the basis for annual reporting of KPIs under the WA FMP.</w:t>
      </w:r>
      <w:r w:rsidR="00F57B6F">
        <w:rPr>
          <w:rFonts w:cs="Segoe UI"/>
        </w:rPr>
        <w:t xml:space="preserve"> </w:t>
      </w:r>
      <w:r w:rsidR="005D68AA">
        <w:rPr>
          <w:rFonts w:cs="Segoe UI"/>
        </w:rPr>
        <w:t xml:space="preserve"> </w:t>
      </w:r>
    </w:p>
    <w:p w14:paraId="26ABCB9B" w14:textId="77777777" w:rsidR="00EB7BCA" w:rsidRPr="00CE60B2" w:rsidRDefault="002D72A4" w:rsidP="002D72A4">
      <w:pPr>
        <w:rPr>
          <w:rFonts w:cs="Segoe UI"/>
        </w:rPr>
      </w:pPr>
      <w:r w:rsidRPr="00CE60B2">
        <w:rPr>
          <w:rFonts w:cs="Segoe UI"/>
        </w:rPr>
        <w:t xml:space="preserve">Indicators of biodiversity value </w:t>
      </w:r>
      <w:r w:rsidR="005751B1">
        <w:rPr>
          <w:rFonts w:cs="Segoe UI"/>
        </w:rPr>
        <w:t xml:space="preserve">within an area </w:t>
      </w:r>
      <w:r w:rsidRPr="00CE60B2">
        <w:rPr>
          <w:rFonts w:cs="Segoe UI"/>
        </w:rPr>
        <w:t>include</w:t>
      </w:r>
      <w:r w:rsidR="005751B1">
        <w:rPr>
          <w:rFonts w:cs="Segoe UI"/>
        </w:rPr>
        <w:t>d</w:t>
      </w:r>
      <w:r w:rsidRPr="00CE60B2">
        <w:rPr>
          <w:rFonts w:cs="Segoe UI"/>
        </w:rPr>
        <w:t xml:space="preserve"> </w:t>
      </w:r>
      <w:r w:rsidR="00AB1CE7" w:rsidRPr="00CE60B2">
        <w:rPr>
          <w:rFonts w:cs="Segoe UI"/>
        </w:rPr>
        <w:t xml:space="preserve">the </w:t>
      </w:r>
      <w:r w:rsidRPr="00CE60B2">
        <w:rPr>
          <w:rFonts w:cs="Segoe UI"/>
        </w:rPr>
        <w:t xml:space="preserve">number and diversity of </w:t>
      </w:r>
      <w:r w:rsidR="00761B18" w:rsidRPr="00CE60B2">
        <w:rPr>
          <w:rFonts w:cs="Segoe UI"/>
        </w:rPr>
        <w:t xml:space="preserve">flora </w:t>
      </w:r>
      <w:r w:rsidRPr="00CE60B2">
        <w:rPr>
          <w:rFonts w:cs="Segoe UI"/>
        </w:rPr>
        <w:t xml:space="preserve">and </w:t>
      </w:r>
      <w:r w:rsidR="00761B18" w:rsidRPr="00CE60B2">
        <w:rPr>
          <w:rFonts w:cs="Segoe UI"/>
        </w:rPr>
        <w:t>fauna</w:t>
      </w:r>
      <w:r w:rsidRPr="00CE60B2">
        <w:rPr>
          <w:rFonts w:cs="Segoe UI"/>
        </w:rPr>
        <w:t xml:space="preserve"> species, ecological communities and </w:t>
      </w:r>
      <w:r w:rsidR="005751B1">
        <w:rPr>
          <w:rFonts w:cs="Segoe UI"/>
        </w:rPr>
        <w:t xml:space="preserve">vegetation </w:t>
      </w:r>
      <w:r w:rsidR="008A4C96">
        <w:rPr>
          <w:rFonts w:cs="Segoe UI"/>
        </w:rPr>
        <w:t>assemblages</w:t>
      </w:r>
      <w:r w:rsidR="005751B1">
        <w:rPr>
          <w:rFonts w:cs="Segoe UI"/>
        </w:rPr>
        <w:t xml:space="preserve"> (forest ecosystems)</w:t>
      </w:r>
      <w:r w:rsidRPr="00CE60B2">
        <w:rPr>
          <w:rFonts w:cs="Segoe UI"/>
        </w:rPr>
        <w:t xml:space="preserve">. The indicators </w:t>
      </w:r>
      <w:r w:rsidR="004D414C">
        <w:rPr>
          <w:rFonts w:cs="Segoe UI"/>
        </w:rPr>
        <w:t>below report on</w:t>
      </w:r>
      <w:r w:rsidRPr="00CE60B2">
        <w:rPr>
          <w:rFonts w:cs="Segoe UI"/>
        </w:rPr>
        <w:t xml:space="preserve"> the range of flora and fauna species and communities</w:t>
      </w:r>
      <w:r w:rsidR="00AB1CE7" w:rsidRPr="00CE60B2">
        <w:rPr>
          <w:rFonts w:cs="Segoe UI"/>
        </w:rPr>
        <w:t>,</w:t>
      </w:r>
      <w:r w:rsidRPr="00CE60B2">
        <w:rPr>
          <w:rFonts w:cs="Segoe UI"/>
        </w:rPr>
        <w:t xml:space="preserve"> and the </w:t>
      </w:r>
      <w:r w:rsidR="004D414C">
        <w:rPr>
          <w:rFonts w:cs="Segoe UI"/>
        </w:rPr>
        <w:t xml:space="preserve">maintenance of </w:t>
      </w:r>
      <w:r w:rsidRPr="00CE60B2">
        <w:rPr>
          <w:rFonts w:cs="Segoe UI"/>
        </w:rPr>
        <w:t>reserves established to protect biodiversity.</w:t>
      </w:r>
    </w:p>
    <w:p w14:paraId="26ABCB9C" w14:textId="77777777" w:rsidR="00AF064B" w:rsidRPr="00CE60B2" w:rsidRDefault="00DB510B" w:rsidP="00D15AAD">
      <w:pPr>
        <w:pStyle w:val="Heading3"/>
        <w:rPr>
          <w:lang w:eastAsia="en-AU"/>
        </w:rPr>
      </w:pPr>
      <w:bookmarkStart w:id="58" w:name="_Toc524952792"/>
      <w:bookmarkStart w:id="59" w:name="_Toc2776036"/>
      <w:r w:rsidRPr="00CE60B2">
        <w:t xml:space="preserve">Indicator </w:t>
      </w:r>
      <w:r w:rsidR="00AF064B" w:rsidRPr="00CE60B2">
        <w:rPr>
          <w:lang w:eastAsia="en-AU"/>
        </w:rPr>
        <w:t>1.1a</w:t>
      </w:r>
      <w:r w:rsidR="00AF064B" w:rsidRPr="00CE60B2">
        <w:rPr>
          <w:lang w:eastAsia="en-AU"/>
        </w:rPr>
        <w:tab/>
        <w:t>Area of forest by forest type and tenure</w:t>
      </w:r>
      <w:bookmarkEnd w:id="58"/>
      <w:bookmarkEnd w:id="59"/>
    </w:p>
    <w:p w14:paraId="26ABCB9D" w14:textId="77777777" w:rsidR="00EB7BCA" w:rsidRPr="00CE60B2" w:rsidRDefault="00EB7BCA" w:rsidP="00D15AAD">
      <w:pPr>
        <w:pStyle w:val="Heading4"/>
        <w:rPr>
          <w:rFonts w:cs="Segoe UI"/>
          <w:lang w:eastAsia="ja-JP"/>
        </w:rPr>
      </w:pPr>
      <w:r w:rsidRPr="00CE60B2">
        <w:rPr>
          <w:rFonts w:cs="Segoe UI"/>
          <w:lang w:eastAsia="ja-JP"/>
        </w:rPr>
        <w:t>Area of forest, by forest type</w:t>
      </w:r>
    </w:p>
    <w:p w14:paraId="26ABCB9E" w14:textId="77777777" w:rsidR="00EB7BCA" w:rsidRPr="00CE60B2" w:rsidRDefault="00EB7BCA" w:rsidP="00D15AAD">
      <w:pPr>
        <w:pStyle w:val="Heading5"/>
        <w:rPr>
          <w:rFonts w:cs="Segoe UI"/>
          <w:lang w:eastAsia="ja-JP"/>
        </w:rPr>
      </w:pPr>
      <w:r w:rsidRPr="00CE60B2">
        <w:rPr>
          <w:rFonts w:cs="Segoe UI"/>
          <w:lang w:eastAsia="ja-JP"/>
        </w:rPr>
        <w:t>Comprehensive Regional Assessment</w:t>
      </w:r>
    </w:p>
    <w:p w14:paraId="26ABCB9F" w14:textId="77777777" w:rsidR="00A12F9B" w:rsidRPr="00CE60B2" w:rsidRDefault="00A12F9B" w:rsidP="00A12F9B">
      <w:pPr>
        <w:rPr>
          <w:rFonts w:cs="Segoe UI"/>
          <w:lang w:eastAsia="ja-JP"/>
        </w:rPr>
      </w:pPr>
      <w:r w:rsidRPr="00CE60B2">
        <w:rPr>
          <w:rFonts w:cs="Segoe UI"/>
          <w:lang w:eastAsia="ja-JP"/>
        </w:rPr>
        <w:t>The extent</w:t>
      </w:r>
      <w:r w:rsidR="00C61883">
        <w:rPr>
          <w:rFonts w:cs="Segoe UI"/>
          <w:lang w:eastAsia="ja-JP"/>
        </w:rPr>
        <w:t xml:space="preserve"> of forest ecosystems in the WA </w:t>
      </w:r>
      <w:r w:rsidRPr="00CE60B2">
        <w:rPr>
          <w:rFonts w:cs="Segoe UI"/>
          <w:lang w:eastAsia="ja-JP"/>
        </w:rPr>
        <w:t>RFA region was mapped through the CRA process between 1995 and 2000</w:t>
      </w:r>
      <w:r w:rsidRPr="00CE60B2">
        <w:rPr>
          <w:rFonts w:cs="Segoe UI"/>
          <w:vertAlign w:val="superscript"/>
          <w:lang w:eastAsia="ja-JP"/>
        </w:rPr>
        <w:footnoteReference w:id="6"/>
      </w:r>
      <w:r w:rsidRPr="00CE60B2">
        <w:rPr>
          <w:rFonts w:cs="Segoe UI"/>
          <w:lang w:eastAsia="ja-JP"/>
        </w:rPr>
        <w:t>. Application of the JANIS criteria for defining forest ecosystems as a basis for reserve design and management resulted in the development of forest ecosystem categories which combined detailed vegetation mapping and forest associations data. The forest ecosystems dataset has been maintained and updated annually with minor changes to forest type arising from silvicultural regeneration operations, rehabilitation following mining, and approved refinements from ground surveys of informal reserve boundaries.</w:t>
      </w:r>
      <w:r w:rsidR="004D6CEC">
        <w:rPr>
          <w:rFonts w:cs="Segoe UI"/>
          <w:lang w:eastAsia="ja-JP"/>
        </w:rPr>
        <w:t xml:space="preserve"> Figure 5 shows the </w:t>
      </w:r>
      <w:r w:rsidR="00C61883">
        <w:rPr>
          <w:rFonts w:cs="Segoe UI"/>
          <w:lang w:eastAsia="ja-JP"/>
        </w:rPr>
        <w:t>forest ecosystems within the WA </w:t>
      </w:r>
      <w:r w:rsidR="004D6CEC">
        <w:rPr>
          <w:rFonts w:cs="Segoe UI"/>
          <w:lang w:eastAsia="ja-JP"/>
        </w:rPr>
        <w:t>RFA area.</w:t>
      </w:r>
    </w:p>
    <w:p w14:paraId="26ABCBA0" w14:textId="77777777" w:rsidR="00A12F9B" w:rsidRPr="00CE60B2" w:rsidRDefault="00A12F9B" w:rsidP="00A12F9B">
      <w:pPr>
        <w:rPr>
          <w:rFonts w:cs="Segoe UI"/>
          <w:lang w:eastAsia="ja-JP"/>
        </w:rPr>
      </w:pPr>
    </w:p>
    <w:p w14:paraId="26ABCBA1" w14:textId="77777777" w:rsidR="007E62B1" w:rsidRDefault="002A3116" w:rsidP="007E62B1">
      <w:pPr>
        <w:keepNext/>
      </w:pPr>
      <w:r>
        <w:rPr>
          <w:noProof/>
          <w:lang w:eastAsia="en-AU"/>
        </w:rPr>
        <w:lastRenderedPageBreak/>
        <w:drawing>
          <wp:inline distT="0" distB="0" distL="0" distR="0" wp14:anchorId="26ABE25A" wp14:editId="26ABE25B">
            <wp:extent cx="5872294" cy="858934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8335" cy="8598181"/>
                    </a:xfrm>
                    <a:prstGeom prst="rect">
                      <a:avLst/>
                    </a:prstGeom>
                    <a:noFill/>
                    <a:ln>
                      <a:noFill/>
                    </a:ln>
                  </pic:spPr>
                </pic:pic>
              </a:graphicData>
            </a:graphic>
          </wp:inline>
        </w:drawing>
      </w:r>
    </w:p>
    <w:p w14:paraId="26ABCBA2" w14:textId="4A19322C" w:rsidR="007E62B1" w:rsidRDefault="007E62B1" w:rsidP="007E62B1">
      <w:pPr>
        <w:pStyle w:val="Caption"/>
      </w:pPr>
      <w:bookmarkStart w:id="60" w:name="_Toc2776006"/>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5</w:t>
      </w:r>
      <w:r w:rsidR="0002253A">
        <w:rPr>
          <w:noProof/>
        </w:rPr>
        <w:fldChar w:fldCharType="end"/>
      </w:r>
      <w:r>
        <w:t xml:space="preserve">: </w:t>
      </w:r>
      <w:r w:rsidRPr="00EC1F35">
        <w:t>WA RFA region and forest ecosystems in 2018.</w:t>
      </w:r>
      <w:bookmarkEnd w:id="60"/>
    </w:p>
    <w:p w14:paraId="26ABCBA3" w14:textId="77777777" w:rsidR="00A12F9B" w:rsidRPr="00CE60B2" w:rsidRDefault="00A12F9B" w:rsidP="00A12F9B">
      <w:pPr>
        <w:rPr>
          <w:rFonts w:cs="Segoe UI"/>
          <w:lang w:eastAsia="ja-JP"/>
        </w:rPr>
      </w:pPr>
      <w:r w:rsidRPr="00CE60B2">
        <w:rPr>
          <w:rFonts w:cs="Segoe UI"/>
          <w:lang w:eastAsia="ja-JP"/>
        </w:rPr>
        <w:lastRenderedPageBreak/>
        <w:t>In 1999 there was a total of 2.6 million hectares of forest ecosystems recorded within the WA</w:t>
      </w:r>
      <w:r w:rsidR="00440CF8">
        <w:rPr>
          <w:rFonts w:cs="Segoe UI"/>
          <w:lang w:eastAsia="ja-JP"/>
        </w:rPr>
        <w:t> </w:t>
      </w:r>
      <w:r w:rsidRPr="00CE60B2">
        <w:rPr>
          <w:rFonts w:cs="Segoe UI"/>
          <w:lang w:eastAsia="ja-JP"/>
        </w:rPr>
        <w:t xml:space="preserve">RFA region, of which 2.2 million hectares (85 per cent) were classified as forested. The total area of forest ecosystems </w:t>
      </w:r>
      <w:r w:rsidR="008E1D1B">
        <w:rPr>
          <w:rFonts w:cs="Segoe UI"/>
          <w:lang w:eastAsia="ja-JP"/>
        </w:rPr>
        <w:t>had</w:t>
      </w:r>
      <w:r w:rsidRPr="00CE60B2">
        <w:rPr>
          <w:rFonts w:cs="Segoe UI"/>
          <w:lang w:eastAsia="ja-JP"/>
        </w:rPr>
        <w:t xml:space="preserve"> reduced to 2.5 million hectares at December</w:t>
      </w:r>
      <w:r w:rsidR="00440CF8">
        <w:rPr>
          <w:rFonts w:cs="Segoe UI"/>
          <w:lang w:eastAsia="ja-JP"/>
        </w:rPr>
        <w:t> </w:t>
      </w:r>
      <w:r w:rsidRPr="00CE60B2">
        <w:rPr>
          <w:rFonts w:cs="Segoe UI"/>
          <w:lang w:eastAsia="ja-JP"/>
        </w:rPr>
        <w:t>2017, of which 2.1</w:t>
      </w:r>
      <w:r w:rsidR="00440CF8">
        <w:rPr>
          <w:rFonts w:cs="Segoe UI"/>
          <w:lang w:eastAsia="ja-JP"/>
        </w:rPr>
        <w:t> </w:t>
      </w:r>
      <w:r w:rsidRPr="00CE60B2">
        <w:rPr>
          <w:rFonts w:cs="Segoe UI"/>
          <w:lang w:eastAsia="ja-JP"/>
        </w:rPr>
        <w:t>million</w:t>
      </w:r>
      <w:r w:rsidR="00440CF8">
        <w:rPr>
          <w:rFonts w:cs="Segoe UI"/>
          <w:lang w:eastAsia="ja-JP"/>
        </w:rPr>
        <w:t> </w:t>
      </w:r>
      <w:r w:rsidRPr="00CE60B2">
        <w:rPr>
          <w:rFonts w:cs="Segoe UI"/>
          <w:lang w:eastAsia="ja-JP"/>
        </w:rPr>
        <w:t>hectares (84 per cent) was classified as forested. The reduced area arose from clearing for infrastructure, mining, and agriculture as well as data refinements.</w:t>
      </w:r>
    </w:p>
    <w:p w14:paraId="26ABCBA4" w14:textId="77777777" w:rsidR="00A12F9B" w:rsidRPr="00CE60B2" w:rsidRDefault="00A12F9B" w:rsidP="00CE60B2">
      <w:pPr>
        <w:pStyle w:val="Heading4"/>
        <w:rPr>
          <w:highlight w:val="cyan"/>
        </w:rPr>
      </w:pPr>
      <w:r w:rsidRPr="00C25CAE">
        <w:t>Area of forest ecosystems by tenure</w:t>
      </w:r>
      <w:r w:rsidRPr="00CE60B2">
        <w:rPr>
          <w:highlight w:val="cyan"/>
        </w:rPr>
        <w:t xml:space="preserve"> </w:t>
      </w:r>
    </w:p>
    <w:p w14:paraId="26ABCBA5" w14:textId="77777777" w:rsidR="00A12F9B" w:rsidRPr="00CE60B2" w:rsidRDefault="00A12F9B" w:rsidP="00A12F9B">
      <w:pPr>
        <w:rPr>
          <w:rFonts w:cs="Segoe UI"/>
          <w:lang w:eastAsia="ja-JP"/>
        </w:rPr>
      </w:pPr>
      <w:r w:rsidRPr="00CE60B2">
        <w:rPr>
          <w:rFonts w:cs="Segoe UI"/>
          <w:lang w:eastAsia="ja-JP"/>
        </w:rPr>
        <w:t>The 2.2</w:t>
      </w:r>
      <w:r w:rsidR="00440CF8">
        <w:rPr>
          <w:rFonts w:cs="Segoe UI"/>
          <w:lang w:eastAsia="ja-JP"/>
        </w:rPr>
        <w:t> </w:t>
      </w:r>
      <w:r w:rsidRPr="00CE60B2">
        <w:rPr>
          <w:rFonts w:cs="Segoe UI"/>
          <w:lang w:eastAsia="ja-JP"/>
        </w:rPr>
        <w:t>million</w:t>
      </w:r>
      <w:r w:rsidR="00440CF8">
        <w:rPr>
          <w:rFonts w:cs="Segoe UI"/>
          <w:lang w:eastAsia="ja-JP"/>
        </w:rPr>
        <w:t> </w:t>
      </w:r>
      <w:r w:rsidRPr="00CE60B2">
        <w:rPr>
          <w:rFonts w:cs="Segoe UI"/>
          <w:lang w:eastAsia="ja-JP"/>
        </w:rPr>
        <w:t>hectares of forest ecosystems within the WA</w:t>
      </w:r>
      <w:r w:rsidR="00440CF8">
        <w:rPr>
          <w:rFonts w:cs="Segoe UI"/>
          <w:lang w:eastAsia="ja-JP"/>
        </w:rPr>
        <w:t> </w:t>
      </w:r>
      <w:r w:rsidRPr="00CE60B2">
        <w:rPr>
          <w:rFonts w:cs="Segoe UI"/>
          <w:lang w:eastAsia="ja-JP"/>
        </w:rPr>
        <w:t>RFA region in 1999 comprised 1.94</w:t>
      </w:r>
      <w:r w:rsidR="002A16FE">
        <w:rPr>
          <w:rFonts w:cs="Segoe UI"/>
          <w:lang w:eastAsia="ja-JP"/>
        </w:rPr>
        <w:t> </w:t>
      </w:r>
      <w:r w:rsidRPr="00CE60B2">
        <w:rPr>
          <w:rFonts w:cs="Segoe UI"/>
          <w:lang w:eastAsia="ja-JP"/>
        </w:rPr>
        <w:t>million hectares (87</w:t>
      </w:r>
      <w:r w:rsidR="00440CF8">
        <w:rPr>
          <w:rFonts w:cs="Segoe UI"/>
          <w:lang w:eastAsia="ja-JP"/>
        </w:rPr>
        <w:t> </w:t>
      </w:r>
      <w:r w:rsidRPr="00CE60B2">
        <w:rPr>
          <w:rFonts w:cs="Segoe UI"/>
          <w:lang w:eastAsia="ja-JP"/>
        </w:rPr>
        <w:t>per</w:t>
      </w:r>
      <w:r w:rsidR="00440CF8">
        <w:rPr>
          <w:rFonts w:cs="Segoe UI"/>
          <w:lang w:eastAsia="ja-JP"/>
        </w:rPr>
        <w:t> </w:t>
      </w:r>
      <w:r w:rsidRPr="00CE60B2">
        <w:rPr>
          <w:rFonts w:cs="Segoe UI"/>
          <w:lang w:eastAsia="ja-JP"/>
        </w:rPr>
        <w:t>cent) located on public lands and 295,050</w:t>
      </w:r>
      <w:r w:rsidR="00AC060F">
        <w:rPr>
          <w:rFonts w:cs="Segoe UI"/>
          <w:lang w:eastAsia="ja-JP"/>
        </w:rPr>
        <w:t> </w:t>
      </w:r>
      <w:r w:rsidRPr="00CE60B2">
        <w:rPr>
          <w:rFonts w:cs="Segoe UI"/>
          <w:lang w:eastAsia="ja-JP"/>
        </w:rPr>
        <w:t>hectares (13</w:t>
      </w:r>
      <w:r w:rsidR="00AC060F">
        <w:rPr>
          <w:rFonts w:cs="Segoe UI"/>
          <w:lang w:eastAsia="ja-JP"/>
        </w:rPr>
        <w:t> </w:t>
      </w:r>
      <w:r w:rsidRPr="00CE60B2">
        <w:rPr>
          <w:rFonts w:cs="Segoe UI"/>
          <w:lang w:eastAsia="ja-JP"/>
        </w:rPr>
        <w:t>per</w:t>
      </w:r>
      <w:r w:rsidR="00AC060F">
        <w:rPr>
          <w:rFonts w:cs="Segoe UI"/>
          <w:lang w:eastAsia="ja-JP"/>
        </w:rPr>
        <w:t> </w:t>
      </w:r>
      <w:r w:rsidRPr="00CE60B2">
        <w:rPr>
          <w:rFonts w:cs="Segoe UI"/>
          <w:lang w:eastAsia="ja-JP"/>
        </w:rPr>
        <w:t>cent) on private and leasehold lands. At June 2018, there was a total of 2.1</w:t>
      </w:r>
      <w:r w:rsidR="00AC060F">
        <w:rPr>
          <w:rFonts w:cs="Segoe UI"/>
          <w:lang w:eastAsia="ja-JP"/>
        </w:rPr>
        <w:t> </w:t>
      </w:r>
      <w:r w:rsidRPr="00CE60B2">
        <w:rPr>
          <w:rFonts w:cs="Segoe UI"/>
          <w:lang w:eastAsia="ja-JP"/>
        </w:rPr>
        <w:t>million</w:t>
      </w:r>
      <w:r w:rsidR="00AC060F">
        <w:rPr>
          <w:rFonts w:cs="Segoe UI"/>
          <w:lang w:eastAsia="ja-JP"/>
        </w:rPr>
        <w:t> </w:t>
      </w:r>
      <w:r w:rsidRPr="00CE60B2">
        <w:rPr>
          <w:rFonts w:cs="Segoe UI"/>
          <w:lang w:eastAsia="ja-JP"/>
        </w:rPr>
        <w:t>hectares of forested ecosystems in the WA RFA region, of which 1.98</w:t>
      </w:r>
      <w:r w:rsidR="00AC060F">
        <w:rPr>
          <w:rFonts w:cs="Segoe UI"/>
          <w:lang w:eastAsia="ja-JP"/>
        </w:rPr>
        <w:t> </w:t>
      </w:r>
      <w:r w:rsidRPr="00CE60B2">
        <w:rPr>
          <w:rFonts w:cs="Segoe UI"/>
          <w:lang w:eastAsia="ja-JP"/>
        </w:rPr>
        <w:t>million</w:t>
      </w:r>
      <w:r w:rsidR="00AC060F">
        <w:rPr>
          <w:rFonts w:cs="Segoe UI"/>
          <w:lang w:eastAsia="ja-JP"/>
        </w:rPr>
        <w:t> </w:t>
      </w:r>
      <w:r w:rsidRPr="00CE60B2">
        <w:rPr>
          <w:rFonts w:cs="Segoe UI"/>
          <w:lang w:eastAsia="ja-JP"/>
        </w:rPr>
        <w:t>hectares (94</w:t>
      </w:r>
      <w:r w:rsidR="00AC060F">
        <w:rPr>
          <w:rFonts w:cs="Segoe UI"/>
          <w:lang w:eastAsia="ja-JP"/>
        </w:rPr>
        <w:t> </w:t>
      </w:r>
      <w:r w:rsidRPr="00CE60B2">
        <w:rPr>
          <w:rFonts w:cs="Segoe UI"/>
          <w:lang w:eastAsia="ja-JP"/>
        </w:rPr>
        <w:t>per</w:t>
      </w:r>
      <w:r w:rsidR="00AC060F">
        <w:rPr>
          <w:rFonts w:cs="Segoe UI"/>
          <w:lang w:eastAsia="ja-JP"/>
        </w:rPr>
        <w:t> </w:t>
      </w:r>
      <w:r w:rsidRPr="00CE60B2">
        <w:rPr>
          <w:rFonts w:cs="Segoe UI"/>
          <w:lang w:eastAsia="ja-JP"/>
        </w:rPr>
        <w:t>cent) are on public land and 137,356</w:t>
      </w:r>
      <w:r w:rsidR="00AC060F">
        <w:rPr>
          <w:rFonts w:cs="Segoe UI"/>
          <w:lang w:eastAsia="ja-JP"/>
        </w:rPr>
        <w:t> </w:t>
      </w:r>
      <w:r w:rsidRPr="00CE60B2">
        <w:rPr>
          <w:rFonts w:cs="Segoe UI"/>
          <w:lang w:eastAsia="ja-JP"/>
        </w:rPr>
        <w:t>hectares (6</w:t>
      </w:r>
      <w:r w:rsidR="00AC060F">
        <w:rPr>
          <w:rFonts w:cs="Segoe UI"/>
          <w:lang w:eastAsia="ja-JP"/>
        </w:rPr>
        <w:t> </w:t>
      </w:r>
      <w:r w:rsidRPr="00CE60B2">
        <w:rPr>
          <w:rFonts w:cs="Segoe UI"/>
          <w:lang w:eastAsia="ja-JP"/>
        </w:rPr>
        <w:t>per</w:t>
      </w:r>
      <w:r w:rsidR="00AC060F">
        <w:rPr>
          <w:rFonts w:cs="Segoe UI"/>
          <w:lang w:eastAsia="ja-JP"/>
        </w:rPr>
        <w:t> </w:t>
      </w:r>
      <w:r w:rsidRPr="00CE60B2">
        <w:rPr>
          <w:rFonts w:cs="Segoe UI"/>
          <w:lang w:eastAsia="ja-JP"/>
        </w:rPr>
        <w:t>cent) are on private and leasehold land.</w:t>
      </w:r>
    </w:p>
    <w:p w14:paraId="26ABCBA6" w14:textId="1679B51F" w:rsidR="00A12F9B" w:rsidRPr="00CE60B2" w:rsidRDefault="00C5528D" w:rsidP="00A12F9B">
      <w:pPr>
        <w:rPr>
          <w:rFonts w:cs="Segoe UI"/>
          <w:lang w:eastAsia="ja-JP"/>
        </w:rPr>
      </w:pPr>
      <w:r>
        <w:rPr>
          <w:rFonts w:cs="Segoe UI"/>
          <w:lang w:eastAsia="ja-JP"/>
        </w:rPr>
        <w:fldChar w:fldCharType="begin"/>
      </w:r>
      <w:r>
        <w:rPr>
          <w:rFonts w:cs="Segoe UI"/>
          <w:lang w:eastAsia="ja-JP"/>
        </w:rPr>
        <w:instrText xml:space="preserve"> REF _Ref527451365 </w:instrText>
      </w:r>
      <w:r>
        <w:rPr>
          <w:rFonts w:cs="Segoe UI"/>
          <w:lang w:eastAsia="ja-JP"/>
        </w:rPr>
        <w:fldChar w:fldCharType="separate"/>
      </w:r>
      <w:r w:rsidR="003C7091">
        <w:t xml:space="preserve">Table </w:t>
      </w:r>
      <w:r w:rsidR="003C7091">
        <w:rPr>
          <w:noProof/>
        </w:rPr>
        <w:t>8</w:t>
      </w:r>
      <w:r>
        <w:rPr>
          <w:rFonts w:cs="Segoe UI"/>
          <w:lang w:eastAsia="ja-JP"/>
        </w:rPr>
        <w:fldChar w:fldCharType="end"/>
      </w:r>
      <w:r>
        <w:rPr>
          <w:rFonts w:cs="Segoe UI"/>
          <w:lang w:eastAsia="ja-JP"/>
        </w:rPr>
        <w:t xml:space="preserve"> </w:t>
      </w:r>
      <w:r w:rsidR="00A12F9B" w:rsidRPr="00CE60B2">
        <w:rPr>
          <w:rFonts w:cs="Segoe UI"/>
          <w:lang w:eastAsia="ja-JP"/>
        </w:rPr>
        <w:t>shows the area of forest ecosystems by land tenure in the WA</w:t>
      </w:r>
      <w:r w:rsidR="00AC060F">
        <w:rPr>
          <w:rFonts w:cs="Segoe UI"/>
          <w:lang w:eastAsia="ja-JP"/>
        </w:rPr>
        <w:t> </w:t>
      </w:r>
      <w:r w:rsidR="00A12F9B" w:rsidRPr="00CE60B2">
        <w:rPr>
          <w:rFonts w:cs="Segoe UI"/>
          <w:lang w:eastAsia="ja-JP"/>
        </w:rPr>
        <w:t>RFA region at 1999 and 2018.</w:t>
      </w:r>
      <w:r w:rsidR="00F764BD">
        <w:rPr>
          <w:rFonts w:cs="Segoe UI"/>
          <w:lang w:eastAsia="ja-JP"/>
        </w:rPr>
        <w:t xml:space="preserve"> Figure </w:t>
      </w:r>
      <w:r w:rsidR="00A83A38">
        <w:rPr>
          <w:rFonts w:cs="Segoe UI"/>
          <w:lang w:eastAsia="ja-JP"/>
        </w:rPr>
        <w:t>6 shows the native vegetation remainin</w:t>
      </w:r>
      <w:r w:rsidR="00C61883">
        <w:rPr>
          <w:rFonts w:cs="Segoe UI"/>
          <w:lang w:eastAsia="ja-JP"/>
        </w:rPr>
        <w:t>g on private land within the WA </w:t>
      </w:r>
      <w:r w:rsidR="00A83A38">
        <w:rPr>
          <w:rFonts w:cs="Segoe UI"/>
          <w:lang w:eastAsia="ja-JP"/>
        </w:rPr>
        <w:t>RFA area.</w:t>
      </w:r>
    </w:p>
    <w:p w14:paraId="26ABCBA7" w14:textId="7E345007" w:rsidR="00C5528D" w:rsidRDefault="00C5528D" w:rsidP="00C5528D">
      <w:pPr>
        <w:pStyle w:val="Caption"/>
        <w:keepNext/>
      </w:pPr>
      <w:bookmarkStart w:id="61" w:name="_Ref527451365"/>
      <w:bookmarkStart w:id="62" w:name="_Toc531002169"/>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8</w:t>
      </w:r>
      <w:r w:rsidR="005C10D4">
        <w:rPr>
          <w:noProof/>
        </w:rPr>
        <w:fldChar w:fldCharType="end"/>
      </w:r>
      <w:bookmarkEnd w:id="61"/>
      <w:r>
        <w:t xml:space="preserve">: </w:t>
      </w:r>
      <w:r w:rsidRPr="005F5082">
        <w:t>Forest ecosystem area, by tenure in the WA</w:t>
      </w:r>
      <w:r w:rsidR="00AC060F">
        <w:t> </w:t>
      </w:r>
      <w:r w:rsidRPr="005F5082">
        <w:t>RFA region</w:t>
      </w:r>
      <w:bookmarkEnd w:id="62"/>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701"/>
        <w:gridCol w:w="1422"/>
        <w:gridCol w:w="1701"/>
      </w:tblGrid>
      <w:tr w:rsidR="00A12F9B" w:rsidRPr="00CE60B2" w14:paraId="26ABCBAB" w14:textId="77777777" w:rsidTr="00A12F9B">
        <w:trPr>
          <w:trHeight w:val="297"/>
        </w:trPr>
        <w:tc>
          <w:tcPr>
            <w:tcW w:w="1838" w:type="dxa"/>
            <w:tcBorders>
              <w:top w:val="nil"/>
              <w:left w:val="nil"/>
            </w:tcBorders>
            <w:shd w:val="clear" w:color="auto" w:fill="auto"/>
            <w:vAlign w:val="center"/>
          </w:tcPr>
          <w:p w14:paraId="26ABCBA8" w14:textId="77777777" w:rsidR="00A12F9B" w:rsidRPr="00CE60B2" w:rsidRDefault="00A12F9B" w:rsidP="00A12F9B">
            <w:pPr>
              <w:spacing w:before="0"/>
              <w:rPr>
                <w:rFonts w:eastAsia="Times New Roman" w:cs="Segoe UI"/>
                <w:b/>
                <w:bCs/>
                <w:color w:val="000000"/>
                <w:sz w:val="20"/>
                <w:szCs w:val="20"/>
                <w:lang w:eastAsia="en-AU"/>
              </w:rPr>
            </w:pPr>
          </w:p>
        </w:tc>
        <w:tc>
          <w:tcPr>
            <w:tcW w:w="3119" w:type="dxa"/>
            <w:gridSpan w:val="2"/>
            <w:shd w:val="clear" w:color="auto" w:fill="DFEFE1" w:themeFill="accent3" w:themeFillTint="66"/>
            <w:vAlign w:val="bottom"/>
          </w:tcPr>
          <w:p w14:paraId="26ABCBA9" w14:textId="77777777" w:rsidR="00A12F9B" w:rsidRPr="00CE60B2" w:rsidRDefault="00A12F9B" w:rsidP="00A12F9B">
            <w:pPr>
              <w:spacing w:before="0"/>
              <w:jc w:val="center"/>
              <w:rPr>
                <w:rFonts w:eastAsia="Times New Roman" w:cs="Segoe UI"/>
                <w:b/>
                <w:bCs/>
                <w:color w:val="000000"/>
                <w:sz w:val="20"/>
                <w:szCs w:val="20"/>
                <w:lang w:eastAsia="en-AU"/>
              </w:rPr>
            </w:pPr>
            <w:r w:rsidRPr="00CE60B2">
              <w:rPr>
                <w:rFonts w:eastAsia="Times New Roman" w:cs="Segoe UI"/>
                <w:b/>
                <w:bCs/>
                <w:color w:val="000000"/>
                <w:sz w:val="20"/>
                <w:szCs w:val="20"/>
                <w:lang w:eastAsia="en-AU"/>
              </w:rPr>
              <w:t>WA RFA 1999</w:t>
            </w:r>
          </w:p>
        </w:tc>
        <w:tc>
          <w:tcPr>
            <w:tcW w:w="3123" w:type="dxa"/>
            <w:gridSpan w:val="2"/>
            <w:shd w:val="clear" w:color="auto" w:fill="DFEFE1" w:themeFill="accent3" w:themeFillTint="66"/>
          </w:tcPr>
          <w:p w14:paraId="26ABCBAA" w14:textId="77777777" w:rsidR="00A12F9B" w:rsidRPr="00CE60B2" w:rsidRDefault="00A12F9B" w:rsidP="00A12F9B">
            <w:pPr>
              <w:spacing w:before="0"/>
              <w:jc w:val="center"/>
              <w:rPr>
                <w:rFonts w:eastAsia="Times New Roman" w:cs="Segoe UI"/>
                <w:b/>
                <w:bCs/>
                <w:color w:val="000000"/>
                <w:sz w:val="20"/>
                <w:szCs w:val="20"/>
                <w:lang w:eastAsia="en-AU"/>
              </w:rPr>
            </w:pPr>
            <w:r w:rsidRPr="00CE60B2">
              <w:rPr>
                <w:rFonts w:eastAsia="Times New Roman" w:cs="Segoe UI"/>
                <w:b/>
                <w:bCs/>
                <w:color w:val="000000"/>
                <w:sz w:val="20"/>
                <w:szCs w:val="20"/>
                <w:lang w:eastAsia="en-AU"/>
              </w:rPr>
              <w:t>Current area to June 2018</w:t>
            </w:r>
          </w:p>
        </w:tc>
      </w:tr>
      <w:tr w:rsidR="00A12F9B" w:rsidRPr="00CE60B2" w14:paraId="26ABCBB1" w14:textId="77777777" w:rsidTr="00A12F9B">
        <w:trPr>
          <w:trHeight w:val="297"/>
        </w:trPr>
        <w:tc>
          <w:tcPr>
            <w:tcW w:w="1838" w:type="dxa"/>
            <w:shd w:val="clear" w:color="auto" w:fill="DFEFE1" w:themeFill="accent3" w:themeFillTint="66"/>
            <w:vAlign w:val="center"/>
            <w:hideMark/>
          </w:tcPr>
          <w:p w14:paraId="26ABCBAC" w14:textId="77777777" w:rsidR="00A12F9B" w:rsidRPr="00CE60B2" w:rsidRDefault="00A12F9B" w:rsidP="00A12F9B">
            <w:pPr>
              <w:spacing w:before="0"/>
              <w:rPr>
                <w:rFonts w:eastAsia="Times New Roman" w:cs="Segoe UI"/>
                <w:b/>
                <w:bCs/>
                <w:color w:val="000000"/>
                <w:sz w:val="20"/>
                <w:szCs w:val="20"/>
                <w:lang w:eastAsia="en-AU"/>
              </w:rPr>
            </w:pPr>
            <w:r w:rsidRPr="00CE60B2">
              <w:rPr>
                <w:rFonts w:eastAsia="Times New Roman" w:cs="Segoe UI"/>
                <w:b/>
                <w:bCs/>
                <w:color w:val="000000"/>
                <w:sz w:val="20"/>
                <w:szCs w:val="20"/>
                <w:lang w:eastAsia="en-AU"/>
              </w:rPr>
              <w:t>Tenure</w:t>
            </w:r>
          </w:p>
        </w:tc>
        <w:tc>
          <w:tcPr>
            <w:tcW w:w="1418" w:type="dxa"/>
            <w:shd w:val="clear" w:color="auto" w:fill="DFEFE1" w:themeFill="accent3" w:themeFillTint="66"/>
            <w:vAlign w:val="bottom"/>
          </w:tcPr>
          <w:p w14:paraId="26ABCBAD" w14:textId="77777777" w:rsidR="00A12F9B" w:rsidRPr="00CE60B2" w:rsidRDefault="00A12F9B" w:rsidP="00A12F9B">
            <w:pPr>
              <w:spacing w:before="0"/>
              <w:jc w:val="center"/>
              <w:rPr>
                <w:rFonts w:eastAsia="Times New Roman" w:cs="Segoe UI"/>
                <w:b/>
                <w:color w:val="000000"/>
                <w:sz w:val="20"/>
                <w:szCs w:val="20"/>
                <w:lang w:eastAsia="en-AU"/>
              </w:rPr>
            </w:pPr>
            <w:r w:rsidRPr="00CE60B2">
              <w:rPr>
                <w:rFonts w:eastAsia="Times New Roman" w:cs="Segoe UI"/>
                <w:b/>
                <w:color w:val="000000"/>
                <w:sz w:val="20"/>
                <w:szCs w:val="20"/>
                <w:lang w:eastAsia="en-AU"/>
              </w:rPr>
              <w:t>Area (‘000 hectares)</w:t>
            </w:r>
          </w:p>
        </w:tc>
        <w:tc>
          <w:tcPr>
            <w:tcW w:w="1701" w:type="dxa"/>
            <w:shd w:val="clear" w:color="auto" w:fill="DFEFE1" w:themeFill="accent3" w:themeFillTint="66"/>
            <w:vAlign w:val="bottom"/>
            <w:hideMark/>
          </w:tcPr>
          <w:p w14:paraId="26ABCBAE" w14:textId="77777777" w:rsidR="00A12F9B" w:rsidRPr="00CE60B2" w:rsidRDefault="00A12F9B" w:rsidP="00A12F9B">
            <w:pPr>
              <w:spacing w:before="0"/>
              <w:jc w:val="center"/>
              <w:rPr>
                <w:rFonts w:eastAsia="Times New Roman" w:cs="Segoe UI"/>
                <w:b/>
                <w:bCs/>
                <w:color w:val="000000"/>
                <w:sz w:val="20"/>
                <w:szCs w:val="20"/>
                <w:lang w:eastAsia="en-AU"/>
              </w:rPr>
            </w:pPr>
            <w:r w:rsidRPr="00CE60B2">
              <w:rPr>
                <w:rFonts w:eastAsia="Times New Roman" w:cs="Segoe UI"/>
                <w:b/>
                <w:bCs/>
                <w:color w:val="000000"/>
                <w:sz w:val="20"/>
                <w:szCs w:val="20"/>
                <w:lang w:eastAsia="en-AU"/>
              </w:rPr>
              <w:t>Proportion of total forest ecosystem area (%)</w:t>
            </w:r>
          </w:p>
        </w:tc>
        <w:tc>
          <w:tcPr>
            <w:tcW w:w="1422" w:type="dxa"/>
            <w:shd w:val="clear" w:color="auto" w:fill="DFEFE1" w:themeFill="accent3" w:themeFillTint="66"/>
            <w:vAlign w:val="bottom"/>
          </w:tcPr>
          <w:p w14:paraId="26ABCBAF" w14:textId="77777777" w:rsidR="00A12F9B" w:rsidRPr="00CE60B2" w:rsidRDefault="00A12F9B" w:rsidP="00A12F9B">
            <w:pPr>
              <w:spacing w:before="0"/>
              <w:jc w:val="center"/>
              <w:rPr>
                <w:rFonts w:eastAsia="Times New Roman" w:cs="Segoe UI"/>
                <w:b/>
                <w:bCs/>
                <w:color w:val="000000"/>
                <w:sz w:val="20"/>
                <w:szCs w:val="20"/>
                <w:lang w:eastAsia="en-AU"/>
              </w:rPr>
            </w:pPr>
            <w:r w:rsidRPr="00CE60B2">
              <w:rPr>
                <w:rFonts w:eastAsia="Times New Roman" w:cs="Segoe UI"/>
                <w:b/>
                <w:bCs/>
                <w:color w:val="000000"/>
                <w:sz w:val="20"/>
                <w:szCs w:val="20"/>
                <w:lang w:eastAsia="en-AU"/>
              </w:rPr>
              <w:t>Area (‘000 hectares)</w:t>
            </w:r>
          </w:p>
        </w:tc>
        <w:tc>
          <w:tcPr>
            <w:tcW w:w="1701" w:type="dxa"/>
            <w:shd w:val="clear" w:color="auto" w:fill="DFEFE1" w:themeFill="accent3" w:themeFillTint="66"/>
            <w:vAlign w:val="bottom"/>
          </w:tcPr>
          <w:p w14:paraId="26ABCBB0" w14:textId="77777777" w:rsidR="00A12F9B" w:rsidRPr="00CE60B2" w:rsidRDefault="00A12F9B" w:rsidP="00A12F9B">
            <w:pPr>
              <w:spacing w:before="0"/>
              <w:jc w:val="center"/>
              <w:rPr>
                <w:rFonts w:eastAsia="Times New Roman" w:cs="Segoe UI"/>
                <w:b/>
                <w:bCs/>
                <w:color w:val="000000"/>
                <w:sz w:val="20"/>
                <w:szCs w:val="20"/>
                <w:lang w:eastAsia="en-AU"/>
              </w:rPr>
            </w:pPr>
            <w:r w:rsidRPr="00CE60B2">
              <w:rPr>
                <w:rFonts w:eastAsia="Times New Roman" w:cs="Segoe UI"/>
                <w:b/>
                <w:bCs/>
                <w:color w:val="000000"/>
                <w:sz w:val="20"/>
                <w:szCs w:val="20"/>
                <w:lang w:eastAsia="en-AU"/>
              </w:rPr>
              <w:t>Proportion of total forest ecosystem area (%)</w:t>
            </w:r>
          </w:p>
        </w:tc>
      </w:tr>
      <w:tr w:rsidR="00A12F9B" w:rsidRPr="00CE60B2" w14:paraId="26ABCBB7" w14:textId="77777777" w:rsidTr="00A12F9B">
        <w:trPr>
          <w:trHeight w:val="255"/>
        </w:trPr>
        <w:tc>
          <w:tcPr>
            <w:tcW w:w="1838" w:type="dxa"/>
            <w:shd w:val="clear" w:color="auto" w:fill="auto"/>
            <w:noWrap/>
            <w:vAlign w:val="bottom"/>
            <w:hideMark/>
          </w:tcPr>
          <w:p w14:paraId="26ABCBB2" w14:textId="77777777" w:rsidR="00A12F9B" w:rsidRPr="00CE60B2" w:rsidRDefault="00A12F9B" w:rsidP="00A12F9B">
            <w:pPr>
              <w:spacing w:before="0"/>
              <w:rPr>
                <w:rFonts w:eastAsia="Times New Roman" w:cs="Segoe UI"/>
                <w:color w:val="000000"/>
                <w:sz w:val="20"/>
                <w:szCs w:val="20"/>
                <w:lang w:eastAsia="en-AU"/>
              </w:rPr>
            </w:pPr>
            <w:r w:rsidRPr="00CE60B2">
              <w:rPr>
                <w:rFonts w:eastAsia="Times New Roman" w:cs="Segoe UI"/>
                <w:color w:val="000000"/>
                <w:sz w:val="20"/>
                <w:szCs w:val="20"/>
                <w:lang w:eastAsia="en-AU"/>
              </w:rPr>
              <w:t>Public</w:t>
            </w:r>
          </w:p>
        </w:tc>
        <w:tc>
          <w:tcPr>
            <w:tcW w:w="1418" w:type="dxa"/>
            <w:shd w:val="clear" w:color="auto" w:fill="auto"/>
            <w:noWrap/>
            <w:vAlign w:val="bottom"/>
          </w:tcPr>
          <w:p w14:paraId="26ABCBB3" w14:textId="77777777" w:rsidR="00A12F9B" w:rsidRPr="00CE60B2" w:rsidRDefault="00A12F9B" w:rsidP="00A12F9B">
            <w:pPr>
              <w:spacing w:before="0"/>
              <w:jc w:val="right"/>
              <w:rPr>
                <w:rFonts w:eastAsia="Times New Roman" w:cs="Segoe UI"/>
                <w:color w:val="000000"/>
                <w:sz w:val="20"/>
                <w:szCs w:val="20"/>
                <w:lang w:eastAsia="en-AU"/>
              </w:rPr>
            </w:pPr>
            <w:r w:rsidRPr="00CE60B2">
              <w:rPr>
                <w:rFonts w:eastAsia="Times New Roman" w:cs="Segoe UI"/>
                <w:color w:val="000000"/>
                <w:sz w:val="20"/>
                <w:szCs w:val="20"/>
                <w:lang w:eastAsia="en-AU"/>
              </w:rPr>
              <w:t>1,940</w:t>
            </w:r>
          </w:p>
        </w:tc>
        <w:tc>
          <w:tcPr>
            <w:tcW w:w="1701" w:type="dxa"/>
            <w:shd w:val="clear" w:color="auto" w:fill="auto"/>
            <w:noWrap/>
            <w:vAlign w:val="bottom"/>
          </w:tcPr>
          <w:p w14:paraId="26ABCBB4" w14:textId="77777777" w:rsidR="00A12F9B" w:rsidRPr="00CE60B2" w:rsidRDefault="00A12F9B" w:rsidP="00A12F9B">
            <w:pPr>
              <w:spacing w:before="0"/>
              <w:jc w:val="right"/>
              <w:rPr>
                <w:rFonts w:eastAsia="Times New Roman" w:cs="Segoe UI"/>
                <w:color w:val="000000"/>
                <w:sz w:val="20"/>
                <w:szCs w:val="20"/>
                <w:lang w:eastAsia="en-AU"/>
              </w:rPr>
            </w:pPr>
            <w:r w:rsidRPr="00CE60B2">
              <w:rPr>
                <w:rFonts w:eastAsia="Times New Roman" w:cs="Segoe UI"/>
                <w:color w:val="000000"/>
                <w:sz w:val="20"/>
                <w:szCs w:val="20"/>
                <w:lang w:eastAsia="en-AU"/>
              </w:rPr>
              <w:t>87</w:t>
            </w:r>
          </w:p>
        </w:tc>
        <w:tc>
          <w:tcPr>
            <w:tcW w:w="1422" w:type="dxa"/>
            <w:vAlign w:val="bottom"/>
          </w:tcPr>
          <w:p w14:paraId="26ABCBB5" w14:textId="77777777" w:rsidR="00A12F9B" w:rsidRPr="00CE60B2" w:rsidRDefault="00A12F9B" w:rsidP="00A12F9B">
            <w:pPr>
              <w:spacing w:before="0"/>
              <w:jc w:val="right"/>
              <w:rPr>
                <w:rFonts w:eastAsia="Times New Roman" w:cs="Segoe UI"/>
                <w:color w:val="000000"/>
                <w:sz w:val="20"/>
                <w:szCs w:val="20"/>
                <w:lang w:eastAsia="en-AU"/>
              </w:rPr>
            </w:pPr>
            <w:r w:rsidRPr="00CE60B2">
              <w:rPr>
                <w:rFonts w:eastAsia="Times New Roman" w:cs="Segoe UI"/>
                <w:color w:val="000000"/>
                <w:sz w:val="20"/>
                <w:szCs w:val="20"/>
                <w:lang w:eastAsia="en-AU"/>
              </w:rPr>
              <w:t>1,980</w:t>
            </w:r>
          </w:p>
        </w:tc>
        <w:tc>
          <w:tcPr>
            <w:tcW w:w="1701" w:type="dxa"/>
            <w:vAlign w:val="bottom"/>
          </w:tcPr>
          <w:p w14:paraId="26ABCBB6" w14:textId="77777777" w:rsidR="00A12F9B" w:rsidRPr="00CE60B2" w:rsidRDefault="00A12F9B" w:rsidP="00A12F9B">
            <w:pPr>
              <w:spacing w:before="0"/>
              <w:jc w:val="right"/>
              <w:rPr>
                <w:rFonts w:eastAsia="Times New Roman" w:cs="Segoe UI"/>
                <w:color w:val="000000"/>
                <w:sz w:val="20"/>
                <w:szCs w:val="20"/>
                <w:lang w:eastAsia="en-AU"/>
              </w:rPr>
            </w:pPr>
            <w:r w:rsidRPr="00CE60B2">
              <w:rPr>
                <w:rFonts w:eastAsia="Times New Roman" w:cs="Segoe UI"/>
                <w:color w:val="000000"/>
                <w:sz w:val="20"/>
                <w:szCs w:val="20"/>
                <w:lang w:eastAsia="en-AU"/>
              </w:rPr>
              <w:t>94</w:t>
            </w:r>
          </w:p>
        </w:tc>
      </w:tr>
      <w:tr w:rsidR="00A12F9B" w:rsidRPr="00CE60B2" w14:paraId="26ABCBBD" w14:textId="77777777" w:rsidTr="00A12F9B">
        <w:trPr>
          <w:trHeight w:val="255"/>
        </w:trPr>
        <w:tc>
          <w:tcPr>
            <w:tcW w:w="1838" w:type="dxa"/>
            <w:shd w:val="clear" w:color="auto" w:fill="auto"/>
            <w:noWrap/>
            <w:vAlign w:val="bottom"/>
            <w:hideMark/>
          </w:tcPr>
          <w:p w14:paraId="26ABCBB8" w14:textId="77777777" w:rsidR="00A12F9B" w:rsidRPr="00CE60B2" w:rsidRDefault="00A12F9B" w:rsidP="00A12F9B">
            <w:pPr>
              <w:spacing w:before="0"/>
              <w:rPr>
                <w:rFonts w:eastAsia="Times New Roman" w:cs="Segoe UI"/>
                <w:color w:val="000000"/>
                <w:sz w:val="20"/>
                <w:szCs w:val="20"/>
                <w:lang w:eastAsia="en-AU"/>
              </w:rPr>
            </w:pPr>
            <w:r w:rsidRPr="00CE60B2">
              <w:rPr>
                <w:rFonts w:eastAsia="Times New Roman" w:cs="Segoe UI"/>
                <w:color w:val="000000"/>
                <w:sz w:val="20"/>
                <w:szCs w:val="20"/>
                <w:lang w:eastAsia="en-AU"/>
              </w:rPr>
              <w:t>Private and leasehold</w:t>
            </w:r>
          </w:p>
        </w:tc>
        <w:tc>
          <w:tcPr>
            <w:tcW w:w="1418" w:type="dxa"/>
            <w:shd w:val="clear" w:color="auto" w:fill="auto"/>
            <w:noWrap/>
            <w:vAlign w:val="bottom"/>
          </w:tcPr>
          <w:p w14:paraId="26ABCBB9" w14:textId="77777777" w:rsidR="00A12F9B" w:rsidRPr="00CE60B2" w:rsidRDefault="00A12F9B" w:rsidP="00A12F9B">
            <w:pPr>
              <w:spacing w:before="0"/>
              <w:jc w:val="right"/>
              <w:rPr>
                <w:rFonts w:eastAsia="Times New Roman" w:cs="Segoe UI"/>
                <w:color w:val="000000"/>
                <w:sz w:val="20"/>
                <w:szCs w:val="20"/>
                <w:lang w:eastAsia="en-AU"/>
              </w:rPr>
            </w:pPr>
            <w:r w:rsidRPr="00CE60B2">
              <w:rPr>
                <w:rFonts w:eastAsia="Times New Roman" w:cs="Segoe UI"/>
                <w:color w:val="000000"/>
                <w:sz w:val="20"/>
                <w:szCs w:val="20"/>
                <w:lang w:eastAsia="en-AU"/>
              </w:rPr>
              <w:t>295</w:t>
            </w:r>
          </w:p>
        </w:tc>
        <w:tc>
          <w:tcPr>
            <w:tcW w:w="1701" w:type="dxa"/>
            <w:shd w:val="clear" w:color="auto" w:fill="auto"/>
            <w:noWrap/>
            <w:vAlign w:val="bottom"/>
          </w:tcPr>
          <w:p w14:paraId="26ABCBBA" w14:textId="77777777" w:rsidR="00A12F9B" w:rsidRPr="00CE60B2" w:rsidRDefault="00A12F9B" w:rsidP="00A12F9B">
            <w:pPr>
              <w:spacing w:before="0"/>
              <w:jc w:val="right"/>
              <w:rPr>
                <w:rFonts w:eastAsia="Times New Roman" w:cs="Segoe UI"/>
                <w:color w:val="000000"/>
                <w:sz w:val="20"/>
                <w:szCs w:val="20"/>
                <w:lang w:eastAsia="en-AU"/>
              </w:rPr>
            </w:pPr>
            <w:r w:rsidRPr="00CE60B2">
              <w:rPr>
                <w:rFonts w:eastAsia="Times New Roman" w:cs="Segoe UI"/>
                <w:color w:val="000000"/>
                <w:sz w:val="20"/>
                <w:szCs w:val="20"/>
                <w:lang w:eastAsia="en-AU"/>
              </w:rPr>
              <w:t>13</w:t>
            </w:r>
          </w:p>
        </w:tc>
        <w:tc>
          <w:tcPr>
            <w:tcW w:w="1422" w:type="dxa"/>
            <w:vAlign w:val="bottom"/>
          </w:tcPr>
          <w:p w14:paraId="26ABCBBB" w14:textId="77777777" w:rsidR="00A12F9B" w:rsidRPr="00CE60B2" w:rsidRDefault="00A12F9B" w:rsidP="00A12F9B">
            <w:pPr>
              <w:spacing w:before="0"/>
              <w:jc w:val="right"/>
              <w:rPr>
                <w:rFonts w:eastAsia="Times New Roman" w:cs="Segoe UI"/>
                <w:color w:val="000000"/>
                <w:sz w:val="20"/>
                <w:szCs w:val="20"/>
                <w:lang w:eastAsia="en-AU"/>
              </w:rPr>
            </w:pPr>
            <w:r w:rsidRPr="00CE60B2">
              <w:rPr>
                <w:rFonts w:eastAsia="Times New Roman" w:cs="Segoe UI"/>
                <w:color w:val="000000"/>
                <w:sz w:val="20"/>
                <w:szCs w:val="20"/>
                <w:lang w:eastAsia="en-AU"/>
              </w:rPr>
              <w:t>137</w:t>
            </w:r>
            <w:r w:rsidR="00EE5EC2" w:rsidRPr="00EE5EC2">
              <w:rPr>
                <w:rFonts w:eastAsia="Times New Roman" w:cs="Segoe UI"/>
                <w:color w:val="000000"/>
                <w:sz w:val="20"/>
                <w:szCs w:val="20"/>
                <w:vertAlign w:val="superscript"/>
                <w:lang w:eastAsia="en-AU"/>
              </w:rPr>
              <w:t>a</w:t>
            </w:r>
          </w:p>
        </w:tc>
        <w:tc>
          <w:tcPr>
            <w:tcW w:w="1701" w:type="dxa"/>
            <w:vAlign w:val="bottom"/>
          </w:tcPr>
          <w:p w14:paraId="26ABCBBC" w14:textId="77777777" w:rsidR="00A12F9B" w:rsidRPr="00CE60B2" w:rsidRDefault="00A12F9B" w:rsidP="00A12F9B">
            <w:pPr>
              <w:spacing w:before="0"/>
              <w:jc w:val="right"/>
              <w:rPr>
                <w:rFonts w:eastAsia="Times New Roman" w:cs="Segoe UI"/>
                <w:color w:val="000000"/>
                <w:sz w:val="20"/>
                <w:szCs w:val="20"/>
                <w:lang w:eastAsia="en-AU"/>
              </w:rPr>
            </w:pPr>
            <w:r w:rsidRPr="00CE60B2">
              <w:rPr>
                <w:rFonts w:eastAsia="Times New Roman" w:cs="Segoe UI"/>
                <w:color w:val="000000"/>
                <w:sz w:val="20"/>
                <w:szCs w:val="20"/>
                <w:lang w:eastAsia="en-AU"/>
              </w:rPr>
              <w:t>6</w:t>
            </w:r>
          </w:p>
        </w:tc>
      </w:tr>
      <w:tr w:rsidR="00A12F9B" w:rsidRPr="00CE60B2" w14:paraId="26ABCBC3" w14:textId="77777777" w:rsidTr="00A12F9B">
        <w:trPr>
          <w:trHeight w:val="255"/>
        </w:trPr>
        <w:tc>
          <w:tcPr>
            <w:tcW w:w="1838" w:type="dxa"/>
            <w:shd w:val="clear" w:color="auto" w:fill="auto"/>
            <w:noWrap/>
            <w:vAlign w:val="bottom"/>
            <w:hideMark/>
          </w:tcPr>
          <w:p w14:paraId="26ABCBBE" w14:textId="77777777" w:rsidR="00A12F9B" w:rsidRPr="00CE60B2" w:rsidRDefault="00A12F9B" w:rsidP="00A12F9B">
            <w:pPr>
              <w:spacing w:before="0"/>
              <w:rPr>
                <w:rFonts w:eastAsia="Times New Roman" w:cs="Segoe UI"/>
                <w:color w:val="000000"/>
                <w:sz w:val="20"/>
                <w:szCs w:val="20"/>
                <w:lang w:eastAsia="en-AU"/>
              </w:rPr>
            </w:pPr>
            <w:r w:rsidRPr="00CE60B2">
              <w:rPr>
                <w:rFonts w:eastAsia="Times New Roman" w:cs="Segoe UI"/>
                <w:color w:val="000000"/>
                <w:sz w:val="20"/>
                <w:szCs w:val="20"/>
                <w:lang w:eastAsia="en-AU"/>
              </w:rPr>
              <w:t>Total</w:t>
            </w:r>
          </w:p>
        </w:tc>
        <w:tc>
          <w:tcPr>
            <w:tcW w:w="1418" w:type="dxa"/>
            <w:shd w:val="clear" w:color="auto" w:fill="auto"/>
            <w:noWrap/>
            <w:vAlign w:val="bottom"/>
          </w:tcPr>
          <w:p w14:paraId="26ABCBBF" w14:textId="77777777" w:rsidR="00A12F9B" w:rsidRPr="00CE60B2" w:rsidRDefault="00A12F9B" w:rsidP="00A12F9B">
            <w:pPr>
              <w:spacing w:before="0"/>
              <w:jc w:val="right"/>
              <w:rPr>
                <w:rFonts w:eastAsia="Times New Roman" w:cs="Segoe UI"/>
                <w:color w:val="000000"/>
                <w:sz w:val="20"/>
                <w:szCs w:val="20"/>
                <w:lang w:eastAsia="en-AU"/>
              </w:rPr>
            </w:pPr>
            <w:r w:rsidRPr="00CE60B2">
              <w:rPr>
                <w:rFonts w:eastAsia="Times New Roman" w:cs="Segoe UI"/>
                <w:color w:val="000000"/>
                <w:sz w:val="20"/>
                <w:szCs w:val="20"/>
                <w:lang w:eastAsia="en-AU"/>
              </w:rPr>
              <w:t>2,235</w:t>
            </w:r>
          </w:p>
        </w:tc>
        <w:tc>
          <w:tcPr>
            <w:tcW w:w="1701" w:type="dxa"/>
            <w:shd w:val="clear" w:color="auto" w:fill="auto"/>
            <w:noWrap/>
            <w:vAlign w:val="bottom"/>
          </w:tcPr>
          <w:p w14:paraId="26ABCBC0" w14:textId="77777777" w:rsidR="00A12F9B" w:rsidRPr="00CE60B2" w:rsidRDefault="00A12F9B" w:rsidP="00A12F9B">
            <w:pPr>
              <w:spacing w:before="0"/>
              <w:jc w:val="right"/>
              <w:rPr>
                <w:rFonts w:eastAsia="Times New Roman" w:cs="Segoe UI"/>
                <w:bCs/>
                <w:color w:val="000000"/>
                <w:sz w:val="20"/>
                <w:szCs w:val="20"/>
                <w:lang w:eastAsia="en-AU"/>
              </w:rPr>
            </w:pPr>
          </w:p>
        </w:tc>
        <w:tc>
          <w:tcPr>
            <w:tcW w:w="1422" w:type="dxa"/>
            <w:vAlign w:val="bottom"/>
          </w:tcPr>
          <w:p w14:paraId="26ABCBC1" w14:textId="77777777" w:rsidR="00A12F9B" w:rsidRPr="00CE60B2" w:rsidRDefault="00A12F9B" w:rsidP="00A12F9B">
            <w:pPr>
              <w:spacing w:before="0"/>
              <w:jc w:val="right"/>
              <w:rPr>
                <w:rFonts w:eastAsia="Times New Roman" w:cs="Segoe UI"/>
                <w:bCs/>
                <w:color w:val="000000"/>
                <w:sz w:val="20"/>
                <w:szCs w:val="20"/>
                <w:lang w:eastAsia="en-AU"/>
              </w:rPr>
            </w:pPr>
            <w:r w:rsidRPr="00CE60B2">
              <w:rPr>
                <w:rFonts w:eastAsia="Times New Roman" w:cs="Segoe UI"/>
                <w:bCs/>
                <w:color w:val="000000"/>
                <w:sz w:val="20"/>
                <w:szCs w:val="20"/>
                <w:lang w:eastAsia="en-AU"/>
              </w:rPr>
              <w:t>2,117</w:t>
            </w:r>
          </w:p>
        </w:tc>
        <w:tc>
          <w:tcPr>
            <w:tcW w:w="1701" w:type="dxa"/>
            <w:vAlign w:val="bottom"/>
          </w:tcPr>
          <w:p w14:paraId="26ABCBC2" w14:textId="77777777" w:rsidR="00A12F9B" w:rsidRPr="00CE60B2" w:rsidRDefault="00A12F9B" w:rsidP="00A12F9B">
            <w:pPr>
              <w:spacing w:before="0"/>
              <w:jc w:val="right"/>
              <w:rPr>
                <w:rFonts w:eastAsia="Times New Roman" w:cs="Segoe UI"/>
                <w:bCs/>
                <w:color w:val="000000"/>
                <w:sz w:val="20"/>
                <w:szCs w:val="20"/>
                <w:lang w:eastAsia="en-AU"/>
              </w:rPr>
            </w:pPr>
          </w:p>
        </w:tc>
      </w:tr>
    </w:tbl>
    <w:p w14:paraId="26ABCBC4" w14:textId="77777777" w:rsidR="00A12F9B" w:rsidRDefault="00A12F9B" w:rsidP="00A12F9B">
      <w:pPr>
        <w:spacing w:before="0"/>
        <w:rPr>
          <w:rFonts w:eastAsia="Times New Roman" w:cs="Segoe UI"/>
          <w:color w:val="000000"/>
          <w:sz w:val="16"/>
          <w:szCs w:val="16"/>
          <w:lang w:eastAsia="en-AU"/>
        </w:rPr>
      </w:pPr>
      <w:r w:rsidRPr="00CE60B2">
        <w:rPr>
          <w:rFonts w:eastAsia="Times New Roman" w:cs="Segoe UI"/>
          <w:color w:val="000000"/>
          <w:sz w:val="16"/>
          <w:szCs w:val="16"/>
          <w:lang w:eastAsia="en-AU"/>
        </w:rPr>
        <w:t>Note: Area derived from spatial data associated with the RFA data tables published in 1999-2001 and updated data at June 2018. Based on the best available data at signing of RFA.</w:t>
      </w:r>
    </w:p>
    <w:p w14:paraId="26ABCBC5" w14:textId="33398F5E" w:rsidR="00EE5EC2" w:rsidRPr="00CE60B2" w:rsidRDefault="00EE5EC2" w:rsidP="00A12F9B">
      <w:pPr>
        <w:spacing w:before="0"/>
        <w:rPr>
          <w:rFonts w:eastAsia="Times New Roman" w:cs="Segoe UI"/>
          <w:color w:val="000000"/>
          <w:sz w:val="16"/>
          <w:szCs w:val="16"/>
          <w:lang w:eastAsia="en-AU"/>
        </w:rPr>
      </w:pPr>
      <w:r w:rsidRPr="00EE5EC2">
        <w:rPr>
          <w:rFonts w:eastAsia="Times New Roman" w:cs="Segoe UI"/>
          <w:color w:val="000000"/>
          <w:sz w:val="16"/>
          <w:szCs w:val="16"/>
          <w:vertAlign w:val="superscript"/>
          <w:lang w:eastAsia="en-AU"/>
        </w:rPr>
        <w:t>a</w:t>
      </w:r>
      <w:r>
        <w:rPr>
          <w:rFonts w:eastAsia="Times New Roman" w:cs="Segoe UI"/>
          <w:color w:val="000000"/>
          <w:sz w:val="16"/>
          <w:szCs w:val="16"/>
          <w:lang w:eastAsia="en-AU"/>
        </w:rPr>
        <w:t xml:space="preserve">The </w:t>
      </w:r>
      <w:r w:rsidR="00E90DC3">
        <w:rPr>
          <w:rFonts w:eastAsia="Times New Roman" w:cs="Segoe UI"/>
          <w:color w:val="000000"/>
          <w:sz w:val="16"/>
          <w:szCs w:val="16"/>
          <w:lang w:eastAsia="en-AU"/>
        </w:rPr>
        <w:t xml:space="preserve">decrease </w:t>
      </w:r>
      <w:r>
        <w:rPr>
          <w:rFonts w:eastAsia="Times New Roman" w:cs="Segoe UI"/>
          <w:color w:val="000000"/>
          <w:sz w:val="16"/>
          <w:szCs w:val="16"/>
          <w:lang w:eastAsia="en-AU"/>
        </w:rPr>
        <w:t>of forest ecosystems on Private and leasehold land is not from a reduction in remnant vegetation. Th</w:t>
      </w:r>
      <w:r w:rsidR="00E90DC3">
        <w:rPr>
          <w:rFonts w:eastAsia="Times New Roman" w:cs="Segoe UI"/>
          <w:color w:val="000000"/>
          <w:sz w:val="16"/>
          <w:szCs w:val="16"/>
          <w:lang w:eastAsia="en-AU"/>
        </w:rPr>
        <w:t xml:space="preserve">e </w:t>
      </w:r>
      <w:r w:rsidR="00E126DA">
        <w:rPr>
          <w:rFonts w:eastAsia="Times New Roman" w:cs="Segoe UI"/>
          <w:color w:val="000000"/>
          <w:sz w:val="16"/>
          <w:szCs w:val="16"/>
          <w:lang w:eastAsia="en-AU"/>
        </w:rPr>
        <w:t xml:space="preserve">reported </w:t>
      </w:r>
      <w:r w:rsidR="00E90DC3">
        <w:rPr>
          <w:rFonts w:eastAsia="Times New Roman" w:cs="Segoe UI"/>
          <w:color w:val="000000"/>
          <w:sz w:val="16"/>
          <w:szCs w:val="16"/>
          <w:lang w:eastAsia="en-AU"/>
        </w:rPr>
        <w:t>decrease</w:t>
      </w:r>
      <w:r>
        <w:rPr>
          <w:rFonts w:eastAsia="Times New Roman" w:cs="Segoe UI"/>
          <w:color w:val="000000"/>
          <w:sz w:val="16"/>
          <w:szCs w:val="16"/>
          <w:lang w:eastAsia="en-AU"/>
        </w:rPr>
        <w:t xml:space="preserve"> </w:t>
      </w:r>
      <w:r w:rsidR="008E1D1B">
        <w:rPr>
          <w:rFonts w:eastAsia="Times New Roman" w:cs="Segoe UI"/>
          <w:color w:val="000000"/>
          <w:sz w:val="16"/>
          <w:szCs w:val="16"/>
          <w:lang w:eastAsia="en-AU"/>
        </w:rPr>
        <w:t>is largely due to a difference in the basis of</w:t>
      </w:r>
      <w:r>
        <w:rPr>
          <w:rFonts w:eastAsia="Times New Roman" w:cs="Segoe UI"/>
          <w:color w:val="000000"/>
          <w:sz w:val="16"/>
          <w:szCs w:val="16"/>
          <w:lang w:eastAsia="en-AU"/>
        </w:rPr>
        <w:t xml:space="preserve"> forest ecosystem mapping on private prop</w:t>
      </w:r>
      <w:r w:rsidR="00FE30D1">
        <w:rPr>
          <w:rFonts w:eastAsia="Times New Roman" w:cs="Segoe UI"/>
          <w:color w:val="000000"/>
          <w:sz w:val="16"/>
          <w:szCs w:val="16"/>
          <w:lang w:eastAsia="en-AU"/>
        </w:rPr>
        <w:t>e</w:t>
      </w:r>
      <w:r>
        <w:rPr>
          <w:rFonts w:eastAsia="Times New Roman" w:cs="Segoe UI"/>
          <w:color w:val="000000"/>
          <w:sz w:val="16"/>
          <w:szCs w:val="16"/>
          <w:lang w:eastAsia="en-AU"/>
        </w:rPr>
        <w:t xml:space="preserve">rty </w:t>
      </w:r>
      <w:r w:rsidR="008E1D1B">
        <w:rPr>
          <w:rFonts w:eastAsia="Times New Roman" w:cs="Segoe UI"/>
          <w:color w:val="000000"/>
          <w:sz w:val="16"/>
          <w:szCs w:val="16"/>
          <w:lang w:eastAsia="en-AU"/>
        </w:rPr>
        <w:t>from that</w:t>
      </w:r>
      <w:r>
        <w:rPr>
          <w:rFonts w:eastAsia="Times New Roman" w:cs="Segoe UI"/>
          <w:color w:val="000000"/>
          <w:sz w:val="16"/>
          <w:szCs w:val="16"/>
          <w:lang w:eastAsia="en-AU"/>
        </w:rPr>
        <w:t xml:space="preserve"> </w:t>
      </w:r>
      <w:r w:rsidR="00E90DC3">
        <w:rPr>
          <w:rFonts w:eastAsia="Times New Roman" w:cs="Segoe UI"/>
          <w:color w:val="000000"/>
          <w:sz w:val="16"/>
          <w:szCs w:val="16"/>
          <w:lang w:eastAsia="en-AU"/>
        </w:rPr>
        <w:t>undertaken in 1998</w:t>
      </w:r>
      <w:r>
        <w:rPr>
          <w:rFonts w:eastAsia="Times New Roman" w:cs="Segoe UI"/>
          <w:color w:val="000000"/>
          <w:sz w:val="16"/>
          <w:szCs w:val="16"/>
          <w:lang w:eastAsia="en-AU"/>
        </w:rPr>
        <w:t>, as well</w:t>
      </w:r>
      <w:r w:rsidR="00E90DC3">
        <w:rPr>
          <w:rFonts w:eastAsia="Times New Roman" w:cs="Segoe UI"/>
          <w:color w:val="000000"/>
          <w:sz w:val="16"/>
          <w:szCs w:val="16"/>
          <w:lang w:eastAsia="en-AU"/>
        </w:rPr>
        <w:t xml:space="preserve"> as a change to the categorisation of ‘Other government freehold’ tenure from private (1999) to public (2018).</w:t>
      </w:r>
    </w:p>
    <w:p w14:paraId="26ABCBC6" w14:textId="77777777" w:rsidR="00A12F9B" w:rsidRPr="00CE60B2" w:rsidRDefault="00A12F9B" w:rsidP="00A12F9B">
      <w:pPr>
        <w:spacing w:before="0"/>
        <w:rPr>
          <w:rFonts w:eastAsia="Times New Roman" w:cs="Segoe UI"/>
          <w:color w:val="000000"/>
          <w:sz w:val="16"/>
          <w:szCs w:val="16"/>
          <w:lang w:eastAsia="en-AU"/>
        </w:rPr>
      </w:pPr>
      <w:r w:rsidRPr="00CE60B2">
        <w:rPr>
          <w:rFonts w:eastAsia="Times New Roman" w:cs="Segoe UI"/>
          <w:color w:val="000000"/>
          <w:sz w:val="16"/>
          <w:szCs w:val="16"/>
          <w:lang w:eastAsia="en-AU"/>
        </w:rPr>
        <w:t>Totals may not tally due to rounding</w:t>
      </w:r>
    </w:p>
    <w:p w14:paraId="26ABCBC7" w14:textId="77777777" w:rsidR="00A12F9B" w:rsidRPr="00CE60B2" w:rsidRDefault="00A12F9B" w:rsidP="00A12F9B">
      <w:pPr>
        <w:rPr>
          <w:rFonts w:cs="Segoe UI"/>
          <w:highlight w:val="cyan"/>
        </w:rPr>
      </w:pPr>
    </w:p>
    <w:p w14:paraId="26ABCBC8" w14:textId="77777777" w:rsidR="007E62B1" w:rsidRDefault="004B5EC7" w:rsidP="007E62B1">
      <w:pPr>
        <w:pStyle w:val="Heading5"/>
      </w:pPr>
      <w:r>
        <w:rPr>
          <w:noProof/>
          <w:lang w:eastAsia="en-AU"/>
        </w:rPr>
        <w:lastRenderedPageBreak/>
        <w:drawing>
          <wp:inline distT="0" distB="0" distL="0" distR="0" wp14:anchorId="26ABE25C" wp14:editId="26ABE25D">
            <wp:extent cx="5741053" cy="839738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2924" cy="8400116"/>
                    </a:xfrm>
                    <a:prstGeom prst="rect">
                      <a:avLst/>
                    </a:prstGeom>
                    <a:noFill/>
                    <a:ln>
                      <a:noFill/>
                    </a:ln>
                  </pic:spPr>
                </pic:pic>
              </a:graphicData>
            </a:graphic>
          </wp:inline>
        </w:drawing>
      </w:r>
    </w:p>
    <w:p w14:paraId="26ABCBC9" w14:textId="69F4FD5F" w:rsidR="007E62B1" w:rsidRDefault="007E62B1" w:rsidP="007E62B1">
      <w:pPr>
        <w:pStyle w:val="Caption"/>
      </w:pPr>
      <w:bookmarkStart w:id="63" w:name="_Toc2776007"/>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6</w:t>
      </w:r>
      <w:r w:rsidR="0002253A">
        <w:rPr>
          <w:noProof/>
        </w:rPr>
        <w:fldChar w:fldCharType="end"/>
      </w:r>
      <w:r>
        <w:t xml:space="preserve">: </w:t>
      </w:r>
      <w:r w:rsidRPr="009F0DF6">
        <w:t>WA RFA region and native vegetation on private land in 2018.</w:t>
      </w:r>
      <w:bookmarkEnd w:id="63"/>
      <w:r w:rsidRPr="009F0DF6">
        <w:t xml:space="preserve"> </w:t>
      </w:r>
    </w:p>
    <w:p w14:paraId="26ABCBCA" w14:textId="77777777" w:rsidR="00AF064B" w:rsidRPr="00CE60B2" w:rsidRDefault="00C121A6" w:rsidP="00D15AAD">
      <w:pPr>
        <w:pStyle w:val="Heading3"/>
        <w:rPr>
          <w:lang w:eastAsia="en-AU"/>
        </w:rPr>
      </w:pPr>
      <w:r w:rsidRPr="00CE60B2">
        <w:lastRenderedPageBreak/>
        <w:fldChar w:fldCharType="begin"/>
      </w:r>
      <w:r w:rsidRPr="00CE60B2">
        <w:fldChar w:fldCharType="end"/>
      </w:r>
      <w:bookmarkStart w:id="64" w:name="_Toc524952793"/>
      <w:bookmarkStart w:id="65" w:name="_Toc2776037"/>
      <w:r w:rsidR="00DB510B" w:rsidRPr="00CE60B2">
        <w:t xml:space="preserve">Indicator </w:t>
      </w:r>
      <w:r w:rsidR="00AF064B" w:rsidRPr="00CE60B2">
        <w:rPr>
          <w:lang w:eastAsia="en-AU"/>
        </w:rPr>
        <w:t>1.1c</w:t>
      </w:r>
      <w:r w:rsidR="00AF064B" w:rsidRPr="00CE60B2">
        <w:rPr>
          <w:lang w:eastAsia="en-AU"/>
        </w:rPr>
        <w:tab/>
        <w:t>Area of forest in protected area categories</w:t>
      </w:r>
      <w:bookmarkEnd w:id="64"/>
      <w:bookmarkEnd w:id="65"/>
    </w:p>
    <w:p w14:paraId="26ABCBCB" w14:textId="77777777" w:rsidR="008F42BC" w:rsidRPr="00CE60B2" w:rsidRDefault="008F42BC" w:rsidP="008A4979">
      <w:pPr>
        <w:pStyle w:val="Heading4"/>
        <w:rPr>
          <w:rFonts w:cs="Segoe UI"/>
          <w:lang w:eastAsia="ja-JP"/>
        </w:rPr>
      </w:pPr>
      <w:r w:rsidRPr="00CE60B2">
        <w:rPr>
          <w:rFonts w:cs="Segoe UI"/>
          <w:lang w:eastAsia="ja-JP"/>
        </w:rPr>
        <w:t>Extent of protected areas</w:t>
      </w:r>
      <w:r w:rsidR="00A3440F" w:rsidRPr="00CE60B2">
        <w:rPr>
          <w:rFonts w:cs="Segoe UI"/>
          <w:lang w:eastAsia="ja-JP"/>
        </w:rPr>
        <w:t xml:space="preserve"> in RFA regions</w:t>
      </w:r>
    </w:p>
    <w:p w14:paraId="26ABCBCC" w14:textId="77777777" w:rsidR="00A12F9B" w:rsidRPr="00CE60B2" w:rsidRDefault="00A12F9B" w:rsidP="00A12F9B">
      <w:pPr>
        <w:autoSpaceDE w:val="0"/>
        <w:autoSpaceDN w:val="0"/>
        <w:adjustRightInd w:val="0"/>
        <w:spacing w:before="0" w:after="0"/>
        <w:rPr>
          <w:rFonts w:cs="Segoe UI"/>
          <w:szCs w:val="16"/>
        </w:rPr>
      </w:pPr>
      <w:bookmarkStart w:id="66" w:name="_Ref514667108"/>
      <w:r w:rsidRPr="00CE60B2">
        <w:rPr>
          <w:rFonts w:cs="Segoe UI"/>
          <w:szCs w:val="16"/>
        </w:rPr>
        <w:t xml:space="preserve">The area and proportion of forest ecosystems reserved through formal and informal processes is a measure of the emphasis placed by society on the preservation of representative ecosystems as a strategy to conserve biodiversity. </w:t>
      </w:r>
    </w:p>
    <w:p w14:paraId="26ABCBCD" w14:textId="77777777" w:rsidR="00A12F9B" w:rsidRPr="00CE60B2" w:rsidRDefault="00A12F9B" w:rsidP="00A12F9B">
      <w:pPr>
        <w:rPr>
          <w:rFonts w:cs="Segoe UI"/>
          <w:szCs w:val="16"/>
        </w:rPr>
      </w:pPr>
      <w:r w:rsidRPr="00CE60B2">
        <w:rPr>
          <w:rFonts w:cs="Segoe UI"/>
          <w:szCs w:val="16"/>
        </w:rPr>
        <w:t>The CRA process reported a total of 4.25</w:t>
      </w:r>
      <w:r w:rsidR="00C61883">
        <w:rPr>
          <w:rFonts w:cs="Segoe UI"/>
          <w:szCs w:val="16"/>
        </w:rPr>
        <w:t> million </w:t>
      </w:r>
      <w:r w:rsidRPr="00CE60B2">
        <w:rPr>
          <w:rFonts w:cs="Segoe UI"/>
          <w:szCs w:val="16"/>
        </w:rPr>
        <w:t>hectares of land area within the boundaries of the WA</w:t>
      </w:r>
      <w:r w:rsidR="00C61883">
        <w:rPr>
          <w:rFonts w:cs="Segoe UI"/>
          <w:szCs w:val="16"/>
        </w:rPr>
        <w:t> </w:t>
      </w:r>
      <w:r w:rsidRPr="00CE60B2">
        <w:rPr>
          <w:rFonts w:cs="Segoe UI"/>
          <w:szCs w:val="16"/>
        </w:rPr>
        <w:t>RFA region.</w:t>
      </w:r>
      <w:r w:rsidR="00C61883">
        <w:rPr>
          <w:rFonts w:cs="Segoe UI"/>
          <w:szCs w:val="16"/>
        </w:rPr>
        <w:t xml:space="preserve"> This comprised 1.87 million </w:t>
      </w:r>
      <w:r w:rsidRPr="00CE60B2">
        <w:rPr>
          <w:rFonts w:cs="Segoe UI"/>
          <w:szCs w:val="16"/>
        </w:rPr>
        <w:t>hectares on private lands and 2.38</w:t>
      </w:r>
      <w:r w:rsidR="00557DA9">
        <w:rPr>
          <w:rFonts w:cs="Segoe UI"/>
          <w:szCs w:val="16"/>
        </w:rPr>
        <w:t> </w:t>
      </w:r>
      <w:r w:rsidRPr="00CE60B2">
        <w:rPr>
          <w:rFonts w:cs="Segoe UI"/>
          <w:szCs w:val="16"/>
        </w:rPr>
        <w:t>million</w:t>
      </w:r>
      <w:r w:rsidR="00557DA9">
        <w:rPr>
          <w:rFonts w:cs="Segoe UI"/>
          <w:szCs w:val="16"/>
        </w:rPr>
        <w:t> </w:t>
      </w:r>
      <w:r w:rsidRPr="00CE60B2">
        <w:rPr>
          <w:rFonts w:cs="Segoe UI"/>
          <w:szCs w:val="16"/>
        </w:rPr>
        <w:t>hectares on p</w:t>
      </w:r>
      <w:r w:rsidR="00C61883">
        <w:rPr>
          <w:rFonts w:cs="Segoe UI"/>
          <w:szCs w:val="16"/>
        </w:rPr>
        <w:t>ublic lands. A total of 746,000 hectares (31 per </w:t>
      </w:r>
      <w:r w:rsidRPr="00CE60B2">
        <w:rPr>
          <w:rFonts w:cs="Segoe UI"/>
          <w:szCs w:val="16"/>
        </w:rPr>
        <w:t>cent) of the public land was protected as formal reserves, while a further 315,000</w:t>
      </w:r>
      <w:r w:rsidR="00C61883">
        <w:rPr>
          <w:rFonts w:cs="Segoe UI"/>
          <w:szCs w:val="16"/>
        </w:rPr>
        <w:t> hectares (13 per </w:t>
      </w:r>
      <w:r w:rsidRPr="00CE60B2">
        <w:rPr>
          <w:rFonts w:cs="Segoe UI"/>
          <w:szCs w:val="16"/>
        </w:rPr>
        <w:t xml:space="preserve">cent of the </w:t>
      </w:r>
      <w:r w:rsidR="006C03A0" w:rsidRPr="00CE60B2">
        <w:rPr>
          <w:rFonts w:cs="Segoe UI"/>
          <w:szCs w:val="16"/>
        </w:rPr>
        <w:t>public</w:t>
      </w:r>
      <w:r w:rsidRPr="00CE60B2">
        <w:rPr>
          <w:rFonts w:cs="Segoe UI"/>
          <w:szCs w:val="16"/>
        </w:rPr>
        <w:t xml:space="preserve"> land) were included in informal reserves.</w:t>
      </w:r>
    </w:p>
    <w:p w14:paraId="26ABCBCE" w14:textId="12906155" w:rsidR="00A12F9B" w:rsidRPr="00CE60B2" w:rsidRDefault="00C5528D" w:rsidP="00A12F9B">
      <w:pPr>
        <w:tabs>
          <w:tab w:val="left" w:pos="6096"/>
        </w:tabs>
        <w:rPr>
          <w:rFonts w:cs="Segoe UI"/>
          <w:szCs w:val="16"/>
        </w:rPr>
      </w:pPr>
      <w:r>
        <w:rPr>
          <w:rFonts w:cs="Segoe UI"/>
          <w:szCs w:val="16"/>
        </w:rPr>
        <w:fldChar w:fldCharType="begin"/>
      </w:r>
      <w:r>
        <w:rPr>
          <w:rFonts w:cs="Segoe UI"/>
          <w:szCs w:val="16"/>
        </w:rPr>
        <w:instrText xml:space="preserve"> REF _Ref527451828 </w:instrText>
      </w:r>
      <w:r>
        <w:rPr>
          <w:rFonts w:cs="Segoe UI"/>
          <w:szCs w:val="16"/>
        </w:rPr>
        <w:fldChar w:fldCharType="separate"/>
      </w:r>
      <w:r w:rsidR="003C7091">
        <w:t xml:space="preserve">Table </w:t>
      </w:r>
      <w:r w:rsidR="003C7091">
        <w:rPr>
          <w:noProof/>
        </w:rPr>
        <w:t>9</w:t>
      </w:r>
      <w:r>
        <w:rPr>
          <w:rFonts w:cs="Segoe UI"/>
          <w:szCs w:val="16"/>
        </w:rPr>
        <w:fldChar w:fldCharType="end"/>
      </w:r>
      <w:r>
        <w:rPr>
          <w:rFonts w:cs="Segoe UI"/>
          <w:szCs w:val="16"/>
        </w:rPr>
        <w:t xml:space="preserve"> </w:t>
      </w:r>
      <w:r w:rsidR="00A12F9B" w:rsidRPr="00CE60B2">
        <w:rPr>
          <w:rFonts w:cs="Segoe UI"/>
          <w:szCs w:val="16"/>
        </w:rPr>
        <w:t>summarises the representation of each forest ecosystem in the CAR reserve system over time from 1999 to 2018.</w:t>
      </w:r>
    </w:p>
    <w:p w14:paraId="26ABCBCF" w14:textId="051D6393" w:rsidR="00A12F9B" w:rsidRPr="00CE60B2" w:rsidRDefault="00A12F9B" w:rsidP="00A12F9B">
      <w:pPr>
        <w:rPr>
          <w:rFonts w:cs="Segoe UI"/>
          <w:szCs w:val="16"/>
        </w:rPr>
      </w:pPr>
      <w:r w:rsidRPr="00CE60B2">
        <w:rPr>
          <w:rFonts w:cs="Segoe UI"/>
          <w:szCs w:val="16"/>
        </w:rPr>
        <w:t xml:space="preserve">At the commencement of the RFA in 1999 </w:t>
      </w:r>
      <w:r w:rsidR="00C61883">
        <w:rPr>
          <w:rFonts w:cs="Segoe UI"/>
          <w:szCs w:val="16"/>
        </w:rPr>
        <w:t>the CAR Reserve System totalled</w:t>
      </w:r>
      <w:r w:rsidR="00B03C54">
        <w:rPr>
          <w:rFonts w:cs="Segoe UI"/>
          <w:szCs w:val="16"/>
        </w:rPr>
        <w:t xml:space="preserve"> </w:t>
      </w:r>
      <w:r w:rsidRPr="00CE60B2">
        <w:rPr>
          <w:rFonts w:cs="Segoe UI"/>
          <w:szCs w:val="16"/>
        </w:rPr>
        <w:t>1.047million</w:t>
      </w:r>
      <w:r w:rsidR="00557DA9">
        <w:rPr>
          <w:rFonts w:cs="Segoe UI"/>
          <w:szCs w:val="16"/>
        </w:rPr>
        <w:t> </w:t>
      </w:r>
      <w:r w:rsidRPr="00CE60B2">
        <w:rPr>
          <w:rFonts w:cs="Segoe UI"/>
          <w:szCs w:val="16"/>
        </w:rPr>
        <w:t xml:space="preserve">hectares, </w:t>
      </w:r>
      <w:r w:rsidR="00D34D10">
        <w:rPr>
          <w:rFonts w:cs="Segoe UI"/>
          <w:szCs w:val="16"/>
        </w:rPr>
        <w:t>compris</w:t>
      </w:r>
      <w:r w:rsidR="00C61883">
        <w:rPr>
          <w:rFonts w:cs="Segoe UI"/>
          <w:szCs w:val="16"/>
        </w:rPr>
        <w:t>ing 25 per cent</w:t>
      </w:r>
      <w:r w:rsidRPr="00CE60B2">
        <w:rPr>
          <w:rFonts w:cs="Segoe UI"/>
          <w:szCs w:val="16"/>
        </w:rPr>
        <w:t xml:space="preserve"> of the total lan</w:t>
      </w:r>
      <w:r w:rsidR="00C61883">
        <w:rPr>
          <w:rFonts w:cs="Segoe UI"/>
          <w:szCs w:val="16"/>
        </w:rPr>
        <w:t>d within the RFA. By the end of </w:t>
      </w:r>
      <w:r w:rsidRPr="00CE60B2">
        <w:rPr>
          <w:rFonts w:cs="Segoe UI"/>
          <w:szCs w:val="16"/>
        </w:rPr>
        <w:t xml:space="preserve">2009 the CAR reserve system had expanded by 203,000 hectares to </w:t>
      </w:r>
      <w:r w:rsidRPr="00CE60B2">
        <w:rPr>
          <w:rFonts w:cs="Segoe UI"/>
          <w:lang w:eastAsia="ja-JP"/>
        </w:rPr>
        <w:t>1.25</w:t>
      </w:r>
      <w:r w:rsidRPr="00CE60B2" w:rsidDel="001B5A37">
        <w:rPr>
          <w:rFonts w:cs="Segoe UI"/>
          <w:szCs w:val="16"/>
        </w:rPr>
        <w:t xml:space="preserve"> </w:t>
      </w:r>
      <w:r w:rsidRPr="00CE60B2">
        <w:rPr>
          <w:rFonts w:cs="Segoe UI"/>
          <w:szCs w:val="16"/>
        </w:rPr>
        <w:t>million hectares (</w:t>
      </w:r>
      <w:r w:rsidRPr="00CE60B2">
        <w:rPr>
          <w:rFonts w:cs="Segoe UI"/>
          <w:lang w:eastAsia="ja-JP"/>
        </w:rPr>
        <w:t>30</w:t>
      </w:r>
      <w:r w:rsidR="00B03C54">
        <w:rPr>
          <w:rFonts w:cs="Segoe UI"/>
          <w:szCs w:val="16"/>
        </w:rPr>
        <w:t> </w:t>
      </w:r>
      <w:r w:rsidRPr="00CE60B2">
        <w:rPr>
          <w:rFonts w:cs="Segoe UI"/>
          <w:szCs w:val="16"/>
        </w:rPr>
        <w:t xml:space="preserve">per cent) of the total land in the RFA region. By mid-2018, a total of </w:t>
      </w:r>
      <w:r w:rsidRPr="00CE60B2">
        <w:rPr>
          <w:rFonts w:cs="Segoe UI"/>
          <w:lang w:eastAsia="ja-JP"/>
        </w:rPr>
        <w:t>1.29</w:t>
      </w:r>
      <w:r w:rsidR="00C61883">
        <w:rPr>
          <w:rFonts w:cs="Segoe UI"/>
          <w:szCs w:val="16"/>
        </w:rPr>
        <w:t> million </w:t>
      </w:r>
      <w:r w:rsidRPr="00CE60B2">
        <w:rPr>
          <w:rFonts w:cs="Segoe UI"/>
          <w:szCs w:val="16"/>
        </w:rPr>
        <w:t>hectares (</w:t>
      </w:r>
      <w:r w:rsidRPr="00CE60B2">
        <w:rPr>
          <w:rFonts w:cs="Segoe UI"/>
          <w:lang w:eastAsia="ja-JP"/>
        </w:rPr>
        <w:t>30</w:t>
      </w:r>
      <w:r w:rsidR="00B03C54">
        <w:rPr>
          <w:rFonts w:cs="Segoe UI"/>
          <w:szCs w:val="16"/>
        </w:rPr>
        <w:t> </w:t>
      </w:r>
      <w:r w:rsidRPr="00CE60B2">
        <w:rPr>
          <w:rFonts w:cs="Segoe UI"/>
          <w:szCs w:val="16"/>
        </w:rPr>
        <w:t xml:space="preserve">per cent) of the total land was protected under the CAR Reserve System. This constitutes an overall increase of </w:t>
      </w:r>
      <w:r w:rsidRPr="00CE60B2">
        <w:rPr>
          <w:rFonts w:cs="Segoe UI"/>
          <w:lang w:eastAsia="ja-JP"/>
        </w:rPr>
        <w:t>241,000</w:t>
      </w:r>
      <w:r w:rsidR="00C61883">
        <w:rPr>
          <w:rFonts w:cs="Segoe UI"/>
          <w:szCs w:val="16"/>
        </w:rPr>
        <w:t> </w:t>
      </w:r>
      <w:r w:rsidRPr="00CE60B2">
        <w:rPr>
          <w:rFonts w:cs="Segoe UI"/>
          <w:szCs w:val="16"/>
        </w:rPr>
        <w:t xml:space="preserve">hectares added to CAR Reserves during the period 1999-2018. </w:t>
      </w:r>
    </w:p>
    <w:p w14:paraId="26ABCBD0" w14:textId="0DEEA02E" w:rsidR="00A12F9B" w:rsidRDefault="00A12F9B" w:rsidP="00A12F9B">
      <w:pPr>
        <w:rPr>
          <w:rFonts w:cs="Segoe UI"/>
          <w:lang w:eastAsia="ja-JP"/>
        </w:rPr>
      </w:pPr>
      <w:r w:rsidRPr="00CE60B2">
        <w:rPr>
          <w:rFonts w:cs="Segoe UI"/>
          <w:lang w:eastAsia="ja-JP"/>
        </w:rPr>
        <w:t>Most of the CAR additions during the RFA period arose from government policy decisions, but there were also some additions arising from new i</w:t>
      </w:r>
      <w:r w:rsidR="00E00F9A">
        <w:rPr>
          <w:rFonts w:cs="Segoe UI"/>
          <w:lang w:eastAsia="ja-JP"/>
        </w:rPr>
        <w:t xml:space="preserve">nformation on the distribution </w:t>
      </w:r>
      <w:r w:rsidRPr="00CE60B2">
        <w:rPr>
          <w:rFonts w:cs="Segoe UI"/>
          <w:lang w:eastAsia="ja-JP"/>
        </w:rPr>
        <w:t>o</w:t>
      </w:r>
      <w:r w:rsidR="00E00F9A">
        <w:rPr>
          <w:rFonts w:cs="Segoe UI"/>
          <w:lang w:eastAsia="ja-JP"/>
        </w:rPr>
        <w:t>f</w:t>
      </w:r>
      <w:r w:rsidRPr="00CE60B2">
        <w:rPr>
          <w:rFonts w:cs="Segoe UI"/>
          <w:lang w:eastAsia="ja-JP"/>
        </w:rPr>
        <w:t xml:space="preserve"> biodiversity within the RFA regi</w:t>
      </w:r>
      <w:r w:rsidR="00E00F9A">
        <w:rPr>
          <w:rFonts w:cs="Segoe UI"/>
          <w:lang w:eastAsia="ja-JP"/>
        </w:rPr>
        <w:t xml:space="preserve">on. For example, consolidation </w:t>
      </w:r>
      <w:r w:rsidRPr="00CE60B2">
        <w:rPr>
          <w:rFonts w:cs="Segoe UI"/>
          <w:lang w:eastAsia="ja-JP"/>
        </w:rPr>
        <w:t>o</w:t>
      </w:r>
      <w:r w:rsidR="00E00F9A">
        <w:rPr>
          <w:rFonts w:cs="Segoe UI"/>
          <w:lang w:eastAsia="ja-JP"/>
        </w:rPr>
        <w:t>f</w:t>
      </w:r>
      <w:r w:rsidRPr="00CE60B2">
        <w:rPr>
          <w:rFonts w:cs="Segoe UI"/>
          <w:lang w:eastAsia="ja-JP"/>
        </w:rPr>
        <w:t xml:space="preserve"> flora surveys and additional mapping of vegetation complexes on the Swan Coastal Plain resulted in the recognition of a separate Whicher </w:t>
      </w:r>
      <w:r w:rsidR="00C61883">
        <w:rPr>
          <w:rFonts w:cs="Segoe UI"/>
          <w:lang w:eastAsia="ja-JP"/>
        </w:rPr>
        <w:t>Scarp forest ecosystem. The FMP 2014</w:t>
      </w:r>
      <w:r w:rsidR="00C61883">
        <w:rPr>
          <w:rFonts w:cs="Segoe UI"/>
          <w:lang w:eastAsia="ja-JP"/>
        </w:rPr>
        <w:noBreakHyphen/>
      </w:r>
      <w:r w:rsidRPr="00CE60B2">
        <w:rPr>
          <w:rFonts w:cs="Segoe UI"/>
          <w:lang w:eastAsia="ja-JP"/>
        </w:rPr>
        <w:t xml:space="preserve">2023 proposes this area to become a national park (formal reserve). The Whicher Scarp ecosystem was formerly part of the Jarrah – Blackwood forest ecosystem, and is therefore </w:t>
      </w:r>
      <w:r w:rsidR="00E00F9A">
        <w:rPr>
          <w:rFonts w:cs="Segoe UI"/>
          <w:lang w:eastAsia="ja-JP"/>
        </w:rPr>
        <w:t xml:space="preserve">reported separately in </w:t>
      </w:r>
      <w:r w:rsidR="00E00F9A">
        <w:rPr>
          <w:rFonts w:cs="Segoe UI"/>
          <w:lang w:eastAsia="ja-JP"/>
        </w:rPr>
        <w:fldChar w:fldCharType="begin"/>
      </w:r>
      <w:r w:rsidR="00E00F9A">
        <w:rPr>
          <w:rFonts w:cs="Segoe UI"/>
          <w:lang w:eastAsia="ja-JP"/>
        </w:rPr>
        <w:instrText xml:space="preserve"> REF _Ref527451828 </w:instrText>
      </w:r>
      <w:r w:rsidR="00E00F9A">
        <w:rPr>
          <w:rFonts w:cs="Segoe UI"/>
          <w:lang w:eastAsia="ja-JP"/>
        </w:rPr>
        <w:fldChar w:fldCharType="separate"/>
      </w:r>
      <w:r w:rsidR="003C7091">
        <w:t xml:space="preserve">Table </w:t>
      </w:r>
      <w:r w:rsidR="003C7091">
        <w:rPr>
          <w:noProof/>
        </w:rPr>
        <w:t>9</w:t>
      </w:r>
      <w:r w:rsidR="00E00F9A">
        <w:rPr>
          <w:rFonts w:cs="Segoe UI"/>
          <w:lang w:eastAsia="ja-JP"/>
        </w:rPr>
        <w:fldChar w:fldCharType="end"/>
      </w:r>
      <w:r w:rsidRPr="00CE60B2">
        <w:rPr>
          <w:rFonts w:cs="Segoe UI"/>
          <w:lang w:eastAsia="ja-JP"/>
        </w:rPr>
        <w:t>.</w:t>
      </w:r>
    </w:p>
    <w:p w14:paraId="127DA423" w14:textId="77777777" w:rsidR="00E960C6" w:rsidRPr="00CE60B2" w:rsidRDefault="00E960C6" w:rsidP="00A12F9B">
      <w:pPr>
        <w:rPr>
          <w:rFonts w:cs="Segoe UI"/>
          <w:lang w:eastAsia="ja-JP"/>
        </w:rPr>
      </w:pPr>
    </w:p>
    <w:p w14:paraId="26ABCBD1" w14:textId="77777777" w:rsidR="00A12F9B" w:rsidRPr="00CE60B2" w:rsidRDefault="00A12F9B" w:rsidP="00A12F9B">
      <w:pPr>
        <w:spacing w:before="0"/>
        <w:rPr>
          <w:rFonts w:cs="Segoe UI"/>
          <w:b/>
        </w:rPr>
        <w:sectPr w:rsidR="00A12F9B" w:rsidRPr="00CE60B2" w:rsidSect="00CD6BB4">
          <w:headerReference w:type="even" r:id="rId30"/>
          <w:headerReference w:type="first" r:id="rId31"/>
          <w:pgSz w:w="11906" w:h="16838" w:code="9"/>
          <w:pgMar w:top="1418" w:right="1134" w:bottom="1418" w:left="1418" w:header="737" w:footer="680" w:gutter="0"/>
          <w:cols w:space="708"/>
          <w:docGrid w:linePitch="360"/>
        </w:sectPr>
      </w:pPr>
    </w:p>
    <w:p w14:paraId="26ABCBD2" w14:textId="6891E417" w:rsidR="00C5528D" w:rsidRDefault="00C5528D" w:rsidP="00C5528D">
      <w:pPr>
        <w:pStyle w:val="Caption"/>
        <w:keepNext/>
      </w:pPr>
      <w:bookmarkStart w:id="67" w:name="_Ref527451828"/>
      <w:bookmarkStart w:id="68" w:name="_Toc531002170"/>
      <w:bookmarkEnd w:id="66"/>
      <w:r>
        <w:lastRenderedPageBreak/>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9</w:t>
      </w:r>
      <w:r w:rsidR="005C10D4">
        <w:rPr>
          <w:noProof/>
        </w:rPr>
        <w:fldChar w:fldCharType="end"/>
      </w:r>
      <w:bookmarkEnd w:id="67"/>
      <w:r>
        <w:t xml:space="preserve">: </w:t>
      </w:r>
      <w:r w:rsidRPr="00365466">
        <w:t>Forest ecosystems within the WA RFA region and the changes in area in the CAR reserve system over time</w:t>
      </w:r>
      <w:bookmarkEnd w:id="68"/>
    </w:p>
    <w:tbl>
      <w:tblPr>
        <w:tblW w:w="0" w:type="auto"/>
        <w:tblLook w:val="04A0" w:firstRow="1" w:lastRow="0" w:firstColumn="1" w:lastColumn="0" w:noHBand="0" w:noVBand="1"/>
      </w:tblPr>
      <w:tblGrid>
        <w:gridCol w:w="1657"/>
        <w:gridCol w:w="703"/>
        <w:gridCol w:w="703"/>
        <w:gridCol w:w="780"/>
        <w:gridCol w:w="780"/>
        <w:gridCol w:w="645"/>
        <w:gridCol w:w="703"/>
        <w:gridCol w:w="780"/>
        <w:gridCol w:w="780"/>
        <w:gridCol w:w="645"/>
        <w:gridCol w:w="703"/>
        <w:gridCol w:w="780"/>
        <w:gridCol w:w="780"/>
        <w:gridCol w:w="645"/>
        <w:gridCol w:w="703"/>
        <w:gridCol w:w="780"/>
        <w:gridCol w:w="780"/>
        <w:gridCol w:w="645"/>
      </w:tblGrid>
      <w:tr w:rsidR="00A12F9B" w:rsidRPr="00CE60B2" w14:paraId="26ABCBD9" w14:textId="77777777" w:rsidTr="00DC5455">
        <w:trPr>
          <w:trHeight w:val="264"/>
          <w:tblHeader/>
        </w:trPr>
        <w:tc>
          <w:tcPr>
            <w:tcW w:w="0" w:type="auto"/>
            <w:tcBorders>
              <w:top w:val="nil"/>
              <w:left w:val="nil"/>
              <w:bottom w:val="nil"/>
              <w:right w:val="nil"/>
            </w:tcBorders>
            <w:shd w:val="clear" w:color="auto" w:fill="auto"/>
            <w:noWrap/>
            <w:vAlign w:val="bottom"/>
            <w:hideMark/>
          </w:tcPr>
          <w:p w14:paraId="26ABCBD3" w14:textId="77777777" w:rsidR="00A12F9B" w:rsidRPr="00CE60B2" w:rsidRDefault="00A12F9B" w:rsidP="00A12F9B">
            <w:pPr>
              <w:spacing w:before="0" w:after="0"/>
              <w:rPr>
                <w:rFonts w:eastAsia="Times New Roman" w:cs="Segoe UI"/>
                <w:sz w:val="14"/>
                <w:szCs w:val="14"/>
                <w:lang w:eastAsia="en-AU"/>
              </w:rPr>
            </w:pPr>
          </w:p>
        </w:tc>
        <w:tc>
          <w:tcPr>
            <w:tcW w:w="0" w:type="auto"/>
            <w:tcBorders>
              <w:top w:val="nil"/>
              <w:left w:val="nil"/>
              <w:bottom w:val="nil"/>
              <w:right w:val="nil"/>
            </w:tcBorders>
            <w:shd w:val="clear" w:color="auto" w:fill="auto"/>
            <w:noWrap/>
            <w:vAlign w:val="bottom"/>
            <w:hideMark/>
          </w:tcPr>
          <w:p w14:paraId="26ABCBD4" w14:textId="77777777" w:rsidR="00A12F9B" w:rsidRPr="00CE60B2" w:rsidRDefault="00A12F9B" w:rsidP="00A12F9B">
            <w:pPr>
              <w:spacing w:before="0" w:after="0"/>
              <w:rPr>
                <w:rFonts w:eastAsia="Times New Roman" w:cs="Segoe UI"/>
                <w:sz w:val="14"/>
                <w:szCs w:val="14"/>
                <w:lang w:eastAsia="en-AU"/>
              </w:rPr>
            </w:pPr>
          </w:p>
        </w:tc>
        <w:tc>
          <w:tcPr>
            <w:tcW w:w="0" w:type="auto"/>
            <w:gridSpan w:val="4"/>
            <w:tcBorders>
              <w:top w:val="single" w:sz="8" w:space="0" w:color="auto"/>
              <w:left w:val="single" w:sz="8" w:space="0" w:color="auto"/>
              <w:bottom w:val="nil"/>
              <w:right w:val="single" w:sz="8" w:space="0" w:color="000000"/>
            </w:tcBorders>
            <w:shd w:val="clear" w:color="auto" w:fill="DFEFE1" w:themeFill="accent3" w:themeFillTint="66"/>
            <w:noWrap/>
            <w:vAlign w:val="bottom"/>
            <w:hideMark/>
          </w:tcPr>
          <w:p w14:paraId="26ABCBD5"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WA RFA 1999</w:t>
            </w:r>
          </w:p>
        </w:tc>
        <w:tc>
          <w:tcPr>
            <w:tcW w:w="0" w:type="auto"/>
            <w:gridSpan w:val="4"/>
            <w:tcBorders>
              <w:top w:val="single" w:sz="8" w:space="0" w:color="auto"/>
              <w:left w:val="nil"/>
              <w:bottom w:val="nil"/>
              <w:right w:val="single" w:sz="8" w:space="0" w:color="000000"/>
            </w:tcBorders>
            <w:shd w:val="clear" w:color="auto" w:fill="DFEFE1" w:themeFill="accent3" w:themeFillTint="66"/>
            <w:noWrap/>
            <w:vAlign w:val="bottom"/>
            <w:hideMark/>
          </w:tcPr>
          <w:p w14:paraId="26ABCBD6"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WA RFA Review 2009</w:t>
            </w:r>
          </w:p>
        </w:tc>
        <w:tc>
          <w:tcPr>
            <w:tcW w:w="0" w:type="auto"/>
            <w:gridSpan w:val="4"/>
            <w:tcBorders>
              <w:top w:val="single" w:sz="8" w:space="0" w:color="auto"/>
              <w:left w:val="nil"/>
              <w:bottom w:val="nil"/>
              <w:right w:val="single" w:sz="8" w:space="0" w:color="000000"/>
            </w:tcBorders>
            <w:shd w:val="clear" w:color="auto" w:fill="DFEFE1" w:themeFill="accent3" w:themeFillTint="66"/>
            <w:noWrap/>
            <w:vAlign w:val="bottom"/>
            <w:hideMark/>
          </w:tcPr>
          <w:p w14:paraId="26ABCBD7"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WA RFA Review 2014</w:t>
            </w:r>
          </w:p>
        </w:tc>
        <w:tc>
          <w:tcPr>
            <w:tcW w:w="0" w:type="auto"/>
            <w:gridSpan w:val="4"/>
            <w:tcBorders>
              <w:top w:val="single" w:sz="8" w:space="0" w:color="auto"/>
              <w:left w:val="nil"/>
              <w:bottom w:val="nil"/>
              <w:right w:val="single" w:sz="8" w:space="0" w:color="000000"/>
            </w:tcBorders>
            <w:shd w:val="clear" w:color="auto" w:fill="DFEFE1" w:themeFill="accent3" w:themeFillTint="66"/>
            <w:noWrap/>
            <w:vAlign w:val="bottom"/>
            <w:hideMark/>
          </w:tcPr>
          <w:p w14:paraId="26ABCBD8"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WA RFA Assessment of Matters 2018</w:t>
            </w:r>
          </w:p>
        </w:tc>
      </w:tr>
      <w:tr w:rsidR="00A12F9B" w:rsidRPr="00CE60B2" w14:paraId="26ABCBEC" w14:textId="77777777" w:rsidTr="00DC5455">
        <w:trPr>
          <w:trHeight w:val="1320"/>
          <w:tblHeader/>
        </w:trPr>
        <w:tc>
          <w:tcPr>
            <w:tcW w:w="0" w:type="auto"/>
            <w:tcBorders>
              <w:top w:val="single" w:sz="4" w:space="0" w:color="auto"/>
              <w:left w:val="single" w:sz="4" w:space="0" w:color="auto"/>
              <w:bottom w:val="single" w:sz="4" w:space="0" w:color="auto"/>
              <w:right w:val="nil"/>
            </w:tcBorders>
            <w:shd w:val="clear" w:color="auto" w:fill="DFEFE1" w:themeFill="accent3" w:themeFillTint="66"/>
            <w:noWrap/>
            <w:vAlign w:val="bottom"/>
            <w:hideMark/>
          </w:tcPr>
          <w:p w14:paraId="26ABCBDA" w14:textId="77777777" w:rsidR="00A12F9B" w:rsidRPr="00CE60B2" w:rsidRDefault="00A12F9B" w:rsidP="00A12F9B">
            <w:pPr>
              <w:spacing w:before="0" w:after="0"/>
              <w:rPr>
                <w:rFonts w:eastAsia="Times New Roman" w:cs="Segoe UI"/>
                <w:b/>
                <w:bCs/>
                <w:color w:val="000000"/>
                <w:sz w:val="14"/>
                <w:szCs w:val="14"/>
                <w:lang w:eastAsia="en-AU"/>
              </w:rPr>
            </w:pPr>
            <w:r w:rsidRPr="00CE60B2">
              <w:rPr>
                <w:rFonts w:eastAsia="Times New Roman" w:cs="Segoe UI"/>
                <w:b/>
                <w:bCs/>
                <w:color w:val="000000"/>
                <w:sz w:val="14"/>
                <w:szCs w:val="14"/>
                <w:lang w:eastAsia="en-AU"/>
              </w:rPr>
              <w:t>Forest Ecosystem</w:t>
            </w:r>
          </w:p>
        </w:tc>
        <w:tc>
          <w:tcPr>
            <w:tcW w:w="0" w:type="auto"/>
            <w:tcBorders>
              <w:top w:val="single" w:sz="4" w:space="0" w:color="auto"/>
              <w:left w:val="single" w:sz="4" w:space="0" w:color="auto"/>
              <w:bottom w:val="single" w:sz="4" w:space="0" w:color="auto"/>
              <w:right w:val="nil"/>
            </w:tcBorders>
            <w:shd w:val="clear" w:color="auto" w:fill="DFEFE1" w:themeFill="accent3" w:themeFillTint="66"/>
            <w:vAlign w:val="bottom"/>
            <w:hideMark/>
          </w:tcPr>
          <w:p w14:paraId="26ABCBDB"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Pre-1750 area</w:t>
            </w:r>
            <w:r w:rsidRPr="00CE60B2">
              <w:rPr>
                <w:rFonts w:eastAsia="Times New Roman" w:cs="Segoe UI"/>
                <w:b/>
                <w:bCs/>
                <w:color w:val="000000"/>
                <w:sz w:val="14"/>
                <w:szCs w:val="14"/>
                <w:lang w:eastAsia="en-AU"/>
              </w:rPr>
              <w:br/>
              <w:t>(ha)</w:t>
            </w:r>
          </w:p>
        </w:tc>
        <w:tc>
          <w:tcPr>
            <w:tcW w:w="0" w:type="auto"/>
            <w:tcBorders>
              <w:top w:val="nil"/>
              <w:left w:val="single" w:sz="8" w:space="0" w:color="auto"/>
              <w:bottom w:val="single" w:sz="4" w:space="0" w:color="auto"/>
              <w:right w:val="single" w:sz="4" w:space="0" w:color="auto"/>
            </w:tcBorders>
            <w:shd w:val="clear" w:color="auto" w:fill="DFEFE1" w:themeFill="accent3" w:themeFillTint="66"/>
            <w:vAlign w:val="bottom"/>
            <w:hideMark/>
          </w:tcPr>
          <w:p w14:paraId="26ABCBDC"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Present area</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DD"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Total CAR reservation</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DE"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Total CAR reservation</w:t>
            </w:r>
            <w:r w:rsidRPr="00CE60B2">
              <w:rPr>
                <w:rFonts w:eastAsia="Times New Roman" w:cs="Segoe UI"/>
                <w:b/>
                <w:bCs/>
                <w:color w:val="000000"/>
                <w:sz w:val="14"/>
                <w:szCs w:val="14"/>
                <w:lang w:eastAsia="en-AU"/>
              </w:rPr>
              <w:br/>
              <w:t>(%)</w:t>
            </w:r>
          </w:p>
        </w:tc>
        <w:tc>
          <w:tcPr>
            <w:tcW w:w="0" w:type="auto"/>
            <w:tcBorders>
              <w:top w:val="nil"/>
              <w:left w:val="nil"/>
              <w:bottom w:val="single" w:sz="4" w:space="0" w:color="auto"/>
              <w:right w:val="single" w:sz="8" w:space="0" w:color="auto"/>
            </w:tcBorders>
            <w:shd w:val="clear" w:color="auto" w:fill="DFEFE1" w:themeFill="accent3" w:themeFillTint="66"/>
            <w:vAlign w:val="bottom"/>
            <w:hideMark/>
          </w:tcPr>
          <w:p w14:paraId="26ABCBDF"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Other informal reserves</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E0"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Present area on public land**</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E1"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Total CAR reservation</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E2"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Total CAR reservation</w:t>
            </w:r>
            <w:r w:rsidRPr="00CE60B2">
              <w:rPr>
                <w:rFonts w:eastAsia="Times New Roman" w:cs="Segoe UI"/>
                <w:b/>
                <w:bCs/>
                <w:color w:val="000000"/>
                <w:sz w:val="14"/>
                <w:szCs w:val="14"/>
                <w:lang w:eastAsia="en-AU"/>
              </w:rPr>
              <w:br/>
              <w:t>(%)</w:t>
            </w:r>
          </w:p>
        </w:tc>
        <w:tc>
          <w:tcPr>
            <w:tcW w:w="0" w:type="auto"/>
            <w:tcBorders>
              <w:top w:val="nil"/>
              <w:left w:val="nil"/>
              <w:bottom w:val="single" w:sz="4" w:space="0" w:color="auto"/>
              <w:right w:val="single" w:sz="8" w:space="0" w:color="auto"/>
            </w:tcBorders>
            <w:shd w:val="clear" w:color="auto" w:fill="DFEFE1" w:themeFill="accent3" w:themeFillTint="66"/>
            <w:vAlign w:val="bottom"/>
            <w:hideMark/>
          </w:tcPr>
          <w:p w14:paraId="26ABCBE3"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Other informal reserves</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E4"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Present area on public land**</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E5"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Total CAR reservation</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E6"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Total CAR reservation</w:t>
            </w:r>
            <w:r w:rsidRPr="00CE60B2">
              <w:rPr>
                <w:rFonts w:eastAsia="Times New Roman" w:cs="Segoe UI"/>
                <w:b/>
                <w:bCs/>
                <w:color w:val="000000"/>
                <w:sz w:val="14"/>
                <w:szCs w:val="14"/>
                <w:lang w:eastAsia="en-AU"/>
              </w:rPr>
              <w:br/>
              <w:t>(%)</w:t>
            </w:r>
          </w:p>
        </w:tc>
        <w:tc>
          <w:tcPr>
            <w:tcW w:w="0" w:type="auto"/>
            <w:tcBorders>
              <w:top w:val="nil"/>
              <w:left w:val="nil"/>
              <w:bottom w:val="single" w:sz="4" w:space="0" w:color="auto"/>
              <w:right w:val="single" w:sz="8" w:space="0" w:color="auto"/>
            </w:tcBorders>
            <w:shd w:val="clear" w:color="auto" w:fill="DFEFE1" w:themeFill="accent3" w:themeFillTint="66"/>
            <w:vAlign w:val="bottom"/>
            <w:hideMark/>
          </w:tcPr>
          <w:p w14:paraId="26ABCBE7"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Other informal reserves and FHZs</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E8"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Present area ***</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E9"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Total CAR reservation</w:t>
            </w:r>
            <w:r w:rsidRPr="00CE60B2">
              <w:rPr>
                <w:rFonts w:eastAsia="Times New Roman" w:cs="Segoe UI"/>
                <w:b/>
                <w:bCs/>
                <w:color w:val="000000"/>
                <w:sz w:val="14"/>
                <w:szCs w:val="14"/>
                <w:lang w:eastAsia="en-AU"/>
              </w:rPr>
              <w:br/>
              <w:t>(ha)</w:t>
            </w:r>
          </w:p>
        </w:tc>
        <w:tc>
          <w:tcPr>
            <w:tcW w:w="0" w:type="auto"/>
            <w:tcBorders>
              <w:top w:val="nil"/>
              <w:left w:val="nil"/>
              <w:bottom w:val="single" w:sz="4" w:space="0" w:color="auto"/>
              <w:right w:val="single" w:sz="4" w:space="0" w:color="auto"/>
            </w:tcBorders>
            <w:shd w:val="clear" w:color="auto" w:fill="DFEFE1" w:themeFill="accent3" w:themeFillTint="66"/>
            <w:vAlign w:val="bottom"/>
            <w:hideMark/>
          </w:tcPr>
          <w:p w14:paraId="26ABCBEA"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Total CAR reservation</w:t>
            </w:r>
            <w:r w:rsidRPr="00CE60B2">
              <w:rPr>
                <w:rFonts w:eastAsia="Times New Roman" w:cs="Segoe UI"/>
                <w:b/>
                <w:bCs/>
                <w:color w:val="000000"/>
                <w:sz w:val="14"/>
                <w:szCs w:val="14"/>
                <w:lang w:eastAsia="en-AU"/>
              </w:rPr>
              <w:br/>
              <w:t>(%)</w:t>
            </w:r>
          </w:p>
        </w:tc>
        <w:tc>
          <w:tcPr>
            <w:tcW w:w="0" w:type="auto"/>
            <w:tcBorders>
              <w:top w:val="nil"/>
              <w:left w:val="nil"/>
              <w:bottom w:val="single" w:sz="4" w:space="0" w:color="auto"/>
              <w:right w:val="single" w:sz="8" w:space="0" w:color="auto"/>
            </w:tcBorders>
            <w:shd w:val="clear" w:color="auto" w:fill="DFEFE1" w:themeFill="accent3" w:themeFillTint="66"/>
            <w:vAlign w:val="bottom"/>
            <w:hideMark/>
          </w:tcPr>
          <w:p w14:paraId="26ABCBEB" w14:textId="77777777" w:rsidR="00A12F9B" w:rsidRPr="00CE60B2" w:rsidRDefault="00A12F9B" w:rsidP="00A12F9B">
            <w:pPr>
              <w:spacing w:before="0" w:after="0"/>
              <w:jc w:val="center"/>
              <w:rPr>
                <w:rFonts w:eastAsia="Times New Roman" w:cs="Segoe UI"/>
                <w:b/>
                <w:bCs/>
                <w:color w:val="000000"/>
                <w:sz w:val="14"/>
                <w:szCs w:val="14"/>
                <w:lang w:eastAsia="en-AU"/>
              </w:rPr>
            </w:pPr>
            <w:r w:rsidRPr="00CE60B2">
              <w:rPr>
                <w:rFonts w:eastAsia="Times New Roman" w:cs="Segoe UI"/>
                <w:b/>
                <w:bCs/>
                <w:color w:val="000000"/>
                <w:sz w:val="14"/>
                <w:szCs w:val="14"/>
                <w:lang w:eastAsia="en-AU"/>
              </w:rPr>
              <w:t>Other informal reserves and FHZs</w:t>
            </w:r>
            <w:r w:rsidRPr="00CE60B2">
              <w:rPr>
                <w:rFonts w:eastAsia="Times New Roman" w:cs="Segoe UI"/>
                <w:b/>
                <w:bCs/>
                <w:color w:val="000000"/>
                <w:sz w:val="14"/>
                <w:szCs w:val="14"/>
                <w:lang w:eastAsia="en-AU"/>
              </w:rPr>
              <w:br/>
              <w:t>(ha)</w:t>
            </w:r>
          </w:p>
        </w:tc>
      </w:tr>
      <w:tr w:rsidR="00A12F9B" w:rsidRPr="00CE60B2" w14:paraId="26ABCBFF"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BED" w14:textId="77777777" w:rsidR="00A12F9B" w:rsidRPr="00CE60B2" w:rsidRDefault="00A12F9B" w:rsidP="00A12F9B">
            <w:pPr>
              <w:spacing w:before="0" w:after="0"/>
              <w:rPr>
                <w:rFonts w:eastAsia="Times New Roman" w:cs="Segoe UI"/>
                <w:sz w:val="14"/>
                <w:szCs w:val="14"/>
                <w:lang w:eastAsia="en-AU"/>
              </w:rPr>
            </w:pPr>
            <w:r w:rsidRPr="00CE60B2">
              <w:rPr>
                <w:rFonts w:eastAsia="Times New Roman" w:cs="Segoe UI"/>
                <w:sz w:val="14"/>
                <w:szCs w:val="14"/>
                <w:lang w:eastAsia="en-AU"/>
              </w:rPr>
              <w:t>Darling Scarp`</w:t>
            </w:r>
          </w:p>
        </w:tc>
        <w:tc>
          <w:tcPr>
            <w:tcW w:w="0" w:type="auto"/>
            <w:tcBorders>
              <w:top w:val="nil"/>
              <w:left w:val="single" w:sz="4" w:space="0" w:color="auto"/>
              <w:bottom w:val="single" w:sz="4" w:space="0" w:color="auto"/>
              <w:right w:val="nil"/>
            </w:tcBorders>
            <w:shd w:val="clear" w:color="auto" w:fill="auto"/>
            <w:noWrap/>
            <w:vAlign w:val="bottom"/>
            <w:hideMark/>
          </w:tcPr>
          <w:p w14:paraId="26ABCBEE"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29,000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BCBE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9,938</w:t>
            </w:r>
          </w:p>
        </w:tc>
        <w:tc>
          <w:tcPr>
            <w:tcW w:w="0" w:type="auto"/>
            <w:tcBorders>
              <w:top w:val="nil"/>
              <w:left w:val="nil"/>
              <w:bottom w:val="single" w:sz="4" w:space="0" w:color="auto"/>
              <w:right w:val="single" w:sz="4" w:space="0" w:color="auto"/>
            </w:tcBorders>
            <w:shd w:val="clear" w:color="auto" w:fill="auto"/>
            <w:noWrap/>
            <w:vAlign w:val="bottom"/>
            <w:hideMark/>
          </w:tcPr>
          <w:p w14:paraId="26ABCBF0"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2,767</w:t>
            </w:r>
          </w:p>
        </w:tc>
        <w:tc>
          <w:tcPr>
            <w:tcW w:w="0" w:type="auto"/>
            <w:tcBorders>
              <w:top w:val="nil"/>
              <w:left w:val="nil"/>
              <w:bottom w:val="single" w:sz="4" w:space="0" w:color="auto"/>
              <w:right w:val="single" w:sz="4" w:space="0" w:color="auto"/>
            </w:tcBorders>
            <w:shd w:val="clear" w:color="auto" w:fill="auto"/>
            <w:noWrap/>
            <w:vAlign w:val="bottom"/>
            <w:hideMark/>
          </w:tcPr>
          <w:p w14:paraId="26ABCBF1"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9.5</w:t>
            </w:r>
          </w:p>
        </w:tc>
        <w:tc>
          <w:tcPr>
            <w:tcW w:w="0" w:type="auto"/>
            <w:tcBorders>
              <w:top w:val="nil"/>
              <w:left w:val="nil"/>
              <w:bottom w:val="single" w:sz="4" w:space="0" w:color="auto"/>
              <w:right w:val="single" w:sz="8" w:space="0" w:color="auto"/>
            </w:tcBorders>
            <w:shd w:val="clear" w:color="auto" w:fill="auto"/>
            <w:noWrap/>
            <w:vAlign w:val="bottom"/>
            <w:hideMark/>
          </w:tcPr>
          <w:p w14:paraId="26ABCBF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26ABCBF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4,960</w:t>
            </w:r>
          </w:p>
        </w:tc>
        <w:tc>
          <w:tcPr>
            <w:tcW w:w="0" w:type="auto"/>
            <w:tcBorders>
              <w:top w:val="nil"/>
              <w:left w:val="nil"/>
              <w:bottom w:val="single" w:sz="4" w:space="0" w:color="auto"/>
              <w:right w:val="single" w:sz="4" w:space="0" w:color="auto"/>
            </w:tcBorders>
            <w:shd w:val="clear" w:color="auto" w:fill="auto"/>
            <w:noWrap/>
            <w:vAlign w:val="bottom"/>
            <w:hideMark/>
          </w:tcPr>
          <w:p w14:paraId="26ABCBF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4,062</w:t>
            </w:r>
          </w:p>
        </w:tc>
        <w:tc>
          <w:tcPr>
            <w:tcW w:w="0" w:type="auto"/>
            <w:tcBorders>
              <w:top w:val="nil"/>
              <w:left w:val="nil"/>
              <w:bottom w:val="single" w:sz="4" w:space="0" w:color="auto"/>
              <w:right w:val="single" w:sz="4" w:space="0" w:color="auto"/>
            </w:tcBorders>
            <w:shd w:val="clear" w:color="auto" w:fill="auto"/>
            <w:noWrap/>
            <w:vAlign w:val="bottom"/>
            <w:hideMark/>
          </w:tcPr>
          <w:p w14:paraId="26ABCBF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14.0</w:t>
            </w:r>
          </w:p>
        </w:tc>
        <w:tc>
          <w:tcPr>
            <w:tcW w:w="0" w:type="auto"/>
            <w:tcBorders>
              <w:top w:val="nil"/>
              <w:left w:val="nil"/>
              <w:bottom w:val="single" w:sz="4" w:space="0" w:color="auto"/>
              <w:right w:val="single" w:sz="8" w:space="0" w:color="auto"/>
            </w:tcBorders>
            <w:shd w:val="clear" w:color="auto" w:fill="auto"/>
            <w:noWrap/>
            <w:vAlign w:val="bottom"/>
            <w:hideMark/>
          </w:tcPr>
          <w:p w14:paraId="26ABCBF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26ABCBF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5,710</w:t>
            </w:r>
          </w:p>
        </w:tc>
        <w:tc>
          <w:tcPr>
            <w:tcW w:w="0" w:type="auto"/>
            <w:tcBorders>
              <w:top w:val="nil"/>
              <w:left w:val="nil"/>
              <w:bottom w:val="single" w:sz="4" w:space="0" w:color="auto"/>
              <w:right w:val="single" w:sz="4" w:space="0" w:color="auto"/>
            </w:tcBorders>
            <w:shd w:val="clear" w:color="auto" w:fill="auto"/>
            <w:noWrap/>
            <w:vAlign w:val="bottom"/>
            <w:hideMark/>
          </w:tcPr>
          <w:p w14:paraId="26ABCBF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4,565</w:t>
            </w:r>
          </w:p>
        </w:tc>
        <w:tc>
          <w:tcPr>
            <w:tcW w:w="0" w:type="auto"/>
            <w:tcBorders>
              <w:top w:val="nil"/>
              <w:left w:val="nil"/>
              <w:bottom w:val="single" w:sz="4" w:space="0" w:color="auto"/>
              <w:right w:val="single" w:sz="4" w:space="0" w:color="auto"/>
            </w:tcBorders>
            <w:shd w:val="clear" w:color="auto" w:fill="auto"/>
            <w:noWrap/>
            <w:vAlign w:val="bottom"/>
            <w:hideMark/>
          </w:tcPr>
          <w:p w14:paraId="26ABCBF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15.7</w:t>
            </w:r>
          </w:p>
        </w:tc>
        <w:tc>
          <w:tcPr>
            <w:tcW w:w="0" w:type="auto"/>
            <w:tcBorders>
              <w:top w:val="nil"/>
              <w:left w:val="nil"/>
              <w:bottom w:val="single" w:sz="4" w:space="0" w:color="auto"/>
              <w:right w:val="single" w:sz="8" w:space="0" w:color="auto"/>
            </w:tcBorders>
            <w:shd w:val="clear" w:color="auto" w:fill="auto"/>
            <w:noWrap/>
            <w:vAlign w:val="bottom"/>
            <w:hideMark/>
          </w:tcPr>
          <w:p w14:paraId="26ABCBF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273</w:t>
            </w:r>
          </w:p>
        </w:tc>
        <w:tc>
          <w:tcPr>
            <w:tcW w:w="0" w:type="auto"/>
            <w:tcBorders>
              <w:top w:val="nil"/>
              <w:left w:val="nil"/>
              <w:bottom w:val="single" w:sz="4" w:space="0" w:color="auto"/>
              <w:right w:val="single" w:sz="4" w:space="0" w:color="auto"/>
            </w:tcBorders>
            <w:shd w:val="clear" w:color="auto" w:fill="auto"/>
            <w:noWrap/>
            <w:vAlign w:val="bottom"/>
            <w:hideMark/>
          </w:tcPr>
          <w:p w14:paraId="26ABCBF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11,010</w:t>
            </w:r>
          </w:p>
        </w:tc>
        <w:tc>
          <w:tcPr>
            <w:tcW w:w="0" w:type="auto"/>
            <w:tcBorders>
              <w:top w:val="nil"/>
              <w:left w:val="nil"/>
              <w:bottom w:val="single" w:sz="4" w:space="0" w:color="auto"/>
              <w:right w:val="single" w:sz="4" w:space="0" w:color="auto"/>
            </w:tcBorders>
            <w:shd w:val="clear" w:color="auto" w:fill="auto"/>
            <w:noWrap/>
            <w:vAlign w:val="bottom"/>
            <w:hideMark/>
          </w:tcPr>
          <w:p w14:paraId="26ABCBF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4,496</w:t>
            </w:r>
          </w:p>
        </w:tc>
        <w:tc>
          <w:tcPr>
            <w:tcW w:w="0" w:type="auto"/>
            <w:tcBorders>
              <w:top w:val="nil"/>
              <w:left w:val="nil"/>
              <w:bottom w:val="single" w:sz="4" w:space="0" w:color="auto"/>
              <w:right w:val="single" w:sz="4" w:space="0" w:color="auto"/>
            </w:tcBorders>
            <w:shd w:val="clear" w:color="auto" w:fill="auto"/>
            <w:noWrap/>
            <w:vAlign w:val="bottom"/>
            <w:hideMark/>
          </w:tcPr>
          <w:p w14:paraId="26ABCBF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15.5</w:t>
            </w:r>
          </w:p>
        </w:tc>
        <w:tc>
          <w:tcPr>
            <w:tcW w:w="0" w:type="auto"/>
            <w:tcBorders>
              <w:top w:val="nil"/>
              <w:left w:val="nil"/>
              <w:bottom w:val="single" w:sz="4" w:space="0" w:color="auto"/>
              <w:right w:val="single" w:sz="8" w:space="0" w:color="auto"/>
            </w:tcBorders>
            <w:shd w:val="clear" w:color="auto" w:fill="auto"/>
            <w:noWrap/>
            <w:vAlign w:val="bottom"/>
            <w:hideMark/>
          </w:tcPr>
          <w:p w14:paraId="26ABCBF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295</w:t>
            </w:r>
          </w:p>
        </w:tc>
      </w:tr>
      <w:tr w:rsidR="00A12F9B" w:rsidRPr="00CE60B2" w14:paraId="26ABCC12"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00"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Blackwood</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0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343,500</w:t>
            </w:r>
          </w:p>
        </w:tc>
        <w:tc>
          <w:tcPr>
            <w:tcW w:w="0" w:type="auto"/>
            <w:tcBorders>
              <w:top w:val="nil"/>
              <w:left w:val="nil"/>
              <w:bottom w:val="single" w:sz="4" w:space="0" w:color="auto"/>
              <w:right w:val="single" w:sz="4" w:space="0" w:color="auto"/>
            </w:tcBorders>
            <w:shd w:val="clear" w:color="auto" w:fill="auto"/>
            <w:noWrap/>
            <w:vAlign w:val="bottom"/>
            <w:hideMark/>
          </w:tcPr>
          <w:p w14:paraId="26ABCC0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281,805</w:t>
            </w:r>
          </w:p>
        </w:tc>
        <w:tc>
          <w:tcPr>
            <w:tcW w:w="0" w:type="auto"/>
            <w:tcBorders>
              <w:top w:val="nil"/>
              <w:left w:val="nil"/>
              <w:bottom w:val="single" w:sz="4" w:space="0" w:color="auto"/>
              <w:right w:val="single" w:sz="4" w:space="0" w:color="auto"/>
            </w:tcBorders>
            <w:shd w:val="clear" w:color="auto" w:fill="auto"/>
            <w:noWrap/>
            <w:vAlign w:val="bottom"/>
            <w:hideMark/>
          </w:tcPr>
          <w:p w14:paraId="26ABCC0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57,117</w:t>
            </w:r>
          </w:p>
        </w:tc>
        <w:tc>
          <w:tcPr>
            <w:tcW w:w="0" w:type="auto"/>
            <w:tcBorders>
              <w:top w:val="nil"/>
              <w:left w:val="nil"/>
              <w:bottom w:val="single" w:sz="4" w:space="0" w:color="auto"/>
              <w:right w:val="single" w:sz="4" w:space="0" w:color="auto"/>
            </w:tcBorders>
            <w:shd w:val="clear" w:color="auto" w:fill="auto"/>
            <w:noWrap/>
            <w:vAlign w:val="bottom"/>
            <w:hideMark/>
          </w:tcPr>
          <w:p w14:paraId="26ABCC0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16.5</w:t>
            </w:r>
          </w:p>
        </w:tc>
        <w:tc>
          <w:tcPr>
            <w:tcW w:w="0" w:type="auto"/>
            <w:tcBorders>
              <w:top w:val="nil"/>
              <w:left w:val="nil"/>
              <w:bottom w:val="single" w:sz="4" w:space="0" w:color="auto"/>
              <w:right w:val="single" w:sz="8" w:space="0" w:color="auto"/>
            </w:tcBorders>
            <w:shd w:val="clear" w:color="auto" w:fill="auto"/>
            <w:noWrap/>
            <w:vAlign w:val="bottom"/>
            <w:hideMark/>
          </w:tcPr>
          <w:p w14:paraId="26ABCC0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16,719</w:t>
            </w:r>
          </w:p>
        </w:tc>
        <w:tc>
          <w:tcPr>
            <w:tcW w:w="0" w:type="auto"/>
            <w:tcBorders>
              <w:top w:val="nil"/>
              <w:left w:val="nil"/>
              <w:bottom w:val="single" w:sz="4" w:space="0" w:color="auto"/>
              <w:right w:val="single" w:sz="4" w:space="0" w:color="auto"/>
            </w:tcBorders>
            <w:shd w:val="clear" w:color="auto" w:fill="auto"/>
            <w:noWrap/>
            <w:vAlign w:val="bottom"/>
            <w:hideMark/>
          </w:tcPr>
          <w:p w14:paraId="26ABCC0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272,720</w:t>
            </w:r>
          </w:p>
        </w:tc>
        <w:tc>
          <w:tcPr>
            <w:tcW w:w="0" w:type="auto"/>
            <w:tcBorders>
              <w:top w:val="nil"/>
              <w:left w:val="nil"/>
              <w:bottom w:val="single" w:sz="4" w:space="0" w:color="auto"/>
              <w:right w:val="single" w:sz="4" w:space="0" w:color="auto"/>
            </w:tcBorders>
            <w:shd w:val="clear" w:color="auto" w:fill="auto"/>
            <w:noWrap/>
            <w:vAlign w:val="bottom"/>
            <w:hideMark/>
          </w:tcPr>
          <w:p w14:paraId="26ABCC0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95,805</w:t>
            </w:r>
          </w:p>
        </w:tc>
        <w:tc>
          <w:tcPr>
            <w:tcW w:w="0" w:type="auto"/>
            <w:tcBorders>
              <w:top w:val="nil"/>
              <w:left w:val="nil"/>
              <w:bottom w:val="single" w:sz="4" w:space="0" w:color="auto"/>
              <w:right w:val="single" w:sz="4" w:space="0" w:color="auto"/>
            </w:tcBorders>
            <w:shd w:val="clear" w:color="auto" w:fill="auto"/>
            <w:noWrap/>
            <w:vAlign w:val="bottom"/>
            <w:hideMark/>
          </w:tcPr>
          <w:p w14:paraId="26ABCC0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27.6</w:t>
            </w:r>
          </w:p>
        </w:tc>
        <w:tc>
          <w:tcPr>
            <w:tcW w:w="0" w:type="auto"/>
            <w:tcBorders>
              <w:top w:val="nil"/>
              <w:left w:val="nil"/>
              <w:bottom w:val="single" w:sz="4" w:space="0" w:color="auto"/>
              <w:right w:val="single" w:sz="8" w:space="0" w:color="auto"/>
            </w:tcBorders>
            <w:shd w:val="clear" w:color="auto" w:fill="auto"/>
            <w:noWrap/>
            <w:vAlign w:val="bottom"/>
            <w:hideMark/>
          </w:tcPr>
          <w:p w14:paraId="26ABCC0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17,209</w:t>
            </w:r>
          </w:p>
        </w:tc>
        <w:tc>
          <w:tcPr>
            <w:tcW w:w="0" w:type="auto"/>
            <w:tcBorders>
              <w:top w:val="nil"/>
              <w:left w:val="nil"/>
              <w:bottom w:val="single" w:sz="4" w:space="0" w:color="auto"/>
              <w:right w:val="single" w:sz="4" w:space="0" w:color="auto"/>
            </w:tcBorders>
            <w:shd w:val="clear" w:color="auto" w:fill="auto"/>
            <w:noWrap/>
            <w:vAlign w:val="bottom"/>
            <w:hideMark/>
          </w:tcPr>
          <w:p w14:paraId="26ABCC0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270,010</w:t>
            </w:r>
          </w:p>
        </w:tc>
        <w:tc>
          <w:tcPr>
            <w:tcW w:w="0" w:type="auto"/>
            <w:tcBorders>
              <w:top w:val="nil"/>
              <w:left w:val="nil"/>
              <w:bottom w:val="single" w:sz="4" w:space="0" w:color="auto"/>
              <w:right w:val="single" w:sz="4" w:space="0" w:color="auto"/>
            </w:tcBorders>
            <w:shd w:val="clear" w:color="auto" w:fill="auto"/>
            <w:noWrap/>
            <w:vAlign w:val="bottom"/>
            <w:hideMark/>
          </w:tcPr>
          <w:p w14:paraId="26ABCC0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97,002</w:t>
            </w:r>
          </w:p>
        </w:tc>
        <w:tc>
          <w:tcPr>
            <w:tcW w:w="0" w:type="auto"/>
            <w:tcBorders>
              <w:top w:val="nil"/>
              <w:left w:val="nil"/>
              <w:bottom w:val="single" w:sz="4" w:space="0" w:color="auto"/>
              <w:right w:val="single" w:sz="4" w:space="0" w:color="auto"/>
            </w:tcBorders>
            <w:shd w:val="clear" w:color="auto" w:fill="auto"/>
            <w:noWrap/>
            <w:vAlign w:val="bottom"/>
            <w:hideMark/>
          </w:tcPr>
          <w:p w14:paraId="26ABCC0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28.2</w:t>
            </w:r>
          </w:p>
        </w:tc>
        <w:tc>
          <w:tcPr>
            <w:tcW w:w="0" w:type="auto"/>
            <w:tcBorders>
              <w:top w:val="nil"/>
              <w:left w:val="nil"/>
              <w:bottom w:val="single" w:sz="4" w:space="0" w:color="auto"/>
              <w:right w:val="single" w:sz="8" w:space="0" w:color="auto"/>
            </w:tcBorders>
            <w:shd w:val="clear" w:color="auto" w:fill="auto"/>
            <w:noWrap/>
            <w:vAlign w:val="bottom"/>
            <w:hideMark/>
          </w:tcPr>
          <w:p w14:paraId="26ABCC0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22,372</w:t>
            </w:r>
          </w:p>
        </w:tc>
        <w:tc>
          <w:tcPr>
            <w:tcW w:w="0" w:type="auto"/>
            <w:tcBorders>
              <w:top w:val="nil"/>
              <w:left w:val="nil"/>
              <w:bottom w:val="single" w:sz="4" w:space="0" w:color="auto"/>
              <w:right w:val="single" w:sz="4" w:space="0" w:color="auto"/>
            </w:tcBorders>
            <w:shd w:val="clear" w:color="auto" w:fill="auto"/>
            <w:noWrap/>
            <w:vAlign w:val="bottom"/>
            <w:hideMark/>
          </w:tcPr>
          <w:p w14:paraId="26ABCC0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279,430</w:t>
            </w:r>
          </w:p>
        </w:tc>
        <w:tc>
          <w:tcPr>
            <w:tcW w:w="0" w:type="auto"/>
            <w:tcBorders>
              <w:top w:val="nil"/>
              <w:left w:val="nil"/>
              <w:bottom w:val="single" w:sz="4" w:space="0" w:color="auto"/>
              <w:right w:val="single" w:sz="4" w:space="0" w:color="auto"/>
            </w:tcBorders>
            <w:shd w:val="clear" w:color="auto" w:fill="auto"/>
            <w:noWrap/>
            <w:vAlign w:val="bottom"/>
            <w:hideMark/>
          </w:tcPr>
          <w:p w14:paraId="26ABCC0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96,586</w:t>
            </w:r>
          </w:p>
        </w:tc>
        <w:tc>
          <w:tcPr>
            <w:tcW w:w="0" w:type="auto"/>
            <w:tcBorders>
              <w:top w:val="nil"/>
              <w:left w:val="nil"/>
              <w:bottom w:val="single" w:sz="4" w:space="0" w:color="auto"/>
              <w:right w:val="single" w:sz="4" w:space="0" w:color="auto"/>
            </w:tcBorders>
            <w:shd w:val="clear" w:color="auto" w:fill="auto"/>
            <w:noWrap/>
            <w:vAlign w:val="bottom"/>
            <w:hideMark/>
          </w:tcPr>
          <w:p w14:paraId="26ABCC1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28.1</w:t>
            </w:r>
          </w:p>
        </w:tc>
        <w:tc>
          <w:tcPr>
            <w:tcW w:w="0" w:type="auto"/>
            <w:tcBorders>
              <w:top w:val="nil"/>
              <w:left w:val="nil"/>
              <w:bottom w:val="single" w:sz="4" w:space="0" w:color="auto"/>
              <w:right w:val="single" w:sz="8" w:space="0" w:color="auto"/>
            </w:tcBorders>
            <w:shd w:val="clear" w:color="auto" w:fill="auto"/>
            <w:noWrap/>
            <w:vAlign w:val="bottom"/>
            <w:hideMark/>
          </w:tcPr>
          <w:p w14:paraId="26ABCC1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22,402</w:t>
            </w:r>
          </w:p>
        </w:tc>
      </w:tr>
      <w:tr w:rsidR="00A12F9B" w:rsidRPr="00CE60B2" w14:paraId="26ABCC25"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13"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Leeuwin</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1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56,400</w:t>
            </w:r>
          </w:p>
        </w:tc>
        <w:tc>
          <w:tcPr>
            <w:tcW w:w="0" w:type="auto"/>
            <w:tcBorders>
              <w:top w:val="nil"/>
              <w:left w:val="nil"/>
              <w:bottom w:val="single" w:sz="4" w:space="0" w:color="auto"/>
              <w:right w:val="single" w:sz="4" w:space="0" w:color="auto"/>
            </w:tcBorders>
            <w:shd w:val="clear" w:color="auto" w:fill="auto"/>
            <w:noWrap/>
            <w:vAlign w:val="bottom"/>
            <w:hideMark/>
          </w:tcPr>
          <w:p w14:paraId="26ABCC1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19,552</w:t>
            </w:r>
          </w:p>
        </w:tc>
        <w:tc>
          <w:tcPr>
            <w:tcW w:w="0" w:type="auto"/>
            <w:tcBorders>
              <w:top w:val="nil"/>
              <w:left w:val="nil"/>
              <w:bottom w:val="single" w:sz="4" w:space="0" w:color="auto"/>
              <w:right w:val="single" w:sz="4" w:space="0" w:color="auto"/>
            </w:tcBorders>
            <w:shd w:val="clear" w:color="auto" w:fill="auto"/>
            <w:noWrap/>
            <w:vAlign w:val="bottom"/>
            <w:hideMark/>
          </w:tcPr>
          <w:p w14:paraId="26ABCC1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8,480</w:t>
            </w:r>
          </w:p>
        </w:tc>
        <w:tc>
          <w:tcPr>
            <w:tcW w:w="0" w:type="auto"/>
            <w:tcBorders>
              <w:top w:val="nil"/>
              <w:left w:val="nil"/>
              <w:bottom w:val="single" w:sz="4" w:space="0" w:color="auto"/>
              <w:right w:val="single" w:sz="4" w:space="0" w:color="auto"/>
            </w:tcBorders>
            <w:shd w:val="clear" w:color="auto" w:fill="auto"/>
            <w:noWrap/>
            <w:vAlign w:val="bottom"/>
            <w:hideMark/>
          </w:tcPr>
          <w:p w14:paraId="26ABCC1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15.0</w:t>
            </w:r>
          </w:p>
        </w:tc>
        <w:tc>
          <w:tcPr>
            <w:tcW w:w="0" w:type="auto"/>
            <w:tcBorders>
              <w:top w:val="nil"/>
              <w:left w:val="nil"/>
              <w:bottom w:val="single" w:sz="4" w:space="0" w:color="auto"/>
              <w:right w:val="single" w:sz="8" w:space="0" w:color="auto"/>
            </w:tcBorders>
            <w:shd w:val="clear" w:color="auto" w:fill="auto"/>
            <w:noWrap/>
            <w:vAlign w:val="bottom"/>
            <w:hideMark/>
          </w:tcPr>
          <w:p w14:paraId="26ABCC1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41</w:t>
            </w:r>
          </w:p>
        </w:tc>
        <w:tc>
          <w:tcPr>
            <w:tcW w:w="0" w:type="auto"/>
            <w:tcBorders>
              <w:top w:val="nil"/>
              <w:left w:val="nil"/>
              <w:bottom w:val="single" w:sz="4" w:space="0" w:color="auto"/>
              <w:right w:val="single" w:sz="4" w:space="0" w:color="auto"/>
            </w:tcBorders>
            <w:shd w:val="clear" w:color="auto" w:fill="auto"/>
            <w:noWrap/>
            <w:vAlign w:val="bottom"/>
            <w:hideMark/>
          </w:tcPr>
          <w:p w14:paraId="26ABCC1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10,660</w:t>
            </w:r>
          </w:p>
        </w:tc>
        <w:tc>
          <w:tcPr>
            <w:tcW w:w="0" w:type="auto"/>
            <w:tcBorders>
              <w:top w:val="nil"/>
              <w:left w:val="nil"/>
              <w:bottom w:val="single" w:sz="4" w:space="0" w:color="auto"/>
              <w:right w:val="single" w:sz="4" w:space="0" w:color="auto"/>
            </w:tcBorders>
            <w:shd w:val="clear" w:color="auto" w:fill="auto"/>
            <w:noWrap/>
            <w:vAlign w:val="bottom"/>
            <w:hideMark/>
          </w:tcPr>
          <w:p w14:paraId="26ABCC1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8,693</w:t>
            </w:r>
          </w:p>
        </w:tc>
        <w:tc>
          <w:tcPr>
            <w:tcW w:w="0" w:type="auto"/>
            <w:tcBorders>
              <w:top w:val="nil"/>
              <w:left w:val="nil"/>
              <w:bottom w:val="single" w:sz="4" w:space="0" w:color="auto"/>
              <w:right w:val="single" w:sz="4" w:space="0" w:color="auto"/>
            </w:tcBorders>
            <w:shd w:val="clear" w:color="auto" w:fill="auto"/>
            <w:noWrap/>
            <w:vAlign w:val="bottom"/>
            <w:hideMark/>
          </w:tcPr>
          <w:p w14:paraId="26ABCC1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15.4</w:t>
            </w:r>
          </w:p>
        </w:tc>
        <w:tc>
          <w:tcPr>
            <w:tcW w:w="0" w:type="auto"/>
            <w:tcBorders>
              <w:top w:val="nil"/>
              <w:left w:val="nil"/>
              <w:bottom w:val="single" w:sz="4" w:space="0" w:color="auto"/>
              <w:right w:val="single" w:sz="8" w:space="0" w:color="auto"/>
            </w:tcBorders>
            <w:shd w:val="clear" w:color="auto" w:fill="auto"/>
            <w:noWrap/>
            <w:vAlign w:val="bottom"/>
            <w:hideMark/>
          </w:tcPr>
          <w:p w14:paraId="26ABCC1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54</w:t>
            </w:r>
          </w:p>
        </w:tc>
        <w:tc>
          <w:tcPr>
            <w:tcW w:w="0" w:type="auto"/>
            <w:tcBorders>
              <w:top w:val="nil"/>
              <w:left w:val="nil"/>
              <w:bottom w:val="single" w:sz="4" w:space="0" w:color="auto"/>
              <w:right w:val="single" w:sz="4" w:space="0" w:color="auto"/>
            </w:tcBorders>
            <w:shd w:val="clear" w:color="auto" w:fill="auto"/>
            <w:noWrap/>
            <w:vAlign w:val="bottom"/>
            <w:hideMark/>
          </w:tcPr>
          <w:p w14:paraId="26ABCC1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10,720</w:t>
            </w:r>
          </w:p>
        </w:tc>
        <w:tc>
          <w:tcPr>
            <w:tcW w:w="0" w:type="auto"/>
            <w:tcBorders>
              <w:top w:val="nil"/>
              <w:left w:val="nil"/>
              <w:bottom w:val="single" w:sz="4" w:space="0" w:color="auto"/>
              <w:right w:val="single" w:sz="4" w:space="0" w:color="auto"/>
            </w:tcBorders>
            <w:shd w:val="clear" w:color="auto" w:fill="auto"/>
            <w:noWrap/>
            <w:vAlign w:val="bottom"/>
            <w:hideMark/>
          </w:tcPr>
          <w:p w14:paraId="26ABCC1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8,736</w:t>
            </w:r>
          </w:p>
        </w:tc>
        <w:tc>
          <w:tcPr>
            <w:tcW w:w="0" w:type="auto"/>
            <w:tcBorders>
              <w:top w:val="nil"/>
              <w:left w:val="nil"/>
              <w:bottom w:val="single" w:sz="4" w:space="0" w:color="auto"/>
              <w:right w:val="single" w:sz="4" w:space="0" w:color="auto"/>
            </w:tcBorders>
            <w:shd w:val="clear" w:color="auto" w:fill="auto"/>
            <w:noWrap/>
            <w:vAlign w:val="bottom"/>
            <w:hideMark/>
          </w:tcPr>
          <w:p w14:paraId="26ABCC1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15.5</w:t>
            </w:r>
          </w:p>
        </w:tc>
        <w:tc>
          <w:tcPr>
            <w:tcW w:w="0" w:type="auto"/>
            <w:tcBorders>
              <w:top w:val="nil"/>
              <w:left w:val="nil"/>
              <w:bottom w:val="single" w:sz="4" w:space="0" w:color="auto"/>
              <w:right w:val="single" w:sz="8" w:space="0" w:color="auto"/>
            </w:tcBorders>
            <w:shd w:val="clear" w:color="auto" w:fill="auto"/>
            <w:noWrap/>
            <w:vAlign w:val="bottom"/>
            <w:hideMark/>
          </w:tcPr>
          <w:p w14:paraId="26ABCC2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54</w:t>
            </w:r>
          </w:p>
        </w:tc>
        <w:tc>
          <w:tcPr>
            <w:tcW w:w="0" w:type="auto"/>
            <w:tcBorders>
              <w:top w:val="nil"/>
              <w:left w:val="nil"/>
              <w:bottom w:val="single" w:sz="4" w:space="0" w:color="auto"/>
              <w:right w:val="single" w:sz="4" w:space="0" w:color="auto"/>
            </w:tcBorders>
            <w:shd w:val="clear" w:color="auto" w:fill="auto"/>
            <w:noWrap/>
            <w:vAlign w:val="bottom"/>
            <w:hideMark/>
          </w:tcPr>
          <w:p w14:paraId="26ABCC2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18,290</w:t>
            </w:r>
          </w:p>
        </w:tc>
        <w:tc>
          <w:tcPr>
            <w:tcW w:w="0" w:type="auto"/>
            <w:tcBorders>
              <w:top w:val="nil"/>
              <w:left w:val="nil"/>
              <w:bottom w:val="single" w:sz="4" w:space="0" w:color="auto"/>
              <w:right w:val="single" w:sz="4" w:space="0" w:color="auto"/>
            </w:tcBorders>
            <w:shd w:val="clear" w:color="auto" w:fill="auto"/>
            <w:noWrap/>
            <w:vAlign w:val="bottom"/>
            <w:hideMark/>
          </w:tcPr>
          <w:p w14:paraId="26ABCC2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8,650</w:t>
            </w:r>
          </w:p>
        </w:tc>
        <w:tc>
          <w:tcPr>
            <w:tcW w:w="0" w:type="auto"/>
            <w:tcBorders>
              <w:top w:val="nil"/>
              <w:left w:val="nil"/>
              <w:bottom w:val="single" w:sz="4" w:space="0" w:color="auto"/>
              <w:right w:val="single" w:sz="4" w:space="0" w:color="auto"/>
            </w:tcBorders>
            <w:shd w:val="clear" w:color="auto" w:fill="auto"/>
            <w:noWrap/>
            <w:vAlign w:val="bottom"/>
            <w:hideMark/>
          </w:tcPr>
          <w:p w14:paraId="26ABCC2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15.3</w:t>
            </w:r>
          </w:p>
        </w:tc>
        <w:tc>
          <w:tcPr>
            <w:tcW w:w="0" w:type="auto"/>
            <w:tcBorders>
              <w:top w:val="nil"/>
              <w:left w:val="nil"/>
              <w:bottom w:val="single" w:sz="4" w:space="0" w:color="auto"/>
              <w:right w:val="single" w:sz="8" w:space="0" w:color="auto"/>
            </w:tcBorders>
            <w:shd w:val="clear" w:color="auto" w:fill="auto"/>
            <w:noWrap/>
            <w:vAlign w:val="bottom"/>
            <w:hideMark/>
          </w:tcPr>
          <w:p w14:paraId="26ABCC2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54</w:t>
            </w:r>
          </w:p>
        </w:tc>
      </w:tr>
      <w:tr w:rsidR="00A12F9B" w:rsidRPr="00CE60B2" w14:paraId="26ABCC38"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26"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Mt Lindesay</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2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126,600</w:t>
            </w:r>
          </w:p>
        </w:tc>
        <w:tc>
          <w:tcPr>
            <w:tcW w:w="0" w:type="auto"/>
            <w:tcBorders>
              <w:top w:val="nil"/>
              <w:left w:val="nil"/>
              <w:bottom w:val="single" w:sz="4" w:space="0" w:color="auto"/>
              <w:right w:val="single" w:sz="4" w:space="0" w:color="auto"/>
            </w:tcBorders>
            <w:shd w:val="clear" w:color="auto" w:fill="auto"/>
            <w:noWrap/>
            <w:vAlign w:val="bottom"/>
            <w:hideMark/>
          </w:tcPr>
          <w:p w14:paraId="26ABCC2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44,597</w:t>
            </w:r>
          </w:p>
        </w:tc>
        <w:tc>
          <w:tcPr>
            <w:tcW w:w="0" w:type="auto"/>
            <w:tcBorders>
              <w:top w:val="nil"/>
              <w:left w:val="nil"/>
              <w:bottom w:val="single" w:sz="4" w:space="0" w:color="auto"/>
              <w:right w:val="single" w:sz="4" w:space="0" w:color="auto"/>
            </w:tcBorders>
            <w:shd w:val="clear" w:color="auto" w:fill="auto"/>
            <w:noWrap/>
            <w:vAlign w:val="bottom"/>
            <w:hideMark/>
          </w:tcPr>
          <w:p w14:paraId="26ABCC2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20,608</w:t>
            </w:r>
          </w:p>
        </w:tc>
        <w:tc>
          <w:tcPr>
            <w:tcW w:w="0" w:type="auto"/>
            <w:tcBorders>
              <w:top w:val="nil"/>
              <w:left w:val="nil"/>
              <w:bottom w:val="single" w:sz="4" w:space="0" w:color="auto"/>
              <w:right w:val="single" w:sz="4" w:space="0" w:color="auto"/>
            </w:tcBorders>
            <w:shd w:val="clear" w:color="auto" w:fill="auto"/>
            <w:noWrap/>
            <w:vAlign w:val="bottom"/>
            <w:hideMark/>
          </w:tcPr>
          <w:p w14:paraId="26ABCC2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16.3</w:t>
            </w:r>
          </w:p>
        </w:tc>
        <w:tc>
          <w:tcPr>
            <w:tcW w:w="0" w:type="auto"/>
            <w:tcBorders>
              <w:top w:val="nil"/>
              <w:left w:val="nil"/>
              <w:bottom w:val="single" w:sz="4" w:space="0" w:color="auto"/>
              <w:right w:val="single" w:sz="8" w:space="0" w:color="auto"/>
            </w:tcBorders>
            <w:shd w:val="clear" w:color="auto" w:fill="auto"/>
            <w:noWrap/>
            <w:vAlign w:val="bottom"/>
            <w:hideMark/>
          </w:tcPr>
          <w:p w14:paraId="26ABCC2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93</w:t>
            </w:r>
          </w:p>
        </w:tc>
        <w:tc>
          <w:tcPr>
            <w:tcW w:w="0" w:type="auto"/>
            <w:tcBorders>
              <w:top w:val="nil"/>
              <w:left w:val="nil"/>
              <w:bottom w:val="single" w:sz="4" w:space="0" w:color="auto"/>
              <w:right w:val="single" w:sz="4" w:space="0" w:color="auto"/>
            </w:tcBorders>
            <w:shd w:val="clear" w:color="auto" w:fill="auto"/>
            <w:noWrap/>
            <w:vAlign w:val="bottom"/>
            <w:hideMark/>
          </w:tcPr>
          <w:p w14:paraId="26ABCC2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31,420</w:t>
            </w:r>
          </w:p>
        </w:tc>
        <w:tc>
          <w:tcPr>
            <w:tcW w:w="0" w:type="auto"/>
            <w:tcBorders>
              <w:top w:val="nil"/>
              <w:left w:val="nil"/>
              <w:bottom w:val="single" w:sz="4" w:space="0" w:color="auto"/>
              <w:right w:val="single" w:sz="4" w:space="0" w:color="auto"/>
            </w:tcBorders>
            <w:shd w:val="clear" w:color="auto" w:fill="auto"/>
            <w:noWrap/>
            <w:vAlign w:val="bottom"/>
            <w:hideMark/>
          </w:tcPr>
          <w:p w14:paraId="26ABCC2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24,015</w:t>
            </w:r>
          </w:p>
        </w:tc>
        <w:tc>
          <w:tcPr>
            <w:tcW w:w="0" w:type="auto"/>
            <w:tcBorders>
              <w:top w:val="nil"/>
              <w:left w:val="nil"/>
              <w:bottom w:val="single" w:sz="4" w:space="0" w:color="auto"/>
              <w:right w:val="single" w:sz="4" w:space="0" w:color="auto"/>
            </w:tcBorders>
            <w:shd w:val="clear" w:color="auto" w:fill="auto"/>
            <w:noWrap/>
            <w:vAlign w:val="bottom"/>
            <w:hideMark/>
          </w:tcPr>
          <w:p w14:paraId="26ABCC2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19.0</w:t>
            </w:r>
          </w:p>
        </w:tc>
        <w:tc>
          <w:tcPr>
            <w:tcW w:w="0" w:type="auto"/>
            <w:tcBorders>
              <w:top w:val="nil"/>
              <w:left w:val="nil"/>
              <w:bottom w:val="single" w:sz="4" w:space="0" w:color="auto"/>
              <w:right w:val="single" w:sz="8" w:space="0" w:color="auto"/>
            </w:tcBorders>
            <w:shd w:val="clear" w:color="auto" w:fill="auto"/>
            <w:noWrap/>
            <w:vAlign w:val="bottom"/>
            <w:hideMark/>
          </w:tcPr>
          <w:p w14:paraId="26ABCC2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89</w:t>
            </w:r>
          </w:p>
        </w:tc>
        <w:tc>
          <w:tcPr>
            <w:tcW w:w="0" w:type="auto"/>
            <w:tcBorders>
              <w:top w:val="nil"/>
              <w:left w:val="nil"/>
              <w:bottom w:val="single" w:sz="4" w:space="0" w:color="auto"/>
              <w:right w:val="single" w:sz="4" w:space="0" w:color="auto"/>
            </w:tcBorders>
            <w:shd w:val="clear" w:color="auto" w:fill="auto"/>
            <w:noWrap/>
            <w:vAlign w:val="bottom"/>
            <w:hideMark/>
          </w:tcPr>
          <w:p w14:paraId="26ABCC3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32,590</w:t>
            </w:r>
          </w:p>
        </w:tc>
        <w:tc>
          <w:tcPr>
            <w:tcW w:w="0" w:type="auto"/>
            <w:tcBorders>
              <w:top w:val="nil"/>
              <w:left w:val="nil"/>
              <w:bottom w:val="single" w:sz="4" w:space="0" w:color="auto"/>
              <w:right w:val="single" w:sz="4" w:space="0" w:color="auto"/>
            </w:tcBorders>
            <w:shd w:val="clear" w:color="auto" w:fill="auto"/>
            <w:noWrap/>
            <w:vAlign w:val="bottom"/>
            <w:hideMark/>
          </w:tcPr>
          <w:p w14:paraId="26ABCC3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24,113</w:t>
            </w:r>
          </w:p>
        </w:tc>
        <w:tc>
          <w:tcPr>
            <w:tcW w:w="0" w:type="auto"/>
            <w:tcBorders>
              <w:top w:val="nil"/>
              <w:left w:val="nil"/>
              <w:bottom w:val="single" w:sz="4" w:space="0" w:color="auto"/>
              <w:right w:val="single" w:sz="4" w:space="0" w:color="auto"/>
            </w:tcBorders>
            <w:shd w:val="clear" w:color="auto" w:fill="auto"/>
            <w:noWrap/>
            <w:vAlign w:val="bottom"/>
            <w:hideMark/>
          </w:tcPr>
          <w:p w14:paraId="26ABCC3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19.0</w:t>
            </w:r>
          </w:p>
        </w:tc>
        <w:tc>
          <w:tcPr>
            <w:tcW w:w="0" w:type="auto"/>
            <w:tcBorders>
              <w:top w:val="nil"/>
              <w:left w:val="nil"/>
              <w:bottom w:val="single" w:sz="4" w:space="0" w:color="auto"/>
              <w:right w:val="single" w:sz="8" w:space="0" w:color="auto"/>
            </w:tcBorders>
            <w:shd w:val="clear" w:color="auto" w:fill="auto"/>
            <w:noWrap/>
            <w:vAlign w:val="bottom"/>
            <w:hideMark/>
          </w:tcPr>
          <w:p w14:paraId="26ABCC3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365</w:t>
            </w:r>
          </w:p>
        </w:tc>
        <w:tc>
          <w:tcPr>
            <w:tcW w:w="0" w:type="auto"/>
            <w:tcBorders>
              <w:top w:val="nil"/>
              <w:left w:val="nil"/>
              <w:bottom w:val="single" w:sz="4" w:space="0" w:color="auto"/>
              <w:right w:val="single" w:sz="4" w:space="0" w:color="auto"/>
            </w:tcBorders>
            <w:shd w:val="clear" w:color="auto" w:fill="auto"/>
            <w:noWrap/>
            <w:vAlign w:val="bottom"/>
            <w:hideMark/>
          </w:tcPr>
          <w:p w14:paraId="26ABCC3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44,530</w:t>
            </w:r>
          </w:p>
        </w:tc>
        <w:tc>
          <w:tcPr>
            <w:tcW w:w="0" w:type="auto"/>
            <w:tcBorders>
              <w:top w:val="nil"/>
              <w:left w:val="nil"/>
              <w:bottom w:val="single" w:sz="4" w:space="0" w:color="auto"/>
              <w:right w:val="single" w:sz="4" w:space="0" w:color="auto"/>
            </w:tcBorders>
            <w:shd w:val="clear" w:color="auto" w:fill="auto"/>
            <w:noWrap/>
            <w:vAlign w:val="bottom"/>
            <w:hideMark/>
          </w:tcPr>
          <w:p w14:paraId="26ABCC3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24,442</w:t>
            </w:r>
          </w:p>
        </w:tc>
        <w:tc>
          <w:tcPr>
            <w:tcW w:w="0" w:type="auto"/>
            <w:tcBorders>
              <w:top w:val="nil"/>
              <w:left w:val="nil"/>
              <w:bottom w:val="single" w:sz="4" w:space="0" w:color="auto"/>
              <w:right w:val="single" w:sz="4" w:space="0" w:color="auto"/>
            </w:tcBorders>
            <w:shd w:val="clear" w:color="auto" w:fill="auto"/>
            <w:noWrap/>
            <w:vAlign w:val="bottom"/>
            <w:hideMark/>
          </w:tcPr>
          <w:p w14:paraId="26ABCC3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19.3</w:t>
            </w:r>
          </w:p>
        </w:tc>
        <w:tc>
          <w:tcPr>
            <w:tcW w:w="0" w:type="auto"/>
            <w:tcBorders>
              <w:top w:val="nil"/>
              <w:left w:val="nil"/>
              <w:bottom w:val="single" w:sz="4" w:space="0" w:color="auto"/>
              <w:right w:val="single" w:sz="8" w:space="0" w:color="auto"/>
            </w:tcBorders>
            <w:shd w:val="clear" w:color="auto" w:fill="auto"/>
            <w:noWrap/>
            <w:vAlign w:val="bottom"/>
            <w:hideMark/>
          </w:tcPr>
          <w:p w14:paraId="26ABCC3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374</w:t>
            </w:r>
          </w:p>
        </w:tc>
      </w:tr>
      <w:tr w:rsidR="00A12F9B" w:rsidRPr="00CE60B2" w14:paraId="26ABCC4B"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39"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North East</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3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717,100</w:t>
            </w:r>
          </w:p>
        </w:tc>
        <w:tc>
          <w:tcPr>
            <w:tcW w:w="0" w:type="auto"/>
            <w:tcBorders>
              <w:top w:val="nil"/>
              <w:left w:val="nil"/>
              <w:bottom w:val="single" w:sz="4" w:space="0" w:color="auto"/>
              <w:right w:val="single" w:sz="4" w:space="0" w:color="auto"/>
            </w:tcBorders>
            <w:shd w:val="clear" w:color="auto" w:fill="auto"/>
            <w:noWrap/>
            <w:vAlign w:val="bottom"/>
            <w:hideMark/>
          </w:tcPr>
          <w:p w14:paraId="26ABCC3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350,239</w:t>
            </w:r>
          </w:p>
        </w:tc>
        <w:tc>
          <w:tcPr>
            <w:tcW w:w="0" w:type="auto"/>
            <w:tcBorders>
              <w:top w:val="nil"/>
              <w:left w:val="nil"/>
              <w:bottom w:val="single" w:sz="4" w:space="0" w:color="auto"/>
              <w:right w:val="single" w:sz="4" w:space="0" w:color="auto"/>
            </w:tcBorders>
            <w:shd w:val="clear" w:color="auto" w:fill="auto"/>
            <w:noWrap/>
            <w:vAlign w:val="bottom"/>
            <w:hideMark/>
          </w:tcPr>
          <w:p w14:paraId="26ABCC3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107,581</w:t>
            </w:r>
          </w:p>
        </w:tc>
        <w:tc>
          <w:tcPr>
            <w:tcW w:w="0" w:type="auto"/>
            <w:tcBorders>
              <w:top w:val="nil"/>
              <w:left w:val="nil"/>
              <w:bottom w:val="single" w:sz="4" w:space="0" w:color="auto"/>
              <w:right w:val="single" w:sz="4" w:space="0" w:color="auto"/>
            </w:tcBorders>
            <w:shd w:val="clear" w:color="auto" w:fill="auto"/>
            <w:noWrap/>
            <w:vAlign w:val="bottom"/>
            <w:hideMark/>
          </w:tcPr>
          <w:p w14:paraId="26ABCC3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15.0</w:t>
            </w:r>
          </w:p>
        </w:tc>
        <w:tc>
          <w:tcPr>
            <w:tcW w:w="0" w:type="auto"/>
            <w:tcBorders>
              <w:top w:val="nil"/>
              <w:left w:val="nil"/>
              <w:bottom w:val="single" w:sz="4" w:space="0" w:color="auto"/>
              <w:right w:val="single" w:sz="8" w:space="0" w:color="auto"/>
            </w:tcBorders>
            <w:shd w:val="clear" w:color="auto" w:fill="auto"/>
            <w:noWrap/>
            <w:vAlign w:val="bottom"/>
            <w:hideMark/>
          </w:tcPr>
          <w:p w14:paraId="26ABCC3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7,940</w:t>
            </w:r>
          </w:p>
        </w:tc>
        <w:tc>
          <w:tcPr>
            <w:tcW w:w="0" w:type="auto"/>
            <w:tcBorders>
              <w:top w:val="nil"/>
              <w:left w:val="nil"/>
              <w:bottom w:val="single" w:sz="4" w:space="0" w:color="auto"/>
              <w:right w:val="single" w:sz="4" w:space="0" w:color="auto"/>
            </w:tcBorders>
            <w:shd w:val="clear" w:color="auto" w:fill="auto"/>
            <w:noWrap/>
            <w:vAlign w:val="bottom"/>
            <w:hideMark/>
          </w:tcPr>
          <w:p w14:paraId="26ABCC3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271,510</w:t>
            </w:r>
          </w:p>
        </w:tc>
        <w:tc>
          <w:tcPr>
            <w:tcW w:w="0" w:type="auto"/>
            <w:tcBorders>
              <w:top w:val="nil"/>
              <w:left w:val="nil"/>
              <w:bottom w:val="single" w:sz="4" w:space="0" w:color="auto"/>
              <w:right w:val="single" w:sz="4" w:space="0" w:color="auto"/>
            </w:tcBorders>
            <w:shd w:val="clear" w:color="auto" w:fill="auto"/>
            <w:noWrap/>
            <w:vAlign w:val="bottom"/>
            <w:hideMark/>
          </w:tcPr>
          <w:p w14:paraId="26ABCC4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121,826</w:t>
            </w:r>
          </w:p>
        </w:tc>
        <w:tc>
          <w:tcPr>
            <w:tcW w:w="0" w:type="auto"/>
            <w:tcBorders>
              <w:top w:val="nil"/>
              <w:left w:val="nil"/>
              <w:bottom w:val="single" w:sz="4" w:space="0" w:color="auto"/>
              <w:right w:val="single" w:sz="4" w:space="0" w:color="auto"/>
            </w:tcBorders>
            <w:shd w:val="clear" w:color="auto" w:fill="auto"/>
            <w:noWrap/>
            <w:vAlign w:val="bottom"/>
            <w:hideMark/>
          </w:tcPr>
          <w:p w14:paraId="26ABCC4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17.0</w:t>
            </w:r>
          </w:p>
        </w:tc>
        <w:tc>
          <w:tcPr>
            <w:tcW w:w="0" w:type="auto"/>
            <w:tcBorders>
              <w:top w:val="nil"/>
              <w:left w:val="nil"/>
              <w:bottom w:val="single" w:sz="4" w:space="0" w:color="auto"/>
              <w:right w:val="single" w:sz="8" w:space="0" w:color="auto"/>
            </w:tcBorders>
            <w:shd w:val="clear" w:color="auto" w:fill="auto"/>
            <w:noWrap/>
            <w:vAlign w:val="bottom"/>
            <w:hideMark/>
          </w:tcPr>
          <w:p w14:paraId="26ABCC4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7,540</w:t>
            </w:r>
          </w:p>
        </w:tc>
        <w:tc>
          <w:tcPr>
            <w:tcW w:w="0" w:type="auto"/>
            <w:tcBorders>
              <w:top w:val="nil"/>
              <w:left w:val="nil"/>
              <w:bottom w:val="single" w:sz="4" w:space="0" w:color="auto"/>
              <w:right w:val="single" w:sz="4" w:space="0" w:color="auto"/>
            </w:tcBorders>
            <w:shd w:val="clear" w:color="auto" w:fill="auto"/>
            <w:noWrap/>
            <w:vAlign w:val="bottom"/>
            <w:hideMark/>
          </w:tcPr>
          <w:p w14:paraId="26ABCC4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281,030</w:t>
            </w:r>
          </w:p>
        </w:tc>
        <w:tc>
          <w:tcPr>
            <w:tcW w:w="0" w:type="auto"/>
            <w:tcBorders>
              <w:top w:val="nil"/>
              <w:left w:val="nil"/>
              <w:bottom w:val="single" w:sz="4" w:space="0" w:color="auto"/>
              <w:right w:val="single" w:sz="4" w:space="0" w:color="auto"/>
            </w:tcBorders>
            <w:shd w:val="clear" w:color="auto" w:fill="auto"/>
            <w:noWrap/>
            <w:vAlign w:val="bottom"/>
            <w:hideMark/>
          </w:tcPr>
          <w:p w14:paraId="26ABCC4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123,922</w:t>
            </w:r>
          </w:p>
        </w:tc>
        <w:tc>
          <w:tcPr>
            <w:tcW w:w="0" w:type="auto"/>
            <w:tcBorders>
              <w:top w:val="nil"/>
              <w:left w:val="nil"/>
              <w:bottom w:val="single" w:sz="4" w:space="0" w:color="auto"/>
              <w:right w:val="single" w:sz="4" w:space="0" w:color="auto"/>
            </w:tcBorders>
            <w:shd w:val="clear" w:color="auto" w:fill="auto"/>
            <w:noWrap/>
            <w:vAlign w:val="bottom"/>
            <w:hideMark/>
          </w:tcPr>
          <w:p w14:paraId="26ABCC4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17.3</w:t>
            </w:r>
          </w:p>
        </w:tc>
        <w:tc>
          <w:tcPr>
            <w:tcW w:w="0" w:type="auto"/>
            <w:tcBorders>
              <w:top w:val="nil"/>
              <w:left w:val="nil"/>
              <w:bottom w:val="single" w:sz="4" w:space="0" w:color="auto"/>
              <w:right w:val="single" w:sz="8" w:space="0" w:color="auto"/>
            </w:tcBorders>
            <w:shd w:val="clear" w:color="auto" w:fill="auto"/>
            <w:noWrap/>
            <w:vAlign w:val="bottom"/>
            <w:hideMark/>
          </w:tcPr>
          <w:p w14:paraId="26ABCC4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16,493</w:t>
            </w:r>
          </w:p>
        </w:tc>
        <w:tc>
          <w:tcPr>
            <w:tcW w:w="0" w:type="auto"/>
            <w:tcBorders>
              <w:top w:val="nil"/>
              <w:left w:val="nil"/>
              <w:bottom w:val="single" w:sz="4" w:space="0" w:color="auto"/>
              <w:right w:val="single" w:sz="4" w:space="0" w:color="auto"/>
            </w:tcBorders>
            <w:shd w:val="clear" w:color="auto" w:fill="auto"/>
            <w:noWrap/>
            <w:vAlign w:val="bottom"/>
            <w:hideMark/>
          </w:tcPr>
          <w:p w14:paraId="26ABCC4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306,930</w:t>
            </w:r>
          </w:p>
        </w:tc>
        <w:tc>
          <w:tcPr>
            <w:tcW w:w="0" w:type="auto"/>
            <w:tcBorders>
              <w:top w:val="nil"/>
              <w:left w:val="nil"/>
              <w:bottom w:val="single" w:sz="4" w:space="0" w:color="auto"/>
              <w:right w:val="single" w:sz="4" w:space="0" w:color="auto"/>
            </w:tcBorders>
            <w:shd w:val="clear" w:color="auto" w:fill="auto"/>
            <w:noWrap/>
            <w:vAlign w:val="bottom"/>
            <w:hideMark/>
          </w:tcPr>
          <w:p w14:paraId="26ABCC4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123,482</w:t>
            </w:r>
          </w:p>
        </w:tc>
        <w:tc>
          <w:tcPr>
            <w:tcW w:w="0" w:type="auto"/>
            <w:tcBorders>
              <w:top w:val="nil"/>
              <w:left w:val="nil"/>
              <w:bottom w:val="single" w:sz="4" w:space="0" w:color="auto"/>
              <w:right w:val="single" w:sz="4" w:space="0" w:color="auto"/>
            </w:tcBorders>
            <w:shd w:val="clear" w:color="auto" w:fill="auto"/>
            <w:noWrap/>
            <w:vAlign w:val="bottom"/>
            <w:hideMark/>
          </w:tcPr>
          <w:p w14:paraId="26ABCC4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17.2</w:t>
            </w:r>
          </w:p>
        </w:tc>
        <w:tc>
          <w:tcPr>
            <w:tcW w:w="0" w:type="auto"/>
            <w:tcBorders>
              <w:top w:val="nil"/>
              <w:left w:val="nil"/>
              <w:bottom w:val="single" w:sz="4" w:space="0" w:color="auto"/>
              <w:right w:val="single" w:sz="8" w:space="0" w:color="auto"/>
            </w:tcBorders>
            <w:shd w:val="clear" w:color="auto" w:fill="auto"/>
            <w:noWrap/>
            <w:vAlign w:val="bottom"/>
            <w:hideMark/>
          </w:tcPr>
          <w:p w14:paraId="26ABCC4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16,298</w:t>
            </w:r>
          </w:p>
        </w:tc>
      </w:tr>
      <w:tr w:rsidR="00A12F9B" w:rsidRPr="00CE60B2" w14:paraId="26ABCC5E"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4C"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North West</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4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670,600</w:t>
            </w:r>
          </w:p>
        </w:tc>
        <w:tc>
          <w:tcPr>
            <w:tcW w:w="0" w:type="auto"/>
            <w:tcBorders>
              <w:top w:val="nil"/>
              <w:left w:val="nil"/>
              <w:bottom w:val="single" w:sz="4" w:space="0" w:color="auto"/>
              <w:right w:val="single" w:sz="4" w:space="0" w:color="auto"/>
            </w:tcBorders>
            <w:shd w:val="clear" w:color="auto" w:fill="auto"/>
            <w:noWrap/>
            <w:vAlign w:val="bottom"/>
            <w:hideMark/>
          </w:tcPr>
          <w:p w14:paraId="26ABCC4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499,598</w:t>
            </w:r>
          </w:p>
        </w:tc>
        <w:tc>
          <w:tcPr>
            <w:tcW w:w="0" w:type="auto"/>
            <w:tcBorders>
              <w:top w:val="nil"/>
              <w:left w:val="nil"/>
              <w:bottom w:val="single" w:sz="4" w:space="0" w:color="auto"/>
              <w:right w:val="single" w:sz="4" w:space="0" w:color="auto"/>
            </w:tcBorders>
            <w:shd w:val="clear" w:color="auto" w:fill="auto"/>
            <w:noWrap/>
            <w:vAlign w:val="bottom"/>
            <w:hideMark/>
          </w:tcPr>
          <w:p w14:paraId="26ABCC4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100,585</w:t>
            </w:r>
          </w:p>
        </w:tc>
        <w:tc>
          <w:tcPr>
            <w:tcW w:w="0" w:type="auto"/>
            <w:tcBorders>
              <w:top w:val="nil"/>
              <w:left w:val="nil"/>
              <w:bottom w:val="single" w:sz="4" w:space="0" w:color="auto"/>
              <w:right w:val="single" w:sz="4" w:space="0" w:color="auto"/>
            </w:tcBorders>
            <w:shd w:val="clear" w:color="auto" w:fill="auto"/>
            <w:noWrap/>
            <w:vAlign w:val="bottom"/>
            <w:hideMark/>
          </w:tcPr>
          <w:p w14:paraId="26ABCC5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15.0</w:t>
            </w:r>
          </w:p>
        </w:tc>
        <w:tc>
          <w:tcPr>
            <w:tcW w:w="0" w:type="auto"/>
            <w:tcBorders>
              <w:top w:val="nil"/>
              <w:left w:val="nil"/>
              <w:bottom w:val="single" w:sz="4" w:space="0" w:color="auto"/>
              <w:right w:val="single" w:sz="8" w:space="0" w:color="auto"/>
            </w:tcBorders>
            <w:shd w:val="clear" w:color="auto" w:fill="auto"/>
            <w:noWrap/>
            <w:vAlign w:val="bottom"/>
            <w:hideMark/>
          </w:tcPr>
          <w:p w14:paraId="26ABCC5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19,401</w:t>
            </w:r>
          </w:p>
        </w:tc>
        <w:tc>
          <w:tcPr>
            <w:tcW w:w="0" w:type="auto"/>
            <w:tcBorders>
              <w:top w:val="nil"/>
              <w:left w:val="nil"/>
              <w:bottom w:val="single" w:sz="4" w:space="0" w:color="auto"/>
              <w:right w:val="single" w:sz="4" w:space="0" w:color="auto"/>
            </w:tcBorders>
            <w:shd w:val="clear" w:color="auto" w:fill="auto"/>
            <w:noWrap/>
            <w:vAlign w:val="bottom"/>
            <w:hideMark/>
          </w:tcPr>
          <w:p w14:paraId="26ABCC5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453,880</w:t>
            </w:r>
          </w:p>
        </w:tc>
        <w:tc>
          <w:tcPr>
            <w:tcW w:w="0" w:type="auto"/>
            <w:tcBorders>
              <w:top w:val="nil"/>
              <w:left w:val="nil"/>
              <w:bottom w:val="single" w:sz="4" w:space="0" w:color="auto"/>
              <w:right w:val="single" w:sz="4" w:space="0" w:color="auto"/>
            </w:tcBorders>
            <w:shd w:val="clear" w:color="auto" w:fill="auto"/>
            <w:noWrap/>
            <w:vAlign w:val="bottom"/>
            <w:hideMark/>
          </w:tcPr>
          <w:p w14:paraId="26ABCC5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112,984</w:t>
            </w:r>
          </w:p>
        </w:tc>
        <w:tc>
          <w:tcPr>
            <w:tcW w:w="0" w:type="auto"/>
            <w:tcBorders>
              <w:top w:val="nil"/>
              <w:left w:val="nil"/>
              <w:bottom w:val="single" w:sz="4" w:space="0" w:color="auto"/>
              <w:right w:val="single" w:sz="4" w:space="0" w:color="auto"/>
            </w:tcBorders>
            <w:shd w:val="clear" w:color="auto" w:fill="auto"/>
            <w:noWrap/>
            <w:vAlign w:val="bottom"/>
            <w:hideMark/>
          </w:tcPr>
          <w:p w14:paraId="26ABCC5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16.8</w:t>
            </w:r>
          </w:p>
        </w:tc>
        <w:tc>
          <w:tcPr>
            <w:tcW w:w="0" w:type="auto"/>
            <w:tcBorders>
              <w:top w:val="nil"/>
              <w:left w:val="nil"/>
              <w:bottom w:val="single" w:sz="4" w:space="0" w:color="auto"/>
              <w:right w:val="single" w:sz="8" w:space="0" w:color="auto"/>
            </w:tcBorders>
            <w:shd w:val="clear" w:color="auto" w:fill="auto"/>
            <w:noWrap/>
            <w:vAlign w:val="bottom"/>
            <w:hideMark/>
          </w:tcPr>
          <w:p w14:paraId="26ABCC5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18,306</w:t>
            </w:r>
          </w:p>
        </w:tc>
        <w:tc>
          <w:tcPr>
            <w:tcW w:w="0" w:type="auto"/>
            <w:tcBorders>
              <w:top w:val="nil"/>
              <w:left w:val="nil"/>
              <w:bottom w:val="single" w:sz="4" w:space="0" w:color="auto"/>
              <w:right w:val="single" w:sz="4" w:space="0" w:color="auto"/>
            </w:tcBorders>
            <w:shd w:val="clear" w:color="auto" w:fill="auto"/>
            <w:noWrap/>
            <w:vAlign w:val="bottom"/>
            <w:hideMark/>
          </w:tcPr>
          <w:p w14:paraId="26ABCC5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455,250</w:t>
            </w:r>
          </w:p>
        </w:tc>
        <w:tc>
          <w:tcPr>
            <w:tcW w:w="0" w:type="auto"/>
            <w:tcBorders>
              <w:top w:val="nil"/>
              <w:left w:val="nil"/>
              <w:bottom w:val="single" w:sz="4" w:space="0" w:color="auto"/>
              <w:right w:val="single" w:sz="4" w:space="0" w:color="auto"/>
            </w:tcBorders>
            <w:shd w:val="clear" w:color="auto" w:fill="auto"/>
            <w:noWrap/>
            <w:vAlign w:val="bottom"/>
            <w:hideMark/>
          </w:tcPr>
          <w:p w14:paraId="26ABCC5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114,411</w:t>
            </w:r>
          </w:p>
        </w:tc>
        <w:tc>
          <w:tcPr>
            <w:tcW w:w="0" w:type="auto"/>
            <w:tcBorders>
              <w:top w:val="nil"/>
              <w:left w:val="nil"/>
              <w:bottom w:val="single" w:sz="4" w:space="0" w:color="auto"/>
              <w:right w:val="single" w:sz="4" w:space="0" w:color="auto"/>
            </w:tcBorders>
            <w:shd w:val="clear" w:color="auto" w:fill="auto"/>
            <w:noWrap/>
            <w:vAlign w:val="bottom"/>
            <w:hideMark/>
          </w:tcPr>
          <w:p w14:paraId="26ABCC5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17.1</w:t>
            </w:r>
          </w:p>
        </w:tc>
        <w:tc>
          <w:tcPr>
            <w:tcW w:w="0" w:type="auto"/>
            <w:tcBorders>
              <w:top w:val="nil"/>
              <w:left w:val="nil"/>
              <w:bottom w:val="single" w:sz="4" w:space="0" w:color="auto"/>
              <w:right w:val="single" w:sz="8" w:space="0" w:color="auto"/>
            </w:tcBorders>
            <w:shd w:val="clear" w:color="auto" w:fill="auto"/>
            <w:noWrap/>
            <w:vAlign w:val="bottom"/>
            <w:hideMark/>
          </w:tcPr>
          <w:p w14:paraId="26ABCC5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39,372</w:t>
            </w:r>
          </w:p>
        </w:tc>
        <w:tc>
          <w:tcPr>
            <w:tcW w:w="0" w:type="auto"/>
            <w:tcBorders>
              <w:top w:val="nil"/>
              <w:left w:val="nil"/>
              <w:bottom w:val="single" w:sz="4" w:space="0" w:color="auto"/>
              <w:right w:val="single" w:sz="4" w:space="0" w:color="auto"/>
            </w:tcBorders>
            <w:shd w:val="clear" w:color="auto" w:fill="auto"/>
            <w:noWrap/>
            <w:vAlign w:val="bottom"/>
            <w:hideMark/>
          </w:tcPr>
          <w:p w14:paraId="26ABCC5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475,040</w:t>
            </w:r>
          </w:p>
        </w:tc>
        <w:tc>
          <w:tcPr>
            <w:tcW w:w="0" w:type="auto"/>
            <w:tcBorders>
              <w:top w:val="nil"/>
              <w:left w:val="nil"/>
              <w:bottom w:val="single" w:sz="4" w:space="0" w:color="auto"/>
              <w:right w:val="single" w:sz="4" w:space="0" w:color="auto"/>
            </w:tcBorders>
            <w:shd w:val="clear" w:color="auto" w:fill="auto"/>
            <w:noWrap/>
            <w:vAlign w:val="bottom"/>
            <w:hideMark/>
          </w:tcPr>
          <w:p w14:paraId="26ABCC5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114,280</w:t>
            </w:r>
          </w:p>
        </w:tc>
        <w:tc>
          <w:tcPr>
            <w:tcW w:w="0" w:type="auto"/>
            <w:tcBorders>
              <w:top w:val="nil"/>
              <w:left w:val="nil"/>
              <w:bottom w:val="single" w:sz="4" w:space="0" w:color="auto"/>
              <w:right w:val="single" w:sz="4" w:space="0" w:color="auto"/>
            </w:tcBorders>
            <w:shd w:val="clear" w:color="auto" w:fill="auto"/>
            <w:noWrap/>
            <w:vAlign w:val="bottom"/>
            <w:hideMark/>
          </w:tcPr>
          <w:p w14:paraId="26ABCC5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17.0</w:t>
            </w:r>
          </w:p>
        </w:tc>
        <w:tc>
          <w:tcPr>
            <w:tcW w:w="0" w:type="auto"/>
            <w:tcBorders>
              <w:top w:val="nil"/>
              <w:left w:val="nil"/>
              <w:bottom w:val="single" w:sz="4" w:space="0" w:color="auto"/>
              <w:right w:val="single" w:sz="8" w:space="0" w:color="auto"/>
            </w:tcBorders>
            <w:shd w:val="clear" w:color="auto" w:fill="auto"/>
            <w:noWrap/>
            <w:vAlign w:val="bottom"/>
            <w:hideMark/>
          </w:tcPr>
          <w:p w14:paraId="26ABCC5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39,186</w:t>
            </w:r>
          </w:p>
        </w:tc>
      </w:tr>
      <w:tr w:rsidR="00A12F9B" w:rsidRPr="00CE60B2" w14:paraId="26ABCC71"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5F"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Rate's Tingle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6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1,500</w:t>
            </w:r>
          </w:p>
        </w:tc>
        <w:tc>
          <w:tcPr>
            <w:tcW w:w="0" w:type="auto"/>
            <w:tcBorders>
              <w:top w:val="nil"/>
              <w:left w:val="nil"/>
              <w:bottom w:val="single" w:sz="4" w:space="0" w:color="auto"/>
              <w:right w:val="single" w:sz="4" w:space="0" w:color="auto"/>
            </w:tcBorders>
            <w:shd w:val="clear" w:color="auto" w:fill="auto"/>
            <w:noWrap/>
            <w:vAlign w:val="bottom"/>
            <w:hideMark/>
          </w:tcPr>
          <w:p w14:paraId="26ABCC6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1,246</w:t>
            </w:r>
          </w:p>
        </w:tc>
        <w:tc>
          <w:tcPr>
            <w:tcW w:w="0" w:type="auto"/>
            <w:tcBorders>
              <w:top w:val="nil"/>
              <w:left w:val="nil"/>
              <w:bottom w:val="single" w:sz="4" w:space="0" w:color="auto"/>
              <w:right w:val="single" w:sz="4" w:space="0" w:color="auto"/>
            </w:tcBorders>
            <w:shd w:val="clear" w:color="auto" w:fill="auto"/>
            <w:noWrap/>
            <w:vAlign w:val="bottom"/>
            <w:hideMark/>
          </w:tcPr>
          <w:p w14:paraId="26ABCC6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1,069</w:t>
            </w:r>
          </w:p>
        </w:tc>
        <w:tc>
          <w:tcPr>
            <w:tcW w:w="0" w:type="auto"/>
            <w:tcBorders>
              <w:top w:val="nil"/>
              <w:left w:val="nil"/>
              <w:bottom w:val="single" w:sz="4" w:space="0" w:color="auto"/>
              <w:right w:val="single" w:sz="4" w:space="0" w:color="auto"/>
            </w:tcBorders>
            <w:shd w:val="clear" w:color="auto" w:fill="auto"/>
            <w:noWrap/>
            <w:vAlign w:val="bottom"/>
            <w:hideMark/>
          </w:tcPr>
          <w:p w14:paraId="26ABCC6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85.8</w:t>
            </w:r>
          </w:p>
        </w:tc>
        <w:tc>
          <w:tcPr>
            <w:tcW w:w="0" w:type="auto"/>
            <w:tcBorders>
              <w:top w:val="nil"/>
              <w:left w:val="nil"/>
              <w:bottom w:val="single" w:sz="4" w:space="0" w:color="auto"/>
              <w:right w:val="single" w:sz="8" w:space="0" w:color="auto"/>
            </w:tcBorders>
            <w:shd w:val="clear" w:color="auto" w:fill="auto"/>
            <w:noWrap/>
            <w:vAlign w:val="bottom"/>
            <w:hideMark/>
          </w:tcPr>
          <w:p w14:paraId="26ABCC6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C6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1,160</w:t>
            </w:r>
          </w:p>
        </w:tc>
        <w:tc>
          <w:tcPr>
            <w:tcW w:w="0" w:type="auto"/>
            <w:tcBorders>
              <w:top w:val="nil"/>
              <w:left w:val="nil"/>
              <w:bottom w:val="single" w:sz="4" w:space="0" w:color="auto"/>
              <w:right w:val="single" w:sz="4" w:space="0" w:color="auto"/>
            </w:tcBorders>
            <w:shd w:val="clear" w:color="auto" w:fill="auto"/>
            <w:noWrap/>
            <w:vAlign w:val="bottom"/>
            <w:hideMark/>
          </w:tcPr>
          <w:p w14:paraId="26ABCC6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1,156</w:t>
            </w:r>
          </w:p>
        </w:tc>
        <w:tc>
          <w:tcPr>
            <w:tcW w:w="0" w:type="auto"/>
            <w:tcBorders>
              <w:top w:val="nil"/>
              <w:left w:val="nil"/>
              <w:bottom w:val="single" w:sz="4" w:space="0" w:color="auto"/>
              <w:right w:val="single" w:sz="4" w:space="0" w:color="auto"/>
            </w:tcBorders>
            <w:shd w:val="clear" w:color="auto" w:fill="auto"/>
            <w:noWrap/>
            <w:vAlign w:val="bottom"/>
            <w:hideMark/>
          </w:tcPr>
          <w:p w14:paraId="26ABCC6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99.6</w:t>
            </w:r>
          </w:p>
        </w:tc>
        <w:tc>
          <w:tcPr>
            <w:tcW w:w="0" w:type="auto"/>
            <w:tcBorders>
              <w:top w:val="nil"/>
              <w:left w:val="nil"/>
              <w:bottom w:val="single" w:sz="4" w:space="0" w:color="auto"/>
              <w:right w:val="single" w:sz="8" w:space="0" w:color="auto"/>
            </w:tcBorders>
            <w:shd w:val="clear" w:color="auto" w:fill="auto"/>
            <w:noWrap/>
            <w:vAlign w:val="bottom"/>
            <w:hideMark/>
          </w:tcPr>
          <w:p w14:paraId="26ABCC6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C6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1,160</w:t>
            </w:r>
          </w:p>
        </w:tc>
        <w:tc>
          <w:tcPr>
            <w:tcW w:w="0" w:type="auto"/>
            <w:tcBorders>
              <w:top w:val="nil"/>
              <w:left w:val="nil"/>
              <w:bottom w:val="single" w:sz="4" w:space="0" w:color="auto"/>
              <w:right w:val="single" w:sz="4" w:space="0" w:color="auto"/>
            </w:tcBorders>
            <w:shd w:val="clear" w:color="auto" w:fill="auto"/>
            <w:noWrap/>
            <w:vAlign w:val="bottom"/>
            <w:hideMark/>
          </w:tcPr>
          <w:p w14:paraId="26ABCC6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1,156</w:t>
            </w:r>
          </w:p>
        </w:tc>
        <w:tc>
          <w:tcPr>
            <w:tcW w:w="0" w:type="auto"/>
            <w:tcBorders>
              <w:top w:val="nil"/>
              <w:left w:val="nil"/>
              <w:bottom w:val="single" w:sz="4" w:space="0" w:color="auto"/>
              <w:right w:val="single" w:sz="4" w:space="0" w:color="auto"/>
            </w:tcBorders>
            <w:shd w:val="clear" w:color="auto" w:fill="auto"/>
            <w:noWrap/>
            <w:vAlign w:val="bottom"/>
            <w:hideMark/>
          </w:tcPr>
          <w:p w14:paraId="26ABCC6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99.6</w:t>
            </w:r>
          </w:p>
        </w:tc>
        <w:tc>
          <w:tcPr>
            <w:tcW w:w="0" w:type="auto"/>
            <w:tcBorders>
              <w:top w:val="nil"/>
              <w:left w:val="nil"/>
              <w:bottom w:val="single" w:sz="4" w:space="0" w:color="auto"/>
              <w:right w:val="single" w:sz="8" w:space="0" w:color="auto"/>
            </w:tcBorders>
            <w:shd w:val="clear" w:color="auto" w:fill="auto"/>
            <w:noWrap/>
            <w:vAlign w:val="bottom"/>
            <w:hideMark/>
          </w:tcPr>
          <w:p w14:paraId="26ABCC6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C6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1,160</w:t>
            </w:r>
          </w:p>
        </w:tc>
        <w:tc>
          <w:tcPr>
            <w:tcW w:w="0" w:type="auto"/>
            <w:tcBorders>
              <w:top w:val="nil"/>
              <w:left w:val="nil"/>
              <w:bottom w:val="single" w:sz="4" w:space="0" w:color="auto"/>
              <w:right w:val="single" w:sz="4" w:space="0" w:color="auto"/>
            </w:tcBorders>
            <w:shd w:val="clear" w:color="auto" w:fill="auto"/>
            <w:noWrap/>
            <w:vAlign w:val="bottom"/>
            <w:hideMark/>
          </w:tcPr>
          <w:p w14:paraId="26ABCC6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1,156</w:t>
            </w:r>
          </w:p>
        </w:tc>
        <w:tc>
          <w:tcPr>
            <w:tcW w:w="0" w:type="auto"/>
            <w:tcBorders>
              <w:top w:val="nil"/>
              <w:left w:val="nil"/>
              <w:bottom w:val="single" w:sz="4" w:space="0" w:color="auto"/>
              <w:right w:val="single" w:sz="4" w:space="0" w:color="auto"/>
            </w:tcBorders>
            <w:shd w:val="clear" w:color="auto" w:fill="auto"/>
            <w:noWrap/>
            <w:vAlign w:val="bottom"/>
            <w:hideMark/>
          </w:tcPr>
          <w:p w14:paraId="26ABCC6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99.6</w:t>
            </w:r>
          </w:p>
        </w:tc>
        <w:tc>
          <w:tcPr>
            <w:tcW w:w="0" w:type="auto"/>
            <w:tcBorders>
              <w:top w:val="nil"/>
              <w:left w:val="nil"/>
              <w:bottom w:val="single" w:sz="4" w:space="0" w:color="auto"/>
              <w:right w:val="single" w:sz="8" w:space="0" w:color="auto"/>
            </w:tcBorders>
            <w:shd w:val="clear" w:color="auto" w:fill="auto"/>
            <w:noWrap/>
            <w:vAlign w:val="bottom"/>
            <w:hideMark/>
          </w:tcPr>
          <w:p w14:paraId="26ABCC7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r>
      <w:tr w:rsidR="00A12F9B" w:rsidRPr="00CE60B2" w14:paraId="26ABCC84"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72"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Red Tingle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7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350</w:t>
            </w:r>
          </w:p>
        </w:tc>
        <w:tc>
          <w:tcPr>
            <w:tcW w:w="0" w:type="auto"/>
            <w:tcBorders>
              <w:top w:val="nil"/>
              <w:left w:val="nil"/>
              <w:bottom w:val="single" w:sz="4" w:space="0" w:color="auto"/>
              <w:right w:val="single" w:sz="4" w:space="0" w:color="auto"/>
            </w:tcBorders>
            <w:shd w:val="clear" w:color="auto" w:fill="auto"/>
            <w:noWrap/>
            <w:vAlign w:val="bottom"/>
            <w:hideMark/>
          </w:tcPr>
          <w:p w14:paraId="26ABCC7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266</w:t>
            </w:r>
          </w:p>
        </w:tc>
        <w:tc>
          <w:tcPr>
            <w:tcW w:w="0" w:type="auto"/>
            <w:tcBorders>
              <w:top w:val="nil"/>
              <w:left w:val="nil"/>
              <w:bottom w:val="single" w:sz="4" w:space="0" w:color="auto"/>
              <w:right w:val="single" w:sz="4" w:space="0" w:color="auto"/>
            </w:tcBorders>
            <w:shd w:val="clear" w:color="auto" w:fill="auto"/>
            <w:noWrap/>
            <w:vAlign w:val="bottom"/>
            <w:hideMark/>
          </w:tcPr>
          <w:p w14:paraId="26ABCC7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226</w:t>
            </w:r>
          </w:p>
        </w:tc>
        <w:tc>
          <w:tcPr>
            <w:tcW w:w="0" w:type="auto"/>
            <w:tcBorders>
              <w:top w:val="nil"/>
              <w:left w:val="nil"/>
              <w:bottom w:val="single" w:sz="4" w:space="0" w:color="auto"/>
              <w:right w:val="single" w:sz="4" w:space="0" w:color="auto"/>
            </w:tcBorders>
            <w:shd w:val="clear" w:color="auto" w:fill="auto"/>
            <w:noWrap/>
            <w:vAlign w:val="bottom"/>
            <w:hideMark/>
          </w:tcPr>
          <w:p w14:paraId="26ABCC7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85.0</w:t>
            </w:r>
          </w:p>
        </w:tc>
        <w:tc>
          <w:tcPr>
            <w:tcW w:w="0" w:type="auto"/>
            <w:tcBorders>
              <w:top w:val="nil"/>
              <w:left w:val="nil"/>
              <w:bottom w:val="single" w:sz="4" w:space="0" w:color="auto"/>
              <w:right w:val="single" w:sz="8" w:space="0" w:color="auto"/>
            </w:tcBorders>
            <w:shd w:val="clear" w:color="auto" w:fill="auto"/>
            <w:noWrap/>
            <w:vAlign w:val="bottom"/>
            <w:hideMark/>
          </w:tcPr>
          <w:p w14:paraId="26ABCC7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C7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230</w:t>
            </w:r>
          </w:p>
        </w:tc>
        <w:tc>
          <w:tcPr>
            <w:tcW w:w="0" w:type="auto"/>
            <w:tcBorders>
              <w:top w:val="nil"/>
              <w:left w:val="nil"/>
              <w:bottom w:val="single" w:sz="4" w:space="0" w:color="auto"/>
              <w:right w:val="single" w:sz="4" w:space="0" w:color="auto"/>
            </w:tcBorders>
            <w:shd w:val="clear" w:color="auto" w:fill="auto"/>
            <w:noWrap/>
            <w:vAlign w:val="bottom"/>
            <w:hideMark/>
          </w:tcPr>
          <w:p w14:paraId="26ABCC7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228</w:t>
            </w:r>
          </w:p>
        </w:tc>
        <w:tc>
          <w:tcPr>
            <w:tcW w:w="0" w:type="auto"/>
            <w:tcBorders>
              <w:top w:val="nil"/>
              <w:left w:val="nil"/>
              <w:bottom w:val="single" w:sz="4" w:space="0" w:color="auto"/>
              <w:right w:val="single" w:sz="4" w:space="0" w:color="auto"/>
            </w:tcBorders>
            <w:shd w:val="clear" w:color="auto" w:fill="auto"/>
            <w:noWrap/>
            <w:vAlign w:val="bottom"/>
            <w:hideMark/>
          </w:tcPr>
          <w:p w14:paraId="26ABCC7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99.1</w:t>
            </w:r>
          </w:p>
        </w:tc>
        <w:tc>
          <w:tcPr>
            <w:tcW w:w="0" w:type="auto"/>
            <w:tcBorders>
              <w:top w:val="nil"/>
              <w:left w:val="nil"/>
              <w:bottom w:val="single" w:sz="4" w:space="0" w:color="auto"/>
              <w:right w:val="single" w:sz="8" w:space="0" w:color="auto"/>
            </w:tcBorders>
            <w:shd w:val="clear" w:color="auto" w:fill="auto"/>
            <w:noWrap/>
            <w:vAlign w:val="bottom"/>
            <w:hideMark/>
          </w:tcPr>
          <w:p w14:paraId="26ABCC7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C7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220</w:t>
            </w:r>
          </w:p>
        </w:tc>
        <w:tc>
          <w:tcPr>
            <w:tcW w:w="0" w:type="auto"/>
            <w:tcBorders>
              <w:top w:val="nil"/>
              <w:left w:val="nil"/>
              <w:bottom w:val="single" w:sz="4" w:space="0" w:color="auto"/>
              <w:right w:val="single" w:sz="4" w:space="0" w:color="auto"/>
            </w:tcBorders>
            <w:shd w:val="clear" w:color="auto" w:fill="auto"/>
            <w:noWrap/>
            <w:vAlign w:val="bottom"/>
            <w:hideMark/>
          </w:tcPr>
          <w:p w14:paraId="26ABCC7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220</w:t>
            </w:r>
          </w:p>
        </w:tc>
        <w:tc>
          <w:tcPr>
            <w:tcW w:w="0" w:type="auto"/>
            <w:tcBorders>
              <w:top w:val="nil"/>
              <w:left w:val="nil"/>
              <w:bottom w:val="single" w:sz="4" w:space="0" w:color="auto"/>
              <w:right w:val="single" w:sz="4" w:space="0" w:color="auto"/>
            </w:tcBorders>
            <w:shd w:val="clear" w:color="auto" w:fill="auto"/>
            <w:noWrap/>
            <w:vAlign w:val="bottom"/>
            <w:hideMark/>
          </w:tcPr>
          <w:p w14:paraId="26ABCC7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99.8</w:t>
            </w:r>
          </w:p>
        </w:tc>
        <w:tc>
          <w:tcPr>
            <w:tcW w:w="0" w:type="auto"/>
            <w:tcBorders>
              <w:top w:val="nil"/>
              <w:left w:val="nil"/>
              <w:bottom w:val="single" w:sz="4" w:space="0" w:color="auto"/>
              <w:right w:val="single" w:sz="8" w:space="0" w:color="auto"/>
            </w:tcBorders>
            <w:shd w:val="clear" w:color="auto" w:fill="auto"/>
            <w:noWrap/>
            <w:vAlign w:val="bottom"/>
            <w:hideMark/>
          </w:tcPr>
          <w:p w14:paraId="26ABCC7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C8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270</w:t>
            </w:r>
          </w:p>
        </w:tc>
        <w:tc>
          <w:tcPr>
            <w:tcW w:w="0" w:type="auto"/>
            <w:tcBorders>
              <w:top w:val="nil"/>
              <w:left w:val="nil"/>
              <w:bottom w:val="single" w:sz="4" w:space="0" w:color="auto"/>
              <w:right w:val="single" w:sz="4" w:space="0" w:color="auto"/>
            </w:tcBorders>
            <w:shd w:val="clear" w:color="auto" w:fill="auto"/>
            <w:noWrap/>
            <w:vAlign w:val="bottom"/>
            <w:hideMark/>
          </w:tcPr>
          <w:p w14:paraId="26ABCC8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219</w:t>
            </w:r>
          </w:p>
        </w:tc>
        <w:tc>
          <w:tcPr>
            <w:tcW w:w="0" w:type="auto"/>
            <w:tcBorders>
              <w:top w:val="nil"/>
              <w:left w:val="nil"/>
              <w:bottom w:val="single" w:sz="4" w:space="0" w:color="auto"/>
              <w:right w:val="single" w:sz="4" w:space="0" w:color="auto"/>
            </w:tcBorders>
            <w:shd w:val="clear" w:color="auto" w:fill="auto"/>
            <w:noWrap/>
            <w:vAlign w:val="bottom"/>
            <w:hideMark/>
          </w:tcPr>
          <w:p w14:paraId="26ABCC8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81.2</w:t>
            </w:r>
          </w:p>
        </w:tc>
        <w:tc>
          <w:tcPr>
            <w:tcW w:w="0" w:type="auto"/>
            <w:tcBorders>
              <w:top w:val="nil"/>
              <w:left w:val="nil"/>
              <w:bottom w:val="single" w:sz="4" w:space="0" w:color="auto"/>
              <w:right w:val="single" w:sz="8" w:space="0" w:color="auto"/>
            </w:tcBorders>
            <w:shd w:val="clear" w:color="auto" w:fill="auto"/>
            <w:noWrap/>
            <w:vAlign w:val="bottom"/>
            <w:hideMark/>
          </w:tcPr>
          <w:p w14:paraId="26ABCC8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r>
      <w:tr w:rsidR="00A12F9B" w:rsidRPr="00CE60B2" w14:paraId="26ABCC97"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85"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Sandy</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8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107,900</w:t>
            </w:r>
          </w:p>
        </w:tc>
        <w:tc>
          <w:tcPr>
            <w:tcW w:w="0" w:type="auto"/>
            <w:tcBorders>
              <w:top w:val="nil"/>
              <w:left w:val="nil"/>
              <w:bottom w:val="single" w:sz="4" w:space="0" w:color="auto"/>
              <w:right w:val="single" w:sz="4" w:space="0" w:color="auto"/>
            </w:tcBorders>
            <w:shd w:val="clear" w:color="auto" w:fill="auto"/>
            <w:noWrap/>
            <w:vAlign w:val="bottom"/>
            <w:hideMark/>
          </w:tcPr>
          <w:p w14:paraId="26ABCC8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71,092</w:t>
            </w:r>
          </w:p>
        </w:tc>
        <w:tc>
          <w:tcPr>
            <w:tcW w:w="0" w:type="auto"/>
            <w:tcBorders>
              <w:top w:val="nil"/>
              <w:left w:val="nil"/>
              <w:bottom w:val="single" w:sz="4" w:space="0" w:color="auto"/>
              <w:right w:val="single" w:sz="4" w:space="0" w:color="auto"/>
            </w:tcBorders>
            <w:shd w:val="clear" w:color="auto" w:fill="auto"/>
            <w:noWrap/>
            <w:vAlign w:val="bottom"/>
            <w:hideMark/>
          </w:tcPr>
          <w:p w14:paraId="26ABCC8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17,175</w:t>
            </w:r>
          </w:p>
        </w:tc>
        <w:tc>
          <w:tcPr>
            <w:tcW w:w="0" w:type="auto"/>
            <w:tcBorders>
              <w:top w:val="nil"/>
              <w:left w:val="nil"/>
              <w:bottom w:val="single" w:sz="4" w:space="0" w:color="auto"/>
              <w:right w:val="single" w:sz="4" w:space="0" w:color="auto"/>
            </w:tcBorders>
            <w:shd w:val="clear" w:color="auto" w:fill="auto"/>
            <w:noWrap/>
            <w:vAlign w:val="bottom"/>
            <w:hideMark/>
          </w:tcPr>
          <w:p w14:paraId="26ABCC8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15.9</w:t>
            </w:r>
          </w:p>
        </w:tc>
        <w:tc>
          <w:tcPr>
            <w:tcW w:w="0" w:type="auto"/>
            <w:tcBorders>
              <w:top w:val="nil"/>
              <w:left w:val="nil"/>
              <w:bottom w:val="single" w:sz="4" w:space="0" w:color="auto"/>
              <w:right w:val="single" w:sz="8" w:space="0" w:color="auto"/>
            </w:tcBorders>
            <w:shd w:val="clear" w:color="auto" w:fill="auto"/>
            <w:noWrap/>
            <w:vAlign w:val="bottom"/>
            <w:hideMark/>
          </w:tcPr>
          <w:p w14:paraId="26ABCC8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2,461</w:t>
            </w:r>
          </w:p>
        </w:tc>
        <w:tc>
          <w:tcPr>
            <w:tcW w:w="0" w:type="auto"/>
            <w:tcBorders>
              <w:top w:val="nil"/>
              <w:left w:val="nil"/>
              <w:bottom w:val="single" w:sz="4" w:space="0" w:color="auto"/>
              <w:right w:val="single" w:sz="4" w:space="0" w:color="auto"/>
            </w:tcBorders>
            <w:shd w:val="clear" w:color="auto" w:fill="auto"/>
            <w:noWrap/>
            <w:vAlign w:val="bottom"/>
            <w:hideMark/>
          </w:tcPr>
          <w:p w14:paraId="26ABCC8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65,500</w:t>
            </w:r>
          </w:p>
        </w:tc>
        <w:tc>
          <w:tcPr>
            <w:tcW w:w="0" w:type="auto"/>
            <w:tcBorders>
              <w:top w:val="nil"/>
              <w:left w:val="nil"/>
              <w:bottom w:val="single" w:sz="4" w:space="0" w:color="auto"/>
              <w:right w:val="single" w:sz="4" w:space="0" w:color="auto"/>
            </w:tcBorders>
            <w:shd w:val="clear" w:color="auto" w:fill="auto"/>
            <w:noWrap/>
            <w:vAlign w:val="bottom"/>
            <w:hideMark/>
          </w:tcPr>
          <w:p w14:paraId="26ABCC8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25,785</w:t>
            </w:r>
          </w:p>
        </w:tc>
        <w:tc>
          <w:tcPr>
            <w:tcW w:w="0" w:type="auto"/>
            <w:tcBorders>
              <w:top w:val="nil"/>
              <w:left w:val="nil"/>
              <w:bottom w:val="single" w:sz="4" w:space="0" w:color="auto"/>
              <w:right w:val="single" w:sz="4" w:space="0" w:color="auto"/>
            </w:tcBorders>
            <w:shd w:val="clear" w:color="auto" w:fill="auto"/>
            <w:noWrap/>
            <w:vAlign w:val="bottom"/>
            <w:hideMark/>
          </w:tcPr>
          <w:p w14:paraId="26ABCC8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23.9</w:t>
            </w:r>
          </w:p>
        </w:tc>
        <w:tc>
          <w:tcPr>
            <w:tcW w:w="0" w:type="auto"/>
            <w:tcBorders>
              <w:top w:val="nil"/>
              <w:left w:val="nil"/>
              <w:bottom w:val="single" w:sz="4" w:space="0" w:color="auto"/>
              <w:right w:val="single" w:sz="8" w:space="0" w:color="auto"/>
            </w:tcBorders>
            <w:shd w:val="clear" w:color="auto" w:fill="auto"/>
            <w:noWrap/>
            <w:vAlign w:val="bottom"/>
            <w:hideMark/>
          </w:tcPr>
          <w:p w14:paraId="26ABCC8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2,070</w:t>
            </w:r>
          </w:p>
        </w:tc>
        <w:tc>
          <w:tcPr>
            <w:tcW w:w="0" w:type="auto"/>
            <w:tcBorders>
              <w:top w:val="nil"/>
              <w:left w:val="nil"/>
              <w:bottom w:val="single" w:sz="4" w:space="0" w:color="auto"/>
              <w:right w:val="single" w:sz="4" w:space="0" w:color="auto"/>
            </w:tcBorders>
            <w:shd w:val="clear" w:color="auto" w:fill="auto"/>
            <w:noWrap/>
            <w:vAlign w:val="bottom"/>
            <w:hideMark/>
          </w:tcPr>
          <w:p w14:paraId="26ABCC8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66,260</w:t>
            </w:r>
          </w:p>
        </w:tc>
        <w:tc>
          <w:tcPr>
            <w:tcW w:w="0" w:type="auto"/>
            <w:tcBorders>
              <w:top w:val="nil"/>
              <w:left w:val="nil"/>
              <w:bottom w:val="single" w:sz="4" w:space="0" w:color="auto"/>
              <w:right w:val="single" w:sz="4" w:space="0" w:color="auto"/>
            </w:tcBorders>
            <w:shd w:val="clear" w:color="auto" w:fill="auto"/>
            <w:noWrap/>
            <w:vAlign w:val="bottom"/>
            <w:hideMark/>
          </w:tcPr>
          <w:p w14:paraId="26ABCC9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25,802</w:t>
            </w:r>
          </w:p>
        </w:tc>
        <w:tc>
          <w:tcPr>
            <w:tcW w:w="0" w:type="auto"/>
            <w:tcBorders>
              <w:top w:val="nil"/>
              <w:left w:val="nil"/>
              <w:bottom w:val="single" w:sz="4" w:space="0" w:color="auto"/>
              <w:right w:val="single" w:sz="4" w:space="0" w:color="auto"/>
            </w:tcBorders>
            <w:shd w:val="clear" w:color="auto" w:fill="auto"/>
            <w:noWrap/>
            <w:vAlign w:val="bottom"/>
            <w:hideMark/>
          </w:tcPr>
          <w:p w14:paraId="26ABCC9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23.9</w:t>
            </w:r>
          </w:p>
        </w:tc>
        <w:tc>
          <w:tcPr>
            <w:tcW w:w="0" w:type="auto"/>
            <w:tcBorders>
              <w:top w:val="nil"/>
              <w:left w:val="nil"/>
              <w:bottom w:val="single" w:sz="4" w:space="0" w:color="auto"/>
              <w:right w:val="single" w:sz="8" w:space="0" w:color="auto"/>
            </w:tcBorders>
            <w:shd w:val="clear" w:color="auto" w:fill="auto"/>
            <w:noWrap/>
            <w:vAlign w:val="bottom"/>
            <w:hideMark/>
          </w:tcPr>
          <w:p w14:paraId="26ABCC9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4,081</w:t>
            </w:r>
          </w:p>
        </w:tc>
        <w:tc>
          <w:tcPr>
            <w:tcW w:w="0" w:type="auto"/>
            <w:tcBorders>
              <w:top w:val="nil"/>
              <w:left w:val="nil"/>
              <w:bottom w:val="single" w:sz="4" w:space="0" w:color="auto"/>
              <w:right w:val="single" w:sz="4" w:space="0" w:color="auto"/>
            </w:tcBorders>
            <w:shd w:val="clear" w:color="auto" w:fill="auto"/>
            <w:noWrap/>
            <w:vAlign w:val="bottom"/>
            <w:hideMark/>
          </w:tcPr>
          <w:p w14:paraId="26ABCC9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70,660</w:t>
            </w:r>
          </w:p>
        </w:tc>
        <w:tc>
          <w:tcPr>
            <w:tcW w:w="0" w:type="auto"/>
            <w:tcBorders>
              <w:top w:val="nil"/>
              <w:left w:val="nil"/>
              <w:bottom w:val="single" w:sz="4" w:space="0" w:color="auto"/>
              <w:right w:val="single" w:sz="4" w:space="0" w:color="auto"/>
            </w:tcBorders>
            <w:shd w:val="clear" w:color="auto" w:fill="auto"/>
            <w:noWrap/>
            <w:vAlign w:val="bottom"/>
            <w:hideMark/>
          </w:tcPr>
          <w:p w14:paraId="26ABCC9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25,790</w:t>
            </w:r>
          </w:p>
        </w:tc>
        <w:tc>
          <w:tcPr>
            <w:tcW w:w="0" w:type="auto"/>
            <w:tcBorders>
              <w:top w:val="nil"/>
              <w:left w:val="nil"/>
              <w:bottom w:val="single" w:sz="4" w:space="0" w:color="auto"/>
              <w:right w:val="single" w:sz="4" w:space="0" w:color="auto"/>
            </w:tcBorders>
            <w:shd w:val="clear" w:color="auto" w:fill="auto"/>
            <w:noWrap/>
            <w:vAlign w:val="bottom"/>
            <w:hideMark/>
          </w:tcPr>
          <w:p w14:paraId="26ABCC9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23.9</w:t>
            </w:r>
          </w:p>
        </w:tc>
        <w:tc>
          <w:tcPr>
            <w:tcW w:w="0" w:type="auto"/>
            <w:tcBorders>
              <w:top w:val="nil"/>
              <w:left w:val="nil"/>
              <w:bottom w:val="single" w:sz="4" w:space="0" w:color="auto"/>
              <w:right w:val="single" w:sz="8" w:space="0" w:color="auto"/>
            </w:tcBorders>
            <w:shd w:val="clear" w:color="auto" w:fill="auto"/>
            <w:noWrap/>
            <w:vAlign w:val="bottom"/>
            <w:hideMark/>
          </w:tcPr>
          <w:p w14:paraId="26ABCC9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4,031</w:t>
            </w:r>
          </w:p>
        </w:tc>
      </w:tr>
      <w:tr w:rsidR="00A12F9B" w:rsidRPr="00CE60B2" w14:paraId="26ABCCAA"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98"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South</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9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557,300</w:t>
            </w:r>
          </w:p>
        </w:tc>
        <w:tc>
          <w:tcPr>
            <w:tcW w:w="0" w:type="auto"/>
            <w:tcBorders>
              <w:top w:val="nil"/>
              <w:left w:val="nil"/>
              <w:bottom w:val="single" w:sz="4" w:space="0" w:color="auto"/>
              <w:right w:val="single" w:sz="4" w:space="0" w:color="auto"/>
            </w:tcBorders>
            <w:shd w:val="clear" w:color="auto" w:fill="auto"/>
            <w:noWrap/>
            <w:vAlign w:val="bottom"/>
            <w:hideMark/>
          </w:tcPr>
          <w:p w14:paraId="26ABCC9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438,918</w:t>
            </w:r>
          </w:p>
        </w:tc>
        <w:tc>
          <w:tcPr>
            <w:tcW w:w="0" w:type="auto"/>
            <w:tcBorders>
              <w:top w:val="nil"/>
              <w:left w:val="nil"/>
              <w:bottom w:val="single" w:sz="4" w:space="0" w:color="auto"/>
              <w:right w:val="single" w:sz="4" w:space="0" w:color="auto"/>
            </w:tcBorders>
            <w:shd w:val="clear" w:color="auto" w:fill="auto"/>
            <w:noWrap/>
            <w:vAlign w:val="bottom"/>
            <w:hideMark/>
          </w:tcPr>
          <w:p w14:paraId="26ABCC9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157,311</w:t>
            </w:r>
          </w:p>
        </w:tc>
        <w:tc>
          <w:tcPr>
            <w:tcW w:w="0" w:type="auto"/>
            <w:tcBorders>
              <w:top w:val="nil"/>
              <w:left w:val="nil"/>
              <w:bottom w:val="single" w:sz="4" w:space="0" w:color="auto"/>
              <w:right w:val="single" w:sz="4" w:space="0" w:color="auto"/>
            </w:tcBorders>
            <w:shd w:val="clear" w:color="auto" w:fill="auto"/>
            <w:noWrap/>
            <w:vAlign w:val="bottom"/>
            <w:hideMark/>
          </w:tcPr>
          <w:p w14:paraId="26ABCC9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28.2</w:t>
            </w:r>
          </w:p>
        </w:tc>
        <w:tc>
          <w:tcPr>
            <w:tcW w:w="0" w:type="auto"/>
            <w:tcBorders>
              <w:top w:val="nil"/>
              <w:left w:val="nil"/>
              <w:bottom w:val="single" w:sz="4" w:space="0" w:color="auto"/>
              <w:right w:val="single" w:sz="8" w:space="0" w:color="auto"/>
            </w:tcBorders>
            <w:shd w:val="clear" w:color="auto" w:fill="auto"/>
            <w:noWrap/>
            <w:vAlign w:val="bottom"/>
            <w:hideMark/>
          </w:tcPr>
          <w:p w14:paraId="26ABCC9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22,197</w:t>
            </w:r>
          </w:p>
        </w:tc>
        <w:tc>
          <w:tcPr>
            <w:tcW w:w="0" w:type="auto"/>
            <w:tcBorders>
              <w:top w:val="nil"/>
              <w:left w:val="nil"/>
              <w:bottom w:val="single" w:sz="4" w:space="0" w:color="auto"/>
              <w:right w:val="single" w:sz="4" w:space="0" w:color="auto"/>
            </w:tcBorders>
            <w:shd w:val="clear" w:color="auto" w:fill="auto"/>
            <w:noWrap/>
            <w:vAlign w:val="bottom"/>
            <w:hideMark/>
          </w:tcPr>
          <w:p w14:paraId="26ABCC9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422,650</w:t>
            </w:r>
          </w:p>
        </w:tc>
        <w:tc>
          <w:tcPr>
            <w:tcW w:w="0" w:type="auto"/>
            <w:tcBorders>
              <w:top w:val="nil"/>
              <w:left w:val="nil"/>
              <w:bottom w:val="single" w:sz="4" w:space="0" w:color="auto"/>
              <w:right w:val="single" w:sz="4" w:space="0" w:color="auto"/>
            </w:tcBorders>
            <w:shd w:val="clear" w:color="auto" w:fill="auto"/>
            <w:noWrap/>
            <w:vAlign w:val="bottom"/>
            <w:hideMark/>
          </w:tcPr>
          <w:p w14:paraId="26ABCC9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242,304</w:t>
            </w:r>
          </w:p>
        </w:tc>
        <w:tc>
          <w:tcPr>
            <w:tcW w:w="0" w:type="auto"/>
            <w:tcBorders>
              <w:top w:val="nil"/>
              <w:left w:val="nil"/>
              <w:bottom w:val="single" w:sz="4" w:space="0" w:color="auto"/>
              <w:right w:val="single" w:sz="4" w:space="0" w:color="auto"/>
            </w:tcBorders>
            <w:shd w:val="clear" w:color="auto" w:fill="auto"/>
            <w:noWrap/>
            <w:vAlign w:val="bottom"/>
            <w:hideMark/>
          </w:tcPr>
          <w:p w14:paraId="26ABCCA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43.5</w:t>
            </w:r>
          </w:p>
        </w:tc>
        <w:tc>
          <w:tcPr>
            <w:tcW w:w="0" w:type="auto"/>
            <w:tcBorders>
              <w:top w:val="nil"/>
              <w:left w:val="nil"/>
              <w:bottom w:val="single" w:sz="4" w:space="0" w:color="auto"/>
              <w:right w:val="single" w:sz="8" w:space="0" w:color="auto"/>
            </w:tcBorders>
            <w:shd w:val="clear" w:color="auto" w:fill="auto"/>
            <w:noWrap/>
            <w:vAlign w:val="bottom"/>
            <w:hideMark/>
          </w:tcPr>
          <w:p w14:paraId="26ABCCA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25,205</w:t>
            </w:r>
          </w:p>
        </w:tc>
        <w:tc>
          <w:tcPr>
            <w:tcW w:w="0" w:type="auto"/>
            <w:tcBorders>
              <w:top w:val="nil"/>
              <w:left w:val="nil"/>
              <w:bottom w:val="single" w:sz="4" w:space="0" w:color="auto"/>
              <w:right w:val="single" w:sz="4" w:space="0" w:color="auto"/>
            </w:tcBorders>
            <w:shd w:val="clear" w:color="auto" w:fill="auto"/>
            <w:noWrap/>
            <w:vAlign w:val="bottom"/>
            <w:hideMark/>
          </w:tcPr>
          <w:p w14:paraId="26ABCCA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423,580</w:t>
            </w:r>
          </w:p>
        </w:tc>
        <w:tc>
          <w:tcPr>
            <w:tcW w:w="0" w:type="auto"/>
            <w:tcBorders>
              <w:top w:val="nil"/>
              <w:left w:val="nil"/>
              <w:bottom w:val="single" w:sz="4" w:space="0" w:color="auto"/>
              <w:right w:val="single" w:sz="4" w:space="0" w:color="auto"/>
            </w:tcBorders>
            <w:shd w:val="clear" w:color="auto" w:fill="auto"/>
            <w:noWrap/>
            <w:vAlign w:val="bottom"/>
            <w:hideMark/>
          </w:tcPr>
          <w:p w14:paraId="26ABCCA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241,351</w:t>
            </w:r>
          </w:p>
        </w:tc>
        <w:tc>
          <w:tcPr>
            <w:tcW w:w="0" w:type="auto"/>
            <w:tcBorders>
              <w:top w:val="nil"/>
              <w:left w:val="nil"/>
              <w:bottom w:val="single" w:sz="4" w:space="0" w:color="auto"/>
              <w:right w:val="single" w:sz="4" w:space="0" w:color="auto"/>
            </w:tcBorders>
            <w:shd w:val="clear" w:color="auto" w:fill="auto"/>
            <w:noWrap/>
            <w:vAlign w:val="bottom"/>
            <w:hideMark/>
          </w:tcPr>
          <w:p w14:paraId="26ABCCA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43.3</w:t>
            </w:r>
          </w:p>
        </w:tc>
        <w:tc>
          <w:tcPr>
            <w:tcW w:w="0" w:type="auto"/>
            <w:tcBorders>
              <w:top w:val="nil"/>
              <w:left w:val="nil"/>
              <w:bottom w:val="single" w:sz="4" w:space="0" w:color="auto"/>
              <w:right w:val="single" w:sz="8" w:space="0" w:color="auto"/>
            </w:tcBorders>
            <w:shd w:val="clear" w:color="auto" w:fill="auto"/>
            <w:noWrap/>
            <w:vAlign w:val="bottom"/>
            <w:hideMark/>
          </w:tcPr>
          <w:p w14:paraId="26ABCCA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30,142</w:t>
            </w:r>
          </w:p>
        </w:tc>
        <w:tc>
          <w:tcPr>
            <w:tcW w:w="0" w:type="auto"/>
            <w:tcBorders>
              <w:top w:val="nil"/>
              <w:left w:val="nil"/>
              <w:bottom w:val="single" w:sz="4" w:space="0" w:color="auto"/>
              <w:right w:val="single" w:sz="4" w:space="0" w:color="auto"/>
            </w:tcBorders>
            <w:shd w:val="clear" w:color="auto" w:fill="auto"/>
            <w:noWrap/>
            <w:vAlign w:val="bottom"/>
            <w:hideMark/>
          </w:tcPr>
          <w:p w14:paraId="26ABCCA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439,720</w:t>
            </w:r>
          </w:p>
        </w:tc>
        <w:tc>
          <w:tcPr>
            <w:tcW w:w="0" w:type="auto"/>
            <w:tcBorders>
              <w:top w:val="nil"/>
              <w:left w:val="nil"/>
              <w:bottom w:val="single" w:sz="4" w:space="0" w:color="auto"/>
              <w:right w:val="single" w:sz="4" w:space="0" w:color="auto"/>
            </w:tcBorders>
            <w:shd w:val="clear" w:color="auto" w:fill="auto"/>
            <w:noWrap/>
            <w:vAlign w:val="bottom"/>
            <w:hideMark/>
          </w:tcPr>
          <w:p w14:paraId="26ABCCA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240,947</w:t>
            </w:r>
          </w:p>
        </w:tc>
        <w:tc>
          <w:tcPr>
            <w:tcW w:w="0" w:type="auto"/>
            <w:tcBorders>
              <w:top w:val="nil"/>
              <w:left w:val="nil"/>
              <w:bottom w:val="single" w:sz="4" w:space="0" w:color="auto"/>
              <w:right w:val="single" w:sz="4" w:space="0" w:color="auto"/>
            </w:tcBorders>
            <w:shd w:val="clear" w:color="auto" w:fill="auto"/>
            <w:noWrap/>
            <w:vAlign w:val="bottom"/>
            <w:hideMark/>
          </w:tcPr>
          <w:p w14:paraId="26ABCCA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43.2</w:t>
            </w:r>
          </w:p>
        </w:tc>
        <w:tc>
          <w:tcPr>
            <w:tcW w:w="0" w:type="auto"/>
            <w:tcBorders>
              <w:top w:val="nil"/>
              <w:left w:val="nil"/>
              <w:bottom w:val="single" w:sz="4" w:space="0" w:color="auto"/>
              <w:right w:val="single" w:sz="8" w:space="0" w:color="auto"/>
            </w:tcBorders>
            <w:shd w:val="clear" w:color="auto" w:fill="auto"/>
            <w:noWrap/>
            <w:vAlign w:val="bottom"/>
            <w:hideMark/>
          </w:tcPr>
          <w:p w14:paraId="26ABCCA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30,164</w:t>
            </w:r>
          </w:p>
        </w:tc>
      </w:tr>
      <w:tr w:rsidR="00A12F9B" w:rsidRPr="00CE60B2" w14:paraId="26ABCCBD"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AB" w14:textId="77777777" w:rsidR="00A12F9B" w:rsidRPr="00CE60B2" w:rsidRDefault="006C03A0"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w:t>
            </w:r>
            <w:r w:rsidR="00A12F9B" w:rsidRPr="00CE60B2">
              <w:rPr>
                <w:rFonts w:eastAsia="Times New Roman" w:cs="Segoe UI"/>
                <w:color w:val="000000"/>
                <w:sz w:val="14"/>
                <w:szCs w:val="14"/>
                <w:lang w:eastAsia="en-AU"/>
              </w:rPr>
              <w:t xml:space="preserve"> Unicup</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A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81,000</w:t>
            </w:r>
          </w:p>
        </w:tc>
        <w:tc>
          <w:tcPr>
            <w:tcW w:w="0" w:type="auto"/>
            <w:tcBorders>
              <w:top w:val="nil"/>
              <w:left w:val="nil"/>
              <w:bottom w:val="single" w:sz="4" w:space="0" w:color="auto"/>
              <w:right w:val="single" w:sz="4" w:space="0" w:color="auto"/>
            </w:tcBorders>
            <w:shd w:val="clear" w:color="auto" w:fill="auto"/>
            <w:noWrap/>
            <w:vAlign w:val="bottom"/>
            <w:hideMark/>
          </w:tcPr>
          <w:p w14:paraId="26ABCCA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29,459</w:t>
            </w:r>
          </w:p>
        </w:tc>
        <w:tc>
          <w:tcPr>
            <w:tcW w:w="0" w:type="auto"/>
            <w:tcBorders>
              <w:top w:val="nil"/>
              <w:left w:val="nil"/>
              <w:bottom w:val="single" w:sz="4" w:space="0" w:color="auto"/>
              <w:right w:val="single" w:sz="4" w:space="0" w:color="auto"/>
            </w:tcBorders>
            <w:shd w:val="clear" w:color="auto" w:fill="auto"/>
            <w:noWrap/>
            <w:vAlign w:val="bottom"/>
            <w:hideMark/>
          </w:tcPr>
          <w:p w14:paraId="26ABCCA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13,290</w:t>
            </w:r>
          </w:p>
        </w:tc>
        <w:tc>
          <w:tcPr>
            <w:tcW w:w="0" w:type="auto"/>
            <w:tcBorders>
              <w:top w:val="nil"/>
              <w:left w:val="nil"/>
              <w:bottom w:val="single" w:sz="4" w:space="0" w:color="auto"/>
              <w:right w:val="single" w:sz="4" w:space="0" w:color="auto"/>
            </w:tcBorders>
            <w:shd w:val="clear" w:color="auto" w:fill="auto"/>
            <w:noWrap/>
            <w:vAlign w:val="bottom"/>
            <w:hideMark/>
          </w:tcPr>
          <w:p w14:paraId="26ABCCA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16.4</w:t>
            </w:r>
          </w:p>
        </w:tc>
        <w:tc>
          <w:tcPr>
            <w:tcW w:w="0" w:type="auto"/>
            <w:tcBorders>
              <w:top w:val="nil"/>
              <w:left w:val="nil"/>
              <w:bottom w:val="single" w:sz="4" w:space="0" w:color="auto"/>
              <w:right w:val="single" w:sz="8" w:space="0" w:color="auto"/>
            </w:tcBorders>
            <w:shd w:val="clear" w:color="auto" w:fill="auto"/>
            <w:noWrap/>
            <w:vAlign w:val="bottom"/>
            <w:hideMark/>
          </w:tcPr>
          <w:p w14:paraId="26ABCCB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134</w:t>
            </w:r>
          </w:p>
        </w:tc>
        <w:tc>
          <w:tcPr>
            <w:tcW w:w="0" w:type="auto"/>
            <w:tcBorders>
              <w:top w:val="nil"/>
              <w:left w:val="nil"/>
              <w:bottom w:val="single" w:sz="4" w:space="0" w:color="auto"/>
              <w:right w:val="single" w:sz="4" w:space="0" w:color="auto"/>
            </w:tcBorders>
            <w:shd w:val="clear" w:color="auto" w:fill="auto"/>
            <w:noWrap/>
            <w:vAlign w:val="bottom"/>
            <w:hideMark/>
          </w:tcPr>
          <w:p w14:paraId="26ABCCB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17,710</w:t>
            </w:r>
          </w:p>
        </w:tc>
        <w:tc>
          <w:tcPr>
            <w:tcW w:w="0" w:type="auto"/>
            <w:tcBorders>
              <w:top w:val="nil"/>
              <w:left w:val="nil"/>
              <w:bottom w:val="single" w:sz="4" w:space="0" w:color="auto"/>
              <w:right w:val="single" w:sz="4" w:space="0" w:color="auto"/>
            </w:tcBorders>
            <w:shd w:val="clear" w:color="auto" w:fill="auto"/>
            <w:noWrap/>
            <w:vAlign w:val="bottom"/>
            <w:hideMark/>
          </w:tcPr>
          <w:p w14:paraId="26ABCCB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16,653</w:t>
            </w:r>
          </w:p>
        </w:tc>
        <w:tc>
          <w:tcPr>
            <w:tcW w:w="0" w:type="auto"/>
            <w:tcBorders>
              <w:top w:val="nil"/>
              <w:left w:val="nil"/>
              <w:bottom w:val="single" w:sz="4" w:space="0" w:color="auto"/>
              <w:right w:val="single" w:sz="4" w:space="0" w:color="auto"/>
            </w:tcBorders>
            <w:shd w:val="clear" w:color="auto" w:fill="auto"/>
            <w:noWrap/>
            <w:vAlign w:val="bottom"/>
            <w:hideMark/>
          </w:tcPr>
          <w:p w14:paraId="26ABCCB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20.6</w:t>
            </w:r>
          </w:p>
        </w:tc>
        <w:tc>
          <w:tcPr>
            <w:tcW w:w="0" w:type="auto"/>
            <w:tcBorders>
              <w:top w:val="nil"/>
              <w:left w:val="nil"/>
              <w:bottom w:val="single" w:sz="4" w:space="0" w:color="auto"/>
              <w:right w:val="single" w:sz="8" w:space="0" w:color="auto"/>
            </w:tcBorders>
            <w:shd w:val="clear" w:color="auto" w:fill="auto"/>
            <w:noWrap/>
            <w:vAlign w:val="bottom"/>
            <w:hideMark/>
          </w:tcPr>
          <w:p w14:paraId="26ABCCB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43</w:t>
            </w:r>
          </w:p>
        </w:tc>
        <w:tc>
          <w:tcPr>
            <w:tcW w:w="0" w:type="auto"/>
            <w:tcBorders>
              <w:top w:val="nil"/>
              <w:left w:val="nil"/>
              <w:bottom w:val="single" w:sz="4" w:space="0" w:color="auto"/>
              <w:right w:val="single" w:sz="4" w:space="0" w:color="auto"/>
            </w:tcBorders>
            <w:shd w:val="clear" w:color="auto" w:fill="auto"/>
            <w:noWrap/>
            <w:vAlign w:val="bottom"/>
            <w:hideMark/>
          </w:tcPr>
          <w:p w14:paraId="26ABCCB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21,290</w:t>
            </w:r>
          </w:p>
        </w:tc>
        <w:tc>
          <w:tcPr>
            <w:tcW w:w="0" w:type="auto"/>
            <w:tcBorders>
              <w:top w:val="nil"/>
              <w:left w:val="nil"/>
              <w:bottom w:val="single" w:sz="4" w:space="0" w:color="auto"/>
              <w:right w:val="single" w:sz="4" w:space="0" w:color="auto"/>
            </w:tcBorders>
            <w:shd w:val="clear" w:color="auto" w:fill="auto"/>
            <w:noWrap/>
            <w:vAlign w:val="bottom"/>
            <w:hideMark/>
          </w:tcPr>
          <w:p w14:paraId="26ABCCB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18,790</w:t>
            </w:r>
          </w:p>
        </w:tc>
        <w:tc>
          <w:tcPr>
            <w:tcW w:w="0" w:type="auto"/>
            <w:tcBorders>
              <w:top w:val="nil"/>
              <w:left w:val="nil"/>
              <w:bottom w:val="single" w:sz="4" w:space="0" w:color="auto"/>
              <w:right w:val="single" w:sz="4" w:space="0" w:color="auto"/>
            </w:tcBorders>
            <w:shd w:val="clear" w:color="auto" w:fill="auto"/>
            <w:noWrap/>
            <w:vAlign w:val="bottom"/>
            <w:hideMark/>
          </w:tcPr>
          <w:p w14:paraId="26ABCCB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23.2</w:t>
            </w:r>
          </w:p>
        </w:tc>
        <w:tc>
          <w:tcPr>
            <w:tcW w:w="0" w:type="auto"/>
            <w:tcBorders>
              <w:top w:val="nil"/>
              <w:left w:val="nil"/>
              <w:bottom w:val="single" w:sz="4" w:space="0" w:color="auto"/>
              <w:right w:val="single" w:sz="8" w:space="0" w:color="auto"/>
            </w:tcBorders>
            <w:shd w:val="clear" w:color="auto" w:fill="auto"/>
            <w:noWrap/>
            <w:vAlign w:val="bottom"/>
            <w:hideMark/>
          </w:tcPr>
          <w:p w14:paraId="26ABCCB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35</w:t>
            </w:r>
          </w:p>
        </w:tc>
        <w:tc>
          <w:tcPr>
            <w:tcW w:w="0" w:type="auto"/>
            <w:tcBorders>
              <w:top w:val="nil"/>
              <w:left w:val="nil"/>
              <w:bottom w:val="single" w:sz="4" w:space="0" w:color="auto"/>
              <w:right w:val="single" w:sz="4" w:space="0" w:color="auto"/>
            </w:tcBorders>
            <w:shd w:val="clear" w:color="auto" w:fill="auto"/>
            <w:noWrap/>
            <w:vAlign w:val="bottom"/>
            <w:hideMark/>
          </w:tcPr>
          <w:p w14:paraId="26ABCCB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32,080</w:t>
            </w:r>
          </w:p>
        </w:tc>
        <w:tc>
          <w:tcPr>
            <w:tcW w:w="0" w:type="auto"/>
            <w:tcBorders>
              <w:top w:val="nil"/>
              <w:left w:val="nil"/>
              <w:bottom w:val="single" w:sz="4" w:space="0" w:color="auto"/>
              <w:right w:val="single" w:sz="4" w:space="0" w:color="auto"/>
            </w:tcBorders>
            <w:shd w:val="clear" w:color="auto" w:fill="auto"/>
            <w:noWrap/>
            <w:vAlign w:val="bottom"/>
            <w:hideMark/>
          </w:tcPr>
          <w:p w14:paraId="26ABCCB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18,760</w:t>
            </w:r>
          </w:p>
        </w:tc>
        <w:tc>
          <w:tcPr>
            <w:tcW w:w="0" w:type="auto"/>
            <w:tcBorders>
              <w:top w:val="nil"/>
              <w:left w:val="nil"/>
              <w:bottom w:val="single" w:sz="4" w:space="0" w:color="auto"/>
              <w:right w:val="single" w:sz="4" w:space="0" w:color="auto"/>
            </w:tcBorders>
            <w:shd w:val="clear" w:color="auto" w:fill="auto"/>
            <w:noWrap/>
            <w:vAlign w:val="bottom"/>
            <w:hideMark/>
          </w:tcPr>
          <w:p w14:paraId="26ABCCB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23.2</w:t>
            </w:r>
          </w:p>
        </w:tc>
        <w:tc>
          <w:tcPr>
            <w:tcW w:w="0" w:type="auto"/>
            <w:tcBorders>
              <w:top w:val="nil"/>
              <w:left w:val="nil"/>
              <w:bottom w:val="single" w:sz="4" w:space="0" w:color="auto"/>
              <w:right w:val="single" w:sz="8" w:space="0" w:color="auto"/>
            </w:tcBorders>
            <w:shd w:val="clear" w:color="auto" w:fill="auto"/>
            <w:noWrap/>
            <w:vAlign w:val="bottom"/>
            <w:hideMark/>
          </w:tcPr>
          <w:p w14:paraId="26ABCCB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34</w:t>
            </w:r>
          </w:p>
        </w:tc>
      </w:tr>
      <w:tr w:rsidR="00A12F9B" w:rsidRPr="00CE60B2" w14:paraId="26ABCCD0"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BE"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Woodland</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B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106,400</w:t>
            </w:r>
          </w:p>
        </w:tc>
        <w:tc>
          <w:tcPr>
            <w:tcW w:w="0" w:type="auto"/>
            <w:tcBorders>
              <w:top w:val="nil"/>
              <w:left w:val="nil"/>
              <w:bottom w:val="single" w:sz="4" w:space="0" w:color="auto"/>
              <w:right w:val="single" w:sz="4" w:space="0" w:color="auto"/>
            </w:tcBorders>
            <w:shd w:val="clear" w:color="auto" w:fill="auto"/>
            <w:noWrap/>
            <w:vAlign w:val="bottom"/>
            <w:hideMark/>
          </w:tcPr>
          <w:p w14:paraId="26ABCCC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67,220</w:t>
            </w:r>
          </w:p>
        </w:tc>
        <w:tc>
          <w:tcPr>
            <w:tcW w:w="0" w:type="auto"/>
            <w:tcBorders>
              <w:top w:val="nil"/>
              <w:left w:val="nil"/>
              <w:bottom w:val="single" w:sz="4" w:space="0" w:color="auto"/>
              <w:right w:val="single" w:sz="4" w:space="0" w:color="auto"/>
            </w:tcBorders>
            <w:shd w:val="clear" w:color="auto" w:fill="auto"/>
            <w:noWrap/>
            <w:vAlign w:val="bottom"/>
            <w:hideMark/>
          </w:tcPr>
          <w:p w14:paraId="26ABCCC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44,210</w:t>
            </w:r>
          </w:p>
        </w:tc>
        <w:tc>
          <w:tcPr>
            <w:tcW w:w="0" w:type="auto"/>
            <w:tcBorders>
              <w:top w:val="nil"/>
              <w:left w:val="nil"/>
              <w:bottom w:val="single" w:sz="4" w:space="0" w:color="auto"/>
              <w:right w:val="single" w:sz="4" w:space="0" w:color="auto"/>
            </w:tcBorders>
            <w:shd w:val="clear" w:color="auto" w:fill="auto"/>
            <w:noWrap/>
            <w:vAlign w:val="bottom"/>
            <w:hideMark/>
          </w:tcPr>
          <w:p w14:paraId="26ABCCC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41.6</w:t>
            </w:r>
          </w:p>
        </w:tc>
        <w:tc>
          <w:tcPr>
            <w:tcW w:w="0" w:type="auto"/>
            <w:tcBorders>
              <w:top w:val="nil"/>
              <w:left w:val="nil"/>
              <w:bottom w:val="single" w:sz="4" w:space="0" w:color="auto"/>
              <w:right w:val="single" w:sz="8" w:space="0" w:color="auto"/>
            </w:tcBorders>
            <w:shd w:val="clear" w:color="auto" w:fill="auto"/>
            <w:noWrap/>
            <w:vAlign w:val="bottom"/>
            <w:hideMark/>
          </w:tcPr>
          <w:p w14:paraId="26ABCCC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11,542</w:t>
            </w:r>
          </w:p>
        </w:tc>
        <w:tc>
          <w:tcPr>
            <w:tcW w:w="0" w:type="auto"/>
            <w:tcBorders>
              <w:top w:val="nil"/>
              <w:left w:val="nil"/>
              <w:bottom w:val="single" w:sz="4" w:space="0" w:color="auto"/>
              <w:right w:val="single" w:sz="4" w:space="0" w:color="auto"/>
            </w:tcBorders>
            <w:shd w:val="clear" w:color="auto" w:fill="auto"/>
            <w:noWrap/>
            <w:vAlign w:val="bottom"/>
            <w:hideMark/>
          </w:tcPr>
          <w:p w14:paraId="26ABCCC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53,200</w:t>
            </w:r>
          </w:p>
        </w:tc>
        <w:tc>
          <w:tcPr>
            <w:tcW w:w="0" w:type="auto"/>
            <w:tcBorders>
              <w:top w:val="nil"/>
              <w:left w:val="nil"/>
              <w:bottom w:val="single" w:sz="4" w:space="0" w:color="auto"/>
              <w:right w:val="single" w:sz="4" w:space="0" w:color="auto"/>
            </w:tcBorders>
            <w:shd w:val="clear" w:color="auto" w:fill="auto"/>
            <w:noWrap/>
            <w:vAlign w:val="bottom"/>
            <w:hideMark/>
          </w:tcPr>
          <w:p w14:paraId="26ABCCC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43,875</w:t>
            </w:r>
          </w:p>
        </w:tc>
        <w:tc>
          <w:tcPr>
            <w:tcW w:w="0" w:type="auto"/>
            <w:tcBorders>
              <w:top w:val="nil"/>
              <w:left w:val="nil"/>
              <w:bottom w:val="single" w:sz="4" w:space="0" w:color="auto"/>
              <w:right w:val="single" w:sz="4" w:space="0" w:color="auto"/>
            </w:tcBorders>
            <w:shd w:val="clear" w:color="auto" w:fill="auto"/>
            <w:noWrap/>
            <w:vAlign w:val="bottom"/>
            <w:hideMark/>
          </w:tcPr>
          <w:p w14:paraId="26ABCCC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41.2</w:t>
            </w:r>
          </w:p>
        </w:tc>
        <w:tc>
          <w:tcPr>
            <w:tcW w:w="0" w:type="auto"/>
            <w:tcBorders>
              <w:top w:val="nil"/>
              <w:left w:val="nil"/>
              <w:bottom w:val="single" w:sz="4" w:space="0" w:color="auto"/>
              <w:right w:val="single" w:sz="8" w:space="0" w:color="auto"/>
            </w:tcBorders>
            <w:shd w:val="clear" w:color="auto" w:fill="auto"/>
            <w:noWrap/>
            <w:vAlign w:val="bottom"/>
            <w:hideMark/>
          </w:tcPr>
          <w:p w14:paraId="26ABCCC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7,857</w:t>
            </w:r>
          </w:p>
        </w:tc>
        <w:tc>
          <w:tcPr>
            <w:tcW w:w="0" w:type="auto"/>
            <w:tcBorders>
              <w:top w:val="nil"/>
              <w:left w:val="nil"/>
              <w:bottom w:val="single" w:sz="4" w:space="0" w:color="auto"/>
              <w:right w:val="single" w:sz="4" w:space="0" w:color="auto"/>
            </w:tcBorders>
            <w:shd w:val="clear" w:color="auto" w:fill="auto"/>
            <w:noWrap/>
            <w:vAlign w:val="bottom"/>
            <w:hideMark/>
          </w:tcPr>
          <w:p w14:paraId="26ABCCC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54,450</w:t>
            </w:r>
          </w:p>
        </w:tc>
        <w:tc>
          <w:tcPr>
            <w:tcW w:w="0" w:type="auto"/>
            <w:tcBorders>
              <w:top w:val="nil"/>
              <w:left w:val="nil"/>
              <w:bottom w:val="single" w:sz="4" w:space="0" w:color="auto"/>
              <w:right w:val="single" w:sz="4" w:space="0" w:color="auto"/>
            </w:tcBorders>
            <w:shd w:val="clear" w:color="auto" w:fill="auto"/>
            <w:noWrap/>
            <w:vAlign w:val="bottom"/>
            <w:hideMark/>
          </w:tcPr>
          <w:p w14:paraId="26ABCCC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44,806</w:t>
            </w:r>
          </w:p>
        </w:tc>
        <w:tc>
          <w:tcPr>
            <w:tcW w:w="0" w:type="auto"/>
            <w:tcBorders>
              <w:top w:val="nil"/>
              <w:left w:val="nil"/>
              <w:bottom w:val="single" w:sz="4" w:space="0" w:color="auto"/>
              <w:right w:val="single" w:sz="4" w:space="0" w:color="auto"/>
            </w:tcBorders>
            <w:shd w:val="clear" w:color="auto" w:fill="auto"/>
            <w:noWrap/>
            <w:vAlign w:val="bottom"/>
            <w:hideMark/>
          </w:tcPr>
          <w:p w14:paraId="26ABCCC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42.1</w:t>
            </w:r>
          </w:p>
        </w:tc>
        <w:tc>
          <w:tcPr>
            <w:tcW w:w="0" w:type="auto"/>
            <w:tcBorders>
              <w:top w:val="nil"/>
              <w:left w:val="nil"/>
              <w:bottom w:val="single" w:sz="4" w:space="0" w:color="auto"/>
              <w:right w:val="single" w:sz="8" w:space="0" w:color="auto"/>
            </w:tcBorders>
            <w:shd w:val="clear" w:color="auto" w:fill="auto"/>
            <w:noWrap/>
            <w:vAlign w:val="bottom"/>
            <w:hideMark/>
          </w:tcPr>
          <w:p w14:paraId="26ABCCC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7,941</w:t>
            </w:r>
          </w:p>
        </w:tc>
        <w:tc>
          <w:tcPr>
            <w:tcW w:w="0" w:type="auto"/>
            <w:tcBorders>
              <w:top w:val="nil"/>
              <w:left w:val="nil"/>
              <w:bottom w:val="single" w:sz="4" w:space="0" w:color="auto"/>
              <w:right w:val="single" w:sz="4" w:space="0" w:color="auto"/>
            </w:tcBorders>
            <w:shd w:val="clear" w:color="auto" w:fill="auto"/>
            <w:noWrap/>
            <w:vAlign w:val="bottom"/>
            <w:hideMark/>
          </w:tcPr>
          <w:p w14:paraId="26ABCCC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54,170</w:t>
            </w:r>
          </w:p>
        </w:tc>
        <w:tc>
          <w:tcPr>
            <w:tcW w:w="0" w:type="auto"/>
            <w:tcBorders>
              <w:top w:val="nil"/>
              <w:left w:val="nil"/>
              <w:bottom w:val="single" w:sz="4" w:space="0" w:color="auto"/>
              <w:right w:val="single" w:sz="4" w:space="0" w:color="auto"/>
            </w:tcBorders>
            <w:shd w:val="clear" w:color="auto" w:fill="auto"/>
            <w:noWrap/>
            <w:vAlign w:val="bottom"/>
            <w:hideMark/>
          </w:tcPr>
          <w:p w14:paraId="26ABCCC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44,430</w:t>
            </w:r>
          </w:p>
        </w:tc>
        <w:tc>
          <w:tcPr>
            <w:tcW w:w="0" w:type="auto"/>
            <w:tcBorders>
              <w:top w:val="nil"/>
              <w:left w:val="nil"/>
              <w:bottom w:val="single" w:sz="4" w:space="0" w:color="auto"/>
              <w:right w:val="single" w:sz="4" w:space="0" w:color="auto"/>
            </w:tcBorders>
            <w:shd w:val="clear" w:color="auto" w:fill="auto"/>
            <w:noWrap/>
            <w:vAlign w:val="bottom"/>
            <w:hideMark/>
          </w:tcPr>
          <w:p w14:paraId="26ABCCC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41.8</w:t>
            </w:r>
          </w:p>
        </w:tc>
        <w:tc>
          <w:tcPr>
            <w:tcW w:w="0" w:type="auto"/>
            <w:tcBorders>
              <w:top w:val="nil"/>
              <w:left w:val="nil"/>
              <w:bottom w:val="single" w:sz="4" w:space="0" w:color="auto"/>
              <w:right w:val="single" w:sz="8" w:space="0" w:color="auto"/>
            </w:tcBorders>
            <w:shd w:val="clear" w:color="auto" w:fill="auto"/>
            <w:noWrap/>
            <w:vAlign w:val="bottom"/>
            <w:hideMark/>
          </w:tcPr>
          <w:p w14:paraId="26ABCCC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7,896</w:t>
            </w:r>
          </w:p>
        </w:tc>
      </w:tr>
      <w:tr w:rsidR="00A12F9B" w:rsidRPr="00CE60B2" w14:paraId="26ABCCE3"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D1"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Jarrah Yellow Tingle</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D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11,600</w:t>
            </w:r>
          </w:p>
        </w:tc>
        <w:tc>
          <w:tcPr>
            <w:tcW w:w="0" w:type="auto"/>
            <w:tcBorders>
              <w:top w:val="nil"/>
              <w:left w:val="nil"/>
              <w:bottom w:val="single" w:sz="4" w:space="0" w:color="auto"/>
              <w:right w:val="single" w:sz="4" w:space="0" w:color="auto"/>
            </w:tcBorders>
            <w:shd w:val="clear" w:color="auto" w:fill="auto"/>
            <w:noWrap/>
            <w:vAlign w:val="bottom"/>
            <w:hideMark/>
          </w:tcPr>
          <w:p w14:paraId="26ABCCD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9,669</w:t>
            </w:r>
          </w:p>
        </w:tc>
        <w:tc>
          <w:tcPr>
            <w:tcW w:w="0" w:type="auto"/>
            <w:tcBorders>
              <w:top w:val="nil"/>
              <w:left w:val="nil"/>
              <w:bottom w:val="single" w:sz="4" w:space="0" w:color="auto"/>
              <w:right w:val="single" w:sz="4" w:space="0" w:color="auto"/>
            </w:tcBorders>
            <w:shd w:val="clear" w:color="auto" w:fill="auto"/>
            <w:noWrap/>
            <w:vAlign w:val="bottom"/>
            <w:hideMark/>
          </w:tcPr>
          <w:p w14:paraId="26ABCCD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4,799</w:t>
            </w:r>
          </w:p>
        </w:tc>
        <w:tc>
          <w:tcPr>
            <w:tcW w:w="0" w:type="auto"/>
            <w:tcBorders>
              <w:top w:val="nil"/>
              <w:left w:val="nil"/>
              <w:bottom w:val="single" w:sz="4" w:space="0" w:color="auto"/>
              <w:right w:val="single" w:sz="4" w:space="0" w:color="auto"/>
            </w:tcBorders>
            <w:shd w:val="clear" w:color="auto" w:fill="auto"/>
            <w:noWrap/>
            <w:vAlign w:val="bottom"/>
            <w:hideMark/>
          </w:tcPr>
          <w:p w14:paraId="26ABCCD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41.4</w:t>
            </w:r>
          </w:p>
        </w:tc>
        <w:tc>
          <w:tcPr>
            <w:tcW w:w="0" w:type="auto"/>
            <w:tcBorders>
              <w:top w:val="nil"/>
              <w:left w:val="nil"/>
              <w:bottom w:val="single" w:sz="4" w:space="0" w:color="auto"/>
              <w:right w:val="single" w:sz="8" w:space="0" w:color="auto"/>
            </w:tcBorders>
            <w:shd w:val="clear" w:color="auto" w:fill="auto"/>
            <w:noWrap/>
            <w:vAlign w:val="bottom"/>
            <w:hideMark/>
          </w:tcPr>
          <w:p w14:paraId="26ABCCD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304</w:t>
            </w:r>
          </w:p>
        </w:tc>
        <w:tc>
          <w:tcPr>
            <w:tcW w:w="0" w:type="auto"/>
            <w:tcBorders>
              <w:top w:val="nil"/>
              <w:left w:val="nil"/>
              <w:bottom w:val="single" w:sz="4" w:space="0" w:color="auto"/>
              <w:right w:val="single" w:sz="4" w:space="0" w:color="auto"/>
            </w:tcBorders>
            <w:shd w:val="clear" w:color="auto" w:fill="auto"/>
            <w:noWrap/>
            <w:vAlign w:val="bottom"/>
            <w:hideMark/>
          </w:tcPr>
          <w:p w14:paraId="26ABCCD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8,270</w:t>
            </w:r>
          </w:p>
        </w:tc>
        <w:tc>
          <w:tcPr>
            <w:tcW w:w="0" w:type="auto"/>
            <w:tcBorders>
              <w:top w:val="nil"/>
              <w:left w:val="nil"/>
              <w:bottom w:val="single" w:sz="4" w:space="0" w:color="auto"/>
              <w:right w:val="single" w:sz="4" w:space="0" w:color="auto"/>
            </w:tcBorders>
            <w:shd w:val="clear" w:color="auto" w:fill="auto"/>
            <w:noWrap/>
            <w:vAlign w:val="bottom"/>
            <w:hideMark/>
          </w:tcPr>
          <w:p w14:paraId="26ABCCD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8,266</w:t>
            </w:r>
          </w:p>
        </w:tc>
        <w:tc>
          <w:tcPr>
            <w:tcW w:w="0" w:type="auto"/>
            <w:tcBorders>
              <w:top w:val="nil"/>
              <w:left w:val="nil"/>
              <w:bottom w:val="single" w:sz="4" w:space="0" w:color="auto"/>
              <w:right w:val="single" w:sz="4" w:space="0" w:color="auto"/>
            </w:tcBorders>
            <w:shd w:val="clear" w:color="auto" w:fill="auto"/>
            <w:noWrap/>
            <w:vAlign w:val="bottom"/>
            <w:hideMark/>
          </w:tcPr>
          <w:p w14:paraId="26ABCCD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71.3</w:t>
            </w:r>
          </w:p>
        </w:tc>
        <w:tc>
          <w:tcPr>
            <w:tcW w:w="0" w:type="auto"/>
            <w:tcBorders>
              <w:top w:val="nil"/>
              <w:left w:val="nil"/>
              <w:bottom w:val="single" w:sz="4" w:space="0" w:color="auto"/>
              <w:right w:val="single" w:sz="8" w:space="0" w:color="auto"/>
            </w:tcBorders>
            <w:shd w:val="clear" w:color="auto" w:fill="auto"/>
            <w:noWrap/>
            <w:vAlign w:val="bottom"/>
            <w:hideMark/>
          </w:tcPr>
          <w:p w14:paraId="26ABCCD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CD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8,380</w:t>
            </w:r>
          </w:p>
        </w:tc>
        <w:tc>
          <w:tcPr>
            <w:tcW w:w="0" w:type="auto"/>
            <w:tcBorders>
              <w:top w:val="nil"/>
              <w:left w:val="nil"/>
              <w:bottom w:val="single" w:sz="4" w:space="0" w:color="auto"/>
              <w:right w:val="single" w:sz="4" w:space="0" w:color="auto"/>
            </w:tcBorders>
            <w:shd w:val="clear" w:color="auto" w:fill="auto"/>
            <w:noWrap/>
            <w:vAlign w:val="bottom"/>
            <w:hideMark/>
          </w:tcPr>
          <w:p w14:paraId="26ABCCD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8,299</w:t>
            </w:r>
          </w:p>
        </w:tc>
        <w:tc>
          <w:tcPr>
            <w:tcW w:w="0" w:type="auto"/>
            <w:tcBorders>
              <w:top w:val="nil"/>
              <w:left w:val="nil"/>
              <w:bottom w:val="single" w:sz="4" w:space="0" w:color="auto"/>
              <w:right w:val="single" w:sz="4" w:space="0" w:color="auto"/>
            </w:tcBorders>
            <w:shd w:val="clear" w:color="auto" w:fill="auto"/>
            <w:noWrap/>
            <w:vAlign w:val="bottom"/>
            <w:hideMark/>
          </w:tcPr>
          <w:p w14:paraId="26ABCCD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71.5</w:t>
            </w:r>
          </w:p>
        </w:tc>
        <w:tc>
          <w:tcPr>
            <w:tcW w:w="0" w:type="auto"/>
            <w:tcBorders>
              <w:top w:val="nil"/>
              <w:left w:val="nil"/>
              <w:bottom w:val="single" w:sz="4" w:space="0" w:color="auto"/>
              <w:right w:val="single" w:sz="8" w:space="0" w:color="auto"/>
            </w:tcBorders>
            <w:shd w:val="clear" w:color="auto" w:fill="auto"/>
            <w:noWrap/>
            <w:vAlign w:val="bottom"/>
            <w:hideMark/>
          </w:tcPr>
          <w:p w14:paraId="26ABCCD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CD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8,900</w:t>
            </w:r>
          </w:p>
        </w:tc>
        <w:tc>
          <w:tcPr>
            <w:tcW w:w="0" w:type="auto"/>
            <w:tcBorders>
              <w:top w:val="nil"/>
              <w:left w:val="nil"/>
              <w:bottom w:val="single" w:sz="4" w:space="0" w:color="auto"/>
              <w:right w:val="single" w:sz="4" w:space="0" w:color="auto"/>
            </w:tcBorders>
            <w:shd w:val="clear" w:color="auto" w:fill="auto"/>
            <w:noWrap/>
            <w:vAlign w:val="bottom"/>
            <w:hideMark/>
          </w:tcPr>
          <w:p w14:paraId="26ABCCE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8,289</w:t>
            </w:r>
          </w:p>
        </w:tc>
        <w:tc>
          <w:tcPr>
            <w:tcW w:w="0" w:type="auto"/>
            <w:tcBorders>
              <w:top w:val="nil"/>
              <w:left w:val="nil"/>
              <w:bottom w:val="single" w:sz="4" w:space="0" w:color="auto"/>
              <w:right w:val="single" w:sz="4" w:space="0" w:color="auto"/>
            </w:tcBorders>
            <w:shd w:val="clear" w:color="auto" w:fill="auto"/>
            <w:noWrap/>
            <w:vAlign w:val="bottom"/>
            <w:hideMark/>
          </w:tcPr>
          <w:p w14:paraId="26ABCCE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71.5</w:t>
            </w:r>
          </w:p>
        </w:tc>
        <w:tc>
          <w:tcPr>
            <w:tcW w:w="0" w:type="auto"/>
            <w:tcBorders>
              <w:top w:val="nil"/>
              <w:left w:val="nil"/>
              <w:bottom w:val="single" w:sz="4" w:space="0" w:color="auto"/>
              <w:right w:val="single" w:sz="8" w:space="0" w:color="auto"/>
            </w:tcBorders>
            <w:shd w:val="clear" w:color="auto" w:fill="auto"/>
            <w:noWrap/>
            <w:vAlign w:val="bottom"/>
            <w:hideMark/>
          </w:tcPr>
          <w:p w14:paraId="26ABCCE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r>
      <w:tr w:rsidR="00A12F9B" w:rsidRPr="00CE60B2" w14:paraId="26ABCCF6" w14:textId="77777777" w:rsidTr="00A12F9B">
        <w:trPr>
          <w:trHeight w:val="264"/>
        </w:trPr>
        <w:tc>
          <w:tcPr>
            <w:tcW w:w="0" w:type="auto"/>
            <w:tcBorders>
              <w:top w:val="nil"/>
              <w:left w:val="single" w:sz="4" w:space="0" w:color="auto"/>
              <w:bottom w:val="single" w:sz="4" w:space="0" w:color="auto"/>
              <w:right w:val="nil"/>
            </w:tcBorders>
            <w:shd w:val="clear" w:color="auto" w:fill="DFEFE1" w:themeFill="accent3" w:themeFillTint="66"/>
            <w:noWrap/>
            <w:vAlign w:val="bottom"/>
            <w:hideMark/>
          </w:tcPr>
          <w:p w14:paraId="26ABCCE4"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Sub-total Jarrah dominant</w:t>
            </w:r>
          </w:p>
        </w:tc>
        <w:tc>
          <w:tcPr>
            <w:tcW w:w="0" w:type="auto"/>
            <w:tcBorders>
              <w:top w:val="nil"/>
              <w:left w:val="single" w:sz="4" w:space="0" w:color="auto"/>
              <w:bottom w:val="single" w:sz="4" w:space="0" w:color="auto"/>
              <w:right w:val="single" w:sz="8" w:space="0" w:color="auto"/>
            </w:tcBorders>
            <w:shd w:val="clear" w:color="auto" w:fill="DFEFE1" w:themeFill="accent3" w:themeFillTint="66"/>
            <w:noWrap/>
            <w:vAlign w:val="bottom"/>
            <w:hideMark/>
          </w:tcPr>
          <w:p w14:paraId="26ABCCE5"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2,809,250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E6"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1,823,599</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E7"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535,217</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E8"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CE9"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80,848</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EA"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1,613,870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EB"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705,651</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EC"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CED"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78,392</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EE"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1,630,650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EF"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713,173</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F0"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CF1"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121,129</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F2"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1,742,190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F3"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711,525</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CF4"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CF5"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120,736</w:t>
            </w:r>
          </w:p>
        </w:tc>
      </w:tr>
      <w:tr w:rsidR="00A12F9B" w:rsidRPr="00CE60B2" w14:paraId="26ABCD09"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CF7"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Karri Main Belt</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CF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193,000</w:t>
            </w:r>
          </w:p>
        </w:tc>
        <w:tc>
          <w:tcPr>
            <w:tcW w:w="0" w:type="auto"/>
            <w:tcBorders>
              <w:top w:val="nil"/>
              <w:left w:val="nil"/>
              <w:bottom w:val="single" w:sz="4" w:space="0" w:color="auto"/>
              <w:right w:val="single" w:sz="4" w:space="0" w:color="auto"/>
            </w:tcBorders>
            <w:shd w:val="clear" w:color="auto" w:fill="auto"/>
            <w:noWrap/>
            <w:vAlign w:val="bottom"/>
            <w:hideMark/>
          </w:tcPr>
          <w:p w14:paraId="26ABCCF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163,905</w:t>
            </w:r>
          </w:p>
        </w:tc>
        <w:tc>
          <w:tcPr>
            <w:tcW w:w="0" w:type="auto"/>
            <w:tcBorders>
              <w:top w:val="nil"/>
              <w:left w:val="nil"/>
              <w:bottom w:val="single" w:sz="4" w:space="0" w:color="auto"/>
              <w:right w:val="single" w:sz="4" w:space="0" w:color="auto"/>
            </w:tcBorders>
            <w:shd w:val="clear" w:color="auto" w:fill="auto"/>
            <w:noWrap/>
            <w:vAlign w:val="bottom"/>
            <w:hideMark/>
          </w:tcPr>
          <w:p w14:paraId="26ABCCF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55,603</w:t>
            </w:r>
          </w:p>
        </w:tc>
        <w:tc>
          <w:tcPr>
            <w:tcW w:w="0" w:type="auto"/>
            <w:tcBorders>
              <w:top w:val="nil"/>
              <w:left w:val="nil"/>
              <w:bottom w:val="single" w:sz="4" w:space="0" w:color="auto"/>
              <w:right w:val="single" w:sz="4" w:space="0" w:color="auto"/>
            </w:tcBorders>
            <w:shd w:val="clear" w:color="auto" w:fill="auto"/>
            <w:noWrap/>
            <w:vAlign w:val="bottom"/>
            <w:hideMark/>
          </w:tcPr>
          <w:p w14:paraId="26ABCCF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28.8</w:t>
            </w:r>
          </w:p>
        </w:tc>
        <w:tc>
          <w:tcPr>
            <w:tcW w:w="0" w:type="auto"/>
            <w:tcBorders>
              <w:top w:val="nil"/>
              <w:left w:val="nil"/>
              <w:bottom w:val="single" w:sz="4" w:space="0" w:color="auto"/>
              <w:right w:val="single" w:sz="8" w:space="0" w:color="auto"/>
            </w:tcBorders>
            <w:shd w:val="clear" w:color="auto" w:fill="auto"/>
            <w:noWrap/>
            <w:vAlign w:val="bottom"/>
            <w:hideMark/>
          </w:tcPr>
          <w:p w14:paraId="26ABCCF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13,071</w:t>
            </w:r>
          </w:p>
        </w:tc>
        <w:tc>
          <w:tcPr>
            <w:tcW w:w="0" w:type="auto"/>
            <w:tcBorders>
              <w:top w:val="nil"/>
              <w:left w:val="nil"/>
              <w:bottom w:val="single" w:sz="4" w:space="0" w:color="auto"/>
              <w:right w:val="single" w:sz="4" w:space="0" w:color="auto"/>
            </w:tcBorders>
            <w:shd w:val="clear" w:color="auto" w:fill="auto"/>
            <w:noWrap/>
            <w:vAlign w:val="bottom"/>
            <w:hideMark/>
          </w:tcPr>
          <w:p w14:paraId="26ABCCF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153,320</w:t>
            </w:r>
          </w:p>
        </w:tc>
        <w:tc>
          <w:tcPr>
            <w:tcW w:w="0" w:type="auto"/>
            <w:tcBorders>
              <w:top w:val="nil"/>
              <w:left w:val="nil"/>
              <w:bottom w:val="single" w:sz="4" w:space="0" w:color="auto"/>
              <w:right w:val="single" w:sz="4" w:space="0" w:color="auto"/>
            </w:tcBorders>
            <w:shd w:val="clear" w:color="auto" w:fill="auto"/>
            <w:noWrap/>
            <w:vAlign w:val="bottom"/>
            <w:hideMark/>
          </w:tcPr>
          <w:p w14:paraId="26ABCCF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78,468</w:t>
            </w:r>
          </w:p>
        </w:tc>
        <w:tc>
          <w:tcPr>
            <w:tcW w:w="0" w:type="auto"/>
            <w:tcBorders>
              <w:top w:val="nil"/>
              <w:left w:val="nil"/>
              <w:bottom w:val="single" w:sz="4" w:space="0" w:color="auto"/>
              <w:right w:val="single" w:sz="4" w:space="0" w:color="auto"/>
            </w:tcBorders>
            <w:shd w:val="clear" w:color="auto" w:fill="auto"/>
            <w:noWrap/>
            <w:vAlign w:val="bottom"/>
            <w:hideMark/>
          </w:tcPr>
          <w:p w14:paraId="26ABCCF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40.7</w:t>
            </w:r>
          </w:p>
        </w:tc>
        <w:tc>
          <w:tcPr>
            <w:tcW w:w="0" w:type="auto"/>
            <w:tcBorders>
              <w:top w:val="nil"/>
              <w:left w:val="nil"/>
              <w:bottom w:val="single" w:sz="4" w:space="0" w:color="auto"/>
              <w:right w:val="single" w:sz="8" w:space="0" w:color="auto"/>
            </w:tcBorders>
            <w:shd w:val="clear" w:color="auto" w:fill="auto"/>
            <w:noWrap/>
            <w:vAlign w:val="bottom"/>
            <w:hideMark/>
          </w:tcPr>
          <w:p w14:paraId="26ABCD0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13,871</w:t>
            </w:r>
          </w:p>
        </w:tc>
        <w:tc>
          <w:tcPr>
            <w:tcW w:w="0" w:type="auto"/>
            <w:tcBorders>
              <w:top w:val="nil"/>
              <w:left w:val="nil"/>
              <w:bottom w:val="single" w:sz="4" w:space="0" w:color="auto"/>
              <w:right w:val="single" w:sz="4" w:space="0" w:color="auto"/>
            </w:tcBorders>
            <w:shd w:val="clear" w:color="auto" w:fill="auto"/>
            <w:noWrap/>
            <w:vAlign w:val="bottom"/>
            <w:hideMark/>
          </w:tcPr>
          <w:p w14:paraId="26ABCD0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154,590</w:t>
            </w:r>
          </w:p>
        </w:tc>
        <w:tc>
          <w:tcPr>
            <w:tcW w:w="0" w:type="auto"/>
            <w:tcBorders>
              <w:top w:val="nil"/>
              <w:left w:val="nil"/>
              <w:bottom w:val="single" w:sz="4" w:space="0" w:color="auto"/>
              <w:right w:val="single" w:sz="4" w:space="0" w:color="auto"/>
            </w:tcBorders>
            <w:shd w:val="clear" w:color="auto" w:fill="auto"/>
            <w:noWrap/>
            <w:vAlign w:val="bottom"/>
            <w:hideMark/>
          </w:tcPr>
          <w:p w14:paraId="26ABCD0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79,628</w:t>
            </w:r>
          </w:p>
        </w:tc>
        <w:tc>
          <w:tcPr>
            <w:tcW w:w="0" w:type="auto"/>
            <w:tcBorders>
              <w:top w:val="nil"/>
              <w:left w:val="nil"/>
              <w:bottom w:val="single" w:sz="4" w:space="0" w:color="auto"/>
              <w:right w:val="single" w:sz="4" w:space="0" w:color="auto"/>
            </w:tcBorders>
            <w:shd w:val="clear" w:color="auto" w:fill="auto"/>
            <w:noWrap/>
            <w:vAlign w:val="bottom"/>
            <w:hideMark/>
          </w:tcPr>
          <w:p w14:paraId="26ABCD0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41.3</w:t>
            </w:r>
          </w:p>
        </w:tc>
        <w:tc>
          <w:tcPr>
            <w:tcW w:w="0" w:type="auto"/>
            <w:tcBorders>
              <w:top w:val="nil"/>
              <w:left w:val="nil"/>
              <w:bottom w:val="single" w:sz="4" w:space="0" w:color="auto"/>
              <w:right w:val="single" w:sz="8" w:space="0" w:color="auto"/>
            </w:tcBorders>
            <w:shd w:val="clear" w:color="auto" w:fill="auto"/>
            <w:noWrap/>
            <w:vAlign w:val="bottom"/>
            <w:hideMark/>
          </w:tcPr>
          <w:p w14:paraId="26ABCD0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14,482</w:t>
            </w:r>
          </w:p>
        </w:tc>
        <w:tc>
          <w:tcPr>
            <w:tcW w:w="0" w:type="auto"/>
            <w:tcBorders>
              <w:top w:val="nil"/>
              <w:left w:val="nil"/>
              <w:bottom w:val="single" w:sz="4" w:space="0" w:color="auto"/>
              <w:right w:val="single" w:sz="4" w:space="0" w:color="auto"/>
            </w:tcBorders>
            <w:shd w:val="clear" w:color="auto" w:fill="auto"/>
            <w:noWrap/>
            <w:vAlign w:val="bottom"/>
            <w:hideMark/>
          </w:tcPr>
          <w:p w14:paraId="26ABCD0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160,070</w:t>
            </w:r>
          </w:p>
        </w:tc>
        <w:tc>
          <w:tcPr>
            <w:tcW w:w="0" w:type="auto"/>
            <w:tcBorders>
              <w:top w:val="nil"/>
              <w:left w:val="nil"/>
              <w:bottom w:val="single" w:sz="4" w:space="0" w:color="auto"/>
              <w:right w:val="single" w:sz="4" w:space="0" w:color="auto"/>
            </w:tcBorders>
            <w:shd w:val="clear" w:color="auto" w:fill="auto"/>
            <w:noWrap/>
            <w:vAlign w:val="bottom"/>
            <w:hideMark/>
          </w:tcPr>
          <w:p w14:paraId="26ABCD0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79,200</w:t>
            </w:r>
          </w:p>
        </w:tc>
        <w:tc>
          <w:tcPr>
            <w:tcW w:w="0" w:type="auto"/>
            <w:tcBorders>
              <w:top w:val="nil"/>
              <w:left w:val="nil"/>
              <w:bottom w:val="single" w:sz="4" w:space="0" w:color="auto"/>
              <w:right w:val="single" w:sz="4" w:space="0" w:color="auto"/>
            </w:tcBorders>
            <w:shd w:val="clear" w:color="auto" w:fill="auto"/>
            <w:noWrap/>
            <w:vAlign w:val="bottom"/>
            <w:hideMark/>
          </w:tcPr>
          <w:p w14:paraId="26ABCD0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41.0</w:t>
            </w:r>
          </w:p>
        </w:tc>
        <w:tc>
          <w:tcPr>
            <w:tcW w:w="0" w:type="auto"/>
            <w:tcBorders>
              <w:top w:val="nil"/>
              <w:left w:val="nil"/>
              <w:bottom w:val="single" w:sz="4" w:space="0" w:color="auto"/>
              <w:right w:val="single" w:sz="8" w:space="0" w:color="auto"/>
            </w:tcBorders>
            <w:shd w:val="clear" w:color="auto" w:fill="auto"/>
            <w:noWrap/>
            <w:vAlign w:val="bottom"/>
            <w:hideMark/>
          </w:tcPr>
          <w:p w14:paraId="26ABCD0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14,634</w:t>
            </w:r>
          </w:p>
        </w:tc>
      </w:tr>
      <w:tr w:rsidR="00A12F9B" w:rsidRPr="00CE60B2" w14:paraId="26ABCD1C"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0A"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Karri Rate's Tingle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D0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1,100</w:t>
            </w:r>
          </w:p>
        </w:tc>
        <w:tc>
          <w:tcPr>
            <w:tcW w:w="0" w:type="auto"/>
            <w:tcBorders>
              <w:top w:val="nil"/>
              <w:left w:val="nil"/>
              <w:bottom w:val="single" w:sz="4" w:space="0" w:color="auto"/>
              <w:right w:val="single" w:sz="4" w:space="0" w:color="auto"/>
            </w:tcBorders>
            <w:shd w:val="clear" w:color="auto" w:fill="auto"/>
            <w:noWrap/>
            <w:vAlign w:val="bottom"/>
            <w:hideMark/>
          </w:tcPr>
          <w:p w14:paraId="26ABCD0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860</w:t>
            </w:r>
          </w:p>
        </w:tc>
        <w:tc>
          <w:tcPr>
            <w:tcW w:w="0" w:type="auto"/>
            <w:tcBorders>
              <w:top w:val="nil"/>
              <w:left w:val="nil"/>
              <w:bottom w:val="single" w:sz="4" w:space="0" w:color="auto"/>
              <w:right w:val="single" w:sz="4" w:space="0" w:color="auto"/>
            </w:tcBorders>
            <w:shd w:val="clear" w:color="auto" w:fill="auto"/>
            <w:noWrap/>
            <w:vAlign w:val="bottom"/>
            <w:hideMark/>
          </w:tcPr>
          <w:p w14:paraId="26ABCD0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736</w:t>
            </w:r>
          </w:p>
        </w:tc>
        <w:tc>
          <w:tcPr>
            <w:tcW w:w="0" w:type="auto"/>
            <w:tcBorders>
              <w:top w:val="nil"/>
              <w:left w:val="nil"/>
              <w:bottom w:val="single" w:sz="4" w:space="0" w:color="auto"/>
              <w:right w:val="single" w:sz="4" w:space="0" w:color="auto"/>
            </w:tcBorders>
            <w:shd w:val="clear" w:color="auto" w:fill="auto"/>
            <w:noWrap/>
            <w:vAlign w:val="bottom"/>
            <w:hideMark/>
          </w:tcPr>
          <w:p w14:paraId="26ABCD0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85.6</w:t>
            </w:r>
          </w:p>
        </w:tc>
        <w:tc>
          <w:tcPr>
            <w:tcW w:w="0" w:type="auto"/>
            <w:tcBorders>
              <w:top w:val="nil"/>
              <w:left w:val="nil"/>
              <w:bottom w:val="single" w:sz="4" w:space="0" w:color="auto"/>
              <w:right w:val="single" w:sz="8" w:space="0" w:color="auto"/>
            </w:tcBorders>
            <w:shd w:val="clear" w:color="auto" w:fill="auto"/>
            <w:noWrap/>
            <w:vAlign w:val="bottom"/>
            <w:hideMark/>
          </w:tcPr>
          <w:p w14:paraId="26ABCD0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D1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790</w:t>
            </w:r>
          </w:p>
        </w:tc>
        <w:tc>
          <w:tcPr>
            <w:tcW w:w="0" w:type="auto"/>
            <w:tcBorders>
              <w:top w:val="nil"/>
              <w:left w:val="nil"/>
              <w:bottom w:val="single" w:sz="4" w:space="0" w:color="auto"/>
              <w:right w:val="single" w:sz="4" w:space="0" w:color="auto"/>
            </w:tcBorders>
            <w:shd w:val="clear" w:color="auto" w:fill="auto"/>
            <w:noWrap/>
            <w:vAlign w:val="bottom"/>
            <w:hideMark/>
          </w:tcPr>
          <w:p w14:paraId="26ABCD1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788</w:t>
            </w:r>
          </w:p>
        </w:tc>
        <w:tc>
          <w:tcPr>
            <w:tcW w:w="0" w:type="auto"/>
            <w:tcBorders>
              <w:top w:val="nil"/>
              <w:left w:val="nil"/>
              <w:bottom w:val="single" w:sz="4" w:space="0" w:color="auto"/>
              <w:right w:val="single" w:sz="4" w:space="0" w:color="auto"/>
            </w:tcBorders>
            <w:shd w:val="clear" w:color="auto" w:fill="auto"/>
            <w:noWrap/>
            <w:vAlign w:val="bottom"/>
            <w:hideMark/>
          </w:tcPr>
          <w:p w14:paraId="26ABCD1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99.7</w:t>
            </w:r>
          </w:p>
        </w:tc>
        <w:tc>
          <w:tcPr>
            <w:tcW w:w="0" w:type="auto"/>
            <w:tcBorders>
              <w:top w:val="nil"/>
              <w:left w:val="nil"/>
              <w:bottom w:val="single" w:sz="4" w:space="0" w:color="auto"/>
              <w:right w:val="single" w:sz="8" w:space="0" w:color="auto"/>
            </w:tcBorders>
            <w:shd w:val="clear" w:color="auto" w:fill="auto"/>
            <w:noWrap/>
            <w:vAlign w:val="bottom"/>
            <w:hideMark/>
          </w:tcPr>
          <w:p w14:paraId="26ABCD1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D1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790</w:t>
            </w:r>
          </w:p>
        </w:tc>
        <w:tc>
          <w:tcPr>
            <w:tcW w:w="0" w:type="auto"/>
            <w:tcBorders>
              <w:top w:val="nil"/>
              <w:left w:val="nil"/>
              <w:bottom w:val="single" w:sz="4" w:space="0" w:color="auto"/>
              <w:right w:val="single" w:sz="4" w:space="0" w:color="auto"/>
            </w:tcBorders>
            <w:shd w:val="clear" w:color="auto" w:fill="auto"/>
            <w:noWrap/>
            <w:vAlign w:val="bottom"/>
            <w:hideMark/>
          </w:tcPr>
          <w:p w14:paraId="26ABCD1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788</w:t>
            </w:r>
          </w:p>
        </w:tc>
        <w:tc>
          <w:tcPr>
            <w:tcW w:w="0" w:type="auto"/>
            <w:tcBorders>
              <w:top w:val="nil"/>
              <w:left w:val="nil"/>
              <w:bottom w:val="single" w:sz="4" w:space="0" w:color="auto"/>
              <w:right w:val="single" w:sz="4" w:space="0" w:color="auto"/>
            </w:tcBorders>
            <w:shd w:val="clear" w:color="auto" w:fill="auto"/>
            <w:noWrap/>
            <w:vAlign w:val="bottom"/>
            <w:hideMark/>
          </w:tcPr>
          <w:p w14:paraId="26ABCD1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99.7</w:t>
            </w:r>
          </w:p>
        </w:tc>
        <w:tc>
          <w:tcPr>
            <w:tcW w:w="0" w:type="auto"/>
            <w:tcBorders>
              <w:top w:val="nil"/>
              <w:left w:val="nil"/>
              <w:bottom w:val="single" w:sz="4" w:space="0" w:color="auto"/>
              <w:right w:val="single" w:sz="8" w:space="0" w:color="auto"/>
            </w:tcBorders>
            <w:shd w:val="clear" w:color="auto" w:fill="auto"/>
            <w:noWrap/>
            <w:vAlign w:val="bottom"/>
            <w:hideMark/>
          </w:tcPr>
          <w:p w14:paraId="26ABCD1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D1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790</w:t>
            </w:r>
          </w:p>
        </w:tc>
        <w:tc>
          <w:tcPr>
            <w:tcW w:w="0" w:type="auto"/>
            <w:tcBorders>
              <w:top w:val="nil"/>
              <w:left w:val="nil"/>
              <w:bottom w:val="single" w:sz="4" w:space="0" w:color="auto"/>
              <w:right w:val="single" w:sz="4" w:space="0" w:color="auto"/>
            </w:tcBorders>
            <w:shd w:val="clear" w:color="auto" w:fill="auto"/>
            <w:noWrap/>
            <w:vAlign w:val="bottom"/>
            <w:hideMark/>
          </w:tcPr>
          <w:p w14:paraId="26ABCD1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788</w:t>
            </w:r>
          </w:p>
        </w:tc>
        <w:tc>
          <w:tcPr>
            <w:tcW w:w="0" w:type="auto"/>
            <w:tcBorders>
              <w:top w:val="nil"/>
              <w:left w:val="nil"/>
              <w:bottom w:val="single" w:sz="4" w:space="0" w:color="auto"/>
              <w:right w:val="single" w:sz="4" w:space="0" w:color="auto"/>
            </w:tcBorders>
            <w:shd w:val="clear" w:color="auto" w:fill="auto"/>
            <w:noWrap/>
            <w:vAlign w:val="bottom"/>
            <w:hideMark/>
          </w:tcPr>
          <w:p w14:paraId="26ABCD1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99.7</w:t>
            </w:r>
          </w:p>
        </w:tc>
        <w:tc>
          <w:tcPr>
            <w:tcW w:w="0" w:type="auto"/>
            <w:tcBorders>
              <w:top w:val="nil"/>
              <w:left w:val="nil"/>
              <w:bottom w:val="single" w:sz="4" w:space="0" w:color="auto"/>
              <w:right w:val="single" w:sz="8" w:space="0" w:color="auto"/>
            </w:tcBorders>
            <w:shd w:val="clear" w:color="auto" w:fill="auto"/>
            <w:noWrap/>
            <w:vAlign w:val="bottom"/>
            <w:hideMark/>
          </w:tcPr>
          <w:p w14:paraId="26ABCD1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r>
      <w:tr w:rsidR="00A12F9B" w:rsidRPr="00CE60B2" w14:paraId="26ABCD2F"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1D"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Karri Red Tingle</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D1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7,200</w:t>
            </w:r>
          </w:p>
        </w:tc>
        <w:tc>
          <w:tcPr>
            <w:tcW w:w="0" w:type="auto"/>
            <w:tcBorders>
              <w:top w:val="nil"/>
              <w:left w:val="nil"/>
              <w:bottom w:val="single" w:sz="4" w:space="0" w:color="auto"/>
              <w:right w:val="single" w:sz="4" w:space="0" w:color="auto"/>
            </w:tcBorders>
            <w:shd w:val="clear" w:color="auto" w:fill="auto"/>
            <w:noWrap/>
            <w:vAlign w:val="bottom"/>
            <w:hideMark/>
          </w:tcPr>
          <w:p w14:paraId="26ABCD1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5,858</w:t>
            </w:r>
          </w:p>
        </w:tc>
        <w:tc>
          <w:tcPr>
            <w:tcW w:w="0" w:type="auto"/>
            <w:tcBorders>
              <w:top w:val="nil"/>
              <w:left w:val="nil"/>
              <w:bottom w:val="single" w:sz="4" w:space="0" w:color="auto"/>
              <w:right w:val="single" w:sz="4" w:space="0" w:color="auto"/>
            </w:tcBorders>
            <w:shd w:val="clear" w:color="auto" w:fill="auto"/>
            <w:noWrap/>
            <w:vAlign w:val="bottom"/>
            <w:hideMark/>
          </w:tcPr>
          <w:p w14:paraId="26ABCD2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5,103</w:t>
            </w:r>
          </w:p>
        </w:tc>
        <w:tc>
          <w:tcPr>
            <w:tcW w:w="0" w:type="auto"/>
            <w:tcBorders>
              <w:top w:val="nil"/>
              <w:left w:val="nil"/>
              <w:bottom w:val="single" w:sz="4" w:space="0" w:color="auto"/>
              <w:right w:val="single" w:sz="4" w:space="0" w:color="auto"/>
            </w:tcBorders>
            <w:shd w:val="clear" w:color="auto" w:fill="auto"/>
            <w:noWrap/>
            <w:vAlign w:val="bottom"/>
            <w:hideMark/>
          </w:tcPr>
          <w:p w14:paraId="26ABCD2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70.9</w:t>
            </w:r>
          </w:p>
        </w:tc>
        <w:tc>
          <w:tcPr>
            <w:tcW w:w="0" w:type="auto"/>
            <w:tcBorders>
              <w:top w:val="nil"/>
              <w:left w:val="nil"/>
              <w:bottom w:val="single" w:sz="4" w:space="0" w:color="auto"/>
              <w:right w:val="single" w:sz="8" w:space="0" w:color="auto"/>
            </w:tcBorders>
            <w:shd w:val="clear" w:color="auto" w:fill="auto"/>
            <w:noWrap/>
            <w:vAlign w:val="bottom"/>
            <w:hideMark/>
          </w:tcPr>
          <w:p w14:paraId="26ABCD2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D2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5,230</w:t>
            </w:r>
          </w:p>
        </w:tc>
        <w:tc>
          <w:tcPr>
            <w:tcW w:w="0" w:type="auto"/>
            <w:tcBorders>
              <w:top w:val="nil"/>
              <w:left w:val="nil"/>
              <w:bottom w:val="single" w:sz="4" w:space="0" w:color="auto"/>
              <w:right w:val="single" w:sz="4" w:space="0" w:color="auto"/>
            </w:tcBorders>
            <w:shd w:val="clear" w:color="auto" w:fill="auto"/>
            <w:noWrap/>
            <w:vAlign w:val="bottom"/>
            <w:hideMark/>
          </w:tcPr>
          <w:p w14:paraId="26ABCD2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5,228</w:t>
            </w:r>
          </w:p>
        </w:tc>
        <w:tc>
          <w:tcPr>
            <w:tcW w:w="0" w:type="auto"/>
            <w:tcBorders>
              <w:top w:val="nil"/>
              <w:left w:val="nil"/>
              <w:bottom w:val="single" w:sz="4" w:space="0" w:color="auto"/>
              <w:right w:val="single" w:sz="4" w:space="0" w:color="auto"/>
            </w:tcBorders>
            <w:shd w:val="clear" w:color="auto" w:fill="auto"/>
            <w:noWrap/>
            <w:vAlign w:val="bottom"/>
            <w:hideMark/>
          </w:tcPr>
          <w:p w14:paraId="26ABCD2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72.6</w:t>
            </w:r>
          </w:p>
        </w:tc>
        <w:tc>
          <w:tcPr>
            <w:tcW w:w="0" w:type="auto"/>
            <w:tcBorders>
              <w:top w:val="nil"/>
              <w:left w:val="nil"/>
              <w:bottom w:val="single" w:sz="4" w:space="0" w:color="auto"/>
              <w:right w:val="single" w:sz="8" w:space="0" w:color="auto"/>
            </w:tcBorders>
            <w:shd w:val="clear" w:color="auto" w:fill="auto"/>
            <w:noWrap/>
            <w:vAlign w:val="bottom"/>
            <w:hideMark/>
          </w:tcPr>
          <w:p w14:paraId="26ABCD2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D2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5,220</w:t>
            </w:r>
          </w:p>
        </w:tc>
        <w:tc>
          <w:tcPr>
            <w:tcW w:w="0" w:type="auto"/>
            <w:tcBorders>
              <w:top w:val="nil"/>
              <w:left w:val="nil"/>
              <w:bottom w:val="single" w:sz="4" w:space="0" w:color="auto"/>
              <w:right w:val="single" w:sz="4" w:space="0" w:color="auto"/>
            </w:tcBorders>
            <w:shd w:val="clear" w:color="auto" w:fill="auto"/>
            <w:noWrap/>
            <w:vAlign w:val="bottom"/>
            <w:hideMark/>
          </w:tcPr>
          <w:p w14:paraId="26ABCD2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5,214</w:t>
            </w:r>
          </w:p>
        </w:tc>
        <w:tc>
          <w:tcPr>
            <w:tcW w:w="0" w:type="auto"/>
            <w:tcBorders>
              <w:top w:val="nil"/>
              <w:left w:val="nil"/>
              <w:bottom w:val="single" w:sz="4" w:space="0" w:color="auto"/>
              <w:right w:val="single" w:sz="4" w:space="0" w:color="auto"/>
            </w:tcBorders>
            <w:shd w:val="clear" w:color="auto" w:fill="auto"/>
            <w:noWrap/>
            <w:vAlign w:val="bottom"/>
            <w:hideMark/>
          </w:tcPr>
          <w:p w14:paraId="26ABCD2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72.4</w:t>
            </w:r>
          </w:p>
        </w:tc>
        <w:tc>
          <w:tcPr>
            <w:tcW w:w="0" w:type="auto"/>
            <w:tcBorders>
              <w:top w:val="nil"/>
              <w:left w:val="nil"/>
              <w:bottom w:val="single" w:sz="4" w:space="0" w:color="auto"/>
              <w:right w:val="single" w:sz="8" w:space="0" w:color="auto"/>
            </w:tcBorders>
            <w:shd w:val="clear" w:color="auto" w:fill="auto"/>
            <w:noWrap/>
            <w:vAlign w:val="bottom"/>
            <w:hideMark/>
          </w:tcPr>
          <w:p w14:paraId="26ABCD2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D2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5,600</w:t>
            </w:r>
          </w:p>
        </w:tc>
        <w:tc>
          <w:tcPr>
            <w:tcW w:w="0" w:type="auto"/>
            <w:tcBorders>
              <w:top w:val="nil"/>
              <w:left w:val="nil"/>
              <w:bottom w:val="single" w:sz="4" w:space="0" w:color="auto"/>
              <w:right w:val="single" w:sz="4" w:space="0" w:color="auto"/>
            </w:tcBorders>
            <w:shd w:val="clear" w:color="auto" w:fill="auto"/>
            <w:noWrap/>
            <w:vAlign w:val="bottom"/>
            <w:hideMark/>
          </w:tcPr>
          <w:p w14:paraId="26ABCD2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5,208</w:t>
            </w:r>
          </w:p>
        </w:tc>
        <w:tc>
          <w:tcPr>
            <w:tcW w:w="0" w:type="auto"/>
            <w:tcBorders>
              <w:top w:val="nil"/>
              <w:left w:val="nil"/>
              <w:bottom w:val="single" w:sz="4" w:space="0" w:color="auto"/>
              <w:right w:val="single" w:sz="4" w:space="0" w:color="auto"/>
            </w:tcBorders>
            <w:shd w:val="clear" w:color="auto" w:fill="auto"/>
            <w:noWrap/>
            <w:vAlign w:val="bottom"/>
            <w:hideMark/>
          </w:tcPr>
          <w:p w14:paraId="26ABCD2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72.3</w:t>
            </w:r>
          </w:p>
        </w:tc>
        <w:tc>
          <w:tcPr>
            <w:tcW w:w="0" w:type="auto"/>
            <w:tcBorders>
              <w:top w:val="nil"/>
              <w:left w:val="nil"/>
              <w:bottom w:val="single" w:sz="4" w:space="0" w:color="auto"/>
              <w:right w:val="single" w:sz="8" w:space="0" w:color="auto"/>
            </w:tcBorders>
            <w:shd w:val="clear" w:color="auto" w:fill="auto"/>
            <w:noWrap/>
            <w:vAlign w:val="bottom"/>
            <w:hideMark/>
          </w:tcPr>
          <w:p w14:paraId="26ABCD2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r>
      <w:tr w:rsidR="00A12F9B" w:rsidRPr="00CE60B2" w14:paraId="26ABCD42"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30"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Karri West Coast</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D3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14,500</w:t>
            </w:r>
          </w:p>
        </w:tc>
        <w:tc>
          <w:tcPr>
            <w:tcW w:w="0" w:type="auto"/>
            <w:tcBorders>
              <w:top w:val="nil"/>
              <w:left w:val="nil"/>
              <w:bottom w:val="single" w:sz="4" w:space="0" w:color="auto"/>
              <w:right w:val="single" w:sz="4" w:space="0" w:color="auto"/>
            </w:tcBorders>
            <w:shd w:val="clear" w:color="auto" w:fill="auto"/>
            <w:noWrap/>
            <w:vAlign w:val="bottom"/>
            <w:hideMark/>
          </w:tcPr>
          <w:p w14:paraId="26ABCD3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6,274</w:t>
            </w:r>
          </w:p>
        </w:tc>
        <w:tc>
          <w:tcPr>
            <w:tcW w:w="0" w:type="auto"/>
            <w:tcBorders>
              <w:top w:val="nil"/>
              <w:left w:val="nil"/>
              <w:bottom w:val="single" w:sz="4" w:space="0" w:color="auto"/>
              <w:right w:val="single" w:sz="4" w:space="0" w:color="auto"/>
            </w:tcBorders>
            <w:shd w:val="clear" w:color="auto" w:fill="auto"/>
            <w:noWrap/>
            <w:vAlign w:val="bottom"/>
            <w:hideMark/>
          </w:tcPr>
          <w:p w14:paraId="26ABCD3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4,384</w:t>
            </w:r>
          </w:p>
        </w:tc>
        <w:tc>
          <w:tcPr>
            <w:tcW w:w="0" w:type="auto"/>
            <w:tcBorders>
              <w:top w:val="nil"/>
              <w:left w:val="nil"/>
              <w:bottom w:val="single" w:sz="4" w:space="0" w:color="auto"/>
              <w:right w:val="single" w:sz="4" w:space="0" w:color="auto"/>
            </w:tcBorders>
            <w:shd w:val="clear" w:color="auto" w:fill="auto"/>
            <w:noWrap/>
            <w:vAlign w:val="bottom"/>
            <w:hideMark/>
          </w:tcPr>
          <w:p w14:paraId="26ABCD3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30.2</w:t>
            </w:r>
          </w:p>
        </w:tc>
        <w:tc>
          <w:tcPr>
            <w:tcW w:w="0" w:type="auto"/>
            <w:tcBorders>
              <w:top w:val="nil"/>
              <w:left w:val="nil"/>
              <w:bottom w:val="single" w:sz="4" w:space="0" w:color="auto"/>
              <w:right w:val="single" w:sz="8" w:space="0" w:color="auto"/>
            </w:tcBorders>
            <w:shd w:val="clear" w:color="auto" w:fill="auto"/>
            <w:noWrap/>
            <w:vAlign w:val="bottom"/>
            <w:hideMark/>
          </w:tcPr>
          <w:p w14:paraId="26ABCD3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33</w:t>
            </w:r>
          </w:p>
        </w:tc>
        <w:tc>
          <w:tcPr>
            <w:tcW w:w="0" w:type="auto"/>
            <w:tcBorders>
              <w:top w:val="nil"/>
              <w:left w:val="nil"/>
              <w:bottom w:val="single" w:sz="4" w:space="0" w:color="auto"/>
              <w:right w:val="single" w:sz="4" w:space="0" w:color="auto"/>
            </w:tcBorders>
            <w:shd w:val="clear" w:color="auto" w:fill="auto"/>
            <w:noWrap/>
            <w:vAlign w:val="bottom"/>
            <w:hideMark/>
          </w:tcPr>
          <w:p w14:paraId="26ABCD3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4,890</w:t>
            </w:r>
          </w:p>
        </w:tc>
        <w:tc>
          <w:tcPr>
            <w:tcW w:w="0" w:type="auto"/>
            <w:tcBorders>
              <w:top w:val="nil"/>
              <w:left w:val="nil"/>
              <w:bottom w:val="single" w:sz="4" w:space="0" w:color="auto"/>
              <w:right w:val="single" w:sz="4" w:space="0" w:color="auto"/>
            </w:tcBorders>
            <w:shd w:val="clear" w:color="auto" w:fill="auto"/>
            <w:noWrap/>
            <w:vAlign w:val="bottom"/>
            <w:hideMark/>
          </w:tcPr>
          <w:p w14:paraId="26ABCD3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4,552</w:t>
            </w:r>
          </w:p>
        </w:tc>
        <w:tc>
          <w:tcPr>
            <w:tcW w:w="0" w:type="auto"/>
            <w:tcBorders>
              <w:top w:val="nil"/>
              <w:left w:val="nil"/>
              <w:bottom w:val="single" w:sz="4" w:space="0" w:color="auto"/>
              <w:right w:val="single" w:sz="4" w:space="0" w:color="auto"/>
            </w:tcBorders>
            <w:shd w:val="clear" w:color="auto" w:fill="auto"/>
            <w:noWrap/>
            <w:vAlign w:val="bottom"/>
            <w:hideMark/>
          </w:tcPr>
          <w:p w14:paraId="26ABCD3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31.4</w:t>
            </w:r>
          </w:p>
        </w:tc>
        <w:tc>
          <w:tcPr>
            <w:tcW w:w="0" w:type="auto"/>
            <w:tcBorders>
              <w:top w:val="nil"/>
              <w:left w:val="nil"/>
              <w:bottom w:val="single" w:sz="4" w:space="0" w:color="auto"/>
              <w:right w:val="single" w:sz="8" w:space="0" w:color="auto"/>
            </w:tcBorders>
            <w:shd w:val="clear" w:color="auto" w:fill="auto"/>
            <w:noWrap/>
            <w:vAlign w:val="bottom"/>
            <w:hideMark/>
          </w:tcPr>
          <w:p w14:paraId="26ABCD3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26ABCD3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4,920</w:t>
            </w:r>
          </w:p>
        </w:tc>
        <w:tc>
          <w:tcPr>
            <w:tcW w:w="0" w:type="auto"/>
            <w:tcBorders>
              <w:top w:val="nil"/>
              <w:left w:val="nil"/>
              <w:bottom w:val="single" w:sz="4" w:space="0" w:color="auto"/>
              <w:right w:val="single" w:sz="4" w:space="0" w:color="auto"/>
            </w:tcBorders>
            <w:shd w:val="clear" w:color="auto" w:fill="auto"/>
            <w:noWrap/>
            <w:vAlign w:val="bottom"/>
            <w:hideMark/>
          </w:tcPr>
          <w:p w14:paraId="26ABCD3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4,683</w:t>
            </w:r>
          </w:p>
        </w:tc>
        <w:tc>
          <w:tcPr>
            <w:tcW w:w="0" w:type="auto"/>
            <w:tcBorders>
              <w:top w:val="nil"/>
              <w:left w:val="nil"/>
              <w:bottom w:val="single" w:sz="4" w:space="0" w:color="auto"/>
              <w:right w:val="single" w:sz="4" w:space="0" w:color="auto"/>
            </w:tcBorders>
            <w:shd w:val="clear" w:color="auto" w:fill="auto"/>
            <w:noWrap/>
            <w:vAlign w:val="bottom"/>
            <w:hideMark/>
          </w:tcPr>
          <w:p w14:paraId="26ABCD3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32.3</w:t>
            </w:r>
          </w:p>
        </w:tc>
        <w:tc>
          <w:tcPr>
            <w:tcW w:w="0" w:type="auto"/>
            <w:tcBorders>
              <w:top w:val="nil"/>
              <w:left w:val="nil"/>
              <w:bottom w:val="single" w:sz="4" w:space="0" w:color="auto"/>
              <w:right w:val="single" w:sz="8" w:space="0" w:color="auto"/>
            </w:tcBorders>
            <w:shd w:val="clear" w:color="auto" w:fill="auto"/>
            <w:noWrap/>
            <w:vAlign w:val="bottom"/>
            <w:hideMark/>
          </w:tcPr>
          <w:p w14:paraId="26ABCD3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26ABCD3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5,670</w:t>
            </w:r>
          </w:p>
        </w:tc>
        <w:tc>
          <w:tcPr>
            <w:tcW w:w="0" w:type="auto"/>
            <w:tcBorders>
              <w:top w:val="nil"/>
              <w:left w:val="nil"/>
              <w:bottom w:val="single" w:sz="4" w:space="0" w:color="auto"/>
              <w:right w:val="single" w:sz="4" w:space="0" w:color="auto"/>
            </w:tcBorders>
            <w:shd w:val="clear" w:color="auto" w:fill="auto"/>
            <w:noWrap/>
            <w:vAlign w:val="bottom"/>
            <w:hideMark/>
          </w:tcPr>
          <w:p w14:paraId="26ABCD3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4,599</w:t>
            </w:r>
          </w:p>
        </w:tc>
        <w:tc>
          <w:tcPr>
            <w:tcW w:w="0" w:type="auto"/>
            <w:tcBorders>
              <w:top w:val="nil"/>
              <w:left w:val="nil"/>
              <w:bottom w:val="single" w:sz="4" w:space="0" w:color="auto"/>
              <w:right w:val="single" w:sz="4" w:space="0" w:color="auto"/>
            </w:tcBorders>
            <w:shd w:val="clear" w:color="auto" w:fill="auto"/>
            <w:noWrap/>
            <w:vAlign w:val="bottom"/>
            <w:hideMark/>
          </w:tcPr>
          <w:p w14:paraId="26ABCD4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31.7</w:t>
            </w:r>
          </w:p>
        </w:tc>
        <w:tc>
          <w:tcPr>
            <w:tcW w:w="0" w:type="auto"/>
            <w:tcBorders>
              <w:top w:val="nil"/>
              <w:left w:val="nil"/>
              <w:bottom w:val="single" w:sz="4" w:space="0" w:color="auto"/>
              <w:right w:val="single" w:sz="8" w:space="0" w:color="auto"/>
            </w:tcBorders>
            <w:shd w:val="clear" w:color="auto" w:fill="auto"/>
            <w:noWrap/>
            <w:vAlign w:val="bottom"/>
            <w:hideMark/>
          </w:tcPr>
          <w:p w14:paraId="26ABCD4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w:t>
            </w:r>
          </w:p>
        </w:tc>
      </w:tr>
      <w:tr w:rsidR="00A12F9B" w:rsidRPr="00CE60B2" w14:paraId="26ABCD55"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43"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Karri Yellow Tingle</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D4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15,800</w:t>
            </w:r>
          </w:p>
        </w:tc>
        <w:tc>
          <w:tcPr>
            <w:tcW w:w="0" w:type="auto"/>
            <w:tcBorders>
              <w:top w:val="nil"/>
              <w:left w:val="nil"/>
              <w:bottom w:val="single" w:sz="4" w:space="0" w:color="auto"/>
              <w:right w:val="single" w:sz="4" w:space="0" w:color="auto"/>
            </w:tcBorders>
            <w:shd w:val="clear" w:color="auto" w:fill="auto"/>
            <w:noWrap/>
            <w:vAlign w:val="bottom"/>
            <w:hideMark/>
          </w:tcPr>
          <w:p w14:paraId="26ABCD4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13,264</w:t>
            </w:r>
          </w:p>
        </w:tc>
        <w:tc>
          <w:tcPr>
            <w:tcW w:w="0" w:type="auto"/>
            <w:tcBorders>
              <w:top w:val="nil"/>
              <w:left w:val="nil"/>
              <w:bottom w:val="single" w:sz="4" w:space="0" w:color="auto"/>
              <w:right w:val="single" w:sz="4" w:space="0" w:color="auto"/>
            </w:tcBorders>
            <w:shd w:val="clear" w:color="auto" w:fill="auto"/>
            <w:noWrap/>
            <w:vAlign w:val="bottom"/>
            <w:hideMark/>
          </w:tcPr>
          <w:p w14:paraId="26ABCD4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5,277</w:t>
            </w:r>
          </w:p>
        </w:tc>
        <w:tc>
          <w:tcPr>
            <w:tcW w:w="0" w:type="auto"/>
            <w:tcBorders>
              <w:top w:val="nil"/>
              <w:left w:val="nil"/>
              <w:bottom w:val="single" w:sz="4" w:space="0" w:color="auto"/>
              <w:right w:val="single" w:sz="4" w:space="0" w:color="auto"/>
            </w:tcBorders>
            <w:shd w:val="clear" w:color="auto" w:fill="auto"/>
            <w:noWrap/>
            <w:vAlign w:val="bottom"/>
            <w:hideMark/>
          </w:tcPr>
          <w:p w14:paraId="26ABCD4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33.4</w:t>
            </w:r>
          </w:p>
        </w:tc>
        <w:tc>
          <w:tcPr>
            <w:tcW w:w="0" w:type="auto"/>
            <w:tcBorders>
              <w:top w:val="nil"/>
              <w:left w:val="nil"/>
              <w:bottom w:val="single" w:sz="4" w:space="0" w:color="auto"/>
              <w:right w:val="single" w:sz="8" w:space="0" w:color="auto"/>
            </w:tcBorders>
            <w:shd w:val="clear" w:color="auto" w:fill="auto"/>
            <w:noWrap/>
            <w:vAlign w:val="bottom"/>
            <w:hideMark/>
          </w:tcPr>
          <w:p w14:paraId="26ABCD4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557</w:t>
            </w:r>
          </w:p>
        </w:tc>
        <w:tc>
          <w:tcPr>
            <w:tcW w:w="0" w:type="auto"/>
            <w:tcBorders>
              <w:top w:val="nil"/>
              <w:left w:val="nil"/>
              <w:bottom w:val="single" w:sz="4" w:space="0" w:color="auto"/>
              <w:right w:val="single" w:sz="4" w:space="0" w:color="auto"/>
            </w:tcBorders>
            <w:shd w:val="clear" w:color="auto" w:fill="auto"/>
            <w:noWrap/>
            <w:vAlign w:val="bottom"/>
            <w:hideMark/>
          </w:tcPr>
          <w:p w14:paraId="26ABCD4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11,770</w:t>
            </w:r>
          </w:p>
        </w:tc>
        <w:tc>
          <w:tcPr>
            <w:tcW w:w="0" w:type="auto"/>
            <w:tcBorders>
              <w:top w:val="nil"/>
              <w:left w:val="nil"/>
              <w:bottom w:val="single" w:sz="4" w:space="0" w:color="auto"/>
              <w:right w:val="single" w:sz="4" w:space="0" w:color="auto"/>
            </w:tcBorders>
            <w:shd w:val="clear" w:color="auto" w:fill="auto"/>
            <w:noWrap/>
            <w:vAlign w:val="bottom"/>
            <w:hideMark/>
          </w:tcPr>
          <w:p w14:paraId="26ABCD4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11,742</w:t>
            </w:r>
          </w:p>
        </w:tc>
        <w:tc>
          <w:tcPr>
            <w:tcW w:w="0" w:type="auto"/>
            <w:tcBorders>
              <w:top w:val="nil"/>
              <w:left w:val="nil"/>
              <w:bottom w:val="single" w:sz="4" w:space="0" w:color="auto"/>
              <w:right w:val="single" w:sz="4" w:space="0" w:color="auto"/>
            </w:tcBorders>
            <w:shd w:val="clear" w:color="auto" w:fill="auto"/>
            <w:noWrap/>
            <w:vAlign w:val="bottom"/>
            <w:hideMark/>
          </w:tcPr>
          <w:p w14:paraId="26ABCD4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74.3</w:t>
            </w:r>
          </w:p>
        </w:tc>
        <w:tc>
          <w:tcPr>
            <w:tcW w:w="0" w:type="auto"/>
            <w:tcBorders>
              <w:top w:val="nil"/>
              <w:left w:val="nil"/>
              <w:bottom w:val="single" w:sz="4" w:space="0" w:color="auto"/>
              <w:right w:val="single" w:sz="8" w:space="0" w:color="auto"/>
            </w:tcBorders>
            <w:shd w:val="clear" w:color="auto" w:fill="auto"/>
            <w:noWrap/>
            <w:vAlign w:val="bottom"/>
            <w:hideMark/>
          </w:tcPr>
          <w:p w14:paraId="26ABCD4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26ABCD4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11,800</w:t>
            </w:r>
          </w:p>
        </w:tc>
        <w:tc>
          <w:tcPr>
            <w:tcW w:w="0" w:type="auto"/>
            <w:tcBorders>
              <w:top w:val="nil"/>
              <w:left w:val="nil"/>
              <w:bottom w:val="single" w:sz="4" w:space="0" w:color="auto"/>
              <w:right w:val="single" w:sz="4" w:space="0" w:color="auto"/>
            </w:tcBorders>
            <w:shd w:val="clear" w:color="auto" w:fill="auto"/>
            <w:noWrap/>
            <w:vAlign w:val="bottom"/>
            <w:hideMark/>
          </w:tcPr>
          <w:p w14:paraId="26ABCD4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11,747</w:t>
            </w:r>
          </w:p>
        </w:tc>
        <w:tc>
          <w:tcPr>
            <w:tcW w:w="0" w:type="auto"/>
            <w:tcBorders>
              <w:top w:val="nil"/>
              <w:left w:val="nil"/>
              <w:bottom w:val="single" w:sz="4" w:space="0" w:color="auto"/>
              <w:right w:val="single" w:sz="4" w:space="0" w:color="auto"/>
            </w:tcBorders>
            <w:shd w:val="clear" w:color="auto" w:fill="auto"/>
            <w:noWrap/>
            <w:vAlign w:val="bottom"/>
            <w:hideMark/>
          </w:tcPr>
          <w:p w14:paraId="26ABCD4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74.3</w:t>
            </w:r>
          </w:p>
        </w:tc>
        <w:tc>
          <w:tcPr>
            <w:tcW w:w="0" w:type="auto"/>
            <w:tcBorders>
              <w:top w:val="nil"/>
              <w:left w:val="nil"/>
              <w:bottom w:val="single" w:sz="4" w:space="0" w:color="auto"/>
              <w:right w:val="single" w:sz="8" w:space="0" w:color="auto"/>
            </w:tcBorders>
            <w:shd w:val="clear" w:color="auto" w:fill="auto"/>
            <w:noWrap/>
            <w:vAlign w:val="bottom"/>
            <w:hideMark/>
          </w:tcPr>
          <w:p w14:paraId="26ABCD5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14:paraId="26ABCD5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12,620</w:t>
            </w:r>
          </w:p>
        </w:tc>
        <w:tc>
          <w:tcPr>
            <w:tcW w:w="0" w:type="auto"/>
            <w:tcBorders>
              <w:top w:val="nil"/>
              <w:left w:val="nil"/>
              <w:bottom w:val="single" w:sz="4" w:space="0" w:color="auto"/>
              <w:right w:val="single" w:sz="4" w:space="0" w:color="auto"/>
            </w:tcBorders>
            <w:shd w:val="clear" w:color="auto" w:fill="auto"/>
            <w:noWrap/>
            <w:vAlign w:val="bottom"/>
            <w:hideMark/>
          </w:tcPr>
          <w:p w14:paraId="26ABCD5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11,733</w:t>
            </w:r>
          </w:p>
        </w:tc>
        <w:tc>
          <w:tcPr>
            <w:tcW w:w="0" w:type="auto"/>
            <w:tcBorders>
              <w:top w:val="nil"/>
              <w:left w:val="nil"/>
              <w:bottom w:val="single" w:sz="4" w:space="0" w:color="auto"/>
              <w:right w:val="single" w:sz="4" w:space="0" w:color="auto"/>
            </w:tcBorders>
            <w:shd w:val="clear" w:color="auto" w:fill="auto"/>
            <w:noWrap/>
            <w:vAlign w:val="bottom"/>
            <w:hideMark/>
          </w:tcPr>
          <w:p w14:paraId="26ABCD5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74.3</w:t>
            </w:r>
          </w:p>
        </w:tc>
        <w:tc>
          <w:tcPr>
            <w:tcW w:w="0" w:type="auto"/>
            <w:tcBorders>
              <w:top w:val="nil"/>
              <w:left w:val="nil"/>
              <w:bottom w:val="single" w:sz="4" w:space="0" w:color="auto"/>
              <w:right w:val="single" w:sz="8" w:space="0" w:color="auto"/>
            </w:tcBorders>
            <w:shd w:val="clear" w:color="auto" w:fill="auto"/>
            <w:noWrap/>
            <w:vAlign w:val="bottom"/>
            <w:hideMark/>
          </w:tcPr>
          <w:p w14:paraId="26ABCD5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0</w:t>
            </w:r>
          </w:p>
        </w:tc>
      </w:tr>
      <w:tr w:rsidR="00A12F9B" w:rsidRPr="00CE60B2" w14:paraId="26ABCD68" w14:textId="77777777" w:rsidTr="00A12F9B">
        <w:trPr>
          <w:trHeight w:val="264"/>
        </w:trPr>
        <w:tc>
          <w:tcPr>
            <w:tcW w:w="0" w:type="auto"/>
            <w:tcBorders>
              <w:top w:val="nil"/>
              <w:left w:val="single" w:sz="4" w:space="0" w:color="auto"/>
              <w:bottom w:val="single" w:sz="4" w:space="0" w:color="auto"/>
              <w:right w:val="nil"/>
            </w:tcBorders>
            <w:shd w:val="clear" w:color="auto" w:fill="DFEFE1" w:themeFill="accent3" w:themeFillTint="66"/>
            <w:noWrap/>
            <w:vAlign w:val="bottom"/>
            <w:hideMark/>
          </w:tcPr>
          <w:p w14:paraId="26ABCD56"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Sub-total Karri dominant</w:t>
            </w:r>
          </w:p>
        </w:tc>
        <w:tc>
          <w:tcPr>
            <w:tcW w:w="0" w:type="auto"/>
            <w:tcBorders>
              <w:top w:val="nil"/>
              <w:left w:val="single" w:sz="4" w:space="0" w:color="auto"/>
              <w:bottom w:val="single" w:sz="4" w:space="0" w:color="auto"/>
              <w:right w:val="single" w:sz="8" w:space="0" w:color="auto"/>
            </w:tcBorders>
            <w:shd w:val="clear" w:color="auto" w:fill="DFEFE1" w:themeFill="accent3" w:themeFillTint="66"/>
            <w:noWrap/>
            <w:vAlign w:val="bottom"/>
            <w:hideMark/>
          </w:tcPr>
          <w:p w14:paraId="26ABCD57"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231,600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58"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190,161</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59"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71,102</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5A"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D5B"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13,661</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5C"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176,000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5D"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100,778</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5E"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D5F"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13,889</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60"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177,320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61"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102,060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62"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D63"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14,497</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64"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184,750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65"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101,527</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66"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D67"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14,649</w:t>
            </w:r>
          </w:p>
        </w:tc>
      </w:tr>
      <w:tr w:rsidR="00A12F9B" w:rsidRPr="00CE60B2" w14:paraId="26ABCD7B"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69"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Western Wandoo forest</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D6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363,200</w:t>
            </w:r>
          </w:p>
        </w:tc>
        <w:tc>
          <w:tcPr>
            <w:tcW w:w="0" w:type="auto"/>
            <w:tcBorders>
              <w:top w:val="nil"/>
              <w:left w:val="nil"/>
              <w:bottom w:val="single" w:sz="4" w:space="0" w:color="auto"/>
              <w:right w:val="single" w:sz="4" w:space="0" w:color="auto"/>
            </w:tcBorders>
            <w:shd w:val="clear" w:color="auto" w:fill="auto"/>
            <w:noWrap/>
            <w:vAlign w:val="bottom"/>
            <w:hideMark/>
          </w:tcPr>
          <w:p w14:paraId="26ABCD6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146,597</w:t>
            </w:r>
          </w:p>
        </w:tc>
        <w:tc>
          <w:tcPr>
            <w:tcW w:w="0" w:type="auto"/>
            <w:tcBorders>
              <w:top w:val="nil"/>
              <w:left w:val="nil"/>
              <w:bottom w:val="single" w:sz="4" w:space="0" w:color="auto"/>
              <w:right w:val="single" w:sz="4" w:space="0" w:color="auto"/>
            </w:tcBorders>
            <w:shd w:val="clear" w:color="auto" w:fill="auto"/>
            <w:noWrap/>
            <w:vAlign w:val="bottom"/>
            <w:hideMark/>
          </w:tcPr>
          <w:p w14:paraId="26ABCD6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57,137</w:t>
            </w:r>
          </w:p>
        </w:tc>
        <w:tc>
          <w:tcPr>
            <w:tcW w:w="0" w:type="auto"/>
            <w:tcBorders>
              <w:top w:val="nil"/>
              <w:left w:val="nil"/>
              <w:bottom w:val="single" w:sz="4" w:space="0" w:color="auto"/>
              <w:right w:val="single" w:sz="4" w:space="0" w:color="auto"/>
            </w:tcBorders>
            <w:shd w:val="clear" w:color="auto" w:fill="auto"/>
            <w:noWrap/>
            <w:vAlign w:val="bottom"/>
            <w:hideMark/>
          </w:tcPr>
          <w:p w14:paraId="26ABCD6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15.7</w:t>
            </w:r>
          </w:p>
        </w:tc>
        <w:tc>
          <w:tcPr>
            <w:tcW w:w="0" w:type="auto"/>
            <w:tcBorders>
              <w:top w:val="nil"/>
              <w:left w:val="nil"/>
              <w:bottom w:val="single" w:sz="4" w:space="0" w:color="auto"/>
              <w:right w:val="single" w:sz="8" w:space="0" w:color="auto"/>
            </w:tcBorders>
            <w:shd w:val="clear" w:color="auto" w:fill="auto"/>
            <w:noWrap/>
            <w:vAlign w:val="bottom"/>
            <w:hideMark/>
          </w:tcPr>
          <w:p w14:paraId="26ABCD6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4,609</w:t>
            </w:r>
          </w:p>
        </w:tc>
        <w:tc>
          <w:tcPr>
            <w:tcW w:w="0" w:type="auto"/>
            <w:tcBorders>
              <w:top w:val="nil"/>
              <w:left w:val="nil"/>
              <w:bottom w:val="single" w:sz="4" w:space="0" w:color="auto"/>
              <w:right w:val="single" w:sz="4" w:space="0" w:color="auto"/>
            </w:tcBorders>
            <w:shd w:val="clear" w:color="auto" w:fill="auto"/>
            <w:noWrap/>
            <w:vAlign w:val="bottom"/>
            <w:hideMark/>
          </w:tcPr>
          <w:p w14:paraId="26ABCD6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111,300</w:t>
            </w:r>
          </w:p>
        </w:tc>
        <w:tc>
          <w:tcPr>
            <w:tcW w:w="0" w:type="auto"/>
            <w:tcBorders>
              <w:top w:val="nil"/>
              <w:left w:val="nil"/>
              <w:bottom w:val="single" w:sz="4" w:space="0" w:color="auto"/>
              <w:right w:val="single" w:sz="4" w:space="0" w:color="auto"/>
            </w:tcBorders>
            <w:shd w:val="clear" w:color="auto" w:fill="auto"/>
            <w:noWrap/>
            <w:vAlign w:val="bottom"/>
            <w:hideMark/>
          </w:tcPr>
          <w:p w14:paraId="26ABCD7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70,574</w:t>
            </w:r>
          </w:p>
        </w:tc>
        <w:tc>
          <w:tcPr>
            <w:tcW w:w="0" w:type="auto"/>
            <w:tcBorders>
              <w:top w:val="nil"/>
              <w:left w:val="nil"/>
              <w:bottom w:val="single" w:sz="4" w:space="0" w:color="auto"/>
              <w:right w:val="single" w:sz="4" w:space="0" w:color="auto"/>
            </w:tcBorders>
            <w:shd w:val="clear" w:color="auto" w:fill="auto"/>
            <w:noWrap/>
            <w:vAlign w:val="bottom"/>
            <w:hideMark/>
          </w:tcPr>
          <w:p w14:paraId="26ABCD7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19.4</w:t>
            </w:r>
          </w:p>
        </w:tc>
        <w:tc>
          <w:tcPr>
            <w:tcW w:w="0" w:type="auto"/>
            <w:tcBorders>
              <w:top w:val="nil"/>
              <w:left w:val="nil"/>
              <w:bottom w:val="single" w:sz="4" w:space="0" w:color="auto"/>
              <w:right w:val="single" w:sz="8" w:space="0" w:color="auto"/>
            </w:tcBorders>
            <w:shd w:val="clear" w:color="auto" w:fill="auto"/>
            <w:noWrap/>
            <w:vAlign w:val="bottom"/>
            <w:hideMark/>
          </w:tcPr>
          <w:p w14:paraId="26ABCD7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4,577</w:t>
            </w:r>
          </w:p>
        </w:tc>
        <w:tc>
          <w:tcPr>
            <w:tcW w:w="0" w:type="auto"/>
            <w:tcBorders>
              <w:top w:val="nil"/>
              <w:left w:val="nil"/>
              <w:bottom w:val="single" w:sz="4" w:space="0" w:color="auto"/>
              <w:right w:val="single" w:sz="4" w:space="0" w:color="auto"/>
            </w:tcBorders>
            <w:shd w:val="clear" w:color="auto" w:fill="auto"/>
            <w:noWrap/>
            <w:vAlign w:val="bottom"/>
            <w:hideMark/>
          </w:tcPr>
          <w:p w14:paraId="26ABCD7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115,200</w:t>
            </w:r>
          </w:p>
        </w:tc>
        <w:tc>
          <w:tcPr>
            <w:tcW w:w="0" w:type="auto"/>
            <w:tcBorders>
              <w:top w:val="nil"/>
              <w:left w:val="nil"/>
              <w:bottom w:val="single" w:sz="4" w:space="0" w:color="auto"/>
              <w:right w:val="single" w:sz="4" w:space="0" w:color="auto"/>
            </w:tcBorders>
            <w:shd w:val="clear" w:color="auto" w:fill="auto"/>
            <w:noWrap/>
            <w:vAlign w:val="bottom"/>
            <w:hideMark/>
          </w:tcPr>
          <w:p w14:paraId="26ABCD7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70,660</w:t>
            </w:r>
          </w:p>
        </w:tc>
        <w:tc>
          <w:tcPr>
            <w:tcW w:w="0" w:type="auto"/>
            <w:tcBorders>
              <w:top w:val="nil"/>
              <w:left w:val="nil"/>
              <w:bottom w:val="single" w:sz="4" w:space="0" w:color="auto"/>
              <w:right w:val="single" w:sz="4" w:space="0" w:color="auto"/>
            </w:tcBorders>
            <w:shd w:val="clear" w:color="auto" w:fill="auto"/>
            <w:noWrap/>
            <w:vAlign w:val="bottom"/>
            <w:hideMark/>
          </w:tcPr>
          <w:p w14:paraId="26ABCD7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19.5</w:t>
            </w:r>
          </w:p>
        </w:tc>
        <w:tc>
          <w:tcPr>
            <w:tcW w:w="0" w:type="auto"/>
            <w:tcBorders>
              <w:top w:val="nil"/>
              <w:left w:val="nil"/>
              <w:bottom w:val="single" w:sz="4" w:space="0" w:color="auto"/>
              <w:right w:val="single" w:sz="8" w:space="0" w:color="auto"/>
            </w:tcBorders>
            <w:shd w:val="clear" w:color="auto" w:fill="auto"/>
            <w:noWrap/>
            <w:vAlign w:val="bottom"/>
            <w:hideMark/>
          </w:tcPr>
          <w:p w14:paraId="26ABCD7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5,987</w:t>
            </w:r>
          </w:p>
        </w:tc>
        <w:tc>
          <w:tcPr>
            <w:tcW w:w="0" w:type="auto"/>
            <w:tcBorders>
              <w:top w:val="nil"/>
              <w:left w:val="nil"/>
              <w:bottom w:val="single" w:sz="4" w:space="0" w:color="auto"/>
              <w:right w:val="single" w:sz="4" w:space="0" w:color="auto"/>
            </w:tcBorders>
            <w:shd w:val="clear" w:color="auto" w:fill="auto"/>
            <w:noWrap/>
            <w:vAlign w:val="bottom"/>
            <w:hideMark/>
          </w:tcPr>
          <w:p w14:paraId="26ABCD7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127,470</w:t>
            </w:r>
          </w:p>
        </w:tc>
        <w:tc>
          <w:tcPr>
            <w:tcW w:w="0" w:type="auto"/>
            <w:tcBorders>
              <w:top w:val="nil"/>
              <w:left w:val="nil"/>
              <w:bottom w:val="single" w:sz="4" w:space="0" w:color="auto"/>
              <w:right w:val="single" w:sz="4" w:space="0" w:color="auto"/>
            </w:tcBorders>
            <w:shd w:val="clear" w:color="auto" w:fill="auto"/>
            <w:noWrap/>
            <w:vAlign w:val="bottom"/>
            <w:hideMark/>
          </w:tcPr>
          <w:p w14:paraId="26ABCD7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70,495</w:t>
            </w:r>
          </w:p>
        </w:tc>
        <w:tc>
          <w:tcPr>
            <w:tcW w:w="0" w:type="auto"/>
            <w:tcBorders>
              <w:top w:val="nil"/>
              <w:left w:val="nil"/>
              <w:bottom w:val="single" w:sz="4" w:space="0" w:color="auto"/>
              <w:right w:val="single" w:sz="4" w:space="0" w:color="auto"/>
            </w:tcBorders>
            <w:shd w:val="clear" w:color="auto" w:fill="auto"/>
            <w:noWrap/>
            <w:vAlign w:val="bottom"/>
            <w:hideMark/>
          </w:tcPr>
          <w:p w14:paraId="26ABCD7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19.4</w:t>
            </w:r>
          </w:p>
        </w:tc>
        <w:tc>
          <w:tcPr>
            <w:tcW w:w="0" w:type="auto"/>
            <w:tcBorders>
              <w:top w:val="nil"/>
              <w:left w:val="nil"/>
              <w:bottom w:val="single" w:sz="4" w:space="0" w:color="auto"/>
              <w:right w:val="single" w:sz="8" w:space="0" w:color="auto"/>
            </w:tcBorders>
            <w:shd w:val="clear" w:color="auto" w:fill="auto"/>
            <w:noWrap/>
            <w:vAlign w:val="bottom"/>
            <w:hideMark/>
          </w:tcPr>
          <w:p w14:paraId="26ABCD7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5,980</w:t>
            </w:r>
          </w:p>
        </w:tc>
      </w:tr>
      <w:tr w:rsidR="00A12F9B" w:rsidRPr="00CE60B2" w14:paraId="26ABCD8E"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7C" w14:textId="77777777" w:rsidR="00A12F9B" w:rsidRPr="00CE60B2" w:rsidRDefault="00A12F9B" w:rsidP="00A12F9B">
            <w:pPr>
              <w:spacing w:before="0" w:after="0"/>
              <w:rPr>
                <w:rFonts w:eastAsia="Times New Roman" w:cs="Segoe UI"/>
                <w:color w:val="000000"/>
                <w:sz w:val="14"/>
                <w:szCs w:val="14"/>
                <w:lang w:eastAsia="en-AU"/>
              </w:rPr>
            </w:pPr>
            <w:r w:rsidRPr="00CE60B2">
              <w:rPr>
                <w:rFonts w:eastAsia="Times New Roman" w:cs="Segoe UI"/>
                <w:color w:val="000000"/>
                <w:sz w:val="14"/>
                <w:szCs w:val="14"/>
                <w:lang w:eastAsia="en-AU"/>
              </w:rPr>
              <w:t>Western Wandoo woodland</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D7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163,000</w:t>
            </w:r>
          </w:p>
        </w:tc>
        <w:tc>
          <w:tcPr>
            <w:tcW w:w="0" w:type="auto"/>
            <w:tcBorders>
              <w:top w:val="nil"/>
              <w:left w:val="nil"/>
              <w:bottom w:val="single" w:sz="4" w:space="0" w:color="auto"/>
              <w:right w:val="single" w:sz="4" w:space="0" w:color="auto"/>
            </w:tcBorders>
            <w:shd w:val="clear" w:color="auto" w:fill="auto"/>
            <w:noWrap/>
            <w:vAlign w:val="bottom"/>
            <w:hideMark/>
          </w:tcPr>
          <w:p w14:paraId="26ABCD7E"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72,078</w:t>
            </w:r>
          </w:p>
        </w:tc>
        <w:tc>
          <w:tcPr>
            <w:tcW w:w="0" w:type="auto"/>
            <w:tcBorders>
              <w:top w:val="nil"/>
              <w:left w:val="nil"/>
              <w:bottom w:val="single" w:sz="4" w:space="0" w:color="auto"/>
              <w:right w:val="single" w:sz="4" w:space="0" w:color="auto"/>
            </w:tcBorders>
            <w:shd w:val="clear" w:color="auto" w:fill="auto"/>
            <w:noWrap/>
            <w:vAlign w:val="bottom"/>
            <w:hideMark/>
          </w:tcPr>
          <w:p w14:paraId="26ABCD7F"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36,127</w:t>
            </w:r>
          </w:p>
        </w:tc>
        <w:tc>
          <w:tcPr>
            <w:tcW w:w="0" w:type="auto"/>
            <w:tcBorders>
              <w:top w:val="nil"/>
              <w:left w:val="nil"/>
              <w:bottom w:val="single" w:sz="4" w:space="0" w:color="auto"/>
              <w:right w:val="single" w:sz="4" w:space="0" w:color="auto"/>
            </w:tcBorders>
            <w:shd w:val="clear" w:color="auto" w:fill="auto"/>
            <w:noWrap/>
            <w:vAlign w:val="bottom"/>
            <w:hideMark/>
          </w:tcPr>
          <w:p w14:paraId="26ABCD80"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22.2</w:t>
            </w:r>
          </w:p>
        </w:tc>
        <w:tc>
          <w:tcPr>
            <w:tcW w:w="0" w:type="auto"/>
            <w:tcBorders>
              <w:top w:val="nil"/>
              <w:left w:val="nil"/>
              <w:bottom w:val="single" w:sz="4" w:space="0" w:color="auto"/>
              <w:right w:val="single" w:sz="8" w:space="0" w:color="auto"/>
            </w:tcBorders>
            <w:shd w:val="clear" w:color="auto" w:fill="auto"/>
            <w:noWrap/>
            <w:vAlign w:val="bottom"/>
            <w:hideMark/>
          </w:tcPr>
          <w:p w14:paraId="26ABCD81"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1,863</w:t>
            </w:r>
          </w:p>
        </w:tc>
        <w:tc>
          <w:tcPr>
            <w:tcW w:w="0" w:type="auto"/>
            <w:tcBorders>
              <w:top w:val="nil"/>
              <w:left w:val="nil"/>
              <w:bottom w:val="single" w:sz="4" w:space="0" w:color="auto"/>
              <w:right w:val="single" w:sz="4" w:space="0" w:color="auto"/>
            </w:tcBorders>
            <w:shd w:val="clear" w:color="auto" w:fill="auto"/>
            <w:noWrap/>
            <w:vAlign w:val="bottom"/>
            <w:hideMark/>
          </w:tcPr>
          <w:p w14:paraId="26ABCD82"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53,360</w:t>
            </w:r>
          </w:p>
        </w:tc>
        <w:tc>
          <w:tcPr>
            <w:tcW w:w="0" w:type="auto"/>
            <w:tcBorders>
              <w:top w:val="nil"/>
              <w:left w:val="nil"/>
              <w:bottom w:val="single" w:sz="4" w:space="0" w:color="auto"/>
              <w:right w:val="single" w:sz="4" w:space="0" w:color="auto"/>
            </w:tcBorders>
            <w:shd w:val="clear" w:color="auto" w:fill="auto"/>
            <w:noWrap/>
            <w:vAlign w:val="bottom"/>
            <w:hideMark/>
          </w:tcPr>
          <w:p w14:paraId="26ABCD83"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39,208</w:t>
            </w:r>
          </w:p>
        </w:tc>
        <w:tc>
          <w:tcPr>
            <w:tcW w:w="0" w:type="auto"/>
            <w:tcBorders>
              <w:top w:val="nil"/>
              <w:left w:val="nil"/>
              <w:bottom w:val="single" w:sz="4" w:space="0" w:color="auto"/>
              <w:right w:val="single" w:sz="4" w:space="0" w:color="auto"/>
            </w:tcBorders>
            <w:shd w:val="clear" w:color="auto" w:fill="auto"/>
            <w:noWrap/>
            <w:vAlign w:val="bottom"/>
            <w:hideMark/>
          </w:tcPr>
          <w:p w14:paraId="26ABCD84"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24.1</w:t>
            </w:r>
          </w:p>
        </w:tc>
        <w:tc>
          <w:tcPr>
            <w:tcW w:w="0" w:type="auto"/>
            <w:tcBorders>
              <w:top w:val="nil"/>
              <w:left w:val="nil"/>
              <w:bottom w:val="single" w:sz="4" w:space="0" w:color="auto"/>
              <w:right w:val="single" w:sz="8" w:space="0" w:color="auto"/>
            </w:tcBorders>
            <w:shd w:val="clear" w:color="auto" w:fill="auto"/>
            <w:noWrap/>
            <w:vAlign w:val="bottom"/>
            <w:hideMark/>
          </w:tcPr>
          <w:p w14:paraId="26ABCD85"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1,883</w:t>
            </w:r>
          </w:p>
        </w:tc>
        <w:tc>
          <w:tcPr>
            <w:tcW w:w="0" w:type="auto"/>
            <w:tcBorders>
              <w:top w:val="nil"/>
              <w:left w:val="nil"/>
              <w:bottom w:val="single" w:sz="4" w:space="0" w:color="auto"/>
              <w:right w:val="single" w:sz="4" w:space="0" w:color="auto"/>
            </w:tcBorders>
            <w:shd w:val="clear" w:color="auto" w:fill="auto"/>
            <w:noWrap/>
            <w:vAlign w:val="bottom"/>
            <w:hideMark/>
          </w:tcPr>
          <w:p w14:paraId="26ABCD86"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52,760</w:t>
            </w:r>
          </w:p>
        </w:tc>
        <w:tc>
          <w:tcPr>
            <w:tcW w:w="0" w:type="auto"/>
            <w:tcBorders>
              <w:top w:val="nil"/>
              <w:left w:val="nil"/>
              <w:bottom w:val="single" w:sz="4" w:space="0" w:color="auto"/>
              <w:right w:val="single" w:sz="4" w:space="0" w:color="auto"/>
            </w:tcBorders>
            <w:shd w:val="clear" w:color="auto" w:fill="auto"/>
            <w:noWrap/>
            <w:vAlign w:val="bottom"/>
            <w:hideMark/>
          </w:tcPr>
          <w:p w14:paraId="26ABCD87"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38,861</w:t>
            </w:r>
          </w:p>
        </w:tc>
        <w:tc>
          <w:tcPr>
            <w:tcW w:w="0" w:type="auto"/>
            <w:tcBorders>
              <w:top w:val="nil"/>
              <w:left w:val="nil"/>
              <w:bottom w:val="single" w:sz="4" w:space="0" w:color="auto"/>
              <w:right w:val="single" w:sz="4" w:space="0" w:color="auto"/>
            </w:tcBorders>
            <w:shd w:val="clear" w:color="auto" w:fill="auto"/>
            <w:noWrap/>
            <w:vAlign w:val="bottom"/>
            <w:hideMark/>
          </w:tcPr>
          <w:p w14:paraId="26ABCD88"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23.8</w:t>
            </w:r>
          </w:p>
        </w:tc>
        <w:tc>
          <w:tcPr>
            <w:tcW w:w="0" w:type="auto"/>
            <w:tcBorders>
              <w:top w:val="nil"/>
              <w:left w:val="nil"/>
              <w:bottom w:val="single" w:sz="4" w:space="0" w:color="auto"/>
              <w:right w:val="single" w:sz="8" w:space="0" w:color="auto"/>
            </w:tcBorders>
            <w:shd w:val="clear" w:color="auto" w:fill="auto"/>
            <w:noWrap/>
            <w:vAlign w:val="bottom"/>
            <w:hideMark/>
          </w:tcPr>
          <w:p w14:paraId="26ABCD89"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2,307</w:t>
            </w:r>
          </w:p>
        </w:tc>
        <w:tc>
          <w:tcPr>
            <w:tcW w:w="0" w:type="auto"/>
            <w:tcBorders>
              <w:top w:val="nil"/>
              <w:left w:val="nil"/>
              <w:bottom w:val="single" w:sz="4" w:space="0" w:color="auto"/>
              <w:right w:val="single" w:sz="4" w:space="0" w:color="auto"/>
            </w:tcBorders>
            <w:shd w:val="clear" w:color="auto" w:fill="auto"/>
            <w:noWrap/>
            <w:vAlign w:val="bottom"/>
            <w:hideMark/>
          </w:tcPr>
          <w:p w14:paraId="26ABCD8A"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52,730</w:t>
            </w:r>
          </w:p>
        </w:tc>
        <w:tc>
          <w:tcPr>
            <w:tcW w:w="0" w:type="auto"/>
            <w:tcBorders>
              <w:top w:val="nil"/>
              <w:left w:val="nil"/>
              <w:bottom w:val="single" w:sz="4" w:space="0" w:color="auto"/>
              <w:right w:val="single" w:sz="4" w:space="0" w:color="auto"/>
            </w:tcBorders>
            <w:shd w:val="clear" w:color="auto" w:fill="auto"/>
            <w:noWrap/>
            <w:vAlign w:val="bottom"/>
            <w:hideMark/>
          </w:tcPr>
          <w:p w14:paraId="26ABCD8B"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38,707</w:t>
            </w:r>
          </w:p>
        </w:tc>
        <w:tc>
          <w:tcPr>
            <w:tcW w:w="0" w:type="auto"/>
            <w:tcBorders>
              <w:top w:val="nil"/>
              <w:left w:val="nil"/>
              <w:bottom w:val="single" w:sz="4" w:space="0" w:color="auto"/>
              <w:right w:val="single" w:sz="4" w:space="0" w:color="auto"/>
            </w:tcBorders>
            <w:shd w:val="clear" w:color="auto" w:fill="auto"/>
            <w:noWrap/>
            <w:vAlign w:val="bottom"/>
            <w:hideMark/>
          </w:tcPr>
          <w:p w14:paraId="26ABCD8C"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23.7</w:t>
            </w:r>
          </w:p>
        </w:tc>
        <w:tc>
          <w:tcPr>
            <w:tcW w:w="0" w:type="auto"/>
            <w:tcBorders>
              <w:top w:val="nil"/>
              <w:left w:val="nil"/>
              <w:bottom w:val="single" w:sz="4" w:space="0" w:color="auto"/>
              <w:right w:val="single" w:sz="8" w:space="0" w:color="auto"/>
            </w:tcBorders>
            <w:shd w:val="clear" w:color="auto" w:fill="auto"/>
            <w:noWrap/>
            <w:vAlign w:val="bottom"/>
            <w:hideMark/>
          </w:tcPr>
          <w:p w14:paraId="26ABCD8D" w14:textId="77777777" w:rsidR="00A12F9B" w:rsidRPr="00CE60B2" w:rsidRDefault="00A12F9B" w:rsidP="00A12F9B">
            <w:pPr>
              <w:spacing w:before="0" w:after="0"/>
              <w:jc w:val="right"/>
              <w:rPr>
                <w:rFonts w:eastAsia="Times New Roman" w:cs="Segoe UI"/>
                <w:color w:val="000000"/>
                <w:sz w:val="14"/>
                <w:szCs w:val="14"/>
                <w:lang w:eastAsia="en-AU"/>
              </w:rPr>
            </w:pPr>
            <w:r w:rsidRPr="00CE60B2">
              <w:rPr>
                <w:rFonts w:eastAsia="Times New Roman" w:cs="Segoe UI"/>
                <w:color w:val="000000"/>
                <w:sz w:val="14"/>
                <w:szCs w:val="14"/>
                <w:lang w:eastAsia="en-AU"/>
              </w:rPr>
              <w:t>2,301</w:t>
            </w:r>
          </w:p>
        </w:tc>
      </w:tr>
      <w:tr w:rsidR="00A12F9B" w:rsidRPr="00CE60B2" w14:paraId="26ABCDA1" w14:textId="77777777" w:rsidTr="00A12F9B">
        <w:trPr>
          <w:trHeight w:val="264"/>
        </w:trPr>
        <w:tc>
          <w:tcPr>
            <w:tcW w:w="0" w:type="auto"/>
            <w:tcBorders>
              <w:top w:val="nil"/>
              <w:left w:val="single" w:sz="4" w:space="0" w:color="auto"/>
              <w:bottom w:val="single" w:sz="4" w:space="0" w:color="auto"/>
              <w:right w:val="nil"/>
            </w:tcBorders>
            <w:shd w:val="clear" w:color="auto" w:fill="DFEFE1" w:themeFill="accent3" w:themeFillTint="66"/>
            <w:noWrap/>
            <w:vAlign w:val="bottom"/>
            <w:hideMark/>
          </w:tcPr>
          <w:p w14:paraId="26ABCD8F"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Sub-total Wandoo dominant</w:t>
            </w:r>
          </w:p>
        </w:tc>
        <w:tc>
          <w:tcPr>
            <w:tcW w:w="0" w:type="auto"/>
            <w:tcBorders>
              <w:top w:val="nil"/>
              <w:left w:val="single" w:sz="4" w:space="0" w:color="auto"/>
              <w:bottom w:val="single" w:sz="4" w:space="0" w:color="auto"/>
              <w:right w:val="single" w:sz="8" w:space="0" w:color="auto"/>
            </w:tcBorders>
            <w:shd w:val="clear" w:color="auto" w:fill="DFEFE1" w:themeFill="accent3" w:themeFillTint="66"/>
            <w:noWrap/>
            <w:vAlign w:val="bottom"/>
            <w:hideMark/>
          </w:tcPr>
          <w:p w14:paraId="26ABCD90"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526,200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1"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218,674</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2"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93,264</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3"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D94"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6,472</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5"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164,660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6"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109,782</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7"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D98"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6,460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9"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167,960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A"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109,521</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B"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D9C"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8,294</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D"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180,200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E"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109,202</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D9F"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4" w:space="0" w:color="auto"/>
              <w:right w:val="single" w:sz="8" w:space="0" w:color="auto"/>
            </w:tcBorders>
            <w:shd w:val="clear" w:color="auto" w:fill="DFEFE1" w:themeFill="accent3" w:themeFillTint="66"/>
            <w:noWrap/>
            <w:vAlign w:val="bottom"/>
            <w:hideMark/>
          </w:tcPr>
          <w:p w14:paraId="26ABCDA0"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8,281</w:t>
            </w:r>
          </w:p>
        </w:tc>
      </w:tr>
      <w:tr w:rsidR="00A12F9B" w:rsidRPr="00CE60B2" w14:paraId="26ABCDB4"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A2" w14:textId="77777777" w:rsidR="00A12F9B" w:rsidRPr="00CE60B2" w:rsidRDefault="00A12F9B" w:rsidP="00A12F9B">
            <w:pPr>
              <w:spacing w:before="0" w:after="0"/>
              <w:rPr>
                <w:rFonts w:eastAsia="Times New Roman" w:cs="Segoe UI"/>
                <w:sz w:val="14"/>
                <w:szCs w:val="14"/>
                <w:lang w:eastAsia="en-AU"/>
              </w:rPr>
            </w:pPr>
            <w:r w:rsidRPr="00CE60B2">
              <w:rPr>
                <w:rFonts w:eastAsia="Times New Roman" w:cs="Segoe UI"/>
                <w:sz w:val="14"/>
                <w:szCs w:val="14"/>
                <w:lang w:eastAsia="en-AU"/>
              </w:rPr>
              <w:t>Peppermint and coastal heath</w:t>
            </w:r>
          </w:p>
        </w:tc>
        <w:tc>
          <w:tcPr>
            <w:tcW w:w="0" w:type="auto"/>
            <w:tcBorders>
              <w:top w:val="nil"/>
              <w:left w:val="single" w:sz="4" w:space="0" w:color="auto"/>
              <w:bottom w:val="single" w:sz="4" w:space="0" w:color="auto"/>
              <w:right w:val="nil"/>
            </w:tcBorders>
            <w:shd w:val="clear" w:color="auto" w:fill="auto"/>
            <w:noWrap/>
            <w:vAlign w:val="bottom"/>
            <w:hideMark/>
          </w:tcPr>
          <w:p w14:paraId="26ABCDA3"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80,100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BCDA4"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70,826</w:t>
            </w:r>
          </w:p>
        </w:tc>
        <w:tc>
          <w:tcPr>
            <w:tcW w:w="0" w:type="auto"/>
            <w:tcBorders>
              <w:top w:val="nil"/>
              <w:left w:val="nil"/>
              <w:bottom w:val="single" w:sz="4" w:space="0" w:color="auto"/>
              <w:right w:val="single" w:sz="4" w:space="0" w:color="auto"/>
            </w:tcBorders>
            <w:shd w:val="clear" w:color="auto" w:fill="auto"/>
            <w:noWrap/>
            <w:vAlign w:val="bottom"/>
            <w:hideMark/>
          </w:tcPr>
          <w:p w14:paraId="26ABCDA5"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57,771</w:t>
            </w:r>
          </w:p>
        </w:tc>
        <w:tc>
          <w:tcPr>
            <w:tcW w:w="0" w:type="auto"/>
            <w:tcBorders>
              <w:top w:val="nil"/>
              <w:left w:val="nil"/>
              <w:bottom w:val="single" w:sz="4" w:space="0" w:color="auto"/>
              <w:right w:val="single" w:sz="4" w:space="0" w:color="auto"/>
            </w:tcBorders>
            <w:shd w:val="clear" w:color="auto" w:fill="auto"/>
            <w:noWrap/>
            <w:vAlign w:val="bottom"/>
            <w:hideMark/>
          </w:tcPr>
          <w:p w14:paraId="26ABCDA6"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72.1</w:t>
            </w:r>
          </w:p>
        </w:tc>
        <w:tc>
          <w:tcPr>
            <w:tcW w:w="0" w:type="auto"/>
            <w:tcBorders>
              <w:top w:val="nil"/>
              <w:left w:val="nil"/>
              <w:bottom w:val="nil"/>
              <w:right w:val="single" w:sz="8" w:space="0" w:color="auto"/>
            </w:tcBorders>
            <w:shd w:val="clear" w:color="auto" w:fill="auto"/>
            <w:noWrap/>
            <w:vAlign w:val="bottom"/>
            <w:hideMark/>
          </w:tcPr>
          <w:p w14:paraId="26ABCDA7"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w:t>
            </w:r>
          </w:p>
        </w:tc>
        <w:tc>
          <w:tcPr>
            <w:tcW w:w="0" w:type="auto"/>
            <w:tcBorders>
              <w:top w:val="nil"/>
              <w:left w:val="nil"/>
              <w:bottom w:val="nil"/>
              <w:right w:val="single" w:sz="4" w:space="0" w:color="auto"/>
            </w:tcBorders>
            <w:shd w:val="clear" w:color="auto" w:fill="auto"/>
            <w:noWrap/>
            <w:vAlign w:val="bottom"/>
            <w:hideMark/>
          </w:tcPr>
          <w:p w14:paraId="26ABCDA8"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62,920</w:t>
            </w:r>
          </w:p>
        </w:tc>
        <w:tc>
          <w:tcPr>
            <w:tcW w:w="0" w:type="auto"/>
            <w:tcBorders>
              <w:top w:val="nil"/>
              <w:left w:val="nil"/>
              <w:bottom w:val="nil"/>
              <w:right w:val="single" w:sz="4" w:space="0" w:color="auto"/>
            </w:tcBorders>
            <w:shd w:val="clear" w:color="auto" w:fill="auto"/>
            <w:noWrap/>
            <w:vAlign w:val="bottom"/>
            <w:hideMark/>
          </w:tcPr>
          <w:p w14:paraId="26ABCDA9"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59,582</w:t>
            </w:r>
          </w:p>
        </w:tc>
        <w:tc>
          <w:tcPr>
            <w:tcW w:w="0" w:type="auto"/>
            <w:tcBorders>
              <w:top w:val="nil"/>
              <w:left w:val="nil"/>
              <w:bottom w:val="nil"/>
              <w:right w:val="single" w:sz="4" w:space="0" w:color="auto"/>
            </w:tcBorders>
            <w:shd w:val="clear" w:color="auto" w:fill="auto"/>
            <w:noWrap/>
            <w:vAlign w:val="bottom"/>
            <w:hideMark/>
          </w:tcPr>
          <w:p w14:paraId="26ABCDAA"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74.4</w:t>
            </w:r>
          </w:p>
        </w:tc>
        <w:tc>
          <w:tcPr>
            <w:tcW w:w="0" w:type="auto"/>
            <w:tcBorders>
              <w:top w:val="nil"/>
              <w:left w:val="nil"/>
              <w:bottom w:val="nil"/>
              <w:right w:val="single" w:sz="8" w:space="0" w:color="auto"/>
            </w:tcBorders>
            <w:shd w:val="clear" w:color="auto" w:fill="auto"/>
            <w:noWrap/>
            <w:vAlign w:val="bottom"/>
            <w:hideMark/>
          </w:tcPr>
          <w:p w14:paraId="26ABCDAB"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0</w:t>
            </w:r>
          </w:p>
        </w:tc>
        <w:tc>
          <w:tcPr>
            <w:tcW w:w="0" w:type="auto"/>
            <w:tcBorders>
              <w:top w:val="nil"/>
              <w:left w:val="nil"/>
              <w:bottom w:val="nil"/>
              <w:right w:val="single" w:sz="4" w:space="0" w:color="auto"/>
            </w:tcBorders>
            <w:shd w:val="clear" w:color="auto" w:fill="auto"/>
            <w:noWrap/>
            <w:vAlign w:val="bottom"/>
            <w:hideMark/>
          </w:tcPr>
          <w:p w14:paraId="26ABCDAC"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63,280</w:t>
            </w:r>
          </w:p>
        </w:tc>
        <w:tc>
          <w:tcPr>
            <w:tcW w:w="0" w:type="auto"/>
            <w:tcBorders>
              <w:top w:val="nil"/>
              <w:left w:val="nil"/>
              <w:bottom w:val="nil"/>
              <w:right w:val="single" w:sz="4" w:space="0" w:color="auto"/>
            </w:tcBorders>
            <w:shd w:val="clear" w:color="auto" w:fill="auto"/>
            <w:noWrap/>
            <w:vAlign w:val="bottom"/>
            <w:hideMark/>
          </w:tcPr>
          <w:p w14:paraId="26ABCDAD"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62,379</w:t>
            </w:r>
          </w:p>
        </w:tc>
        <w:tc>
          <w:tcPr>
            <w:tcW w:w="0" w:type="auto"/>
            <w:tcBorders>
              <w:top w:val="nil"/>
              <w:left w:val="nil"/>
              <w:bottom w:val="nil"/>
              <w:right w:val="single" w:sz="4" w:space="0" w:color="auto"/>
            </w:tcBorders>
            <w:shd w:val="clear" w:color="auto" w:fill="auto"/>
            <w:noWrap/>
            <w:vAlign w:val="bottom"/>
            <w:hideMark/>
          </w:tcPr>
          <w:p w14:paraId="26ABCDAE"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77.9</w:t>
            </w:r>
          </w:p>
        </w:tc>
        <w:tc>
          <w:tcPr>
            <w:tcW w:w="0" w:type="auto"/>
            <w:tcBorders>
              <w:top w:val="nil"/>
              <w:left w:val="nil"/>
              <w:bottom w:val="nil"/>
              <w:right w:val="single" w:sz="8" w:space="0" w:color="auto"/>
            </w:tcBorders>
            <w:shd w:val="clear" w:color="auto" w:fill="auto"/>
            <w:noWrap/>
            <w:vAlign w:val="bottom"/>
            <w:hideMark/>
          </w:tcPr>
          <w:p w14:paraId="26ABCDA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0</w:t>
            </w:r>
          </w:p>
        </w:tc>
        <w:tc>
          <w:tcPr>
            <w:tcW w:w="0" w:type="auto"/>
            <w:tcBorders>
              <w:top w:val="nil"/>
              <w:left w:val="nil"/>
              <w:bottom w:val="nil"/>
              <w:right w:val="single" w:sz="4" w:space="0" w:color="auto"/>
            </w:tcBorders>
            <w:shd w:val="clear" w:color="auto" w:fill="auto"/>
            <w:noWrap/>
            <w:vAlign w:val="bottom"/>
            <w:hideMark/>
          </w:tcPr>
          <w:p w14:paraId="26ABCDB0"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73,530</w:t>
            </w:r>
          </w:p>
        </w:tc>
        <w:tc>
          <w:tcPr>
            <w:tcW w:w="0" w:type="auto"/>
            <w:tcBorders>
              <w:top w:val="nil"/>
              <w:left w:val="nil"/>
              <w:bottom w:val="nil"/>
              <w:right w:val="single" w:sz="4" w:space="0" w:color="auto"/>
            </w:tcBorders>
            <w:shd w:val="clear" w:color="auto" w:fill="auto"/>
            <w:noWrap/>
            <w:vAlign w:val="bottom"/>
            <w:hideMark/>
          </w:tcPr>
          <w:p w14:paraId="26ABCDB1"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62,077</w:t>
            </w:r>
          </w:p>
        </w:tc>
        <w:tc>
          <w:tcPr>
            <w:tcW w:w="0" w:type="auto"/>
            <w:tcBorders>
              <w:top w:val="nil"/>
              <w:left w:val="nil"/>
              <w:bottom w:val="nil"/>
              <w:right w:val="single" w:sz="4" w:space="0" w:color="auto"/>
            </w:tcBorders>
            <w:shd w:val="clear" w:color="auto" w:fill="auto"/>
            <w:noWrap/>
            <w:vAlign w:val="bottom"/>
            <w:hideMark/>
          </w:tcPr>
          <w:p w14:paraId="26ABCDB2"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77.5</w:t>
            </w:r>
          </w:p>
        </w:tc>
        <w:tc>
          <w:tcPr>
            <w:tcW w:w="0" w:type="auto"/>
            <w:tcBorders>
              <w:top w:val="nil"/>
              <w:left w:val="nil"/>
              <w:bottom w:val="nil"/>
              <w:right w:val="single" w:sz="8" w:space="0" w:color="auto"/>
            </w:tcBorders>
            <w:shd w:val="clear" w:color="auto" w:fill="auto"/>
            <w:noWrap/>
            <w:vAlign w:val="bottom"/>
            <w:hideMark/>
          </w:tcPr>
          <w:p w14:paraId="26ABCDB3"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0</w:t>
            </w:r>
          </w:p>
        </w:tc>
      </w:tr>
      <w:tr w:rsidR="00A12F9B" w:rsidRPr="00CE60B2" w14:paraId="26ABCDC7"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B5" w14:textId="77777777" w:rsidR="00A12F9B" w:rsidRPr="00CE60B2" w:rsidRDefault="00A12F9B" w:rsidP="00A12F9B">
            <w:pPr>
              <w:spacing w:before="0" w:after="0"/>
              <w:rPr>
                <w:rFonts w:eastAsia="Times New Roman" w:cs="Segoe UI"/>
                <w:sz w:val="14"/>
                <w:szCs w:val="14"/>
                <w:lang w:eastAsia="en-AU"/>
              </w:rPr>
            </w:pPr>
            <w:r w:rsidRPr="00CE60B2">
              <w:rPr>
                <w:rFonts w:eastAsia="Times New Roman" w:cs="Segoe UI"/>
                <w:sz w:val="14"/>
                <w:szCs w:val="14"/>
                <w:lang w:eastAsia="en-AU"/>
              </w:rPr>
              <w:lastRenderedPageBreak/>
              <w:t>Rocky outcrops</w:t>
            </w:r>
          </w:p>
        </w:tc>
        <w:tc>
          <w:tcPr>
            <w:tcW w:w="0" w:type="auto"/>
            <w:tcBorders>
              <w:top w:val="nil"/>
              <w:left w:val="single" w:sz="4" w:space="0" w:color="auto"/>
              <w:bottom w:val="single" w:sz="4" w:space="0" w:color="auto"/>
              <w:right w:val="nil"/>
            </w:tcBorders>
            <w:shd w:val="clear" w:color="auto" w:fill="auto"/>
            <w:noWrap/>
            <w:vAlign w:val="bottom"/>
            <w:hideMark/>
          </w:tcPr>
          <w:p w14:paraId="26ABCDB6"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26,400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BCDB7"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12,444</w:t>
            </w:r>
          </w:p>
        </w:tc>
        <w:tc>
          <w:tcPr>
            <w:tcW w:w="0" w:type="auto"/>
            <w:tcBorders>
              <w:top w:val="nil"/>
              <w:left w:val="nil"/>
              <w:bottom w:val="single" w:sz="4" w:space="0" w:color="auto"/>
              <w:right w:val="single" w:sz="4" w:space="0" w:color="auto"/>
            </w:tcBorders>
            <w:shd w:val="clear" w:color="auto" w:fill="auto"/>
            <w:noWrap/>
            <w:vAlign w:val="bottom"/>
            <w:hideMark/>
          </w:tcPr>
          <w:p w14:paraId="26ABCDB8"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9,810</w:t>
            </w:r>
          </w:p>
        </w:tc>
        <w:tc>
          <w:tcPr>
            <w:tcW w:w="0" w:type="auto"/>
            <w:tcBorders>
              <w:top w:val="nil"/>
              <w:left w:val="nil"/>
              <w:bottom w:val="single" w:sz="4" w:space="0" w:color="auto"/>
              <w:right w:val="single" w:sz="4" w:space="0" w:color="auto"/>
            </w:tcBorders>
            <w:shd w:val="clear" w:color="auto" w:fill="auto"/>
            <w:noWrap/>
            <w:vAlign w:val="bottom"/>
            <w:hideMark/>
          </w:tcPr>
          <w:p w14:paraId="26ABCDB9"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37.2</w:t>
            </w:r>
          </w:p>
        </w:tc>
        <w:tc>
          <w:tcPr>
            <w:tcW w:w="0" w:type="auto"/>
            <w:tcBorders>
              <w:top w:val="single" w:sz="4" w:space="0" w:color="auto"/>
              <w:left w:val="nil"/>
              <w:bottom w:val="nil"/>
              <w:right w:val="single" w:sz="8" w:space="0" w:color="auto"/>
            </w:tcBorders>
            <w:shd w:val="clear" w:color="auto" w:fill="auto"/>
            <w:noWrap/>
            <w:vAlign w:val="bottom"/>
            <w:hideMark/>
          </w:tcPr>
          <w:p w14:paraId="26ABCDBA"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2,473</w:t>
            </w:r>
          </w:p>
        </w:tc>
        <w:tc>
          <w:tcPr>
            <w:tcW w:w="0" w:type="auto"/>
            <w:tcBorders>
              <w:top w:val="single" w:sz="4" w:space="0" w:color="auto"/>
              <w:left w:val="nil"/>
              <w:bottom w:val="nil"/>
              <w:right w:val="single" w:sz="4" w:space="0" w:color="auto"/>
            </w:tcBorders>
            <w:shd w:val="clear" w:color="auto" w:fill="auto"/>
            <w:noWrap/>
            <w:vAlign w:val="bottom"/>
            <w:hideMark/>
          </w:tcPr>
          <w:p w14:paraId="26ABCDBB"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13,600</w:t>
            </w:r>
          </w:p>
        </w:tc>
        <w:tc>
          <w:tcPr>
            <w:tcW w:w="0" w:type="auto"/>
            <w:tcBorders>
              <w:top w:val="single" w:sz="4" w:space="0" w:color="auto"/>
              <w:left w:val="nil"/>
              <w:bottom w:val="nil"/>
              <w:right w:val="single" w:sz="4" w:space="0" w:color="auto"/>
            </w:tcBorders>
            <w:shd w:val="clear" w:color="auto" w:fill="auto"/>
            <w:noWrap/>
            <w:vAlign w:val="bottom"/>
            <w:hideMark/>
          </w:tcPr>
          <w:p w14:paraId="26ABCDBC"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10,528</w:t>
            </w:r>
          </w:p>
        </w:tc>
        <w:tc>
          <w:tcPr>
            <w:tcW w:w="0" w:type="auto"/>
            <w:tcBorders>
              <w:top w:val="single" w:sz="4" w:space="0" w:color="auto"/>
              <w:left w:val="nil"/>
              <w:bottom w:val="nil"/>
              <w:right w:val="single" w:sz="4" w:space="0" w:color="auto"/>
            </w:tcBorders>
            <w:shd w:val="clear" w:color="auto" w:fill="auto"/>
            <w:noWrap/>
            <w:vAlign w:val="bottom"/>
            <w:hideMark/>
          </w:tcPr>
          <w:p w14:paraId="26ABCDBD"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39.9</w:t>
            </w:r>
          </w:p>
        </w:tc>
        <w:tc>
          <w:tcPr>
            <w:tcW w:w="0" w:type="auto"/>
            <w:tcBorders>
              <w:top w:val="single" w:sz="4" w:space="0" w:color="auto"/>
              <w:left w:val="nil"/>
              <w:bottom w:val="nil"/>
              <w:right w:val="single" w:sz="8" w:space="0" w:color="auto"/>
            </w:tcBorders>
            <w:shd w:val="clear" w:color="auto" w:fill="auto"/>
            <w:noWrap/>
            <w:vAlign w:val="bottom"/>
            <w:hideMark/>
          </w:tcPr>
          <w:p w14:paraId="26ABCDBE"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2,479</w:t>
            </w:r>
          </w:p>
        </w:tc>
        <w:tc>
          <w:tcPr>
            <w:tcW w:w="0" w:type="auto"/>
            <w:tcBorders>
              <w:top w:val="single" w:sz="4" w:space="0" w:color="auto"/>
              <w:left w:val="nil"/>
              <w:bottom w:val="nil"/>
              <w:right w:val="single" w:sz="4" w:space="0" w:color="auto"/>
            </w:tcBorders>
            <w:shd w:val="clear" w:color="auto" w:fill="auto"/>
            <w:noWrap/>
            <w:vAlign w:val="bottom"/>
            <w:hideMark/>
          </w:tcPr>
          <w:p w14:paraId="26ABCDB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13,820</w:t>
            </w:r>
          </w:p>
        </w:tc>
        <w:tc>
          <w:tcPr>
            <w:tcW w:w="0" w:type="auto"/>
            <w:tcBorders>
              <w:top w:val="single" w:sz="4" w:space="0" w:color="auto"/>
              <w:left w:val="nil"/>
              <w:bottom w:val="nil"/>
              <w:right w:val="single" w:sz="4" w:space="0" w:color="auto"/>
            </w:tcBorders>
            <w:shd w:val="clear" w:color="auto" w:fill="auto"/>
            <w:noWrap/>
            <w:vAlign w:val="bottom"/>
            <w:hideMark/>
          </w:tcPr>
          <w:p w14:paraId="26ABCDC0"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10,897</w:t>
            </w:r>
          </w:p>
        </w:tc>
        <w:tc>
          <w:tcPr>
            <w:tcW w:w="0" w:type="auto"/>
            <w:tcBorders>
              <w:top w:val="single" w:sz="4" w:space="0" w:color="auto"/>
              <w:left w:val="nil"/>
              <w:bottom w:val="nil"/>
              <w:right w:val="single" w:sz="4" w:space="0" w:color="auto"/>
            </w:tcBorders>
            <w:shd w:val="clear" w:color="auto" w:fill="auto"/>
            <w:noWrap/>
            <w:vAlign w:val="bottom"/>
            <w:hideMark/>
          </w:tcPr>
          <w:p w14:paraId="26ABCDC1"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41.3</w:t>
            </w:r>
          </w:p>
        </w:tc>
        <w:tc>
          <w:tcPr>
            <w:tcW w:w="0" w:type="auto"/>
            <w:tcBorders>
              <w:top w:val="single" w:sz="4" w:space="0" w:color="auto"/>
              <w:left w:val="nil"/>
              <w:bottom w:val="nil"/>
              <w:right w:val="single" w:sz="8" w:space="0" w:color="auto"/>
            </w:tcBorders>
            <w:shd w:val="clear" w:color="auto" w:fill="auto"/>
            <w:noWrap/>
            <w:vAlign w:val="bottom"/>
            <w:hideMark/>
          </w:tcPr>
          <w:p w14:paraId="26ABCDC2"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2,530</w:t>
            </w:r>
          </w:p>
        </w:tc>
        <w:tc>
          <w:tcPr>
            <w:tcW w:w="0" w:type="auto"/>
            <w:tcBorders>
              <w:top w:val="single" w:sz="4" w:space="0" w:color="auto"/>
              <w:left w:val="nil"/>
              <w:bottom w:val="nil"/>
              <w:right w:val="single" w:sz="4" w:space="0" w:color="auto"/>
            </w:tcBorders>
            <w:shd w:val="clear" w:color="auto" w:fill="auto"/>
            <w:noWrap/>
            <w:vAlign w:val="bottom"/>
            <w:hideMark/>
          </w:tcPr>
          <w:p w14:paraId="26ABCDC3"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14,030</w:t>
            </w:r>
          </w:p>
        </w:tc>
        <w:tc>
          <w:tcPr>
            <w:tcW w:w="0" w:type="auto"/>
            <w:tcBorders>
              <w:top w:val="single" w:sz="4" w:space="0" w:color="auto"/>
              <w:left w:val="nil"/>
              <w:bottom w:val="nil"/>
              <w:right w:val="single" w:sz="4" w:space="0" w:color="auto"/>
            </w:tcBorders>
            <w:shd w:val="clear" w:color="auto" w:fill="auto"/>
            <w:noWrap/>
            <w:vAlign w:val="bottom"/>
            <w:hideMark/>
          </w:tcPr>
          <w:p w14:paraId="26ABCDC4"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10,874</w:t>
            </w:r>
          </w:p>
        </w:tc>
        <w:tc>
          <w:tcPr>
            <w:tcW w:w="0" w:type="auto"/>
            <w:tcBorders>
              <w:top w:val="single" w:sz="4" w:space="0" w:color="auto"/>
              <w:left w:val="nil"/>
              <w:bottom w:val="nil"/>
              <w:right w:val="single" w:sz="4" w:space="0" w:color="auto"/>
            </w:tcBorders>
            <w:shd w:val="clear" w:color="auto" w:fill="auto"/>
            <w:noWrap/>
            <w:vAlign w:val="bottom"/>
            <w:hideMark/>
          </w:tcPr>
          <w:p w14:paraId="26ABCDC5"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41.2</w:t>
            </w:r>
          </w:p>
        </w:tc>
        <w:tc>
          <w:tcPr>
            <w:tcW w:w="0" w:type="auto"/>
            <w:tcBorders>
              <w:top w:val="single" w:sz="4" w:space="0" w:color="auto"/>
              <w:left w:val="nil"/>
              <w:bottom w:val="nil"/>
              <w:right w:val="single" w:sz="8" w:space="0" w:color="auto"/>
            </w:tcBorders>
            <w:shd w:val="clear" w:color="auto" w:fill="auto"/>
            <w:noWrap/>
            <w:vAlign w:val="bottom"/>
            <w:hideMark/>
          </w:tcPr>
          <w:p w14:paraId="26ABCDC6"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2,540</w:t>
            </w:r>
          </w:p>
        </w:tc>
      </w:tr>
      <w:tr w:rsidR="00A12F9B" w:rsidRPr="00CE60B2" w14:paraId="26ABCDDA"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C8" w14:textId="77777777" w:rsidR="00A12F9B" w:rsidRPr="00CE60B2" w:rsidRDefault="00A12F9B" w:rsidP="00A12F9B">
            <w:pPr>
              <w:spacing w:before="0" w:after="0"/>
              <w:rPr>
                <w:rFonts w:eastAsia="Times New Roman" w:cs="Segoe UI"/>
                <w:sz w:val="14"/>
                <w:szCs w:val="14"/>
                <w:lang w:eastAsia="en-AU"/>
              </w:rPr>
            </w:pPr>
            <w:r w:rsidRPr="00CE60B2">
              <w:rPr>
                <w:rFonts w:eastAsia="Times New Roman" w:cs="Segoe UI"/>
                <w:sz w:val="14"/>
                <w:szCs w:val="14"/>
                <w:lang w:eastAsia="en-AU"/>
              </w:rPr>
              <w:t>Sand Dunes</w:t>
            </w:r>
          </w:p>
        </w:tc>
        <w:tc>
          <w:tcPr>
            <w:tcW w:w="0" w:type="auto"/>
            <w:tcBorders>
              <w:top w:val="nil"/>
              <w:left w:val="single" w:sz="4" w:space="0" w:color="auto"/>
              <w:bottom w:val="single" w:sz="4" w:space="0" w:color="auto"/>
              <w:right w:val="nil"/>
            </w:tcBorders>
            <w:shd w:val="clear" w:color="auto" w:fill="auto"/>
            <w:noWrap/>
            <w:vAlign w:val="bottom"/>
            <w:hideMark/>
          </w:tcPr>
          <w:p w14:paraId="26ABCDC9"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11,500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BCDCA"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10,342</w:t>
            </w:r>
          </w:p>
        </w:tc>
        <w:tc>
          <w:tcPr>
            <w:tcW w:w="0" w:type="auto"/>
            <w:tcBorders>
              <w:top w:val="nil"/>
              <w:left w:val="nil"/>
              <w:bottom w:val="single" w:sz="4" w:space="0" w:color="auto"/>
              <w:right w:val="single" w:sz="4" w:space="0" w:color="auto"/>
            </w:tcBorders>
            <w:shd w:val="clear" w:color="auto" w:fill="auto"/>
            <w:noWrap/>
            <w:vAlign w:val="bottom"/>
            <w:hideMark/>
          </w:tcPr>
          <w:p w14:paraId="26ABCDCB"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10,030</w:t>
            </w:r>
          </w:p>
        </w:tc>
        <w:tc>
          <w:tcPr>
            <w:tcW w:w="0" w:type="auto"/>
            <w:tcBorders>
              <w:top w:val="nil"/>
              <w:left w:val="nil"/>
              <w:bottom w:val="single" w:sz="4" w:space="0" w:color="auto"/>
              <w:right w:val="single" w:sz="4" w:space="0" w:color="auto"/>
            </w:tcBorders>
            <w:shd w:val="clear" w:color="auto" w:fill="auto"/>
            <w:noWrap/>
            <w:vAlign w:val="bottom"/>
            <w:hideMark/>
          </w:tcPr>
          <w:p w14:paraId="26ABCDCC"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97.4</w:t>
            </w:r>
          </w:p>
        </w:tc>
        <w:tc>
          <w:tcPr>
            <w:tcW w:w="0" w:type="auto"/>
            <w:tcBorders>
              <w:top w:val="single" w:sz="4" w:space="0" w:color="auto"/>
              <w:left w:val="nil"/>
              <w:bottom w:val="nil"/>
              <w:right w:val="single" w:sz="8" w:space="0" w:color="auto"/>
            </w:tcBorders>
            <w:shd w:val="clear" w:color="auto" w:fill="auto"/>
            <w:noWrap/>
            <w:vAlign w:val="bottom"/>
            <w:hideMark/>
          </w:tcPr>
          <w:p w14:paraId="26ABCDCD"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4</w:t>
            </w:r>
          </w:p>
        </w:tc>
        <w:tc>
          <w:tcPr>
            <w:tcW w:w="0" w:type="auto"/>
            <w:tcBorders>
              <w:top w:val="single" w:sz="4" w:space="0" w:color="auto"/>
              <w:left w:val="nil"/>
              <w:bottom w:val="nil"/>
              <w:right w:val="single" w:sz="4" w:space="0" w:color="auto"/>
            </w:tcBorders>
            <w:shd w:val="clear" w:color="auto" w:fill="auto"/>
            <w:noWrap/>
            <w:vAlign w:val="bottom"/>
            <w:hideMark/>
          </w:tcPr>
          <w:p w14:paraId="26ABCDCE"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11,590</w:t>
            </w:r>
          </w:p>
        </w:tc>
        <w:tc>
          <w:tcPr>
            <w:tcW w:w="0" w:type="auto"/>
            <w:tcBorders>
              <w:top w:val="single" w:sz="4" w:space="0" w:color="auto"/>
              <w:left w:val="nil"/>
              <w:bottom w:val="nil"/>
              <w:right w:val="single" w:sz="4" w:space="0" w:color="auto"/>
            </w:tcBorders>
            <w:shd w:val="clear" w:color="auto" w:fill="auto"/>
            <w:noWrap/>
            <w:vAlign w:val="bottom"/>
            <w:hideMark/>
          </w:tcPr>
          <w:p w14:paraId="26ABCDC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11,160</w:t>
            </w:r>
          </w:p>
        </w:tc>
        <w:tc>
          <w:tcPr>
            <w:tcW w:w="0" w:type="auto"/>
            <w:tcBorders>
              <w:top w:val="single" w:sz="4" w:space="0" w:color="auto"/>
              <w:left w:val="nil"/>
              <w:bottom w:val="nil"/>
              <w:right w:val="single" w:sz="4" w:space="0" w:color="auto"/>
            </w:tcBorders>
            <w:shd w:val="clear" w:color="auto" w:fill="auto"/>
            <w:noWrap/>
            <w:vAlign w:val="bottom"/>
            <w:hideMark/>
          </w:tcPr>
          <w:p w14:paraId="26ABCDD0"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97.0</w:t>
            </w:r>
          </w:p>
        </w:tc>
        <w:tc>
          <w:tcPr>
            <w:tcW w:w="0" w:type="auto"/>
            <w:tcBorders>
              <w:top w:val="single" w:sz="4" w:space="0" w:color="auto"/>
              <w:left w:val="nil"/>
              <w:bottom w:val="nil"/>
              <w:right w:val="single" w:sz="8" w:space="0" w:color="auto"/>
            </w:tcBorders>
            <w:shd w:val="clear" w:color="auto" w:fill="auto"/>
            <w:noWrap/>
            <w:vAlign w:val="bottom"/>
            <w:hideMark/>
          </w:tcPr>
          <w:p w14:paraId="26ABCDD1"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0</w:t>
            </w:r>
          </w:p>
        </w:tc>
        <w:tc>
          <w:tcPr>
            <w:tcW w:w="0" w:type="auto"/>
            <w:tcBorders>
              <w:top w:val="single" w:sz="4" w:space="0" w:color="auto"/>
              <w:left w:val="nil"/>
              <w:bottom w:val="nil"/>
              <w:right w:val="single" w:sz="4" w:space="0" w:color="auto"/>
            </w:tcBorders>
            <w:shd w:val="clear" w:color="auto" w:fill="auto"/>
            <w:noWrap/>
            <w:vAlign w:val="bottom"/>
            <w:hideMark/>
          </w:tcPr>
          <w:p w14:paraId="26ABCDD2"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11,570</w:t>
            </w:r>
          </w:p>
        </w:tc>
        <w:tc>
          <w:tcPr>
            <w:tcW w:w="0" w:type="auto"/>
            <w:tcBorders>
              <w:top w:val="single" w:sz="4" w:space="0" w:color="auto"/>
              <w:left w:val="nil"/>
              <w:bottom w:val="nil"/>
              <w:right w:val="single" w:sz="4" w:space="0" w:color="auto"/>
            </w:tcBorders>
            <w:shd w:val="clear" w:color="auto" w:fill="auto"/>
            <w:noWrap/>
            <w:vAlign w:val="bottom"/>
            <w:hideMark/>
          </w:tcPr>
          <w:p w14:paraId="26ABCDD3"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11,311</w:t>
            </w:r>
          </w:p>
        </w:tc>
        <w:tc>
          <w:tcPr>
            <w:tcW w:w="0" w:type="auto"/>
            <w:tcBorders>
              <w:top w:val="single" w:sz="4" w:space="0" w:color="auto"/>
              <w:left w:val="nil"/>
              <w:bottom w:val="nil"/>
              <w:right w:val="single" w:sz="4" w:space="0" w:color="auto"/>
            </w:tcBorders>
            <w:shd w:val="clear" w:color="auto" w:fill="auto"/>
            <w:noWrap/>
            <w:vAlign w:val="bottom"/>
            <w:hideMark/>
          </w:tcPr>
          <w:p w14:paraId="26ABCDD4"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98.4</w:t>
            </w:r>
          </w:p>
        </w:tc>
        <w:tc>
          <w:tcPr>
            <w:tcW w:w="0" w:type="auto"/>
            <w:tcBorders>
              <w:top w:val="single" w:sz="4" w:space="0" w:color="auto"/>
              <w:left w:val="nil"/>
              <w:bottom w:val="nil"/>
              <w:right w:val="single" w:sz="8" w:space="0" w:color="auto"/>
            </w:tcBorders>
            <w:shd w:val="clear" w:color="auto" w:fill="auto"/>
            <w:noWrap/>
            <w:vAlign w:val="bottom"/>
            <w:hideMark/>
          </w:tcPr>
          <w:p w14:paraId="26ABCDD5"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0</w:t>
            </w:r>
          </w:p>
        </w:tc>
        <w:tc>
          <w:tcPr>
            <w:tcW w:w="0" w:type="auto"/>
            <w:tcBorders>
              <w:top w:val="single" w:sz="4" w:space="0" w:color="auto"/>
              <w:left w:val="nil"/>
              <w:bottom w:val="nil"/>
              <w:right w:val="single" w:sz="4" w:space="0" w:color="auto"/>
            </w:tcBorders>
            <w:shd w:val="clear" w:color="auto" w:fill="auto"/>
            <w:noWrap/>
            <w:vAlign w:val="bottom"/>
            <w:hideMark/>
          </w:tcPr>
          <w:p w14:paraId="26ABCDD6"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12,010</w:t>
            </w:r>
          </w:p>
        </w:tc>
        <w:tc>
          <w:tcPr>
            <w:tcW w:w="0" w:type="auto"/>
            <w:tcBorders>
              <w:top w:val="single" w:sz="4" w:space="0" w:color="auto"/>
              <w:left w:val="nil"/>
              <w:bottom w:val="nil"/>
              <w:right w:val="single" w:sz="4" w:space="0" w:color="auto"/>
            </w:tcBorders>
            <w:shd w:val="clear" w:color="auto" w:fill="auto"/>
            <w:noWrap/>
            <w:vAlign w:val="bottom"/>
            <w:hideMark/>
          </w:tcPr>
          <w:p w14:paraId="26ABCDD7"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11,134</w:t>
            </w:r>
          </w:p>
        </w:tc>
        <w:tc>
          <w:tcPr>
            <w:tcW w:w="0" w:type="auto"/>
            <w:tcBorders>
              <w:top w:val="single" w:sz="4" w:space="0" w:color="auto"/>
              <w:left w:val="nil"/>
              <w:bottom w:val="nil"/>
              <w:right w:val="single" w:sz="4" w:space="0" w:color="auto"/>
            </w:tcBorders>
            <w:shd w:val="clear" w:color="auto" w:fill="auto"/>
            <w:noWrap/>
            <w:vAlign w:val="bottom"/>
            <w:hideMark/>
          </w:tcPr>
          <w:p w14:paraId="26ABCDD8"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96.8</w:t>
            </w:r>
          </w:p>
        </w:tc>
        <w:tc>
          <w:tcPr>
            <w:tcW w:w="0" w:type="auto"/>
            <w:tcBorders>
              <w:top w:val="single" w:sz="4" w:space="0" w:color="auto"/>
              <w:left w:val="nil"/>
              <w:bottom w:val="nil"/>
              <w:right w:val="single" w:sz="8" w:space="0" w:color="auto"/>
            </w:tcBorders>
            <w:shd w:val="clear" w:color="auto" w:fill="auto"/>
            <w:noWrap/>
            <w:vAlign w:val="bottom"/>
            <w:hideMark/>
          </w:tcPr>
          <w:p w14:paraId="26ABCDD9"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0</w:t>
            </w:r>
          </w:p>
        </w:tc>
      </w:tr>
      <w:tr w:rsidR="00A12F9B" w:rsidRPr="00CE60B2" w14:paraId="26ABCDED"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DB" w14:textId="77777777" w:rsidR="00A12F9B" w:rsidRPr="00CE60B2" w:rsidRDefault="00A12F9B" w:rsidP="00A12F9B">
            <w:pPr>
              <w:spacing w:before="0" w:after="0"/>
              <w:rPr>
                <w:rFonts w:eastAsia="Times New Roman" w:cs="Segoe UI"/>
                <w:sz w:val="14"/>
                <w:szCs w:val="14"/>
                <w:lang w:eastAsia="en-AU"/>
              </w:rPr>
            </w:pPr>
            <w:r w:rsidRPr="00CE60B2">
              <w:rPr>
                <w:rFonts w:eastAsia="Times New Roman" w:cs="Segoe UI"/>
                <w:sz w:val="14"/>
                <w:szCs w:val="14"/>
                <w:lang w:eastAsia="en-AU"/>
              </w:rPr>
              <w:t>Shrub, herb, and sedgelands</w:t>
            </w:r>
          </w:p>
        </w:tc>
        <w:tc>
          <w:tcPr>
            <w:tcW w:w="0" w:type="auto"/>
            <w:tcBorders>
              <w:top w:val="nil"/>
              <w:left w:val="single" w:sz="4" w:space="0" w:color="auto"/>
              <w:bottom w:val="single" w:sz="4" w:space="0" w:color="auto"/>
              <w:right w:val="nil"/>
            </w:tcBorders>
            <w:shd w:val="clear" w:color="auto" w:fill="auto"/>
            <w:noWrap/>
            <w:vAlign w:val="bottom"/>
            <w:hideMark/>
          </w:tcPr>
          <w:p w14:paraId="26ABCDDC"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429,900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BCDDD"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296,950</w:t>
            </w:r>
          </w:p>
        </w:tc>
        <w:tc>
          <w:tcPr>
            <w:tcW w:w="0" w:type="auto"/>
            <w:tcBorders>
              <w:top w:val="nil"/>
              <w:left w:val="nil"/>
              <w:bottom w:val="single" w:sz="4" w:space="0" w:color="auto"/>
              <w:right w:val="single" w:sz="4" w:space="0" w:color="auto"/>
            </w:tcBorders>
            <w:shd w:val="clear" w:color="auto" w:fill="auto"/>
            <w:noWrap/>
            <w:vAlign w:val="bottom"/>
            <w:hideMark/>
          </w:tcPr>
          <w:p w14:paraId="26ABCDDE"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236,302</w:t>
            </w:r>
          </w:p>
        </w:tc>
        <w:tc>
          <w:tcPr>
            <w:tcW w:w="0" w:type="auto"/>
            <w:tcBorders>
              <w:top w:val="nil"/>
              <w:left w:val="nil"/>
              <w:bottom w:val="single" w:sz="4" w:space="0" w:color="auto"/>
              <w:right w:val="single" w:sz="4" w:space="0" w:color="auto"/>
            </w:tcBorders>
            <w:shd w:val="clear" w:color="auto" w:fill="auto"/>
            <w:noWrap/>
            <w:vAlign w:val="bottom"/>
            <w:hideMark/>
          </w:tcPr>
          <w:p w14:paraId="26ABCDD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55.0</w:t>
            </w:r>
          </w:p>
        </w:tc>
        <w:tc>
          <w:tcPr>
            <w:tcW w:w="0" w:type="auto"/>
            <w:tcBorders>
              <w:top w:val="single" w:sz="4" w:space="0" w:color="auto"/>
              <w:left w:val="nil"/>
              <w:bottom w:val="nil"/>
              <w:right w:val="single" w:sz="8" w:space="0" w:color="auto"/>
            </w:tcBorders>
            <w:shd w:val="clear" w:color="auto" w:fill="auto"/>
            <w:noWrap/>
            <w:vAlign w:val="bottom"/>
            <w:hideMark/>
          </w:tcPr>
          <w:p w14:paraId="26ABCDE0"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14,949</w:t>
            </w:r>
          </w:p>
        </w:tc>
        <w:tc>
          <w:tcPr>
            <w:tcW w:w="0" w:type="auto"/>
            <w:tcBorders>
              <w:top w:val="single" w:sz="4" w:space="0" w:color="auto"/>
              <w:left w:val="nil"/>
              <w:bottom w:val="nil"/>
              <w:right w:val="single" w:sz="4" w:space="0" w:color="auto"/>
            </w:tcBorders>
            <w:shd w:val="clear" w:color="auto" w:fill="auto"/>
            <w:noWrap/>
            <w:vAlign w:val="bottom"/>
            <w:hideMark/>
          </w:tcPr>
          <w:p w14:paraId="26ABCDE1"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262,160</w:t>
            </w:r>
          </w:p>
        </w:tc>
        <w:tc>
          <w:tcPr>
            <w:tcW w:w="0" w:type="auto"/>
            <w:tcBorders>
              <w:top w:val="single" w:sz="4" w:space="0" w:color="auto"/>
              <w:left w:val="nil"/>
              <w:bottom w:val="nil"/>
              <w:right w:val="single" w:sz="4" w:space="0" w:color="auto"/>
            </w:tcBorders>
            <w:shd w:val="clear" w:color="auto" w:fill="auto"/>
            <w:noWrap/>
            <w:vAlign w:val="bottom"/>
            <w:hideMark/>
          </w:tcPr>
          <w:p w14:paraId="26ABCDE2"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244,580</w:t>
            </w:r>
          </w:p>
        </w:tc>
        <w:tc>
          <w:tcPr>
            <w:tcW w:w="0" w:type="auto"/>
            <w:tcBorders>
              <w:top w:val="single" w:sz="4" w:space="0" w:color="auto"/>
              <w:left w:val="nil"/>
              <w:bottom w:val="nil"/>
              <w:right w:val="single" w:sz="4" w:space="0" w:color="auto"/>
            </w:tcBorders>
            <w:shd w:val="clear" w:color="auto" w:fill="auto"/>
            <w:noWrap/>
            <w:vAlign w:val="bottom"/>
            <w:hideMark/>
          </w:tcPr>
          <w:p w14:paraId="26ABCDE3"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56.9</w:t>
            </w:r>
          </w:p>
        </w:tc>
        <w:tc>
          <w:tcPr>
            <w:tcW w:w="0" w:type="auto"/>
            <w:tcBorders>
              <w:top w:val="single" w:sz="4" w:space="0" w:color="auto"/>
              <w:left w:val="nil"/>
              <w:bottom w:val="nil"/>
              <w:right w:val="single" w:sz="8" w:space="0" w:color="auto"/>
            </w:tcBorders>
            <w:shd w:val="clear" w:color="auto" w:fill="auto"/>
            <w:noWrap/>
            <w:vAlign w:val="bottom"/>
            <w:hideMark/>
          </w:tcPr>
          <w:p w14:paraId="26ABCDE4"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11,329</w:t>
            </w:r>
          </w:p>
        </w:tc>
        <w:tc>
          <w:tcPr>
            <w:tcW w:w="0" w:type="auto"/>
            <w:tcBorders>
              <w:top w:val="single" w:sz="4" w:space="0" w:color="auto"/>
              <w:left w:val="nil"/>
              <w:bottom w:val="nil"/>
              <w:right w:val="single" w:sz="4" w:space="0" w:color="auto"/>
            </w:tcBorders>
            <w:shd w:val="clear" w:color="auto" w:fill="auto"/>
            <w:noWrap/>
            <w:vAlign w:val="bottom"/>
            <w:hideMark/>
          </w:tcPr>
          <w:p w14:paraId="26ABCDE5"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265,430</w:t>
            </w:r>
          </w:p>
        </w:tc>
        <w:tc>
          <w:tcPr>
            <w:tcW w:w="0" w:type="auto"/>
            <w:tcBorders>
              <w:top w:val="single" w:sz="4" w:space="0" w:color="auto"/>
              <w:left w:val="nil"/>
              <w:bottom w:val="nil"/>
              <w:right w:val="single" w:sz="4" w:space="0" w:color="auto"/>
            </w:tcBorders>
            <w:shd w:val="clear" w:color="auto" w:fill="auto"/>
            <w:noWrap/>
            <w:vAlign w:val="bottom"/>
            <w:hideMark/>
          </w:tcPr>
          <w:p w14:paraId="26ABCDE6"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246,644</w:t>
            </w:r>
          </w:p>
        </w:tc>
        <w:tc>
          <w:tcPr>
            <w:tcW w:w="0" w:type="auto"/>
            <w:tcBorders>
              <w:top w:val="single" w:sz="4" w:space="0" w:color="auto"/>
              <w:left w:val="nil"/>
              <w:bottom w:val="nil"/>
              <w:right w:val="single" w:sz="4" w:space="0" w:color="auto"/>
            </w:tcBorders>
            <w:shd w:val="clear" w:color="auto" w:fill="auto"/>
            <w:noWrap/>
            <w:vAlign w:val="bottom"/>
            <w:hideMark/>
          </w:tcPr>
          <w:p w14:paraId="26ABCDE7"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57.4</w:t>
            </w:r>
          </w:p>
        </w:tc>
        <w:tc>
          <w:tcPr>
            <w:tcW w:w="0" w:type="auto"/>
            <w:tcBorders>
              <w:top w:val="single" w:sz="4" w:space="0" w:color="auto"/>
              <w:left w:val="nil"/>
              <w:bottom w:val="nil"/>
              <w:right w:val="single" w:sz="8" w:space="0" w:color="auto"/>
            </w:tcBorders>
            <w:shd w:val="clear" w:color="auto" w:fill="auto"/>
            <w:noWrap/>
            <w:vAlign w:val="bottom"/>
            <w:hideMark/>
          </w:tcPr>
          <w:p w14:paraId="26ABCDE8"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11,313</w:t>
            </w:r>
          </w:p>
        </w:tc>
        <w:tc>
          <w:tcPr>
            <w:tcW w:w="0" w:type="auto"/>
            <w:tcBorders>
              <w:top w:val="single" w:sz="4" w:space="0" w:color="auto"/>
              <w:left w:val="nil"/>
              <w:bottom w:val="nil"/>
              <w:right w:val="single" w:sz="4" w:space="0" w:color="auto"/>
            </w:tcBorders>
            <w:shd w:val="clear" w:color="auto" w:fill="auto"/>
            <w:noWrap/>
            <w:vAlign w:val="bottom"/>
            <w:hideMark/>
          </w:tcPr>
          <w:p w14:paraId="26ABCDE9"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285,890</w:t>
            </w:r>
          </w:p>
        </w:tc>
        <w:tc>
          <w:tcPr>
            <w:tcW w:w="0" w:type="auto"/>
            <w:tcBorders>
              <w:top w:val="single" w:sz="4" w:space="0" w:color="auto"/>
              <w:left w:val="nil"/>
              <w:bottom w:val="nil"/>
              <w:right w:val="single" w:sz="4" w:space="0" w:color="auto"/>
            </w:tcBorders>
            <w:shd w:val="clear" w:color="auto" w:fill="auto"/>
            <w:noWrap/>
            <w:vAlign w:val="bottom"/>
            <w:hideMark/>
          </w:tcPr>
          <w:p w14:paraId="26ABCDEA"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245,123</w:t>
            </w:r>
          </w:p>
        </w:tc>
        <w:tc>
          <w:tcPr>
            <w:tcW w:w="0" w:type="auto"/>
            <w:tcBorders>
              <w:top w:val="single" w:sz="4" w:space="0" w:color="auto"/>
              <w:left w:val="nil"/>
              <w:bottom w:val="nil"/>
              <w:right w:val="single" w:sz="4" w:space="0" w:color="auto"/>
            </w:tcBorders>
            <w:shd w:val="clear" w:color="auto" w:fill="auto"/>
            <w:noWrap/>
            <w:vAlign w:val="bottom"/>
            <w:hideMark/>
          </w:tcPr>
          <w:p w14:paraId="26ABCDEB"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57.0</w:t>
            </w:r>
          </w:p>
        </w:tc>
        <w:tc>
          <w:tcPr>
            <w:tcW w:w="0" w:type="auto"/>
            <w:tcBorders>
              <w:top w:val="single" w:sz="4" w:space="0" w:color="auto"/>
              <w:left w:val="nil"/>
              <w:bottom w:val="nil"/>
              <w:right w:val="single" w:sz="8" w:space="0" w:color="auto"/>
            </w:tcBorders>
            <w:shd w:val="clear" w:color="auto" w:fill="auto"/>
            <w:noWrap/>
            <w:vAlign w:val="bottom"/>
            <w:hideMark/>
          </w:tcPr>
          <w:p w14:paraId="26ABCDEC"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11,548</w:t>
            </w:r>
          </w:p>
        </w:tc>
      </w:tr>
      <w:tr w:rsidR="00A12F9B" w:rsidRPr="00CE60B2" w14:paraId="26ABCE00"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DEE" w14:textId="77777777" w:rsidR="00A12F9B" w:rsidRPr="00CE60B2" w:rsidRDefault="00A12F9B" w:rsidP="00A12F9B">
            <w:pPr>
              <w:spacing w:before="0" w:after="0"/>
              <w:rPr>
                <w:rFonts w:eastAsia="Times New Roman" w:cs="Segoe UI"/>
                <w:sz w:val="14"/>
                <w:szCs w:val="14"/>
                <w:lang w:eastAsia="en-AU"/>
              </w:rPr>
            </w:pPr>
            <w:r w:rsidRPr="00CE60B2">
              <w:rPr>
                <w:rFonts w:eastAsia="Times New Roman" w:cs="Segoe UI"/>
                <w:sz w:val="14"/>
                <w:szCs w:val="14"/>
                <w:lang w:eastAsia="en-AU"/>
              </w:rPr>
              <w:t>Swamps</w:t>
            </w:r>
          </w:p>
        </w:tc>
        <w:tc>
          <w:tcPr>
            <w:tcW w:w="0" w:type="auto"/>
            <w:tcBorders>
              <w:top w:val="nil"/>
              <w:left w:val="single" w:sz="4" w:space="0" w:color="auto"/>
              <w:bottom w:val="single" w:sz="4" w:space="0" w:color="auto"/>
              <w:right w:val="nil"/>
            </w:tcBorders>
            <w:shd w:val="clear" w:color="auto" w:fill="auto"/>
            <w:noWrap/>
            <w:vAlign w:val="bottom"/>
            <w:hideMark/>
          </w:tcPr>
          <w:p w14:paraId="26ABCDE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15,300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BCDF0"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8,069</w:t>
            </w:r>
          </w:p>
        </w:tc>
        <w:tc>
          <w:tcPr>
            <w:tcW w:w="0" w:type="auto"/>
            <w:tcBorders>
              <w:top w:val="nil"/>
              <w:left w:val="nil"/>
              <w:bottom w:val="single" w:sz="4" w:space="0" w:color="auto"/>
              <w:right w:val="single" w:sz="4" w:space="0" w:color="auto"/>
            </w:tcBorders>
            <w:shd w:val="clear" w:color="auto" w:fill="auto"/>
            <w:noWrap/>
            <w:vAlign w:val="bottom"/>
            <w:hideMark/>
          </w:tcPr>
          <w:p w14:paraId="26ABCDF1"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6,243</w:t>
            </w:r>
          </w:p>
        </w:tc>
        <w:tc>
          <w:tcPr>
            <w:tcW w:w="0" w:type="auto"/>
            <w:tcBorders>
              <w:top w:val="nil"/>
              <w:left w:val="nil"/>
              <w:bottom w:val="single" w:sz="4" w:space="0" w:color="auto"/>
              <w:right w:val="single" w:sz="4" w:space="0" w:color="auto"/>
            </w:tcBorders>
            <w:shd w:val="clear" w:color="auto" w:fill="auto"/>
            <w:noWrap/>
            <w:vAlign w:val="bottom"/>
            <w:hideMark/>
          </w:tcPr>
          <w:p w14:paraId="26ABCDF2"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40.8</w:t>
            </w:r>
          </w:p>
        </w:tc>
        <w:tc>
          <w:tcPr>
            <w:tcW w:w="0" w:type="auto"/>
            <w:tcBorders>
              <w:top w:val="single" w:sz="4" w:space="0" w:color="auto"/>
              <w:left w:val="nil"/>
              <w:bottom w:val="nil"/>
              <w:right w:val="single" w:sz="8" w:space="0" w:color="auto"/>
            </w:tcBorders>
            <w:shd w:val="clear" w:color="auto" w:fill="auto"/>
            <w:noWrap/>
            <w:vAlign w:val="bottom"/>
            <w:hideMark/>
          </w:tcPr>
          <w:p w14:paraId="26ABCDF3"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249</w:t>
            </w:r>
          </w:p>
        </w:tc>
        <w:tc>
          <w:tcPr>
            <w:tcW w:w="0" w:type="auto"/>
            <w:tcBorders>
              <w:top w:val="single" w:sz="4" w:space="0" w:color="auto"/>
              <w:left w:val="nil"/>
              <w:bottom w:val="nil"/>
              <w:right w:val="single" w:sz="4" w:space="0" w:color="auto"/>
            </w:tcBorders>
            <w:shd w:val="clear" w:color="auto" w:fill="auto"/>
            <w:noWrap/>
            <w:vAlign w:val="bottom"/>
            <w:hideMark/>
          </w:tcPr>
          <w:p w14:paraId="26ABCDF4"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6,670</w:t>
            </w:r>
          </w:p>
        </w:tc>
        <w:tc>
          <w:tcPr>
            <w:tcW w:w="0" w:type="auto"/>
            <w:tcBorders>
              <w:top w:val="single" w:sz="4" w:space="0" w:color="auto"/>
              <w:left w:val="nil"/>
              <w:bottom w:val="nil"/>
              <w:right w:val="single" w:sz="4" w:space="0" w:color="auto"/>
            </w:tcBorders>
            <w:shd w:val="clear" w:color="auto" w:fill="auto"/>
            <w:noWrap/>
            <w:vAlign w:val="bottom"/>
            <w:hideMark/>
          </w:tcPr>
          <w:p w14:paraId="26ABCDF5"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6,387</w:t>
            </w:r>
          </w:p>
        </w:tc>
        <w:tc>
          <w:tcPr>
            <w:tcW w:w="0" w:type="auto"/>
            <w:tcBorders>
              <w:top w:val="single" w:sz="4" w:space="0" w:color="auto"/>
              <w:left w:val="nil"/>
              <w:bottom w:val="nil"/>
              <w:right w:val="single" w:sz="4" w:space="0" w:color="auto"/>
            </w:tcBorders>
            <w:shd w:val="clear" w:color="auto" w:fill="auto"/>
            <w:noWrap/>
            <w:vAlign w:val="bottom"/>
            <w:hideMark/>
          </w:tcPr>
          <w:p w14:paraId="26ABCDF6"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41.7</w:t>
            </w:r>
          </w:p>
        </w:tc>
        <w:tc>
          <w:tcPr>
            <w:tcW w:w="0" w:type="auto"/>
            <w:tcBorders>
              <w:top w:val="single" w:sz="4" w:space="0" w:color="auto"/>
              <w:left w:val="nil"/>
              <w:bottom w:val="nil"/>
              <w:right w:val="single" w:sz="8" w:space="0" w:color="auto"/>
            </w:tcBorders>
            <w:shd w:val="clear" w:color="auto" w:fill="auto"/>
            <w:noWrap/>
            <w:vAlign w:val="bottom"/>
            <w:hideMark/>
          </w:tcPr>
          <w:p w14:paraId="26ABCDF7"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260</w:t>
            </w:r>
          </w:p>
        </w:tc>
        <w:tc>
          <w:tcPr>
            <w:tcW w:w="0" w:type="auto"/>
            <w:tcBorders>
              <w:top w:val="single" w:sz="4" w:space="0" w:color="auto"/>
              <w:left w:val="nil"/>
              <w:bottom w:val="nil"/>
              <w:right w:val="single" w:sz="4" w:space="0" w:color="auto"/>
            </w:tcBorders>
            <w:shd w:val="clear" w:color="auto" w:fill="auto"/>
            <w:noWrap/>
            <w:vAlign w:val="bottom"/>
            <w:hideMark/>
          </w:tcPr>
          <w:p w14:paraId="26ABCDF8"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6,850</w:t>
            </w:r>
          </w:p>
        </w:tc>
        <w:tc>
          <w:tcPr>
            <w:tcW w:w="0" w:type="auto"/>
            <w:tcBorders>
              <w:top w:val="single" w:sz="4" w:space="0" w:color="auto"/>
              <w:left w:val="nil"/>
              <w:bottom w:val="nil"/>
              <w:right w:val="single" w:sz="4" w:space="0" w:color="auto"/>
            </w:tcBorders>
            <w:shd w:val="clear" w:color="auto" w:fill="auto"/>
            <w:noWrap/>
            <w:vAlign w:val="bottom"/>
            <w:hideMark/>
          </w:tcPr>
          <w:p w14:paraId="26ABCDF9"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6,524</w:t>
            </w:r>
          </w:p>
        </w:tc>
        <w:tc>
          <w:tcPr>
            <w:tcW w:w="0" w:type="auto"/>
            <w:tcBorders>
              <w:top w:val="single" w:sz="4" w:space="0" w:color="auto"/>
              <w:left w:val="nil"/>
              <w:bottom w:val="nil"/>
              <w:right w:val="single" w:sz="4" w:space="0" w:color="auto"/>
            </w:tcBorders>
            <w:shd w:val="clear" w:color="auto" w:fill="auto"/>
            <w:noWrap/>
            <w:vAlign w:val="bottom"/>
            <w:hideMark/>
          </w:tcPr>
          <w:p w14:paraId="26ABCDFA"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42.6</w:t>
            </w:r>
          </w:p>
        </w:tc>
        <w:tc>
          <w:tcPr>
            <w:tcW w:w="0" w:type="auto"/>
            <w:tcBorders>
              <w:top w:val="single" w:sz="4" w:space="0" w:color="auto"/>
              <w:left w:val="nil"/>
              <w:bottom w:val="nil"/>
              <w:right w:val="single" w:sz="8" w:space="0" w:color="auto"/>
            </w:tcBorders>
            <w:shd w:val="clear" w:color="auto" w:fill="auto"/>
            <w:noWrap/>
            <w:vAlign w:val="bottom"/>
            <w:hideMark/>
          </w:tcPr>
          <w:p w14:paraId="26ABCDFB"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293</w:t>
            </w:r>
          </w:p>
        </w:tc>
        <w:tc>
          <w:tcPr>
            <w:tcW w:w="0" w:type="auto"/>
            <w:tcBorders>
              <w:top w:val="single" w:sz="4" w:space="0" w:color="auto"/>
              <w:left w:val="nil"/>
              <w:bottom w:val="nil"/>
              <w:right w:val="single" w:sz="4" w:space="0" w:color="auto"/>
            </w:tcBorders>
            <w:shd w:val="clear" w:color="auto" w:fill="auto"/>
            <w:noWrap/>
            <w:vAlign w:val="bottom"/>
            <w:hideMark/>
          </w:tcPr>
          <w:p w14:paraId="26ABCDFC"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7,240</w:t>
            </w:r>
          </w:p>
        </w:tc>
        <w:tc>
          <w:tcPr>
            <w:tcW w:w="0" w:type="auto"/>
            <w:tcBorders>
              <w:top w:val="single" w:sz="4" w:space="0" w:color="auto"/>
              <w:left w:val="nil"/>
              <w:bottom w:val="nil"/>
              <w:right w:val="single" w:sz="4" w:space="0" w:color="auto"/>
            </w:tcBorders>
            <w:shd w:val="clear" w:color="auto" w:fill="auto"/>
            <w:noWrap/>
            <w:vAlign w:val="bottom"/>
            <w:hideMark/>
          </w:tcPr>
          <w:p w14:paraId="26ABCDFD"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6,512</w:t>
            </w:r>
          </w:p>
        </w:tc>
        <w:tc>
          <w:tcPr>
            <w:tcW w:w="0" w:type="auto"/>
            <w:tcBorders>
              <w:top w:val="single" w:sz="4" w:space="0" w:color="auto"/>
              <w:left w:val="nil"/>
              <w:bottom w:val="nil"/>
              <w:right w:val="single" w:sz="4" w:space="0" w:color="auto"/>
            </w:tcBorders>
            <w:shd w:val="clear" w:color="auto" w:fill="auto"/>
            <w:noWrap/>
            <w:vAlign w:val="bottom"/>
            <w:hideMark/>
          </w:tcPr>
          <w:p w14:paraId="26ABCDFE"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42.6</w:t>
            </w:r>
          </w:p>
        </w:tc>
        <w:tc>
          <w:tcPr>
            <w:tcW w:w="0" w:type="auto"/>
            <w:tcBorders>
              <w:top w:val="single" w:sz="4" w:space="0" w:color="auto"/>
              <w:left w:val="nil"/>
              <w:bottom w:val="nil"/>
              <w:right w:val="single" w:sz="8" w:space="0" w:color="auto"/>
            </w:tcBorders>
            <w:shd w:val="clear" w:color="auto" w:fill="auto"/>
            <w:noWrap/>
            <w:vAlign w:val="bottom"/>
            <w:hideMark/>
          </w:tcPr>
          <w:p w14:paraId="26ABCDF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291</w:t>
            </w:r>
          </w:p>
        </w:tc>
      </w:tr>
      <w:tr w:rsidR="00A12F9B" w:rsidRPr="00CE60B2" w14:paraId="26ABCE13"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E01" w14:textId="77777777" w:rsidR="00A12F9B" w:rsidRPr="00CE60B2" w:rsidRDefault="00A12F9B" w:rsidP="00A12F9B">
            <w:pPr>
              <w:spacing w:before="0" w:after="0"/>
              <w:rPr>
                <w:rFonts w:eastAsia="Times New Roman" w:cs="Segoe UI"/>
                <w:sz w:val="14"/>
                <w:szCs w:val="14"/>
                <w:lang w:eastAsia="en-AU"/>
              </w:rPr>
            </w:pPr>
            <w:r w:rsidRPr="00CE60B2">
              <w:rPr>
                <w:rFonts w:eastAsia="Times New Roman" w:cs="Segoe UI"/>
                <w:sz w:val="14"/>
                <w:szCs w:val="14"/>
                <w:lang w:eastAsia="en-AU"/>
              </w:rPr>
              <w:t>Whicher Scarp"</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6ABCE02"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23,700</w:t>
            </w:r>
          </w:p>
        </w:tc>
        <w:tc>
          <w:tcPr>
            <w:tcW w:w="0" w:type="auto"/>
            <w:tcBorders>
              <w:top w:val="nil"/>
              <w:left w:val="nil"/>
              <w:bottom w:val="nil"/>
              <w:right w:val="single" w:sz="4" w:space="0" w:color="auto"/>
            </w:tcBorders>
            <w:shd w:val="clear" w:color="auto" w:fill="auto"/>
            <w:noWrap/>
            <w:vAlign w:val="bottom"/>
            <w:hideMark/>
          </w:tcPr>
          <w:p w14:paraId="26ABCE03"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w:t>
            </w:r>
          </w:p>
        </w:tc>
        <w:tc>
          <w:tcPr>
            <w:tcW w:w="0" w:type="auto"/>
            <w:tcBorders>
              <w:top w:val="nil"/>
              <w:left w:val="nil"/>
              <w:bottom w:val="nil"/>
              <w:right w:val="single" w:sz="4" w:space="0" w:color="auto"/>
            </w:tcBorders>
            <w:shd w:val="clear" w:color="auto" w:fill="auto"/>
            <w:noWrap/>
            <w:vAlign w:val="bottom"/>
            <w:hideMark/>
          </w:tcPr>
          <w:p w14:paraId="26ABCE04"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w:t>
            </w:r>
          </w:p>
        </w:tc>
        <w:tc>
          <w:tcPr>
            <w:tcW w:w="0" w:type="auto"/>
            <w:tcBorders>
              <w:top w:val="nil"/>
              <w:left w:val="nil"/>
              <w:bottom w:val="nil"/>
              <w:right w:val="single" w:sz="4" w:space="0" w:color="auto"/>
            </w:tcBorders>
            <w:shd w:val="clear" w:color="auto" w:fill="auto"/>
            <w:noWrap/>
            <w:vAlign w:val="bottom"/>
            <w:hideMark/>
          </w:tcPr>
          <w:p w14:paraId="26ABCE05"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w:t>
            </w:r>
          </w:p>
        </w:tc>
        <w:tc>
          <w:tcPr>
            <w:tcW w:w="0" w:type="auto"/>
            <w:tcBorders>
              <w:top w:val="single" w:sz="4" w:space="0" w:color="auto"/>
              <w:left w:val="nil"/>
              <w:bottom w:val="nil"/>
              <w:right w:val="single" w:sz="8" w:space="0" w:color="auto"/>
            </w:tcBorders>
            <w:shd w:val="clear" w:color="auto" w:fill="auto"/>
            <w:noWrap/>
            <w:vAlign w:val="bottom"/>
            <w:hideMark/>
          </w:tcPr>
          <w:p w14:paraId="26ABCE06"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w:t>
            </w:r>
          </w:p>
        </w:tc>
        <w:tc>
          <w:tcPr>
            <w:tcW w:w="0" w:type="auto"/>
            <w:tcBorders>
              <w:top w:val="single" w:sz="4" w:space="0" w:color="auto"/>
              <w:left w:val="nil"/>
              <w:bottom w:val="nil"/>
              <w:right w:val="single" w:sz="4" w:space="0" w:color="auto"/>
            </w:tcBorders>
            <w:shd w:val="clear" w:color="auto" w:fill="auto"/>
            <w:noWrap/>
            <w:vAlign w:val="bottom"/>
            <w:hideMark/>
          </w:tcPr>
          <w:p w14:paraId="26ABCE07"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w:t>
            </w:r>
          </w:p>
        </w:tc>
        <w:tc>
          <w:tcPr>
            <w:tcW w:w="0" w:type="auto"/>
            <w:tcBorders>
              <w:top w:val="single" w:sz="4" w:space="0" w:color="auto"/>
              <w:left w:val="nil"/>
              <w:bottom w:val="nil"/>
              <w:right w:val="single" w:sz="4" w:space="0" w:color="auto"/>
            </w:tcBorders>
            <w:shd w:val="clear" w:color="auto" w:fill="auto"/>
            <w:noWrap/>
            <w:vAlign w:val="bottom"/>
            <w:hideMark/>
          </w:tcPr>
          <w:p w14:paraId="26ABCE08"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w:t>
            </w:r>
          </w:p>
        </w:tc>
        <w:tc>
          <w:tcPr>
            <w:tcW w:w="0" w:type="auto"/>
            <w:tcBorders>
              <w:top w:val="single" w:sz="4" w:space="0" w:color="auto"/>
              <w:left w:val="nil"/>
              <w:bottom w:val="nil"/>
              <w:right w:val="single" w:sz="4" w:space="0" w:color="auto"/>
            </w:tcBorders>
            <w:shd w:val="clear" w:color="auto" w:fill="auto"/>
            <w:noWrap/>
            <w:vAlign w:val="bottom"/>
            <w:hideMark/>
          </w:tcPr>
          <w:p w14:paraId="26ABCE09"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w:t>
            </w:r>
          </w:p>
        </w:tc>
        <w:tc>
          <w:tcPr>
            <w:tcW w:w="0" w:type="auto"/>
            <w:tcBorders>
              <w:top w:val="single" w:sz="4" w:space="0" w:color="auto"/>
              <w:left w:val="nil"/>
              <w:bottom w:val="nil"/>
              <w:right w:val="single" w:sz="8" w:space="0" w:color="auto"/>
            </w:tcBorders>
            <w:shd w:val="clear" w:color="auto" w:fill="auto"/>
            <w:noWrap/>
            <w:vAlign w:val="bottom"/>
            <w:hideMark/>
          </w:tcPr>
          <w:p w14:paraId="26ABCE0A"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w:t>
            </w:r>
          </w:p>
        </w:tc>
        <w:tc>
          <w:tcPr>
            <w:tcW w:w="0" w:type="auto"/>
            <w:tcBorders>
              <w:top w:val="single" w:sz="4" w:space="0" w:color="auto"/>
              <w:left w:val="nil"/>
              <w:bottom w:val="nil"/>
              <w:right w:val="single" w:sz="4" w:space="0" w:color="auto"/>
            </w:tcBorders>
            <w:shd w:val="clear" w:color="auto" w:fill="auto"/>
            <w:noWrap/>
            <w:vAlign w:val="bottom"/>
            <w:hideMark/>
          </w:tcPr>
          <w:p w14:paraId="26ABCE0B"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4,000</w:t>
            </w:r>
          </w:p>
        </w:tc>
        <w:tc>
          <w:tcPr>
            <w:tcW w:w="0" w:type="auto"/>
            <w:tcBorders>
              <w:top w:val="single" w:sz="4" w:space="0" w:color="auto"/>
              <w:left w:val="nil"/>
              <w:bottom w:val="nil"/>
              <w:right w:val="single" w:sz="4" w:space="0" w:color="auto"/>
            </w:tcBorders>
            <w:shd w:val="clear" w:color="auto" w:fill="auto"/>
            <w:noWrap/>
            <w:vAlign w:val="bottom"/>
            <w:hideMark/>
          </w:tcPr>
          <w:p w14:paraId="26ABCE0C"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2,442</w:t>
            </w:r>
          </w:p>
        </w:tc>
        <w:tc>
          <w:tcPr>
            <w:tcW w:w="0" w:type="auto"/>
            <w:tcBorders>
              <w:top w:val="single" w:sz="4" w:space="0" w:color="auto"/>
              <w:left w:val="nil"/>
              <w:bottom w:val="nil"/>
              <w:right w:val="single" w:sz="4" w:space="0" w:color="auto"/>
            </w:tcBorders>
            <w:shd w:val="clear" w:color="auto" w:fill="auto"/>
            <w:noWrap/>
            <w:vAlign w:val="bottom"/>
            <w:hideMark/>
          </w:tcPr>
          <w:p w14:paraId="26ABCE0D"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10.3</w:t>
            </w:r>
          </w:p>
        </w:tc>
        <w:tc>
          <w:tcPr>
            <w:tcW w:w="0" w:type="auto"/>
            <w:tcBorders>
              <w:top w:val="single" w:sz="4" w:space="0" w:color="auto"/>
              <w:left w:val="nil"/>
              <w:bottom w:val="nil"/>
              <w:right w:val="single" w:sz="8" w:space="0" w:color="auto"/>
            </w:tcBorders>
            <w:shd w:val="clear" w:color="auto" w:fill="auto"/>
            <w:noWrap/>
            <w:vAlign w:val="bottom"/>
            <w:hideMark/>
          </w:tcPr>
          <w:p w14:paraId="26ABCE0E"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181</w:t>
            </w:r>
          </w:p>
        </w:tc>
        <w:tc>
          <w:tcPr>
            <w:tcW w:w="0" w:type="auto"/>
            <w:tcBorders>
              <w:top w:val="single" w:sz="4" w:space="0" w:color="auto"/>
              <w:left w:val="nil"/>
              <w:bottom w:val="nil"/>
              <w:right w:val="single" w:sz="4" w:space="0" w:color="auto"/>
            </w:tcBorders>
            <w:shd w:val="clear" w:color="auto" w:fill="auto"/>
            <w:noWrap/>
            <w:vAlign w:val="bottom"/>
            <w:hideMark/>
          </w:tcPr>
          <w:p w14:paraId="26ABCE0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7,470</w:t>
            </w:r>
          </w:p>
        </w:tc>
        <w:tc>
          <w:tcPr>
            <w:tcW w:w="0" w:type="auto"/>
            <w:tcBorders>
              <w:top w:val="single" w:sz="4" w:space="0" w:color="auto"/>
              <w:left w:val="nil"/>
              <w:bottom w:val="nil"/>
              <w:right w:val="single" w:sz="4" w:space="0" w:color="auto"/>
            </w:tcBorders>
            <w:shd w:val="clear" w:color="auto" w:fill="auto"/>
            <w:noWrap/>
            <w:vAlign w:val="bottom"/>
            <w:hideMark/>
          </w:tcPr>
          <w:p w14:paraId="26ABCE10"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2,434</w:t>
            </w:r>
          </w:p>
        </w:tc>
        <w:tc>
          <w:tcPr>
            <w:tcW w:w="0" w:type="auto"/>
            <w:tcBorders>
              <w:top w:val="single" w:sz="4" w:space="0" w:color="auto"/>
              <w:left w:val="nil"/>
              <w:bottom w:val="nil"/>
              <w:right w:val="single" w:sz="4" w:space="0" w:color="auto"/>
            </w:tcBorders>
            <w:shd w:val="clear" w:color="auto" w:fill="auto"/>
            <w:noWrap/>
            <w:vAlign w:val="bottom"/>
            <w:hideMark/>
          </w:tcPr>
          <w:p w14:paraId="26ABCE11"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10.3</w:t>
            </w:r>
          </w:p>
        </w:tc>
        <w:tc>
          <w:tcPr>
            <w:tcW w:w="0" w:type="auto"/>
            <w:tcBorders>
              <w:top w:val="single" w:sz="4" w:space="0" w:color="auto"/>
              <w:left w:val="nil"/>
              <w:bottom w:val="nil"/>
              <w:right w:val="single" w:sz="8" w:space="0" w:color="auto"/>
            </w:tcBorders>
            <w:shd w:val="clear" w:color="auto" w:fill="auto"/>
            <w:noWrap/>
            <w:vAlign w:val="bottom"/>
            <w:hideMark/>
          </w:tcPr>
          <w:p w14:paraId="26ABCE12"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238</w:t>
            </w:r>
          </w:p>
        </w:tc>
      </w:tr>
      <w:tr w:rsidR="00A12F9B" w:rsidRPr="00CE60B2" w14:paraId="26ABCE26" w14:textId="77777777" w:rsidTr="00A12F9B">
        <w:trPr>
          <w:trHeight w:val="264"/>
        </w:trPr>
        <w:tc>
          <w:tcPr>
            <w:tcW w:w="0" w:type="auto"/>
            <w:tcBorders>
              <w:top w:val="nil"/>
              <w:left w:val="single" w:sz="4" w:space="0" w:color="auto"/>
              <w:bottom w:val="single" w:sz="4" w:space="0" w:color="auto"/>
              <w:right w:val="nil"/>
            </w:tcBorders>
            <w:shd w:val="clear" w:color="auto" w:fill="auto"/>
            <w:noWrap/>
            <w:vAlign w:val="bottom"/>
            <w:hideMark/>
          </w:tcPr>
          <w:p w14:paraId="26ABCE14" w14:textId="77777777" w:rsidR="00A12F9B" w:rsidRPr="00CE60B2" w:rsidRDefault="00A12F9B" w:rsidP="00A12F9B">
            <w:pPr>
              <w:spacing w:before="0" w:after="0"/>
              <w:rPr>
                <w:rFonts w:eastAsia="Times New Roman" w:cs="Segoe UI"/>
                <w:sz w:val="14"/>
                <w:szCs w:val="14"/>
                <w:lang w:eastAsia="en-AU"/>
              </w:rPr>
            </w:pPr>
            <w:r w:rsidRPr="00CE60B2">
              <w:rPr>
                <w:rFonts w:eastAsia="Times New Roman" w:cs="Segoe UI"/>
                <w:sz w:val="14"/>
                <w:szCs w:val="14"/>
                <w:lang w:eastAsia="en-AU"/>
              </w:rPr>
              <w:t>Bullich and Yate *</w:t>
            </w:r>
          </w:p>
        </w:tc>
        <w:tc>
          <w:tcPr>
            <w:tcW w:w="0" w:type="auto"/>
            <w:tcBorders>
              <w:top w:val="nil"/>
              <w:left w:val="single" w:sz="4" w:space="0" w:color="auto"/>
              <w:bottom w:val="single" w:sz="4" w:space="0" w:color="auto"/>
              <w:right w:val="nil"/>
            </w:tcBorders>
            <w:shd w:val="clear" w:color="auto" w:fill="auto"/>
            <w:noWrap/>
            <w:vAlign w:val="bottom"/>
            <w:hideMark/>
          </w:tcPr>
          <w:p w14:paraId="26ABCE15"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2,800</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6ABCE16"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ABCE17"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2,176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ABCE18"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89.2</w:t>
            </w:r>
          </w:p>
        </w:tc>
        <w:tc>
          <w:tcPr>
            <w:tcW w:w="0" w:type="auto"/>
            <w:tcBorders>
              <w:top w:val="single" w:sz="4" w:space="0" w:color="auto"/>
              <w:left w:val="nil"/>
              <w:bottom w:val="nil"/>
              <w:right w:val="single" w:sz="8" w:space="0" w:color="auto"/>
            </w:tcBorders>
            <w:shd w:val="clear" w:color="auto" w:fill="auto"/>
            <w:noWrap/>
            <w:vAlign w:val="bottom"/>
            <w:hideMark/>
          </w:tcPr>
          <w:p w14:paraId="26ABCE19"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w:t>
            </w:r>
          </w:p>
        </w:tc>
        <w:tc>
          <w:tcPr>
            <w:tcW w:w="0" w:type="auto"/>
            <w:tcBorders>
              <w:top w:val="single" w:sz="4" w:space="0" w:color="auto"/>
              <w:left w:val="nil"/>
              <w:bottom w:val="nil"/>
              <w:right w:val="single" w:sz="4" w:space="0" w:color="auto"/>
            </w:tcBorders>
            <w:shd w:val="clear" w:color="auto" w:fill="auto"/>
            <w:noWrap/>
            <w:vAlign w:val="bottom"/>
            <w:hideMark/>
          </w:tcPr>
          <w:p w14:paraId="26ABCE1A"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2,160</w:t>
            </w:r>
          </w:p>
        </w:tc>
        <w:tc>
          <w:tcPr>
            <w:tcW w:w="0" w:type="auto"/>
            <w:tcBorders>
              <w:top w:val="single" w:sz="4" w:space="0" w:color="auto"/>
              <w:left w:val="nil"/>
              <w:bottom w:val="nil"/>
              <w:right w:val="single" w:sz="4" w:space="0" w:color="auto"/>
            </w:tcBorders>
            <w:shd w:val="clear" w:color="auto" w:fill="auto"/>
            <w:noWrap/>
            <w:vAlign w:val="bottom"/>
            <w:hideMark/>
          </w:tcPr>
          <w:p w14:paraId="26ABCE1B"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2,159</w:t>
            </w:r>
          </w:p>
        </w:tc>
        <w:tc>
          <w:tcPr>
            <w:tcW w:w="0" w:type="auto"/>
            <w:tcBorders>
              <w:top w:val="single" w:sz="4" w:space="0" w:color="auto"/>
              <w:left w:val="nil"/>
              <w:bottom w:val="nil"/>
              <w:right w:val="single" w:sz="4" w:space="0" w:color="auto"/>
            </w:tcBorders>
            <w:shd w:val="clear" w:color="auto" w:fill="auto"/>
            <w:noWrap/>
            <w:vAlign w:val="bottom"/>
            <w:hideMark/>
          </w:tcPr>
          <w:p w14:paraId="26ABCE1C"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100.0</w:t>
            </w:r>
          </w:p>
        </w:tc>
        <w:tc>
          <w:tcPr>
            <w:tcW w:w="0" w:type="auto"/>
            <w:tcBorders>
              <w:top w:val="single" w:sz="4" w:space="0" w:color="auto"/>
              <w:left w:val="nil"/>
              <w:bottom w:val="nil"/>
              <w:right w:val="single" w:sz="8" w:space="0" w:color="auto"/>
            </w:tcBorders>
            <w:shd w:val="clear" w:color="auto" w:fill="auto"/>
            <w:noWrap/>
            <w:vAlign w:val="bottom"/>
            <w:hideMark/>
          </w:tcPr>
          <w:p w14:paraId="26ABCE1D"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0</w:t>
            </w:r>
          </w:p>
        </w:tc>
        <w:tc>
          <w:tcPr>
            <w:tcW w:w="0" w:type="auto"/>
            <w:tcBorders>
              <w:top w:val="single" w:sz="4" w:space="0" w:color="auto"/>
              <w:left w:val="nil"/>
              <w:bottom w:val="nil"/>
              <w:right w:val="single" w:sz="4" w:space="0" w:color="auto"/>
            </w:tcBorders>
            <w:shd w:val="clear" w:color="auto" w:fill="auto"/>
            <w:noWrap/>
            <w:vAlign w:val="bottom"/>
            <w:hideMark/>
          </w:tcPr>
          <w:p w14:paraId="26ABCE1E"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2,720</w:t>
            </w:r>
          </w:p>
        </w:tc>
        <w:tc>
          <w:tcPr>
            <w:tcW w:w="0" w:type="auto"/>
            <w:tcBorders>
              <w:top w:val="single" w:sz="4" w:space="0" w:color="auto"/>
              <w:left w:val="nil"/>
              <w:bottom w:val="nil"/>
              <w:right w:val="single" w:sz="4" w:space="0" w:color="auto"/>
            </w:tcBorders>
            <w:shd w:val="clear" w:color="auto" w:fill="auto"/>
            <w:noWrap/>
            <w:vAlign w:val="bottom"/>
            <w:hideMark/>
          </w:tcPr>
          <w:p w14:paraId="26ABCE1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2,313</w:t>
            </w:r>
          </w:p>
        </w:tc>
        <w:tc>
          <w:tcPr>
            <w:tcW w:w="0" w:type="auto"/>
            <w:tcBorders>
              <w:top w:val="single" w:sz="4" w:space="0" w:color="auto"/>
              <w:left w:val="nil"/>
              <w:bottom w:val="nil"/>
              <w:right w:val="single" w:sz="4" w:space="0" w:color="auto"/>
            </w:tcBorders>
            <w:shd w:val="clear" w:color="auto" w:fill="auto"/>
            <w:noWrap/>
            <w:vAlign w:val="bottom"/>
            <w:hideMark/>
          </w:tcPr>
          <w:p w14:paraId="26ABCE20"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85.0</w:t>
            </w:r>
          </w:p>
        </w:tc>
        <w:tc>
          <w:tcPr>
            <w:tcW w:w="0" w:type="auto"/>
            <w:tcBorders>
              <w:top w:val="single" w:sz="4" w:space="0" w:color="auto"/>
              <w:left w:val="nil"/>
              <w:bottom w:val="nil"/>
              <w:right w:val="single" w:sz="8" w:space="0" w:color="auto"/>
            </w:tcBorders>
            <w:shd w:val="clear" w:color="auto" w:fill="auto"/>
            <w:noWrap/>
            <w:vAlign w:val="bottom"/>
            <w:hideMark/>
          </w:tcPr>
          <w:p w14:paraId="26ABCE21"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174</w:t>
            </w:r>
          </w:p>
        </w:tc>
        <w:tc>
          <w:tcPr>
            <w:tcW w:w="0" w:type="auto"/>
            <w:tcBorders>
              <w:top w:val="single" w:sz="4" w:space="0" w:color="auto"/>
              <w:left w:val="nil"/>
              <w:bottom w:val="nil"/>
              <w:right w:val="single" w:sz="4" w:space="0" w:color="auto"/>
            </w:tcBorders>
            <w:shd w:val="clear" w:color="auto" w:fill="auto"/>
            <w:noWrap/>
            <w:vAlign w:val="bottom"/>
            <w:hideMark/>
          </w:tcPr>
          <w:p w14:paraId="26ABCE22"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2,740</w:t>
            </w:r>
          </w:p>
        </w:tc>
        <w:tc>
          <w:tcPr>
            <w:tcW w:w="0" w:type="auto"/>
            <w:tcBorders>
              <w:top w:val="single" w:sz="4" w:space="0" w:color="auto"/>
              <w:left w:val="nil"/>
              <w:bottom w:val="nil"/>
              <w:right w:val="single" w:sz="4" w:space="0" w:color="auto"/>
            </w:tcBorders>
            <w:shd w:val="clear" w:color="auto" w:fill="auto"/>
            <w:noWrap/>
            <w:vAlign w:val="bottom"/>
            <w:hideMark/>
          </w:tcPr>
          <w:p w14:paraId="26ABCE23"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2,305</w:t>
            </w:r>
          </w:p>
        </w:tc>
        <w:tc>
          <w:tcPr>
            <w:tcW w:w="0" w:type="auto"/>
            <w:tcBorders>
              <w:top w:val="single" w:sz="4" w:space="0" w:color="auto"/>
              <w:left w:val="nil"/>
              <w:bottom w:val="nil"/>
              <w:right w:val="single" w:sz="4" w:space="0" w:color="auto"/>
            </w:tcBorders>
            <w:shd w:val="clear" w:color="auto" w:fill="auto"/>
            <w:noWrap/>
            <w:vAlign w:val="bottom"/>
            <w:hideMark/>
          </w:tcPr>
          <w:p w14:paraId="26ABCE24"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84.1</w:t>
            </w:r>
          </w:p>
        </w:tc>
        <w:tc>
          <w:tcPr>
            <w:tcW w:w="0" w:type="auto"/>
            <w:tcBorders>
              <w:top w:val="single" w:sz="4" w:space="0" w:color="auto"/>
              <w:left w:val="nil"/>
              <w:bottom w:val="nil"/>
              <w:right w:val="single" w:sz="8" w:space="0" w:color="auto"/>
            </w:tcBorders>
            <w:shd w:val="clear" w:color="auto" w:fill="auto"/>
            <w:noWrap/>
            <w:vAlign w:val="bottom"/>
            <w:hideMark/>
          </w:tcPr>
          <w:p w14:paraId="26ABCE25"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173</w:t>
            </w:r>
          </w:p>
        </w:tc>
      </w:tr>
      <w:tr w:rsidR="00A12F9B" w:rsidRPr="00CE60B2" w14:paraId="26ABCE39" w14:textId="77777777" w:rsidTr="00A12F9B">
        <w:trPr>
          <w:trHeight w:val="312"/>
        </w:trPr>
        <w:tc>
          <w:tcPr>
            <w:tcW w:w="0" w:type="auto"/>
            <w:tcBorders>
              <w:top w:val="nil"/>
              <w:left w:val="single" w:sz="4" w:space="0" w:color="auto"/>
              <w:bottom w:val="single" w:sz="4" w:space="0" w:color="auto"/>
              <w:right w:val="nil"/>
            </w:tcBorders>
            <w:shd w:val="clear" w:color="auto" w:fill="auto"/>
            <w:noWrap/>
            <w:vAlign w:val="bottom"/>
            <w:hideMark/>
          </w:tcPr>
          <w:p w14:paraId="26ABCE27" w14:textId="77777777" w:rsidR="00A12F9B" w:rsidRPr="00CE60B2" w:rsidRDefault="00A12F9B" w:rsidP="00A12F9B">
            <w:pPr>
              <w:spacing w:before="0" w:after="0"/>
              <w:rPr>
                <w:rFonts w:eastAsia="Times New Roman" w:cs="Segoe UI"/>
                <w:sz w:val="14"/>
                <w:szCs w:val="14"/>
                <w:lang w:eastAsia="en-AU"/>
              </w:rPr>
            </w:pPr>
            <w:r w:rsidRPr="00CE60B2">
              <w:rPr>
                <w:rFonts w:eastAsia="Times New Roman" w:cs="Segoe UI"/>
                <w:sz w:val="14"/>
                <w:szCs w:val="14"/>
                <w:lang w:eastAsia="en-AU"/>
              </w:rPr>
              <w:t xml:space="preserve">Other </w:t>
            </w:r>
            <w:r w:rsidRPr="00CE60B2">
              <w:rPr>
                <w:rFonts w:eastAsia="Times New Roman" w:cs="Segoe UI"/>
                <w:sz w:val="14"/>
                <w:szCs w:val="14"/>
                <w:vertAlign w:val="superscript"/>
                <w:lang w:eastAsia="en-AU"/>
              </w:rPr>
              <w:t>~</w:t>
            </w:r>
          </w:p>
        </w:tc>
        <w:tc>
          <w:tcPr>
            <w:tcW w:w="0" w:type="auto"/>
            <w:tcBorders>
              <w:top w:val="nil"/>
              <w:left w:val="single" w:sz="4" w:space="0" w:color="auto"/>
              <w:bottom w:val="single" w:sz="4" w:space="0" w:color="auto"/>
              <w:right w:val="nil"/>
            </w:tcBorders>
            <w:shd w:val="clear" w:color="auto" w:fill="auto"/>
            <w:noWrap/>
            <w:vAlign w:val="bottom"/>
            <w:hideMark/>
          </w:tcPr>
          <w:p w14:paraId="26ABCE28"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BCE29"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nil"/>
              <w:left w:val="nil"/>
              <w:bottom w:val="single" w:sz="4" w:space="0" w:color="auto"/>
              <w:right w:val="single" w:sz="4" w:space="0" w:color="auto"/>
            </w:tcBorders>
            <w:shd w:val="clear" w:color="auto" w:fill="auto"/>
            <w:noWrap/>
            <w:vAlign w:val="bottom"/>
            <w:hideMark/>
          </w:tcPr>
          <w:p w14:paraId="26ABCE2A"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25,284</w:t>
            </w:r>
          </w:p>
        </w:tc>
        <w:tc>
          <w:tcPr>
            <w:tcW w:w="0" w:type="auto"/>
            <w:tcBorders>
              <w:top w:val="nil"/>
              <w:left w:val="nil"/>
              <w:bottom w:val="single" w:sz="4" w:space="0" w:color="auto"/>
              <w:right w:val="single" w:sz="4" w:space="0" w:color="auto"/>
            </w:tcBorders>
            <w:shd w:val="clear" w:color="auto" w:fill="auto"/>
            <w:noWrap/>
            <w:vAlign w:val="bottom"/>
            <w:hideMark/>
          </w:tcPr>
          <w:p w14:paraId="26ABCE2B"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single" w:sz="4" w:space="0" w:color="auto"/>
              <w:left w:val="nil"/>
              <w:bottom w:val="nil"/>
              <w:right w:val="single" w:sz="8" w:space="0" w:color="auto"/>
            </w:tcBorders>
            <w:shd w:val="clear" w:color="auto" w:fill="auto"/>
            <w:noWrap/>
            <w:vAlign w:val="bottom"/>
            <w:hideMark/>
          </w:tcPr>
          <w:p w14:paraId="26ABCE2C"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3,240</w:t>
            </w:r>
          </w:p>
        </w:tc>
        <w:tc>
          <w:tcPr>
            <w:tcW w:w="0" w:type="auto"/>
            <w:tcBorders>
              <w:top w:val="single" w:sz="4" w:space="0" w:color="auto"/>
              <w:left w:val="nil"/>
              <w:bottom w:val="nil"/>
              <w:right w:val="single" w:sz="4" w:space="0" w:color="auto"/>
            </w:tcBorders>
            <w:shd w:val="clear" w:color="auto" w:fill="auto"/>
            <w:noWrap/>
            <w:vAlign w:val="bottom"/>
            <w:hideMark/>
          </w:tcPr>
          <w:p w14:paraId="26ABCE2D"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single" w:sz="4" w:space="0" w:color="auto"/>
              <w:left w:val="nil"/>
              <w:bottom w:val="nil"/>
              <w:right w:val="single" w:sz="4" w:space="0" w:color="auto"/>
            </w:tcBorders>
            <w:shd w:val="clear" w:color="auto" w:fill="auto"/>
            <w:noWrap/>
            <w:vAlign w:val="bottom"/>
            <w:hideMark/>
          </w:tcPr>
          <w:p w14:paraId="26ABCE2E"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single" w:sz="4" w:space="0" w:color="auto"/>
              <w:left w:val="nil"/>
              <w:bottom w:val="nil"/>
              <w:right w:val="single" w:sz="4" w:space="0" w:color="auto"/>
            </w:tcBorders>
            <w:shd w:val="clear" w:color="auto" w:fill="auto"/>
            <w:noWrap/>
            <w:vAlign w:val="bottom"/>
            <w:hideMark/>
          </w:tcPr>
          <w:p w14:paraId="26ABCE2F"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single" w:sz="4" w:space="0" w:color="auto"/>
              <w:left w:val="nil"/>
              <w:bottom w:val="nil"/>
              <w:right w:val="single" w:sz="8" w:space="0" w:color="auto"/>
            </w:tcBorders>
            <w:shd w:val="clear" w:color="auto" w:fill="auto"/>
            <w:noWrap/>
            <w:vAlign w:val="bottom"/>
            <w:hideMark/>
          </w:tcPr>
          <w:p w14:paraId="26ABCE30"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single" w:sz="4" w:space="0" w:color="auto"/>
              <w:left w:val="nil"/>
              <w:bottom w:val="nil"/>
              <w:right w:val="single" w:sz="4" w:space="0" w:color="auto"/>
            </w:tcBorders>
            <w:shd w:val="clear" w:color="auto" w:fill="auto"/>
            <w:noWrap/>
            <w:vAlign w:val="bottom"/>
            <w:hideMark/>
          </w:tcPr>
          <w:p w14:paraId="26ABCE31"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single" w:sz="4" w:space="0" w:color="auto"/>
              <w:left w:val="nil"/>
              <w:bottom w:val="nil"/>
              <w:right w:val="single" w:sz="4" w:space="0" w:color="auto"/>
            </w:tcBorders>
            <w:shd w:val="clear" w:color="auto" w:fill="auto"/>
            <w:noWrap/>
            <w:vAlign w:val="bottom"/>
            <w:hideMark/>
          </w:tcPr>
          <w:p w14:paraId="26ABCE32"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24,510</w:t>
            </w:r>
          </w:p>
        </w:tc>
        <w:tc>
          <w:tcPr>
            <w:tcW w:w="0" w:type="auto"/>
            <w:tcBorders>
              <w:top w:val="single" w:sz="4" w:space="0" w:color="auto"/>
              <w:left w:val="nil"/>
              <w:bottom w:val="nil"/>
              <w:right w:val="single" w:sz="4" w:space="0" w:color="auto"/>
            </w:tcBorders>
            <w:shd w:val="clear" w:color="auto" w:fill="auto"/>
            <w:noWrap/>
            <w:vAlign w:val="bottom"/>
            <w:hideMark/>
          </w:tcPr>
          <w:p w14:paraId="26ABCE33"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single" w:sz="4" w:space="0" w:color="auto"/>
              <w:left w:val="nil"/>
              <w:bottom w:val="nil"/>
              <w:right w:val="single" w:sz="8" w:space="0" w:color="auto"/>
            </w:tcBorders>
            <w:shd w:val="clear" w:color="auto" w:fill="auto"/>
            <w:noWrap/>
            <w:vAlign w:val="bottom"/>
            <w:hideMark/>
          </w:tcPr>
          <w:p w14:paraId="26ABCE34"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1,690</w:t>
            </w:r>
          </w:p>
        </w:tc>
        <w:tc>
          <w:tcPr>
            <w:tcW w:w="0" w:type="auto"/>
            <w:tcBorders>
              <w:top w:val="single" w:sz="4" w:space="0" w:color="auto"/>
              <w:left w:val="nil"/>
              <w:bottom w:val="nil"/>
              <w:right w:val="single" w:sz="4" w:space="0" w:color="auto"/>
            </w:tcBorders>
            <w:shd w:val="clear" w:color="auto" w:fill="auto"/>
            <w:noWrap/>
            <w:vAlign w:val="bottom"/>
            <w:hideMark/>
          </w:tcPr>
          <w:p w14:paraId="26ABCE35"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single" w:sz="4" w:space="0" w:color="auto"/>
              <w:left w:val="nil"/>
              <w:bottom w:val="nil"/>
              <w:right w:val="single" w:sz="4" w:space="0" w:color="auto"/>
            </w:tcBorders>
            <w:shd w:val="clear" w:color="auto" w:fill="auto"/>
            <w:noWrap/>
            <w:vAlign w:val="bottom"/>
            <w:hideMark/>
          </w:tcPr>
          <w:p w14:paraId="26ABCE36"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25,827</w:t>
            </w:r>
          </w:p>
        </w:tc>
        <w:tc>
          <w:tcPr>
            <w:tcW w:w="0" w:type="auto"/>
            <w:tcBorders>
              <w:top w:val="single" w:sz="4" w:space="0" w:color="auto"/>
              <w:left w:val="nil"/>
              <w:bottom w:val="nil"/>
              <w:right w:val="single" w:sz="4" w:space="0" w:color="auto"/>
            </w:tcBorders>
            <w:shd w:val="clear" w:color="auto" w:fill="auto"/>
            <w:noWrap/>
            <w:vAlign w:val="bottom"/>
            <w:hideMark/>
          </w:tcPr>
          <w:p w14:paraId="26ABCE37"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n/a</w:t>
            </w:r>
          </w:p>
        </w:tc>
        <w:tc>
          <w:tcPr>
            <w:tcW w:w="0" w:type="auto"/>
            <w:tcBorders>
              <w:top w:val="single" w:sz="4" w:space="0" w:color="auto"/>
              <w:left w:val="nil"/>
              <w:bottom w:val="nil"/>
              <w:right w:val="single" w:sz="8" w:space="0" w:color="auto"/>
            </w:tcBorders>
            <w:shd w:val="clear" w:color="auto" w:fill="auto"/>
            <w:noWrap/>
            <w:vAlign w:val="bottom"/>
            <w:hideMark/>
          </w:tcPr>
          <w:p w14:paraId="26ABCE38" w14:textId="77777777" w:rsidR="00A12F9B" w:rsidRPr="00CE60B2" w:rsidRDefault="00A12F9B" w:rsidP="00A12F9B">
            <w:pPr>
              <w:spacing w:before="0" w:after="0"/>
              <w:jc w:val="right"/>
              <w:rPr>
                <w:rFonts w:eastAsia="Times New Roman" w:cs="Segoe UI"/>
                <w:sz w:val="14"/>
                <w:szCs w:val="14"/>
                <w:lang w:eastAsia="en-AU"/>
              </w:rPr>
            </w:pPr>
            <w:r w:rsidRPr="00CE60B2">
              <w:rPr>
                <w:rFonts w:eastAsia="Times New Roman" w:cs="Segoe UI"/>
                <w:sz w:val="14"/>
                <w:szCs w:val="14"/>
                <w:lang w:eastAsia="en-AU"/>
              </w:rPr>
              <w:t>1,843</w:t>
            </w:r>
          </w:p>
        </w:tc>
      </w:tr>
      <w:tr w:rsidR="00A12F9B" w:rsidRPr="00CE60B2" w14:paraId="26ABCE4C" w14:textId="77777777" w:rsidTr="00A12F9B">
        <w:trPr>
          <w:trHeight w:val="264"/>
        </w:trPr>
        <w:tc>
          <w:tcPr>
            <w:tcW w:w="0" w:type="auto"/>
            <w:tcBorders>
              <w:top w:val="nil"/>
              <w:left w:val="single" w:sz="4" w:space="0" w:color="auto"/>
              <w:bottom w:val="single" w:sz="4" w:space="0" w:color="auto"/>
              <w:right w:val="nil"/>
            </w:tcBorders>
            <w:shd w:val="clear" w:color="auto" w:fill="DFEFE1" w:themeFill="accent3" w:themeFillTint="66"/>
            <w:noWrap/>
            <w:vAlign w:val="bottom"/>
            <w:hideMark/>
          </w:tcPr>
          <w:p w14:paraId="26ABCE3A"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Sub-total Other forest</w:t>
            </w:r>
          </w:p>
        </w:tc>
        <w:tc>
          <w:tcPr>
            <w:tcW w:w="0" w:type="auto"/>
            <w:tcBorders>
              <w:top w:val="nil"/>
              <w:left w:val="single" w:sz="4" w:space="0" w:color="auto"/>
              <w:bottom w:val="single" w:sz="4" w:space="0" w:color="auto"/>
              <w:right w:val="single" w:sz="8" w:space="0" w:color="auto"/>
            </w:tcBorders>
            <w:shd w:val="clear" w:color="auto" w:fill="DFEFE1" w:themeFill="accent3" w:themeFillTint="66"/>
            <w:noWrap/>
            <w:vAlign w:val="bottom"/>
            <w:hideMark/>
          </w:tcPr>
          <w:p w14:paraId="26ABCE3B"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589,700</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E3C"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401,071</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E3D"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347,616</w:t>
            </w:r>
          </w:p>
        </w:tc>
        <w:tc>
          <w:tcPr>
            <w:tcW w:w="0" w:type="auto"/>
            <w:tcBorders>
              <w:top w:val="nil"/>
              <w:left w:val="nil"/>
              <w:bottom w:val="single" w:sz="4" w:space="0" w:color="auto"/>
              <w:right w:val="single" w:sz="4" w:space="0" w:color="auto"/>
            </w:tcBorders>
            <w:shd w:val="clear" w:color="auto" w:fill="DFEFE1" w:themeFill="accent3" w:themeFillTint="66"/>
            <w:noWrap/>
            <w:vAlign w:val="bottom"/>
            <w:hideMark/>
          </w:tcPr>
          <w:p w14:paraId="26ABCE3E"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single" w:sz="4" w:space="0" w:color="auto"/>
              <w:left w:val="nil"/>
              <w:bottom w:val="single" w:sz="4" w:space="0" w:color="auto"/>
              <w:right w:val="single" w:sz="8" w:space="0" w:color="auto"/>
            </w:tcBorders>
            <w:shd w:val="clear" w:color="auto" w:fill="DFEFE1" w:themeFill="accent3" w:themeFillTint="66"/>
            <w:noWrap/>
            <w:vAlign w:val="bottom"/>
            <w:hideMark/>
          </w:tcPr>
          <w:p w14:paraId="26ABCE3F"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20,917</w:t>
            </w:r>
          </w:p>
        </w:tc>
        <w:tc>
          <w:tcPr>
            <w:tcW w:w="0" w:type="auto"/>
            <w:tcBorders>
              <w:top w:val="single" w:sz="4" w:space="0" w:color="auto"/>
              <w:left w:val="nil"/>
              <w:bottom w:val="single" w:sz="4" w:space="0" w:color="auto"/>
              <w:right w:val="single" w:sz="4" w:space="0" w:color="auto"/>
            </w:tcBorders>
            <w:shd w:val="clear" w:color="auto" w:fill="DFEFE1" w:themeFill="accent3" w:themeFillTint="66"/>
            <w:noWrap/>
            <w:vAlign w:val="bottom"/>
            <w:hideMark/>
          </w:tcPr>
          <w:p w14:paraId="26ABCE40"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359,100</w:t>
            </w:r>
          </w:p>
        </w:tc>
        <w:tc>
          <w:tcPr>
            <w:tcW w:w="0" w:type="auto"/>
            <w:tcBorders>
              <w:top w:val="single" w:sz="4" w:space="0" w:color="auto"/>
              <w:left w:val="nil"/>
              <w:bottom w:val="single" w:sz="4" w:space="0" w:color="auto"/>
              <w:right w:val="single" w:sz="4" w:space="0" w:color="auto"/>
            </w:tcBorders>
            <w:shd w:val="clear" w:color="auto" w:fill="DFEFE1" w:themeFill="accent3" w:themeFillTint="66"/>
            <w:noWrap/>
            <w:vAlign w:val="bottom"/>
            <w:hideMark/>
          </w:tcPr>
          <w:p w14:paraId="26ABCE41"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334,395</w:t>
            </w:r>
          </w:p>
        </w:tc>
        <w:tc>
          <w:tcPr>
            <w:tcW w:w="0" w:type="auto"/>
            <w:tcBorders>
              <w:top w:val="single" w:sz="4" w:space="0" w:color="auto"/>
              <w:left w:val="nil"/>
              <w:bottom w:val="single" w:sz="4" w:space="0" w:color="auto"/>
              <w:right w:val="single" w:sz="4" w:space="0" w:color="auto"/>
            </w:tcBorders>
            <w:shd w:val="clear" w:color="auto" w:fill="DFEFE1" w:themeFill="accent3" w:themeFillTint="66"/>
            <w:noWrap/>
            <w:vAlign w:val="bottom"/>
            <w:hideMark/>
          </w:tcPr>
          <w:p w14:paraId="26ABCE42"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single" w:sz="4" w:space="0" w:color="auto"/>
              <w:left w:val="nil"/>
              <w:bottom w:val="single" w:sz="4" w:space="0" w:color="auto"/>
              <w:right w:val="single" w:sz="8" w:space="0" w:color="auto"/>
            </w:tcBorders>
            <w:shd w:val="clear" w:color="auto" w:fill="DFEFE1" w:themeFill="accent3" w:themeFillTint="66"/>
            <w:noWrap/>
            <w:vAlign w:val="bottom"/>
            <w:hideMark/>
          </w:tcPr>
          <w:p w14:paraId="26ABCE43"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14,068</w:t>
            </w:r>
          </w:p>
        </w:tc>
        <w:tc>
          <w:tcPr>
            <w:tcW w:w="0" w:type="auto"/>
            <w:tcBorders>
              <w:top w:val="single" w:sz="4" w:space="0" w:color="auto"/>
              <w:left w:val="nil"/>
              <w:bottom w:val="single" w:sz="4" w:space="0" w:color="auto"/>
              <w:right w:val="single" w:sz="4" w:space="0" w:color="auto"/>
            </w:tcBorders>
            <w:shd w:val="clear" w:color="auto" w:fill="DFEFE1" w:themeFill="accent3" w:themeFillTint="66"/>
            <w:noWrap/>
            <w:vAlign w:val="bottom"/>
            <w:hideMark/>
          </w:tcPr>
          <w:p w14:paraId="26ABCE44"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367,670</w:t>
            </w:r>
          </w:p>
        </w:tc>
        <w:tc>
          <w:tcPr>
            <w:tcW w:w="0" w:type="auto"/>
            <w:tcBorders>
              <w:top w:val="single" w:sz="4" w:space="0" w:color="auto"/>
              <w:left w:val="nil"/>
              <w:bottom w:val="single" w:sz="4" w:space="0" w:color="auto"/>
              <w:right w:val="single" w:sz="4" w:space="0" w:color="auto"/>
            </w:tcBorders>
            <w:shd w:val="clear" w:color="auto" w:fill="DFEFE1" w:themeFill="accent3" w:themeFillTint="66"/>
            <w:noWrap/>
            <w:vAlign w:val="bottom"/>
            <w:hideMark/>
          </w:tcPr>
          <w:p w14:paraId="26ABCE45"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367,020</w:t>
            </w:r>
          </w:p>
        </w:tc>
        <w:tc>
          <w:tcPr>
            <w:tcW w:w="0" w:type="auto"/>
            <w:tcBorders>
              <w:top w:val="single" w:sz="4" w:space="0" w:color="auto"/>
              <w:left w:val="nil"/>
              <w:bottom w:val="single" w:sz="4" w:space="0" w:color="auto"/>
              <w:right w:val="single" w:sz="4" w:space="0" w:color="auto"/>
            </w:tcBorders>
            <w:shd w:val="clear" w:color="auto" w:fill="DFEFE1" w:themeFill="accent3" w:themeFillTint="66"/>
            <w:noWrap/>
            <w:vAlign w:val="bottom"/>
            <w:hideMark/>
          </w:tcPr>
          <w:p w14:paraId="26ABCE46"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single" w:sz="4" w:space="0" w:color="auto"/>
              <w:left w:val="nil"/>
              <w:bottom w:val="single" w:sz="4" w:space="0" w:color="auto"/>
              <w:right w:val="single" w:sz="8" w:space="0" w:color="auto"/>
            </w:tcBorders>
            <w:shd w:val="clear" w:color="auto" w:fill="DFEFE1" w:themeFill="accent3" w:themeFillTint="66"/>
            <w:noWrap/>
            <w:vAlign w:val="bottom"/>
            <w:hideMark/>
          </w:tcPr>
          <w:p w14:paraId="26ABCE47"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16,181</w:t>
            </w:r>
          </w:p>
        </w:tc>
        <w:tc>
          <w:tcPr>
            <w:tcW w:w="0" w:type="auto"/>
            <w:tcBorders>
              <w:top w:val="single" w:sz="4" w:space="0" w:color="auto"/>
              <w:left w:val="nil"/>
              <w:bottom w:val="single" w:sz="4" w:space="0" w:color="auto"/>
              <w:right w:val="single" w:sz="4" w:space="0" w:color="auto"/>
            </w:tcBorders>
            <w:shd w:val="clear" w:color="auto" w:fill="DFEFE1" w:themeFill="accent3" w:themeFillTint="66"/>
            <w:noWrap/>
            <w:vAlign w:val="bottom"/>
            <w:hideMark/>
          </w:tcPr>
          <w:p w14:paraId="26ABCE48"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402,910</w:t>
            </w:r>
          </w:p>
        </w:tc>
        <w:tc>
          <w:tcPr>
            <w:tcW w:w="0" w:type="auto"/>
            <w:tcBorders>
              <w:top w:val="single" w:sz="4" w:space="0" w:color="auto"/>
              <w:left w:val="nil"/>
              <w:bottom w:val="single" w:sz="4" w:space="0" w:color="auto"/>
              <w:right w:val="single" w:sz="4" w:space="0" w:color="auto"/>
            </w:tcBorders>
            <w:shd w:val="clear" w:color="auto" w:fill="DFEFE1" w:themeFill="accent3" w:themeFillTint="66"/>
            <w:noWrap/>
            <w:vAlign w:val="bottom"/>
            <w:hideMark/>
          </w:tcPr>
          <w:p w14:paraId="26ABCE49"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366,285</w:t>
            </w:r>
          </w:p>
        </w:tc>
        <w:tc>
          <w:tcPr>
            <w:tcW w:w="0" w:type="auto"/>
            <w:tcBorders>
              <w:top w:val="single" w:sz="4" w:space="0" w:color="auto"/>
              <w:left w:val="nil"/>
              <w:bottom w:val="single" w:sz="4" w:space="0" w:color="auto"/>
              <w:right w:val="single" w:sz="4" w:space="0" w:color="auto"/>
            </w:tcBorders>
            <w:shd w:val="clear" w:color="auto" w:fill="DFEFE1" w:themeFill="accent3" w:themeFillTint="66"/>
            <w:noWrap/>
            <w:vAlign w:val="bottom"/>
            <w:hideMark/>
          </w:tcPr>
          <w:p w14:paraId="26ABCE4A"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single" w:sz="4" w:space="0" w:color="auto"/>
              <w:left w:val="nil"/>
              <w:bottom w:val="single" w:sz="4" w:space="0" w:color="auto"/>
              <w:right w:val="single" w:sz="8" w:space="0" w:color="auto"/>
            </w:tcBorders>
            <w:shd w:val="clear" w:color="auto" w:fill="DFEFE1" w:themeFill="accent3" w:themeFillTint="66"/>
            <w:noWrap/>
            <w:vAlign w:val="bottom"/>
            <w:hideMark/>
          </w:tcPr>
          <w:p w14:paraId="26ABCE4B"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16,634</w:t>
            </w:r>
          </w:p>
        </w:tc>
      </w:tr>
      <w:tr w:rsidR="00A12F9B" w:rsidRPr="00CE60B2" w14:paraId="26ABCE5F" w14:textId="77777777" w:rsidTr="00A12F9B">
        <w:trPr>
          <w:trHeight w:val="276"/>
        </w:trPr>
        <w:tc>
          <w:tcPr>
            <w:tcW w:w="0" w:type="auto"/>
            <w:tcBorders>
              <w:top w:val="nil"/>
              <w:left w:val="single" w:sz="4" w:space="0" w:color="auto"/>
              <w:bottom w:val="single" w:sz="4" w:space="0" w:color="auto"/>
              <w:right w:val="nil"/>
            </w:tcBorders>
            <w:shd w:val="clear" w:color="auto" w:fill="DFEFE1" w:themeFill="accent3" w:themeFillTint="66"/>
            <w:noWrap/>
            <w:vAlign w:val="bottom"/>
            <w:hideMark/>
          </w:tcPr>
          <w:p w14:paraId="26ABCE4D"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GRAND TOTAL</w:t>
            </w:r>
          </w:p>
        </w:tc>
        <w:tc>
          <w:tcPr>
            <w:tcW w:w="0" w:type="auto"/>
            <w:tcBorders>
              <w:top w:val="nil"/>
              <w:left w:val="single" w:sz="4" w:space="0" w:color="auto"/>
              <w:bottom w:val="single" w:sz="4" w:space="0" w:color="auto"/>
              <w:right w:val="single" w:sz="8" w:space="0" w:color="auto"/>
            </w:tcBorders>
            <w:shd w:val="clear" w:color="auto" w:fill="DFEFE1" w:themeFill="accent3" w:themeFillTint="66"/>
            <w:noWrap/>
            <w:vAlign w:val="bottom"/>
            <w:hideMark/>
          </w:tcPr>
          <w:p w14:paraId="26ABCE4E"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4,156,750</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4F"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2,633,505</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0"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1,047,199</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1"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8" w:space="0" w:color="auto"/>
              <w:right w:val="single" w:sz="8" w:space="0" w:color="auto"/>
            </w:tcBorders>
            <w:shd w:val="clear" w:color="auto" w:fill="DFEFE1" w:themeFill="accent3" w:themeFillTint="66"/>
            <w:noWrap/>
            <w:vAlign w:val="bottom"/>
            <w:hideMark/>
          </w:tcPr>
          <w:p w14:paraId="26ABCE52"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121,898</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3"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2,313,630</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4"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1,250,606</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5"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8" w:space="0" w:color="auto"/>
              <w:right w:val="single" w:sz="8" w:space="0" w:color="auto"/>
            </w:tcBorders>
            <w:shd w:val="clear" w:color="auto" w:fill="DFEFE1" w:themeFill="accent3" w:themeFillTint="66"/>
            <w:noWrap/>
            <w:vAlign w:val="bottom"/>
            <w:hideMark/>
          </w:tcPr>
          <w:p w14:paraId="26ABCE56"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112,809</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7"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2,343,600</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8"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1,291,774</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9"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8" w:space="0" w:color="auto"/>
              <w:right w:val="single" w:sz="8" w:space="0" w:color="auto"/>
            </w:tcBorders>
            <w:shd w:val="clear" w:color="auto" w:fill="DFEFE1" w:themeFill="accent3" w:themeFillTint="66"/>
            <w:noWrap/>
            <w:vAlign w:val="bottom"/>
            <w:hideMark/>
          </w:tcPr>
          <w:p w14:paraId="26ABCE5A"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160,100</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B"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2,510,050</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C"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1,288,539</w:t>
            </w:r>
          </w:p>
        </w:tc>
        <w:tc>
          <w:tcPr>
            <w:tcW w:w="0" w:type="auto"/>
            <w:tcBorders>
              <w:top w:val="nil"/>
              <w:left w:val="nil"/>
              <w:bottom w:val="single" w:sz="8" w:space="0" w:color="auto"/>
              <w:right w:val="single" w:sz="4" w:space="0" w:color="auto"/>
            </w:tcBorders>
            <w:shd w:val="clear" w:color="auto" w:fill="DFEFE1" w:themeFill="accent3" w:themeFillTint="66"/>
            <w:noWrap/>
            <w:vAlign w:val="bottom"/>
            <w:hideMark/>
          </w:tcPr>
          <w:p w14:paraId="26ABCE5D" w14:textId="77777777" w:rsidR="00A12F9B" w:rsidRPr="00CE60B2" w:rsidRDefault="00A12F9B" w:rsidP="00A12F9B">
            <w:pPr>
              <w:spacing w:before="0" w:after="0"/>
              <w:rPr>
                <w:rFonts w:eastAsia="Times New Roman" w:cs="Segoe UI"/>
                <w:b/>
                <w:bCs/>
                <w:sz w:val="14"/>
                <w:szCs w:val="14"/>
                <w:lang w:eastAsia="en-AU"/>
              </w:rPr>
            </w:pPr>
            <w:r w:rsidRPr="00CE60B2">
              <w:rPr>
                <w:rFonts w:eastAsia="Times New Roman" w:cs="Segoe UI"/>
                <w:b/>
                <w:bCs/>
                <w:sz w:val="14"/>
                <w:szCs w:val="14"/>
                <w:lang w:eastAsia="en-AU"/>
              </w:rPr>
              <w:t> </w:t>
            </w:r>
          </w:p>
        </w:tc>
        <w:tc>
          <w:tcPr>
            <w:tcW w:w="0" w:type="auto"/>
            <w:tcBorders>
              <w:top w:val="nil"/>
              <w:left w:val="nil"/>
              <w:bottom w:val="single" w:sz="8" w:space="0" w:color="auto"/>
              <w:right w:val="single" w:sz="8" w:space="0" w:color="auto"/>
            </w:tcBorders>
            <w:shd w:val="clear" w:color="auto" w:fill="DFEFE1" w:themeFill="accent3" w:themeFillTint="66"/>
            <w:noWrap/>
            <w:vAlign w:val="bottom"/>
            <w:hideMark/>
          </w:tcPr>
          <w:p w14:paraId="26ABCE5E" w14:textId="77777777" w:rsidR="00A12F9B" w:rsidRPr="00CE60B2" w:rsidRDefault="00A12F9B" w:rsidP="00A12F9B">
            <w:pPr>
              <w:spacing w:before="0" w:after="0"/>
              <w:jc w:val="right"/>
              <w:rPr>
                <w:rFonts w:eastAsia="Times New Roman" w:cs="Segoe UI"/>
                <w:b/>
                <w:bCs/>
                <w:sz w:val="14"/>
                <w:szCs w:val="14"/>
                <w:lang w:eastAsia="en-AU"/>
              </w:rPr>
            </w:pPr>
            <w:r w:rsidRPr="00CE60B2">
              <w:rPr>
                <w:rFonts w:eastAsia="Times New Roman" w:cs="Segoe UI"/>
                <w:b/>
                <w:bCs/>
                <w:sz w:val="14"/>
                <w:szCs w:val="14"/>
                <w:lang w:eastAsia="en-AU"/>
              </w:rPr>
              <w:t>160,300</w:t>
            </w:r>
          </w:p>
        </w:tc>
      </w:tr>
    </w:tbl>
    <w:p w14:paraId="26ABCE60" w14:textId="77777777" w:rsidR="00A12F9B" w:rsidRPr="00CE60B2" w:rsidRDefault="00A12F9B" w:rsidP="00A12F9B">
      <w:pPr>
        <w:spacing w:before="0"/>
        <w:rPr>
          <w:rFonts w:cs="Segoe UI"/>
          <w:b/>
        </w:rPr>
      </w:pPr>
    </w:p>
    <w:tbl>
      <w:tblPr>
        <w:tblW w:w="9360" w:type="dxa"/>
        <w:tblLook w:val="04A0" w:firstRow="1" w:lastRow="0" w:firstColumn="1" w:lastColumn="0" w:noHBand="0" w:noVBand="1"/>
      </w:tblPr>
      <w:tblGrid>
        <w:gridCol w:w="9360"/>
      </w:tblGrid>
      <w:tr w:rsidR="00A12F9B" w:rsidRPr="00CE60B2" w14:paraId="26ABCE62" w14:textId="77777777" w:rsidTr="00A12F9B">
        <w:trPr>
          <w:trHeight w:val="288"/>
        </w:trPr>
        <w:tc>
          <w:tcPr>
            <w:tcW w:w="9360" w:type="dxa"/>
            <w:tcBorders>
              <w:top w:val="nil"/>
              <w:left w:val="nil"/>
              <w:bottom w:val="nil"/>
              <w:right w:val="nil"/>
            </w:tcBorders>
            <w:shd w:val="clear" w:color="auto" w:fill="auto"/>
            <w:noWrap/>
            <w:vAlign w:val="bottom"/>
            <w:hideMark/>
          </w:tcPr>
          <w:p w14:paraId="26ABCE61" w14:textId="77777777" w:rsidR="00A12F9B" w:rsidRPr="00CE60B2" w:rsidRDefault="00A12F9B" w:rsidP="00A12F9B">
            <w:pPr>
              <w:spacing w:before="0" w:after="0"/>
              <w:rPr>
                <w:rFonts w:cs="Segoe UI"/>
                <w:sz w:val="16"/>
                <w:szCs w:val="16"/>
                <w:lang w:eastAsia="en-AU"/>
              </w:rPr>
            </w:pPr>
            <w:r w:rsidRPr="00CE60B2">
              <w:rPr>
                <w:rFonts w:cs="Segoe UI"/>
                <w:sz w:val="16"/>
                <w:szCs w:val="16"/>
                <w:lang w:eastAsia="en-AU"/>
              </w:rPr>
              <w:t>* Rare ecosystem with 100% reservation target of current area</w:t>
            </w:r>
          </w:p>
        </w:tc>
      </w:tr>
      <w:tr w:rsidR="00A12F9B" w:rsidRPr="00CE60B2" w14:paraId="26ABCE64" w14:textId="77777777" w:rsidTr="00A12F9B">
        <w:trPr>
          <w:trHeight w:val="288"/>
        </w:trPr>
        <w:tc>
          <w:tcPr>
            <w:tcW w:w="9360" w:type="dxa"/>
            <w:tcBorders>
              <w:top w:val="nil"/>
              <w:left w:val="nil"/>
              <w:bottom w:val="nil"/>
              <w:right w:val="nil"/>
            </w:tcBorders>
            <w:shd w:val="clear" w:color="auto" w:fill="auto"/>
            <w:noWrap/>
            <w:vAlign w:val="bottom"/>
            <w:hideMark/>
          </w:tcPr>
          <w:p w14:paraId="26ABCE63" w14:textId="77777777" w:rsidR="00A12F9B" w:rsidRPr="00CE60B2" w:rsidRDefault="00A12F9B" w:rsidP="00A12F9B">
            <w:pPr>
              <w:spacing w:before="0" w:after="0"/>
              <w:rPr>
                <w:rFonts w:cs="Segoe UI"/>
                <w:sz w:val="16"/>
                <w:szCs w:val="16"/>
                <w:lang w:eastAsia="en-AU"/>
              </w:rPr>
            </w:pPr>
            <w:r w:rsidRPr="00CE60B2">
              <w:rPr>
                <w:rFonts w:cs="Segoe UI"/>
                <w:sz w:val="16"/>
                <w:szCs w:val="16"/>
                <w:lang w:eastAsia="en-AU"/>
              </w:rPr>
              <w:t>** No current estimate of ecosystems on private land was available to contribute to a "total present area". The estimate produced for the WA RFA was out-dated.</w:t>
            </w:r>
          </w:p>
        </w:tc>
      </w:tr>
      <w:tr w:rsidR="00A12F9B" w:rsidRPr="00CE60B2" w14:paraId="26ABCE66" w14:textId="77777777" w:rsidTr="00A12F9B">
        <w:trPr>
          <w:trHeight w:val="288"/>
        </w:trPr>
        <w:tc>
          <w:tcPr>
            <w:tcW w:w="9360" w:type="dxa"/>
            <w:tcBorders>
              <w:top w:val="nil"/>
              <w:left w:val="nil"/>
              <w:bottom w:val="nil"/>
              <w:right w:val="nil"/>
            </w:tcBorders>
            <w:shd w:val="clear" w:color="auto" w:fill="auto"/>
            <w:noWrap/>
            <w:vAlign w:val="bottom"/>
            <w:hideMark/>
          </w:tcPr>
          <w:p w14:paraId="26ABCE65" w14:textId="77777777" w:rsidR="00A12F9B" w:rsidRPr="00CE60B2" w:rsidRDefault="00A12F9B" w:rsidP="00A12F9B">
            <w:pPr>
              <w:spacing w:before="0" w:after="0"/>
              <w:rPr>
                <w:rFonts w:cs="Segoe UI"/>
                <w:sz w:val="16"/>
                <w:szCs w:val="16"/>
                <w:lang w:eastAsia="en-AU"/>
              </w:rPr>
            </w:pPr>
            <w:r w:rsidRPr="00CE60B2">
              <w:rPr>
                <w:rFonts w:cs="Segoe UI"/>
                <w:sz w:val="16"/>
                <w:szCs w:val="16"/>
                <w:lang w:eastAsia="en-AU"/>
              </w:rPr>
              <w:t>*** Sum of area on private and public land. Ecosystems on private land derived from historic forest types.</w:t>
            </w:r>
          </w:p>
        </w:tc>
      </w:tr>
      <w:tr w:rsidR="00A12F9B" w:rsidRPr="00CE60B2" w14:paraId="26ABCE68" w14:textId="77777777" w:rsidTr="00A12F9B">
        <w:trPr>
          <w:trHeight w:val="288"/>
        </w:trPr>
        <w:tc>
          <w:tcPr>
            <w:tcW w:w="9360" w:type="dxa"/>
            <w:tcBorders>
              <w:top w:val="nil"/>
              <w:left w:val="nil"/>
              <w:bottom w:val="nil"/>
              <w:right w:val="nil"/>
            </w:tcBorders>
            <w:shd w:val="clear" w:color="auto" w:fill="auto"/>
            <w:noWrap/>
            <w:vAlign w:val="bottom"/>
            <w:hideMark/>
          </w:tcPr>
          <w:p w14:paraId="26ABCE67" w14:textId="77777777" w:rsidR="00A12F9B" w:rsidRPr="00CE60B2" w:rsidRDefault="00A12F9B" w:rsidP="00A12F9B">
            <w:pPr>
              <w:spacing w:before="0" w:after="0"/>
              <w:rPr>
                <w:rFonts w:cs="Segoe UI"/>
                <w:sz w:val="16"/>
                <w:szCs w:val="16"/>
                <w:lang w:eastAsia="en-AU"/>
              </w:rPr>
            </w:pPr>
            <w:r w:rsidRPr="00CE60B2">
              <w:rPr>
                <w:rFonts w:cs="Segoe UI"/>
                <w:sz w:val="16"/>
                <w:szCs w:val="16"/>
                <w:lang w:eastAsia="en-AU"/>
              </w:rPr>
              <w:t>~ Vegetation, the majority of which occurs outside the RFA region, water, exotics, cleared and unclassified land.</w:t>
            </w:r>
          </w:p>
        </w:tc>
      </w:tr>
      <w:tr w:rsidR="00A12F9B" w:rsidRPr="00CE60B2" w14:paraId="26ABCE6A" w14:textId="77777777" w:rsidTr="00A12F9B">
        <w:trPr>
          <w:trHeight w:val="288"/>
        </w:trPr>
        <w:tc>
          <w:tcPr>
            <w:tcW w:w="9360" w:type="dxa"/>
            <w:tcBorders>
              <w:top w:val="nil"/>
              <w:left w:val="nil"/>
              <w:bottom w:val="nil"/>
              <w:right w:val="nil"/>
            </w:tcBorders>
            <w:shd w:val="clear" w:color="auto" w:fill="auto"/>
            <w:noWrap/>
            <w:vAlign w:val="bottom"/>
            <w:hideMark/>
          </w:tcPr>
          <w:p w14:paraId="26ABCE69" w14:textId="77777777" w:rsidR="00A12F9B" w:rsidRPr="00CE60B2" w:rsidRDefault="00A12F9B" w:rsidP="00A12F9B">
            <w:pPr>
              <w:spacing w:before="0" w:after="0"/>
              <w:rPr>
                <w:rFonts w:cs="Segoe UI"/>
                <w:sz w:val="16"/>
                <w:szCs w:val="16"/>
                <w:lang w:eastAsia="en-AU"/>
              </w:rPr>
            </w:pPr>
            <w:r w:rsidRPr="00CE60B2">
              <w:rPr>
                <w:rFonts w:cs="Segoe UI"/>
                <w:sz w:val="16"/>
                <w:szCs w:val="16"/>
                <w:lang w:eastAsia="en-AU"/>
              </w:rPr>
              <w:t>" Identification of the Whicher Scarp ecosystem has reduced the extent of the Jarrah Blackwood</w:t>
            </w:r>
          </w:p>
        </w:tc>
      </w:tr>
      <w:tr w:rsidR="00A12F9B" w:rsidRPr="00CE60B2" w14:paraId="26ABCE6C" w14:textId="77777777" w:rsidTr="00A12F9B">
        <w:trPr>
          <w:trHeight w:val="288"/>
        </w:trPr>
        <w:tc>
          <w:tcPr>
            <w:tcW w:w="9360" w:type="dxa"/>
            <w:tcBorders>
              <w:top w:val="nil"/>
              <w:left w:val="nil"/>
              <w:bottom w:val="nil"/>
              <w:right w:val="nil"/>
            </w:tcBorders>
            <w:shd w:val="clear" w:color="auto" w:fill="auto"/>
            <w:noWrap/>
            <w:vAlign w:val="bottom"/>
            <w:hideMark/>
          </w:tcPr>
          <w:p w14:paraId="26ABCE6B" w14:textId="77777777" w:rsidR="00A12F9B" w:rsidRPr="00CE60B2" w:rsidRDefault="00A12F9B" w:rsidP="00A12F9B">
            <w:pPr>
              <w:spacing w:before="0" w:after="0"/>
              <w:rPr>
                <w:rFonts w:cs="Segoe UI"/>
                <w:sz w:val="16"/>
                <w:szCs w:val="16"/>
                <w:lang w:eastAsia="en-AU"/>
              </w:rPr>
            </w:pPr>
            <w:r w:rsidRPr="00CE60B2">
              <w:rPr>
                <w:rFonts w:cs="Segoe UI"/>
                <w:sz w:val="16"/>
                <w:szCs w:val="16"/>
                <w:lang w:eastAsia="en-AU"/>
              </w:rPr>
              <w:t>` Darling Scarp includes both jarrah and wandoo forest types</w:t>
            </w:r>
          </w:p>
        </w:tc>
      </w:tr>
    </w:tbl>
    <w:p w14:paraId="26ABCE6D" w14:textId="77777777" w:rsidR="00A12F9B" w:rsidRPr="00CE60B2" w:rsidRDefault="00A12F9B" w:rsidP="00A12F9B">
      <w:pPr>
        <w:spacing w:before="0"/>
        <w:rPr>
          <w:rFonts w:eastAsia="Times New Roman" w:cs="Segoe UI"/>
          <w:bCs/>
          <w:color w:val="000000"/>
          <w:sz w:val="20"/>
          <w:szCs w:val="20"/>
          <w:lang w:eastAsia="en-AU"/>
        </w:rPr>
        <w:sectPr w:rsidR="00A12F9B" w:rsidRPr="00CE60B2" w:rsidSect="00A12F9B">
          <w:pgSz w:w="16838" w:h="11906" w:orient="landscape" w:code="9"/>
          <w:pgMar w:top="1418" w:right="1418" w:bottom="1134" w:left="1418" w:header="737" w:footer="680" w:gutter="0"/>
          <w:cols w:space="708"/>
          <w:docGrid w:linePitch="360"/>
        </w:sectPr>
      </w:pPr>
    </w:p>
    <w:p w14:paraId="26ABCE6E" w14:textId="77777777" w:rsidR="00AF064B" w:rsidRPr="00CE60B2" w:rsidRDefault="00DB510B" w:rsidP="008A4979">
      <w:pPr>
        <w:pStyle w:val="Heading3"/>
        <w:rPr>
          <w:lang w:eastAsia="en-AU"/>
        </w:rPr>
      </w:pPr>
      <w:bookmarkStart w:id="69" w:name="_Toc524952794"/>
      <w:bookmarkStart w:id="70" w:name="_Toc2776038"/>
      <w:r w:rsidRPr="00CE60B2">
        <w:lastRenderedPageBreak/>
        <w:t xml:space="preserve">Indicator </w:t>
      </w:r>
      <w:r w:rsidR="00AF064B" w:rsidRPr="00CE60B2">
        <w:rPr>
          <w:lang w:eastAsia="en-AU"/>
        </w:rPr>
        <w:t>1.2a</w:t>
      </w:r>
      <w:r w:rsidR="00AF064B" w:rsidRPr="00CE60B2">
        <w:rPr>
          <w:lang w:eastAsia="en-AU"/>
        </w:rPr>
        <w:tab/>
        <w:t>Forest dwelling species for which ecological information is available</w:t>
      </w:r>
      <w:bookmarkEnd w:id="69"/>
      <w:bookmarkEnd w:id="70"/>
    </w:p>
    <w:p w14:paraId="26ABCE6F" w14:textId="77777777" w:rsidR="00A12F9B" w:rsidRPr="00CE60B2" w:rsidRDefault="00A12F9B" w:rsidP="00A12F9B">
      <w:pPr>
        <w:autoSpaceDE w:val="0"/>
        <w:autoSpaceDN w:val="0"/>
        <w:adjustRightInd w:val="0"/>
        <w:spacing w:before="0" w:after="0"/>
        <w:rPr>
          <w:rFonts w:cs="Segoe UI"/>
          <w:lang w:eastAsia="en-AU"/>
        </w:rPr>
      </w:pPr>
      <w:bookmarkStart w:id="71" w:name="_Toc524952795"/>
      <w:r w:rsidRPr="00CE60B2">
        <w:rPr>
          <w:rFonts w:cs="Segoe UI"/>
          <w:lang w:eastAsia="en-AU"/>
        </w:rPr>
        <w:t>This indicator reports the level of information available to manage forest dwelling species and tracks changes in this knowledge over time. The amount of habitat, disturbance and life history information available to make management decisions indicates the capacity to assess risk to species and to implement conservation strategies.</w:t>
      </w:r>
    </w:p>
    <w:p w14:paraId="26ABCE70" w14:textId="77777777" w:rsidR="00A12F9B" w:rsidRPr="00CE60B2" w:rsidRDefault="00A12F9B" w:rsidP="00A12F9B">
      <w:pPr>
        <w:rPr>
          <w:rFonts w:cs="Segoe UI"/>
          <w:lang w:eastAsia="en-AU"/>
        </w:rPr>
      </w:pPr>
      <w:r w:rsidRPr="00CE60B2">
        <w:rPr>
          <w:rFonts w:cs="Segoe UI"/>
          <w:lang w:eastAsia="en-AU"/>
        </w:rPr>
        <w:t xml:space="preserve">The national </w:t>
      </w:r>
      <w:r w:rsidR="007254A8">
        <w:rPr>
          <w:rFonts w:cs="Segoe UI"/>
          <w:lang w:eastAsia="en-AU"/>
        </w:rPr>
        <w:t>SOFR</w:t>
      </w:r>
      <w:r w:rsidRPr="00CE60B2">
        <w:rPr>
          <w:rFonts w:cs="Segoe UI"/>
          <w:lang w:eastAsia="en-AU"/>
        </w:rPr>
        <w:t xml:space="preserve"> provides information on forest dwelling and forest dependent species on a five-yearly basis. Prior to the </w:t>
      </w:r>
      <w:r w:rsidR="00F54F1B">
        <w:rPr>
          <w:rFonts w:cs="Segoe UI"/>
          <w:lang w:eastAsia="en-AU"/>
        </w:rPr>
        <w:t>SOFR 2013</w:t>
      </w:r>
      <w:r w:rsidRPr="00CE60B2">
        <w:rPr>
          <w:rFonts w:cs="Segoe UI"/>
          <w:lang w:eastAsia="en-AU"/>
        </w:rPr>
        <w:t xml:space="preserve"> data was compiled for the area of south-west Western Australia covered by the RFA. Subsequent reports from 2013 onwards incorporate data for the entire state including woodlands and forests in the semi-arid and northern savanna regions of the state, resulting in a substantial increase in the numbers for some taxonomic groups. Data reported here refer to the RFA region only.</w:t>
      </w:r>
    </w:p>
    <w:p w14:paraId="26ABCE71" w14:textId="77777777" w:rsidR="00A12F9B" w:rsidRPr="00CE60B2" w:rsidRDefault="00A12F9B" w:rsidP="00A12F9B">
      <w:pPr>
        <w:rPr>
          <w:rFonts w:cs="Segoe UI"/>
          <w:lang w:eastAsia="en-AU"/>
        </w:rPr>
      </w:pPr>
      <w:r w:rsidRPr="00CE60B2">
        <w:rPr>
          <w:rFonts w:cs="Segoe UI"/>
          <w:lang w:eastAsia="en-AU"/>
        </w:rPr>
        <w:t xml:space="preserve">While the taxonomy and distribution of vertebrate fauna is generally well established, some changes in the number of species reported for the RFA region are to be expected in the future </w:t>
      </w:r>
      <w:bookmarkStart w:id="72" w:name="_Hlk525293927"/>
      <w:r w:rsidRPr="00CE60B2">
        <w:rPr>
          <w:rFonts w:cs="Segoe UI"/>
          <w:lang w:eastAsia="en-AU"/>
        </w:rPr>
        <w:t xml:space="preserve">as a result of further survey, taxonomic revision </w:t>
      </w:r>
      <w:bookmarkEnd w:id="72"/>
      <w:r w:rsidRPr="00CE60B2">
        <w:rPr>
          <w:rFonts w:cs="Segoe UI"/>
          <w:lang w:eastAsia="en-AU"/>
        </w:rPr>
        <w:t>and possibly the movement of more mobile species in response to changing climate and habitat availability. Similarly, the number of vascular plant species is likely to increase as a result of further survey, taxonomic revision and occas</w:t>
      </w:r>
      <w:r w:rsidR="00FF0D54">
        <w:rPr>
          <w:rFonts w:cs="Segoe UI"/>
          <w:lang w:eastAsia="en-AU"/>
        </w:rPr>
        <w:t>ional discovery of new species.</w:t>
      </w:r>
    </w:p>
    <w:p w14:paraId="26ABCE72" w14:textId="67EA4D9A" w:rsidR="007A3BF4" w:rsidRDefault="007A3BF4" w:rsidP="007A3BF4">
      <w:pPr>
        <w:pStyle w:val="Caption"/>
        <w:keepNext/>
      </w:pPr>
      <w:bookmarkStart w:id="73" w:name="_Toc531002171"/>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10</w:t>
      </w:r>
      <w:r w:rsidR="005C10D4">
        <w:rPr>
          <w:noProof/>
        </w:rPr>
        <w:fldChar w:fldCharType="end"/>
      </w:r>
      <w:r>
        <w:t xml:space="preserve">: </w:t>
      </w:r>
      <w:r w:rsidRPr="00E744B6">
        <w:t>Number of forest-dwelling vertebrate species</w:t>
      </w:r>
      <w:r w:rsidRPr="00CE60B2">
        <w:rPr>
          <w:rFonts w:cs="Segoe UI"/>
          <w:b/>
          <w:vertAlign w:val="superscript"/>
          <w:lang w:eastAsia="en-AU"/>
        </w:rPr>
        <w:t>1</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49"/>
        <w:gridCol w:w="2256"/>
        <w:gridCol w:w="2955"/>
      </w:tblGrid>
      <w:tr w:rsidR="00A12F9B" w:rsidRPr="00CE60B2" w14:paraId="26ABCE76" w14:textId="77777777" w:rsidTr="00A12F9B">
        <w:trPr>
          <w:cantSplit/>
          <w:tblHeader/>
        </w:trPr>
        <w:tc>
          <w:tcPr>
            <w:tcW w:w="2124" w:type="pct"/>
            <w:shd w:val="clear" w:color="auto" w:fill="DFEFE1" w:themeFill="accent3" w:themeFillTint="66"/>
          </w:tcPr>
          <w:p w14:paraId="26ABCE73" w14:textId="77777777" w:rsidR="00A12F9B" w:rsidRPr="00CE60B2" w:rsidRDefault="00A12F9B" w:rsidP="00A12F9B">
            <w:pPr>
              <w:rPr>
                <w:rFonts w:cs="Segoe UI"/>
                <w:b/>
                <w:vertAlign w:val="superscript"/>
                <w:lang w:eastAsia="en-AU"/>
              </w:rPr>
            </w:pPr>
            <w:r w:rsidRPr="00CE60B2">
              <w:rPr>
                <w:rFonts w:cs="Segoe UI"/>
                <w:b/>
                <w:lang w:eastAsia="en-AU"/>
              </w:rPr>
              <w:t xml:space="preserve">Taxonomic group </w:t>
            </w:r>
            <w:r w:rsidRPr="00CE60B2">
              <w:rPr>
                <w:rFonts w:cs="Segoe UI"/>
                <w:b/>
                <w:vertAlign w:val="superscript"/>
                <w:lang w:eastAsia="en-AU"/>
              </w:rPr>
              <w:t>2</w:t>
            </w:r>
          </w:p>
        </w:tc>
        <w:tc>
          <w:tcPr>
            <w:tcW w:w="1245" w:type="pct"/>
            <w:shd w:val="clear" w:color="auto" w:fill="DFEFE1" w:themeFill="accent3" w:themeFillTint="66"/>
          </w:tcPr>
          <w:p w14:paraId="26ABCE74" w14:textId="77777777" w:rsidR="00A12F9B" w:rsidRPr="00CE60B2" w:rsidRDefault="00A12F9B" w:rsidP="00A12F9B">
            <w:pPr>
              <w:rPr>
                <w:rFonts w:cs="Segoe UI"/>
                <w:b/>
                <w:lang w:eastAsia="en-AU"/>
              </w:rPr>
            </w:pPr>
            <w:r w:rsidRPr="00CE60B2">
              <w:rPr>
                <w:rFonts w:cs="Segoe UI"/>
                <w:b/>
                <w:lang w:eastAsia="en-AU"/>
              </w:rPr>
              <w:t>WA RFA region</w:t>
            </w:r>
          </w:p>
        </w:tc>
        <w:tc>
          <w:tcPr>
            <w:tcW w:w="1631" w:type="pct"/>
            <w:shd w:val="clear" w:color="auto" w:fill="DFEFE1" w:themeFill="accent3" w:themeFillTint="66"/>
          </w:tcPr>
          <w:p w14:paraId="26ABCE75" w14:textId="77777777" w:rsidR="00A12F9B" w:rsidRPr="00CE60B2" w:rsidRDefault="00A12F9B" w:rsidP="00A12F9B">
            <w:pPr>
              <w:rPr>
                <w:rFonts w:cs="Segoe UI"/>
                <w:b/>
                <w:vertAlign w:val="superscript"/>
                <w:lang w:eastAsia="en-AU"/>
              </w:rPr>
            </w:pPr>
            <w:r w:rsidRPr="00CE60B2">
              <w:rPr>
                <w:rFonts w:cs="Segoe UI"/>
                <w:b/>
                <w:lang w:eastAsia="en-AU"/>
              </w:rPr>
              <w:t xml:space="preserve">Australia </w:t>
            </w:r>
            <w:r w:rsidRPr="00CE60B2">
              <w:rPr>
                <w:rFonts w:cs="Segoe UI"/>
                <w:b/>
                <w:vertAlign w:val="superscript"/>
                <w:lang w:eastAsia="en-AU"/>
              </w:rPr>
              <w:t>3</w:t>
            </w:r>
          </w:p>
        </w:tc>
      </w:tr>
      <w:tr w:rsidR="00A12F9B" w:rsidRPr="00CE60B2" w14:paraId="26ABCE7A" w14:textId="77777777" w:rsidTr="00A12F9B">
        <w:trPr>
          <w:cantSplit/>
        </w:trPr>
        <w:tc>
          <w:tcPr>
            <w:tcW w:w="2124" w:type="pct"/>
            <w:shd w:val="clear" w:color="auto" w:fill="auto"/>
          </w:tcPr>
          <w:p w14:paraId="26ABCE77" w14:textId="77777777" w:rsidR="00A12F9B" w:rsidRPr="00CE60B2" w:rsidRDefault="00A12F9B" w:rsidP="00A12F9B">
            <w:pPr>
              <w:rPr>
                <w:rFonts w:cs="Segoe UI"/>
                <w:lang w:eastAsia="en-AU"/>
              </w:rPr>
            </w:pPr>
            <w:r w:rsidRPr="00CE60B2">
              <w:rPr>
                <w:rFonts w:cs="Segoe UI"/>
                <w:lang w:eastAsia="en-AU"/>
              </w:rPr>
              <w:t>Fish</w:t>
            </w:r>
          </w:p>
        </w:tc>
        <w:tc>
          <w:tcPr>
            <w:tcW w:w="1245" w:type="pct"/>
            <w:shd w:val="clear" w:color="auto" w:fill="auto"/>
          </w:tcPr>
          <w:p w14:paraId="26ABCE78" w14:textId="77777777" w:rsidR="00A12F9B" w:rsidRPr="00CE60B2" w:rsidRDefault="00A12F9B" w:rsidP="00A12F9B">
            <w:pPr>
              <w:rPr>
                <w:rFonts w:cs="Segoe UI"/>
                <w:lang w:eastAsia="en-AU"/>
              </w:rPr>
            </w:pPr>
            <w:r w:rsidRPr="00CE60B2">
              <w:rPr>
                <w:rFonts w:cs="Segoe UI"/>
                <w:lang w:eastAsia="en-AU"/>
              </w:rPr>
              <w:t>10</w:t>
            </w:r>
          </w:p>
        </w:tc>
        <w:tc>
          <w:tcPr>
            <w:tcW w:w="1631" w:type="pct"/>
            <w:shd w:val="clear" w:color="auto" w:fill="auto"/>
          </w:tcPr>
          <w:p w14:paraId="26ABCE79" w14:textId="77777777" w:rsidR="00A12F9B" w:rsidRPr="00CE60B2" w:rsidRDefault="00A12F9B" w:rsidP="00A12F9B">
            <w:pPr>
              <w:rPr>
                <w:rFonts w:cs="Segoe UI"/>
                <w:lang w:eastAsia="en-AU"/>
              </w:rPr>
            </w:pPr>
            <w:r w:rsidRPr="00CE60B2">
              <w:rPr>
                <w:rFonts w:cs="Segoe UI"/>
                <w:lang w:eastAsia="en-AU"/>
              </w:rPr>
              <w:t>459</w:t>
            </w:r>
          </w:p>
        </w:tc>
      </w:tr>
      <w:tr w:rsidR="00A12F9B" w:rsidRPr="00CE60B2" w14:paraId="26ABCE7E" w14:textId="77777777" w:rsidTr="00A12F9B">
        <w:trPr>
          <w:cantSplit/>
        </w:trPr>
        <w:tc>
          <w:tcPr>
            <w:tcW w:w="2124" w:type="pct"/>
            <w:shd w:val="clear" w:color="auto" w:fill="auto"/>
          </w:tcPr>
          <w:p w14:paraId="26ABCE7B" w14:textId="77777777" w:rsidR="00A12F9B" w:rsidRPr="00CE60B2" w:rsidRDefault="00A12F9B" w:rsidP="00A12F9B">
            <w:pPr>
              <w:rPr>
                <w:rFonts w:cs="Segoe UI"/>
                <w:lang w:eastAsia="en-AU"/>
              </w:rPr>
            </w:pPr>
            <w:r w:rsidRPr="00CE60B2">
              <w:rPr>
                <w:rFonts w:cs="Segoe UI"/>
                <w:lang w:eastAsia="en-AU"/>
              </w:rPr>
              <w:t>Amphibians</w:t>
            </w:r>
          </w:p>
        </w:tc>
        <w:tc>
          <w:tcPr>
            <w:tcW w:w="1245" w:type="pct"/>
            <w:shd w:val="clear" w:color="auto" w:fill="auto"/>
          </w:tcPr>
          <w:p w14:paraId="26ABCE7C" w14:textId="77777777" w:rsidR="00A12F9B" w:rsidRPr="00CE60B2" w:rsidRDefault="00A12F9B" w:rsidP="00A12F9B">
            <w:pPr>
              <w:rPr>
                <w:rFonts w:cs="Segoe UI"/>
                <w:lang w:eastAsia="en-AU"/>
              </w:rPr>
            </w:pPr>
            <w:r w:rsidRPr="00CE60B2">
              <w:rPr>
                <w:rFonts w:cs="Segoe UI"/>
                <w:lang w:eastAsia="en-AU"/>
              </w:rPr>
              <w:t>22</w:t>
            </w:r>
          </w:p>
        </w:tc>
        <w:tc>
          <w:tcPr>
            <w:tcW w:w="1631" w:type="pct"/>
            <w:shd w:val="clear" w:color="auto" w:fill="auto"/>
          </w:tcPr>
          <w:p w14:paraId="26ABCE7D" w14:textId="77777777" w:rsidR="00A12F9B" w:rsidRPr="00CE60B2" w:rsidRDefault="00A12F9B" w:rsidP="00A12F9B">
            <w:pPr>
              <w:rPr>
                <w:rFonts w:cs="Segoe UI"/>
                <w:lang w:eastAsia="en-AU"/>
              </w:rPr>
            </w:pPr>
            <w:r w:rsidRPr="00CE60B2">
              <w:rPr>
                <w:rFonts w:cs="Segoe UI"/>
                <w:lang w:eastAsia="en-AU"/>
              </w:rPr>
              <w:t>229</w:t>
            </w:r>
          </w:p>
        </w:tc>
      </w:tr>
      <w:tr w:rsidR="00A12F9B" w:rsidRPr="00CE60B2" w14:paraId="26ABCE82" w14:textId="77777777" w:rsidTr="00A12F9B">
        <w:trPr>
          <w:cantSplit/>
        </w:trPr>
        <w:tc>
          <w:tcPr>
            <w:tcW w:w="2124" w:type="pct"/>
            <w:shd w:val="clear" w:color="auto" w:fill="auto"/>
          </w:tcPr>
          <w:p w14:paraId="26ABCE7F" w14:textId="77777777" w:rsidR="00A12F9B" w:rsidRPr="00CE60B2" w:rsidRDefault="00A12F9B" w:rsidP="00A12F9B">
            <w:pPr>
              <w:rPr>
                <w:rFonts w:cs="Segoe UI"/>
                <w:lang w:eastAsia="en-AU"/>
              </w:rPr>
            </w:pPr>
            <w:r w:rsidRPr="00CE60B2">
              <w:rPr>
                <w:rFonts w:cs="Segoe UI"/>
                <w:lang w:eastAsia="en-AU"/>
              </w:rPr>
              <w:t>Reptiles</w:t>
            </w:r>
          </w:p>
        </w:tc>
        <w:tc>
          <w:tcPr>
            <w:tcW w:w="1245" w:type="pct"/>
            <w:shd w:val="clear" w:color="auto" w:fill="auto"/>
          </w:tcPr>
          <w:p w14:paraId="26ABCE80" w14:textId="77777777" w:rsidR="00A12F9B" w:rsidRPr="00CE60B2" w:rsidRDefault="00A12F9B" w:rsidP="00A12F9B">
            <w:pPr>
              <w:rPr>
                <w:rFonts w:cs="Segoe UI"/>
                <w:lang w:eastAsia="en-AU"/>
              </w:rPr>
            </w:pPr>
            <w:r w:rsidRPr="00CE60B2">
              <w:rPr>
                <w:rFonts w:cs="Segoe UI"/>
                <w:lang w:eastAsia="en-AU"/>
              </w:rPr>
              <w:t>59</w:t>
            </w:r>
          </w:p>
        </w:tc>
        <w:tc>
          <w:tcPr>
            <w:tcW w:w="1631" w:type="pct"/>
            <w:shd w:val="clear" w:color="auto" w:fill="auto"/>
          </w:tcPr>
          <w:p w14:paraId="26ABCE81" w14:textId="77777777" w:rsidR="00A12F9B" w:rsidRPr="00CE60B2" w:rsidRDefault="00A12F9B" w:rsidP="00A12F9B">
            <w:pPr>
              <w:rPr>
                <w:rFonts w:cs="Segoe UI"/>
                <w:lang w:eastAsia="en-AU"/>
              </w:rPr>
            </w:pPr>
            <w:r w:rsidRPr="00CE60B2">
              <w:rPr>
                <w:rFonts w:cs="Segoe UI"/>
                <w:lang w:eastAsia="en-AU"/>
              </w:rPr>
              <w:t>789</w:t>
            </w:r>
          </w:p>
        </w:tc>
      </w:tr>
      <w:tr w:rsidR="00A12F9B" w:rsidRPr="00CE60B2" w14:paraId="26ABCE86" w14:textId="77777777" w:rsidTr="00A12F9B">
        <w:trPr>
          <w:cantSplit/>
        </w:trPr>
        <w:tc>
          <w:tcPr>
            <w:tcW w:w="2124" w:type="pct"/>
            <w:shd w:val="clear" w:color="auto" w:fill="auto"/>
          </w:tcPr>
          <w:p w14:paraId="26ABCE83" w14:textId="77777777" w:rsidR="00A12F9B" w:rsidRPr="00CE60B2" w:rsidRDefault="00A12F9B" w:rsidP="00A12F9B">
            <w:pPr>
              <w:rPr>
                <w:rFonts w:cs="Segoe UI"/>
                <w:lang w:eastAsia="en-AU"/>
              </w:rPr>
            </w:pPr>
            <w:r w:rsidRPr="00CE60B2">
              <w:rPr>
                <w:rFonts w:cs="Segoe UI"/>
                <w:lang w:eastAsia="en-AU"/>
              </w:rPr>
              <w:t>Birds</w:t>
            </w:r>
          </w:p>
        </w:tc>
        <w:tc>
          <w:tcPr>
            <w:tcW w:w="1245" w:type="pct"/>
            <w:shd w:val="clear" w:color="auto" w:fill="auto"/>
          </w:tcPr>
          <w:p w14:paraId="26ABCE84" w14:textId="77777777" w:rsidR="00A12F9B" w:rsidRPr="00CE60B2" w:rsidRDefault="00A12F9B" w:rsidP="00A12F9B">
            <w:pPr>
              <w:rPr>
                <w:rFonts w:cs="Segoe UI"/>
                <w:lang w:eastAsia="en-AU"/>
              </w:rPr>
            </w:pPr>
            <w:r w:rsidRPr="00CE60B2">
              <w:rPr>
                <w:rFonts w:cs="Segoe UI"/>
                <w:lang w:eastAsia="en-AU"/>
              </w:rPr>
              <w:t>112</w:t>
            </w:r>
          </w:p>
        </w:tc>
        <w:tc>
          <w:tcPr>
            <w:tcW w:w="1631" w:type="pct"/>
            <w:shd w:val="clear" w:color="auto" w:fill="auto"/>
          </w:tcPr>
          <w:p w14:paraId="26ABCE85" w14:textId="77777777" w:rsidR="00A12F9B" w:rsidRPr="00CE60B2" w:rsidRDefault="00A12F9B" w:rsidP="00A12F9B">
            <w:pPr>
              <w:rPr>
                <w:rFonts w:cs="Segoe UI"/>
                <w:lang w:eastAsia="en-AU"/>
              </w:rPr>
            </w:pPr>
            <w:r w:rsidRPr="00CE60B2">
              <w:rPr>
                <w:rFonts w:cs="Segoe UI"/>
                <w:lang w:eastAsia="en-AU"/>
              </w:rPr>
              <w:t>668</w:t>
            </w:r>
          </w:p>
        </w:tc>
      </w:tr>
      <w:tr w:rsidR="00A12F9B" w:rsidRPr="00CE60B2" w14:paraId="26ABCE8A" w14:textId="77777777" w:rsidTr="00A12F9B">
        <w:trPr>
          <w:cantSplit/>
        </w:trPr>
        <w:tc>
          <w:tcPr>
            <w:tcW w:w="2124" w:type="pct"/>
            <w:shd w:val="clear" w:color="auto" w:fill="auto"/>
          </w:tcPr>
          <w:p w14:paraId="26ABCE87" w14:textId="77777777" w:rsidR="00A12F9B" w:rsidRPr="00CE60B2" w:rsidRDefault="00A12F9B" w:rsidP="00A12F9B">
            <w:pPr>
              <w:rPr>
                <w:rFonts w:cs="Segoe UI"/>
                <w:lang w:eastAsia="en-AU"/>
              </w:rPr>
            </w:pPr>
            <w:r w:rsidRPr="00CE60B2">
              <w:rPr>
                <w:rFonts w:cs="Segoe UI"/>
                <w:lang w:eastAsia="en-AU"/>
              </w:rPr>
              <w:t>Mammals</w:t>
            </w:r>
          </w:p>
        </w:tc>
        <w:tc>
          <w:tcPr>
            <w:tcW w:w="1245" w:type="pct"/>
            <w:shd w:val="clear" w:color="auto" w:fill="auto"/>
          </w:tcPr>
          <w:p w14:paraId="26ABCE88" w14:textId="77777777" w:rsidR="00A12F9B" w:rsidRPr="00CE60B2" w:rsidRDefault="00A12F9B" w:rsidP="00A12F9B">
            <w:pPr>
              <w:rPr>
                <w:rFonts w:cs="Segoe UI"/>
                <w:lang w:eastAsia="en-AU"/>
              </w:rPr>
            </w:pPr>
            <w:r w:rsidRPr="00CE60B2">
              <w:rPr>
                <w:rFonts w:cs="Segoe UI"/>
                <w:lang w:eastAsia="en-AU"/>
              </w:rPr>
              <w:t>31</w:t>
            </w:r>
          </w:p>
        </w:tc>
        <w:tc>
          <w:tcPr>
            <w:tcW w:w="1631" w:type="pct"/>
            <w:shd w:val="clear" w:color="auto" w:fill="auto"/>
          </w:tcPr>
          <w:p w14:paraId="26ABCE89" w14:textId="77777777" w:rsidR="00A12F9B" w:rsidRPr="00CE60B2" w:rsidRDefault="00A12F9B" w:rsidP="00A12F9B">
            <w:pPr>
              <w:rPr>
                <w:rFonts w:cs="Segoe UI"/>
                <w:lang w:eastAsia="en-AU"/>
              </w:rPr>
            </w:pPr>
            <w:r w:rsidRPr="00CE60B2">
              <w:rPr>
                <w:rFonts w:cs="Segoe UI"/>
                <w:lang w:eastAsia="en-AU"/>
              </w:rPr>
              <w:t>356</w:t>
            </w:r>
          </w:p>
        </w:tc>
      </w:tr>
      <w:tr w:rsidR="00A12F9B" w:rsidRPr="00CE60B2" w14:paraId="26ABCE8E" w14:textId="77777777" w:rsidTr="00A12F9B">
        <w:trPr>
          <w:cantSplit/>
        </w:trPr>
        <w:tc>
          <w:tcPr>
            <w:tcW w:w="2124" w:type="pct"/>
            <w:shd w:val="clear" w:color="auto" w:fill="auto"/>
          </w:tcPr>
          <w:p w14:paraId="26ABCE8B" w14:textId="77777777" w:rsidR="00A12F9B" w:rsidRPr="00CE60B2" w:rsidRDefault="00A12F9B" w:rsidP="00A12F9B">
            <w:pPr>
              <w:rPr>
                <w:rFonts w:cs="Segoe UI"/>
                <w:lang w:eastAsia="en-AU"/>
              </w:rPr>
            </w:pPr>
            <w:r w:rsidRPr="00CE60B2">
              <w:rPr>
                <w:rFonts w:cs="Segoe UI"/>
                <w:lang w:eastAsia="en-AU"/>
              </w:rPr>
              <w:t>Total</w:t>
            </w:r>
          </w:p>
        </w:tc>
        <w:tc>
          <w:tcPr>
            <w:tcW w:w="1245" w:type="pct"/>
            <w:shd w:val="clear" w:color="auto" w:fill="auto"/>
          </w:tcPr>
          <w:p w14:paraId="26ABCE8C" w14:textId="77777777" w:rsidR="00A12F9B" w:rsidRPr="00CE60B2" w:rsidRDefault="00A12F9B" w:rsidP="00A12F9B">
            <w:pPr>
              <w:rPr>
                <w:rFonts w:cs="Segoe UI"/>
                <w:lang w:eastAsia="en-AU"/>
              </w:rPr>
            </w:pPr>
            <w:r w:rsidRPr="00CE60B2">
              <w:rPr>
                <w:rFonts w:cs="Segoe UI"/>
                <w:lang w:eastAsia="en-AU"/>
              </w:rPr>
              <w:t>234</w:t>
            </w:r>
          </w:p>
        </w:tc>
        <w:tc>
          <w:tcPr>
            <w:tcW w:w="1631" w:type="pct"/>
            <w:shd w:val="clear" w:color="auto" w:fill="auto"/>
          </w:tcPr>
          <w:p w14:paraId="26ABCE8D" w14:textId="77777777" w:rsidR="00A12F9B" w:rsidRPr="00CE60B2" w:rsidRDefault="00A12F9B" w:rsidP="00A12F9B">
            <w:pPr>
              <w:rPr>
                <w:rFonts w:cs="Segoe UI"/>
                <w:lang w:eastAsia="en-AU"/>
              </w:rPr>
            </w:pPr>
            <w:r w:rsidRPr="00CE60B2">
              <w:rPr>
                <w:rFonts w:cs="Segoe UI"/>
                <w:lang w:eastAsia="en-AU"/>
              </w:rPr>
              <w:t>2501</w:t>
            </w:r>
          </w:p>
        </w:tc>
      </w:tr>
    </w:tbl>
    <w:p w14:paraId="26ABCE8F" w14:textId="21B004D4" w:rsidR="007A3BF4" w:rsidRDefault="007A3BF4" w:rsidP="007A3BF4">
      <w:pPr>
        <w:pStyle w:val="Caption"/>
        <w:keepNext/>
      </w:pPr>
      <w:bookmarkStart w:id="74" w:name="_Toc531002172"/>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11</w:t>
      </w:r>
      <w:r w:rsidR="005C10D4">
        <w:rPr>
          <w:noProof/>
        </w:rPr>
        <w:fldChar w:fldCharType="end"/>
      </w:r>
      <w:r>
        <w:t xml:space="preserve">: </w:t>
      </w:r>
      <w:r w:rsidRPr="001B5E00">
        <w:t>Number of forest-dwelling vertebrate species, by year</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31"/>
        <w:gridCol w:w="2274"/>
        <w:gridCol w:w="2955"/>
      </w:tblGrid>
      <w:tr w:rsidR="00A12F9B" w:rsidRPr="00CE60B2" w14:paraId="26ABCE93" w14:textId="77777777" w:rsidTr="00A12F9B">
        <w:trPr>
          <w:cantSplit/>
        </w:trPr>
        <w:tc>
          <w:tcPr>
            <w:tcW w:w="2114" w:type="pct"/>
            <w:shd w:val="clear" w:color="auto" w:fill="DFEFE1" w:themeFill="accent3" w:themeFillTint="66"/>
          </w:tcPr>
          <w:p w14:paraId="26ABCE90" w14:textId="77777777" w:rsidR="00A12F9B" w:rsidRPr="00CE60B2" w:rsidRDefault="00A12F9B" w:rsidP="00A12F9B">
            <w:pPr>
              <w:rPr>
                <w:rFonts w:cs="Segoe UI"/>
                <w:b/>
                <w:vertAlign w:val="superscript"/>
                <w:lang w:eastAsia="en-AU"/>
              </w:rPr>
            </w:pPr>
            <w:r w:rsidRPr="00CE60B2">
              <w:rPr>
                <w:rFonts w:cs="Segoe UI"/>
                <w:b/>
                <w:lang w:eastAsia="en-AU"/>
              </w:rPr>
              <w:t>Year</w:t>
            </w:r>
          </w:p>
        </w:tc>
        <w:tc>
          <w:tcPr>
            <w:tcW w:w="1255" w:type="pct"/>
            <w:shd w:val="clear" w:color="auto" w:fill="DFEFE1" w:themeFill="accent3" w:themeFillTint="66"/>
          </w:tcPr>
          <w:p w14:paraId="26ABCE91" w14:textId="77777777" w:rsidR="00A12F9B" w:rsidRPr="00CE60B2" w:rsidRDefault="00A12F9B" w:rsidP="00A12F9B">
            <w:pPr>
              <w:rPr>
                <w:rFonts w:cs="Segoe UI"/>
                <w:b/>
                <w:lang w:eastAsia="en-AU"/>
              </w:rPr>
            </w:pPr>
            <w:r w:rsidRPr="00CE60B2">
              <w:rPr>
                <w:rFonts w:cs="Segoe UI"/>
                <w:b/>
                <w:lang w:eastAsia="en-AU"/>
              </w:rPr>
              <w:t>WA RFA region</w:t>
            </w:r>
          </w:p>
        </w:tc>
        <w:tc>
          <w:tcPr>
            <w:tcW w:w="1631" w:type="pct"/>
            <w:shd w:val="clear" w:color="auto" w:fill="DFEFE1" w:themeFill="accent3" w:themeFillTint="66"/>
          </w:tcPr>
          <w:p w14:paraId="26ABCE92" w14:textId="77777777" w:rsidR="00A12F9B" w:rsidRPr="00CE60B2" w:rsidRDefault="00A12F9B" w:rsidP="00A12F9B">
            <w:pPr>
              <w:rPr>
                <w:rFonts w:cs="Segoe UI"/>
                <w:b/>
                <w:vertAlign w:val="superscript"/>
                <w:lang w:eastAsia="en-AU"/>
              </w:rPr>
            </w:pPr>
            <w:r w:rsidRPr="00CE60B2">
              <w:rPr>
                <w:rFonts w:cs="Segoe UI"/>
                <w:b/>
                <w:lang w:eastAsia="en-AU"/>
              </w:rPr>
              <w:t>Australia</w:t>
            </w:r>
          </w:p>
        </w:tc>
      </w:tr>
      <w:tr w:rsidR="00A12F9B" w:rsidRPr="00CE60B2" w14:paraId="26ABCE97" w14:textId="77777777" w:rsidTr="00A12F9B">
        <w:trPr>
          <w:cantSplit/>
        </w:trPr>
        <w:tc>
          <w:tcPr>
            <w:tcW w:w="2114" w:type="pct"/>
            <w:shd w:val="clear" w:color="auto" w:fill="auto"/>
          </w:tcPr>
          <w:p w14:paraId="26ABCE94" w14:textId="77777777" w:rsidR="00A12F9B" w:rsidRPr="00CE60B2" w:rsidRDefault="00A12F9B" w:rsidP="00A12F9B">
            <w:pPr>
              <w:rPr>
                <w:rFonts w:cs="Segoe UI"/>
                <w:lang w:eastAsia="en-AU"/>
              </w:rPr>
            </w:pPr>
            <w:r w:rsidRPr="00CE60B2">
              <w:rPr>
                <w:rFonts w:cs="Segoe UI"/>
                <w:lang w:eastAsia="en-AU"/>
              </w:rPr>
              <w:t>1998</w:t>
            </w:r>
          </w:p>
        </w:tc>
        <w:tc>
          <w:tcPr>
            <w:tcW w:w="1255" w:type="pct"/>
            <w:shd w:val="clear" w:color="auto" w:fill="auto"/>
          </w:tcPr>
          <w:p w14:paraId="26ABCE95" w14:textId="77777777" w:rsidR="00A12F9B" w:rsidRPr="00CE60B2" w:rsidRDefault="00A12F9B" w:rsidP="00A12F9B">
            <w:pPr>
              <w:rPr>
                <w:rFonts w:cs="Segoe UI"/>
                <w:lang w:eastAsia="en-AU"/>
              </w:rPr>
            </w:pPr>
            <w:r w:rsidRPr="00CE60B2">
              <w:rPr>
                <w:rFonts w:cs="Segoe UI"/>
                <w:lang w:eastAsia="en-AU"/>
              </w:rPr>
              <w:t>239</w:t>
            </w:r>
          </w:p>
        </w:tc>
        <w:tc>
          <w:tcPr>
            <w:tcW w:w="1631" w:type="pct"/>
            <w:shd w:val="clear" w:color="auto" w:fill="auto"/>
          </w:tcPr>
          <w:p w14:paraId="26ABCE96" w14:textId="77777777" w:rsidR="00A12F9B" w:rsidRPr="00CE60B2" w:rsidRDefault="00A12F9B" w:rsidP="00A12F9B">
            <w:pPr>
              <w:rPr>
                <w:rFonts w:cs="Segoe UI"/>
                <w:vertAlign w:val="superscript"/>
                <w:lang w:eastAsia="en-AU"/>
              </w:rPr>
            </w:pPr>
            <w:r w:rsidRPr="00CE60B2">
              <w:rPr>
                <w:rFonts w:cs="Segoe UI"/>
                <w:lang w:eastAsia="en-AU"/>
              </w:rPr>
              <w:t xml:space="preserve">1,227 </w:t>
            </w:r>
            <w:r w:rsidRPr="00CE60B2">
              <w:rPr>
                <w:rFonts w:cs="Segoe UI"/>
                <w:vertAlign w:val="superscript"/>
                <w:lang w:eastAsia="en-AU"/>
              </w:rPr>
              <w:t>4</w:t>
            </w:r>
          </w:p>
        </w:tc>
      </w:tr>
      <w:tr w:rsidR="00A12F9B" w:rsidRPr="00CE60B2" w14:paraId="26ABCE9B" w14:textId="77777777" w:rsidTr="00A12F9B">
        <w:trPr>
          <w:cantSplit/>
        </w:trPr>
        <w:tc>
          <w:tcPr>
            <w:tcW w:w="2114" w:type="pct"/>
            <w:shd w:val="clear" w:color="auto" w:fill="auto"/>
          </w:tcPr>
          <w:p w14:paraId="26ABCE98" w14:textId="77777777" w:rsidR="00A12F9B" w:rsidRPr="00CE60B2" w:rsidRDefault="00A12F9B" w:rsidP="00A12F9B">
            <w:pPr>
              <w:rPr>
                <w:rFonts w:cs="Segoe UI"/>
                <w:lang w:eastAsia="en-AU"/>
              </w:rPr>
            </w:pPr>
            <w:r w:rsidRPr="00CE60B2">
              <w:rPr>
                <w:rFonts w:cs="Segoe UI"/>
                <w:lang w:eastAsia="en-AU"/>
              </w:rPr>
              <w:t>2001</w:t>
            </w:r>
          </w:p>
        </w:tc>
        <w:tc>
          <w:tcPr>
            <w:tcW w:w="1255" w:type="pct"/>
            <w:shd w:val="clear" w:color="auto" w:fill="auto"/>
          </w:tcPr>
          <w:p w14:paraId="26ABCE99" w14:textId="77777777" w:rsidR="00A12F9B" w:rsidRPr="00CE60B2" w:rsidRDefault="00A12F9B" w:rsidP="00A12F9B">
            <w:pPr>
              <w:rPr>
                <w:rFonts w:cs="Segoe UI"/>
                <w:lang w:eastAsia="en-AU"/>
              </w:rPr>
            </w:pPr>
            <w:r w:rsidRPr="00CE60B2">
              <w:rPr>
                <w:rFonts w:cs="Segoe UI"/>
                <w:lang w:eastAsia="en-AU"/>
              </w:rPr>
              <w:t>226</w:t>
            </w:r>
            <w:r w:rsidR="001C1C52">
              <w:rPr>
                <w:rFonts w:cs="Segoe UI"/>
                <w:vertAlign w:val="superscript"/>
                <w:lang w:eastAsia="en-AU"/>
              </w:rPr>
              <w:t>5</w:t>
            </w:r>
          </w:p>
        </w:tc>
        <w:tc>
          <w:tcPr>
            <w:tcW w:w="1631" w:type="pct"/>
            <w:shd w:val="clear" w:color="auto" w:fill="auto"/>
          </w:tcPr>
          <w:p w14:paraId="26ABCE9A" w14:textId="77777777" w:rsidR="00A12F9B" w:rsidRPr="00CE60B2" w:rsidRDefault="00A12F9B" w:rsidP="00A12F9B">
            <w:pPr>
              <w:rPr>
                <w:rFonts w:cs="Segoe UI"/>
                <w:lang w:eastAsia="en-AU"/>
              </w:rPr>
            </w:pPr>
            <w:r w:rsidRPr="00CE60B2">
              <w:rPr>
                <w:rFonts w:cs="Segoe UI"/>
                <w:lang w:eastAsia="en-AU"/>
              </w:rPr>
              <w:t>1,817</w:t>
            </w:r>
          </w:p>
        </w:tc>
      </w:tr>
      <w:tr w:rsidR="00A12F9B" w:rsidRPr="00CE60B2" w14:paraId="26ABCE9F" w14:textId="77777777" w:rsidTr="00A12F9B">
        <w:trPr>
          <w:cantSplit/>
        </w:trPr>
        <w:tc>
          <w:tcPr>
            <w:tcW w:w="2114" w:type="pct"/>
            <w:shd w:val="clear" w:color="auto" w:fill="auto"/>
          </w:tcPr>
          <w:p w14:paraId="26ABCE9C" w14:textId="77777777" w:rsidR="00A12F9B" w:rsidRPr="00CE60B2" w:rsidRDefault="00A12F9B" w:rsidP="00A12F9B">
            <w:pPr>
              <w:rPr>
                <w:rFonts w:cs="Segoe UI"/>
                <w:lang w:eastAsia="en-AU"/>
              </w:rPr>
            </w:pPr>
            <w:r w:rsidRPr="00CE60B2">
              <w:rPr>
                <w:rFonts w:cs="Segoe UI"/>
                <w:lang w:eastAsia="en-AU"/>
              </w:rPr>
              <w:t>2006</w:t>
            </w:r>
          </w:p>
        </w:tc>
        <w:tc>
          <w:tcPr>
            <w:tcW w:w="1255" w:type="pct"/>
            <w:shd w:val="clear" w:color="auto" w:fill="auto"/>
          </w:tcPr>
          <w:p w14:paraId="26ABCE9D" w14:textId="77777777" w:rsidR="00A12F9B" w:rsidRPr="00CE60B2" w:rsidRDefault="00A12F9B" w:rsidP="00A12F9B">
            <w:pPr>
              <w:rPr>
                <w:rFonts w:cs="Segoe UI"/>
                <w:lang w:eastAsia="en-AU"/>
              </w:rPr>
            </w:pPr>
            <w:r w:rsidRPr="00CE60B2">
              <w:rPr>
                <w:rFonts w:cs="Segoe UI"/>
                <w:lang w:eastAsia="en-AU"/>
              </w:rPr>
              <w:t>226</w:t>
            </w:r>
          </w:p>
        </w:tc>
        <w:tc>
          <w:tcPr>
            <w:tcW w:w="1631" w:type="pct"/>
            <w:shd w:val="clear" w:color="auto" w:fill="auto"/>
          </w:tcPr>
          <w:p w14:paraId="26ABCE9E" w14:textId="77777777" w:rsidR="00A12F9B" w:rsidRPr="00CE60B2" w:rsidRDefault="00A12F9B" w:rsidP="00A12F9B">
            <w:pPr>
              <w:rPr>
                <w:rFonts w:cs="Segoe UI"/>
                <w:lang w:eastAsia="en-AU"/>
              </w:rPr>
            </w:pPr>
            <w:r w:rsidRPr="00CE60B2">
              <w:rPr>
                <w:rFonts w:cs="Segoe UI"/>
                <w:lang w:eastAsia="en-AU"/>
              </w:rPr>
              <w:t>—</w:t>
            </w:r>
          </w:p>
        </w:tc>
      </w:tr>
      <w:tr w:rsidR="00A12F9B" w:rsidRPr="00CE60B2" w14:paraId="26ABCEA3" w14:textId="77777777" w:rsidTr="00A12F9B">
        <w:trPr>
          <w:cantSplit/>
        </w:trPr>
        <w:tc>
          <w:tcPr>
            <w:tcW w:w="2114" w:type="pct"/>
            <w:shd w:val="clear" w:color="auto" w:fill="auto"/>
          </w:tcPr>
          <w:p w14:paraId="26ABCEA0" w14:textId="77777777" w:rsidR="00A12F9B" w:rsidRPr="00CE60B2" w:rsidRDefault="00A12F9B" w:rsidP="00A12F9B">
            <w:pPr>
              <w:rPr>
                <w:rFonts w:cs="Segoe UI"/>
                <w:lang w:eastAsia="en-AU"/>
              </w:rPr>
            </w:pPr>
            <w:r w:rsidRPr="00CE60B2">
              <w:rPr>
                <w:rFonts w:cs="Segoe UI"/>
                <w:lang w:eastAsia="en-AU"/>
              </w:rPr>
              <w:t>2011</w:t>
            </w:r>
          </w:p>
        </w:tc>
        <w:tc>
          <w:tcPr>
            <w:tcW w:w="1255" w:type="pct"/>
            <w:shd w:val="clear" w:color="auto" w:fill="auto"/>
          </w:tcPr>
          <w:p w14:paraId="26ABCEA1" w14:textId="77777777" w:rsidR="00A12F9B" w:rsidRPr="00CE60B2" w:rsidRDefault="00A12F9B" w:rsidP="00A12F9B">
            <w:pPr>
              <w:rPr>
                <w:rFonts w:cs="Segoe UI"/>
                <w:lang w:eastAsia="en-AU"/>
              </w:rPr>
            </w:pPr>
            <w:r w:rsidRPr="00CE60B2">
              <w:rPr>
                <w:rFonts w:cs="Segoe UI"/>
                <w:lang w:eastAsia="en-AU"/>
              </w:rPr>
              <w:t>234</w:t>
            </w:r>
          </w:p>
        </w:tc>
        <w:tc>
          <w:tcPr>
            <w:tcW w:w="1631" w:type="pct"/>
            <w:shd w:val="clear" w:color="auto" w:fill="auto"/>
          </w:tcPr>
          <w:p w14:paraId="26ABCEA2" w14:textId="77777777" w:rsidR="00A12F9B" w:rsidRPr="00CE60B2" w:rsidRDefault="00A12F9B" w:rsidP="00A12F9B">
            <w:pPr>
              <w:rPr>
                <w:rFonts w:cs="Segoe UI"/>
                <w:lang w:eastAsia="en-AU"/>
              </w:rPr>
            </w:pPr>
            <w:r w:rsidRPr="00CE60B2">
              <w:rPr>
                <w:rFonts w:cs="Segoe UI"/>
                <w:lang w:eastAsia="en-AU"/>
              </w:rPr>
              <w:t>2,212</w:t>
            </w:r>
          </w:p>
        </w:tc>
      </w:tr>
    </w:tbl>
    <w:p w14:paraId="26ABCEA4"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lang w:eastAsia="en-AU"/>
        </w:rPr>
        <w:t>— = not available</w:t>
      </w:r>
    </w:p>
    <w:p w14:paraId="26ABCEA5"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vertAlign w:val="superscript"/>
          <w:lang w:eastAsia="en-AU"/>
        </w:rPr>
        <w:lastRenderedPageBreak/>
        <w:t>1</w:t>
      </w:r>
      <w:r w:rsidRPr="00CE60B2">
        <w:rPr>
          <w:rFonts w:cs="Segoe UI"/>
          <w:bCs/>
          <w:kern w:val="28"/>
          <w:sz w:val="16"/>
          <w:szCs w:val="16"/>
          <w:lang w:eastAsia="en-AU"/>
        </w:rPr>
        <w:t xml:space="preserve"> Forest-dwelling species are species that may use forest habitat for all or part of their lifecycles.</w:t>
      </w:r>
    </w:p>
    <w:p w14:paraId="26ABCEA6"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vertAlign w:val="superscript"/>
          <w:lang w:eastAsia="en-AU"/>
        </w:rPr>
        <w:t>2</w:t>
      </w:r>
      <w:r w:rsidRPr="00CE60B2">
        <w:rPr>
          <w:rFonts w:cs="Segoe UI"/>
          <w:bCs/>
          <w:kern w:val="28"/>
          <w:sz w:val="16"/>
          <w:szCs w:val="16"/>
          <w:lang w:eastAsia="en-AU"/>
        </w:rPr>
        <w:t xml:space="preserve"> Subspecies are included where they are managed by jurisdictions or nationally. Non-native species are not included.</w:t>
      </w:r>
    </w:p>
    <w:p w14:paraId="26ABCEA7"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vertAlign w:val="superscript"/>
          <w:lang w:eastAsia="en-AU"/>
        </w:rPr>
        <w:t>3</w:t>
      </w:r>
      <w:r w:rsidRPr="00CE60B2">
        <w:rPr>
          <w:rFonts w:cs="Segoe UI"/>
          <w:bCs/>
          <w:kern w:val="28"/>
          <w:sz w:val="16"/>
          <w:szCs w:val="16"/>
          <w:lang w:eastAsia="en-AU"/>
        </w:rPr>
        <w:t xml:space="preserve"> Numbers for Australia also include data from offshore forested islands—such as Torres Strait, Christmas, Lord Howe and Norfolk islands.</w:t>
      </w:r>
      <w:r w:rsidR="00E3092A">
        <w:rPr>
          <w:rFonts w:cs="Segoe UI"/>
          <w:bCs/>
          <w:kern w:val="28"/>
          <w:sz w:val="16"/>
          <w:szCs w:val="16"/>
          <w:lang w:eastAsia="en-AU"/>
        </w:rPr>
        <w:t xml:space="preserve"> SOFR (2018), Table 1.29</w:t>
      </w:r>
    </w:p>
    <w:p w14:paraId="26ABCEA8" w14:textId="77777777" w:rsidR="00A12F9B" w:rsidRDefault="00A12F9B" w:rsidP="00A12F9B">
      <w:pPr>
        <w:spacing w:before="60" w:after="60"/>
        <w:rPr>
          <w:rFonts w:cs="Segoe UI"/>
          <w:bCs/>
          <w:kern w:val="28"/>
          <w:sz w:val="16"/>
          <w:szCs w:val="16"/>
          <w:lang w:eastAsia="en-AU"/>
        </w:rPr>
      </w:pPr>
      <w:r w:rsidRPr="00CE60B2">
        <w:rPr>
          <w:rFonts w:cs="Segoe UI"/>
          <w:bCs/>
          <w:kern w:val="28"/>
          <w:sz w:val="16"/>
          <w:szCs w:val="16"/>
          <w:vertAlign w:val="superscript"/>
          <w:lang w:eastAsia="en-AU"/>
        </w:rPr>
        <w:t>4</w:t>
      </w:r>
      <w:r w:rsidRPr="00CE60B2">
        <w:rPr>
          <w:rFonts w:cs="Segoe UI"/>
          <w:bCs/>
          <w:kern w:val="28"/>
          <w:sz w:val="16"/>
          <w:szCs w:val="16"/>
          <w:lang w:eastAsia="en-AU"/>
        </w:rPr>
        <w:t xml:space="preserve"> SOFR 1998 reported a national minimum estimate of forest-dwelling native vertebrate fauna, based on an incomplete compilation of data from New South Wales, the Northern Territory, Tasmania and parts of Queensland. </w:t>
      </w:r>
    </w:p>
    <w:p w14:paraId="26ABCEA9" w14:textId="77777777" w:rsidR="001C1C52" w:rsidRPr="001C1C52" w:rsidRDefault="001C1C52" w:rsidP="00A12F9B">
      <w:pPr>
        <w:spacing w:before="60" w:after="60"/>
        <w:rPr>
          <w:rFonts w:cs="Segoe UI"/>
          <w:bCs/>
          <w:kern w:val="28"/>
          <w:sz w:val="16"/>
          <w:szCs w:val="16"/>
          <w:lang w:eastAsia="en-AU"/>
        </w:rPr>
      </w:pPr>
      <w:r>
        <w:rPr>
          <w:rFonts w:cs="Segoe UI"/>
          <w:bCs/>
          <w:kern w:val="28"/>
          <w:sz w:val="16"/>
          <w:szCs w:val="16"/>
          <w:vertAlign w:val="superscript"/>
          <w:lang w:eastAsia="en-AU"/>
        </w:rPr>
        <w:t>5</w:t>
      </w:r>
      <w:r>
        <w:rPr>
          <w:rFonts w:cs="Segoe UI"/>
          <w:bCs/>
          <w:kern w:val="28"/>
          <w:sz w:val="16"/>
          <w:szCs w:val="16"/>
          <w:lang w:eastAsia="en-AU"/>
        </w:rPr>
        <w:t xml:space="preserve"> Changes to sampling methodology in SOFR 2003 changed, and so data from 2006 report is provided in this table</w:t>
      </w:r>
    </w:p>
    <w:p w14:paraId="26ABCEAA"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lang w:eastAsia="en-AU"/>
        </w:rPr>
        <w:t>Source: SOFR 201</w:t>
      </w:r>
      <w:r w:rsidR="005C4876">
        <w:rPr>
          <w:rFonts w:cs="Segoe UI"/>
          <w:bCs/>
          <w:kern w:val="28"/>
          <w:sz w:val="16"/>
          <w:szCs w:val="16"/>
          <w:lang w:eastAsia="en-AU"/>
        </w:rPr>
        <w:t>8</w:t>
      </w:r>
      <w:r w:rsidRPr="00CE60B2">
        <w:rPr>
          <w:rFonts w:cs="Segoe UI"/>
          <w:bCs/>
          <w:kern w:val="28"/>
          <w:sz w:val="16"/>
          <w:szCs w:val="16"/>
          <w:lang w:eastAsia="en-AU"/>
        </w:rPr>
        <w:t>.</w:t>
      </w:r>
    </w:p>
    <w:p w14:paraId="26ABCEAB" w14:textId="7E178AFA" w:rsidR="007A3BF4" w:rsidRDefault="007A3BF4" w:rsidP="007A3BF4">
      <w:pPr>
        <w:pStyle w:val="Caption"/>
        <w:keepNext/>
      </w:pPr>
      <w:bookmarkStart w:id="75" w:name="_Toc531002173"/>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12</w:t>
      </w:r>
      <w:r w:rsidR="005C10D4">
        <w:rPr>
          <w:noProof/>
        </w:rPr>
        <w:fldChar w:fldCharType="end"/>
      </w:r>
      <w:r>
        <w:t xml:space="preserve">: </w:t>
      </w:r>
      <w:r w:rsidRPr="00EB4B5D">
        <w:t>Number of forest-dependent vert</w:t>
      </w:r>
      <w:r>
        <w:t>ebrate species, by jurisdiction</w:t>
      </w:r>
      <w:r w:rsidRPr="00EB4B5D">
        <w:t>, 2011</w:t>
      </w:r>
      <w:r w:rsidRPr="00CE60B2">
        <w:rPr>
          <w:rFonts w:cs="Segoe UI"/>
          <w:b/>
          <w:vertAlign w:val="superscript"/>
          <w:lang w:eastAsia="en-AU"/>
        </w:rPr>
        <w:t>1</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10"/>
        <w:gridCol w:w="2263"/>
        <w:gridCol w:w="2687"/>
      </w:tblGrid>
      <w:tr w:rsidR="00A12F9B" w:rsidRPr="00CE60B2" w14:paraId="26ABCEAF" w14:textId="77777777" w:rsidTr="00A12F9B">
        <w:trPr>
          <w:cantSplit/>
          <w:tblHeader/>
        </w:trPr>
        <w:tc>
          <w:tcPr>
            <w:tcW w:w="2268" w:type="pct"/>
            <w:shd w:val="clear" w:color="auto" w:fill="DFEFE1" w:themeFill="accent3" w:themeFillTint="66"/>
          </w:tcPr>
          <w:p w14:paraId="26ABCEAC" w14:textId="77777777" w:rsidR="00A12F9B" w:rsidRPr="00CE60B2" w:rsidRDefault="00A12F9B" w:rsidP="00A12F9B">
            <w:pPr>
              <w:rPr>
                <w:rFonts w:cs="Segoe UI"/>
                <w:b/>
                <w:vertAlign w:val="superscript"/>
                <w:lang w:eastAsia="en-AU"/>
              </w:rPr>
            </w:pPr>
            <w:r w:rsidRPr="00CE60B2">
              <w:rPr>
                <w:rFonts w:cs="Segoe UI"/>
                <w:b/>
                <w:lang w:eastAsia="en-AU"/>
              </w:rPr>
              <w:t xml:space="preserve">Taxonomic group </w:t>
            </w:r>
            <w:r w:rsidRPr="00CE60B2">
              <w:rPr>
                <w:rFonts w:cs="Segoe UI"/>
                <w:b/>
                <w:vertAlign w:val="superscript"/>
                <w:lang w:eastAsia="en-AU"/>
              </w:rPr>
              <w:t>2</w:t>
            </w:r>
          </w:p>
        </w:tc>
        <w:tc>
          <w:tcPr>
            <w:tcW w:w="1249" w:type="pct"/>
            <w:shd w:val="clear" w:color="auto" w:fill="DFEFE1" w:themeFill="accent3" w:themeFillTint="66"/>
          </w:tcPr>
          <w:p w14:paraId="26ABCEAD" w14:textId="77777777" w:rsidR="00A12F9B" w:rsidRPr="00CE60B2" w:rsidRDefault="00A12F9B" w:rsidP="00A12F9B">
            <w:pPr>
              <w:rPr>
                <w:rFonts w:cs="Segoe UI"/>
                <w:b/>
                <w:lang w:eastAsia="en-AU"/>
              </w:rPr>
            </w:pPr>
            <w:r w:rsidRPr="00CE60B2">
              <w:rPr>
                <w:rFonts w:cs="Segoe UI"/>
                <w:b/>
                <w:lang w:eastAsia="en-AU"/>
              </w:rPr>
              <w:t>WA</w:t>
            </w:r>
          </w:p>
        </w:tc>
        <w:tc>
          <w:tcPr>
            <w:tcW w:w="1483" w:type="pct"/>
            <w:shd w:val="clear" w:color="auto" w:fill="DFEFE1" w:themeFill="accent3" w:themeFillTint="66"/>
          </w:tcPr>
          <w:p w14:paraId="26ABCEAE" w14:textId="77777777" w:rsidR="00A12F9B" w:rsidRPr="00CE60B2" w:rsidRDefault="00A12F9B" w:rsidP="00A12F9B">
            <w:pPr>
              <w:rPr>
                <w:rFonts w:cs="Segoe UI"/>
                <w:b/>
                <w:vertAlign w:val="superscript"/>
                <w:lang w:eastAsia="en-AU"/>
              </w:rPr>
            </w:pPr>
            <w:r w:rsidRPr="00CE60B2">
              <w:rPr>
                <w:rFonts w:cs="Segoe UI"/>
                <w:b/>
                <w:lang w:eastAsia="en-AU"/>
              </w:rPr>
              <w:t xml:space="preserve">Australia </w:t>
            </w:r>
            <w:r w:rsidRPr="00CE60B2">
              <w:rPr>
                <w:rFonts w:cs="Segoe UI"/>
                <w:b/>
                <w:vertAlign w:val="superscript"/>
                <w:lang w:eastAsia="en-AU"/>
              </w:rPr>
              <w:t>3</w:t>
            </w:r>
          </w:p>
        </w:tc>
      </w:tr>
      <w:tr w:rsidR="00A12F9B" w:rsidRPr="00CE60B2" w14:paraId="26ABCEB3" w14:textId="77777777" w:rsidTr="00A12F9B">
        <w:trPr>
          <w:cantSplit/>
        </w:trPr>
        <w:tc>
          <w:tcPr>
            <w:tcW w:w="2268" w:type="pct"/>
            <w:shd w:val="clear" w:color="auto" w:fill="auto"/>
          </w:tcPr>
          <w:p w14:paraId="26ABCEB0" w14:textId="77777777" w:rsidR="00A12F9B" w:rsidRPr="00CE60B2" w:rsidRDefault="00A12F9B" w:rsidP="00A12F9B">
            <w:pPr>
              <w:rPr>
                <w:rFonts w:cs="Segoe UI"/>
                <w:lang w:eastAsia="en-AU"/>
              </w:rPr>
            </w:pPr>
            <w:r w:rsidRPr="00CE60B2">
              <w:rPr>
                <w:rFonts w:cs="Segoe UI"/>
                <w:lang w:eastAsia="en-AU"/>
              </w:rPr>
              <w:t>Fish</w:t>
            </w:r>
          </w:p>
        </w:tc>
        <w:tc>
          <w:tcPr>
            <w:tcW w:w="1249" w:type="pct"/>
            <w:shd w:val="clear" w:color="auto" w:fill="auto"/>
          </w:tcPr>
          <w:p w14:paraId="26ABCEB1" w14:textId="77777777" w:rsidR="00A12F9B" w:rsidRPr="00CE60B2" w:rsidRDefault="00A12F9B" w:rsidP="00A12F9B">
            <w:pPr>
              <w:rPr>
                <w:rFonts w:cs="Segoe UI"/>
                <w:lang w:eastAsia="en-AU"/>
              </w:rPr>
            </w:pPr>
            <w:r w:rsidRPr="00CE60B2">
              <w:rPr>
                <w:rFonts w:cs="Segoe UI"/>
                <w:lang w:eastAsia="en-AU"/>
              </w:rPr>
              <w:t>5</w:t>
            </w:r>
          </w:p>
        </w:tc>
        <w:tc>
          <w:tcPr>
            <w:tcW w:w="1483" w:type="pct"/>
            <w:shd w:val="clear" w:color="auto" w:fill="auto"/>
          </w:tcPr>
          <w:p w14:paraId="26ABCEB2" w14:textId="77777777" w:rsidR="00A12F9B" w:rsidRPr="00CE60B2" w:rsidRDefault="00A12F9B" w:rsidP="00A12F9B">
            <w:pPr>
              <w:rPr>
                <w:rFonts w:cs="Segoe UI"/>
                <w:lang w:eastAsia="en-AU"/>
              </w:rPr>
            </w:pPr>
            <w:r w:rsidRPr="00CE60B2">
              <w:rPr>
                <w:rFonts w:cs="Segoe UI"/>
                <w:lang w:eastAsia="en-AU"/>
              </w:rPr>
              <w:t>109</w:t>
            </w:r>
          </w:p>
        </w:tc>
      </w:tr>
      <w:tr w:rsidR="00A12F9B" w:rsidRPr="00CE60B2" w14:paraId="26ABCEB7" w14:textId="77777777" w:rsidTr="00A12F9B">
        <w:trPr>
          <w:cantSplit/>
        </w:trPr>
        <w:tc>
          <w:tcPr>
            <w:tcW w:w="2268" w:type="pct"/>
            <w:shd w:val="clear" w:color="auto" w:fill="auto"/>
          </w:tcPr>
          <w:p w14:paraId="26ABCEB4" w14:textId="77777777" w:rsidR="00A12F9B" w:rsidRPr="00CE60B2" w:rsidRDefault="00A12F9B" w:rsidP="00A12F9B">
            <w:pPr>
              <w:rPr>
                <w:rFonts w:cs="Segoe UI"/>
                <w:lang w:eastAsia="en-AU"/>
              </w:rPr>
            </w:pPr>
            <w:r w:rsidRPr="00CE60B2">
              <w:rPr>
                <w:rFonts w:cs="Segoe UI"/>
                <w:lang w:eastAsia="en-AU"/>
              </w:rPr>
              <w:t>Amphibians</w:t>
            </w:r>
          </w:p>
        </w:tc>
        <w:tc>
          <w:tcPr>
            <w:tcW w:w="1249" w:type="pct"/>
            <w:shd w:val="clear" w:color="auto" w:fill="auto"/>
          </w:tcPr>
          <w:p w14:paraId="26ABCEB5" w14:textId="77777777" w:rsidR="00A12F9B" w:rsidRPr="00CE60B2" w:rsidRDefault="00F40881" w:rsidP="00A12F9B">
            <w:pPr>
              <w:rPr>
                <w:rFonts w:cs="Segoe UI"/>
                <w:lang w:eastAsia="en-AU"/>
              </w:rPr>
            </w:pPr>
            <w:r>
              <w:rPr>
                <w:rFonts w:cs="Segoe UI"/>
                <w:lang w:eastAsia="en-AU"/>
              </w:rPr>
              <w:t>12</w:t>
            </w:r>
          </w:p>
        </w:tc>
        <w:tc>
          <w:tcPr>
            <w:tcW w:w="1483" w:type="pct"/>
            <w:shd w:val="clear" w:color="auto" w:fill="auto"/>
          </w:tcPr>
          <w:p w14:paraId="26ABCEB6" w14:textId="77777777" w:rsidR="00A12F9B" w:rsidRPr="00CE60B2" w:rsidRDefault="00A12F9B" w:rsidP="00A12F9B">
            <w:pPr>
              <w:rPr>
                <w:rFonts w:cs="Segoe UI"/>
                <w:lang w:eastAsia="en-AU"/>
              </w:rPr>
            </w:pPr>
            <w:r w:rsidRPr="00CE60B2">
              <w:rPr>
                <w:rFonts w:cs="Segoe UI"/>
                <w:lang w:eastAsia="en-AU"/>
              </w:rPr>
              <w:t>91</w:t>
            </w:r>
          </w:p>
        </w:tc>
      </w:tr>
      <w:tr w:rsidR="00A12F9B" w:rsidRPr="00CE60B2" w14:paraId="26ABCEBB" w14:textId="77777777" w:rsidTr="00A12F9B">
        <w:trPr>
          <w:cantSplit/>
        </w:trPr>
        <w:tc>
          <w:tcPr>
            <w:tcW w:w="2268" w:type="pct"/>
            <w:shd w:val="clear" w:color="auto" w:fill="auto"/>
          </w:tcPr>
          <w:p w14:paraId="26ABCEB8" w14:textId="77777777" w:rsidR="00A12F9B" w:rsidRPr="00CE60B2" w:rsidRDefault="00A12F9B" w:rsidP="00A12F9B">
            <w:pPr>
              <w:rPr>
                <w:rFonts w:cs="Segoe UI"/>
                <w:lang w:eastAsia="en-AU"/>
              </w:rPr>
            </w:pPr>
            <w:r w:rsidRPr="00CE60B2">
              <w:rPr>
                <w:rFonts w:cs="Segoe UI"/>
                <w:lang w:eastAsia="en-AU"/>
              </w:rPr>
              <w:t>Reptiles</w:t>
            </w:r>
          </w:p>
        </w:tc>
        <w:tc>
          <w:tcPr>
            <w:tcW w:w="1249" w:type="pct"/>
            <w:shd w:val="clear" w:color="auto" w:fill="auto"/>
          </w:tcPr>
          <w:p w14:paraId="26ABCEB9" w14:textId="77777777" w:rsidR="00A12F9B" w:rsidRPr="00CE60B2" w:rsidRDefault="00F40881" w:rsidP="00A12F9B">
            <w:pPr>
              <w:rPr>
                <w:rFonts w:cs="Segoe UI"/>
                <w:lang w:eastAsia="en-AU"/>
              </w:rPr>
            </w:pPr>
            <w:r>
              <w:rPr>
                <w:rFonts w:cs="Segoe UI"/>
                <w:lang w:eastAsia="en-AU"/>
              </w:rPr>
              <w:t>77</w:t>
            </w:r>
          </w:p>
        </w:tc>
        <w:tc>
          <w:tcPr>
            <w:tcW w:w="1483" w:type="pct"/>
            <w:shd w:val="clear" w:color="auto" w:fill="auto"/>
          </w:tcPr>
          <w:p w14:paraId="26ABCEBA" w14:textId="77777777" w:rsidR="00A12F9B" w:rsidRPr="00CE60B2" w:rsidRDefault="00A12F9B" w:rsidP="00A12F9B">
            <w:pPr>
              <w:rPr>
                <w:rFonts w:cs="Segoe UI"/>
                <w:lang w:eastAsia="en-AU"/>
              </w:rPr>
            </w:pPr>
            <w:r w:rsidRPr="00CE60B2">
              <w:rPr>
                <w:rFonts w:cs="Segoe UI"/>
                <w:lang w:eastAsia="en-AU"/>
              </w:rPr>
              <w:t>350</w:t>
            </w:r>
          </w:p>
        </w:tc>
      </w:tr>
      <w:tr w:rsidR="00A12F9B" w:rsidRPr="00CE60B2" w14:paraId="26ABCEBF" w14:textId="77777777" w:rsidTr="00A12F9B">
        <w:trPr>
          <w:cantSplit/>
        </w:trPr>
        <w:tc>
          <w:tcPr>
            <w:tcW w:w="2268" w:type="pct"/>
            <w:shd w:val="clear" w:color="auto" w:fill="auto"/>
          </w:tcPr>
          <w:p w14:paraId="26ABCEBC" w14:textId="77777777" w:rsidR="00A12F9B" w:rsidRPr="00CE60B2" w:rsidRDefault="00A12F9B" w:rsidP="00A12F9B">
            <w:pPr>
              <w:rPr>
                <w:rFonts w:cs="Segoe UI"/>
                <w:lang w:eastAsia="en-AU"/>
              </w:rPr>
            </w:pPr>
            <w:r w:rsidRPr="00CE60B2">
              <w:rPr>
                <w:rFonts w:cs="Segoe UI"/>
                <w:lang w:eastAsia="en-AU"/>
              </w:rPr>
              <w:t>Birds</w:t>
            </w:r>
          </w:p>
        </w:tc>
        <w:tc>
          <w:tcPr>
            <w:tcW w:w="1249" w:type="pct"/>
            <w:shd w:val="clear" w:color="auto" w:fill="auto"/>
          </w:tcPr>
          <w:p w14:paraId="26ABCEBD" w14:textId="77777777" w:rsidR="00A12F9B" w:rsidRPr="00CE60B2" w:rsidRDefault="00F40881" w:rsidP="00A12F9B">
            <w:pPr>
              <w:rPr>
                <w:rFonts w:cs="Segoe UI"/>
                <w:lang w:eastAsia="en-AU"/>
              </w:rPr>
            </w:pPr>
            <w:r>
              <w:rPr>
                <w:rFonts w:cs="Segoe UI"/>
                <w:lang w:eastAsia="en-AU"/>
              </w:rPr>
              <w:t>76</w:t>
            </w:r>
          </w:p>
        </w:tc>
        <w:tc>
          <w:tcPr>
            <w:tcW w:w="1483" w:type="pct"/>
            <w:shd w:val="clear" w:color="auto" w:fill="auto"/>
          </w:tcPr>
          <w:p w14:paraId="26ABCEBE" w14:textId="77777777" w:rsidR="00A12F9B" w:rsidRPr="00CE60B2" w:rsidRDefault="00A12F9B" w:rsidP="00A12F9B">
            <w:pPr>
              <w:rPr>
                <w:rFonts w:cs="Segoe UI"/>
                <w:lang w:eastAsia="en-AU"/>
              </w:rPr>
            </w:pPr>
            <w:r w:rsidRPr="00CE60B2">
              <w:rPr>
                <w:rFonts w:cs="Segoe UI"/>
                <w:lang w:eastAsia="en-AU"/>
              </w:rPr>
              <w:t>371</w:t>
            </w:r>
          </w:p>
        </w:tc>
      </w:tr>
      <w:tr w:rsidR="00A12F9B" w:rsidRPr="00CE60B2" w14:paraId="26ABCEC3" w14:textId="77777777" w:rsidTr="00A12F9B">
        <w:trPr>
          <w:cantSplit/>
        </w:trPr>
        <w:tc>
          <w:tcPr>
            <w:tcW w:w="2268" w:type="pct"/>
            <w:shd w:val="clear" w:color="auto" w:fill="auto"/>
          </w:tcPr>
          <w:p w14:paraId="26ABCEC0" w14:textId="77777777" w:rsidR="00A12F9B" w:rsidRPr="00CE60B2" w:rsidRDefault="00A12F9B" w:rsidP="00A12F9B">
            <w:pPr>
              <w:rPr>
                <w:rFonts w:cs="Segoe UI"/>
                <w:lang w:eastAsia="en-AU"/>
              </w:rPr>
            </w:pPr>
            <w:r w:rsidRPr="00CE60B2">
              <w:rPr>
                <w:rFonts w:cs="Segoe UI"/>
                <w:lang w:eastAsia="en-AU"/>
              </w:rPr>
              <w:t>Mammals</w:t>
            </w:r>
          </w:p>
        </w:tc>
        <w:tc>
          <w:tcPr>
            <w:tcW w:w="1249" w:type="pct"/>
            <w:shd w:val="clear" w:color="auto" w:fill="auto"/>
          </w:tcPr>
          <w:p w14:paraId="26ABCEC1" w14:textId="77777777" w:rsidR="00A12F9B" w:rsidRPr="00CE60B2" w:rsidRDefault="00F40881" w:rsidP="00A12F9B">
            <w:pPr>
              <w:rPr>
                <w:rFonts w:cs="Segoe UI"/>
                <w:lang w:eastAsia="en-AU"/>
              </w:rPr>
            </w:pPr>
            <w:r>
              <w:rPr>
                <w:rFonts w:cs="Segoe UI"/>
                <w:lang w:eastAsia="en-AU"/>
              </w:rPr>
              <w:t>49</w:t>
            </w:r>
          </w:p>
        </w:tc>
        <w:tc>
          <w:tcPr>
            <w:tcW w:w="1483" w:type="pct"/>
            <w:shd w:val="clear" w:color="auto" w:fill="auto"/>
          </w:tcPr>
          <w:p w14:paraId="26ABCEC2" w14:textId="77777777" w:rsidR="00A12F9B" w:rsidRPr="00CE60B2" w:rsidRDefault="00A12F9B" w:rsidP="00A12F9B">
            <w:pPr>
              <w:rPr>
                <w:rFonts w:cs="Segoe UI"/>
                <w:lang w:eastAsia="en-AU"/>
              </w:rPr>
            </w:pPr>
            <w:r w:rsidRPr="00CE60B2">
              <w:rPr>
                <w:rFonts w:cs="Segoe UI"/>
                <w:lang w:eastAsia="en-AU"/>
              </w:rPr>
              <w:t>180</w:t>
            </w:r>
          </w:p>
        </w:tc>
      </w:tr>
      <w:tr w:rsidR="00A12F9B" w:rsidRPr="00CE60B2" w14:paraId="26ABCEC7" w14:textId="77777777" w:rsidTr="00A12F9B">
        <w:trPr>
          <w:cantSplit/>
        </w:trPr>
        <w:tc>
          <w:tcPr>
            <w:tcW w:w="2268" w:type="pct"/>
            <w:shd w:val="clear" w:color="auto" w:fill="auto"/>
          </w:tcPr>
          <w:p w14:paraId="26ABCEC4" w14:textId="77777777" w:rsidR="00A12F9B" w:rsidRPr="00CE60B2" w:rsidRDefault="00A12F9B" w:rsidP="00A12F9B">
            <w:pPr>
              <w:rPr>
                <w:rFonts w:cs="Segoe UI"/>
                <w:lang w:eastAsia="en-AU"/>
              </w:rPr>
            </w:pPr>
            <w:r w:rsidRPr="00CE60B2">
              <w:rPr>
                <w:rFonts w:cs="Segoe UI"/>
                <w:lang w:eastAsia="en-AU"/>
              </w:rPr>
              <w:t>Total</w:t>
            </w:r>
          </w:p>
        </w:tc>
        <w:tc>
          <w:tcPr>
            <w:tcW w:w="1249" w:type="pct"/>
            <w:shd w:val="clear" w:color="auto" w:fill="auto"/>
          </w:tcPr>
          <w:p w14:paraId="26ABCEC5" w14:textId="77777777" w:rsidR="00A12F9B" w:rsidRPr="00CE60B2" w:rsidRDefault="00F40881" w:rsidP="00A12F9B">
            <w:pPr>
              <w:rPr>
                <w:rFonts w:cs="Segoe UI"/>
                <w:lang w:eastAsia="en-AU"/>
              </w:rPr>
            </w:pPr>
            <w:r>
              <w:rPr>
                <w:rFonts w:cs="Segoe UI"/>
                <w:lang w:eastAsia="en-AU"/>
              </w:rPr>
              <w:t>219</w:t>
            </w:r>
          </w:p>
        </w:tc>
        <w:tc>
          <w:tcPr>
            <w:tcW w:w="1483" w:type="pct"/>
            <w:shd w:val="clear" w:color="auto" w:fill="auto"/>
          </w:tcPr>
          <w:p w14:paraId="26ABCEC6" w14:textId="77777777" w:rsidR="00A12F9B" w:rsidRPr="00CE60B2" w:rsidRDefault="00A12F9B" w:rsidP="00A12F9B">
            <w:pPr>
              <w:rPr>
                <w:rFonts w:cs="Segoe UI"/>
                <w:lang w:eastAsia="en-AU"/>
              </w:rPr>
            </w:pPr>
            <w:r w:rsidRPr="00CE60B2">
              <w:rPr>
                <w:rFonts w:cs="Segoe UI"/>
                <w:lang w:eastAsia="en-AU"/>
              </w:rPr>
              <w:t>1,101</w:t>
            </w:r>
          </w:p>
        </w:tc>
      </w:tr>
    </w:tbl>
    <w:p w14:paraId="26ABCEC8"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lang w:eastAsia="en-AU"/>
        </w:rPr>
        <w:t>Source: SOFR 2013</w:t>
      </w:r>
    </w:p>
    <w:p w14:paraId="26ABCEC9"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lang w:eastAsia="en-AU"/>
        </w:rPr>
        <w:t xml:space="preserve">Notes: </w:t>
      </w:r>
    </w:p>
    <w:p w14:paraId="26ABCECA"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vertAlign w:val="superscript"/>
          <w:lang w:eastAsia="en-AU"/>
        </w:rPr>
        <w:t>1</w:t>
      </w:r>
      <w:r w:rsidRPr="00CE60B2">
        <w:rPr>
          <w:rFonts w:cs="Segoe UI"/>
          <w:bCs/>
          <w:kern w:val="28"/>
          <w:sz w:val="16"/>
          <w:szCs w:val="16"/>
          <w:lang w:eastAsia="en-AU"/>
        </w:rPr>
        <w:t xml:space="preserve"> Forest-dependent species are species that must inhabit a forest habitat for all or part of their lifecycles.</w:t>
      </w:r>
    </w:p>
    <w:p w14:paraId="26ABCECB"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vertAlign w:val="superscript"/>
          <w:lang w:eastAsia="en-AU"/>
        </w:rPr>
        <w:t>2</w:t>
      </w:r>
      <w:r w:rsidRPr="00CE60B2">
        <w:rPr>
          <w:rFonts w:cs="Segoe UI"/>
          <w:bCs/>
          <w:kern w:val="28"/>
          <w:sz w:val="16"/>
          <w:szCs w:val="16"/>
          <w:lang w:eastAsia="en-AU"/>
        </w:rPr>
        <w:t xml:space="preserve"> Subspecies are included where they are managed by jurisdictions or nationally. Non-native species are not included.</w:t>
      </w:r>
    </w:p>
    <w:p w14:paraId="26ABCECC"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vertAlign w:val="superscript"/>
          <w:lang w:eastAsia="en-AU"/>
        </w:rPr>
        <w:t>3</w:t>
      </w:r>
      <w:r w:rsidRPr="00CE60B2">
        <w:rPr>
          <w:rFonts w:cs="Segoe UI"/>
          <w:bCs/>
          <w:kern w:val="28"/>
          <w:sz w:val="16"/>
          <w:szCs w:val="16"/>
          <w:lang w:eastAsia="en-AU"/>
        </w:rPr>
        <w:t xml:space="preserve"> Numbers for Australia also include data from offshore forested islands—such as Torres Strait, Christmas, Lord Howe and Norfolk islands.</w:t>
      </w:r>
    </w:p>
    <w:p w14:paraId="26ABCECD" w14:textId="737858D4" w:rsidR="007A3BF4" w:rsidRDefault="007A3BF4" w:rsidP="007A3BF4">
      <w:pPr>
        <w:pStyle w:val="Caption"/>
        <w:keepNext/>
      </w:pPr>
      <w:bookmarkStart w:id="76" w:name="_Toc531002174"/>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13</w:t>
      </w:r>
      <w:r w:rsidR="005C10D4">
        <w:rPr>
          <w:noProof/>
        </w:rPr>
        <w:fldChar w:fldCharType="end"/>
      </w:r>
      <w:r>
        <w:t xml:space="preserve">: </w:t>
      </w:r>
      <w:r w:rsidRPr="00592972">
        <w:t>Number of forest-dwelling vascular plant species, by jurisdiction</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52"/>
        <w:gridCol w:w="2341"/>
        <w:gridCol w:w="2867"/>
      </w:tblGrid>
      <w:tr w:rsidR="00A12F9B" w:rsidRPr="00CE60B2" w14:paraId="26ABCED1" w14:textId="77777777" w:rsidTr="00A12F9B">
        <w:trPr>
          <w:cantSplit/>
          <w:tblHeader/>
        </w:trPr>
        <w:tc>
          <w:tcPr>
            <w:tcW w:w="2126" w:type="pct"/>
            <w:shd w:val="clear" w:color="auto" w:fill="DFEFE1" w:themeFill="accent3" w:themeFillTint="66"/>
          </w:tcPr>
          <w:p w14:paraId="26ABCECE" w14:textId="77777777" w:rsidR="00A12F9B" w:rsidRPr="00CE60B2" w:rsidRDefault="00A12F9B" w:rsidP="00A12F9B">
            <w:pPr>
              <w:rPr>
                <w:rFonts w:cs="Segoe UI"/>
                <w:b/>
                <w:lang w:eastAsia="en-AU"/>
              </w:rPr>
            </w:pPr>
            <w:r w:rsidRPr="00CE60B2">
              <w:rPr>
                <w:rFonts w:cs="Segoe UI"/>
                <w:b/>
                <w:lang w:eastAsia="en-AU"/>
              </w:rPr>
              <w:t>Reporting date</w:t>
            </w:r>
          </w:p>
        </w:tc>
        <w:tc>
          <w:tcPr>
            <w:tcW w:w="1292" w:type="pct"/>
            <w:shd w:val="clear" w:color="auto" w:fill="DFEFE1" w:themeFill="accent3" w:themeFillTint="66"/>
          </w:tcPr>
          <w:p w14:paraId="26ABCECF" w14:textId="77777777" w:rsidR="00A12F9B" w:rsidRPr="00CE60B2" w:rsidRDefault="00A12F9B" w:rsidP="00A12F9B">
            <w:pPr>
              <w:rPr>
                <w:rFonts w:cs="Segoe UI"/>
                <w:b/>
                <w:lang w:eastAsia="en-AU"/>
              </w:rPr>
            </w:pPr>
            <w:r w:rsidRPr="00CE60B2">
              <w:rPr>
                <w:rFonts w:cs="Segoe UI"/>
                <w:b/>
                <w:lang w:eastAsia="en-AU"/>
              </w:rPr>
              <w:t>WA</w:t>
            </w:r>
          </w:p>
        </w:tc>
        <w:tc>
          <w:tcPr>
            <w:tcW w:w="1582" w:type="pct"/>
            <w:shd w:val="clear" w:color="auto" w:fill="DFEFE1" w:themeFill="accent3" w:themeFillTint="66"/>
          </w:tcPr>
          <w:p w14:paraId="26ABCED0" w14:textId="77777777" w:rsidR="00A12F9B" w:rsidRPr="00CE60B2" w:rsidRDefault="00A12F9B" w:rsidP="00A12F9B">
            <w:pPr>
              <w:rPr>
                <w:rFonts w:cs="Segoe UI"/>
                <w:b/>
                <w:vertAlign w:val="superscript"/>
                <w:lang w:eastAsia="en-AU"/>
              </w:rPr>
            </w:pPr>
            <w:r w:rsidRPr="00CE60B2">
              <w:rPr>
                <w:rFonts w:cs="Segoe UI"/>
                <w:b/>
                <w:lang w:eastAsia="en-AU"/>
              </w:rPr>
              <w:t xml:space="preserve">Australia </w:t>
            </w:r>
          </w:p>
        </w:tc>
      </w:tr>
      <w:tr w:rsidR="00A12F9B" w:rsidRPr="00CE60B2" w14:paraId="26ABCED5" w14:textId="77777777" w:rsidTr="00A12F9B">
        <w:trPr>
          <w:cantSplit/>
        </w:trPr>
        <w:tc>
          <w:tcPr>
            <w:tcW w:w="2126" w:type="pct"/>
            <w:shd w:val="clear" w:color="auto" w:fill="auto"/>
          </w:tcPr>
          <w:p w14:paraId="26ABCED2" w14:textId="77777777" w:rsidR="00A12F9B" w:rsidRPr="00CE60B2" w:rsidRDefault="00A12F9B" w:rsidP="00A12F9B">
            <w:pPr>
              <w:rPr>
                <w:rFonts w:cs="Segoe UI"/>
                <w:lang w:eastAsia="en-AU"/>
              </w:rPr>
            </w:pPr>
            <w:r w:rsidRPr="00CE60B2">
              <w:rPr>
                <w:rFonts w:cs="Segoe UI"/>
                <w:lang w:eastAsia="en-AU"/>
              </w:rPr>
              <w:t>1998</w:t>
            </w:r>
          </w:p>
        </w:tc>
        <w:tc>
          <w:tcPr>
            <w:tcW w:w="1292" w:type="pct"/>
            <w:shd w:val="clear" w:color="auto" w:fill="auto"/>
          </w:tcPr>
          <w:p w14:paraId="26ABCED3" w14:textId="77777777" w:rsidR="00A12F9B" w:rsidRPr="00CE60B2" w:rsidRDefault="00A12F9B" w:rsidP="00A12F9B">
            <w:pPr>
              <w:rPr>
                <w:rFonts w:cs="Segoe UI"/>
                <w:lang w:eastAsia="en-AU"/>
              </w:rPr>
            </w:pPr>
            <w:r w:rsidRPr="00CE60B2">
              <w:rPr>
                <w:rFonts w:cs="Segoe UI"/>
                <w:lang w:eastAsia="en-AU"/>
              </w:rPr>
              <w:t>2639</w:t>
            </w:r>
          </w:p>
        </w:tc>
        <w:tc>
          <w:tcPr>
            <w:tcW w:w="1582" w:type="pct"/>
            <w:shd w:val="clear" w:color="auto" w:fill="auto"/>
          </w:tcPr>
          <w:p w14:paraId="26ABCED4" w14:textId="77777777" w:rsidR="00A12F9B" w:rsidRPr="00CE60B2" w:rsidRDefault="00A12F9B" w:rsidP="00A12F9B">
            <w:pPr>
              <w:rPr>
                <w:rFonts w:cs="Segoe UI"/>
                <w:lang w:eastAsia="en-AU"/>
              </w:rPr>
            </w:pPr>
            <w:r w:rsidRPr="00CE60B2">
              <w:rPr>
                <w:rFonts w:cs="Segoe UI"/>
                <w:lang w:eastAsia="en-AU"/>
              </w:rPr>
              <w:t>13,622</w:t>
            </w:r>
          </w:p>
        </w:tc>
      </w:tr>
      <w:tr w:rsidR="00A12F9B" w:rsidRPr="00CE60B2" w14:paraId="26ABCED9" w14:textId="77777777" w:rsidTr="00A12F9B">
        <w:trPr>
          <w:cantSplit/>
        </w:trPr>
        <w:tc>
          <w:tcPr>
            <w:tcW w:w="2126" w:type="pct"/>
            <w:shd w:val="clear" w:color="auto" w:fill="auto"/>
          </w:tcPr>
          <w:p w14:paraId="26ABCED6" w14:textId="77777777" w:rsidR="00A12F9B" w:rsidRPr="00CE60B2" w:rsidRDefault="00A12F9B" w:rsidP="00A12F9B">
            <w:pPr>
              <w:rPr>
                <w:rFonts w:cs="Segoe UI"/>
                <w:lang w:eastAsia="en-AU"/>
              </w:rPr>
            </w:pPr>
            <w:r w:rsidRPr="00CE60B2">
              <w:rPr>
                <w:rFonts w:cs="Segoe UI"/>
                <w:lang w:eastAsia="en-AU"/>
              </w:rPr>
              <w:t>2001</w:t>
            </w:r>
          </w:p>
        </w:tc>
        <w:tc>
          <w:tcPr>
            <w:tcW w:w="1292" w:type="pct"/>
            <w:shd w:val="clear" w:color="auto" w:fill="auto"/>
          </w:tcPr>
          <w:p w14:paraId="26ABCED7" w14:textId="77777777" w:rsidR="00A12F9B" w:rsidRPr="00CE60B2" w:rsidRDefault="00A12F9B" w:rsidP="00A12F9B">
            <w:pPr>
              <w:rPr>
                <w:rFonts w:cs="Segoe UI"/>
                <w:lang w:eastAsia="en-AU"/>
              </w:rPr>
            </w:pPr>
            <w:r w:rsidRPr="00CE60B2">
              <w:rPr>
                <w:rFonts w:cs="Segoe UI"/>
                <w:lang w:eastAsia="en-AU"/>
              </w:rPr>
              <w:t>3178</w:t>
            </w:r>
          </w:p>
        </w:tc>
        <w:tc>
          <w:tcPr>
            <w:tcW w:w="1582" w:type="pct"/>
            <w:shd w:val="clear" w:color="auto" w:fill="auto"/>
          </w:tcPr>
          <w:p w14:paraId="26ABCED8" w14:textId="77777777" w:rsidR="00A12F9B" w:rsidRPr="00CE60B2" w:rsidRDefault="00A12F9B" w:rsidP="00A12F9B">
            <w:pPr>
              <w:rPr>
                <w:rFonts w:cs="Segoe UI"/>
                <w:lang w:eastAsia="en-AU"/>
              </w:rPr>
            </w:pPr>
            <w:r w:rsidRPr="00CE60B2">
              <w:rPr>
                <w:rFonts w:cs="Segoe UI"/>
                <w:lang w:eastAsia="en-AU"/>
              </w:rPr>
              <w:t>16,532</w:t>
            </w:r>
          </w:p>
        </w:tc>
      </w:tr>
      <w:tr w:rsidR="00A12F9B" w:rsidRPr="00CE60B2" w14:paraId="26ABCEDD" w14:textId="77777777" w:rsidTr="00A12F9B">
        <w:trPr>
          <w:cantSplit/>
        </w:trPr>
        <w:tc>
          <w:tcPr>
            <w:tcW w:w="2126" w:type="pct"/>
            <w:shd w:val="clear" w:color="auto" w:fill="auto"/>
          </w:tcPr>
          <w:p w14:paraId="26ABCEDA" w14:textId="77777777" w:rsidR="00A12F9B" w:rsidRPr="00CE60B2" w:rsidRDefault="00A12F9B" w:rsidP="00A12F9B">
            <w:pPr>
              <w:rPr>
                <w:rFonts w:cs="Segoe UI"/>
                <w:lang w:eastAsia="en-AU"/>
              </w:rPr>
            </w:pPr>
            <w:r w:rsidRPr="00CE60B2">
              <w:rPr>
                <w:rFonts w:cs="Segoe UI"/>
                <w:lang w:eastAsia="en-AU"/>
              </w:rPr>
              <w:t>2006</w:t>
            </w:r>
          </w:p>
        </w:tc>
        <w:tc>
          <w:tcPr>
            <w:tcW w:w="1292" w:type="pct"/>
            <w:shd w:val="clear" w:color="auto" w:fill="auto"/>
          </w:tcPr>
          <w:p w14:paraId="26ABCEDB" w14:textId="77777777" w:rsidR="00A12F9B" w:rsidRPr="00CE60B2" w:rsidRDefault="00A12F9B" w:rsidP="00A12F9B">
            <w:pPr>
              <w:rPr>
                <w:rFonts w:cs="Segoe UI"/>
                <w:lang w:eastAsia="en-AU"/>
              </w:rPr>
            </w:pPr>
            <w:r w:rsidRPr="00CE60B2">
              <w:rPr>
                <w:rFonts w:cs="Segoe UI"/>
                <w:lang w:eastAsia="en-AU"/>
              </w:rPr>
              <w:t>3000</w:t>
            </w:r>
          </w:p>
        </w:tc>
        <w:tc>
          <w:tcPr>
            <w:tcW w:w="1582" w:type="pct"/>
            <w:shd w:val="clear" w:color="auto" w:fill="auto"/>
          </w:tcPr>
          <w:p w14:paraId="26ABCEDC" w14:textId="77777777" w:rsidR="00A12F9B" w:rsidRPr="00CE60B2" w:rsidRDefault="00A12F9B" w:rsidP="00A12F9B">
            <w:pPr>
              <w:rPr>
                <w:rFonts w:cs="Segoe UI"/>
                <w:lang w:eastAsia="en-AU"/>
              </w:rPr>
            </w:pPr>
            <w:r w:rsidRPr="00CE60B2">
              <w:rPr>
                <w:rFonts w:cs="Segoe UI"/>
                <w:lang w:eastAsia="en-AU"/>
              </w:rPr>
              <w:t>n.r.</w:t>
            </w:r>
          </w:p>
        </w:tc>
      </w:tr>
      <w:tr w:rsidR="00A12F9B" w:rsidRPr="00CE60B2" w14:paraId="26ABCEE1" w14:textId="77777777" w:rsidTr="00A12F9B">
        <w:trPr>
          <w:cantSplit/>
        </w:trPr>
        <w:tc>
          <w:tcPr>
            <w:tcW w:w="2126" w:type="pct"/>
            <w:shd w:val="clear" w:color="auto" w:fill="auto"/>
          </w:tcPr>
          <w:p w14:paraId="26ABCEDE" w14:textId="77777777" w:rsidR="00A12F9B" w:rsidRPr="00CE60B2" w:rsidRDefault="00A12F9B" w:rsidP="00A12F9B">
            <w:pPr>
              <w:rPr>
                <w:rFonts w:cs="Segoe UI"/>
                <w:lang w:eastAsia="en-AU"/>
              </w:rPr>
            </w:pPr>
            <w:r w:rsidRPr="00CE60B2">
              <w:rPr>
                <w:rFonts w:cs="Segoe UI"/>
                <w:lang w:eastAsia="en-AU"/>
              </w:rPr>
              <w:t>2011</w:t>
            </w:r>
          </w:p>
        </w:tc>
        <w:tc>
          <w:tcPr>
            <w:tcW w:w="1292" w:type="pct"/>
            <w:shd w:val="clear" w:color="auto" w:fill="auto"/>
          </w:tcPr>
          <w:p w14:paraId="26ABCEDF" w14:textId="77777777" w:rsidR="00A12F9B" w:rsidRPr="00CE60B2" w:rsidRDefault="00A12F9B" w:rsidP="00A12F9B">
            <w:pPr>
              <w:rPr>
                <w:rFonts w:cs="Segoe UI"/>
                <w:lang w:eastAsia="en-AU"/>
              </w:rPr>
            </w:pPr>
            <w:r w:rsidRPr="00CE60B2">
              <w:rPr>
                <w:rFonts w:cs="Segoe UI"/>
                <w:lang w:eastAsia="en-AU"/>
              </w:rPr>
              <w:t>3320</w:t>
            </w:r>
          </w:p>
        </w:tc>
        <w:tc>
          <w:tcPr>
            <w:tcW w:w="1582" w:type="pct"/>
            <w:shd w:val="clear" w:color="auto" w:fill="auto"/>
          </w:tcPr>
          <w:p w14:paraId="26ABCEE0" w14:textId="77777777" w:rsidR="00A12F9B" w:rsidRPr="00CE60B2" w:rsidRDefault="00A12F9B" w:rsidP="00A12F9B">
            <w:pPr>
              <w:rPr>
                <w:rFonts w:cs="Segoe UI"/>
                <w:lang w:eastAsia="en-AU"/>
              </w:rPr>
            </w:pPr>
            <w:r w:rsidRPr="00CE60B2">
              <w:rPr>
                <w:rFonts w:cs="Segoe UI"/>
                <w:lang w:eastAsia="en-AU"/>
              </w:rPr>
              <w:t>16,836</w:t>
            </w:r>
          </w:p>
        </w:tc>
      </w:tr>
    </w:tbl>
    <w:p w14:paraId="26ABCEE2"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lang w:eastAsia="en-AU"/>
        </w:rPr>
        <w:t>Source: SOFR 2013</w:t>
      </w:r>
    </w:p>
    <w:p w14:paraId="26ABCEE3"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lang w:eastAsia="en-AU"/>
        </w:rPr>
        <w:t xml:space="preserve">Notes: </w:t>
      </w:r>
    </w:p>
    <w:p w14:paraId="26ABCEE4"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lang w:eastAsia="en-AU"/>
        </w:rPr>
        <w:t>— = not available.</w:t>
      </w:r>
    </w:p>
    <w:p w14:paraId="26ABCEE5" w14:textId="77777777" w:rsidR="00A12F9B" w:rsidRPr="00CE60B2" w:rsidRDefault="00A12F9B" w:rsidP="00A12F9B">
      <w:pPr>
        <w:spacing w:before="60" w:after="60"/>
        <w:rPr>
          <w:rFonts w:cs="Segoe UI"/>
          <w:bCs/>
          <w:kern w:val="28"/>
          <w:sz w:val="16"/>
          <w:szCs w:val="16"/>
          <w:lang w:eastAsia="en-AU"/>
        </w:rPr>
      </w:pPr>
      <w:r w:rsidRPr="00CE60B2">
        <w:rPr>
          <w:rFonts w:cs="Segoe UI"/>
          <w:bCs/>
          <w:kern w:val="28"/>
          <w:sz w:val="16"/>
          <w:szCs w:val="16"/>
          <w:lang w:eastAsia="en-AU"/>
        </w:rPr>
        <w:t xml:space="preserve">n.r. = not reported </w:t>
      </w:r>
    </w:p>
    <w:p w14:paraId="26ABCEE6" w14:textId="77777777" w:rsidR="00E25C9C" w:rsidRDefault="00E25C9C" w:rsidP="008A4979">
      <w:pPr>
        <w:pStyle w:val="Heading3"/>
      </w:pPr>
    </w:p>
    <w:p w14:paraId="26ABCEE7" w14:textId="77777777" w:rsidR="00E25C9C" w:rsidRDefault="00E25C9C" w:rsidP="008A4979">
      <w:pPr>
        <w:pStyle w:val="Heading3"/>
      </w:pPr>
    </w:p>
    <w:p w14:paraId="26ABCEE8" w14:textId="77777777" w:rsidR="00AF064B" w:rsidRPr="00CE60B2" w:rsidRDefault="00DB510B" w:rsidP="008A4979">
      <w:pPr>
        <w:pStyle w:val="Heading3"/>
        <w:rPr>
          <w:lang w:eastAsia="en-AU"/>
        </w:rPr>
      </w:pPr>
      <w:bookmarkStart w:id="77" w:name="_Toc2776039"/>
      <w:r w:rsidRPr="00CE60B2">
        <w:lastRenderedPageBreak/>
        <w:t xml:space="preserve">Indicator </w:t>
      </w:r>
      <w:r w:rsidR="00AF064B" w:rsidRPr="00CE60B2">
        <w:rPr>
          <w:lang w:eastAsia="en-AU"/>
        </w:rPr>
        <w:t>1.2c</w:t>
      </w:r>
      <w:r w:rsidR="00AF064B" w:rsidRPr="00CE60B2">
        <w:rPr>
          <w:lang w:eastAsia="en-AU"/>
        </w:rPr>
        <w:tab/>
        <w:t>Representative species from a range of habitats monitored at scales relevant to regional forest management</w:t>
      </w:r>
      <w:bookmarkEnd w:id="71"/>
      <w:bookmarkEnd w:id="77"/>
    </w:p>
    <w:p w14:paraId="26ABCEE9" w14:textId="77777777" w:rsidR="00A12F9B" w:rsidRPr="00CE60B2" w:rsidRDefault="00A12F9B" w:rsidP="00A12F9B">
      <w:pPr>
        <w:rPr>
          <w:rFonts w:cs="Segoe UI"/>
        </w:rPr>
      </w:pPr>
      <w:r w:rsidRPr="00CE60B2">
        <w:rPr>
          <w:rFonts w:cs="Segoe UI"/>
        </w:rPr>
        <w:t>This indicator provides broad habitat, population and range information for representative forest dwelling flora and fauna. Evidence of changing ranges or densities of forest dwelling species can be used to guide forest management activities so that they are consistent with maintenance of forest biodiversity.</w:t>
      </w:r>
    </w:p>
    <w:p w14:paraId="26ABCEEA" w14:textId="77777777" w:rsidR="00A12F9B" w:rsidRPr="00CE60B2" w:rsidRDefault="00A12F9B" w:rsidP="008A4979">
      <w:pPr>
        <w:pStyle w:val="Heading4"/>
        <w:rPr>
          <w:rFonts w:cs="Segoe UI"/>
          <w:lang w:eastAsia="ja-JP"/>
        </w:rPr>
      </w:pPr>
      <w:r w:rsidRPr="00CE60B2">
        <w:rPr>
          <w:rFonts w:cs="Segoe UI"/>
          <w:lang w:eastAsia="ja-JP"/>
        </w:rPr>
        <w:t>Scientific Studies</w:t>
      </w:r>
    </w:p>
    <w:p w14:paraId="26ABCEEB" w14:textId="77777777" w:rsidR="00A12F9B" w:rsidRPr="00CE60B2" w:rsidRDefault="00A12F9B" w:rsidP="00FF0D54">
      <w:pPr>
        <w:spacing w:before="0"/>
        <w:rPr>
          <w:rFonts w:cs="Segoe UI"/>
        </w:rPr>
      </w:pPr>
      <w:r w:rsidRPr="00CE60B2">
        <w:rPr>
          <w:rFonts w:cs="Segoe UI"/>
        </w:rPr>
        <w:t xml:space="preserve">Knowledge of the distribution and abundance of a broad suite of plant and animal species has been enhanced during the period of the RFA by the </w:t>
      </w:r>
      <w:r w:rsidRPr="00CE60B2">
        <w:rPr>
          <w:rFonts w:cs="Segoe UI"/>
          <w:i/>
        </w:rPr>
        <w:t>FORESTCHECK</w:t>
      </w:r>
      <w:r w:rsidRPr="00CE60B2">
        <w:rPr>
          <w:rFonts w:cs="Segoe UI"/>
        </w:rPr>
        <w:t xml:space="preserve"> integrated biodiversity monitoring project. </w:t>
      </w:r>
      <w:r w:rsidRPr="00CE60B2">
        <w:rPr>
          <w:rFonts w:cs="Segoe UI"/>
          <w:i/>
        </w:rPr>
        <w:t>FORESTCHECK</w:t>
      </w:r>
      <w:r w:rsidRPr="00CE60B2">
        <w:rPr>
          <w:rFonts w:cs="Segoe UI"/>
        </w:rPr>
        <w:t xml:space="preserve"> is a long-term, landscape-scale monitoring project which began in 2001 to provide information for forest managers about changes and trends in biodiversity associated with timber harvesting and silvicultural treatments in jarrah forest (McCaw et al. 2011). The project was designed to support state, national and international reporting obligations to ensure that forests are managed in an e</w:t>
      </w:r>
      <w:r w:rsidR="00FF0D54">
        <w:rPr>
          <w:rFonts w:cs="Segoe UI"/>
        </w:rPr>
        <w:t>cologically sustainable manner.</w:t>
      </w:r>
    </w:p>
    <w:p w14:paraId="26ABCEEC" w14:textId="77777777" w:rsidR="00A12F9B" w:rsidRPr="00CE60B2" w:rsidRDefault="00A12F9B" w:rsidP="00FF0D54">
      <w:pPr>
        <w:spacing w:before="0"/>
        <w:rPr>
          <w:rFonts w:cs="Segoe UI"/>
        </w:rPr>
      </w:pPr>
      <w:r w:rsidRPr="00CE60B2">
        <w:rPr>
          <w:rFonts w:cs="Segoe UI"/>
        </w:rPr>
        <w:t xml:space="preserve">The </w:t>
      </w:r>
      <w:r w:rsidRPr="00CE60B2">
        <w:rPr>
          <w:rFonts w:cs="Segoe UI"/>
          <w:i/>
        </w:rPr>
        <w:t>FORESTCHECK</w:t>
      </w:r>
      <w:r w:rsidRPr="00CE60B2">
        <w:rPr>
          <w:rFonts w:cs="Segoe UI"/>
        </w:rPr>
        <w:t xml:space="preserve"> program samples a wide range of organisms at multiple sites across the jarrah forest and has highlighted the extraordinary biodiversity that exists in the jarrah forest ecosystems. Monitoring covers five RFA jarrah forest ecosystems (J South, J North West, J North east, J Blackwood, J Sandy Basins) and includes a range of stand structural attributes including stand density, litter and coarse woody debris to inform sampling of biodiversity elements. The network currently has 67 grids established on a standardised pattern, of which 48 have surveyed at least twice and some grids surveyed three times. The project has identified an abundance of relatively unknown species of invertebrates, fungi and lichens, many of which have been collected a</w:t>
      </w:r>
      <w:r w:rsidR="00FF0D54">
        <w:rPr>
          <w:rFonts w:cs="Segoe UI"/>
        </w:rPr>
        <w:t>nd recorded for the first time.</w:t>
      </w:r>
    </w:p>
    <w:p w14:paraId="26ABCEED" w14:textId="77777777" w:rsidR="00A12F9B" w:rsidRPr="00CE60B2" w:rsidRDefault="00A12F9B" w:rsidP="00FF0D54">
      <w:pPr>
        <w:spacing w:before="0"/>
        <w:rPr>
          <w:rFonts w:cs="Segoe UI"/>
        </w:rPr>
      </w:pPr>
      <w:r w:rsidRPr="00CE60B2">
        <w:rPr>
          <w:rFonts w:cs="Segoe UI"/>
        </w:rPr>
        <w:t xml:space="preserve">In 2011, a special issue of the Australian Forestry journal was devoted to the findings from </w:t>
      </w:r>
      <w:r w:rsidRPr="00CE60B2">
        <w:rPr>
          <w:rFonts w:cs="Segoe UI"/>
          <w:i/>
        </w:rPr>
        <w:t>FORESTCHECK</w:t>
      </w:r>
      <w:r w:rsidRPr="00CE60B2">
        <w:rPr>
          <w:rFonts w:cs="Segoe UI"/>
        </w:rPr>
        <w:t xml:space="preserve"> monitoring from the first five years of data collection. A key finding </w:t>
      </w:r>
      <w:r w:rsidR="00277731">
        <w:rPr>
          <w:rFonts w:cs="Segoe UI"/>
        </w:rPr>
        <w:t>wa</w:t>
      </w:r>
      <w:r w:rsidRPr="00CE60B2">
        <w:rPr>
          <w:rFonts w:cs="Segoe UI"/>
        </w:rPr>
        <w:t xml:space="preserve">s that timber harvesting in the jarrah forest does not have a major impact on the number of species present (Abbott and Williams 2011). While harvested forest areas can have a different composition of species to non-harvested forest for a period, the changes in species composition and abundance vary over time as a response to periodic disturbance. Natural disturbances such as storms, fire and drought also contribute to biological diversity at the local, regional and whole of forest scales. In addition to informing forest managers on the effects of timber harvesting on biodiversity, </w:t>
      </w:r>
      <w:r w:rsidRPr="00CE60B2">
        <w:rPr>
          <w:rFonts w:cs="Segoe UI"/>
          <w:i/>
        </w:rPr>
        <w:t>FORESTCHECK</w:t>
      </w:r>
      <w:r w:rsidRPr="00CE60B2">
        <w:rPr>
          <w:rFonts w:cs="Segoe UI"/>
        </w:rPr>
        <w:t xml:space="preserve"> has shown that the pattern of occurrence of a broad range of biodiversity is strongly related to the vegetation systems and forest ecosystems mapped for the WA RFA region. This important finding supports the use of these vegetation categories as the original basis in the WA RFA for the des</w:t>
      </w:r>
      <w:r w:rsidR="00FF0D54">
        <w:rPr>
          <w:rFonts w:cs="Segoe UI"/>
        </w:rPr>
        <w:t xml:space="preserve">ign of the CAR reserve system. </w:t>
      </w:r>
    </w:p>
    <w:p w14:paraId="26ABCEEE" w14:textId="77777777" w:rsidR="00A12F9B" w:rsidRPr="00CE60B2" w:rsidRDefault="00A12F9B" w:rsidP="00FF0D54">
      <w:pPr>
        <w:spacing w:before="0"/>
        <w:rPr>
          <w:rFonts w:cs="Segoe UI"/>
        </w:rPr>
      </w:pPr>
      <w:r w:rsidRPr="00CE60B2">
        <w:rPr>
          <w:rFonts w:cs="Segoe UI"/>
          <w:i/>
        </w:rPr>
        <w:t xml:space="preserve">FORESTCHECK </w:t>
      </w:r>
      <w:r w:rsidRPr="00CE60B2">
        <w:rPr>
          <w:rFonts w:cs="Segoe UI"/>
        </w:rPr>
        <w:t xml:space="preserve">has also provided a framework for monitoring the effect on flora and fauna of such unplanned events as the high intensity bushfires (e.g. the Lower Hotham bushfire in 2015). Comprehensive pre-fire datasets have provided a baseline against which the subsequent changes and recovery can be interpreted. </w:t>
      </w:r>
    </w:p>
    <w:p w14:paraId="26ABCEEF" w14:textId="77777777" w:rsidR="00A12F9B" w:rsidRPr="00CE60B2" w:rsidRDefault="00A12F9B" w:rsidP="00A12F9B">
      <w:pPr>
        <w:spacing w:before="0" w:after="0"/>
        <w:rPr>
          <w:rFonts w:cs="Segoe UI"/>
        </w:rPr>
      </w:pPr>
    </w:p>
    <w:p w14:paraId="26ABCEF0" w14:textId="77777777" w:rsidR="00A12F9B" w:rsidRPr="00CE60B2" w:rsidRDefault="00A12F9B" w:rsidP="00FF0D54">
      <w:pPr>
        <w:spacing w:before="0"/>
        <w:rPr>
          <w:rFonts w:cs="Segoe UI"/>
        </w:rPr>
      </w:pPr>
      <w:r w:rsidRPr="00CE60B2">
        <w:rPr>
          <w:rFonts w:cs="Segoe UI"/>
        </w:rPr>
        <w:lastRenderedPageBreak/>
        <w:t xml:space="preserve">Additional biological surveys of the flora and vegetation complexes within the Whicher Scarp (near Busselton) identified the area as containing a diverse and rich flora including many rare species, endemic species, species at the end of their distribution range, restricted and rare wetland communities, and a diverse suite of woodland communities. The Whicher Scarp was subsequently defined as a separate forest ecosystem, and additional formal reserves were proposed in the FMP </w:t>
      </w:r>
      <w:r w:rsidR="00FF0D54">
        <w:rPr>
          <w:rFonts w:cs="Segoe UI"/>
        </w:rPr>
        <w:t>2014–2023.</w:t>
      </w:r>
    </w:p>
    <w:p w14:paraId="26ABCEF1" w14:textId="77777777" w:rsidR="00D96965" w:rsidRDefault="00A12F9B" w:rsidP="00FF0D54">
      <w:pPr>
        <w:spacing w:before="0"/>
        <w:rPr>
          <w:rFonts w:cs="Segoe UI"/>
        </w:rPr>
      </w:pPr>
      <w:r w:rsidRPr="00CE60B2">
        <w:rPr>
          <w:rFonts w:cs="Segoe UI"/>
        </w:rPr>
        <w:t xml:space="preserve">An analysis of relative effort for biodiversity surveys across the RFA region was undertaken by Chapman and McCaw (2017). Information gathered during 420 past surveys was collated into a </w:t>
      </w:r>
      <w:r w:rsidR="006C03A0" w:rsidRPr="00CE60B2">
        <w:rPr>
          <w:rFonts w:cs="Segoe UI"/>
        </w:rPr>
        <w:t>metadata base</w:t>
      </w:r>
      <w:r w:rsidRPr="00CE60B2">
        <w:rPr>
          <w:rFonts w:cs="Segoe UI"/>
        </w:rPr>
        <w:t xml:space="preserve"> linked to a spatial geodatabase, and multicriteria modelling then used to rank the relative survey effort in landscape conservation units. The results indicated that the western, particularly the south-western, parts of the study area were relatively well surveyed while eastern parts were relatively poorly surveyed. This is likely to reflect greater habitat loss and fragmentation of vegetation on the eastern margins of the forest estate where it adjoins the extensively cleared Western Australia wheatbelt. There was also an emphasis on monitoring biodiversity in forest habitats closer to the main population centres of the south-west. The results of this analysis provide a basis for assessing future survey needs for the region which should also consider: patterns of distribution in species richness; the extent, connectivity and conservation status of native vegetation; and the relative risks posed to biodiversity by infrastructure and industrial land uses.</w:t>
      </w:r>
    </w:p>
    <w:p w14:paraId="26ABCEF2" w14:textId="6258707D" w:rsidR="00A12F9B" w:rsidRPr="00CE60B2" w:rsidRDefault="00713D83" w:rsidP="00FF0D54">
      <w:pPr>
        <w:spacing w:before="0"/>
        <w:rPr>
          <w:rFonts w:cs="Segoe UI"/>
          <w:b/>
          <w:sz w:val="18"/>
          <w:szCs w:val="18"/>
        </w:rPr>
      </w:pPr>
      <w:r w:rsidRPr="00FF0D54">
        <w:rPr>
          <w:rFonts w:cs="Segoe UI"/>
        </w:rPr>
        <w:fldChar w:fldCharType="begin"/>
      </w:r>
      <w:r w:rsidRPr="00FF0D54">
        <w:rPr>
          <w:rFonts w:cs="Segoe UI"/>
        </w:rPr>
        <w:instrText xml:space="preserve"> REF _Ref530989817 \h  \* MERGEFORMAT </w:instrText>
      </w:r>
      <w:r w:rsidRPr="00FF0D54">
        <w:rPr>
          <w:rFonts w:cs="Segoe UI"/>
        </w:rPr>
      </w:r>
      <w:r w:rsidRPr="00FF0D54">
        <w:rPr>
          <w:rFonts w:cs="Segoe UI"/>
        </w:rPr>
        <w:fldChar w:fldCharType="separate"/>
      </w:r>
      <w:r w:rsidR="003C7091">
        <w:t xml:space="preserve">Table </w:t>
      </w:r>
      <w:r w:rsidR="003C7091">
        <w:rPr>
          <w:noProof/>
        </w:rPr>
        <w:t>14</w:t>
      </w:r>
      <w:r w:rsidRPr="00FF0D54">
        <w:rPr>
          <w:rFonts w:cs="Segoe UI"/>
        </w:rPr>
        <w:fldChar w:fldCharType="end"/>
      </w:r>
      <w:r w:rsidR="00D96965">
        <w:rPr>
          <w:rFonts w:cs="Segoe UI"/>
        </w:rPr>
        <w:t xml:space="preserve"> provides an overview (as at 2018) of the range of taxonomic groups for which representative species are monitored at scales relevant to forest management within the RFA region.</w:t>
      </w:r>
      <w:r w:rsidR="007A3BF4">
        <w:rPr>
          <w:rFonts w:cs="Segoe UI"/>
          <w:b/>
          <w:sz w:val="18"/>
          <w:szCs w:val="18"/>
        </w:rPr>
        <w:t xml:space="preserve"> </w:t>
      </w:r>
    </w:p>
    <w:p w14:paraId="26ABCEF3" w14:textId="2A1FDEAB" w:rsidR="007A3BF4" w:rsidRDefault="007A3BF4" w:rsidP="007A3BF4">
      <w:pPr>
        <w:pStyle w:val="Caption"/>
        <w:keepNext/>
      </w:pPr>
      <w:bookmarkStart w:id="78" w:name="_Ref530989817"/>
      <w:bookmarkStart w:id="79" w:name="_Toc531002175"/>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14</w:t>
      </w:r>
      <w:r w:rsidR="005C10D4">
        <w:rPr>
          <w:noProof/>
        </w:rPr>
        <w:fldChar w:fldCharType="end"/>
      </w:r>
      <w:bookmarkEnd w:id="78"/>
      <w:r>
        <w:t xml:space="preserve">: </w:t>
      </w:r>
      <w:r w:rsidRPr="005F677C">
        <w:t>Taxonomic groups for which representative species are monitored in the WA RFA region</w:t>
      </w:r>
      <w:bookmarkEnd w:id="79"/>
    </w:p>
    <w:tbl>
      <w:tblPr>
        <w:tblStyle w:val="TableGrid"/>
        <w:tblW w:w="0" w:type="auto"/>
        <w:tblLook w:val="04A0" w:firstRow="1" w:lastRow="0" w:firstColumn="1" w:lastColumn="0" w:noHBand="0" w:noVBand="1"/>
      </w:tblPr>
      <w:tblGrid>
        <w:gridCol w:w="4520"/>
        <w:gridCol w:w="4540"/>
      </w:tblGrid>
      <w:tr w:rsidR="00A12F9B" w:rsidRPr="00CE60B2" w14:paraId="26ABCEF6" w14:textId="77777777" w:rsidTr="002643B1">
        <w:trPr>
          <w:trHeight w:val="397"/>
        </w:trPr>
        <w:tc>
          <w:tcPr>
            <w:tcW w:w="4520" w:type="dxa"/>
            <w:shd w:val="clear" w:color="auto" w:fill="DFEFE1" w:themeFill="accent3" w:themeFillTint="66"/>
            <w:vAlign w:val="center"/>
          </w:tcPr>
          <w:p w14:paraId="26ABCEF4" w14:textId="77777777" w:rsidR="00A12F9B" w:rsidRPr="00CE60B2" w:rsidRDefault="00A12F9B" w:rsidP="00A12F9B">
            <w:pPr>
              <w:rPr>
                <w:rFonts w:cs="Segoe UI"/>
                <w:sz w:val="16"/>
                <w:szCs w:val="18"/>
              </w:rPr>
            </w:pPr>
            <w:r w:rsidRPr="00CE60B2">
              <w:rPr>
                <w:rFonts w:cs="Segoe UI"/>
                <w:b/>
                <w:sz w:val="16"/>
                <w:szCs w:val="18"/>
              </w:rPr>
              <w:t>Fauna species groups</w:t>
            </w:r>
          </w:p>
        </w:tc>
        <w:tc>
          <w:tcPr>
            <w:tcW w:w="4540" w:type="dxa"/>
            <w:shd w:val="clear" w:color="auto" w:fill="DFEFE1" w:themeFill="accent3" w:themeFillTint="66"/>
            <w:vAlign w:val="center"/>
          </w:tcPr>
          <w:p w14:paraId="26ABCEF5" w14:textId="77777777" w:rsidR="00A12F9B" w:rsidRPr="00CE60B2" w:rsidRDefault="00A12F9B" w:rsidP="00A12F9B">
            <w:pPr>
              <w:jc w:val="center"/>
              <w:rPr>
                <w:rFonts w:cs="Segoe UI"/>
                <w:b/>
                <w:sz w:val="16"/>
                <w:szCs w:val="18"/>
              </w:rPr>
            </w:pPr>
            <w:r w:rsidRPr="00CE60B2">
              <w:rPr>
                <w:rFonts w:cs="Segoe UI"/>
                <w:b/>
                <w:sz w:val="16"/>
                <w:szCs w:val="18"/>
              </w:rPr>
              <w:t>Number of representative species monitored</w:t>
            </w:r>
          </w:p>
        </w:tc>
      </w:tr>
      <w:tr w:rsidR="00A12F9B" w:rsidRPr="00CE60B2" w14:paraId="26ABCEF9" w14:textId="77777777" w:rsidTr="002643B1">
        <w:trPr>
          <w:trHeight w:val="397"/>
        </w:trPr>
        <w:tc>
          <w:tcPr>
            <w:tcW w:w="4520" w:type="dxa"/>
            <w:vAlign w:val="center"/>
          </w:tcPr>
          <w:p w14:paraId="26ABCEF7" w14:textId="77777777" w:rsidR="00A12F9B" w:rsidRPr="00CE60B2" w:rsidRDefault="00A12F9B" w:rsidP="00A12F9B">
            <w:pPr>
              <w:rPr>
                <w:rFonts w:cs="Segoe UI"/>
                <w:sz w:val="16"/>
                <w:szCs w:val="18"/>
              </w:rPr>
            </w:pPr>
            <w:r w:rsidRPr="00CE60B2">
              <w:rPr>
                <w:rFonts w:cs="Segoe UI"/>
                <w:sz w:val="16"/>
                <w:szCs w:val="18"/>
              </w:rPr>
              <w:t>Arboreal mammals</w:t>
            </w:r>
          </w:p>
        </w:tc>
        <w:tc>
          <w:tcPr>
            <w:tcW w:w="4540" w:type="dxa"/>
            <w:vAlign w:val="center"/>
          </w:tcPr>
          <w:p w14:paraId="26ABCEF8" w14:textId="77777777" w:rsidR="00A12F9B" w:rsidRPr="00CE60B2" w:rsidRDefault="00A12F9B" w:rsidP="00A12F9B">
            <w:pPr>
              <w:rPr>
                <w:rFonts w:cs="Segoe UI"/>
                <w:sz w:val="16"/>
                <w:szCs w:val="18"/>
              </w:rPr>
            </w:pPr>
            <w:r w:rsidRPr="00CE60B2">
              <w:rPr>
                <w:rFonts w:cs="Segoe UI"/>
                <w:sz w:val="16"/>
                <w:szCs w:val="18"/>
              </w:rPr>
              <w:t>3</w:t>
            </w:r>
          </w:p>
        </w:tc>
      </w:tr>
      <w:tr w:rsidR="00A12F9B" w:rsidRPr="00CE60B2" w14:paraId="26ABCEFC" w14:textId="77777777" w:rsidTr="002643B1">
        <w:trPr>
          <w:trHeight w:val="397"/>
        </w:trPr>
        <w:tc>
          <w:tcPr>
            <w:tcW w:w="4520" w:type="dxa"/>
            <w:vAlign w:val="center"/>
          </w:tcPr>
          <w:p w14:paraId="26ABCEFA" w14:textId="77777777" w:rsidR="00A12F9B" w:rsidRPr="00CE60B2" w:rsidRDefault="00A12F9B" w:rsidP="00A12F9B">
            <w:pPr>
              <w:rPr>
                <w:rFonts w:cs="Segoe UI"/>
                <w:sz w:val="16"/>
                <w:szCs w:val="18"/>
              </w:rPr>
            </w:pPr>
            <w:r w:rsidRPr="00CE60B2">
              <w:rPr>
                <w:rFonts w:cs="Segoe UI"/>
                <w:sz w:val="16"/>
                <w:szCs w:val="18"/>
              </w:rPr>
              <w:t>Ground-living mammals</w:t>
            </w:r>
          </w:p>
        </w:tc>
        <w:tc>
          <w:tcPr>
            <w:tcW w:w="4540" w:type="dxa"/>
            <w:vAlign w:val="center"/>
          </w:tcPr>
          <w:p w14:paraId="26ABCEFB" w14:textId="77777777" w:rsidR="00A12F9B" w:rsidRPr="00CE60B2" w:rsidRDefault="00A12F9B" w:rsidP="00A12F9B">
            <w:pPr>
              <w:rPr>
                <w:rFonts w:cs="Segoe UI"/>
                <w:sz w:val="16"/>
                <w:szCs w:val="18"/>
              </w:rPr>
            </w:pPr>
            <w:r w:rsidRPr="00CE60B2">
              <w:rPr>
                <w:rFonts w:cs="Segoe UI"/>
                <w:sz w:val="16"/>
                <w:szCs w:val="18"/>
              </w:rPr>
              <w:t>14</w:t>
            </w:r>
          </w:p>
        </w:tc>
      </w:tr>
      <w:tr w:rsidR="00A12F9B" w:rsidRPr="00CE60B2" w14:paraId="26ABCEFF" w14:textId="77777777" w:rsidTr="002643B1">
        <w:trPr>
          <w:trHeight w:val="397"/>
        </w:trPr>
        <w:tc>
          <w:tcPr>
            <w:tcW w:w="4520" w:type="dxa"/>
            <w:vAlign w:val="center"/>
          </w:tcPr>
          <w:p w14:paraId="26ABCEFD" w14:textId="77777777" w:rsidR="00A12F9B" w:rsidRPr="00CE60B2" w:rsidRDefault="00A12F9B" w:rsidP="00A12F9B">
            <w:pPr>
              <w:rPr>
                <w:rFonts w:cs="Segoe UI"/>
                <w:sz w:val="16"/>
                <w:szCs w:val="18"/>
              </w:rPr>
            </w:pPr>
            <w:r w:rsidRPr="00CE60B2">
              <w:rPr>
                <w:rFonts w:cs="Segoe UI"/>
                <w:sz w:val="16"/>
                <w:szCs w:val="18"/>
              </w:rPr>
              <w:t>Bats</w:t>
            </w:r>
          </w:p>
        </w:tc>
        <w:tc>
          <w:tcPr>
            <w:tcW w:w="4540" w:type="dxa"/>
            <w:vAlign w:val="center"/>
          </w:tcPr>
          <w:p w14:paraId="26ABCEFE" w14:textId="77777777" w:rsidR="00A12F9B" w:rsidRPr="00CE60B2" w:rsidRDefault="00A12F9B" w:rsidP="00A12F9B">
            <w:pPr>
              <w:rPr>
                <w:rFonts w:cs="Segoe UI"/>
                <w:sz w:val="16"/>
                <w:szCs w:val="18"/>
              </w:rPr>
            </w:pPr>
            <w:r w:rsidRPr="00CE60B2">
              <w:rPr>
                <w:rFonts w:cs="Segoe UI"/>
                <w:sz w:val="16"/>
                <w:szCs w:val="18"/>
              </w:rPr>
              <w:t>No regular monitoring of bats.</w:t>
            </w:r>
          </w:p>
        </w:tc>
      </w:tr>
      <w:tr w:rsidR="00A12F9B" w:rsidRPr="00CE60B2" w14:paraId="26ABCF02" w14:textId="77777777" w:rsidTr="002643B1">
        <w:trPr>
          <w:trHeight w:val="397"/>
        </w:trPr>
        <w:tc>
          <w:tcPr>
            <w:tcW w:w="4520" w:type="dxa"/>
            <w:vAlign w:val="center"/>
          </w:tcPr>
          <w:p w14:paraId="26ABCF00" w14:textId="77777777" w:rsidR="00A12F9B" w:rsidRPr="00CE60B2" w:rsidRDefault="00A12F9B" w:rsidP="00A12F9B">
            <w:pPr>
              <w:rPr>
                <w:rFonts w:cs="Segoe UI"/>
                <w:sz w:val="16"/>
                <w:szCs w:val="18"/>
              </w:rPr>
            </w:pPr>
            <w:r w:rsidRPr="00CE60B2">
              <w:rPr>
                <w:rFonts w:cs="Segoe UI"/>
                <w:sz w:val="16"/>
                <w:szCs w:val="18"/>
              </w:rPr>
              <w:t>Amphibians</w:t>
            </w:r>
          </w:p>
        </w:tc>
        <w:tc>
          <w:tcPr>
            <w:tcW w:w="4540" w:type="dxa"/>
            <w:vAlign w:val="center"/>
          </w:tcPr>
          <w:p w14:paraId="26ABCF01" w14:textId="77777777" w:rsidR="00A12F9B" w:rsidRPr="00CE60B2" w:rsidRDefault="00A12F9B" w:rsidP="00A12F9B">
            <w:pPr>
              <w:rPr>
                <w:rFonts w:cs="Segoe UI"/>
                <w:sz w:val="16"/>
                <w:szCs w:val="18"/>
              </w:rPr>
            </w:pPr>
            <w:r w:rsidRPr="00CE60B2">
              <w:rPr>
                <w:rFonts w:cs="Segoe UI"/>
                <w:sz w:val="16"/>
                <w:szCs w:val="18"/>
              </w:rPr>
              <w:t>13</w:t>
            </w:r>
          </w:p>
        </w:tc>
      </w:tr>
      <w:tr w:rsidR="00A12F9B" w:rsidRPr="00CE60B2" w14:paraId="26ABCF05" w14:textId="77777777" w:rsidTr="002643B1">
        <w:trPr>
          <w:trHeight w:val="397"/>
        </w:trPr>
        <w:tc>
          <w:tcPr>
            <w:tcW w:w="4520" w:type="dxa"/>
            <w:vAlign w:val="center"/>
          </w:tcPr>
          <w:p w14:paraId="26ABCF03" w14:textId="77777777" w:rsidR="00A12F9B" w:rsidRPr="00CE60B2" w:rsidRDefault="00A12F9B" w:rsidP="00A12F9B">
            <w:pPr>
              <w:rPr>
                <w:rFonts w:cs="Segoe UI"/>
                <w:sz w:val="16"/>
                <w:szCs w:val="18"/>
              </w:rPr>
            </w:pPr>
            <w:r w:rsidRPr="00CE60B2">
              <w:rPr>
                <w:rFonts w:cs="Segoe UI"/>
                <w:sz w:val="16"/>
                <w:szCs w:val="18"/>
              </w:rPr>
              <w:t>Fish</w:t>
            </w:r>
          </w:p>
        </w:tc>
        <w:tc>
          <w:tcPr>
            <w:tcW w:w="4540" w:type="dxa"/>
            <w:vAlign w:val="center"/>
          </w:tcPr>
          <w:p w14:paraId="26ABCF04" w14:textId="77777777" w:rsidR="00A12F9B" w:rsidRPr="00CE60B2" w:rsidRDefault="00A12F9B" w:rsidP="00A12F9B">
            <w:pPr>
              <w:rPr>
                <w:rFonts w:cs="Segoe UI"/>
                <w:sz w:val="16"/>
                <w:szCs w:val="18"/>
              </w:rPr>
            </w:pPr>
            <w:r w:rsidRPr="00CE60B2">
              <w:rPr>
                <w:rFonts w:cs="Segoe UI"/>
                <w:sz w:val="16"/>
                <w:szCs w:val="18"/>
              </w:rPr>
              <w:t>No regular monitoring of fish.</w:t>
            </w:r>
          </w:p>
        </w:tc>
      </w:tr>
      <w:tr w:rsidR="00A12F9B" w:rsidRPr="00CE60B2" w14:paraId="26ABCF08" w14:textId="77777777" w:rsidTr="002643B1">
        <w:trPr>
          <w:trHeight w:val="397"/>
        </w:trPr>
        <w:tc>
          <w:tcPr>
            <w:tcW w:w="4520" w:type="dxa"/>
            <w:vAlign w:val="center"/>
          </w:tcPr>
          <w:p w14:paraId="26ABCF06" w14:textId="77777777" w:rsidR="00A12F9B" w:rsidRPr="00CE60B2" w:rsidRDefault="00A12F9B" w:rsidP="00A12F9B">
            <w:pPr>
              <w:rPr>
                <w:rFonts w:cs="Segoe UI"/>
                <w:sz w:val="16"/>
                <w:szCs w:val="18"/>
              </w:rPr>
            </w:pPr>
            <w:r w:rsidRPr="00CE60B2">
              <w:rPr>
                <w:rFonts w:cs="Segoe UI"/>
                <w:sz w:val="16"/>
                <w:szCs w:val="18"/>
              </w:rPr>
              <w:t>Non-raptor birds</w:t>
            </w:r>
          </w:p>
        </w:tc>
        <w:tc>
          <w:tcPr>
            <w:tcW w:w="4540" w:type="dxa"/>
            <w:vAlign w:val="center"/>
          </w:tcPr>
          <w:p w14:paraId="26ABCF07" w14:textId="77777777" w:rsidR="00A12F9B" w:rsidRPr="00CE60B2" w:rsidRDefault="00A12F9B" w:rsidP="00A12F9B">
            <w:pPr>
              <w:rPr>
                <w:rFonts w:cs="Segoe UI"/>
                <w:sz w:val="16"/>
                <w:szCs w:val="18"/>
              </w:rPr>
            </w:pPr>
            <w:r w:rsidRPr="00CE60B2">
              <w:rPr>
                <w:rFonts w:cs="Segoe UI"/>
                <w:sz w:val="16"/>
                <w:szCs w:val="18"/>
              </w:rPr>
              <w:t>57</w:t>
            </w:r>
          </w:p>
        </w:tc>
      </w:tr>
      <w:tr w:rsidR="00A12F9B" w:rsidRPr="00CE60B2" w14:paraId="26ABCF0B" w14:textId="77777777" w:rsidTr="002643B1">
        <w:trPr>
          <w:trHeight w:val="397"/>
        </w:trPr>
        <w:tc>
          <w:tcPr>
            <w:tcW w:w="4520" w:type="dxa"/>
            <w:vAlign w:val="center"/>
          </w:tcPr>
          <w:p w14:paraId="26ABCF09" w14:textId="77777777" w:rsidR="00A12F9B" w:rsidRPr="00CE60B2" w:rsidRDefault="00A12F9B" w:rsidP="00A12F9B">
            <w:pPr>
              <w:rPr>
                <w:rFonts w:cs="Segoe UI"/>
                <w:sz w:val="16"/>
                <w:szCs w:val="18"/>
              </w:rPr>
            </w:pPr>
            <w:r w:rsidRPr="00CE60B2">
              <w:rPr>
                <w:rFonts w:cs="Segoe UI"/>
                <w:sz w:val="16"/>
                <w:szCs w:val="18"/>
              </w:rPr>
              <w:t>Raptor birds</w:t>
            </w:r>
          </w:p>
        </w:tc>
        <w:tc>
          <w:tcPr>
            <w:tcW w:w="4540" w:type="dxa"/>
            <w:vAlign w:val="center"/>
          </w:tcPr>
          <w:p w14:paraId="26ABCF0A" w14:textId="77777777" w:rsidR="00A12F9B" w:rsidRPr="00CE60B2" w:rsidRDefault="00A12F9B" w:rsidP="00A12F9B">
            <w:pPr>
              <w:rPr>
                <w:rFonts w:cs="Segoe UI"/>
                <w:sz w:val="16"/>
                <w:szCs w:val="18"/>
              </w:rPr>
            </w:pPr>
            <w:r w:rsidRPr="00CE60B2">
              <w:rPr>
                <w:rFonts w:cs="Segoe UI"/>
                <w:sz w:val="16"/>
                <w:szCs w:val="18"/>
              </w:rPr>
              <w:t>Monitoring of Wedge-tailed eagle.</w:t>
            </w:r>
          </w:p>
        </w:tc>
      </w:tr>
      <w:tr w:rsidR="00A12F9B" w:rsidRPr="00CE60B2" w14:paraId="26ABCF0E" w14:textId="77777777" w:rsidTr="002643B1">
        <w:trPr>
          <w:trHeight w:val="397"/>
        </w:trPr>
        <w:tc>
          <w:tcPr>
            <w:tcW w:w="4520" w:type="dxa"/>
            <w:vAlign w:val="center"/>
          </w:tcPr>
          <w:p w14:paraId="26ABCF0C" w14:textId="77777777" w:rsidR="00A12F9B" w:rsidRPr="00CE60B2" w:rsidRDefault="00A12F9B" w:rsidP="00A12F9B">
            <w:pPr>
              <w:rPr>
                <w:rFonts w:cs="Segoe UI"/>
                <w:sz w:val="16"/>
                <w:szCs w:val="18"/>
              </w:rPr>
            </w:pPr>
            <w:r w:rsidRPr="00CE60B2">
              <w:rPr>
                <w:rFonts w:cs="Segoe UI"/>
                <w:sz w:val="16"/>
                <w:szCs w:val="18"/>
              </w:rPr>
              <w:t>Reptiles</w:t>
            </w:r>
          </w:p>
        </w:tc>
        <w:tc>
          <w:tcPr>
            <w:tcW w:w="4540" w:type="dxa"/>
            <w:vAlign w:val="center"/>
          </w:tcPr>
          <w:p w14:paraId="26ABCF0D" w14:textId="77777777" w:rsidR="00A12F9B" w:rsidRPr="00CE60B2" w:rsidRDefault="00A12F9B" w:rsidP="00A12F9B">
            <w:pPr>
              <w:rPr>
                <w:rFonts w:cs="Segoe UI"/>
                <w:sz w:val="16"/>
                <w:szCs w:val="16"/>
              </w:rPr>
            </w:pPr>
            <w:r w:rsidRPr="00CE60B2">
              <w:rPr>
                <w:rFonts w:cs="Segoe UI"/>
                <w:sz w:val="16"/>
                <w:szCs w:val="16"/>
              </w:rPr>
              <w:t>33</w:t>
            </w:r>
          </w:p>
        </w:tc>
      </w:tr>
      <w:tr w:rsidR="00A12F9B" w:rsidRPr="00CE60B2" w14:paraId="26ABCF12" w14:textId="77777777" w:rsidTr="002643B1">
        <w:trPr>
          <w:trHeight w:val="397"/>
        </w:trPr>
        <w:tc>
          <w:tcPr>
            <w:tcW w:w="4520" w:type="dxa"/>
            <w:vAlign w:val="center"/>
          </w:tcPr>
          <w:p w14:paraId="26ABCF0F" w14:textId="77777777" w:rsidR="00A12F9B" w:rsidRPr="00CE60B2" w:rsidRDefault="00A12F9B" w:rsidP="00A12F9B">
            <w:pPr>
              <w:rPr>
                <w:rFonts w:cs="Segoe UI"/>
                <w:sz w:val="16"/>
                <w:szCs w:val="18"/>
              </w:rPr>
            </w:pPr>
            <w:r w:rsidRPr="00CE60B2">
              <w:rPr>
                <w:rFonts w:cs="Segoe UI"/>
                <w:sz w:val="16"/>
                <w:szCs w:val="18"/>
              </w:rPr>
              <w:t>Invertebrates</w:t>
            </w:r>
          </w:p>
        </w:tc>
        <w:tc>
          <w:tcPr>
            <w:tcW w:w="4540" w:type="dxa"/>
            <w:vAlign w:val="center"/>
          </w:tcPr>
          <w:p w14:paraId="26ABCF10" w14:textId="77777777" w:rsidR="00A12F9B" w:rsidRPr="00CE60B2" w:rsidRDefault="00A12F9B" w:rsidP="00A12F9B">
            <w:pPr>
              <w:rPr>
                <w:rFonts w:cs="Segoe UI"/>
                <w:sz w:val="16"/>
                <w:szCs w:val="18"/>
              </w:rPr>
            </w:pPr>
            <w:r w:rsidRPr="00CE60B2">
              <w:rPr>
                <w:rFonts w:cs="Segoe UI"/>
                <w:sz w:val="16"/>
                <w:szCs w:val="18"/>
              </w:rPr>
              <w:t xml:space="preserve">More than 2000 species of terrestrial invertebrates sampled by </w:t>
            </w:r>
            <w:r w:rsidRPr="00CE60B2">
              <w:rPr>
                <w:rFonts w:cs="Segoe UI"/>
                <w:smallCaps/>
                <w:sz w:val="16"/>
                <w:szCs w:val="18"/>
              </w:rPr>
              <w:t>Forestcheck</w:t>
            </w:r>
            <w:r w:rsidRPr="00CE60B2">
              <w:rPr>
                <w:rFonts w:cs="Segoe UI"/>
                <w:sz w:val="16"/>
                <w:szCs w:val="18"/>
              </w:rPr>
              <w:t xml:space="preserve"> monitoring.</w:t>
            </w:r>
          </w:p>
          <w:p w14:paraId="26ABCF11" w14:textId="77777777" w:rsidR="00A12F9B" w:rsidRPr="00CE60B2" w:rsidRDefault="00A12F9B" w:rsidP="00A12F9B">
            <w:pPr>
              <w:rPr>
                <w:rFonts w:cs="Segoe UI"/>
                <w:sz w:val="16"/>
                <w:szCs w:val="18"/>
              </w:rPr>
            </w:pPr>
            <w:r w:rsidRPr="00CE60B2">
              <w:rPr>
                <w:rFonts w:cs="Segoe UI"/>
                <w:sz w:val="16"/>
                <w:szCs w:val="18"/>
              </w:rPr>
              <w:t>More than 100 species of aquatic invertebrates sampled through stream monitoring project.</w:t>
            </w:r>
          </w:p>
        </w:tc>
      </w:tr>
      <w:tr w:rsidR="00A12F9B" w:rsidRPr="00CE60B2" w14:paraId="26ABCF15" w14:textId="77777777" w:rsidTr="002643B1">
        <w:trPr>
          <w:trHeight w:val="397"/>
        </w:trPr>
        <w:tc>
          <w:tcPr>
            <w:tcW w:w="4520" w:type="dxa"/>
            <w:shd w:val="clear" w:color="auto" w:fill="DFEFE1" w:themeFill="accent3" w:themeFillTint="66"/>
            <w:vAlign w:val="center"/>
          </w:tcPr>
          <w:p w14:paraId="26ABCF13" w14:textId="77777777" w:rsidR="00A12F9B" w:rsidRPr="00CE60B2" w:rsidRDefault="00A12F9B" w:rsidP="00A12F9B">
            <w:pPr>
              <w:rPr>
                <w:rFonts w:cs="Segoe UI"/>
                <w:b/>
                <w:sz w:val="16"/>
                <w:szCs w:val="18"/>
              </w:rPr>
            </w:pPr>
            <w:r w:rsidRPr="00CE60B2">
              <w:rPr>
                <w:rFonts w:cs="Segoe UI"/>
                <w:b/>
                <w:sz w:val="16"/>
                <w:szCs w:val="18"/>
              </w:rPr>
              <w:t>Flora species groups</w:t>
            </w:r>
          </w:p>
        </w:tc>
        <w:tc>
          <w:tcPr>
            <w:tcW w:w="4540" w:type="dxa"/>
            <w:shd w:val="clear" w:color="auto" w:fill="DFEFE1" w:themeFill="accent3" w:themeFillTint="66"/>
            <w:vAlign w:val="center"/>
          </w:tcPr>
          <w:p w14:paraId="26ABCF14" w14:textId="77777777" w:rsidR="00A12F9B" w:rsidRPr="00CE60B2" w:rsidRDefault="00A12F9B" w:rsidP="00A12F9B">
            <w:pPr>
              <w:rPr>
                <w:rFonts w:cs="Segoe UI"/>
                <w:sz w:val="16"/>
                <w:szCs w:val="18"/>
              </w:rPr>
            </w:pPr>
            <w:r w:rsidRPr="00CE60B2">
              <w:rPr>
                <w:rFonts w:cs="Segoe UI"/>
                <w:b/>
                <w:sz w:val="16"/>
                <w:szCs w:val="18"/>
              </w:rPr>
              <w:t>Number of representative species monitored</w:t>
            </w:r>
          </w:p>
        </w:tc>
      </w:tr>
      <w:tr w:rsidR="00A12F9B" w:rsidRPr="00CE60B2" w14:paraId="26ABCF18" w14:textId="77777777" w:rsidTr="002643B1">
        <w:trPr>
          <w:trHeight w:val="397"/>
        </w:trPr>
        <w:tc>
          <w:tcPr>
            <w:tcW w:w="4520" w:type="dxa"/>
            <w:vAlign w:val="center"/>
          </w:tcPr>
          <w:p w14:paraId="26ABCF16" w14:textId="77777777" w:rsidR="00A12F9B" w:rsidRPr="00CE60B2" w:rsidRDefault="00A12F9B" w:rsidP="00A12F9B">
            <w:pPr>
              <w:rPr>
                <w:rFonts w:cs="Segoe UI"/>
                <w:b/>
                <w:sz w:val="16"/>
                <w:szCs w:val="18"/>
              </w:rPr>
            </w:pPr>
            <w:r w:rsidRPr="00CE60B2">
              <w:rPr>
                <w:rFonts w:cs="Segoe UI"/>
                <w:sz w:val="16"/>
                <w:szCs w:val="18"/>
              </w:rPr>
              <w:t>Vascular plants</w:t>
            </w:r>
          </w:p>
        </w:tc>
        <w:tc>
          <w:tcPr>
            <w:tcW w:w="4540" w:type="dxa"/>
            <w:vAlign w:val="center"/>
          </w:tcPr>
          <w:p w14:paraId="26ABCF17" w14:textId="77777777" w:rsidR="00A12F9B" w:rsidRPr="00CE60B2" w:rsidRDefault="00A12F9B" w:rsidP="00A12F9B">
            <w:pPr>
              <w:rPr>
                <w:rFonts w:cs="Segoe UI"/>
                <w:sz w:val="16"/>
                <w:szCs w:val="18"/>
              </w:rPr>
            </w:pPr>
            <w:r w:rsidRPr="00CE60B2">
              <w:rPr>
                <w:rFonts w:cs="Segoe UI"/>
                <w:sz w:val="16"/>
                <w:szCs w:val="18"/>
              </w:rPr>
              <w:t>500</w:t>
            </w:r>
          </w:p>
        </w:tc>
      </w:tr>
      <w:tr w:rsidR="002643B1" w:rsidRPr="00CE60B2" w14:paraId="327323B2" w14:textId="77777777" w:rsidTr="002643B1">
        <w:trPr>
          <w:trHeight w:val="397"/>
        </w:trPr>
        <w:tc>
          <w:tcPr>
            <w:tcW w:w="4520" w:type="dxa"/>
            <w:shd w:val="clear" w:color="auto" w:fill="DFEFE1" w:themeFill="accent3" w:themeFillTint="66"/>
            <w:vAlign w:val="center"/>
          </w:tcPr>
          <w:p w14:paraId="2E52B833" w14:textId="77777777" w:rsidR="002643B1" w:rsidRPr="00CE60B2" w:rsidRDefault="002643B1" w:rsidP="00FF19F9">
            <w:pPr>
              <w:rPr>
                <w:rFonts w:cs="Segoe UI"/>
                <w:b/>
                <w:sz w:val="16"/>
                <w:szCs w:val="18"/>
              </w:rPr>
            </w:pPr>
            <w:r w:rsidRPr="00CE60B2">
              <w:rPr>
                <w:rFonts w:cs="Segoe UI"/>
                <w:b/>
                <w:sz w:val="16"/>
                <w:szCs w:val="18"/>
              </w:rPr>
              <w:lastRenderedPageBreak/>
              <w:t>Flora species groups</w:t>
            </w:r>
          </w:p>
        </w:tc>
        <w:tc>
          <w:tcPr>
            <w:tcW w:w="4540" w:type="dxa"/>
            <w:shd w:val="clear" w:color="auto" w:fill="DFEFE1" w:themeFill="accent3" w:themeFillTint="66"/>
            <w:vAlign w:val="center"/>
          </w:tcPr>
          <w:p w14:paraId="3671450F" w14:textId="77777777" w:rsidR="002643B1" w:rsidRPr="00CE60B2" w:rsidRDefault="002643B1" w:rsidP="00FF19F9">
            <w:pPr>
              <w:rPr>
                <w:rFonts w:cs="Segoe UI"/>
                <w:sz w:val="16"/>
                <w:szCs w:val="18"/>
              </w:rPr>
            </w:pPr>
            <w:r w:rsidRPr="00CE60B2">
              <w:rPr>
                <w:rFonts w:cs="Segoe UI"/>
                <w:b/>
                <w:sz w:val="16"/>
                <w:szCs w:val="18"/>
              </w:rPr>
              <w:t>Number of representative species monitored</w:t>
            </w:r>
          </w:p>
        </w:tc>
      </w:tr>
      <w:tr w:rsidR="00A12F9B" w:rsidRPr="00CE60B2" w14:paraId="26ABCF1B" w14:textId="77777777" w:rsidTr="002643B1">
        <w:trPr>
          <w:trHeight w:val="397"/>
        </w:trPr>
        <w:tc>
          <w:tcPr>
            <w:tcW w:w="4520" w:type="dxa"/>
            <w:vAlign w:val="center"/>
          </w:tcPr>
          <w:p w14:paraId="26ABCF19" w14:textId="77777777" w:rsidR="00A12F9B" w:rsidRPr="00CE60B2" w:rsidRDefault="00A12F9B" w:rsidP="00A12F9B">
            <w:pPr>
              <w:rPr>
                <w:rFonts w:cs="Segoe UI"/>
                <w:b/>
                <w:sz w:val="16"/>
                <w:szCs w:val="18"/>
              </w:rPr>
            </w:pPr>
            <w:r w:rsidRPr="00CE60B2">
              <w:rPr>
                <w:rFonts w:cs="Segoe UI"/>
                <w:sz w:val="16"/>
                <w:szCs w:val="18"/>
              </w:rPr>
              <w:t>Non-vascular plants</w:t>
            </w:r>
          </w:p>
        </w:tc>
        <w:tc>
          <w:tcPr>
            <w:tcW w:w="4540" w:type="dxa"/>
            <w:vAlign w:val="center"/>
          </w:tcPr>
          <w:p w14:paraId="26ABCF1A" w14:textId="77777777" w:rsidR="00A12F9B" w:rsidRPr="00CE60B2" w:rsidRDefault="00A12F9B" w:rsidP="00A12F9B">
            <w:pPr>
              <w:rPr>
                <w:rFonts w:cs="Segoe UI"/>
                <w:sz w:val="16"/>
                <w:szCs w:val="18"/>
              </w:rPr>
            </w:pPr>
            <w:r w:rsidRPr="00CE60B2">
              <w:rPr>
                <w:rFonts w:cs="Segoe UI"/>
                <w:sz w:val="16"/>
                <w:szCs w:val="18"/>
              </w:rPr>
              <w:t xml:space="preserve">263 </w:t>
            </w:r>
          </w:p>
        </w:tc>
      </w:tr>
    </w:tbl>
    <w:p w14:paraId="26ABCF1C" w14:textId="77777777" w:rsidR="00AF064B" w:rsidRPr="00CE60B2" w:rsidRDefault="00DB510B" w:rsidP="008A4979">
      <w:pPr>
        <w:pStyle w:val="Heading3"/>
        <w:rPr>
          <w:lang w:eastAsia="en-AU"/>
        </w:rPr>
      </w:pPr>
      <w:bookmarkStart w:id="80" w:name="_Toc524952796"/>
      <w:bookmarkStart w:id="81" w:name="_Toc2776040"/>
      <w:r w:rsidRPr="00CE60B2">
        <w:t xml:space="preserve">Indicator </w:t>
      </w:r>
      <w:r w:rsidR="00AF064B" w:rsidRPr="00CE60B2">
        <w:rPr>
          <w:lang w:eastAsia="en-AU"/>
        </w:rPr>
        <w:t>1.3a</w:t>
      </w:r>
      <w:r w:rsidR="00AF064B" w:rsidRPr="00CE60B2">
        <w:rPr>
          <w:lang w:eastAsia="en-AU"/>
        </w:rPr>
        <w:tab/>
        <w:t>Forest associated species at risk from isolation and the loss of genetic variation, and conservation efforts for those species</w:t>
      </w:r>
      <w:bookmarkEnd w:id="80"/>
      <w:bookmarkEnd w:id="81"/>
    </w:p>
    <w:p w14:paraId="26ABCF1D" w14:textId="77777777" w:rsidR="009F6918" w:rsidRPr="00CE60B2" w:rsidRDefault="00AB4821" w:rsidP="00A3051A">
      <w:pPr>
        <w:rPr>
          <w:rFonts w:cs="Segoe UI"/>
        </w:rPr>
      </w:pPr>
      <w:r w:rsidRPr="00CE60B2">
        <w:rPr>
          <w:rFonts w:cs="Segoe UI"/>
        </w:rPr>
        <w:t>This indicator assesses the risks to loss of forest genetic variation and describes the formal measures designed to mitigate this risk. A loss of genetic diversity in species can result in a decreased ability to adapt to future environmental change, and thus a higher risk of extinction.</w:t>
      </w:r>
    </w:p>
    <w:p w14:paraId="26ABCF1E" w14:textId="77777777" w:rsidR="00AC10B4" w:rsidRPr="00CE60B2" w:rsidRDefault="00AB4821" w:rsidP="00A3051A">
      <w:pPr>
        <w:rPr>
          <w:rFonts w:cs="Segoe UI"/>
        </w:rPr>
      </w:pPr>
      <w:r w:rsidRPr="00CE60B2">
        <w:rPr>
          <w:rFonts w:cs="Segoe UI"/>
          <w:i/>
          <w:iCs/>
        </w:rPr>
        <w:t>Australia’s Biodiversity Conservation Strategy 2010—2030</w:t>
      </w:r>
      <w:r w:rsidR="007A3BF4">
        <w:rPr>
          <w:rFonts w:cs="Segoe UI"/>
          <w:i/>
          <w:iCs/>
        </w:rPr>
        <w:t xml:space="preserve"> </w:t>
      </w:r>
      <w:r w:rsidR="007A3BF4" w:rsidRPr="007A3BF4">
        <w:rPr>
          <w:rFonts w:cs="Segoe UI"/>
          <w:iCs/>
        </w:rPr>
        <w:t>(Natural Resource Management Ministerial C</w:t>
      </w:r>
      <w:r w:rsidR="007A3BF4">
        <w:rPr>
          <w:rFonts w:cs="Segoe UI"/>
          <w:iCs/>
        </w:rPr>
        <w:t>o</w:t>
      </w:r>
      <w:r w:rsidR="007A3BF4" w:rsidRPr="007A3BF4">
        <w:rPr>
          <w:rFonts w:cs="Segoe UI"/>
          <w:iCs/>
        </w:rPr>
        <w:t>uncil, 2010)</w:t>
      </w:r>
      <w:r w:rsidRPr="00CE60B2">
        <w:rPr>
          <w:rFonts w:cs="Segoe UI"/>
          <w:i/>
          <w:iCs/>
        </w:rPr>
        <w:t xml:space="preserve"> </w:t>
      </w:r>
      <w:r w:rsidRPr="00CE60B2">
        <w:rPr>
          <w:rFonts w:cs="Segoe UI"/>
        </w:rPr>
        <w:t xml:space="preserve">is </w:t>
      </w:r>
      <w:r w:rsidR="003E3CD2" w:rsidRPr="00CE60B2">
        <w:rPr>
          <w:rFonts w:cs="Segoe UI"/>
        </w:rPr>
        <w:t>the national</w:t>
      </w:r>
      <w:r w:rsidRPr="00CE60B2">
        <w:rPr>
          <w:rFonts w:cs="Segoe UI"/>
        </w:rPr>
        <w:t xml:space="preserve"> policy framework for conserving Australia’s biodiversity, which includes genetic diversity. Formal measures are in place across </w:t>
      </w:r>
      <w:r w:rsidR="00697BD9" w:rsidRPr="00CE60B2">
        <w:rPr>
          <w:rFonts w:cs="Segoe UI"/>
        </w:rPr>
        <w:t>WA</w:t>
      </w:r>
      <w:r w:rsidRPr="00CE60B2">
        <w:rPr>
          <w:rFonts w:cs="Segoe UI"/>
        </w:rPr>
        <w:t xml:space="preserve"> to address the risk of loss of genetic variation in threatened species. These measures include recovery plans, </w:t>
      </w:r>
      <w:r w:rsidR="00AC10B4" w:rsidRPr="00CE60B2">
        <w:rPr>
          <w:rFonts w:cs="Segoe UI"/>
        </w:rPr>
        <w:t>conservation advices</w:t>
      </w:r>
      <w:r w:rsidRPr="00CE60B2">
        <w:rPr>
          <w:rFonts w:cs="Segoe UI"/>
        </w:rPr>
        <w:t xml:space="preserve">, habitat restoration, </w:t>
      </w:r>
      <w:r w:rsidR="00883751">
        <w:rPr>
          <w:rFonts w:cs="Segoe UI"/>
        </w:rPr>
        <w:t>FHZs</w:t>
      </w:r>
      <w:r w:rsidRPr="00CE60B2">
        <w:rPr>
          <w:rFonts w:cs="Segoe UI"/>
        </w:rPr>
        <w:t xml:space="preserve">, engineered animal movement mechanisms, seed-collecting programs, and management of habitat and populations under forest management systems. Nominations for listing as ‘threatened’ include species with populations that are low in numbers, small in geographic extent or fragmented, and that have low genetic variability, hybridisation and fecundity issues. </w:t>
      </w:r>
    </w:p>
    <w:p w14:paraId="26ABCF1F" w14:textId="77777777" w:rsidR="008671D8" w:rsidRPr="008B7102" w:rsidRDefault="003F4B97" w:rsidP="008671D8">
      <w:bookmarkStart w:id="82" w:name="_Toc524952797"/>
      <w:r>
        <w:t xml:space="preserve">FHZs are a measure introduced since the commencement of the RFA to </w:t>
      </w:r>
      <w:r w:rsidR="00DE6BEA">
        <w:t xml:space="preserve">(in part) </w:t>
      </w:r>
      <w:r>
        <w:t xml:space="preserve">complement the </w:t>
      </w:r>
      <w:r w:rsidR="00DE6BEA">
        <w:t>CAR</w:t>
      </w:r>
      <w:r>
        <w:t xml:space="preserve"> reserve system in </w:t>
      </w:r>
      <w:r w:rsidR="00DE6BEA">
        <w:t>retaining genetic diversity across the forest ecosystems. Introduced a</w:t>
      </w:r>
      <w:r w:rsidR="008671D8">
        <w:t xml:space="preserve">t the commencement of </w:t>
      </w:r>
      <w:r w:rsidR="000D7979">
        <w:t>FMP 2004-2013</w:t>
      </w:r>
      <w:r w:rsidR="008671D8" w:rsidRPr="00AC060F">
        <w:t xml:space="preserve">, FHZs were established across the </w:t>
      </w:r>
      <w:r w:rsidRPr="00146473">
        <w:t>geographic spread of State forests</w:t>
      </w:r>
      <w:r w:rsidR="008671D8" w:rsidRPr="008B7102">
        <w:t xml:space="preserve"> available for timber harvesting</w:t>
      </w:r>
      <w:r w:rsidR="008671D8" w:rsidRPr="00B32B97">
        <w:t xml:space="preserve"> to provide fauna populations a place of refuge and for recolonization and recovery following displacement from timber harvesting activities. </w:t>
      </w:r>
      <w:r w:rsidR="00DE6BEA" w:rsidRPr="00AC060F">
        <w:t xml:space="preserve">Each </w:t>
      </w:r>
      <w:r w:rsidR="008671D8" w:rsidRPr="00AC060F">
        <w:t>FHZ</w:t>
      </w:r>
      <w:r w:rsidR="00DE6BEA" w:rsidRPr="00AC060F">
        <w:t xml:space="preserve"> </w:t>
      </w:r>
      <w:r w:rsidR="00B5134D">
        <w:t xml:space="preserve">ranges in size from around 50 </w:t>
      </w:r>
      <w:r w:rsidR="00B37957">
        <w:t xml:space="preserve">hectares </w:t>
      </w:r>
      <w:r w:rsidR="00B5134D">
        <w:t xml:space="preserve">to </w:t>
      </w:r>
      <w:r w:rsidR="00260255">
        <w:t xml:space="preserve">around </w:t>
      </w:r>
      <w:r w:rsidR="008671D8" w:rsidRPr="00AC060F">
        <w:t>200 hectares in size</w:t>
      </w:r>
      <w:r w:rsidR="00DE6BEA" w:rsidRPr="00AC060F">
        <w:t xml:space="preserve">, and </w:t>
      </w:r>
      <w:r w:rsidR="007B7EAE">
        <w:t xml:space="preserve">308 </w:t>
      </w:r>
      <w:r w:rsidR="00DE6BEA" w:rsidRPr="00AC060F">
        <w:t>were</w:t>
      </w:r>
      <w:r w:rsidR="008671D8" w:rsidRPr="00AC060F">
        <w:t xml:space="preserve"> located systematically across the area available for timber harvesting</w:t>
      </w:r>
      <w:r w:rsidR="00DE6BEA" w:rsidRPr="00AC060F">
        <w:t xml:space="preserve">. </w:t>
      </w:r>
      <w:r w:rsidR="0054709B" w:rsidRPr="00AC060F">
        <w:t>The FHZs</w:t>
      </w:r>
      <w:r w:rsidR="008671D8" w:rsidRPr="00AC060F">
        <w:t xml:space="preserve"> are separated by about 3 kilometres to existing areas of mature forest within formal reserves. Areas identified as FHZs can be rotated over time to maximise the biodiversity outcomes as the forest changes.</w:t>
      </w:r>
      <w:r w:rsidR="0054709B" w:rsidRPr="00146473">
        <w:t xml:space="preserve"> </w:t>
      </w:r>
    </w:p>
    <w:p w14:paraId="26ABCF20" w14:textId="77777777" w:rsidR="008671D8" w:rsidRDefault="002C3615" w:rsidP="008671D8">
      <w:r w:rsidRPr="00AC060F">
        <w:t xml:space="preserve">In developing the </w:t>
      </w:r>
      <w:r w:rsidR="000D7979">
        <w:t>FMP 2014-2023</w:t>
      </w:r>
      <w:r w:rsidR="008671D8" w:rsidRPr="00AC060F">
        <w:t xml:space="preserve"> further refine</w:t>
      </w:r>
      <w:r w:rsidR="008671D8">
        <w:t xml:space="preserve">ment of the location of FHZs was undertaken, with improvements to biodiversity outcomes achieved </w:t>
      </w:r>
      <w:r>
        <w:t>by</w:t>
      </w:r>
      <w:r w:rsidR="008671D8">
        <w:t xml:space="preserve"> increasing the FHZs in </w:t>
      </w:r>
      <w:r>
        <w:t xml:space="preserve">those </w:t>
      </w:r>
      <w:r w:rsidR="008671D8">
        <w:t xml:space="preserve">forest ecosystems with lower levels of representation in formal reserves, slightly increasing the amount of mature forest within FHZs, reducing the area of regrowth forest, and increasing the size range of individual FHZs to better reflect the landscape they were representing. The introduction of FHZs into routine forest management has resulted in an additional </w:t>
      </w:r>
      <w:r>
        <w:t>48</w:t>
      </w:r>
      <w:r w:rsidR="008671D8">
        <w:t>,000 hectares</w:t>
      </w:r>
      <w:r>
        <w:t xml:space="preserve"> outside the CAR reserve system</w:t>
      </w:r>
      <w:r w:rsidR="008671D8">
        <w:t xml:space="preserve"> being set aside from timber harvesting.</w:t>
      </w:r>
    </w:p>
    <w:p w14:paraId="26ABCF21" w14:textId="77777777" w:rsidR="00AF064B" w:rsidRPr="00CE60B2" w:rsidRDefault="00AF064B" w:rsidP="008A4979">
      <w:pPr>
        <w:pStyle w:val="Heading3"/>
        <w:rPr>
          <w:lang w:eastAsia="en-AU"/>
        </w:rPr>
      </w:pPr>
      <w:bookmarkStart w:id="83" w:name="_Toc2776041"/>
      <w:r w:rsidRPr="00CE60B2">
        <w:rPr>
          <w:lang w:eastAsia="en-AU"/>
        </w:rPr>
        <w:t>Wetland values</w:t>
      </w:r>
      <w:bookmarkEnd w:id="82"/>
      <w:bookmarkEnd w:id="83"/>
    </w:p>
    <w:p w14:paraId="26ABCF22" w14:textId="77777777" w:rsidR="00720F20" w:rsidRPr="00CE60B2" w:rsidRDefault="00720F20" w:rsidP="00720F20">
      <w:pPr>
        <w:rPr>
          <w:rFonts w:cs="Segoe UI"/>
        </w:rPr>
      </w:pPr>
      <w:r w:rsidRPr="00CE60B2">
        <w:rPr>
          <w:rFonts w:cs="Segoe UI"/>
        </w:rPr>
        <w:t xml:space="preserve">Australia has international obligations under the Ramsar Convention to protect the ecological character of declared Ramsar wetlands. The </w:t>
      </w:r>
      <w:r w:rsidR="0025700F" w:rsidRPr="00CE60B2">
        <w:rPr>
          <w:rFonts w:cs="Segoe UI"/>
        </w:rPr>
        <w:t>one</w:t>
      </w:r>
      <w:r w:rsidRPr="00CE60B2">
        <w:rPr>
          <w:rFonts w:cs="Segoe UI"/>
        </w:rPr>
        <w:t xml:space="preserve"> Ramsar Wetland of Int</w:t>
      </w:r>
      <w:r w:rsidR="00A73CB2" w:rsidRPr="00CE60B2">
        <w:rPr>
          <w:rFonts w:cs="Segoe UI"/>
        </w:rPr>
        <w:t>ernational Importance in the WA</w:t>
      </w:r>
      <w:r w:rsidR="00AC060F">
        <w:rPr>
          <w:rFonts w:cs="Segoe UI"/>
        </w:rPr>
        <w:t> </w:t>
      </w:r>
      <w:r w:rsidRPr="00CE60B2">
        <w:rPr>
          <w:rFonts w:cs="Segoe UI"/>
        </w:rPr>
        <w:t xml:space="preserve">RFA </w:t>
      </w:r>
      <w:r w:rsidR="00957047" w:rsidRPr="00CE60B2">
        <w:rPr>
          <w:rFonts w:cs="Segoe UI"/>
        </w:rPr>
        <w:t>region</w:t>
      </w:r>
      <w:r w:rsidR="009519BD">
        <w:rPr>
          <w:rFonts w:cs="Segoe UI"/>
        </w:rPr>
        <w:t>, the Muir-Byenup system,</w:t>
      </w:r>
      <w:r w:rsidRPr="00CE60B2">
        <w:rPr>
          <w:rFonts w:cs="Segoe UI"/>
        </w:rPr>
        <w:t xml:space="preserve"> cover</w:t>
      </w:r>
      <w:r w:rsidR="0025700F" w:rsidRPr="00CE60B2">
        <w:rPr>
          <w:rFonts w:cs="Segoe UI"/>
        </w:rPr>
        <w:t>s</w:t>
      </w:r>
      <w:r w:rsidRPr="00CE60B2">
        <w:rPr>
          <w:rFonts w:cs="Segoe UI"/>
        </w:rPr>
        <w:t xml:space="preserve"> approximately </w:t>
      </w:r>
      <w:r w:rsidR="00BB7595" w:rsidRPr="00CE60B2">
        <w:rPr>
          <w:rFonts w:cs="Segoe UI"/>
        </w:rPr>
        <w:t>10,631</w:t>
      </w:r>
      <w:r w:rsidR="00AC060F">
        <w:rPr>
          <w:rFonts w:cs="Segoe UI"/>
        </w:rPr>
        <w:t> </w:t>
      </w:r>
      <w:r w:rsidRPr="00CE60B2">
        <w:rPr>
          <w:rFonts w:cs="Segoe UI"/>
        </w:rPr>
        <w:t xml:space="preserve">hectares. While the original </w:t>
      </w:r>
      <w:r w:rsidR="00A73CB2" w:rsidRPr="00CE60B2">
        <w:rPr>
          <w:rFonts w:cs="Segoe UI"/>
        </w:rPr>
        <w:t>WA</w:t>
      </w:r>
      <w:r w:rsidR="00AC060F">
        <w:rPr>
          <w:rFonts w:cs="Segoe UI"/>
        </w:rPr>
        <w:t> </w:t>
      </w:r>
      <w:r w:rsidRPr="00CE60B2">
        <w:rPr>
          <w:rFonts w:cs="Segoe UI"/>
        </w:rPr>
        <w:t>RFA</w:t>
      </w:r>
      <w:r w:rsidR="00A73CB2" w:rsidRPr="00CE60B2">
        <w:rPr>
          <w:rFonts w:cs="Segoe UI"/>
        </w:rPr>
        <w:t xml:space="preserve"> does </w:t>
      </w:r>
      <w:r w:rsidRPr="00CE60B2">
        <w:rPr>
          <w:rFonts w:cs="Segoe UI"/>
        </w:rPr>
        <w:t xml:space="preserve">not include clauses specifically on wetland values, they include the commitments from the </w:t>
      </w:r>
      <w:r w:rsidR="00A73CB2" w:rsidRPr="00CE60B2">
        <w:rPr>
          <w:rFonts w:cs="Segoe UI"/>
        </w:rPr>
        <w:t>WA</w:t>
      </w:r>
      <w:r w:rsidR="00070F91">
        <w:rPr>
          <w:rFonts w:cs="Segoe UI"/>
        </w:rPr>
        <w:t> </w:t>
      </w:r>
      <w:r w:rsidRPr="00CE60B2">
        <w:rPr>
          <w:rFonts w:cs="Segoe UI"/>
        </w:rPr>
        <w:t xml:space="preserve">Government to implement measures to improve catchment and </w:t>
      </w:r>
      <w:r w:rsidRPr="00CE60B2">
        <w:rPr>
          <w:rFonts w:cs="Segoe UI"/>
        </w:rPr>
        <w:lastRenderedPageBreak/>
        <w:t>water management. These measures have largely been met as reported in the five-yearly reviews and in the Independent Reviews.</w:t>
      </w:r>
    </w:p>
    <w:p w14:paraId="26ABCF23" w14:textId="77777777" w:rsidR="004945F9" w:rsidRPr="00CE60B2" w:rsidRDefault="00720F20" w:rsidP="00720F20">
      <w:pPr>
        <w:rPr>
          <w:rFonts w:cs="Segoe UI"/>
        </w:rPr>
      </w:pPr>
      <w:r w:rsidRPr="00CE60B2">
        <w:rPr>
          <w:rFonts w:cs="Segoe UI"/>
        </w:rPr>
        <w:t>All Ramsar listed wetlands, including those in RFA regions, are protected by Part 3 of the EPBC</w:t>
      </w:r>
      <w:r w:rsidR="00070F91">
        <w:rPr>
          <w:rFonts w:cs="Segoe UI"/>
        </w:rPr>
        <w:t> </w:t>
      </w:r>
      <w:r w:rsidRPr="00CE60B2">
        <w:rPr>
          <w:rFonts w:cs="Segoe UI"/>
        </w:rPr>
        <w:t>Act. This means any action (including forestry operations) that has, will have, or is likely to have, a significant impact on the ecological character of a Ramsar wetland must be referred to the Minister and undergo an environmental assessment and approval process.</w:t>
      </w:r>
      <w:r w:rsidR="00DB2BA3" w:rsidRPr="00CE60B2">
        <w:rPr>
          <w:rFonts w:cs="Segoe UI"/>
        </w:rPr>
        <w:t xml:space="preserve"> </w:t>
      </w:r>
    </w:p>
    <w:p w14:paraId="26ABCF24" w14:textId="77777777" w:rsidR="00720F20" w:rsidRPr="00CE60B2" w:rsidRDefault="004945F9" w:rsidP="00720F20">
      <w:pPr>
        <w:rPr>
          <w:rFonts w:cs="Segoe UI"/>
        </w:rPr>
      </w:pPr>
      <w:r w:rsidRPr="00CE60B2">
        <w:rPr>
          <w:rFonts w:cs="Segoe UI"/>
        </w:rPr>
        <w:t>The primary responsibility for managing wetlands and their associated flora and fauna is vested in the respective landholder/land manager. Individual state and territory governments have the primary legislative and policy responsibility for natural resource management</w:t>
      </w:r>
      <w:r w:rsidR="00A73CB2" w:rsidRPr="00CE60B2">
        <w:rPr>
          <w:rFonts w:cs="Segoe UI"/>
        </w:rPr>
        <w:t xml:space="preserve"> (Department of the Environment and Energy, 2018c)</w:t>
      </w:r>
      <w:r w:rsidRPr="00CE60B2">
        <w:rPr>
          <w:rFonts w:cs="Segoe UI"/>
        </w:rPr>
        <w:t xml:space="preserve">. </w:t>
      </w:r>
    </w:p>
    <w:p w14:paraId="26ABCF25" w14:textId="77777777" w:rsidR="00720F20" w:rsidRPr="00CE60B2" w:rsidRDefault="00720F20" w:rsidP="008A4979">
      <w:pPr>
        <w:pStyle w:val="Heading4"/>
        <w:rPr>
          <w:rFonts w:cs="Segoe UI"/>
        </w:rPr>
      </w:pPr>
      <w:r w:rsidRPr="00CE60B2">
        <w:rPr>
          <w:rFonts w:cs="Segoe UI"/>
        </w:rPr>
        <w:t xml:space="preserve">Australia’s obligations under the Ramsar Convention </w:t>
      </w:r>
    </w:p>
    <w:p w14:paraId="26ABCF26" w14:textId="77777777" w:rsidR="00720F20" w:rsidRPr="00CE60B2" w:rsidRDefault="00720F20" w:rsidP="00720F20">
      <w:pPr>
        <w:spacing w:before="0"/>
        <w:rPr>
          <w:rFonts w:cs="Segoe UI"/>
        </w:rPr>
      </w:pPr>
      <w:r w:rsidRPr="00CE60B2">
        <w:rPr>
          <w:rFonts w:cs="Segoe UI"/>
        </w:rPr>
        <w:t xml:space="preserve">The Ramsar Convention is an international agreement promoting the conservation and wise use of wetlands. It aims to halt the worldwide loss of wetlands and to conserve, through wise use and management, those that remain. </w:t>
      </w:r>
    </w:p>
    <w:p w14:paraId="26ABCF27" w14:textId="77777777" w:rsidR="00720F20" w:rsidRPr="00CE60B2" w:rsidRDefault="00720F20" w:rsidP="00720F20">
      <w:pPr>
        <w:rPr>
          <w:rFonts w:cs="Segoe UI"/>
        </w:rPr>
      </w:pPr>
      <w:r w:rsidRPr="00CE60B2">
        <w:rPr>
          <w:rFonts w:cs="Segoe UI"/>
        </w:rPr>
        <w:t xml:space="preserve">As a signatory of this Convention, Australia has an obligation to manage and protect Ramsar </w:t>
      </w:r>
      <w:r w:rsidR="00DB2BA3" w:rsidRPr="00CE60B2">
        <w:rPr>
          <w:rFonts w:cs="Segoe UI"/>
        </w:rPr>
        <w:t>wetlands</w:t>
      </w:r>
      <w:r w:rsidRPr="00CE60B2">
        <w:rPr>
          <w:rFonts w:cs="Segoe UI"/>
        </w:rPr>
        <w:t>. The EPBC</w:t>
      </w:r>
      <w:r w:rsidR="00070F91">
        <w:rPr>
          <w:rFonts w:cs="Segoe UI"/>
        </w:rPr>
        <w:t> </w:t>
      </w:r>
      <w:r w:rsidRPr="00CE60B2">
        <w:rPr>
          <w:rFonts w:cs="Segoe UI"/>
        </w:rPr>
        <w:t xml:space="preserve">Act establishes a process for identifying Ramsar wetlands and encourages best practice management through nationally consistent management principles. The </w:t>
      </w:r>
      <w:r w:rsidR="00DB2BA3" w:rsidRPr="00CE60B2">
        <w:rPr>
          <w:rFonts w:cs="Segoe UI"/>
        </w:rPr>
        <w:t>EPBC</w:t>
      </w:r>
      <w:r w:rsidR="00070F91">
        <w:rPr>
          <w:rFonts w:cs="Segoe UI"/>
        </w:rPr>
        <w:t> </w:t>
      </w:r>
      <w:r w:rsidRPr="00CE60B2">
        <w:rPr>
          <w:rFonts w:cs="Segoe UI"/>
        </w:rPr>
        <w:t>Act provides automatic protection for Ramsar wetlands by ensuring an assessment process is undertaken for proposed actions (including forestry operations) that will, or are likely to, have a significant impact on the ecological character of a declared Ramsar wetland. This process allows the Commonwealth Minister for the Environment to grant or refuse approval to take an action, and to impose conditions on the taking of an action.</w:t>
      </w:r>
    </w:p>
    <w:p w14:paraId="26ABCF28" w14:textId="77777777" w:rsidR="004945F9" w:rsidRPr="00CE60B2" w:rsidRDefault="004945F9" w:rsidP="004945F9">
      <w:pPr>
        <w:rPr>
          <w:rFonts w:cs="Segoe UI"/>
        </w:rPr>
      </w:pPr>
      <w:r w:rsidRPr="00CE60B2">
        <w:rPr>
          <w:rFonts w:cs="Segoe UI"/>
        </w:rPr>
        <w:t>The exemption from Commonwealth assessment and approval requirements under section 38 of the EPBC</w:t>
      </w:r>
      <w:r w:rsidR="00983E51">
        <w:rPr>
          <w:rFonts w:cs="Segoe UI"/>
        </w:rPr>
        <w:t> </w:t>
      </w:r>
      <w:r w:rsidRPr="00CE60B2">
        <w:rPr>
          <w:rFonts w:cs="Segoe UI"/>
        </w:rPr>
        <w:t>Act for forestry operations in RFA areas does not apply to operations within Ramsar wetland sites.</w:t>
      </w:r>
    </w:p>
    <w:p w14:paraId="26ABCF29" w14:textId="77777777" w:rsidR="00720F20" w:rsidRPr="00CE60B2" w:rsidRDefault="006A4674" w:rsidP="008A4979">
      <w:pPr>
        <w:pStyle w:val="Heading4"/>
        <w:rPr>
          <w:rFonts w:cs="Segoe UI"/>
        </w:rPr>
      </w:pPr>
      <w:r w:rsidRPr="00CE60B2">
        <w:rPr>
          <w:rFonts w:cs="Segoe UI"/>
        </w:rPr>
        <w:t>Protecting WA</w:t>
      </w:r>
      <w:r w:rsidR="00720F20" w:rsidRPr="00CE60B2">
        <w:rPr>
          <w:rFonts w:cs="Segoe UI"/>
        </w:rPr>
        <w:t xml:space="preserve"> Ramsar sites</w:t>
      </w:r>
    </w:p>
    <w:p w14:paraId="26ABCF2A" w14:textId="77777777" w:rsidR="00720F20" w:rsidRPr="00CE60B2" w:rsidRDefault="00720F20" w:rsidP="00720F20">
      <w:pPr>
        <w:spacing w:before="0"/>
        <w:rPr>
          <w:rFonts w:cs="Segoe UI"/>
        </w:rPr>
      </w:pPr>
      <w:r w:rsidRPr="00CE60B2">
        <w:rPr>
          <w:rFonts w:cs="Segoe UI"/>
        </w:rPr>
        <w:t>Wetland sites are listed under the Ramsar Convention if they meet at least one of the nine Ramsar criteria. A wetland should be considered internationally important if it:</w:t>
      </w:r>
    </w:p>
    <w:p w14:paraId="26ABCF2B" w14:textId="77777777" w:rsidR="00720F20" w:rsidRPr="00CE60B2" w:rsidRDefault="00720F20" w:rsidP="00C903EE">
      <w:pPr>
        <w:pStyle w:val="ListParagraph"/>
        <w:numPr>
          <w:ilvl w:val="0"/>
          <w:numId w:val="20"/>
        </w:numPr>
        <w:spacing w:before="0"/>
        <w:rPr>
          <w:rFonts w:cs="Segoe UI"/>
        </w:rPr>
      </w:pPr>
      <w:r w:rsidRPr="00CE60B2">
        <w:rPr>
          <w:rFonts w:cs="Segoe UI"/>
        </w:rPr>
        <w:t>Contains a representative, rare, or unique example of a natural or near-natural wetland type found within the appropriate biogeographic region.</w:t>
      </w:r>
    </w:p>
    <w:p w14:paraId="26ABCF2C" w14:textId="77777777" w:rsidR="00720F20" w:rsidRPr="00CE60B2" w:rsidRDefault="00720F20" w:rsidP="00C903EE">
      <w:pPr>
        <w:pStyle w:val="ListParagraph"/>
        <w:numPr>
          <w:ilvl w:val="0"/>
          <w:numId w:val="20"/>
        </w:numPr>
        <w:spacing w:before="0"/>
        <w:ind w:left="714" w:hanging="357"/>
        <w:rPr>
          <w:rFonts w:cs="Segoe UI"/>
        </w:rPr>
      </w:pPr>
      <w:r w:rsidRPr="00CE60B2">
        <w:rPr>
          <w:rFonts w:cs="Segoe UI"/>
        </w:rPr>
        <w:t>Supports vulnerable, endangered, or critically endangered species or threatened ecological communities.</w:t>
      </w:r>
    </w:p>
    <w:p w14:paraId="26ABCF2D" w14:textId="544E96BB" w:rsidR="00720F20" w:rsidRPr="00CE60B2" w:rsidRDefault="00720F20" w:rsidP="00C903EE">
      <w:pPr>
        <w:pStyle w:val="ListParagraph"/>
        <w:numPr>
          <w:ilvl w:val="0"/>
          <w:numId w:val="20"/>
        </w:numPr>
        <w:spacing w:before="0"/>
        <w:rPr>
          <w:rFonts w:cs="Segoe UI"/>
        </w:rPr>
      </w:pPr>
      <w:r w:rsidRPr="00CE60B2">
        <w:rPr>
          <w:rFonts w:cs="Segoe UI"/>
        </w:rPr>
        <w:t xml:space="preserve">Supports populations of plant and/or animal species important for maintaining the biological diversity of a </w:t>
      </w:r>
      <w:r w:rsidR="00BF3221" w:rsidRPr="00CE60B2">
        <w:rPr>
          <w:rFonts w:cs="Segoe UI"/>
        </w:rPr>
        <w:t>biogeographic</w:t>
      </w:r>
      <w:r w:rsidRPr="00CE60B2">
        <w:rPr>
          <w:rFonts w:cs="Segoe UI"/>
        </w:rPr>
        <w:t xml:space="preserve"> region.</w:t>
      </w:r>
    </w:p>
    <w:p w14:paraId="26ABCF2E" w14:textId="77777777" w:rsidR="00720F20" w:rsidRPr="00CE60B2" w:rsidRDefault="00720F20" w:rsidP="00C903EE">
      <w:pPr>
        <w:pStyle w:val="ListParagraph"/>
        <w:numPr>
          <w:ilvl w:val="0"/>
          <w:numId w:val="20"/>
        </w:numPr>
        <w:spacing w:before="0"/>
        <w:rPr>
          <w:rFonts w:cs="Segoe UI"/>
        </w:rPr>
      </w:pPr>
      <w:r w:rsidRPr="00CE60B2">
        <w:rPr>
          <w:rFonts w:cs="Segoe UI"/>
        </w:rPr>
        <w:t>Supports plant and/or animal species at a critical stage in their life cycles, or provides refuge during adverse conditions.</w:t>
      </w:r>
    </w:p>
    <w:p w14:paraId="26ABCF2F" w14:textId="77777777" w:rsidR="00720F20" w:rsidRPr="00CE60B2" w:rsidRDefault="00720F20" w:rsidP="00C903EE">
      <w:pPr>
        <w:pStyle w:val="ListParagraph"/>
        <w:numPr>
          <w:ilvl w:val="0"/>
          <w:numId w:val="20"/>
        </w:numPr>
        <w:spacing w:before="0"/>
        <w:rPr>
          <w:rFonts w:cs="Segoe UI"/>
        </w:rPr>
      </w:pPr>
      <w:r w:rsidRPr="00CE60B2">
        <w:rPr>
          <w:rFonts w:cs="Segoe UI"/>
        </w:rPr>
        <w:t>Regularly supports 20,000 or more waterbirds.</w:t>
      </w:r>
    </w:p>
    <w:p w14:paraId="26ABCF30" w14:textId="77777777" w:rsidR="00720F20" w:rsidRPr="00CE60B2" w:rsidRDefault="00720F20" w:rsidP="00C903EE">
      <w:pPr>
        <w:pStyle w:val="ListParagraph"/>
        <w:numPr>
          <w:ilvl w:val="0"/>
          <w:numId w:val="20"/>
        </w:numPr>
        <w:spacing w:before="0"/>
        <w:rPr>
          <w:rFonts w:cs="Segoe UI"/>
        </w:rPr>
      </w:pPr>
      <w:r w:rsidRPr="00CE60B2">
        <w:rPr>
          <w:rFonts w:cs="Segoe UI"/>
        </w:rPr>
        <w:t>Regularly supports 1</w:t>
      </w:r>
      <w:r w:rsidR="00A33C71" w:rsidRPr="00CE60B2">
        <w:rPr>
          <w:rFonts w:cs="Segoe UI"/>
        </w:rPr>
        <w:t xml:space="preserve"> per cent</w:t>
      </w:r>
      <w:r w:rsidRPr="00CE60B2">
        <w:rPr>
          <w:rFonts w:cs="Segoe UI"/>
        </w:rPr>
        <w:t xml:space="preserve"> of the individuals in a population of one species or subspecies of waterbird.</w:t>
      </w:r>
    </w:p>
    <w:p w14:paraId="26ABCF31" w14:textId="77777777" w:rsidR="00720F20" w:rsidRPr="00CE60B2" w:rsidRDefault="00720F20" w:rsidP="00C903EE">
      <w:pPr>
        <w:pStyle w:val="ListParagraph"/>
        <w:numPr>
          <w:ilvl w:val="0"/>
          <w:numId w:val="20"/>
        </w:numPr>
        <w:spacing w:before="0"/>
        <w:rPr>
          <w:rFonts w:cs="Segoe UI"/>
        </w:rPr>
      </w:pPr>
      <w:r w:rsidRPr="00CE60B2">
        <w:rPr>
          <w:rFonts w:cs="Segoe UI"/>
        </w:rPr>
        <w:t>Supports a significant proportion of indigenous fish subspecies, species or families, life-history stages, species interactions and/or populations that are representative of wetland benefits and/or values and thereby contributes to global biological diversity.</w:t>
      </w:r>
    </w:p>
    <w:p w14:paraId="26ABCF32" w14:textId="77777777" w:rsidR="00720F20" w:rsidRPr="00CE60B2" w:rsidRDefault="00720F20" w:rsidP="00C903EE">
      <w:pPr>
        <w:pStyle w:val="ListParagraph"/>
        <w:numPr>
          <w:ilvl w:val="0"/>
          <w:numId w:val="20"/>
        </w:numPr>
        <w:spacing w:before="0"/>
        <w:rPr>
          <w:rFonts w:cs="Segoe UI"/>
        </w:rPr>
      </w:pPr>
      <w:r w:rsidRPr="00CE60B2">
        <w:rPr>
          <w:rFonts w:cs="Segoe UI"/>
        </w:rPr>
        <w:lastRenderedPageBreak/>
        <w:t>Is an important source of food for fishes, spawning ground, nursery and/or migration path on which fish stocks, either within the wetland or elsewhere, depend.</w:t>
      </w:r>
    </w:p>
    <w:p w14:paraId="26ABCF33" w14:textId="77777777" w:rsidR="00720F20" w:rsidRPr="00CE60B2" w:rsidRDefault="00720F20" w:rsidP="00C903EE">
      <w:pPr>
        <w:pStyle w:val="ListParagraph"/>
        <w:numPr>
          <w:ilvl w:val="0"/>
          <w:numId w:val="20"/>
        </w:numPr>
        <w:spacing w:before="0"/>
        <w:rPr>
          <w:rFonts w:cs="Segoe UI"/>
        </w:rPr>
      </w:pPr>
      <w:r w:rsidRPr="00CE60B2">
        <w:rPr>
          <w:rFonts w:cs="Segoe UI"/>
        </w:rPr>
        <w:t>Regularly supports 1</w:t>
      </w:r>
      <w:r w:rsidR="00A33C71" w:rsidRPr="00CE60B2">
        <w:rPr>
          <w:rFonts w:cs="Segoe UI"/>
        </w:rPr>
        <w:t xml:space="preserve"> per cent</w:t>
      </w:r>
      <w:r w:rsidRPr="00CE60B2">
        <w:rPr>
          <w:rFonts w:cs="Segoe UI"/>
        </w:rPr>
        <w:t xml:space="preserve"> of the individuals in a population of one species or subspecies of wetland-dependent non-avian animal species. Under the Ramsar Convention, the </w:t>
      </w:r>
      <w:r w:rsidR="00697BD9" w:rsidRPr="00CE60B2">
        <w:rPr>
          <w:rFonts w:cs="Segoe UI"/>
        </w:rPr>
        <w:t>WA</w:t>
      </w:r>
      <w:r w:rsidRPr="00CE60B2">
        <w:rPr>
          <w:rFonts w:cs="Segoe UI"/>
        </w:rPr>
        <w:t xml:space="preserve"> government is required to protect the ecological character of its Ramsar sites. </w:t>
      </w:r>
    </w:p>
    <w:p w14:paraId="26ABCF34" w14:textId="77777777" w:rsidR="00720F20" w:rsidRPr="00CE60B2" w:rsidRDefault="00720F20" w:rsidP="0023754C">
      <w:pPr>
        <w:rPr>
          <w:rFonts w:cs="Segoe UI"/>
          <w:lang w:val="en"/>
        </w:rPr>
      </w:pPr>
      <w:r w:rsidRPr="00CE60B2">
        <w:rPr>
          <w:rFonts w:cs="Segoe UI"/>
          <w:lang w:eastAsia="ja-JP"/>
        </w:rPr>
        <w:t>T</w:t>
      </w:r>
      <w:r w:rsidR="0023754C" w:rsidRPr="00CE60B2">
        <w:rPr>
          <w:rFonts w:cs="Segoe UI"/>
          <w:lang w:eastAsia="ja-JP"/>
        </w:rPr>
        <w:t>he WA</w:t>
      </w:r>
      <w:r w:rsidRPr="00CE60B2">
        <w:rPr>
          <w:rFonts w:cs="Segoe UI"/>
          <w:lang w:eastAsia="ja-JP"/>
        </w:rPr>
        <w:t xml:space="preserve"> Government is responsible for managing Ramsar wetlands in the </w:t>
      </w:r>
      <w:r w:rsidR="0023754C" w:rsidRPr="00CE60B2">
        <w:rPr>
          <w:rFonts w:cs="Segoe UI"/>
          <w:lang w:eastAsia="ja-JP"/>
        </w:rPr>
        <w:t>WA RFA region</w:t>
      </w:r>
      <w:r w:rsidRPr="00CE60B2">
        <w:rPr>
          <w:rFonts w:cs="Segoe UI"/>
          <w:lang w:eastAsia="ja-JP"/>
        </w:rPr>
        <w:t xml:space="preserve"> and works collaboratively with </w:t>
      </w:r>
      <w:r w:rsidRPr="00CE60B2">
        <w:rPr>
          <w:rFonts w:cs="Segoe UI"/>
          <w:lang w:val="en"/>
        </w:rPr>
        <w:t xml:space="preserve">a diverse range of stakeholders, including </w:t>
      </w:r>
      <w:r w:rsidRPr="00CE60B2">
        <w:rPr>
          <w:rFonts w:cs="Segoe UI"/>
        </w:rPr>
        <w:t>Ramsar Convention Secretariat, Commonwealth Government, local governments, landowners and community groups,</w:t>
      </w:r>
      <w:r w:rsidRPr="00CE60B2">
        <w:rPr>
          <w:rFonts w:cs="Segoe UI"/>
          <w:lang w:val="en"/>
        </w:rPr>
        <w:t xml:space="preserve"> to promote the conservation and wise use of wetlands and to implement the Ramsar Convention. </w:t>
      </w:r>
    </w:p>
    <w:p w14:paraId="26ABCF35" w14:textId="77777777" w:rsidR="00465625" w:rsidRPr="00CE60B2" w:rsidRDefault="00465625" w:rsidP="00465625">
      <w:pPr>
        <w:rPr>
          <w:rFonts w:cs="Segoe UI"/>
          <w:highlight w:val="yellow"/>
        </w:rPr>
      </w:pPr>
      <w:r w:rsidRPr="00CE60B2">
        <w:rPr>
          <w:rFonts w:cs="Segoe UI"/>
          <w:lang w:eastAsia="ja-JP"/>
        </w:rPr>
        <w:t>The D</w:t>
      </w:r>
      <w:r w:rsidR="00070F91">
        <w:rPr>
          <w:rFonts w:cs="Segoe UI"/>
          <w:lang w:eastAsia="ja-JP"/>
        </w:rPr>
        <w:t>BCA</w:t>
      </w:r>
      <w:r w:rsidRPr="00CE60B2">
        <w:rPr>
          <w:rFonts w:cs="Segoe UI"/>
          <w:lang w:eastAsia="ja-JP"/>
        </w:rPr>
        <w:t xml:space="preserve"> is the lead agency for partnering with the Australian Department </w:t>
      </w:r>
      <w:r w:rsidRPr="00CE60B2">
        <w:rPr>
          <w:rFonts w:cs="Segoe UI"/>
        </w:rPr>
        <w:t xml:space="preserve">of Environment and Energy and other jurisdiction’s environment agencies to develop national policies, guidelines and programs that provide for meeting Australia’s obligations under the Convention. The </w:t>
      </w:r>
      <w:r w:rsidR="00FC41D8">
        <w:rPr>
          <w:rFonts w:cs="Segoe UI"/>
        </w:rPr>
        <w:t>CPC</w:t>
      </w:r>
      <w:r w:rsidRPr="00CE60B2">
        <w:rPr>
          <w:rFonts w:cs="Segoe UI"/>
        </w:rPr>
        <w:t xml:space="preserve"> is the vesting agency for those Ramsar wetlands that are within the State’s conservation reserves. </w:t>
      </w:r>
      <w:r w:rsidR="00514F73" w:rsidRPr="00CE60B2">
        <w:rPr>
          <w:rFonts w:cs="Segoe UI"/>
        </w:rPr>
        <w:t>D</w:t>
      </w:r>
      <w:r w:rsidR="00514F73">
        <w:rPr>
          <w:rFonts w:cs="Segoe UI"/>
        </w:rPr>
        <w:t>BCA</w:t>
      </w:r>
      <w:r w:rsidR="00514F73" w:rsidRPr="00CE60B2">
        <w:rPr>
          <w:rFonts w:cs="Segoe UI"/>
        </w:rPr>
        <w:t xml:space="preserve"> </w:t>
      </w:r>
      <w:r w:rsidRPr="00CE60B2">
        <w:rPr>
          <w:rFonts w:cs="Segoe UI"/>
        </w:rPr>
        <w:t xml:space="preserve">also </w:t>
      </w:r>
      <w:r w:rsidRPr="00CE60B2">
        <w:rPr>
          <w:rFonts w:cs="Segoe UI"/>
          <w:lang w:eastAsia="ja-JP"/>
        </w:rPr>
        <w:t xml:space="preserve">works collaboratively with </w:t>
      </w:r>
      <w:r w:rsidRPr="00CE60B2">
        <w:rPr>
          <w:rFonts w:cs="Segoe UI"/>
          <w:lang w:val="en"/>
        </w:rPr>
        <w:t>a diverse range of stakeholders, including</w:t>
      </w:r>
      <w:r w:rsidRPr="00CE60B2">
        <w:rPr>
          <w:rFonts w:cs="Segoe UI"/>
        </w:rPr>
        <w:t xml:space="preserve"> other State agencies and local governments who manage reserves within Ramsar wetlands and landowners and community groups,</w:t>
      </w:r>
      <w:r w:rsidRPr="00CE60B2">
        <w:rPr>
          <w:rFonts w:cs="Segoe UI"/>
          <w:lang w:val="en"/>
        </w:rPr>
        <w:t xml:space="preserve"> to promote the conservation and wise use of wetlands and to implement the Ramsar Convention.</w:t>
      </w:r>
    </w:p>
    <w:p w14:paraId="26ABCF36" w14:textId="77777777" w:rsidR="00720F20" w:rsidRPr="00CE60B2" w:rsidRDefault="00720F20" w:rsidP="008A4979">
      <w:pPr>
        <w:pStyle w:val="Heading4"/>
        <w:rPr>
          <w:rFonts w:cs="Segoe UI"/>
          <w:lang w:eastAsia="ja-JP"/>
        </w:rPr>
      </w:pPr>
      <w:r w:rsidRPr="00CE60B2">
        <w:rPr>
          <w:rFonts w:cs="Segoe UI"/>
          <w:lang w:eastAsia="ja-JP"/>
        </w:rPr>
        <w:t xml:space="preserve">Ramsar sites in </w:t>
      </w:r>
      <w:r w:rsidR="00A73CB2" w:rsidRPr="00CE60B2">
        <w:rPr>
          <w:rFonts w:cs="Segoe UI"/>
          <w:lang w:eastAsia="ja-JP"/>
        </w:rPr>
        <w:t>the WA</w:t>
      </w:r>
      <w:r w:rsidRPr="00CE60B2">
        <w:rPr>
          <w:rFonts w:cs="Segoe UI"/>
          <w:lang w:eastAsia="ja-JP"/>
        </w:rPr>
        <w:t xml:space="preserve"> RFA region</w:t>
      </w:r>
    </w:p>
    <w:p w14:paraId="26ABCF37" w14:textId="2D8CCB4F" w:rsidR="0025700F" w:rsidRPr="00CE60B2" w:rsidRDefault="00303F31" w:rsidP="0025700F">
      <w:pPr>
        <w:rPr>
          <w:rFonts w:cs="Segoe UI"/>
        </w:rPr>
      </w:pPr>
      <w:r w:rsidRPr="00CE60B2">
        <w:rPr>
          <w:rFonts w:cs="Segoe UI"/>
        </w:rPr>
        <w:t xml:space="preserve">As of </w:t>
      </w:r>
      <w:r w:rsidR="00811630" w:rsidRPr="00CE60B2">
        <w:rPr>
          <w:rFonts w:cs="Segoe UI"/>
        </w:rPr>
        <w:t>September</w:t>
      </w:r>
      <w:r w:rsidR="00983E51">
        <w:rPr>
          <w:rFonts w:cs="Segoe UI"/>
        </w:rPr>
        <w:t> </w:t>
      </w:r>
      <w:r w:rsidRPr="00CE60B2">
        <w:rPr>
          <w:rFonts w:cs="Segoe UI"/>
        </w:rPr>
        <w:t xml:space="preserve">2018, </w:t>
      </w:r>
      <w:r w:rsidRPr="00640915">
        <w:rPr>
          <w:rFonts w:cs="Segoe UI"/>
        </w:rPr>
        <w:t>6</w:t>
      </w:r>
      <w:r w:rsidR="00D520E5" w:rsidRPr="00640915">
        <w:rPr>
          <w:rFonts w:cs="Segoe UI"/>
        </w:rPr>
        <w:t>6</w:t>
      </w:r>
      <w:r w:rsidRPr="00640915">
        <w:rPr>
          <w:rFonts w:cs="Segoe UI"/>
        </w:rPr>
        <w:t xml:space="preserve"> Australian wetlands have been designated </w:t>
      </w:r>
      <w:r w:rsidR="009A7343" w:rsidRPr="00640915">
        <w:rPr>
          <w:rFonts w:cs="Segoe UI"/>
        </w:rPr>
        <w:t>under the Ramsar Convention</w:t>
      </w:r>
      <w:r w:rsidRPr="00640915">
        <w:rPr>
          <w:rFonts w:cs="Segoe UI"/>
        </w:rPr>
        <w:t xml:space="preserve">. Of the </w:t>
      </w:r>
      <w:r w:rsidR="00BB7595" w:rsidRPr="00640915">
        <w:rPr>
          <w:rFonts w:cs="Segoe UI"/>
        </w:rPr>
        <w:t>12</w:t>
      </w:r>
      <w:r w:rsidRPr="00640915">
        <w:rPr>
          <w:rFonts w:cs="Segoe UI"/>
        </w:rPr>
        <w:t xml:space="preserve"> Ramsar sites</w:t>
      </w:r>
      <w:r w:rsidRPr="00CE60B2">
        <w:rPr>
          <w:rFonts w:cs="Segoe UI"/>
        </w:rPr>
        <w:t xml:space="preserve"> in WA, one is located in the WA</w:t>
      </w:r>
      <w:r w:rsidR="00983E51">
        <w:rPr>
          <w:rFonts w:cs="Segoe UI"/>
        </w:rPr>
        <w:t> </w:t>
      </w:r>
      <w:r w:rsidRPr="00CE60B2">
        <w:rPr>
          <w:rFonts w:cs="Segoe UI"/>
        </w:rPr>
        <w:t xml:space="preserve">RFA region and covers approximately </w:t>
      </w:r>
      <w:r w:rsidR="00BB7595" w:rsidRPr="00CE60B2">
        <w:rPr>
          <w:rFonts w:cs="Segoe UI"/>
        </w:rPr>
        <w:t>10,631</w:t>
      </w:r>
      <w:r w:rsidRPr="00CE60B2">
        <w:rPr>
          <w:rFonts w:cs="Segoe UI"/>
        </w:rPr>
        <w:t xml:space="preserve"> hectares (see </w:t>
      </w:r>
      <w:r w:rsidR="00AD0AB7">
        <w:rPr>
          <w:rFonts w:cs="Segoe UI"/>
          <w:b/>
          <w:bCs/>
        </w:rPr>
        <w:fldChar w:fldCharType="begin"/>
      </w:r>
      <w:r w:rsidR="00AD0AB7">
        <w:rPr>
          <w:rFonts w:cs="Segoe UI"/>
        </w:rPr>
        <w:instrText xml:space="preserve"> REF _Ref527453586 </w:instrText>
      </w:r>
      <w:r w:rsidR="00AD0AB7">
        <w:rPr>
          <w:rFonts w:cs="Segoe UI"/>
          <w:b/>
          <w:bCs/>
        </w:rPr>
        <w:fldChar w:fldCharType="separate"/>
      </w:r>
      <w:r w:rsidR="003C7091">
        <w:t xml:space="preserve">Table </w:t>
      </w:r>
      <w:r w:rsidR="003C7091">
        <w:rPr>
          <w:noProof/>
        </w:rPr>
        <w:t>15</w:t>
      </w:r>
      <w:r w:rsidR="00AD0AB7">
        <w:rPr>
          <w:rFonts w:cs="Segoe UI"/>
          <w:b/>
          <w:bCs/>
        </w:rPr>
        <w:fldChar w:fldCharType="end"/>
      </w:r>
      <w:r w:rsidRPr="00CE60B2">
        <w:rPr>
          <w:rFonts w:cs="Segoe UI"/>
        </w:rPr>
        <w:t>).</w:t>
      </w:r>
      <w:r w:rsidR="0024287B" w:rsidRPr="00CE60B2">
        <w:rPr>
          <w:rFonts w:cs="Segoe UI"/>
        </w:rPr>
        <w:t xml:space="preserve"> There are </w:t>
      </w:r>
      <w:r w:rsidR="009A7343" w:rsidRPr="00CE60B2">
        <w:rPr>
          <w:rFonts w:cs="Segoe UI"/>
        </w:rPr>
        <w:t>three</w:t>
      </w:r>
      <w:r w:rsidR="0024287B" w:rsidRPr="00CE60B2">
        <w:rPr>
          <w:rFonts w:cs="Segoe UI"/>
        </w:rPr>
        <w:t xml:space="preserve"> Ramsar wetlands within 10 km of the </w:t>
      </w:r>
      <w:r w:rsidR="00E6560F" w:rsidRPr="00CE60B2">
        <w:rPr>
          <w:rFonts w:cs="Segoe UI"/>
        </w:rPr>
        <w:t>WA</w:t>
      </w:r>
      <w:r w:rsidR="00983E51">
        <w:rPr>
          <w:rFonts w:cs="Segoe UI"/>
        </w:rPr>
        <w:t> </w:t>
      </w:r>
      <w:r w:rsidR="0024287B" w:rsidRPr="00CE60B2">
        <w:rPr>
          <w:rFonts w:cs="Segoe UI"/>
        </w:rPr>
        <w:t>RFA region whose catchment areas</w:t>
      </w:r>
      <w:r w:rsidR="00E6560F" w:rsidRPr="00CE60B2">
        <w:rPr>
          <w:rFonts w:cs="Segoe UI"/>
        </w:rPr>
        <w:t xml:space="preserve"> </w:t>
      </w:r>
      <w:r w:rsidR="0024287B" w:rsidRPr="00CE60B2">
        <w:rPr>
          <w:rFonts w:cs="Segoe UI"/>
        </w:rPr>
        <w:t>fall within the region.</w:t>
      </w:r>
      <w:r w:rsidR="0025370A">
        <w:rPr>
          <w:rFonts w:cs="Segoe UI"/>
        </w:rPr>
        <w:t xml:space="preserve"> There are also three wetland sites within the WA RFA area that are considered as candidate for listing unde</w:t>
      </w:r>
      <w:r w:rsidR="00D914A8">
        <w:rPr>
          <w:rFonts w:cs="Segoe UI"/>
        </w:rPr>
        <w:t>r</w:t>
      </w:r>
      <w:r w:rsidR="0025370A">
        <w:rPr>
          <w:rFonts w:cs="Segoe UI"/>
        </w:rPr>
        <w:t xml:space="preserve"> the Ramsar Convention (Table 1</w:t>
      </w:r>
      <w:r w:rsidR="00E25C9C">
        <w:rPr>
          <w:rFonts w:cs="Segoe UI"/>
        </w:rPr>
        <w:t>6</w:t>
      </w:r>
      <w:r w:rsidR="0025370A">
        <w:rPr>
          <w:rFonts w:cs="Segoe UI"/>
        </w:rPr>
        <w:t>).</w:t>
      </w:r>
    </w:p>
    <w:p w14:paraId="26ABCF38" w14:textId="4667F606" w:rsidR="00AD0AB7" w:rsidRDefault="00AD0AB7" w:rsidP="00AD0AB7">
      <w:pPr>
        <w:pStyle w:val="Caption"/>
        <w:keepNext/>
      </w:pPr>
      <w:bookmarkStart w:id="84" w:name="_Ref527453586"/>
      <w:bookmarkStart w:id="85" w:name="_Toc531002176"/>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15</w:t>
      </w:r>
      <w:r w:rsidR="005C10D4">
        <w:rPr>
          <w:noProof/>
        </w:rPr>
        <w:fldChar w:fldCharType="end"/>
      </w:r>
      <w:bookmarkEnd w:id="84"/>
      <w:r>
        <w:t xml:space="preserve">: </w:t>
      </w:r>
      <w:r w:rsidRPr="00FB4484">
        <w:t>Ramsar Wetlands of International Importance in the WA RFA region</w:t>
      </w:r>
      <w:bookmarkEnd w:id="85"/>
    </w:p>
    <w:tbl>
      <w:tblPr>
        <w:tblStyle w:val="dpitablestyle"/>
        <w:tblW w:w="90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1779"/>
        <w:gridCol w:w="1779"/>
        <w:gridCol w:w="1497"/>
      </w:tblGrid>
      <w:tr w:rsidR="0024287B" w:rsidRPr="00CE60B2" w14:paraId="26ABCF3D" w14:textId="77777777" w:rsidTr="0024287B">
        <w:trPr>
          <w:cnfStyle w:val="100000000000" w:firstRow="1" w:lastRow="0" w:firstColumn="0" w:lastColumn="0" w:oddVBand="0" w:evenVBand="0" w:oddHBand="0" w:evenHBand="0" w:firstRowFirstColumn="0" w:firstRowLastColumn="0" w:lastRowFirstColumn="0" w:lastRowLastColumn="0"/>
          <w:trHeight w:val="258"/>
        </w:trPr>
        <w:tc>
          <w:tcPr>
            <w:tcW w:w="3946" w:type="dxa"/>
            <w:tcBorders>
              <w:bottom w:val="single" w:sz="4" w:space="0" w:color="auto"/>
            </w:tcBorders>
          </w:tcPr>
          <w:p w14:paraId="26ABCF39" w14:textId="77777777" w:rsidR="0024287B" w:rsidRPr="00CE60B2" w:rsidRDefault="0024287B" w:rsidP="005F1CF3">
            <w:pPr>
              <w:pStyle w:val="Caption"/>
              <w:rPr>
                <w:rFonts w:ascii="Segoe UI" w:hAnsi="Segoe UI" w:cs="Segoe UI"/>
                <w:color w:val="auto"/>
                <w:szCs w:val="20"/>
                <w:lang w:eastAsia="ja-JP"/>
              </w:rPr>
            </w:pPr>
            <w:r w:rsidRPr="00CE60B2">
              <w:rPr>
                <w:rFonts w:ascii="Segoe UI" w:hAnsi="Segoe UI" w:cs="Segoe UI"/>
                <w:bCs/>
                <w:color w:val="auto"/>
                <w:szCs w:val="20"/>
              </w:rPr>
              <w:t>Wetland</w:t>
            </w:r>
          </w:p>
        </w:tc>
        <w:tc>
          <w:tcPr>
            <w:tcW w:w="1779" w:type="dxa"/>
            <w:tcBorders>
              <w:bottom w:val="single" w:sz="4" w:space="0" w:color="auto"/>
            </w:tcBorders>
          </w:tcPr>
          <w:p w14:paraId="26ABCF3A" w14:textId="77777777" w:rsidR="0024287B" w:rsidRPr="00CE60B2" w:rsidRDefault="0024287B" w:rsidP="005F1CF3">
            <w:pPr>
              <w:pStyle w:val="Caption"/>
              <w:rPr>
                <w:rFonts w:ascii="Segoe UI" w:hAnsi="Segoe UI" w:cs="Segoe UI"/>
                <w:bCs/>
                <w:color w:val="auto"/>
                <w:szCs w:val="20"/>
              </w:rPr>
            </w:pPr>
            <w:r w:rsidRPr="00CE60B2">
              <w:rPr>
                <w:rFonts w:ascii="Segoe UI" w:hAnsi="Segoe UI" w:cs="Segoe UI"/>
                <w:bCs/>
                <w:color w:val="auto"/>
                <w:szCs w:val="20"/>
              </w:rPr>
              <w:t>Within WA RFA</w:t>
            </w:r>
          </w:p>
        </w:tc>
        <w:tc>
          <w:tcPr>
            <w:tcW w:w="1779" w:type="dxa"/>
            <w:tcBorders>
              <w:bottom w:val="single" w:sz="4" w:space="0" w:color="auto"/>
            </w:tcBorders>
          </w:tcPr>
          <w:p w14:paraId="26ABCF3B" w14:textId="77777777" w:rsidR="0024287B" w:rsidRPr="00CE60B2" w:rsidRDefault="0024287B" w:rsidP="005F1CF3">
            <w:pPr>
              <w:pStyle w:val="Caption"/>
              <w:rPr>
                <w:rFonts w:ascii="Segoe UI" w:hAnsi="Segoe UI" w:cs="Segoe UI"/>
                <w:bCs/>
                <w:color w:val="auto"/>
                <w:szCs w:val="20"/>
              </w:rPr>
            </w:pPr>
            <w:r w:rsidRPr="00CE60B2">
              <w:rPr>
                <w:rFonts w:ascii="Segoe UI" w:hAnsi="Segoe UI" w:cs="Segoe UI"/>
                <w:bCs/>
                <w:color w:val="auto"/>
                <w:szCs w:val="20"/>
              </w:rPr>
              <w:t>Date of listing</w:t>
            </w:r>
          </w:p>
        </w:tc>
        <w:tc>
          <w:tcPr>
            <w:tcW w:w="1497" w:type="dxa"/>
            <w:tcBorders>
              <w:bottom w:val="single" w:sz="4" w:space="0" w:color="auto"/>
            </w:tcBorders>
          </w:tcPr>
          <w:p w14:paraId="26ABCF3C" w14:textId="77777777" w:rsidR="0024287B" w:rsidRPr="00CE60B2" w:rsidRDefault="0024287B" w:rsidP="005F1CF3">
            <w:pPr>
              <w:pStyle w:val="Caption"/>
              <w:rPr>
                <w:rFonts w:ascii="Segoe UI" w:hAnsi="Segoe UI" w:cs="Segoe UI"/>
                <w:bCs/>
                <w:color w:val="auto"/>
                <w:szCs w:val="20"/>
              </w:rPr>
            </w:pPr>
            <w:r w:rsidRPr="00CE60B2">
              <w:rPr>
                <w:rFonts w:ascii="Segoe UI" w:hAnsi="Segoe UI" w:cs="Segoe UI"/>
                <w:bCs/>
                <w:color w:val="auto"/>
                <w:szCs w:val="20"/>
              </w:rPr>
              <w:t>Area (hectares)</w:t>
            </w:r>
          </w:p>
        </w:tc>
      </w:tr>
      <w:tr w:rsidR="0024287B" w:rsidRPr="00CE60B2" w14:paraId="26ABCF42" w14:textId="77777777" w:rsidTr="0024287B">
        <w:trPr>
          <w:cnfStyle w:val="000000100000" w:firstRow="0" w:lastRow="0" w:firstColumn="0" w:lastColumn="0" w:oddVBand="0" w:evenVBand="0" w:oddHBand="1" w:evenHBand="0" w:firstRowFirstColumn="0" w:firstRowLastColumn="0" w:lastRowFirstColumn="0" w:lastRowLastColumn="0"/>
          <w:trHeight w:val="335"/>
        </w:trPr>
        <w:tc>
          <w:tcPr>
            <w:tcW w:w="3946" w:type="dxa"/>
            <w:tcBorders>
              <w:top w:val="single" w:sz="4" w:space="0" w:color="auto"/>
              <w:left w:val="nil"/>
              <w:bottom w:val="single" w:sz="4" w:space="0" w:color="auto"/>
              <w:right w:val="nil"/>
            </w:tcBorders>
          </w:tcPr>
          <w:p w14:paraId="26ABCF3E" w14:textId="77777777" w:rsidR="0024287B" w:rsidRPr="00CE60B2" w:rsidRDefault="004962B1"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Muir – Byenup System</w:t>
            </w:r>
          </w:p>
        </w:tc>
        <w:tc>
          <w:tcPr>
            <w:tcW w:w="1779" w:type="dxa"/>
            <w:tcBorders>
              <w:top w:val="single" w:sz="4" w:space="0" w:color="auto"/>
              <w:left w:val="nil"/>
              <w:bottom w:val="single" w:sz="4" w:space="0" w:color="auto"/>
              <w:right w:val="nil"/>
            </w:tcBorders>
          </w:tcPr>
          <w:p w14:paraId="26ABCF3F" w14:textId="77777777" w:rsidR="0024287B" w:rsidRPr="00CE60B2" w:rsidRDefault="0024287B"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Yes</w:t>
            </w:r>
          </w:p>
        </w:tc>
        <w:tc>
          <w:tcPr>
            <w:tcW w:w="1779" w:type="dxa"/>
            <w:tcBorders>
              <w:top w:val="single" w:sz="4" w:space="0" w:color="auto"/>
              <w:left w:val="nil"/>
              <w:bottom w:val="single" w:sz="4" w:space="0" w:color="auto"/>
              <w:right w:val="nil"/>
            </w:tcBorders>
          </w:tcPr>
          <w:p w14:paraId="26ABCF40" w14:textId="77777777" w:rsidR="0024287B" w:rsidRPr="00CE60B2" w:rsidRDefault="00B955D8"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5 January 2001</w:t>
            </w:r>
          </w:p>
        </w:tc>
        <w:tc>
          <w:tcPr>
            <w:tcW w:w="1497" w:type="dxa"/>
            <w:tcBorders>
              <w:top w:val="single" w:sz="4" w:space="0" w:color="auto"/>
              <w:left w:val="nil"/>
              <w:bottom w:val="single" w:sz="4" w:space="0" w:color="auto"/>
              <w:right w:val="nil"/>
            </w:tcBorders>
          </w:tcPr>
          <w:p w14:paraId="26ABCF41" w14:textId="77777777" w:rsidR="0024287B" w:rsidRPr="00CE60B2" w:rsidRDefault="004962B1" w:rsidP="005F1CF3">
            <w:pPr>
              <w:rPr>
                <w:rFonts w:eastAsia="Times New Roman" w:cs="Segoe UI"/>
                <w:color w:val="auto"/>
                <w:szCs w:val="20"/>
                <w:lang w:eastAsia="ja-JP"/>
              </w:rPr>
            </w:pPr>
            <w:r w:rsidRPr="00CE60B2">
              <w:rPr>
                <w:rFonts w:eastAsia="Times New Roman" w:cs="Segoe UI"/>
                <w:color w:val="auto"/>
                <w:szCs w:val="20"/>
                <w:lang w:eastAsia="ja-JP"/>
              </w:rPr>
              <w:t>10,631</w:t>
            </w:r>
          </w:p>
        </w:tc>
      </w:tr>
      <w:tr w:rsidR="0024287B" w:rsidRPr="00CE60B2" w14:paraId="26ABCF47" w14:textId="77777777" w:rsidTr="0024287B">
        <w:trPr>
          <w:cnfStyle w:val="000000010000" w:firstRow="0" w:lastRow="0" w:firstColumn="0" w:lastColumn="0" w:oddVBand="0" w:evenVBand="0" w:oddHBand="0" w:evenHBand="1" w:firstRowFirstColumn="0" w:firstRowLastColumn="0" w:lastRowFirstColumn="0" w:lastRowLastColumn="0"/>
          <w:trHeight w:val="335"/>
        </w:trPr>
        <w:tc>
          <w:tcPr>
            <w:tcW w:w="3946" w:type="dxa"/>
            <w:tcBorders>
              <w:top w:val="single" w:sz="4" w:space="0" w:color="auto"/>
              <w:bottom w:val="single" w:sz="4" w:space="0" w:color="auto"/>
              <w:right w:val="nil"/>
            </w:tcBorders>
          </w:tcPr>
          <w:p w14:paraId="26ABCF43" w14:textId="77777777" w:rsidR="0024287B" w:rsidRPr="00CE60B2" w:rsidRDefault="004962B1"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Forrestdale and Thompsons Lakes</w:t>
            </w:r>
          </w:p>
        </w:tc>
        <w:tc>
          <w:tcPr>
            <w:tcW w:w="1779" w:type="dxa"/>
            <w:tcBorders>
              <w:top w:val="single" w:sz="4" w:space="0" w:color="auto"/>
              <w:left w:val="nil"/>
              <w:bottom w:val="single" w:sz="4" w:space="0" w:color="auto"/>
              <w:right w:val="nil"/>
            </w:tcBorders>
          </w:tcPr>
          <w:p w14:paraId="26ABCF44" w14:textId="77777777" w:rsidR="0024287B" w:rsidRPr="00CE60B2" w:rsidRDefault="0024287B"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No</w:t>
            </w:r>
            <w:r w:rsidR="00F25AD0" w:rsidRPr="00CE60B2">
              <w:rPr>
                <w:rFonts w:ascii="Segoe UI" w:hAnsi="Segoe UI" w:cs="Segoe UI"/>
                <w:color w:val="auto"/>
                <w:szCs w:val="20"/>
                <w:lang w:eastAsia="ja-JP"/>
              </w:rPr>
              <w:t xml:space="preserve"> – catchment area only</w:t>
            </w:r>
          </w:p>
        </w:tc>
        <w:tc>
          <w:tcPr>
            <w:tcW w:w="1779" w:type="dxa"/>
            <w:tcBorders>
              <w:top w:val="single" w:sz="4" w:space="0" w:color="auto"/>
              <w:left w:val="nil"/>
              <w:bottom w:val="single" w:sz="4" w:space="0" w:color="auto"/>
              <w:right w:val="nil"/>
            </w:tcBorders>
          </w:tcPr>
          <w:p w14:paraId="26ABCF45" w14:textId="77777777" w:rsidR="0024287B" w:rsidRPr="00CE60B2" w:rsidRDefault="00B955D8"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7 June 1990</w:t>
            </w:r>
          </w:p>
        </w:tc>
        <w:tc>
          <w:tcPr>
            <w:tcW w:w="1497" w:type="dxa"/>
            <w:tcBorders>
              <w:top w:val="single" w:sz="4" w:space="0" w:color="auto"/>
              <w:left w:val="nil"/>
              <w:bottom w:val="single" w:sz="4" w:space="0" w:color="auto"/>
              <w:right w:val="nil"/>
            </w:tcBorders>
          </w:tcPr>
          <w:p w14:paraId="26ABCF46" w14:textId="77777777" w:rsidR="0024287B" w:rsidRPr="00CE60B2" w:rsidRDefault="00B955D8" w:rsidP="005F1CF3">
            <w:pPr>
              <w:rPr>
                <w:rFonts w:eastAsia="Times New Roman" w:cs="Segoe UI"/>
                <w:szCs w:val="20"/>
                <w:lang w:eastAsia="ja-JP"/>
              </w:rPr>
            </w:pPr>
            <w:r w:rsidRPr="00CE60B2">
              <w:rPr>
                <w:rFonts w:eastAsia="Times New Roman" w:cs="Segoe UI"/>
                <w:szCs w:val="20"/>
                <w:lang w:eastAsia="ja-JP"/>
              </w:rPr>
              <w:t>784</w:t>
            </w:r>
          </w:p>
        </w:tc>
      </w:tr>
      <w:tr w:rsidR="0024287B" w:rsidRPr="00CE60B2" w14:paraId="26ABCF4C" w14:textId="77777777" w:rsidTr="0024287B">
        <w:trPr>
          <w:cnfStyle w:val="000000100000" w:firstRow="0" w:lastRow="0" w:firstColumn="0" w:lastColumn="0" w:oddVBand="0" w:evenVBand="0" w:oddHBand="1" w:evenHBand="0" w:firstRowFirstColumn="0" w:firstRowLastColumn="0" w:lastRowFirstColumn="0" w:lastRowLastColumn="0"/>
          <w:trHeight w:val="335"/>
        </w:trPr>
        <w:tc>
          <w:tcPr>
            <w:tcW w:w="3946" w:type="dxa"/>
            <w:tcBorders>
              <w:top w:val="single" w:sz="4" w:space="0" w:color="auto"/>
              <w:left w:val="nil"/>
              <w:bottom w:val="single" w:sz="4" w:space="0" w:color="auto"/>
              <w:right w:val="nil"/>
            </w:tcBorders>
          </w:tcPr>
          <w:p w14:paraId="26ABCF48" w14:textId="77777777" w:rsidR="0024287B" w:rsidRPr="00CE60B2" w:rsidRDefault="004962B1"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Peel – Yalgorup System</w:t>
            </w:r>
          </w:p>
        </w:tc>
        <w:tc>
          <w:tcPr>
            <w:tcW w:w="1779" w:type="dxa"/>
            <w:tcBorders>
              <w:top w:val="single" w:sz="4" w:space="0" w:color="auto"/>
              <w:left w:val="nil"/>
              <w:bottom w:val="single" w:sz="4" w:space="0" w:color="auto"/>
              <w:right w:val="nil"/>
            </w:tcBorders>
          </w:tcPr>
          <w:p w14:paraId="26ABCF49" w14:textId="77777777" w:rsidR="0024287B" w:rsidRPr="00CE60B2" w:rsidRDefault="0024287B"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No</w:t>
            </w:r>
            <w:r w:rsidR="00F25AD0" w:rsidRPr="00CE60B2">
              <w:rPr>
                <w:rFonts w:ascii="Segoe UI" w:hAnsi="Segoe UI" w:cs="Segoe UI"/>
                <w:color w:val="auto"/>
                <w:szCs w:val="20"/>
                <w:lang w:eastAsia="ja-JP"/>
              </w:rPr>
              <w:t xml:space="preserve"> – catchment area only</w:t>
            </w:r>
          </w:p>
        </w:tc>
        <w:tc>
          <w:tcPr>
            <w:tcW w:w="1779" w:type="dxa"/>
            <w:tcBorders>
              <w:top w:val="single" w:sz="4" w:space="0" w:color="auto"/>
              <w:left w:val="nil"/>
              <w:bottom w:val="single" w:sz="4" w:space="0" w:color="auto"/>
              <w:right w:val="nil"/>
            </w:tcBorders>
          </w:tcPr>
          <w:p w14:paraId="26ABCF4A" w14:textId="77777777" w:rsidR="0024287B" w:rsidRPr="00CE60B2" w:rsidRDefault="00B955D8"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7 June 1990</w:t>
            </w:r>
          </w:p>
        </w:tc>
        <w:tc>
          <w:tcPr>
            <w:tcW w:w="1497" w:type="dxa"/>
            <w:tcBorders>
              <w:top w:val="single" w:sz="4" w:space="0" w:color="auto"/>
              <w:left w:val="nil"/>
              <w:bottom w:val="single" w:sz="4" w:space="0" w:color="auto"/>
              <w:right w:val="nil"/>
            </w:tcBorders>
          </w:tcPr>
          <w:p w14:paraId="26ABCF4B" w14:textId="77777777" w:rsidR="0024287B" w:rsidRPr="00CE60B2" w:rsidRDefault="00B955D8" w:rsidP="005F1CF3">
            <w:pPr>
              <w:rPr>
                <w:rFonts w:eastAsia="Times New Roman" w:cs="Segoe UI"/>
                <w:szCs w:val="20"/>
                <w:lang w:eastAsia="ja-JP"/>
              </w:rPr>
            </w:pPr>
            <w:r w:rsidRPr="00CE60B2">
              <w:rPr>
                <w:rFonts w:eastAsia="Times New Roman" w:cs="Segoe UI"/>
                <w:szCs w:val="20"/>
                <w:lang w:eastAsia="ja-JP"/>
              </w:rPr>
              <w:t>26,530</w:t>
            </w:r>
          </w:p>
        </w:tc>
      </w:tr>
      <w:tr w:rsidR="0024287B" w:rsidRPr="00CE60B2" w14:paraId="26ABCF51" w14:textId="77777777" w:rsidTr="0024287B">
        <w:trPr>
          <w:cnfStyle w:val="000000010000" w:firstRow="0" w:lastRow="0" w:firstColumn="0" w:lastColumn="0" w:oddVBand="0" w:evenVBand="0" w:oddHBand="0" w:evenHBand="1" w:firstRowFirstColumn="0" w:firstRowLastColumn="0" w:lastRowFirstColumn="0" w:lastRowLastColumn="0"/>
          <w:trHeight w:val="335"/>
        </w:trPr>
        <w:tc>
          <w:tcPr>
            <w:tcW w:w="3946" w:type="dxa"/>
            <w:tcBorders>
              <w:top w:val="single" w:sz="4" w:space="0" w:color="auto"/>
              <w:bottom w:val="single" w:sz="4" w:space="0" w:color="auto"/>
              <w:right w:val="nil"/>
            </w:tcBorders>
          </w:tcPr>
          <w:p w14:paraId="26ABCF4D" w14:textId="77777777" w:rsidR="0024287B" w:rsidRPr="00CE60B2" w:rsidRDefault="004962B1"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Vasse – Wonnerup System</w:t>
            </w:r>
          </w:p>
        </w:tc>
        <w:tc>
          <w:tcPr>
            <w:tcW w:w="1779" w:type="dxa"/>
            <w:tcBorders>
              <w:top w:val="single" w:sz="4" w:space="0" w:color="auto"/>
              <w:left w:val="nil"/>
              <w:bottom w:val="single" w:sz="4" w:space="0" w:color="auto"/>
              <w:right w:val="nil"/>
            </w:tcBorders>
          </w:tcPr>
          <w:p w14:paraId="26ABCF4E" w14:textId="77777777" w:rsidR="0024287B" w:rsidRPr="00CE60B2" w:rsidRDefault="0024287B"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No</w:t>
            </w:r>
            <w:r w:rsidR="00F25AD0" w:rsidRPr="00CE60B2">
              <w:rPr>
                <w:rFonts w:ascii="Segoe UI" w:hAnsi="Segoe UI" w:cs="Segoe UI"/>
                <w:color w:val="auto"/>
                <w:szCs w:val="20"/>
                <w:lang w:eastAsia="ja-JP"/>
              </w:rPr>
              <w:t xml:space="preserve"> – catchment area only</w:t>
            </w:r>
          </w:p>
        </w:tc>
        <w:tc>
          <w:tcPr>
            <w:tcW w:w="1779" w:type="dxa"/>
            <w:tcBorders>
              <w:top w:val="single" w:sz="4" w:space="0" w:color="auto"/>
              <w:left w:val="nil"/>
              <w:bottom w:val="single" w:sz="4" w:space="0" w:color="auto"/>
              <w:right w:val="nil"/>
            </w:tcBorders>
          </w:tcPr>
          <w:p w14:paraId="26ABCF4F" w14:textId="77777777" w:rsidR="0024287B" w:rsidRPr="00CE60B2" w:rsidRDefault="00B955D8" w:rsidP="005F1CF3">
            <w:pPr>
              <w:pStyle w:val="Caption"/>
              <w:rPr>
                <w:rFonts w:ascii="Segoe UI" w:hAnsi="Segoe UI" w:cs="Segoe UI"/>
                <w:color w:val="auto"/>
                <w:szCs w:val="20"/>
                <w:lang w:eastAsia="ja-JP"/>
              </w:rPr>
            </w:pPr>
            <w:r w:rsidRPr="00CE60B2">
              <w:rPr>
                <w:rFonts w:ascii="Segoe UI" w:hAnsi="Segoe UI" w:cs="Segoe UI"/>
                <w:color w:val="auto"/>
                <w:szCs w:val="20"/>
                <w:lang w:eastAsia="ja-JP"/>
              </w:rPr>
              <w:t>7 June 1990</w:t>
            </w:r>
          </w:p>
        </w:tc>
        <w:tc>
          <w:tcPr>
            <w:tcW w:w="1497" w:type="dxa"/>
            <w:tcBorders>
              <w:top w:val="single" w:sz="4" w:space="0" w:color="auto"/>
              <w:left w:val="nil"/>
              <w:bottom w:val="single" w:sz="4" w:space="0" w:color="auto"/>
              <w:right w:val="nil"/>
            </w:tcBorders>
          </w:tcPr>
          <w:p w14:paraId="26ABCF50" w14:textId="77777777" w:rsidR="0024287B" w:rsidRPr="00CE60B2" w:rsidRDefault="00B955D8" w:rsidP="005F1CF3">
            <w:pPr>
              <w:rPr>
                <w:rFonts w:eastAsia="Times New Roman" w:cs="Segoe UI"/>
                <w:szCs w:val="20"/>
                <w:lang w:eastAsia="ja-JP"/>
              </w:rPr>
            </w:pPr>
            <w:r w:rsidRPr="00CE60B2">
              <w:rPr>
                <w:rFonts w:eastAsia="Times New Roman" w:cs="Segoe UI"/>
                <w:szCs w:val="20"/>
                <w:lang w:eastAsia="ja-JP"/>
              </w:rPr>
              <w:t>1,115</w:t>
            </w:r>
          </w:p>
        </w:tc>
      </w:tr>
    </w:tbl>
    <w:p w14:paraId="26ABCF52" w14:textId="47D1BC33" w:rsidR="007E62B1" w:rsidRDefault="007E62B1" w:rsidP="007E62B1">
      <w:pPr>
        <w:pStyle w:val="Caption"/>
        <w:keepNext/>
      </w:pPr>
      <w:bookmarkStart w:id="86" w:name="_Toc531002177"/>
      <w:r>
        <w:lastRenderedPageBreak/>
        <w:t xml:space="preserve">Table </w:t>
      </w:r>
      <w:r w:rsidR="0002253A">
        <w:rPr>
          <w:noProof/>
        </w:rPr>
        <w:fldChar w:fldCharType="begin"/>
      </w:r>
      <w:r w:rsidR="0002253A">
        <w:rPr>
          <w:noProof/>
        </w:rPr>
        <w:instrText xml:space="preserve"> SEQ Table \* ARABIC </w:instrText>
      </w:r>
      <w:r w:rsidR="0002253A">
        <w:rPr>
          <w:noProof/>
        </w:rPr>
        <w:fldChar w:fldCharType="separate"/>
      </w:r>
      <w:r w:rsidR="003C7091">
        <w:rPr>
          <w:noProof/>
        </w:rPr>
        <w:t>16</w:t>
      </w:r>
      <w:r w:rsidR="0002253A">
        <w:rPr>
          <w:noProof/>
        </w:rPr>
        <w:fldChar w:fldCharType="end"/>
      </w:r>
      <w:r>
        <w:t xml:space="preserve">: </w:t>
      </w:r>
      <w:r w:rsidRPr="00AB2E5A">
        <w:t>Details of candidate Ramsar wetlands within the WA RFA region</w:t>
      </w:r>
      <w:bookmarkEnd w:id="86"/>
    </w:p>
    <w:tbl>
      <w:tblPr>
        <w:tblW w:w="8642" w:type="dxa"/>
        <w:tblLook w:val="04A0" w:firstRow="1" w:lastRow="0" w:firstColumn="1" w:lastColumn="0" w:noHBand="0" w:noVBand="1"/>
      </w:tblPr>
      <w:tblGrid>
        <w:gridCol w:w="2816"/>
        <w:gridCol w:w="1708"/>
        <w:gridCol w:w="4118"/>
      </w:tblGrid>
      <w:tr w:rsidR="006060C9" w:rsidRPr="00CE60B2" w14:paraId="26ABCF56" w14:textId="77777777" w:rsidTr="00C423D1">
        <w:trPr>
          <w:trHeight w:val="576"/>
        </w:trPr>
        <w:tc>
          <w:tcPr>
            <w:tcW w:w="2816" w:type="dxa"/>
            <w:tcBorders>
              <w:top w:val="single" w:sz="4" w:space="0" w:color="auto"/>
              <w:left w:val="single" w:sz="4" w:space="0" w:color="auto"/>
              <w:bottom w:val="single" w:sz="4" w:space="0" w:color="000000"/>
              <w:right w:val="single" w:sz="4" w:space="0" w:color="auto"/>
            </w:tcBorders>
            <w:shd w:val="clear" w:color="auto" w:fill="DFEFE1" w:themeFill="accent3" w:themeFillTint="66"/>
            <w:vAlign w:val="bottom"/>
            <w:hideMark/>
          </w:tcPr>
          <w:p w14:paraId="26ABCF53" w14:textId="77777777" w:rsidR="006060C9" w:rsidRPr="00CE60B2" w:rsidRDefault="00C06255" w:rsidP="00C423D1">
            <w:pPr>
              <w:spacing w:before="0"/>
              <w:rPr>
                <w:rFonts w:eastAsia="Times New Roman" w:cs="Segoe UI"/>
                <w:b/>
                <w:bCs/>
                <w:color w:val="000000"/>
                <w:sz w:val="20"/>
                <w:szCs w:val="20"/>
                <w:lang w:eastAsia="en-AU"/>
              </w:rPr>
            </w:pPr>
            <w:r>
              <w:rPr>
                <w:rFonts w:eastAsia="Times New Roman" w:cs="Segoe UI"/>
                <w:b/>
                <w:bCs/>
                <w:color w:val="000000"/>
                <w:sz w:val="20"/>
                <w:szCs w:val="20"/>
                <w:lang w:eastAsia="en-AU"/>
              </w:rPr>
              <w:t xml:space="preserve">Candidate </w:t>
            </w:r>
            <w:r w:rsidR="006060C9" w:rsidRPr="00CE60B2">
              <w:rPr>
                <w:rFonts w:eastAsia="Times New Roman" w:cs="Segoe UI"/>
                <w:b/>
                <w:bCs/>
                <w:color w:val="000000"/>
                <w:sz w:val="20"/>
                <w:szCs w:val="20"/>
                <w:lang w:eastAsia="en-AU"/>
              </w:rPr>
              <w:t>Ramsar Wetland</w:t>
            </w:r>
          </w:p>
        </w:tc>
        <w:tc>
          <w:tcPr>
            <w:tcW w:w="1708" w:type="dxa"/>
            <w:tcBorders>
              <w:top w:val="single" w:sz="4" w:space="0" w:color="auto"/>
              <w:left w:val="single" w:sz="4" w:space="0" w:color="auto"/>
              <w:bottom w:val="single" w:sz="4" w:space="0" w:color="000000"/>
              <w:right w:val="single" w:sz="4" w:space="0" w:color="auto"/>
            </w:tcBorders>
            <w:shd w:val="clear" w:color="auto" w:fill="DFEFE1" w:themeFill="accent3" w:themeFillTint="66"/>
            <w:vAlign w:val="bottom"/>
          </w:tcPr>
          <w:p w14:paraId="26ABCF54" w14:textId="77777777" w:rsidR="006060C9" w:rsidRPr="00CE60B2" w:rsidRDefault="006060C9" w:rsidP="00C423D1">
            <w:pPr>
              <w:spacing w:before="0"/>
              <w:rPr>
                <w:rFonts w:eastAsia="Times New Roman" w:cs="Segoe UI"/>
                <w:b/>
                <w:bCs/>
                <w:color w:val="000000"/>
                <w:sz w:val="20"/>
                <w:szCs w:val="20"/>
                <w:lang w:eastAsia="en-AU"/>
              </w:rPr>
            </w:pPr>
            <w:r w:rsidRPr="00CE60B2">
              <w:rPr>
                <w:rFonts w:eastAsia="Times New Roman" w:cs="Segoe UI"/>
                <w:b/>
                <w:bCs/>
                <w:color w:val="000000"/>
                <w:sz w:val="20"/>
                <w:szCs w:val="20"/>
                <w:lang w:eastAsia="en-AU"/>
              </w:rPr>
              <w:t>Area (hectares)</w:t>
            </w:r>
          </w:p>
        </w:tc>
        <w:tc>
          <w:tcPr>
            <w:tcW w:w="4118" w:type="dxa"/>
            <w:tcBorders>
              <w:top w:val="single" w:sz="4" w:space="0" w:color="auto"/>
              <w:left w:val="single" w:sz="4" w:space="0" w:color="auto"/>
              <w:bottom w:val="single" w:sz="4" w:space="0" w:color="000000"/>
              <w:right w:val="single" w:sz="4" w:space="0" w:color="auto"/>
            </w:tcBorders>
            <w:shd w:val="clear" w:color="auto" w:fill="DFEFE1" w:themeFill="accent3" w:themeFillTint="66"/>
            <w:vAlign w:val="bottom"/>
            <w:hideMark/>
          </w:tcPr>
          <w:p w14:paraId="26ABCF55" w14:textId="77777777" w:rsidR="006060C9" w:rsidRPr="00CE60B2" w:rsidRDefault="006060C9" w:rsidP="00C423D1">
            <w:pPr>
              <w:spacing w:before="0"/>
              <w:rPr>
                <w:rFonts w:eastAsia="Times New Roman" w:cs="Segoe UI"/>
                <w:b/>
                <w:bCs/>
                <w:color w:val="000000"/>
                <w:sz w:val="20"/>
                <w:szCs w:val="20"/>
                <w:lang w:eastAsia="en-AU"/>
              </w:rPr>
            </w:pPr>
            <w:r w:rsidRPr="00CE60B2">
              <w:rPr>
                <w:rFonts w:eastAsia="Times New Roman" w:cs="Segoe UI"/>
                <w:b/>
                <w:bCs/>
                <w:color w:val="000000"/>
                <w:sz w:val="20"/>
                <w:szCs w:val="20"/>
                <w:lang w:eastAsia="en-AU"/>
              </w:rPr>
              <w:t>Tenure/Vesting</w:t>
            </w:r>
          </w:p>
        </w:tc>
      </w:tr>
      <w:tr w:rsidR="006060C9" w:rsidRPr="00CE60B2" w14:paraId="26ABCF5A" w14:textId="77777777" w:rsidTr="00C423D1">
        <w:trPr>
          <w:trHeight w:val="469"/>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26ABCF57" w14:textId="77777777" w:rsidR="006060C9" w:rsidRPr="00CE60B2" w:rsidRDefault="006060C9" w:rsidP="00C423D1">
            <w:pPr>
              <w:spacing w:before="60"/>
              <w:rPr>
                <w:rFonts w:eastAsia="Times New Roman" w:cs="Segoe UI"/>
                <w:color w:val="000000"/>
                <w:sz w:val="20"/>
                <w:szCs w:val="20"/>
                <w:lang w:eastAsia="en-AU"/>
              </w:rPr>
            </w:pPr>
            <w:r w:rsidRPr="00CE60B2">
              <w:rPr>
                <w:rFonts w:eastAsia="Times New Roman" w:cs="Segoe UI"/>
                <w:color w:val="000000"/>
                <w:sz w:val="20"/>
                <w:szCs w:val="20"/>
                <w:lang w:eastAsia="en-AU"/>
              </w:rPr>
              <w:t>Tributaries of the Lower Blackwood River</w:t>
            </w:r>
          </w:p>
        </w:tc>
        <w:tc>
          <w:tcPr>
            <w:tcW w:w="1708" w:type="dxa"/>
            <w:tcBorders>
              <w:top w:val="single" w:sz="4" w:space="0" w:color="auto"/>
              <w:left w:val="single" w:sz="4" w:space="0" w:color="auto"/>
              <w:bottom w:val="single" w:sz="4" w:space="0" w:color="auto"/>
              <w:right w:val="single" w:sz="4" w:space="0" w:color="auto"/>
            </w:tcBorders>
          </w:tcPr>
          <w:p w14:paraId="26ABCF58" w14:textId="77777777" w:rsidR="006060C9" w:rsidRPr="00CE60B2" w:rsidRDefault="006060C9" w:rsidP="00C423D1">
            <w:pPr>
              <w:spacing w:before="0"/>
              <w:jc w:val="center"/>
              <w:rPr>
                <w:rFonts w:eastAsia="Times New Roman" w:cs="Segoe UI"/>
                <w:color w:val="000000"/>
                <w:sz w:val="20"/>
                <w:szCs w:val="20"/>
                <w:lang w:eastAsia="en-AU"/>
              </w:rPr>
            </w:pPr>
            <w:r w:rsidRPr="00CE60B2">
              <w:rPr>
                <w:rFonts w:eastAsia="Times New Roman" w:cs="Segoe UI"/>
                <w:color w:val="000000"/>
                <w:sz w:val="20"/>
                <w:szCs w:val="20"/>
                <w:lang w:eastAsia="en-AU"/>
              </w:rPr>
              <w:t>838</w:t>
            </w:r>
          </w:p>
        </w:tc>
        <w:tc>
          <w:tcPr>
            <w:tcW w:w="4118" w:type="dxa"/>
            <w:tcBorders>
              <w:top w:val="single" w:sz="4" w:space="0" w:color="auto"/>
              <w:left w:val="single" w:sz="4" w:space="0" w:color="auto"/>
              <w:bottom w:val="single" w:sz="4" w:space="0" w:color="auto"/>
              <w:right w:val="single" w:sz="4" w:space="0" w:color="auto"/>
            </w:tcBorders>
            <w:shd w:val="clear" w:color="auto" w:fill="auto"/>
            <w:noWrap/>
          </w:tcPr>
          <w:p w14:paraId="26ABCF59" w14:textId="77777777" w:rsidR="006060C9" w:rsidRPr="00CE60B2" w:rsidRDefault="006060C9" w:rsidP="00FC41D8">
            <w:pPr>
              <w:spacing w:before="0"/>
              <w:rPr>
                <w:rFonts w:eastAsia="Times New Roman" w:cs="Segoe UI"/>
                <w:color w:val="000000"/>
                <w:sz w:val="20"/>
                <w:szCs w:val="20"/>
                <w:lang w:eastAsia="en-AU"/>
              </w:rPr>
            </w:pPr>
            <w:r w:rsidRPr="00CE60B2">
              <w:rPr>
                <w:rFonts w:eastAsia="Times New Roman" w:cs="Segoe UI"/>
                <w:color w:val="000000"/>
                <w:sz w:val="20"/>
                <w:szCs w:val="20"/>
                <w:lang w:eastAsia="en-AU"/>
              </w:rPr>
              <w:t xml:space="preserve">Conservation Reserve vested with the WA </w:t>
            </w:r>
            <w:r w:rsidR="00FC41D8">
              <w:rPr>
                <w:rFonts w:eastAsia="Times New Roman" w:cs="Segoe UI"/>
                <w:color w:val="000000"/>
                <w:sz w:val="20"/>
                <w:szCs w:val="20"/>
                <w:lang w:eastAsia="en-AU"/>
              </w:rPr>
              <w:t>CPC</w:t>
            </w:r>
          </w:p>
        </w:tc>
      </w:tr>
      <w:tr w:rsidR="006060C9" w:rsidRPr="00CE60B2" w14:paraId="26ABCF5E" w14:textId="77777777" w:rsidTr="00C423D1">
        <w:trPr>
          <w:trHeight w:val="469"/>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26ABCF5B" w14:textId="77777777" w:rsidR="006060C9" w:rsidRPr="00CE60B2" w:rsidRDefault="006060C9" w:rsidP="00C423D1">
            <w:pPr>
              <w:spacing w:before="60"/>
              <w:rPr>
                <w:rFonts w:eastAsia="Times New Roman" w:cs="Segoe UI"/>
                <w:color w:val="000000"/>
                <w:sz w:val="20"/>
                <w:szCs w:val="20"/>
                <w:lang w:eastAsia="en-AU"/>
              </w:rPr>
            </w:pPr>
            <w:r w:rsidRPr="00CE60B2">
              <w:rPr>
                <w:rFonts w:eastAsia="Times New Roman" w:cs="Segoe UI"/>
                <w:color w:val="000000"/>
                <w:sz w:val="20"/>
                <w:szCs w:val="20"/>
                <w:lang w:eastAsia="en-AU"/>
              </w:rPr>
              <w:t>Ellen Brook Swamps</w:t>
            </w:r>
          </w:p>
        </w:tc>
        <w:tc>
          <w:tcPr>
            <w:tcW w:w="1708" w:type="dxa"/>
            <w:tcBorders>
              <w:top w:val="single" w:sz="4" w:space="0" w:color="auto"/>
              <w:left w:val="single" w:sz="4" w:space="0" w:color="auto"/>
              <w:bottom w:val="single" w:sz="4" w:space="0" w:color="auto"/>
              <w:right w:val="single" w:sz="4" w:space="0" w:color="auto"/>
            </w:tcBorders>
          </w:tcPr>
          <w:p w14:paraId="26ABCF5C" w14:textId="77777777" w:rsidR="006060C9" w:rsidRPr="00CE60B2" w:rsidRDefault="006060C9" w:rsidP="00C423D1">
            <w:pPr>
              <w:spacing w:before="0"/>
              <w:jc w:val="center"/>
              <w:rPr>
                <w:rFonts w:eastAsia="Times New Roman" w:cs="Segoe UI"/>
                <w:color w:val="000000"/>
                <w:sz w:val="20"/>
                <w:szCs w:val="20"/>
                <w:lang w:eastAsia="en-AU"/>
              </w:rPr>
            </w:pPr>
            <w:r w:rsidRPr="00CE60B2">
              <w:rPr>
                <w:rFonts w:eastAsia="Times New Roman" w:cs="Segoe UI"/>
                <w:color w:val="000000"/>
                <w:sz w:val="20"/>
                <w:szCs w:val="20"/>
                <w:lang w:eastAsia="en-AU"/>
              </w:rPr>
              <w:t>193</w:t>
            </w:r>
          </w:p>
        </w:tc>
        <w:tc>
          <w:tcPr>
            <w:tcW w:w="4118" w:type="dxa"/>
            <w:tcBorders>
              <w:top w:val="single" w:sz="4" w:space="0" w:color="auto"/>
              <w:left w:val="single" w:sz="4" w:space="0" w:color="auto"/>
              <w:bottom w:val="single" w:sz="4" w:space="0" w:color="auto"/>
              <w:right w:val="single" w:sz="4" w:space="0" w:color="auto"/>
            </w:tcBorders>
            <w:shd w:val="clear" w:color="auto" w:fill="auto"/>
            <w:noWrap/>
          </w:tcPr>
          <w:p w14:paraId="26ABCF5D" w14:textId="77777777" w:rsidR="006060C9" w:rsidRPr="00CE60B2" w:rsidRDefault="006060C9" w:rsidP="00FC41D8">
            <w:pPr>
              <w:spacing w:before="0"/>
              <w:rPr>
                <w:rFonts w:eastAsia="Times New Roman" w:cs="Segoe UI"/>
                <w:color w:val="000000"/>
                <w:sz w:val="20"/>
                <w:szCs w:val="20"/>
                <w:lang w:eastAsia="en-AU"/>
              </w:rPr>
            </w:pPr>
            <w:r w:rsidRPr="00CE60B2">
              <w:rPr>
                <w:rFonts w:eastAsia="Times New Roman" w:cs="Segoe UI"/>
                <w:color w:val="000000"/>
                <w:sz w:val="20"/>
                <w:szCs w:val="20"/>
                <w:lang w:eastAsia="en-AU"/>
              </w:rPr>
              <w:t xml:space="preserve">Conservation Reserve vested with the WA </w:t>
            </w:r>
            <w:r w:rsidR="00FC41D8">
              <w:rPr>
                <w:rFonts w:eastAsia="Times New Roman" w:cs="Segoe UI"/>
                <w:color w:val="000000"/>
                <w:sz w:val="20"/>
                <w:szCs w:val="20"/>
                <w:lang w:eastAsia="en-AU"/>
              </w:rPr>
              <w:t>CPC</w:t>
            </w:r>
          </w:p>
        </w:tc>
      </w:tr>
      <w:tr w:rsidR="006060C9" w:rsidRPr="00CE60B2" w14:paraId="26ABCF62" w14:textId="77777777" w:rsidTr="00C423D1">
        <w:trPr>
          <w:trHeight w:val="469"/>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26ABCF5F" w14:textId="77777777" w:rsidR="006060C9" w:rsidRPr="00CE60B2" w:rsidRDefault="006060C9" w:rsidP="00C423D1">
            <w:pPr>
              <w:spacing w:before="60"/>
              <w:rPr>
                <w:rFonts w:eastAsia="Times New Roman" w:cs="Segoe UI"/>
                <w:color w:val="000000"/>
                <w:sz w:val="20"/>
                <w:szCs w:val="20"/>
                <w:lang w:eastAsia="en-AU"/>
              </w:rPr>
            </w:pPr>
            <w:r w:rsidRPr="00CE60B2">
              <w:rPr>
                <w:rFonts w:eastAsia="Times New Roman" w:cs="Segoe UI"/>
                <w:color w:val="000000"/>
                <w:sz w:val="20"/>
                <w:szCs w:val="20"/>
                <w:lang w:eastAsia="en-AU"/>
              </w:rPr>
              <w:t>Owingup Swamp System (Upper portion)</w:t>
            </w:r>
          </w:p>
        </w:tc>
        <w:tc>
          <w:tcPr>
            <w:tcW w:w="1708" w:type="dxa"/>
            <w:tcBorders>
              <w:top w:val="single" w:sz="4" w:space="0" w:color="auto"/>
              <w:left w:val="single" w:sz="4" w:space="0" w:color="auto"/>
              <w:bottom w:val="single" w:sz="4" w:space="0" w:color="auto"/>
              <w:right w:val="single" w:sz="4" w:space="0" w:color="auto"/>
            </w:tcBorders>
          </w:tcPr>
          <w:p w14:paraId="26ABCF60" w14:textId="77777777" w:rsidR="006060C9" w:rsidRPr="00CE60B2" w:rsidRDefault="006060C9" w:rsidP="00C423D1">
            <w:pPr>
              <w:spacing w:before="0"/>
              <w:jc w:val="center"/>
              <w:rPr>
                <w:rFonts w:eastAsia="Times New Roman" w:cs="Segoe UI"/>
                <w:color w:val="000000"/>
                <w:sz w:val="20"/>
                <w:szCs w:val="20"/>
                <w:lang w:eastAsia="en-AU"/>
              </w:rPr>
            </w:pPr>
            <w:r w:rsidRPr="00CE60B2">
              <w:rPr>
                <w:rFonts w:eastAsia="Times New Roman" w:cs="Segoe UI"/>
                <w:color w:val="000000"/>
                <w:sz w:val="20"/>
                <w:szCs w:val="20"/>
                <w:lang w:eastAsia="en-AU"/>
              </w:rPr>
              <w:t xml:space="preserve">1,369 (35 </w:t>
            </w:r>
            <w:r w:rsidR="00DD788C">
              <w:rPr>
                <w:rFonts w:eastAsia="Times New Roman" w:cs="Segoe UI"/>
                <w:color w:val="000000"/>
                <w:sz w:val="20"/>
                <w:szCs w:val="20"/>
                <w:lang w:eastAsia="en-AU"/>
              </w:rPr>
              <w:t>h</w:t>
            </w:r>
            <w:r w:rsidRPr="00CE60B2">
              <w:rPr>
                <w:rFonts w:eastAsia="Times New Roman" w:cs="Segoe UI"/>
                <w:color w:val="000000"/>
                <w:sz w:val="20"/>
                <w:szCs w:val="20"/>
                <w:lang w:eastAsia="en-AU"/>
              </w:rPr>
              <w:t xml:space="preserve">a inside WA </w:t>
            </w:r>
            <w:r w:rsidR="00A97602">
              <w:rPr>
                <w:rFonts w:eastAsia="Times New Roman" w:cs="Segoe UI"/>
                <w:color w:val="000000"/>
                <w:sz w:val="20"/>
                <w:szCs w:val="20"/>
                <w:lang w:eastAsia="en-AU"/>
              </w:rPr>
              <w:t>RFA region</w:t>
            </w:r>
            <w:r w:rsidRPr="00CE60B2">
              <w:rPr>
                <w:rFonts w:eastAsia="Times New Roman" w:cs="Segoe UI"/>
                <w:color w:val="000000"/>
                <w:sz w:val="20"/>
                <w:szCs w:val="20"/>
                <w:lang w:eastAsia="en-AU"/>
              </w:rPr>
              <w:t>)</w:t>
            </w:r>
          </w:p>
        </w:tc>
        <w:tc>
          <w:tcPr>
            <w:tcW w:w="4118" w:type="dxa"/>
            <w:tcBorders>
              <w:top w:val="single" w:sz="4" w:space="0" w:color="auto"/>
              <w:left w:val="single" w:sz="4" w:space="0" w:color="auto"/>
              <w:bottom w:val="single" w:sz="4" w:space="0" w:color="auto"/>
              <w:right w:val="single" w:sz="4" w:space="0" w:color="auto"/>
            </w:tcBorders>
            <w:shd w:val="clear" w:color="auto" w:fill="auto"/>
            <w:noWrap/>
          </w:tcPr>
          <w:p w14:paraId="26ABCF61" w14:textId="77777777" w:rsidR="006060C9" w:rsidRPr="00CE60B2" w:rsidRDefault="006060C9" w:rsidP="00FC41D8">
            <w:pPr>
              <w:spacing w:before="0"/>
              <w:rPr>
                <w:rFonts w:eastAsia="Times New Roman" w:cs="Segoe UI"/>
                <w:color w:val="000000"/>
                <w:sz w:val="20"/>
                <w:szCs w:val="20"/>
                <w:lang w:eastAsia="en-AU"/>
              </w:rPr>
            </w:pPr>
            <w:r w:rsidRPr="00CE60B2">
              <w:rPr>
                <w:rFonts w:eastAsia="Times New Roman" w:cs="Segoe UI"/>
                <w:color w:val="000000"/>
                <w:sz w:val="20"/>
                <w:szCs w:val="20"/>
                <w:lang w:eastAsia="en-AU"/>
              </w:rPr>
              <w:t xml:space="preserve">Timber Reserve vested with the WA </w:t>
            </w:r>
            <w:r w:rsidR="00FC41D8">
              <w:rPr>
                <w:rFonts w:eastAsia="Times New Roman" w:cs="Segoe UI"/>
                <w:color w:val="000000"/>
                <w:sz w:val="20"/>
                <w:szCs w:val="20"/>
                <w:lang w:eastAsia="en-AU"/>
              </w:rPr>
              <w:t>CPC</w:t>
            </w:r>
          </w:p>
        </w:tc>
      </w:tr>
    </w:tbl>
    <w:p w14:paraId="26ABCF63" w14:textId="77777777" w:rsidR="0024287B" w:rsidRPr="00CE60B2" w:rsidRDefault="0024287B" w:rsidP="0024287B">
      <w:pPr>
        <w:rPr>
          <w:rFonts w:cs="Segoe UI"/>
          <w:b/>
          <w:lang w:eastAsia="ja-JP"/>
        </w:rPr>
      </w:pPr>
    </w:p>
    <w:p w14:paraId="26ABCF64" w14:textId="77777777" w:rsidR="0024287B" w:rsidRPr="00CE60B2" w:rsidRDefault="00B955D8" w:rsidP="008A4979">
      <w:pPr>
        <w:pStyle w:val="Heading5"/>
        <w:rPr>
          <w:rFonts w:cs="Segoe UI"/>
          <w:b/>
          <w:i w:val="0"/>
          <w:lang w:eastAsia="en-AU"/>
        </w:rPr>
      </w:pPr>
      <w:r w:rsidRPr="00CE60B2">
        <w:rPr>
          <w:rFonts w:cs="Segoe UI"/>
          <w:b/>
          <w:i w:val="0"/>
          <w:lang w:eastAsia="en-AU"/>
        </w:rPr>
        <w:t>Muir-By</w:t>
      </w:r>
      <w:r w:rsidR="00A97602">
        <w:rPr>
          <w:rFonts w:cs="Segoe UI"/>
          <w:b/>
          <w:i w:val="0"/>
          <w:lang w:eastAsia="en-AU"/>
        </w:rPr>
        <w:t>e</w:t>
      </w:r>
      <w:r w:rsidR="00E24A75" w:rsidRPr="00CE60B2">
        <w:rPr>
          <w:rFonts w:cs="Segoe UI"/>
          <w:b/>
          <w:i w:val="0"/>
          <w:lang w:eastAsia="en-AU"/>
        </w:rPr>
        <w:t>n</w:t>
      </w:r>
      <w:r w:rsidRPr="00CE60B2">
        <w:rPr>
          <w:rFonts w:cs="Segoe UI"/>
          <w:b/>
          <w:i w:val="0"/>
          <w:lang w:eastAsia="en-AU"/>
        </w:rPr>
        <w:t>up System</w:t>
      </w:r>
    </w:p>
    <w:p w14:paraId="26ABCF65" w14:textId="77777777" w:rsidR="00465625" w:rsidRPr="00CE60B2" w:rsidRDefault="00B955D8" w:rsidP="00B955D8">
      <w:pPr>
        <w:rPr>
          <w:rFonts w:cs="Segoe UI"/>
        </w:rPr>
      </w:pPr>
      <w:r w:rsidRPr="00CE60B2">
        <w:rPr>
          <w:rFonts w:cs="Segoe UI"/>
        </w:rPr>
        <w:t>The Muir-Byenup System Ramsar site</w:t>
      </w:r>
      <w:r w:rsidR="00465625" w:rsidRPr="00CE60B2">
        <w:rPr>
          <w:rFonts w:cs="Segoe UI"/>
        </w:rPr>
        <w:t xml:space="preserve"> was designated in 2001 and</w:t>
      </w:r>
      <w:r w:rsidRPr="00CE60B2">
        <w:rPr>
          <w:rFonts w:cs="Segoe UI"/>
        </w:rPr>
        <w:t xml:space="preserve"> is located 55 km south-east of</w:t>
      </w:r>
      <w:r w:rsidR="00465625" w:rsidRPr="00CE60B2">
        <w:rPr>
          <w:rFonts w:cs="Segoe UI"/>
        </w:rPr>
        <w:t xml:space="preserve"> the town of Manjimup in South-W</w:t>
      </w:r>
      <w:r w:rsidRPr="00CE60B2">
        <w:rPr>
          <w:rFonts w:cs="Segoe UI"/>
        </w:rPr>
        <w:t>est</w:t>
      </w:r>
      <w:r w:rsidR="00465625" w:rsidRPr="00CE60B2">
        <w:rPr>
          <w:rFonts w:cs="Segoe UI"/>
        </w:rPr>
        <w:t xml:space="preserve"> Coast Australian Drainage </w:t>
      </w:r>
      <w:r w:rsidR="006C03A0" w:rsidRPr="00CE60B2">
        <w:rPr>
          <w:rFonts w:cs="Segoe UI"/>
        </w:rPr>
        <w:t>Division</w:t>
      </w:r>
      <w:r w:rsidR="00465625" w:rsidRPr="00CE60B2">
        <w:rPr>
          <w:rFonts w:cs="Segoe UI"/>
        </w:rPr>
        <w:t xml:space="preserve"> of</w:t>
      </w:r>
      <w:r w:rsidRPr="00CE60B2">
        <w:rPr>
          <w:rFonts w:cs="Segoe UI"/>
        </w:rPr>
        <w:t xml:space="preserve"> Western Australia. The Ramsar site comprises a suite of partly inter-connected lakes and swamps in an internally draining catchment. The wetlands are varied in size</w:t>
      </w:r>
      <w:r w:rsidR="00DD788C">
        <w:rPr>
          <w:rFonts w:cs="Segoe UI"/>
        </w:rPr>
        <w:t xml:space="preserve"> (up to 4,600 hectares)</w:t>
      </w:r>
      <w:r w:rsidRPr="00CE60B2">
        <w:rPr>
          <w:rFonts w:cs="Segoe UI"/>
        </w:rPr>
        <w:t>, salinity (saline to fresh), permanence (seasonal to permanent) and substrate (peat and inorganic).</w:t>
      </w:r>
      <w:r w:rsidR="00465625" w:rsidRPr="00CE60B2">
        <w:rPr>
          <w:rFonts w:cs="Segoe UI"/>
        </w:rPr>
        <w:t xml:space="preserve"> The site includes Lake Muir, Byenup Lagoon, Tordit-Gurrup Lagoon, Poorginup Swamp, Neeranup Swamp, Coorimup Swamp and Wimbalup Swamp and re</w:t>
      </w:r>
      <w:r w:rsidR="00FF0D54">
        <w:rPr>
          <w:rFonts w:cs="Segoe UI"/>
        </w:rPr>
        <w:t>serves in the surrounding area.</w:t>
      </w:r>
    </w:p>
    <w:p w14:paraId="26ABCF66" w14:textId="77777777" w:rsidR="00465625" w:rsidRPr="00CE60B2" w:rsidRDefault="00465625" w:rsidP="00465625">
      <w:pPr>
        <w:rPr>
          <w:rFonts w:cs="Segoe UI"/>
        </w:rPr>
      </w:pPr>
      <w:r w:rsidRPr="00CE60B2">
        <w:rPr>
          <w:rFonts w:cs="Segoe UI"/>
        </w:rPr>
        <w:t>The peat based wetlands are rare in WA (Department of Environment and Conservation 2008). The open lakes are used for moulting by thousands of Australian Shelduck (</w:t>
      </w:r>
      <w:r w:rsidRPr="00CE60B2">
        <w:rPr>
          <w:rFonts w:cs="Segoe UI"/>
          <w:i/>
        </w:rPr>
        <w:t>Tadorna tadornoides</w:t>
      </w:r>
      <w:r w:rsidRPr="00CE60B2">
        <w:rPr>
          <w:rFonts w:cs="Segoe UI"/>
        </w:rPr>
        <w:t>) and for drought refuge by tens of thousands of other waterbirds. More than 50 waterbird species have been recorded and Lake Muir is a migration stop-over site for shorebirds such as the Red-necked Stint. The sedge/shrub dominated swamps support an important population of Australasian Bittern (Botaurus poiciloptilus) and threatened orchids (</w:t>
      </w:r>
      <w:r w:rsidRPr="00CE60B2">
        <w:rPr>
          <w:rFonts w:cs="Segoe UI"/>
          <w:i/>
        </w:rPr>
        <w:t>Caladenia harringtoniae, Caladenia christineae</w:t>
      </w:r>
      <w:r w:rsidRPr="00CE60B2">
        <w:rPr>
          <w:rFonts w:cs="Segoe UI"/>
        </w:rPr>
        <w:t xml:space="preserve"> and </w:t>
      </w:r>
      <w:r w:rsidRPr="00CE60B2">
        <w:rPr>
          <w:rFonts w:cs="Segoe UI"/>
          <w:i/>
        </w:rPr>
        <w:t>Diuris drummondii</w:t>
      </w:r>
      <w:r w:rsidRPr="00CE60B2">
        <w:rPr>
          <w:rFonts w:cs="Segoe UI"/>
        </w:rPr>
        <w:t xml:space="preserve">). Key fauna at the Ramsar site includes, six of the eight endemic south-western Australian freshwater fish species and seven native fish species, including the nationally vulnerable Balston’s Pygmy Perch, and 32 endemic macroinvertebrate species. Vegetation communities of the wet flats are among the few remaining in non-coastal parts of south-western Australia and the Ramsar site has some of the largest natural sedgelands in WA. The vegetation of the Ramsar site is highly diverse; a total of 649 indigenous flora have been recorded in Nature Reserve 31880, with at least 600 within the Ramsar site (Gibson and Keighery 1999). </w:t>
      </w:r>
    </w:p>
    <w:p w14:paraId="26ABCF67" w14:textId="77777777" w:rsidR="00465625" w:rsidRPr="00CE60B2" w:rsidRDefault="00465625" w:rsidP="00465625">
      <w:pPr>
        <w:rPr>
          <w:rFonts w:cs="Segoe UI"/>
        </w:rPr>
      </w:pPr>
      <w:r w:rsidRPr="00CE60B2">
        <w:rPr>
          <w:rFonts w:cs="Segoe UI"/>
        </w:rPr>
        <w:t xml:space="preserve">Lake Muir is fringed by sedgelands, low samphire shrubland and </w:t>
      </w:r>
      <w:r w:rsidRPr="00713D83">
        <w:rPr>
          <w:rFonts w:cs="Segoe UI"/>
          <w:i/>
        </w:rPr>
        <w:t>Melaleuca</w:t>
      </w:r>
      <w:r w:rsidRPr="00CE60B2">
        <w:rPr>
          <w:rFonts w:cs="Segoe UI"/>
        </w:rPr>
        <w:t xml:space="preserve">-dominated wetland scrub. The rest of the wetlands on the site are fringed by sedgelands, and </w:t>
      </w:r>
      <w:r w:rsidRPr="00713D83">
        <w:rPr>
          <w:rFonts w:cs="Segoe UI"/>
          <w:i/>
        </w:rPr>
        <w:t>Melaleuca</w:t>
      </w:r>
      <w:r w:rsidRPr="00CE60B2">
        <w:rPr>
          <w:rFonts w:cs="Segoe UI"/>
        </w:rPr>
        <w:t xml:space="preserve">, </w:t>
      </w:r>
      <w:r w:rsidRPr="00713D83">
        <w:rPr>
          <w:rFonts w:cs="Segoe UI"/>
          <w:i/>
        </w:rPr>
        <w:t>Astartea</w:t>
      </w:r>
      <w:r w:rsidRPr="00CE60B2">
        <w:rPr>
          <w:rFonts w:cs="Segoe UI"/>
        </w:rPr>
        <w:t xml:space="preserve"> and </w:t>
      </w:r>
      <w:r w:rsidRPr="00713D83">
        <w:rPr>
          <w:rFonts w:cs="Segoe UI"/>
          <w:i/>
        </w:rPr>
        <w:t>Agonis</w:t>
      </w:r>
      <w:r w:rsidRPr="00CE60B2">
        <w:rPr>
          <w:rFonts w:cs="Segoe UI"/>
        </w:rPr>
        <w:t xml:space="preserve"> shrublands. Eucalypts, such as Jarrah and Yate dominate higher elevations.</w:t>
      </w:r>
      <w:r w:rsidR="006060C9" w:rsidRPr="00CE60B2">
        <w:rPr>
          <w:rFonts w:cs="Segoe UI"/>
        </w:rPr>
        <w:t xml:space="preserve"> </w:t>
      </w:r>
      <w:r w:rsidR="00831BED">
        <w:rPr>
          <w:rFonts w:cs="Segoe UI"/>
        </w:rPr>
        <w:t>A</w:t>
      </w:r>
      <w:r w:rsidR="006060C9" w:rsidRPr="00CE60B2">
        <w:rPr>
          <w:rFonts w:cs="Segoe UI"/>
        </w:rPr>
        <w:t xml:space="preserve"> bird observatory on Muir Highway provides facilities for nature-based recreation such as bird watching. The wetlands are spiritually significant for the Noongar people.</w:t>
      </w:r>
    </w:p>
    <w:p w14:paraId="26ABCF68" w14:textId="77777777" w:rsidR="00465625" w:rsidRPr="00CE60B2" w:rsidRDefault="00465625" w:rsidP="00465625">
      <w:pPr>
        <w:rPr>
          <w:rFonts w:cs="Segoe UI"/>
        </w:rPr>
      </w:pPr>
      <w:r w:rsidRPr="00CE60B2">
        <w:rPr>
          <w:rFonts w:cs="Segoe UI"/>
        </w:rPr>
        <w:t xml:space="preserve">The Muir-Byenup System is recognised as meeting six criteria for listing under the Ramsar Convention (Department of Environment and Conservation 2009).  A review of the ecological character of the system in 2009 (Farrell, C. and Cook, B. 2009) noted that some changes to wetland values in the system had occurred since its listing in 2001. These changes related to </w:t>
      </w:r>
      <w:r w:rsidR="00831BED">
        <w:rPr>
          <w:rFonts w:cs="Segoe UI"/>
        </w:rPr>
        <w:t xml:space="preserve">the composition of </w:t>
      </w:r>
      <w:r w:rsidRPr="00CE60B2">
        <w:rPr>
          <w:rFonts w:cs="Segoe UI"/>
        </w:rPr>
        <w:t xml:space="preserve">aquatic invertebrate communities, distribution of some fish species and </w:t>
      </w:r>
      <w:r w:rsidRPr="00CE60B2">
        <w:rPr>
          <w:rFonts w:cs="Segoe UI"/>
        </w:rPr>
        <w:lastRenderedPageBreak/>
        <w:t>condition of fringing vegetation which could assumed to be within natural variation.  Threatening activities, processes and impacts were identified as:</w:t>
      </w:r>
    </w:p>
    <w:p w14:paraId="26ABCF69" w14:textId="5F404F23" w:rsidR="00465625" w:rsidRPr="00CE60B2" w:rsidRDefault="00465625" w:rsidP="00C903EE">
      <w:pPr>
        <w:pStyle w:val="ListParagraph"/>
        <w:numPr>
          <w:ilvl w:val="0"/>
          <w:numId w:val="30"/>
        </w:numPr>
        <w:spacing w:before="0" w:after="0"/>
        <w:jc w:val="both"/>
        <w:rPr>
          <w:rFonts w:cs="Segoe UI"/>
        </w:rPr>
      </w:pPr>
      <w:r w:rsidRPr="00CE60B2">
        <w:rPr>
          <w:rFonts w:cs="Segoe UI"/>
        </w:rPr>
        <w:t>Secondary salinity</w:t>
      </w:r>
    </w:p>
    <w:p w14:paraId="26ABCF6A" w14:textId="22CDD6DE" w:rsidR="00465625" w:rsidRPr="00CE60B2" w:rsidRDefault="00465625" w:rsidP="00C903EE">
      <w:pPr>
        <w:numPr>
          <w:ilvl w:val="0"/>
          <w:numId w:val="29"/>
        </w:numPr>
        <w:spacing w:before="0" w:after="0"/>
        <w:jc w:val="both"/>
        <w:rPr>
          <w:rFonts w:cs="Segoe UI"/>
        </w:rPr>
      </w:pPr>
      <w:r w:rsidRPr="00CE60B2">
        <w:rPr>
          <w:rFonts w:cs="Segoe UI"/>
        </w:rPr>
        <w:t>Disturbance of potential acid sulfate soils</w:t>
      </w:r>
    </w:p>
    <w:p w14:paraId="26ABCF6B" w14:textId="61850350" w:rsidR="00465625" w:rsidRPr="00CE60B2" w:rsidRDefault="00465625" w:rsidP="00C903EE">
      <w:pPr>
        <w:numPr>
          <w:ilvl w:val="0"/>
          <w:numId w:val="29"/>
        </w:numPr>
        <w:spacing w:before="0" w:after="0"/>
        <w:jc w:val="both"/>
        <w:rPr>
          <w:rFonts w:cs="Segoe UI"/>
        </w:rPr>
      </w:pPr>
      <w:r w:rsidRPr="00CE60B2">
        <w:rPr>
          <w:rFonts w:cs="Segoe UI"/>
        </w:rPr>
        <w:t>Eutrophication</w:t>
      </w:r>
    </w:p>
    <w:p w14:paraId="26ABCF6C" w14:textId="44B15D05" w:rsidR="00465625" w:rsidRPr="00CE60B2" w:rsidRDefault="00465625" w:rsidP="00C903EE">
      <w:pPr>
        <w:numPr>
          <w:ilvl w:val="0"/>
          <w:numId w:val="29"/>
        </w:numPr>
        <w:spacing w:before="0" w:after="0"/>
        <w:jc w:val="both"/>
        <w:rPr>
          <w:rFonts w:cs="Segoe UI"/>
        </w:rPr>
      </w:pPr>
      <w:r w:rsidRPr="00CE60B2">
        <w:rPr>
          <w:rFonts w:cs="Segoe UI"/>
        </w:rPr>
        <w:t>Grazing</w:t>
      </w:r>
    </w:p>
    <w:p w14:paraId="26ABCF6D" w14:textId="55A3EE1E" w:rsidR="00465625" w:rsidRPr="00CE60B2" w:rsidRDefault="00465625" w:rsidP="00C903EE">
      <w:pPr>
        <w:numPr>
          <w:ilvl w:val="0"/>
          <w:numId w:val="29"/>
        </w:numPr>
        <w:spacing w:before="0" w:after="0"/>
        <w:jc w:val="both"/>
        <w:rPr>
          <w:rFonts w:cs="Segoe UI"/>
        </w:rPr>
      </w:pPr>
      <w:r w:rsidRPr="00CE60B2">
        <w:rPr>
          <w:rFonts w:cs="Segoe UI"/>
        </w:rPr>
        <w:t>Introduced species</w:t>
      </w:r>
    </w:p>
    <w:p w14:paraId="26ABCF6E" w14:textId="042954C4" w:rsidR="00465625" w:rsidRPr="00CE60B2" w:rsidRDefault="00465625" w:rsidP="00C903EE">
      <w:pPr>
        <w:numPr>
          <w:ilvl w:val="0"/>
          <w:numId w:val="29"/>
        </w:numPr>
        <w:spacing w:before="0" w:after="0"/>
        <w:jc w:val="both"/>
        <w:rPr>
          <w:rFonts w:cs="Segoe UI"/>
        </w:rPr>
      </w:pPr>
      <w:r w:rsidRPr="00CE60B2">
        <w:rPr>
          <w:rFonts w:cs="Segoe UI"/>
        </w:rPr>
        <w:t>Pathogens and pests</w:t>
      </w:r>
    </w:p>
    <w:p w14:paraId="26ABCF6F" w14:textId="4DE2F21C" w:rsidR="00465625" w:rsidRPr="00CE60B2" w:rsidRDefault="00465625" w:rsidP="00C903EE">
      <w:pPr>
        <w:numPr>
          <w:ilvl w:val="0"/>
          <w:numId w:val="29"/>
        </w:numPr>
        <w:spacing w:before="0" w:after="0"/>
        <w:jc w:val="both"/>
        <w:rPr>
          <w:rFonts w:cs="Segoe UI"/>
        </w:rPr>
      </w:pPr>
      <w:r w:rsidRPr="00CE60B2">
        <w:rPr>
          <w:rFonts w:cs="Segoe UI"/>
        </w:rPr>
        <w:t>Inappropriate fire regimes</w:t>
      </w:r>
    </w:p>
    <w:p w14:paraId="26ABCF70" w14:textId="77777777" w:rsidR="00465625" w:rsidRPr="00CE60B2" w:rsidRDefault="00465625" w:rsidP="00C903EE">
      <w:pPr>
        <w:numPr>
          <w:ilvl w:val="0"/>
          <w:numId w:val="29"/>
        </w:numPr>
        <w:spacing w:before="0" w:after="0"/>
        <w:jc w:val="both"/>
        <w:rPr>
          <w:rFonts w:cs="Segoe UI"/>
        </w:rPr>
      </w:pPr>
      <w:r w:rsidRPr="00CE60B2">
        <w:rPr>
          <w:rFonts w:cs="Segoe UI"/>
        </w:rPr>
        <w:t>Illegal vehicle access.</w:t>
      </w:r>
    </w:p>
    <w:p w14:paraId="26ABCF71" w14:textId="77777777" w:rsidR="00465625" w:rsidRPr="00CE60B2" w:rsidRDefault="00465625" w:rsidP="00465625">
      <w:pPr>
        <w:rPr>
          <w:rFonts w:cs="Segoe UI"/>
        </w:rPr>
      </w:pPr>
      <w:r w:rsidRPr="00CE60B2">
        <w:rPr>
          <w:rFonts w:cs="Segoe UI"/>
        </w:rPr>
        <w:t xml:space="preserve">A review of the wetland values for the draft mid-term performance review of the </w:t>
      </w:r>
      <w:r w:rsidR="0070699E">
        <w:rPr>
          <w:rFonts w:cs="Segoe UI"/>
        </w:rPr>
        <w:t>FMP </w:t>
      </w:r>
      <w:r w:rsidR="00732DB6">
        <w:rPr>
          <w:rFonts w:cs="Segoe UI"/>
        </w:rPr>
        <w:t>2014</w:t>
      </w:r>
      <w:r w:rsidR="00732DB6">
        <w:rPr>
          <w:rFonts w:cs="Segoe UI"/>
        </w:rPr>
        <w:noBreakHyphen/>
      </w:r>
      <w:r w:rsidRPr="00CE60B2">
        <w:rPr>
          <w:rFonts w:cs="Segoe UI"/>
        </w:rPr>
        <w:t>2023 (</w:t>
      </w:r>
      <w:r w:rsidR="00FC41D8">
        <w:rPr>
          <w:rFonts w:cs="Segoe UI"/>
        </w:rPr>
        <w:t>CPC</w:t>
      </w:r>
      <w:r w:rsidRPr="00CE60B2">
        <w:rPr>
          <w:rFonts w:cs="Segoe UI"/>
        </w:rPr>
        <w:t>, 2018) found that significant pressure is being exerted on the hydrological and related geochemical processes within the system as a result of reduced rainfall in the catchment over the last 20 years. This had resulted in severe acidification processes as acid sulphate forming compounds in the sediments became exposed in Tordit-Gurrup Lagoon as the wetland dried out in the summer of 2013. The acidification was reported to the Australian Government as a Preliminary Assessment of change in e</w:t>
      </w:r>
      <w:r w:rsidR="00732DB6">
        <w:rPr>
          <w:rFonts w:cs="Segoe UI"/>
        </w:rPr>
        <w:t>cological character report (DEC </w:t>
      </w:r>
      <w:r w:rsidRPr="00CE60B2">
        <w:rPr>
          <w:rFonts w:cs="Segoe UI"/>
        </w:rPr>
        <w:t xml:space="preserve">2016). </w:t>
      </w:r>
    </w:p>
    <w:p w14:paraId="26ABCF72" w14:textId="77777777" w:rsidR="00465625" w:rsidRPr="00CE60B2" w:rsidRDefault="00465625" w:rsidP="00636977">
      <w:pPr>
        <w:rPr>
          <w:rFonts w:cs="Segoe UI"/>
        </w:rPr>
      </w:pPr>
      <w:r w:rsidRPr="00CE60B2">
        <w:rPr>
          <w:rFonts w:cs="Segoe UI"/>
        </w:rPr>
        <w:t xml:space="preserve">The acidification of Tordit-Gurrup Lagoon is largely the result of anthropogenic climate change, particularly declining rainfall reducing both surface water and groundwater levels. Water supplementation to Tordit-Gurrup Lagoon has been considered but determined to not be feasible due to the lack of a sustainable water source. Surface water level data collected in 2015-2016 show summer levels in all wetlands within the Muir-Byenup System Ramsar site </w:t>
      </w:r>
      <w:r w:rsidR="00831BED">
        <w:rPr>
          <w:rFonts w:cs="Segoe UI"/>
        </w:rPr>
        <w:t>we</w:t>
      </w:r>
      <w:r w:rsidRPr="00CE60B2">
        <w:rPr>
          <w:rFonts w:cs="Segoe UI"/>
        </w:rPr>
        <w:t>re at a record long term low. Therefore, under the current climate, all water bodies within wetlands with peat substrates are at risk of becoming acidic.</w:t>
      </w:r>
    </w:p>
    <w:p w14:paraId="26ABCF73" w14:textId="77777777" w:rsidR="00465625" w:rsidRPr="00CE60B2" w:rsidRDefault="00465625" w:rsidP="00465625">
      <w:pPr>
        <w:rPr>
          <w:rFonts w:cs="Segoe UI"/>
        </w:rPr>
      </w:pPr>
      <w:r w:rsidRPr="00CE60B2">
        <w:rPr>
          <w:rFonts w:cs="Segoe UI"/>
        </w:rPr>
        <w:t>Aerial application of lime has also been considered, however, advice from peat researchers at the University of Western Australia suggests that lime delivered to Tordit-Gurrup Lagoon’s acidic water body via an aircraft is likely to fall-out over a broader area and may affect the health of peat and vegetation which comprise a significant area of the wetland. This could result in deleterious changes to the vegetation, peat and biota that has adapted to inhabit these areas.</w:t>
      </w:r>
    </w:p>
    <w:p w14:paraId="26ABCF74" w14:textId="77777777" w:rsidR="00465625" w:rsidRPr="00CE60B2" w:rsidRDefault="00465625" w:rsidP="00465625">
      <w:pPr>
        <w:rPr>
          <w:rFonts w:cs="Segoe UI"/>
        </w:rPr>
      </w:pPr>
      <w:r w:rsidRPr="00CE60B2">
        <w:rPr>
          <w:rFonts w:cs="Segoe UI"/>
        </w:rPr>
        <w:t xml:space="preserve">The potential effectiveness of alternative methods such as targeted application of lime to central locations on the lake and the use of a carbon source to buffer the acid forming process </w:t>
      </w:r>
      <w:r w:rsidR="00831BED">
        <w:rPr>
          <w:rFonts w:cs="Segoe UI"/>
        </w:rPr>
        <w:t>are</w:t>
      </w:r>
      <w:r w:rsidRPr="00CE60B2">
        <w:rPr>
          <w:rFonts w:cs="Segoe UI"/>
        </w:rPr>
        <w:t xml:space="preserve"> yet to be fully assessed.</w:t>
      </w:r>
    </w:p>
    <w:p w14:paraId="26ABCF75" w14:textId="77777777" w:rsidR="00465625" w:rsidRPr="00CE60B2" w:rsidRDefault="00465625" w:rsidP="009C090F">
      <w:pPr>
        <w:spacing w:before="0" w:after="80"/>
        <w:rPr>
          <w:rFonts w:cs="Segoe UI"/>
        </w:rPr>
      </w:pPr>
      <w:r w:rsidRPr="00CE60B2">
        <w:rPr>
          <w:rFonts w:cs="Segoe UI"/>
        </w:rPr>
        <w:t xml:space="preserve">In accordance with Principle 6 in </w:t>
      </w:r>
      <w:r w:rsidRPr="00CE60B2">
        <w:rPr>
          <w:rFonts w:cs="Segoe UI"/>
          <w:i/>
        </w:rPr>
        <w:t>National guidance on notifying change in ecological character of Australia's Ramsar Wetlands (Article 3.2)</w:t>
      </w:r>
      <w:r w:rsidRPr="00CE60B2">
        <w:rPr>
          <w:rFonts w:cs="Segoe UI"/>
        </w:rPr>
        <w:t xml:space="preserve"> </w:t>
      </w:r>
      <w:r w:rsidR="00196B4D">
        <w:rPr>
          <w:rFonts w:cs="Segoe UI"/>
        </w:rPr>
        <w:t xml:space="preserve">(Department of Environment, Water, Heritage and the Arts 2009) </w:t>
      </w:r>
      <w:r w:rsidRPr="00CE60B2">
        <w:rPr>
          <w:rFonts w:cs="Segoe UI"/>
        </w:rPr>
        <w:t xml:space="preserve">a notification of change will not be made where climate change is the principal cause of identified ecological character change. As the changes at the Muir-Byenup System Ramsar site have been attributed primarily to climate change, a formal assessment is not required at this stage. </w:t>
      </w:r>
      <w:r w:rsidR="00831BED">
        <w:rPr>
          <w:rFonts w:cs="Segoe UI"/>
        </w:rPr>
        <w:t>M</w:t>
      </w:r>
      <w:r w:rsidRPr="00CE60B2">
        <w:rPr>
          <w:rFonts w:cs="Segoe UI"/>
        </w:rPr>
        <w:t>onitor</w:t>
      </w:r>
      <w:r w:rsidR="00831BED">
        <w:rPr>
          <w:rFonts w:cs="Segoe UI"/>
        </w:rPr>
        <w:t>ing of</w:t>
      </w:r>
      <w:r w:rsidRPr="00CE60B2">
        <w:rPr>
          <w:rFonts w:cs="Segoe UI"/>
        </w:rPr>
        <w:t xml:space="preserve"> change</w:t>
      </w:r>
      <w:r w:rsidR="00831BED">
        <w:rPr>
          <w:rFonts w:cs="Segoe UI"/>
        </w:rPr>
        <w:t>s will inform future</w:t>
      </w:r>
      <w:r w:rsidRPr="00CE60B2">
        <w:rPr>
          <w:rFonts w:cs="Segoe UI"/>
        </w:rPr>
        <w:t xml:space="preserve"> management</w:t>
      </w:r>
      <w:r w:rsidR="00831BED">
        <w:rPr>
          <w:rFonts w:cs="Segoe UI"/>
        </w:rPr>
        <w:t xml:space="preserve">. </w:t>
      </w:r>
      <w:r w:rsidR="002D56EB">
        <w:rPr>
          <w:rFonts w:cs="Segoe UI"/>
        </w:rPr>
        <w:t>The monitoring</w:t>
      </w:r>
      <w:r w:rsidRPr="00CE60B2">
        <w:rPr>
          <w:rFonts w:cs="Segoe UI"/>
        </w:rPr>
        <w:t xml:space="preserve"> at Tordit-Gurrup Lagoon </w:t>
      </w:r>
      <w:r w:rsidR="00831BED">
        <w:rPr>
          <w:rFonts w:cs="Segoe UI"/>
        </w:rPr>
        <w:t xml:space="preserve">may </w:t>
      </w:r>
      <w:r w:rsidRPr="00CE60B2">
        <w:rPr>
          <w:rFonts w:cs="Segoe UI"/>
        </w:rPr>
        <w:t>include:</w:t>
      </w:r>
    </w:p>
    <w:p w14:paraId="26ABCF76" w14:textId="77777777" w:rsidR="00465625" w:rsidRPr="00CE60B2" w:rsidRDefault="00465625" w:rsidP="009C090F">
      <w:pPr>
        <w:pStyle w:val="ListParagraph"/>
        <w:numPr>
          <w:ilvl w:val="0"/>
          <w:numId w:val="30"/>
        </w:numPr>
        <w:spacing w:before="0" w:after="80"/>
        <w:rPr>
          <w:rFonts w:cs="Segoe UI"/>
        </w:rPr>
      </w:pPr>
      <w:r w:rsidRPr="00CE60B2">
        <w:rPr>
          <w:rFonts w:cs="Segoe UI"/>
        </w:rPr>
        <w:t>Monthly surface water levels and basic water chemistry</w:t>
      </w:r>
    </w:p>
    <w:p w14:paraId="26ABCF77" w14:textId="77777777" w:rsidR="00465625" w:rsidRPr="00CE60B2" w:rsidRDefault="00465625" w:rsidP="00C903EE">
      <w:pPr>
        <w:pStyle w:val="ListParagraph"/>
        <w:numPr>
          <w:ilvl w:val="0"/>
          <w:numId w:val="30"/>
        </w:numPr>
        <w:rPr>
          <w:rFonts w:cs="Segoe UI"/>
        </w:rPr>
      </w:pPr>
      <w:r w:rsidRPr="00CE60B2">
        <w:rPr>
          <w:rFonts w:cs="Segoe UI"/>
        </w:rPr>
        <w:t>Biannual groundwater levels</w:t>
      </w:r>
    </w:p>
    <w:p w14:paraId="26ABCF78" w14:textId="77777777" w:rsidR="00465625" w:rsidRPr="00CE60B2" w:rsidRDefault="00465625" w:rsidP="00C903EE">
      <w:pPr>
        <w:pStyle w:val="ListParagraph"/>
        <w:numPr>
          <w:ilvl w:val="0"/>
          <w:numId w:val="30"/>
        </w:numPr>
        <w:rPr>
          <w:rFonts w:cs="Segoe UI"/>
        </w:rPr>
      </w:pPr>
      <w:r w:rsidRPr="00CE60B2">
        <w:rPr>
          <w:rFonts w:cs="Segoe UI"/>
        </w:rPr>
        <w:t>Monthly waterbird surveys</w:t>
      </w:r>
    </w:p>
    <w:p w14:paraId="26ABCF79" w14:textId="77777777" w:rsidR="00465625" w:rsidRPr="00CE60B2" w:rsidRDefault="00465625" w:rsidP="00C903EE">
      <w:pPr>
        <w:pStyle w:val="ListParagraph"/>
        <w:numPr>
          <w:ilvl w:val="0"/>
          <w:numId w:val="30"/>
        </w:numPr>
        <w:rPr>
          <w:rFonts w:cs="Segoe UI"/>
        </w:rPr>
      </w:pPr>
      <w:r w:rsidRPr="00CE60B2">
        <w:rPr>
          <w:rFonts w:cs="Segoe UI"/>
        </w:rPr>
        <w:t>Weed and feral animal monitoring and control.</w:t>
      </w:r>
    </w:p>
    <w:p w14:paraId="26ABCF7B" w14:textId="77777777" w:rsidR="006060C9" w:rsidRPr="00CE60B2" w:rsidRDefault="006060C9" w:rsidP="006060C9">
      <w:pPr>
        <w:rPr>
          <w:rFonts w:cs="Segoe UI"/>
        </w:rPr>
      </w:pPr>
      <w:bookmarkStart w:id="87" w:name="_Toc524952798"/>
      <w:r w:rsidRPr="00CE60B2">
        <w:rPr>
          <w:rFonts w:cs="Segoe UI"/>
        </w:rPr>
        <w:lastRenderedPageBreak/>
        <w:t xml:space="preserve">The Directory of Important Wetlands (DIWA) was first published in hard copy in 1993 as an inventory of ecologically important wetlands in the Oceania region and </w:t>
      </w:r>
      <w:r w:rsidR="00831BED">
        <w:rPr>
          <w:rFonts w:cs="Segoe UI"/>
        </w:rPr>
        <w:t>to</w:t>
      </w:r>
      <w:r w:rsidRPr="00CE60B2">
        <w:rPr>
          <w:rFonts w:cs="Segoe UI"/>
        </w:rPr>
        <w:t xml:space="preserve"> identif</w:t>
      </w:r>
      <w:r w:rsidR="00831BED">
        <w:rPr>
          <w:rFonts w:cs="Segoe UI"/>
        </w:rPr>
        <w:t>y</w:t>
      </w:r>
      <w:r w:rsidRPr="00CE60B2">
        <w:rPr>
          <w:rFonts w:cs="Segoe UI"/>
        </w:rPr>
        <w:t xml:space="preserve"> potential sites that met </w:t>
      </w:r>
      <w:r w:rsidR="00831BED">
        <w:rPr>
          <w:rFonts w:cs="Segoe UI"/>
        </w:rPr>
        <w:t xml:space="preserve">the nomination </w:t>
      </w:r>
      <w:r w:rsidRPr="00CE60B2">
        <w:rPr>
          <w:rFonts w:cs="Segoe UI"/>
        </w:rPr>
        <w:t>criteria under the Ramsar Convention.</w:t>
      </w:r>
    </w:p>
    <w:p w14:paraId="26ABCF7C" w14:textId="77777777" w:rsidR="006060C9" w:rsidRPr="00CE60B2" w:rsidRDefault="006060C9" w:rsidP="006060C9">
      <w:pPr>
        <w:rPr>
          <w:rFonts w:cs="Segoe UI"/>
        </w:rPr>
      </w:pPr>
      <w:r w:rsidRPr="00CE60B2">
        <w:rPr>
          <w:rFonts w:cs="Segoe UI"/>
        </w:rPr>
        <w:t>The DIWA was updated in 1996, 2001 and released as a digital dataset in 2005.</w:t>
      </w:r>
      <w:r w:rsidR="00845B9B">
        <w:rPr>
          <w:rFonts w:cs="Segoe UI"/>
        </w:rPr>
        <w:t xml:space="preserve"> </w:t>
      </w:r>
      <w:r w:rsidRPr="00CE60B2">
        <w:rPr>
          <w:rFonts w:cs="Segoe UI"/>
        </w:rPr>
        <w:t>There are 120 wetlands in WA that are listed under DIWA, covering an area of 2.58 million hectares.</w:t>
      </w:r>
      <w:r w:rsidR="00845B9B">
        <w:rPr>
          <w:rFonts w:cs="Segoe UI"/>
        </w:rPr>
        <w:t xml:space="preserve"> </w:t>
      </w:r>
      <w:r w:rsidRPr="00CE60B2">
        <w:rPr>
          <w:rFonts w:cs="Segoe UI"/>
        </w:rPr>
        <w:t>In March 2016 the boundaries of the DIWA listed wetlands were updated using the latest available spatial information</w:t>
      </w:r>
      <w:r w:rsidR="00443BD8">
        <w:rPr>
          <w:rFonts w:cs="Segoe UI"/>
        </w:rPr>
        <w:t xml:space="preserve"> including</w:t>
      </w:r>
      <w:r w:rsidRPr="00CE60B2">
        <w:rPr>
          <w:rFonts w:cs="Segoe UI"/>
        </w:rPr>
        <w:t xml:space="preserve"> digital elevation models, hydrography, current aerial imagery, historical aerial imagery, named locations and the distribution of wetland dependent flora and fauna. Boundaries were mapped at a scale of 1:10,000 for wetland types requiring finer detail </w:t>
      </w:r>
      <w:r w:rsidR="00443BD8">
        <w:rPr>
          <w:rFonts w:cs="Segoe UI"/>
        </w:rPr>
        <w:t>(</w:t>
      </w:r>
      <w:r w:rsidRPr="00CE60B2">
        <w:rPr>
          <w:rFonts w:cs="Segoe UI"/>
        </w:rPr>
        <w:t>such as rivers</w:t>
      </w:r>
      <w:r w:rsidR="00443BD8">
        <w:rPr>
          <w:rFonts w:cs="Segoe UI"/>
        </w:rPr>
        <w:t>)</w:t>
      </w:r>
      <w:r w:rsidRPr="00CE60B2">
        <w:rPr>
          <w:rFonts w:cs="Segoe UI"/>
        </w:rPr>
        <w:t xml:space="preserve"> and at a scale 1:40,000 for broader wetland types such as floodplains.</w:t>
      </w:r>
    </w:p>
    <w:p w14:paraId="26ABCF7D" w14:textId="77777777" w:rsidR="006060C9" w:rsidRPr="00CE60B2" w:rsidRDefault="006060C9" w:rsidP="006060C9">
      <w:pPr>
        <w:rPr>
          <w:rFonts w:cs="Segoe UI"/>
        </w:rPr>
      </w:pPr>
      <w:r w:rsidRPr="00CE60B2">
        <w:rPr>
          <w:rFonts w:cs="Segoe UI"/>
        </w:rPr>
        <w:t>T</w:t>
      </w:r>
      <w:r w:rsidR="00443BD8">
        <w:rPr>
          <w:rFonts w:cs="Segoe UI"/>
        </w:rPr>
        <w:t xml:space="preserve">able 17 </w:t>
      </w:r>
      <w:r w:rsidRPr="00CE60B2">
        <w:rPr>
          <w:rFonts w:cs="Segoe UI"/>
        </w:rPr>
        <w:t xml:space="preserve">lists those DIWA wetlands wholly or partially within the RFA region. Almost all the areas are within exiting or proposed formal reserves under the </w:t>
      </w:r>
      <w:r w:rsidR="0070699E">
        <w:rPr>
          <w:rFonts w:cs="Segoe UI"/>
        </w:rPr>
        <w:t>FMP </w:t>
      </w:r>
      <w:r w:rsidRPr="00CE60B2">
        <w:rPr>
          <w:rFonts w:cs="Segoe UI"/>
        </w:rPr>
        <w:t>2014-2023, and therefore within the RFA CAR reserve system.</w:t>
      </w:r>
    </w:p>
    <w:p w14:paraId="26ABCF7E" w14:textId="4103C45B" w:rsidR="00196B4D" w:rsidRDefault="00196B4D" w:rsidP="00196B4D">
      <w:pPr>
        <w:pStyle w:val="Caption"/>
        <w:keepNext/>
      </w:pPr>
      <w:bookmarkStart w:id="88" w:name="_Toc531002178"/>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17</w:t>
      </w:r>
      <w:r w:rsidR="005C10D4">
        <w:rPr>
          <w:noProof/>
        </w:rPr>
        <w:fldChar w:fldCharType="end"/>
      </w:r>
      <w:r>
        <w:t xml:space="preserve">: </w:t>
      </w:r>
      <w:r w:rsidRPr="00AC7FEA">
        <w:t>Details of Directory of Important Wetlands in Australia within the WA RFA region</w:t>
      </w:r>
      <w:bookmarkEnd w:id="88"/>
    </w:p>
    <w:tbl>
      <w:tblPr>
        <w:tblStyle w:val="TableGrid"/>
        <w:tblW w:w="0" w:type="auto"/>
        <w:tblLayout w:type="fixed"/>
        <w:tblLook w:val="04A0" w:firstRow="1" w:lastRow="0" w:firstColumn="1" w:lastColumn="0" w:noHBand="0" w:noVBand="1"/>
      </w:tblPr>
      <w:tblGrid>
        <w:gridCol w:w="3256"/>
        <w:gridCol w:w="958"/>
        <w:gridCol w:w="884"/>
        <w:gridCol w:w="993"/>
        <w:gridCol w:w="862"/>
        <w:gridCol w:w="1122"/>
        <w:gridCol w:w="985"/>
      </w:tblGrid>
      <w:tr w:rsidR="006060C9" w:rsidRPr="00CE60B2" w14:paraId="26ABCF85" w14:textId="77777777" w:rsidTr="005D1FC2">
        <w:trPr>
          <w:trHeight w:val="615"/>
          <w:tblHeader/>
        </w:trPr>
        <w:tc>
          <w:tcPr>
            <w:tcW w:w="3256" w:type="dxa"/>
            <w:vMerge w:val="restart"/>
            <w:shd w:val="clear" w:color="auto" w:fill="DFEFE1" w:themeFill="accent3" w:themeFillTint="66"/>
            <w:noWrap/>
            <w:hideMark/>
          </w:tcPr>
          <w:p w14:paraId="26ABCF7F" w14:textId="77777777" w:rsidR="006060C9" w:rsidRPr="00CE60B2" w:rsidRDefault="006060C9" w:rsidP="00C423D1">
            <w:pPr>
              <w:rPr>
                <w:rFonts w:cs="Segoe UI"/>
                <w:b/>
                <w:bCs/>
              </w:rPr>
            </w:pPr>
            <w:r w:rsidRPr="00CE60B2">
              <w:rPr>
                <w:rFonts w:cs="Segoe UI"/>
                <w:b/>
                <w:bCs/>
              </w:rPr>
              <w:t>DIWA Wetland</w:t>
            </w:r>
          </w:p>
        </w:tc>
        <w:tc>
          <w:tcPr>
            <w:tcW w:w="958" w:type="dxa"/>
            <w:vMerge w:val="restart"/>
            <w:shd w:val="clear" w:color="auto" w:fill="DFEFE1" w:themeFill="accent3" w:themeFillTint="66"/>
            <w:hideMark/>
          </w:tcPr>
          <w:p w14:paraId="26ABCF80" w14:textId="77777777" w:rsidR="006060C9" w:rsidRPr="00CE60B2" w:rsidRDefault="006060C9" w:rsidP="00C423D1">
            <w:pPr>
              <w:rPr>
                <w:rFonts w:cs="Segoe UI"/>
                <w:b/>
                <w:bCs/>
              </w:rPr>
            </w:pPr>
            <w:r w:rsidRPr="00CE60B2">
              <w:rPr>
                <w:rFonts w:cs="Segoe UI"/>
                <w:b/>
                <w:bCs/>
              </w:rPr>
              <w:t>Total area</w:t>
            </w:r>
          </w:p>
        </w:tc>
        <w:tc>
          <w:tcPr>
            <w:tcW w:w="884" w:type="dxa"/>
            <w:vMerge w:val="restart"/>
            <w:shd w:val="clear" w:color="auto" w:fill="DFEFE1" w:themeFill="accent3" w:themeFillTint="66"/>
            <w:hideMark/>
          </w:tcPr>
          <w:p w14:paraId="26ABCF81" w14:textId="77777777" w:rsidR="006060C9" w:rsidRPr="00CE60B2" w:rsidRDefault="006060C9" w:rsidP="00C423D1">
            <w:pPr>
              <w:rPr>
                <w:rFonts w:cs="Segoe UI"/>
                <w:b/>
                <w:bCs/>
              </w:rPr>
            </w:pPr>
            <w:r w:rsidRPr="00CE60B2">
              <w:rPr>
                <w:rFonts w:cs="Segoe UI"/>
                <w:b/>
                <w:bCs/>
              </w:rPr>
              <w:t>Area within RFA</w:t>
            </w:r>
          </w:p>
        </w:tc>
        <w:tc>
          <w:tcPr>
            <w:tcW w:w="1855" w:type="dxa"/>
            <w:gridSpan w:val="2"/>
            <w:shd w:val="clear" w:color="auto" w:fill="DFEFE1" w:themeFill="accent3" w:themeFillTint="66"/>
            <w:hideMark/>
          </w:tcPr>
          <w:p w14:paraId="26ABCF82" w14:textId="77777777" w:rsidR="006060C9" w:rsidRPr="00CE60B2" w:rsidRDefault="006060C9" w:rsidP="00C423D1">
            <w:pPr>
              <w:rPr>
                <w:rFonts w:cs="Segoe UI"/>
                <w:b/>
                <w:bCs/>
              </w:rPr>
            </w:pPr>
            <w:r w:rsidRPr="00CE60B2">
              <w:rPr>
                <w:rFonts w:cs="Segoe UI"/>
                <w:b/>
                <w:bCs/>
              </w:rPr>
              <w:t>Formal reserves</w:t>
            </w:r>
          </w:p>
        </w:tc>
        <w:tc>
          <w:tcPr>
            <w:tcW w:w="1122" w:type="dxa"/>
            <w:vMerge w:val="restart"/>
            <w:shd w:val="clear" w:color="auto" w:fill="DFEFE1" w:themeFill="accent3" w:themeFillTint="66"/>
            <w:hideMark/>
          </w:tcPr>
          <w:p w14:paraId="26ABCF83" w14:textId="6CA5DF9D" w:rsidR="006060C9" w:rsidRPr="00CE60B2" w:rsidRDefault="006060C9" w:rsidP="00C423D1">
            <w:pPr>
              <w:rPr>
                <w:rFonts w:cs="Segoe UI"/>
                <w:b/>
                <w:bCs/>
              </w:rPr>
            </w:pPr>
            <w:r w:rsidRPr="00CE60B2">
              <w:rPr>
                <w:rFonts w:cs="Segoe UI"/>
                <w:b/>
                <w:bCs/>
              </w:rPr>
              <w:t xml:space="preserve">State forest, timber reserves and </w:t>
            </w:r>
            <w:r w:rsidR="005D1FC2">
              <w:rPr>
                <w:rFonts w:cs="Segoe UI"/>
                <w:b/>
                <w:bCs/>
              </w:rPr>
              <w:t>miscall-</w:t>
            </w:r>
            <w:r w:rsidRPr="00CE60B2">
              <w:rPr>
                <w:rFonts w:cs="Segoe UI"/>
                <w:b/>
                <w:bCs/>
              </w:rPr>
              <w:t>aneous reserves</w:t>
            </w:r>
          </w:p>
        </w:tc>
        <w:tc>
          <w:tcPr>
            <w:tcW w:w="985" w:type="dxa"/>
            <w:vMerge w:val="restart"/>
            <w:shd w:val="clear" w:color="auto" w:fill="DFEFE1" w:themeFill="accent3" w:themeFillTint="66"/>
            <w:hideMark/>
          </w:tcPr>
          <w:p w14:paraId="26ABCF84" w14:textId="77777777" w:rsidR="006060C9" w:rsidRPr="00CE60B2" w:rsidRDefault="006060C9" w:rsidP="00C423D1">
            <w:pPr>
              <w:rPr>
                <w:rFonts w:cs="Segoe UI"/>
                <w:b/>
                <w:bCs/>
              </w:rPr>
            </w:pPr>
            <w:r w:rsidRPr="00CE60B2">
              <w:rPr>
                <w:rFonts w:cs="Segoe UI"/>
                <w:b/>
                <w:bCs/>
              </w:rPr>
              <w:t>Other public land</w:t>
            </w:r>
          </w:p>
        </w:tc>
      </w:tr>
      <w:tr w:rsidR="006060C9" w:rsidRPr="00CE60B2" w14:paraId="26ABCF8D" w14:textId="77777777" w:rsidTr="005D1FC2">
        <w:trPr>
          <w:trHeight w:val="420"/>
          <w:tblHeader/>
        </w:trPr>
        <w:tc>
          <w:tcPr>
            <w:tcW w:w="3256" w:type="dxa"/>
            <w:vMerge/>
            <w:shd w:val="clear" w:color="auto" w:fill="DFEFE1" w:themeFill="accent3" w:themeFillTint="66"/>
            <w:hideMark/>
          </w:tcPr>
          <w:p w14:paraId="26ABCF86" w14:textId="77777777" w:rsidR="006060C9" w:rsidRPr="00CE60B2" w:rsidRDefault="006060C9" w:rsidP="00C423D1">
            <w:pPr>
              <w:rPr>
                <w:rFonts w:cs="Segoe UI"/>
                <w:b/>
                <w:bCs/>
              </w:rPr>
            </w:pPr>
          </w:p>
        </w:tc>
        <w:tc>
          <w:tcPr>
            <w:tcW w:w="958" w:type="dxa"/>
            <w:vMerge/>
            <w:shd w:val="clear" w:color="auto" w:fill="DFEFE1" w:themeFill="accent3" w:themeFillTint="66"/>
            <w:hideMark/>
          </w:tcPr>
          <w:p w14:paraId="26ABCF87" w14:textId="77777777" w:rsidR="006060C9" w:rsidRPr="00CE60B2" w:rsidRDefault="006060C9" w:rsidP="00C423D1">
            <w:pPr>
              <w:rPr>
                <w:rFonts w:cs="Segoe UI"/>
                <w:b/>
                <w:bCs/>
              </w:rPr>
            </w:pPr>
          </w:p>
        </w:tc>
        <w:tc>
          <w:tcPr>
            <w:tcW w:w="884" w:type="dxa"/>
            <w:vMerge/>
            <w:shd w:val="clear" w:color="auto" w:fill="DFEFE1" w:themeFill="accent3" w:themeFillTint="66"/>
            <w:hideMark/>
          </w:tcPr>
          <w:p w14:paraId="26ABCF88" w14:textId="77777777" w:rsidR="006060C9" w:rsidRPr="00CE60B2" w:rsidRDefault="006060C9" w:rsidP="00C423D1">
            <w:pPr>
              <w:rPr>
                <w:rFonts w:cs="Segoe UI"/>
                <w:b/>
                <w:bCs/>
              </w:rPr>
            </w:pPr>
          </w:p>
        </w:tc>
        <w:tc>
          <w:tcPr>
            <w:tcW w:w="993" w:type="dxa"/>
            <w:shd w:val="clear" w:color="auto" w:fill="DFEFE1" w:themeFill="accent3" w:themeFillTint="66"/>
            <w:hideMark/>
          </w:tcPr>
          <w:p w14:paraId="5DA3FA52" w14:textId="77777777" w:rsidR="00CD653A" w:rsidRDefault="006060C9" w:rsidP="00CD653A">
            <w:pPr>
              <w:spacing w:after="0"/>
              <w:rPr>
                <w:rFonts w:cs="Segoe UI"/>
                <w:b/>
                <w:bCs/>
              </w:rPr>
            </w:pPr>
            <w:r w:rsidRPr="00CE60B2">
              <w:rPr>
                <w:rFonts w:cs="Segoe UI"/>
                <w:b/>
                <w:bCs/>
              </w:rPr>
              <w:t>Gaz</w:t>
            </w:r>
            <w:r w:rsidR="00CD653A">
              <w:rPr>
                <w:rFonts w:cs="Segoe UI"/>
                <w:b/>
                <w:bCs/>
              </w:rPr>
              <w:t>-</w:t>
            </w:r>
          </w:p>
          <w:p w14:paraId="26ABCF89" w14:textId="29CDF7B1" w:rsidR="006060C9" w:rsidRPr="00CE60B2" w:rsidRDefault="006060C9" w:rsidP="00CD653A">
            <w:pPr>
              <w:spacing w:before="0"/>
              <w:rPr>
                <w:rFonts w:cs="Segoe UI"/>
                <w:b/>
                <w:bCs/>
              </w:rPr>
            </w:pPr>
            <w:r w:rsidRPr="00CE60B2">
              <w:rPr>
                <w:rFonts w:cs="Segoe UI"/>
                <w:b/>
                <w:bCs/>
              </w:rPr>
              <w:t>etted</w:t>
            </w:r>
          </w:p>
        </w:tc>
        <w:tc>
          <w:tcPr>
            <w:tcW w:w="862" w:type="dxa"/>
            <w:shd w:val="clear" w:color="auto" w:fill="DFEFE1" w:themeFill="accent3" w:themeFillTint="66"/>
            <w:hideMark/>
          </w:tcPr>
          <w:p w14:paraId="47147C15" w14:textId="77777777" w:rsidR="00CD653A" w:rsidRDefault="006060C9" w:rsidP="00CD653A">
            <w:pPr>
              <w:spacing w:after="0"/>
              <w:rPr>
                <w:rFonts w:cs="Segoe UI"/>
                <w:b/>
                <w:bCs/>
              </w:rPr>
            </w:pPr>
            <w:r w:rsidRPr="00CE60B2">
              <w:rPr>
                <w:rFonts w:cs="Segoe UI"/>
                <w:b/>
                <w:bCs/>
              </w:rPr>
              <w:t>Pro</w:t>
            </w:r>
            <w:r w:rsidR="00CD653A">
              <w:rPr>
                <w:rFonts w:cs="Segoe UI"/>
                <w:b/>
                <w:bCs/>
              </w:rPr>
              <w:t>-</w:t>
            </w:r>
          </w:p>
          <w:p w14:paraId="26ABCF8A" w14:textId="2828FA3B" w:rsidR="006060C9" w:rsidRPr="00CE60B2" w:rsidRDefault="006060C9" w:rsidP="00CD653A">
            <w:pPr>
              <w:spacing w:before="0" w:after="0"/>
              <w:rPr>
                <w:rFonts w:cs="Segoe UI"/>
                <w:b/>
                <w:bCs/>
              </w:rPr>
            </w:pPr>
            <w:r w:rsidRPr="00CE60B2">
              <w:rPr>
                <w:rFonts w:cs="Segoe UI"/>
                <w:b/>
                <w:bCs/>
              </w:rPr>
              <w:t>posed</w:t>
            </w:r>
          </w:p>
        </w:tc>
        <w:tc>
          <w:tcPr>
            <w:tcW w:w="1122" w:type="dxa"/>
            <w:vMerge/>
            <w:shd w:val="clear" w:color="auto" w:fill="DFEFE1" w:themeFill="accent3" w:themeFillTint="66"/>
            <w:hideMark/>
          </w:tcPr>
          <w:p w14:paraId="26ABCF8B" w14:textId="77777777" w:rsidR="006060C9" w:rsidRPr="00CE60B2" w:rsidRDefault="006060C9" w:rsidP="00C423D1">
            <w:pPr>
              <w:rPr>
                <w:rFonts w:cs="Segoe UI"/>
                <w:b/>
                <w:bCs/>
              </w:rPr>
            </w:pPr>
          </w:p>
        </w:tc>
        <w:tc>
          <w:tcPr>
            <w:tcW w:w="985" w:type="dxa"/>
            <w:vMerge/>
            <w:shd w:val="clear" w:color="auto" w:fill="DFEFE1" w:themeFill="accent3" w:themeFillTint="66"/>
            <w:hideMark/>
          </w:tcPr>
          <w:p w14:paraId="26ABCF8C" w14:textId="77777777" w:rsidR="006060C9" w:rsidRPr="00CE60B2" w:rsidRDefault="006060C9" w:rsidP="00C423D1">
            <w:pPr>
              <w:rPr>
                <w:rFonts w:cs="Segoe UI"/>
                <w:b/>
                <w:bCs/>
              </w:rPr>
            </w:pPr>
          </w:p>
        </w:tc>
      </w:tr>
      <w:tr w:rsidR="006060C9" w:rsidRPr="00CE60B2" w14:paraId="26ABCF95" w14:textId="77777777" w:rsidTr="005D1FC2">
        <w:trPr>
          <w:trHeight w:val="405"/>
          <w:tblHeader/>
        </w:trPr>
        <w:tc>
          <w:tcPr>
            <w:tcW w:w="3256" w:type="dxa"/>
            <w:vMerge/>
            <w:shd w:val="clear" w:color="auto" w:fill="DFEFE1" w:themeFill="accent3" w:themeFillTint="66"/>
            <w:hideMark/>
          </w:tcPr>
          <w:p w14:paraId="26ABCF8E" w14:textId="77777777" w:rsidR="006060C9" w:rsidRPr="00CE60B2" w:rsidRDefault="006060C9" w:rsidP="00C423D1">
            <w:pPr>
              <w:rPr>
                <w:rFonts w:cs="Segoe UI"/>
                <w:b/>
                <w:bCs/>
              </w:rPr>
            </w:pPr>
          </w:p>
        </w:tc>
        <w:tc>
          <w:tcPr>
            <w:tcW w:w="958" w:type="dxa"/>
            <w:shd w:val="clear" w:color="auto" w:fill="DFEFE1" w:themeFill="accent3" w:themeFillTint="66"/>
            <w:noWrap/>
            <w:hideMark/>
          </w:tcPr>
          <w:p w14:paraId="26ABCF8F" w14:textId="77777777" w:rsidR="006060C9" w:rsidRPr="00CE60B2" w:rsidRDefault="006060C9" w:rsidP="00C423D1">
            <w:pPr>
              <w:rPr>
                <w:rFonts w:cs="Segoe UI"/>
                <w:b/>
                <w:bCs/>
              </w:rPr>
            </w:pPr>
            <w:r w:rsidRPr="00CE60B2">
              <w:rPr>
                <w:rFonts w:cs="Segoe UI"/>
                <w:b/>
                <w:bCs/>
              </w:rPr>
              <w:t>(ha)</w:t>
            </w:r>
          </w:p>
        </w:tc>
        <w:tc>
          <w:tcPr>
            <w:tcW w:w="884" w:type="dxa"/>
            <w:shd w:val="clear" w:color="auto" w:fill="DFEFE1" w:themeFill="accent3" w:themeFillTint="66"/>
            <w:noWrap/>
            <w:hideMark/>
          </w:tcPr>
          <w:p w14:paraId="26ABCF90" w14:textId="77777777" w:rsidR="006060C9" w:rsidRPr="00CE60B2" w:rsidRDefault="006060C9" w:rsidP="00C423D1">
            <w:pPr>
              <w:rPr>
                <w:rFonts w:cs="Segoe UI"/>
                <w:b/>
                <w:bCs/>
              </w:rPr>
            </w:pPr>
            <w:r w:rsidRPr="00CE60B2">
              <w:rPr>
                <w:rFonts w:cs="Segoe UI"/>
                <w:b/>
                <w:bCs/>
              </w:rPr>
              <w:t>(ha)</w:t>
            </w:r>
          </w:p>
        </w:tc>
        <w:tc>
          <w:tcPr>
            <w:tcW w:w="993" w:type="dxa"/>
            <w:shd w:val="clear" w:color="auto" w:fill="DFEFE1" w:themeFill="accent3" w:themeFillTint="66"/>
            <w:hideMark/>
          </w:tcPr>
          <w:p w14:paraId="26ABCF91" w14:textId="77777777" w:rsidR="006060C9" w:rsidRPr="00CE60B2" w:rsidRDefault="006060C9" w:rsidP="00C423D1">
            <w:pPr>
              <w:rPr>
                <w:rFonts w:cs="Segoe UI"/>
                <w:b/>
                <w:bCs/>
              </w:rPr>
            </w:pPr>
            <w:r w:rsidRPr="00CE60B2">
              <w:rPr>
                <w:rFonts w:cs="Segoe UI"/>
                <w:b/>
                <w:bCs/>
              </w:rPr>
              <w:t>(ha)</w:t>
            </w:r>
          </w:p>
        </w:tc>
        <w:tc>
          <w:tcPr>
            <w:tcW w:w="862" w:type="dxa"/>
            <w:shd w:val="clear" w:color="auto" w:fill="DFEFE1" w:themeFill="accent3" w:themeFillTint="66"/>
            <w:hideMark/>
          </w:tcPr>
          <w:p w14:paraId="26ABCF92" w14:textId="77777777" w:rsidR="006060C9" w:rsidRPr="00CE60B2" w:rsidRDefault="006060C9" w:rsidP="00C423D1">
            <w:pPr>
              <w:rPr>
                <w:rFonts w:cs="Segoe UI"/>
                <w:b/>
                <w:bCs/>
              </w:rPr>
            </w:pPr>
            <w:r w:rsidRPr="00CE60B2">
              <w:rPr>
                <w:rFonts w:cs="Segoe UI"/>
                <w:b/>
                <w:bCs/>
              </w:rPr>
              <w:t>(ha)</w:t>
            </w:r>
          </w:p>
        </w:tc>
        <w:tc>
          <w:tcPr>
            <w:tcW w:w="1122" w:type="dxa"/>
            <w:shd w:val="clear" w:color="auto" w:fill="DFEFE1" w:themeFill="accent3" w:themeFillTint="66"/>
            <w:hideMark/>
          </w:tcPr>
          <w:p w14:paraId="26ABCF93" w14:textId="77777777" w:rsidR="006060C9" w:rsidRPr="00CE60B2" w:rsidRDefault="006060C9" w:rsidP="00C423D1">
            <w:pPr>
              <w:rPr>
                <w:rFonts w:cs="Segoe UI"/>
                <w:b/>
                <w:bCs/>
              </w:rPr>
            </w:pPr>
            <w:r w:rsidRPr="00CE60B2">
              <w:rPr>
                <w:rFonts w:cs="Segoe UI"/>
                <w:b/>
                <w:bCs/>
              </w:rPr>
              <w:t>(ha)</w:t>
            </w:r>
          </w:p>
        </w:tc>
        <w:tc>
          <w:tcPr>
            <w:tcW w:w="985" w:type="dxa"/>
            <w:shd w:val="clear" w:color="auto" w:fill="DFEFE1" w:themeFill="accent3" w:themeFillTint="66"/>
            <w:hideMark/>
          </w:tcPr>
          <w:p w14:paraId="26ABCF94" w14:textId="77777777" w:rsidR="006060C9" w:rsidRPr="00CE60B2" w:rsidRDefault="006060C9" w:rsidP="00C423D1">
            <w:pPr>
              <w:rPr>
                <w:rFonts w:cs="Segoe UI"/>
                <w:b/>
                <w:bCs/>
              </w:rPr>
            </w:pPr>
            <w:r w:rsidRPr="00CE60B2">
              <w:rPr>
                <w:rFonts w:cs="Segoe UI"/>
                <w:b/>
                <w:bCs/>
              </w:rPr>
              <w:t>(ha)</w:t>
            </w:r>
          </w:p>
        </w:tc>
      </w:tr>
      <w:tr w:rsidR="006060C9" w:rsidRPr="00CE60B2" w14:paraId="26ABCF9D" w14:textId="77777777" w:rsidTr="005D1FC2">
        <w:trPr>
          <w:trHeight w:val="300"/>
        </w:trPr>
        <w:tc>
          <w:tcPr>
            <w:tcW w:w="3256" w:type="dxa"/>
            <w:noWrap/>
            <w:hideMark/>
          </w:tcPr>
          <w:p w14:paraId="26ABCF96" w14:textId="77777777" w:rsidR="006060C9" w:rsidRPr="00CE60B2" w:rsidRDefault="006060C9" w:rsidP="00C423D1">
            <w:pPr>
              <w:rPr>
                <w:rFonts w:cs="Segoe UI"/>
              </w:rPr>
            </w:pPr>
            <w:r w:rsidRPr="00CE60B2">
              <w:rPr>
                <w:rFonts w:cs="Segoe UI"/>
              </w:rPr>
              <w:t>Avon River Valley</w:t>
            </w:r>
          </w:p>
        </w:tc>
        <w:tc>
          <w:tcPr>
            <w:tcW w:w="958" w:type="dxa"/>
            <w:noWrap/>
            <w:hideMark/>
          </w:tcPr>
          <w:p w14:paraId="26ABCF97" w14:textId="77777777" w:rsidR="006060C9" w:rsidRPr="00CE60B2" w:rsidRDefault="006060C9" w:rsidP="00C423D1">
            <w:pPr>
              <w:rPr>
                <w:rFonts w:cs="Segoe UI"/>
              </w:rPr>
            </w:pPr>
            <w:r w:rsidRPr="00CE60B2">
              <w:rPr>
                <w:rFonts w:cs="Segoe UI"/>
              </w:rPr>
              <w:t>363</w:t>
            </w:r>
          </w:p>
        </w:tc>
        <w:tc>
          <w:tcPr>
            <w:tcW w:w="884" w:type="dxa"/>
            <w:noWrap/>
            <w:hideMark/>
          </w:tcPr>
          <w:p w14:paraId="26ABCF98" w14:textId="77777777" w:rsidR="006060C9" w:rsidRPr="00CE60B2" w:rsidRDefault="006060C9" w:rsidP="00C423D1">
            <w:pPr>
              <w:rPr>
                <w:rFonts w:cs="Segoe UI"/>
              </w:rPr>
            </w:pPr>
            <w:r w:rsidRPr="00CE60B2">
              <w:rPr>
                <w:rFonts w:cs="Segoe UI"/>
              </w:rPr>
              <w:t>357</w:t>
            </w:r>
          </w:p>
        </w:tc>
        <w:tc>
          <w:tcPr>
            <w:tcW w:w="993" w:type="dxa"/>
            <w:hideMark/>
          </w:tcPr>
          <w:p w14:paraId="26ABCF99" w14:textId="77777777" w:rsidR="006060C9" w:rsidRPr="00CE60B2" w:rsidRDefault="006060C9" w:rsidP="00C423D1">
            <w:pPr>
              <w:rPr>
                <w:rFonts w:cs="Segoe UI"/>
              </w:rPr>
            </w:pPr>
            <w:r w:rsidRPr="00CE60B2">
              <w:rPr>
                <w:rFonts w:cs="Segoe UI"/>
              </w:rPr>
              <w:t>135</w:t>
            </w:r>
          </w:p>
        </w:tc>
        <w:tc>
          <w:tcPr>
            <w:tcW w:w="862" w:type="dxa"/>
            <w:hideMark/>
          </w:tcPr>
          <w:p w14:paraId="26ABCF9A" w14:textId="77777777" w:rsidR="006060C9" w:rsidRPr="00CE60B2" w:rsidRDefault="006060C9" w:rsidP="00C423D1">
            <w:pPr>
              <w:rPr>
                <w:rFonts w:cs="Segoe UI"/>
              </w:rPr>
            </w:pPr>
            <w:r w:rsidRPr="00CE60B2">
              <w:rPr>
                <w:rFonts w:cs="Segoe UI"/>
              </w:rPr>
              <w:t>6</w:t>
            </w:r>
          </w:p>
        </w:tc>
        <w:tc>
          <w:tcPr>
            <w:tcW w:w="1122" w:type="dxa"/>
            <w:hideMark/>
          </w:tcPr>
          <w:p w14:paraId="26ABCF9B" w14:textId="77777777" w:rsidR="006060C9" w:rsidRPr="00CE60B2" w:rsidRDefault="006060C9" w:rsidP="00C423D1">
            <w:pPr>
              <w:rPr>
                <w:rFonts w:cs="Segoe UI"/>
              </w:rPr>
            </w:pPr>
            <w:r w:rsidRPr="00CE60B2">
              <w:rPr>
                <w:rFonts w:cs="Segoe UI"/>
              </w:rPr>
              <w:t>0</w:t>
            </w:r>
          </w:p>
        </w:tc>
        <w:tc>
          <w:tcPr>
            <w:tcW w:w="985" w:type="dxa"/>
            <w:hideMark/>
          </w:tcPr>
          <w:p w14:paraId="26ABCF9C" w14:textId="77777777" w:rsidR="006060C9" w:rsidRPr="00CE60B2" w:rsidRDefault="006060C9" w:rsidP="00C423D1">
            <w:pPr>
              <w:rPr>
                <w:rFonts w:cs="Segoe UI"/>
              </w:rPr>
            </w:pPr>
            <w:r w:rsidRPr="00CE60B2">
              <w:rPr>
                <w:rFonts w:cs="Segoe UI"/>
              </w:rPr>
              <w:t>98</w:t>
            </w:r>
          </w:p>
        </w:tc>
      </w:tr>
      <w:tr w:rsidR="006060C9" w:rsidRPr="00E25C9C" w14:paraId="26ABCFA5" w14:textId="77777777" w:rsidTr="005D1FC2">
        <w:trPr>
          <w:trHeight w:val="300"/>
        </w:trPr>
        <w:tc>
          <w:tcPr>
            <w:tcW w:w="3256" w:type="dxa"/>
            <w:noWrap/>
            <w:hideMark/>
          </w:tcPr>
          <w:p w14:paraId="26ABCF9E" w14:textId="77777777" w:rsidR="006060C9" w:rsidRPr="00CE60B2" w:rsidRDefault="006060C9" w:rsidP="00C423D1">
            <w:pPr>
              <w:rPr>
                <w:rFonts w:cs="Segoe UI"/>
              </w:rPr>
            </w:pPr>
            <w:r w:rsidRPr="00CE60B2">
              <w:rPr>
                <w:rFonts w:cs="Segoe UI"/>
              </w:rPr>
              <w:t>Benger Swamp*</w:t>
            </w:r>
          </w:p>
        </w:tc>
        <w:tc>
          <w:tcPr>
            <w:tcW w:w="958" w:type="dxa"/>
            <w:noWrap/>
            <w:hideMark/>
          </w:tcPr>
          <w:p w14:paraId="26ABCF9F" w14:textId="77777777" w:rsidR="006060C9" w:rsidRPr="00CE60B2" w:rsidRDefault="006060C9" w:rsidP="00C423D1">
            <w:pPr>
              <w:rPr>
                <w:rFonts w:cs="Segoe UI"/>
              </w:rPr>
            </w:pPr>
            <w:r w:rsidRPr="00CE60B2">
              <w:rPr>
                <w:rFonts w:cs="Segoe UI"/>
              </w:rPr>
              <w:t>653</w:t>
            </w:r>
          </w:p>
        </w:tc>
        <w:tc>
          <w:tcPr>
            <w:tcW w:w="884" w:type="dxa"/>
            <w:noWrap/>
            <w:hideMark/>
          </w:tcPr>
          <w:p w14:paraId="26ABCFA0" w14:textId="77777777" w:rsidR="006060C9" w:rsidRPr="00CE60B2" w:rsidRDefault="006060C9" w:rsidP="00C423D1">
            <w:pPr>
              <w:rPr>
                <w:rFonts w:cs="Segoe UI"/>
              </w:rPr>
            </w:pPr>
            <w:r w:rsidRPr="00CE60B2">
              <w:rPr>
                <w:rFonts w:cs="Segoe UI"/>
              </w:rPr>
              <w:t>65</w:t>
            </w:r>
          </w:p>
        </w:tc>
        <w:tc>
          <w:tcPr>
            <w:tcW w:w="993" w:type="dxa"/>
            <w:hideMark/>
          </w:tcPr>
          <w:p w14:paraId="26ABCFA1" w14:textId="77777777" w:rsidR="006060C9" w:rsidRPr="00CE60B2" w:rsidRDefault="006060C9" w:rsidP="00C423D1">
            <w:pPr>
              <w:rPr>
                <w:rFonts w:cs="Segoe UI"/>
              </w:rPr>
            </w:pPr>
            <w:r w:rsidRPr="00CE60B2">
              <w:rPr>
                <w:rFonts w:cs="Segoe UI"/>
              </w:rPr>
              <w:t>65</w:t>
            </w:r>
          </w:p>
        </w:tc>
        <w:tc>
          <w:tcPr>
            <w:tcW w:w="862" w:type="dxa"/>
            <w:hideMark/>
          </w:tcPr>
          <w:p w14:paraId="26ABCFA2" w14:textId="77777777" w:rsidR="006060C9" w:rsidRPr="00CE60B2" w:rsidRDefault="006060C9" w:rsidP="00C423D1">
            <w:pPr>
              <w:rPr>
                <w:rFonts w:cs="Segoe UI"/>
              </w:rPr>
            </w:pPr>
            <w:r w:rsidRPr="00CE60B2">
              <w:rPr>
                <w:rFonts w:cs="Segoe UI"/>
              </w:rPr>
              <w:t>0</w:t>
            </w:r>
          </w:p>
        </w:tc>
        <w:tc>
          <w:tcPr>
            <w:tcW w:w="1122" w:type="dxa"/>
            <w:hideMark/>
          </w:tcPr>
          <w:p w14:paraId="26ABCFA3" w14:textId="77777777" w:rsidR="006060C9" w:rsidRPr="00CE60B2" w:rsidRDefault="006060C9" w:rsidP="00C423D1">
            <w:pPr>
              <w:rPr>
                <w:rFonts w:cs="Segoe UI"/>
              </w:rPr>
            </w:pPr>
            <w:r w:rsidRPr="00CE60B2">
              <w:rPr>
                <w:rFonts w:cs="Segoe UI"/>
              </w:rPr>
              <w:t>0</w:t>
            </w:r>
          </w:p>
        </w:tc>
        <w:tc>
          <w:tcPr>
            <w:tcW w:w="985" w:type="dxa"/>
            <w:hideMark/>
          </w:tcPr>
          <w:p w14:paraId="26ABCFA4" w14:textId="77777777" w:rsidR="006060C9" w:rsidRPr="00CE60B2" w:rsidRDefault="006060C9" w:rsidP="00C423D1">
            <w:pPr>
              <w:rPr>
                <w:rFonts w:cs="Segoe UI"/>
              </w:rPr>
            </w:pPr>
            <w:r w:rsidRPr="00CE60B2">
              <w:rPr>
                <w:rFonts w:cs="Segoe UI"/>
              </w:rPr>
              <w:t>0</w:t>
            </w:r>
          </w:p>
        </w:tc>
      </w:tr>
      <w:tr w:rsidR="006060C9" w:rsidRPr="00E25C9C" w14:paraId="26ABCFAD" w14:textId="77777777" w:rsidTr="005D1FC2">
        <w:trPr>
          <w:trHeight w:val="300"/>
        </w:trPr>
        <w:tc>
          <w:tcPr>
            <w:tcW w:w="3256" w:type="dxa"/>
            <w:noWrap/>
            <w:hideMark/>
          </w:tcPr>
          <w:p w14:paraId="26ABCFA6" w14:textId="77777777" w:rsidR="006060C9" w:rsidRPr="00CE60B2" w:rsidRDefault="006060C9" w:rsidP="00C423D1">
            <w:pPr>
              <w:rPr>
                <w:rFonts w:cs="Segoe UI"/>
              </w:rPr>
            </w:pPr>
            <w:r w:rsidRPr="00CE60B2">
              <w:rPr>
                <w:rFonts w:cs="Segoe UI"/>
              </w:rPr>
              <w:t>Blackwood River and Tributaries System^</w:t>
            </w:r>
          </w:p>
        </w:tc>
        <w:tc>
          <w:tcPr>
            <w:tcW w:w="958" w:type="dxa"/>
            <w:noWrap/>
            <w:hideMark/>
          </w:tcPr>
          <w:p w14:paraId="26ABCFA7" w14:textId="77777777" w:rsidR="006060C9" w:rsidRPr="00CE60B2" w:rsidRDefault="006060C9" w:rsidP="00C423D1">
            <w:pPr>
              <w:rPr>
                <w:rFonts w:cs="Segoe UI"/>
              </w:rPr>
            </w:pPr>
            <w:r w:rsidRPr="00CE60B2">
              <w:rPr>
                <w:rFonts w:cs="Segoe UI"/>
              </w:rPr>
              <w:t>841</w:t>
            </w:r>
          </w:p>
        </w:tc>
        <w:tc>
          <w:tcPr>
            <w:tcW w:w="884" w:type="dxa"/>
            <w:noWrap/>
            <w:hideMark/>
          </w:tcPr>
          <w:p w14:paraId="26ABCFA8" w14:textId="77777777" w:rsidR="006060C9" w:rsidRPr="00CE60B2" w:rsidRDefault="006060C9" w:rsidP="00C423D1">
            <w:pPr>
              <w:rPr>
                <w:rFonts w:cs="Segoe UI"/>
              </w:rPr>
            </w:pPr>
            <w:r w:rsidRPr="00CE60B2">
              <w:rPr>
                <w:rFonts w:cs="Segoe UI"/>
              </w:rPr>
              <w:t>718</w:t>
            </w:r>
          </w:p>
        </w:tc>
        <w:tc>
          <w:tcPr>
            <w:tcW w:w="993" w:type="dxa"/>
            <w:hideMark/>
          </w:tcPr>
          <w:p w14:paraId="26ABCFA9" w14:textId="77777777" w:rsidR="006060C9" w:rsidRPr="00CE60B2" w:rsidRDefault="006060C9" w:rsidP="00C423D1">
            <w:pPr>
              <w:rPr>
                <w:rFonts w:cs="Segoe UI"/>
              </w:rPr>
            </w:pPr>
            <w:r w:rsidRPr="00CE60B2">
              <w:rPr>
                <w:rFonts w:cs="Segoe UI"/>
              </w:rPr>
              <w:t>278</w:t>
            </w:r>
          </w:p>
        </w:tc>
        <w:tc>
          <w:tcPr>
            <w:tcW w:w="862" w:type="dxa"/>
            <w:hideMark/>
          </w:tcPr>
          <w:p w14:paraId="26ABCFAA" w14:textId="77777777" w:rsidR="006060C9" w:rsidRPr="00CE60B2" w:rsidRDefault="006060C9" w:rsidP="00C423D1">
            <w:pPr>
              <w:rPr>
                <w:rFonts w:cs="Segoe UI"/>
              </w:rPr>
            </w:pPr>
            <w:r w:rsidRPr="00CE60B2">
              <w:rPr>
                <w:rFonts w:cs="Segoe UI"/>
              </w:rPr>
              <w:t>14</w:t>
            </w:r>
          </w:p>
        </w:tc>
        <w:tc>
          <w:tcPr>
            <w:tcW w:w="1122" w:type="dxa"/>
            <w:hideMark/>
          </w:tcPr>
          <w:p w14:paraId="26ABCFAB" w14:textId="77777777" w:rsidR="006060C9" w:rsidRPr="00CE60B2" w:rsidRDefault="006060C9" w:rsidP="00C423D1">
            <w:pPr>
              <w:rPr>
                <w:rFonts w:cs="Segoe UI"/>
              </w:rPr>
            </w:pPr>
            <w:r w:rsidRPr="00CE60B2">
              <w:rPr>
                <w:rFonts w:cs="Segoe UI"/>
              </w:rPr>
              <w:t>0</w:t>
            </w:r>
          </w:p>
        </w:tc>
        <w:tc>
          <w:tcPr>
            <w:tcW w:w="985" w:type="dxa"/>
            <w:hideMark/>
          </w:tcPr>
          <w:p w14:paraId="26ABCFAC" w14:textId="77777777" w:rsidR="006060C9" w:rsidRPr="00CE60B2" w:rsidRDefault="006060C9" w:rsidP="00C423D1">
            <w:pPr>
              <w:rPr>
                <w:rFonts w:cs="Segoe UI"/>
              </w:rPr>
            </w:pPr>
            <w:r w:rsidRPr="00CE60B2">
              <w:rPr>
                <w:rFonts w:cs="Segoe UI"/>
              </w:rPr>
              <w:t>18</w:t>
            </w:r>
          </w:p>
        </w:tc>
      </w:tr>
      <w:tr w:rsidR="006060C9" w:rsidRPr="00E25C9C" w14:paraId="26ABCFB5" w14:textId="77777777" w:rsidTr="005D1FC2">
        <w:trPr>
          <w:trHeight w:val="300"/>
        </w:trPr>
        <w:tc>
          <w:tcPr>
            <w:tcW w:w="3256" w:type="dxa"/>
            <w:noWrap/>
            <w:hideMark/>
          </w:tcPr>
          <w:p w14:paraId="26ABCFAE" w14:textId="77777777" w:rsidR="006060C9" w:rsidRPr="00CE60B2" w:rsidRDefault="006060C9" w:rsidP="00C423D1">
            <w:pPr>
              <w:rPr>
                <w:rFonts w:cs="Segoe UI"/>
              </w:rPr>
            </w:pPr>
            <w:r w:rsidRPr="00CE60B2">
              <w:rPr>
                <w:rFonts w:cs="Segoe UI"/>
              </w:rPr>
              <w:t>Broke Inlet System</w:t>
            </w:r>
          </w:p>
        </w:tc>
        <w:tc>
          <w:tcPr>
            <w:tcW w:w="958" w:type="dxa"/>
            <w:noWrap/>
            <w:hideMark/>
          </w:tcPr>
          <w:p w14:paraId="26ABCFAF" w14:textId="77777777" w:rsidR="006060C9" w:rsidRPr="00CE60B2" w:rsidRDefault="006060C9" w:rsidP="00C423D1">
            <w:pPr>
              <w:rPr>
                <w:rFonts w:cs="Segoe UI"/>
              </w:rPr>
            </w:pPr>
            <w:r w:rsidRPr="00CE60B2">
              <w:rPr>
                <w:rFonts w:cs="Segoe UI"/>
              </w:rPr>
              <w:t>27,056</w:t>
            </w:r>
          </w:p>
        </w:tc>
        <w:tc>
          <w:tcPr>
            <w:tcW w:w="884" w:type="dxa"/>
            <w:noWrap/>
            <w:hideMark/>
          </w:tcPr>
          <w:p w14:paraId="26ABCFB0" w14:textId="77777777" w:rsidR="006060C9" w:rsidRPr="00CE60B2" w:rsidRDefault="006060C9" w:rsidP="00C423D1">
            <w:pPr>
              <w:rPr>
                <w:rFonts w:cs="Segoe UI"/>
              </w:rPr>
            </w:pPr>
            <w:r w:rsidRPr="00CE60B2">
              <w:rPr>
                <w:rFonts w:cs="Segoe UI"/>
              </w:rPr>
              <w:t>27,056</w:t>
            </w:r>
          </w:p>
        </w:tc>
        <w:tc>
          <w:tcPr>
            <w:tcW w:w="993" w:type="dxa"/>
            <w:hideMark/>
          </w:tcPr>
          <w:p w14:paraId="26ABCFB1" w14:textId="77777777" w:rsidR="006060C9" w:rsidRPr="00CE60B2" w:rsidRDefault="006060C9" w:rsidP="00C423D1">
            <w:pPr>
              <w:rPr>
                <w:rFonts w:cs="Segoe UI"/>
              </w:rPr>
            </w:pPr>
            <w:r w:rsidRPr="00CE60B2">
              <w:rPr>
                <w:rFonts w:cs="Segoe UI"/>
              </w:rPr>
              <w:t>22,453</w:t>
            </w:r>
          </w:p>
        </w:tc>
        <w:tc>
          <w:tcPr>
            <w:tcW w:w="862" w:type="dxa"/>
            <w:hideMark/>
          </w:tcPr>
          <w:p w14:paraId="26ABCFB2" w14:textId="77777777" w:rsidR="006060C9" w:rsidRPr="00CE60B2" w:rsidRDefault="006060C9" w:rsidP="00C423D1">
            <w:pPr>
              <w:rPr>
                <w:rFonts w:cs="Segoe UI"/>
              </w:rPr>
            </w:pPr>
            <w:r w:rsidRPr="00CE60B2">
              <w:rPr>
                <w:rFonts w:cs="Segoe UI"/>
              </w:rPr>
              <w:t>0</w:t>
            </w:r>
          </w:p>
        </w:tc>
        <w:tc>
          <w:tcPr>
            <w:tcW w:w="1122" w:type="dxa"/>
            <w:hideMark/>
          </w:tcPr>
          <w:p w14:paraId="26ABCFB3" w14:textId="77777777" w:rsidR="006060C9" w:rsidRPr="00CE60B2" w:rsidRDefault="006060C9" w:rsidP="00C423D1">
            <w:pPr>
              <w:rPr>
                <w:rFonts w:cs="Segoe UI"/>
              </w:rPr>
            </w:pPr>
            <w:r w:rsidRPr="00CE60B2">
              <w:rPr>
                <w:rFonts w:cs="Segoe UI"/>
              </w:rPr>
              <w:t>117</w:t>
            </w:r>
          </w:p>
        </w:tc>
        <w:tc>
          <w:tcPr>
            <w:tcW w:w="985" w:type="dxa"/>
            <w:hideMark/>
          </w:tcPr>
          <w:p w14:paraId="26ABCFB4" w14:textId="77777777" w:rsidR="006060C9" w:rsidRPr="00CE60B2" w:rsidRDefault="006060C9" w:rsidP="00C423D1">
            <w:pPr>
              <w:rPr>
                <w:rFonts w:cs="Segoe UI"/>
              </w:rPr>
            </w:pPr>
            <w:r w:rsidRPr="00CE60B2">
              <w:rPr>
                <w:rFonts w:cs="Segoe UI"/>
              </w:rPr>
              <w:t>30</w:t>
            </w:r>
          </w:p>
        </w:tc>
      </w:tr>
      <w:tr w:rsidR="006060C9" w:rsidRPr="00CE60B2" w14:paraId="26ABCFBD" w14:textId="77777777" w:rsidTr="005D1FC2">
        <w:trPr>
          <w:trHeight w:val="300"/>
        </w:trPr>
        <w:tc>
          <w:tcPr>
            <w:tcW w:w="3256" w:type="dxa"/>
            <w:noWrap/>
            <w:hideMark/>
          </w:tcPr>
          <w:p w14:paraId="26ABCFB6" w14:textId="77777777" w:rsidR="006060C9" w:rsidRPr="00CE60B2" w:rsidRDefault="006060C9" w:rsidP="00C423D1">
            <w:pPr>
              <w:rPr>
                <w:rFonts w:cs="Segoe UI"/>
              </w:rPr>
            </w:pPr>
            <w:r w:rsidRPr="00CE60B2">
              <w:rPr>
                <w:rFonts w:cs="Segoe UI"/>
              </w:rPr>
              <w:t>Byenup Lagoon System"</w:t>
            </w:r>
          </w:p>
        </w:tc>
        <w:tc>
          <w:tcPr>
            <w:tcW w:w="958" w:type="dxa"/>
            <w:noWrap/>
            <w:hideMark/>
          </w:tcPr>
          <w:p w14:paraId="26ABCFB7" w14:textId="77777777" w:rsidR="006060C9" w:rsidRPr="00CE60B2" w:rsidRDefault="006060C9" w:rsidP="00C423D1">
            <w:pPr>
              <w:rPr>
                <w:rFonts w:cs="Segoe UI"/>
              </w:rPr>
            </w:pPr>
            <w:r w:rsidRPr="00CE60B2">
              <w:rPr>
                <w:rFonts w:cs="Segoe UI"/>
              </w:rPr>
              <w:t>10,449</w:t>
            </w:r>
          </w:p>
        </w:tc>
        <w:tc>
          <w:tcPr>
            <w:tcW w:w="884" w:type="dxa"/>
            <w:noWrap/>
            <w:hideMark/>
          </w:tcPr>
          <w:p w14:paraId="26ABCFB8" w14:textId="77777777" w:rsidR="006060C9" w:rsidRPr="00CE60B2" w:rsidRDefault="006060C9" w:rsidP="00C423D1">
            <w:pPr>
              <w:rPr>
                <w:rFonts w:cs="Segoe UI"/>
              </w:rPr>
            </w:pPr>
            <w:r w:rsidRPr="00CE60B2">
              <w:rPr>
                <w:rFonts w:cs="Segoe UI"/>
              </w:rPr>
              <w:t>10,449</w:t>
            </w:r>
          </w:p>
        </w:tc>
        <w:tc>
          <w:tcPr>
            <w:tcW w:w="993" w:type="dxa"/>
            <w:hideMark/>
          </w:tcPr>
          <w:p w14:paraId="26ABCFB9" w14:textId="77777777" w:rsidR="006060C9" w:rsidRPr="00CE60B2" w:rsidRDefault="006060C9" w:rsidP="00C423D1">
            <w:pPr>
              <w:rPr>
                <w:rFonts w:cs="Segoe UI"/>
              </w:rPr>
            </w:pPr>
            <w:r w:rsidRPr="00CE60B2">
              <w:rPr>
                <w:rFonts w:cs="Segoe UI"/>
              </w:rPr>
              <w:t>7,459</w:t>
            </w:r>
          </w:p>
        </w:tc>
        <w:tc>
          <w:tcPr>
            <w:tcW w:w="862" w:type="dxa"/>
            <w:hideMark/>
          </w:tcPr>
          <w:p w14:paraId="26ABCFBA" w14:textId="77777777" w:rsidR="006060C9" w:rsidRPr="00CE60B2" w:rsidRDefault="006060C9" w:rsidP="00C423D1">
            <w:pPr>
              <w:rPr>
                <w:rFonts w:cs="Segoe UI"/>
              </w:rPr>
            </w:pPr>
            <w:r w:rsidRPr="00CE60B2">
              <w:rPr>
                <w:rFonts w:cs="Segoe UI"/>
              </w:rPr>
              <w:t>1,569</w:t>
            </w:r>
          </w:p>
        </w:tc>
        <w:tc>
          <w:tcPr>
            <w:tcW w:w="1122" w:type="dxa"/>
            <w:hideMark/>
          </w:tcPr>
          <w:p w14:paraId="26ABCFBB" w14:textId="77777777" w:rsidR="006060C9" w:rsidRPr="00CE60B2" w:rsidRDefault="006060C9" w:rsidP="00C423D1">
            <w:pPr>
              <w:rPr>
                <w:rFonts w:cs="Segoe UI"/>
              </w:rPr>
            </w:pPr>
            <w:r w:rsidRPr="00CE60B2">
              <w:rPr>
                <w:rFonts w:cs="Segoe UI"/>
              </w:rPr>
              <w:t>0</w:t>
            </w:r>
          </w:p>
        </w:tc>
        <w:tc>
          <w:tcPr>
            <w:tcW w:w="985" w:type="dxa"/>
            <w:hideMark/>
          </w:tcPr>
          <w:p w14:paraId="26ABCFBC" w14:textId="77777777" w:rsidR="006060C9" w:rsidRPr="00CE60B2" w:rsidRDefault="006060C9" w:rsidP="00C423D1">
            <w:pPr>
              <w:rPr>
                <w:rFonts w:cs="Segoe UI"/>
              </w:rPr>
            </w:pPr>
            <w:r w:rsidRPr="00CE60B2">
              <w:rPr>
                <w:rFonts w:cs="Segoe UI"/>
              </w:rPr>
              <w:t>3</w:t>
            </w:r>
          </w:p>
        </w:tc>
      </w:tr>
      <w:tr w:rsidR="006060C9" w:rsidRPr="00CE60B2" w14:paraId="26ABCFC5" w14:textId="77777777" w:rsidTr="005D1FC2">
        <w:trPr>
          <w:trHeight w:val="300"/>
        </w:trPr>
        <w:tc>
          <w:tcPr>
            <w:tcW w:w="3256" w:type="dxa"/>
            <w:noWrap/>
            <w:hideMark/>
          </w:tcPr>
          <w:p w14:paraId="26ABCFBE" w14:textId="77777777" w:rsidR="006060C9" w:rsidRPr="00CE60B2" w:rsidRDefault="006060C9" w:rsidP="00C423D1">
            <w:pPr>
              <w:rPr>
                <w:rFonts w:cs="Segoe UI"/>
              </w:rPr>
            </w:pPr>
            <w:r w:rsidRPr="00CE60B2">
              <w:rPr>
                <w:rFonts w:cs="Segoe UI"/>
              </w:rPr>
              <w:t>Cape Leeuwin System</w:t>
            </w:r>
          </w:p>
        </w:tc>
        <w:tc>
          <w:tcPr>
            <w:tcW w:w="958" w:type="dxa"/>
            <w:noWrap/>
            <w:hideMark/>
          </w:tcPr>
          <w:p w14:paraId="26ABCFBF" w14:textId="77777777" w:rsidR="006060C9" w:rsidRPr="00CE60B2" w:rsidRDefault="006060C9" w:rsidP="00C423D1">
            <w:pPr>
              <w:rPr>
                <w:rFonts w:cs="Segoe UI"/>
              </w:rPr>
            </w:pPr>
            <w:r w:rsidRPr="00CE60B2">
              <w:rPr>
                <w:rFonts w:cs="Segoe UI"/>
              </w:rPr>
              <w:t>30</w:t>
            </w:r>
          </w:p>
        </w:tc>
        <w:tc>
          <w:tcPr>
            <w:tcW w:w="884" w:type="dxa"/>
            <w:noWrap/>
            <w:hideMark/>
          </w:tcPr>
          <w:p w14:paraId="26ABCFC0" w14:textId="77777777" w:rsidR="006060C9" w:rsidRPr="00CE60B2" w:rsidRDefault="006060C9" w:rsidP="00C423D1">
            <w:pPr>
              <w:rPr>
                <w:rFonts w:cs="Segoe UI"/>
              </w:rPr>
            </w:pPr>
            <w:r w:rsidRPr="00CE60B2">
              <w:rPr>
                <w:rFonts w:cs="Segoe UI"/>
              </w:rPr>
              <w:t>30</w:t>
            </w:r>
          </w:p>
        </w:tc>
        <w:tc>
          <w:tcPr>
            <w:tcW w:w="993" w:type="dxa"/>
            <w:hideMark/>
          </w:tcPr>
          <w:p w14:paraId="26ABCFC1" w14:textId="77777777" w:rsidR="006060C9" w:rsidRPr="00CE60B2" w:rsidRDefault="006060C9" w:rsidP="00C423D1">
            <w:pPr>
              <w:rPr>
                <w:rFonts w:cs="Segoe UI"/>
              </w:rPr>
            </w:pPr>
            <w:r w:rsidRPr="00CE60B2">
              <w:rPr>
                <w:rFonts w:cs="Segoe UI"/>
              </w:rPr>
              <w:t>28</w:t>
            </w:r>
          </w:p>
        </w:tc>
        <w:tc>
          <w:tcPr>
            <w:tcW w:w="862" w:type="dxa"/>
            <w:hideMark/>
          </w:tcPr>
          <w:p w14:paraId="26ABCFC2" w14:textId="77777777" w:rsidR="006060C9" w:rsidRPr="00CE60B2" w:rsidRDefault="006060C9" w:rsidP="00C423D1">
            <w:pPr>
              <w:rPr>
                <w:rFonts w:cs="Segoe UI"/>
              </w:rPr>
            </w:pPr>
            <w:r w:rsidRPr="00CE60B2">
              <w:rPr>
                <w:rFonts w:cs="Segoe UI"/>
              </w:rPr>
              <w:t>0</w:t>
            </w:r>
          </w:p>
        </w:tc>
        <w:tc>
          <w:tcPr>
            <w:tcW w:w="1122" w:type="dxa"/>
            <w:hideMark/>
          </w:tcPr>
          <w:p w14:paraId="26ABCFC3" w14:textId="77777777" w:rsidR="006060C9" w:rsidRPr="00CE60B2" w:rsidRDefault="006060C9" w:rsidP="00C423D1">
            <w:pPr>
              <w:rPr>
                <w:rFonts w:cs="Segoe UI"/>
              </w:rPr>
            </w:pPr>
            <w:r w:rsidRPr="00CE60B2">
              <w:rPr>
                <w:rFonts w:cs="Segoe UI"/>
              </w:rPr>
              <w:t>0</w:t>
            </w:r>
          </w:p>
        </w:tc>
        <w:tc>
          <w:tcPr>
            <w:tcW w:w="985" w:type="dxa"/>
            <w:hideMark/>
          </w:tcPr>
          <w:p w14:paraId="26ABCFC4" w14:textId="77777777" w:rsidR="006060C9" w:rsidRPr="00CE60B2" w:rsidRDefault="006060C9" w:rsidP="00C423D1">
            <w:pPr>
              <w:rPr>
                <w:rFonts w:cs="Segoe UI"/>
              </w:rPr>
            </w:pPr>
            <w:r w:rsidRPr="00CE60B2">
              <w:rPr>
                <w:rFonts w:cs="Segoe UI"/>
              </w:rPr>
              <w:t>2</w:t>
            </w:r>
          </w:p>
        </w:tc>
      </w:tr>
      <w:tr w:rsidR="006060C9" w:rsidRPr="00CE60B2" w14:paraId="26ABCFCD" w14:textId="77777777" w:rsidTr="005D1FC2">
        <w:trPr>
          <w:trHeight w:val="300"/>
        </w:trPr>
        <w:tc>
          <w:tcPr>
            <w:tcW w:w="3256" w:type="dxa"/>
            <w:noWrap/>
            <w:hideMark/>
          </w:tcPr>
          <w:p w14:paraId="26ABCFC6" w14:textId="77777777" w:rsidR="006060C9" w:rsidRPr="00CE60B2" w:rsidRDefault="006060C9" w:rsidP="00C423D1">
            <w:pPr>
              <w:rPr>
                <w:rFonts w:cs="Segoe UI"/>
              </w:rPr>
            </w:pPr>
            <w:r w:rsidRPr="00CE60B2">
              <w:rPr>
                <w:rFonts w:cs="Segoe UI"/>
              </w:rPr>
              <w:t>Chittering-Needonga Lakes</w:t>
            </w:r>
          </w:p>
        </w:tc>
        <w:tc>
          <w:tcPr>
            <w:tcW w:w="958" w:type="dxa"/>
            <w:noWrap/>
            <w:hideMark/>
          </w:tcPr>
          <w:p w14:paraId="26ABCFC7" w14:textId="77777777" w:rsidR="006060C9" w:rsidRPr="00CE60B2" w:rsidRDefault="006060C9" w:rsidP="00C423D1">
            <w:pPr>
              <w:rPr>
                <w:rFonts w:cs="Segoe UI"/>
              </w:rPr>
            </w:pPr>
            <w:r w:rsidRPr="00CE60B2">
              <w:rPr>
                <w:rFonts w:cs="Segoe UI"/>
              </w:rPr>
              <w:t>255</w:t>
            </w:r>
          </w:p>
        </w:tc>
        <w:tc>
          <w:tcPr>
            <w:tcW w:w="884" w:type="dxa"/>
            <w:noWrap/>
            <w:hideMark/>
          </w:tcPr>
          <w:p w14:paraId="26ABCFC8" w14:textId="77777777" w:rsidR="006060C9" w:rsidRPr="00CE60B2" w:rsidRDefault="006060C9" w:rsidP="00C423D1">
            <w:pPr>
              <w:rPr>
                <w:rFonts w:cs="Segoe UI"/>
              </w:rPr>
            </w:pPr>
            <w:r w:rsidRPr="00CE60B2">
              <w:rPr>
                <w:rFonts w:cs="Segoe UI"/>
              </w:rPr>
              <w:t>255</w:t>
            </w:r>
          </w:p>
        </w:tc>
        <w:tc>
          <w:tcPr>
            <w:tcW w:w="993" w:type="dxa"/>
            <w:hideMark/>
          </w:tcPr>
          <w:p w14:paraId="26ABCFC9" w14:textId="77777777" w:rsidR="006060C9" w:rsidRPr="00CE60B2" w:rsidRDefault="006060C9" w:rsidP="00C423D1">
            <w:pPr>
              <w:rPr>
                <w:rFonts w:cs="Segoe UI"/>
              </w:rPr>
            </w:pPr>
            <w:r w:rsidRPr="00CE60B2">
              <w:rPr>
                <w:rFonts w:cs="Segoe UI"/>
              </w:rPr>
              <w:t>223</w:t>
            </w:r>
          </w:p>
        </w:tc>
        <w:tc>
          <w:tcPr>
            <w:tcW w:w="862" w:type="dxa"/>
            <w:hideMark/>
          </w:tcPr>
          <w:p w14:paraId="26ABCFCA" w14:textId="77777777" w:rsidR="006060C9" w:rsidRPr="00CE60B2" w:rsidRDefault="006060C9" w:rsidP="00C423D1">
            <w:pPr>
              <w:rPr>
                <w:rFonts w:cs="Segoe UI"/>
              </w:rPr>
            </w:pPr>
            <w:r w:rsidRPr="00CE60B2">
              <w:rPr>
                <w:rFonts w:cs="Segoe UI"/>
              </w:rPr>
              <w:t>0</w:t>
            </w:r>
          </w:p>
        </w:tc>
        <w:tc>
          <w:tcPr>
            <w:tcW w:w="1122" w:type="dxa"/>
            <w:hideMark/>
          </w:tcPr>
          <w:p w14:paraId="26ABCFCB" w14:textId="77777777" w:rsidR="006060C9" w:rsidRPr="00CE60B2" w:rsidRDefault="006060C9" w:rsidP="00C423D1">
            <w:pPr>
              <w:rPr>
                <w:rFonts w:cs="Segoe UI"/>
              </w:rPr>
            </w:pPr>
            <w:r w:rsidRPr="00CE60B2">
              <w:rPr>
                <w:rFonts w:cs="Segoe UI"/>
              </w:rPr>
              <w:t>0</w:t>
            </w:r>
          </w:p>
        </w:tc>
        <w:tc>
          <w:tcPr>
            <w:tcW w:w="985" w:type="dxa"/>
            <w:hideMark/>
          </w:tcPr>
          <w:p w14:paraId="26ABCFCC" w14:textId="77777777" w:rsidR="006060C9" w:rsidRPr="00CE60B2" w:rsidRDefault="006060C9" w:rsidP="00C423D1">
            <w:pPr>
              <w:rPr>
                <w:rFonts w:cs="Segoe UI"/>
              </w:rPr>
            </w:pPr>
            <w:r w:rsidRPr="00CE60B2">
              <w:rPr>
                <w:rFonts w:cs="Segoe UI"/>
              </w:rPr>
              <w:t>0</w:t>
            </w:r>
          </w:p>
        </w:tc>
      </w:tr>
      <w:tr w:rsidR="006060C9" w:rsidRPr="00CE60B2" w14:paraId="26ABCFD5" w14:textId="77777777" w:rsidTr="005D1FC2">
        <w:trPr>
          <w:trHeight w:val="300"/>
        </w:trPr>
        <w:tc>
          <w:tcPr>
            <w:tcW w:w="3256" w:type="dxa"/>
            <w:noWrap/>
            <w:hideMark/>
          </w:tcPr>
          <w:p w14:paraId="26ABCFCE" w14:textId="77777777" w:rsidR="006060C9" w:rsidRPr="00CE60B2" w:rsidRDefault="006060C9" w:rsidP="00C423D1">
            <w:pPr>
              <w:rPr>
                <w:rFonts w:cs="Segoe UI"/>
              </w:rPr>
            </w:pPr>
            <w:r w:rsidRPr="00CE60B2">
              <w:rPr>
                <w:rFonts w:cs="Segoe UI"/>
              </w:rPr>
              <w:t>Doggerup Creek System</w:t>
            </w:r>
          </w:p>
        </w:tc>
        <w:tc>
          <w:tcPr>
            <w:tcW w:w="958" w:type="dxa"/>
            <w:noWrap/>
            <w:hideMark/>
          </w:tcPr>
          <w:p w14:paraId="26ABCFCF" w14:textId="77777777" w:rsidR="006060C9" w:rsidRPr="00CE60B2" w:rsidRDefault="006060C9" w:rsidP="00C423D1">
            <w:pPr>
              <w:rPr>
                <w:rFonts w:cs="Segoe UI"/>
              </w:rPr>
            </w:pPr>
            <w:r w:rsidRPr="00CE60B2">
              <w:rPr>
                <w:rFonts w:cs="Segoe UI"/>
              </w:rPr>
              <w:t>13,059</w:t>
            </w:r>
          </w:p>
        </w:tc>
        <w:tc>
          <w:tcPr>
            <w:tcW w:w="884" w:type="dxa"/>
            <w:noWrap/>
            <w:hideMark/>
          </w:tcPr>
          <w:p w14:paraId="26ABCFD0" w14:textId="77777777" w:rsidR="006060C9" w:rsidRPr="00CE60B2" w:rsidRDefault="006060C9" w:rsidP="00C423D1">
            <w:pPr>
              <w:rPr>
                <w:rFonts w:cs="Segoe UI"/>
              </w:rPr>
            </w:pPr>
            <w:r w:rsidRPr="00CE60B2">
              <w:rPr>
                <w:rFonts w:cs="Segoe UI"/>
              </w:rPr>
              <w:t>13,059</w:t>
            </w:r>
          </w:p>
        </w:tc>
        <w:tc>
          <w:tcPr>
            <w:tcW w:w="993" w:type="dxa"/>
            <w:hideMark/>
          </w:tcPr>
          <w:p w14:paraId="26ABCFD1" w14:textId="77777777" w:rsidR="006060C9" w:rsidRPr="00CE60B2" w:rsidRDefault="006060C9" w:rsidP="00C423D1">
            <w:pPr>
              <w:rPr>
                <w:rFonts w:cs="Segoe UI"/>
              </w:rPr>
            </w:pPr>
            <w:r w:rsidRPr="00CE60B2">
              <w:rPr>
                <w:rFonts w:cs="Segoe UI"/>
              </w:rPr>
              <w:t>12,546</w:t>
            </w:r>
          </w:p>
        </w:tc>
        <w:tc>
          <w:tcPr>
            <w:tcW w:w="862" w:type="dxa"/>
            <w:hideMark/>
          </w:tcPr>
          <w:p w14:paraId="26ABCFD2" w14:textId="77777777" w:rsidR="006060C9" w:rsidRPr="00CE60B2" w:rsidRDefault="006060C9" w:rsidP="00C423D1">
            <w:pPr>
              <w:rPr>
                <w:rFonts w:cs="Segoe UI"/>
              </w:rPr>
            </w:pPr>
            <w:r w:rsidRPr="00CE60B2">
              <w:rPr>
                <w:rFonts w:cs="Segoe UI"/>
              </w:rPr>
              <w:t>0</w:t>
            </w:r>
          </w:p>
        </w:tc>
        <w:tc>
          <w:tcPr>
            <w:tcW w:w="1122" w:type="dxa"/>
            <w:hideMark/>
          </w:tcPr>
          <w:p w14:paraId="26ABCFD3" w14:textId="77777777" w:rsidR="006060C9" w:rsidRPr="00CE60B2" w:rsidRDefault="006060C9" w:rsidP="00C423D1">
            <w:pPr>
              <w:rPr>
                <w:rFonts w:cs="Segoe UI"/>
              </w:rPr>
            </w:pPr>
            <w:r w:rsidRPr="00CE60B2">
              <w:rPr>
                <w:rFonts w:cs="Segoe UI"/>
              </w:rPr>
              <w:t>0</w:t>
            </w:r>
          </w:p>
        </w:tc>
        <w:tc>
          <w:tcPr>
            <w:tcW w:w="985" w:type="dxa"/>
            <w:hideMark/>
          </w:tcPr>
          <w:p w14:paraId="26ABCFD4" w14:textId="77777777" w:rsidR="006060C9" w:rsidRPr="00CE60B2" w:rsidRDefault="006060C9" w:rsidP="00C423D1">
            <w:pPr>
              <w:rPr>
                <w:rFonts w:cs="Segoe UI"/>
              </w:rPr>
            </w:pPr>
            <w:r w:rsidRPr="00CE60B2">
              <w:rPr>
                <w:rFonts w:cs="Segoe UI"/>
              </w:rPr>
              <w:t>7</w:t>
            </w:r>
          </w:p>
        </w:tc>
      </w:tr>
      <w:tr w:rsidR="006060C9" w:rsidRPr="00CE60B2" w14:paraId="26ABCFDD" w14:textId="77777777" w:rsidTr="005D1FC2">
        <w:trPr>
          <w:trHeight w:val="300"/>
        </w:trPr>
        <w:tc>
          <w:tcPr>
            <w:tcW w:w="3256" w:type="dxa"/>
            <w:noWrap/>
            <w:hideMark/>
          </w:tcPr>
          <w:p w14:paraId="26ABCFD6" w14:textId="77777777" w:rsidR="006060C9" w:rsidRPr="00CE60B2" w:rsidRDefault="006060C9" w:rsidP="00C423D1">
            <w:pPr>
              <w:rPr>
                <w:rFonts w:cs="Segoe UI"/>
              </w:rPr>
            </w:pPr>
            <w:r w:rsidRPr="00CE60B2">
              <w:rPr>
                <w:rFonts w:cs="Segoe UI"/>
              </w:rPr>
              <w:t>Ellen Brook Swamp System^</w:t>
            </w:r>
          </w:p>
        </w:tc>
        <w:tc>
          <w:tcPr>
            <w:tcW w:w="958" w:type="dxa"/>
            <w:noWrap/>
            <w:hideMark/>
          </w:tcPr>
          <w:p w14:paraId="26ABCFD7" w14:textId="77777777" w:rsidR="006060C9" w:rsidRPr="00CE60B2" w:rsidRDefault="006060C9" w:rsidP="00C423D1">
            <w:pPr>
              <w:rPr>
                <w:rFonts w:cs="Segoe UI"/>
              </w:rPr>
            </w:pPr>
            <w:r w:rsidRPr="00CE60B2">
              <w:rPr>
                <w:rFonts w:cs="Segoe UI"/>
              </w:rPr>
              <w:t>193</w:t>
            </w:r>
          </w:p>
        </w:tc>
        <w:tc>
          <w:tcPr>
            <w:tcW w:w="884" w:type="dxa"/>
            <w:noWrap/>
            <w:hideMark/>
          </w:tcPr>
          <w:p w14:paraId="26ABCFD8" w14:textId="77777777" w:rsidR="006060C9" w:rsidRPr="00CE60B2" w:rsidRDefault="006060C9" w:rsidP="00C423D1">
            <w:pPr>
              <w:rPr>
                <w:rFonts w:cs="Segoe UI"/>
              </w:rPr>
            </w:pPr>
            <w:r w:rsidRPr="00CE60B2">
              <w:rPr>
                <w:rFonts w:cs="Segoe UI"/>
              </w:rPr>
              <w:t>131</w:t>
            </w:r>
          </w:p>
        </w:tc>
        <w:tc>
          <w:tcPr>
            <w:tcW w:w="993" w:type="dxa"/>
            <w:hideMark/>
          </w:tcPr>
          <w:p w14:paraId="26ABCFD9" w14:textId="77777777" w:rsidR="006060C9" w:rsidRPr="00CE60B2" w:rsidRDefault="006060C9" w:rsidP="00C423D1">
            <w:pPr>
              <w:rPr>
                <w:rFonts w:cs="Segoe UI"/>
              </w:rPr>
            </w:pPr>
            <w:r w:rsidRPr="00CE60B2">
              <w:rPr>
                <w:rFonts w:cs="Segoe UI"/>
              </w:rPr>
              <w:t>129</w:t>
            </w:r>
          </w:p>
        </w:tc>
        <w:tc>
          <w:tcPr>
            <w:tcW w:w="862" w:type="dxa"/>
            <w:hideMark/>
          </w:tcPr>
          <w:p w14:paraId="26ABCFDA" w14:textId="77777777" w:rsidR="006060C9" w:rsidRPr="00CE60B2" w:rsidRDefault="006060C9" w:rsidP="00C423D1">
            <w:pPr>
              <w:rPr>
                <w:rFonts w:cs="Segoe UI"/>
              </w:rPr>
            </w:pPr>
            <w:r w:rsidRPr="00CE60B2">
              <w:rPr>
                <w:rFonts w:cs="Segoe UI"/>
              </w:rPr>
              <w:t>0</w:t>
            </w:r>
          </w:p>
        </w:tc>
        <w:tc>
          <w:tcPr>
            <w:tcW w:w="1122" w:type="dxa"/>
            <w:hideMark/>
          </w:tcPr>
          <w:p w14:paraId="26ABCFDB" w14:textId="77777777" w:rsidR="006060C9" w:rsidRPr="00CE60B2" w:rsidRDefault="006060C9" w:rsidP="00C423D1">
            <w:pPr>
              <w:rPr>
                <w:rFonts w:cs="Segoe UI"/>
              </w:rPr>
            </w:pPr>
            <w:r w:rsidRPr="00CE60B2">
              <w:rPr>
                <w:rFonts w:cs="Segoe UI"/>
              </w:rPr>
              <w:t>0</w:t>
            </w:r>
          </w:p>
        </w:tc>
        <w:tc>
          <w:tcPr>
            <w:tcW w:w="985" w:type="dxa"/>
            <w:hideMark/>
          </w:tcPr>
          <w:p w14:paraId="26ABCFDC" w14:textId="77777777" w:rsidR="006060C9" w:rsidRPr="00CE60B2" w:rsidRDefault="006060C9" w:rsidP="00C423D1">
            <w:pPr>
              <w:rPr>
                <w:rFonts w:cs="Segoe UI"/>
              </w:rPr>
            </w:pPr>
            <w:r w:rsidRPr="00CE60B2">
              <w:rPr>
                <w:rFonts w:cs="Segoe UI"/>
              </w:rPr>
              <w:t>0</w:t>
            </w:r>
          </w:p>
        </w:tc>
      </w:tr>
      <w:tr w:rsidR="006060C9" w:rsidRPr="00CE60B2" w14:paraId="26ABCFE5" w14:textId="77777777" w:rsidTr="005D1FC2">
        <w:trPr>
          <w:trHeight w:val="300"/>
        </w:trPr>
        <w:tc>
          <w:tcPr>
            <w:tcW w:w="3256" w:type="dxa"/>
            <w:noWrap/>
            <w:hideMark/>
          </w:tcPr>
          <w:p w14:paraId="26ABCFDE" w14:textId="77777777" w:rsidR="006060C9" w:rsidRPr="00CE60B2" w:rsidRDefault="006060C9" w:rsidP="00C423D1">
            <w:pPr>
              <w:rPr>
                <w:rFonts w:cs="Segoe UI"/>
              </w:rPr>
            </w:pPr>
            <w:r w:rsidRPr="00CE60B2">
              <w:rPr>
                <w:rFonts w:cs="Segoe UI"/>
              </w:rPr>
              <w:lastRenderedPageBreak/>
              <w:t>Gingilup - Jasper Wetland System</w:t>
            </w:r>
          </w:p>
        </w:tc>
        <w:tc>
          <w:tcPr>
            <w:tcW w:w="958" w:type="dxa"/>
            <w:noWrap/>
            <w:hideMark/>
          </w:tcPr>
          <w:p w14:paraId="26ABCFDF" w14:textId="77777777" w:rsidR="006060C9" w:rsidRPr="00CE60B2" w:rsidRDefault="006060C9" w:rsidP="00C423D1">
            <w:pPr>
              <w:rPr>
                <w:rFonts w:cs="Segoe UI"/>
              </w:rPr>
            </w:pPr>
            <w:r w:rsidRPr="00CE60B2">
              <w:rPr>
                <w:rFonts w:cs="Segoe UI"/>
              </w:rPr>
              <w:t>3,281</w:t>
            </w:r>
          </w:p>
        </w:tc>
        <w:tc>
          <w:tcPr>
            <w:tcW w:w="884" w:type="dxa"/>
            <w:noWrap/>
            <w:hideMark/>
          </w:tcPr>
          <w:p w14:paraId="26ABCFE0" w14:textId="77777777" w:rsidR="006060C9" w:rsidRPr="00CE60B2" w:rsidRDefault="006060C9" w:rsidP="00C423D1">
            <w:pPr>
              <w:rPr>
                <w:rFonts w:cs="Segoe UI"/>
              </w:rPr>
            </w:pPr>
            <w:r w:rsidRPr="00CE60B2">
              <w:rPr>
                <w:rFonts w:cs="Segoe UI"/>
              </w:rPr>
              <w:t>3,281</w:t>
            </w:r>
          </w:p>
        </w:tc>
        <w:tc>
          <w:tcPr>
            <w:tcW w:w="993" w:type="dxa"/>
            <w:hideMark/>
          </w:tcPr>
          <w:p w14:paraId="26ABCFE1" w14:textId="77777777" w:rsidR="006060C9" w:rsidRPr="00CE60B2" w:rsidRDefault="006060C9" w:rsidP="00C423D1">
            <w:pPr>
              <w:rPr>
                <w:rFonts w:cs="Segoe UI"/>
              </w:rPr>
            </w:pPr>
            <w:r w:rsidRPr="00CE60B2">
              <w:rPr>
                <w:rFonts w:cs="Segoe UI"/>
              </w:rPr>
              <w:t>2,781</w:t>
            </w:r>
          </w:p>
        </w:tc>
        <w:tc>
          <w:tcPr>
            <w:tcW w:w="862" w:type="dxa"/>
            <w:hideMark/>
          </w:tcPr>
          <w:p w14:paraId="26ABCFE2" w14:textId="77777777" w:rsidR="006060C9" w:rsidRPr="00CE60B2" w:rsidRDefault="006060C9" w:rsidP="00C423D1">
            <w:pPr>
              <w:rPr>
                <w:rFonts w:cs="Segoe UI"/>
              </w:rPr>
            </w:pPr>
            <w:r w:rsidRPr="00CE60B2">
              <w:rPr>
                <w:rFonts w:cs="Segoe UI"/>
              </w:rPr>
              <w:t>99</w:t>
            </w:r>
          </w:p>
        </w:tc>
        <w:tc>
          <w:tcPr>
            <w:tcW w:w="1122" w:type="dxa"/>
            <w:hideMark/>
          </w:tcPr>
          <w:p w14:paraId="26ABCFE3" w14:textId="77777777" w:rsidR="006060C9" w:rsidRPr="00CE60B2" w:rsidRDefault="006060C9" w:rsidP="00C423D1">
            <w:pPr>
              <w:rPr>
                <w:rFonts w:cs="Segoe UI"/>
              </w:rPr>
            </w:pPr>
            <w:r w:rsidRPr="00CE60B2">
              <w:rPr>
                <w:rFonts w:cs="Segoe UI"/>
              </w:rPr>
              <w:t>19</w:t>
            </w:r>
          </w:p>
        </w:tc>
        <w:tc>
          <w:tcPr>
            <w:tcW w:w="985" w:type="dxa"/>
            <w:hideMark/>
          </w:tcPr>
          <w:p w14:paraId="26ABCFE4" w14:textId="77777777" w:rsidR="006060C9" w:rsidRPr="00CE60B2" w:rsidRDefault="006060C9" w:rsidP="00C423D1">
            <w:pPr>
              <w:rPr>
                <w:rFonts w:cs="Segoe UI"/>
              </w:rPr>
            </w:pPr>
            <w:r w:rsidRPr="00CE60B2">
              <w:rPr>
                <w:rFonts w:cs="Segoe UI"/>
              </w:rPr>
              <w:t>99</w:t>
            </w:r>
          </w:p>
        </w:tc>
      </w:tr>
      <w:tr w:rsidR="006060C9" w:rsidRPr="00CE60B2" w14:paraId="26ABCFED" w14:textId="77777777" w:rsidTr="005D1FC2">
        <w:trPr>
          <w:trHeight w:val="300"/>
        </w:trPr>
        <w:tc>
          <w:tcPr>
            <w:tcW w:w="3256" w:type="dxa"/>
            <w:noWrap/>
            <w:hideMark/>
          </w:tcPr>
          <w:p w14:paraId="26ABCFE6" w14:textId="77777777" w:rsidR="006060C9" w:rsidRPr="00CE60B2" w:rsidRDefault="006060C9" w:rsidP="00C423D1">
            <w:pPr>
              <w:rPr>
                <w:rFonts w:cs="Segoe UI"/>
              </w:rPr>
            </w:pPr>
            <w:r w:rsidRPr="00CE60B2">
              <w:rPr>
                <w:rFonts w:cs="Segoe UI"/>
              </w:rPr>
              <w:t>Lake Muir"</w:t>
            </w:r>
          </w:p>
        </w:tc>
        <w:tc>
          <w:tcPr>
            <w:tcW w:w="958" w:type="dxa"/>
            <w:noWrap/>
            <w:hideMark/>
          </w:tcPr>
          <w:p w14:paraId="26ABCFE7" w14:textId="77777777" w:rsidR="006060C9" w:rsidRPr="00CE60B2" w:rsidRDefault="006060C9" w:rsidP="00C423D1">
            <w:pPr>
              <w:rPr>
                <w:rFonts w:cs="Segoe UI"/>
              </w:rPr>
            </w:pPr>
            <w:r w:rsidRPr="00CE60B2">
              <w:rPr>
                <w:rFonts w:cs="Segoe UI"/>
              </w:rPr>
              <w:t>4,141</w:t>
            </w:r>
          </w:p>
        </w:tc>
        <w:tc>
          <w:tcPr>
            <w:tcW w:w="884" w:type="dxa"/>
            <w:noWrap/>
            <w:hideMark/>
          </w:tcPr>
          <w:p w14:paraId="26ABCFE8" w14:textId="77777777" w:rsidR="006060C9" w:rsidRPr="00CE60B2" w:rsidRDefault="006060C9" w:rsidP="00C423D1">
            <w:pPr>
              <w:rPr>
                <w:rFonts w:cs="Segoe UI"/>
              </w:rPr>
            </w:pPr>
            <w:r w:rsidRPr="00CE60B2">
              <w:rPr>
                <w:rFonts w:cs="Segoe UI"/>
              </w:rPr>
              <w:t>4,141</w:t>
            </w:r>
          </w:p>
        </w:tc>
        <w:tc>
          <w:tcPr>
            <w:tcW w:w="993" w:type="dxa"/>
            <w:hideMark/>
          </w:tcPr>
          <w:p w14:paraId="26ABCFE9" w14:textId="77777777" w:rsidR="006060C9" w:rsidRPr="00CE60B2" w:rsidRDefault="006060C9" w:rsidP="00C423D1">
            <w:pPr>
              <w:rPr>
                <w:rFonts w:cs="Segoe UI"/>
              </w:rPr>
            </w:pPr>
            <w:r w:rsidRPr="00CE60B2">
              <w:rPr>
                <w:rFonts w:cs="Segoe UI"/>
              </w:rPr>
              <w:t>4,137</w:t>
            </w:r>
          </w:p>
        </w:tc>
        <w:tc>
          <w:tcPr>
            <w:tcW w:w="862" w:type="dxa"/>
            <w:hideMark/>
          </w:tcPr>
          <w:p w14:paraId="26ABCFEA" w14:textId="77777777" w:rsidR="006060C9" w:rsidRPr="00CE60B2" w:rsidRDefault="006060C9" w:rsidP="00C423D1">
            <w:pPr>
              <w:rPr>
                <w:rFonts w:cs="Segoe UI"/>
              </w:rPr>
            </w:pPr>
            <w:r w:rsidRPr="00CE60B2">
              <w:rPr>
                <w:rFonts w:cs="Segoe UI"/>
              </w:rPr>
              <w:t>0</w:t>
            </w:r>
          </w:p>
        </w:tc>
        <w:tc>
          <w:tcPr>
            <w:tcW w:w="1122" w:type="dxa"/>
            <w:hideMark/>
          </w:tcPr>
          <w:p w14:paraId="26ABCFEB" w14:textId="77777777" w:rsidR="006060C9" w:rsidRPr="00CE60B2" w:rsidRDefault="006060C9" w:rsidP="00C423D1">
            <w:pPr>
              <w:rPr>
                <w:rFonts w:cs="Segoe UI"/>
              </w:rPr>
            </w:pPr>
            <w:r w:rsidRPr="00CE60B2">
              <w:rPr>
                <w:rFonts w:cs="Segoe UI"/>
              </w:rPr>
              <w:t>0</w:t>
            </w:r>
          </w:p>
        </w:tc>
        <w:tc>
          <w:tcPr>
            <w:tcW w:w="985" w:type="dxa"/>
            <w:hideMark/>
          </w:tcPr>
          <w:p w14:paraId="26ABCFEC" w14:textId="77777777" w:rsidR="006060C9" w:rsidRPr="00CE60B2" w:rsidRDefault="006060C9" w:rsidP="00C423D1">
            <w:pPr>
              <w:rPr>
                <w:rFonts w:cs="Segoe UI"/>
              </w:rPr>
            </w:pPr>
            <w:r w:rsidRPr="00CE60B2">
              <w:rPr>
                <w:rFonts w:cs="Segoe UI"/>
              </w:rPr>
              <w:t>0</w:t>
            </w:r>
          </w:p>
        </w:tc>
      </w:tr>
      <w:tr w:rsidR="006060C9" w:rsidRPr="00CE60B2" w14:paraId="26ABCFF5" w14:textId="77777777" w:rsidTr="005D1FC2">
        <w:trPr>
          <w:trHeight w:val="300"/>
        </w:trPr>
        <w:tc>
          <w:tcPr>
            <w:tcW w:w="3256" w:type="dxa"/>
            <w:noWrap/>
            <w:hideMark/>
          </w:tcPr>
          <w:p w14:paraId="26ABCFEE" w14:textId="77777777" w:rsidR="006060C9" w:rsidRPr="00CE60B2" w:rsidRDefault="006060C9" w:rsidP="00C423D1">
            <w:pPr>
              <w:rPr>
                <w:rFonts w:cs="Segoe UI"/>
              </w:rPr>
            </w:pPr>
            <w:r w:rsidRPr="00CE60B2">
              <w:rPr>
                <w:rFonts w:cs="Segoe UI"/>
              </w:rPr>
              <w:t>Maringup Lake</w:t>
            </w:r>
          </w:p>
        </w:tc>
        <w:tc>
          <w:tcPr>
            <w:tcW w:w="958" w:type="dxa"/>
            <w:noWrap/>
            <w:hideMark/>
          </w:tcPr>
          <w:p w14:paraId="26ABCFEF" w14:textId="77777777" w:rsidR="006060C9" w:rsidRPr="00CE60B2" w:rsidRDefault="006060C9" w:rsidP="00C423D1">
            <w:pPr>
              <w:rPr>
                <w:rFonts w:cs="Segoe UI"/>
              </w:rPr>
            </w:pPr>
            <w:r w:rsidRPr="00CE60B2">
              <w:rPr>
                <w:rFonts w:cs="Segoe UI"/>
              </w:rPr>
              <w:t>604</w:t>
            </w:r>
          </w:p>
        </w:tc>
        <w:tc>
          <w:tcPr>
            <w:tcW w:w="884" w:type="dxa"/>
            <w:noWrap/>
            <w:hideMark/>
          </w:tcPr>
          <w:p w14:paraId="26ABCFF0" w14:textId="77777777" w:rsidR="006060C9" w:rsidRPr="00CE60B2" w:rsidRDefault="006060C9" w:rsidP="00C423D1">
            <w:pPr>
              <w:rPr>
                <w:rFonts w:cs="Segoe UI"/>
              </w:rPr>
            </w:pPr>
            <w:r w:rsidRPr="00CE60B2">
              <w:rPr>
                <w:rFonts w:cs="Segoe UI"/>
              </w:rPr>
              <w:t>604</w:t>
            </w:r>
          </w:p>
        </w:tc>
        <w:tc>
          <w:tcPr>
            <w:tcW w:w="993" w:type="dxa"/>
            <w:hideMark/>
          </w:tcPr>
          <w:p w14:paraId="26ABCFF1" w14:textId="77777777" w:rsidR="006060C9" w:rsidRPr="00CE60B2" w:rsidRDefault="006060C9" w:rsidP="00C423D1">
            <w:pPr>
              <w:rPr>
                <w:rFonts w:cs="Segoe UI"/>
              </w:rPr>
            </w:pPr>
            <w:r w:rsidRPr="00CE60B2">
              <w:rPr>
                <w:rFonts w:cs="Segoe UI"/>
              </w:rPr>
              <w:t>604</w:t>
            </w:r>
          </w:p>
        </w:tc>
        <w:tc>
          <w:tcPr>
            <w:tcW w:w="862" w:type="dxa"/>
            <w:hideMark/>
          </w:tcPr>
          <w:p w14:paraId="26ABCFF2" w14:textId="77777777" w:rsidR="006060C9" w:rsidRPr="00CE60B2" w:rsidRDefault="006060C9" w:rsidP="00C423D1">
            <w:pPr>
              <w:rPr>
                <w:rFonts w:cs="Segoe UI"/>
              </w:rPr>
            </w:pPr>
            <w:r w:rsidRPr="00CE60B2">
              <w:rPr>
                <w:rFonts w:cs="Segoe UI"/>
              </w:rPr>
              <w:t>0</w:t>
            </w:r>
          </w:p>
        </w:tc>
        <w:tc>
          <w:tcPr>
            <w:tcW w:w="1122" w:type="dxa"/>
            <w:hideMark/>
          </w:tcPr>
          <w:p w14:paraId="26ABCFF3" w14:textId="77777777" w:rsidR="006060C9" w:rsidRPr="00CE60B2" w:rsidRDefault="006060C9" w:rsidP="00C423D1">
            <w:pPr>
              <w:rPr>
                <w:rFonts w:cs="Segoe UI"/>
              </w:rPr>
            </w:pPr>
            <w:r w:rsidRPr="00CE60B2">
              <w:rPr>
                <w:rFonts w:cs="Segoe UI"/>
              </w:rPr>
              <w:t>0</w:t>
            </w:r>
          </w:p>
        </w:tc>
        <w:tc>
          <w:tcPr>
            <w:tcW w:w="985" w:type="dxa"/>
            <w:hideMark/>
          </w:tcPr>
          <w:p w14:paraId="26ABCFF4" w14:textId="77777777" w:rsidR="006060C9" w:rsidRPr="00CE60B2" w:rsidRDefault="006060C9" w:rsidP="00C423D1">
            <w:pPr>
              <w:rPr>
                <w:rFonts w:cs="Segoe UI"/>
              </w:rPr>
            </w:pPr>
            <w:r w:rsidRPr="00CE60B2">
              <w:rPr>
                <w:rFonts w:cs="Segoe UI"/>
              </w:rPr>
              <w:t>0</w:t>
            </w:r>
          </w:p>
        </w:tc>
      </w:tr>
      <w:tr w:rsidR="006060C9" w:rsidRPr="00CE60B2" w14:paraId="26ABCFFD" w14:textId="77777777" w:rsidTr="005D1FC2">
        <w:trPr>
          <w:trHeight w:val="300"/>
        </w:trPr>
        <w:tc>
          <w:tcPr>
            <w:tcW w:w="3256" w:type="dxa"/>
            <w:noWrap/>
            <w:hideMark/>
          </w:tcPr>
          <w:p w14:paraId="26ABCFF6" w14:textId="77777777" w:rsidR="006060C9" w:rsidRPr="00CE60B2" w:rsidRDefault="006060C9" w:rsidP="00C423D1">
            <w:pPr>
              <w:rPr>
                <w:rFonts w:cs="Segoe UI"/>
              </w:rPr>
            </w:pPr>
            <w:r w:rsidRPr="00CE60B2">
              <w:rPr>
                <w:rFonts w:cs="Segoe UI"/>
              </w:rPr>
              <w:t>Mt. Soho Swamps</w:t>
            </w:r>
          </w:p>
        </w:tc>
        <w:tc>
          <w:tcPr>
            <w:tcW w:w="958" w:type="dxa"/>
            <w:noWrap/>
            <w:hideMark/>
          </w:tcPr>
          <w:p w14:paraId="26ABCFF7" w14:textId="77777777" w:rsidR="006060C9" w:rsidRPr="00CE60B2" w:rsidRDefault="006060C9" w:rsidP="00C423D1">
            <w:pPr>
              <w:rPr>
                <w:rFonts w:cs="Segoe UI"/>
              </w:rPr>
            </w:pPr>
            <w:r w:rsidRPr="00CE60B2">
              <w:rPr>
                <w:rFonts w:cs="Segoe UI"/>
              </w:rPr>
              <w:t>330</w:t>
            </w:r>
          </w:p>
        </w:tc>
        <w:tc>
          <w:tcPr>
            <w:tcW w:w="884" w:type="dxa"/>
            <w:noWrap/>
            <w:hideMark/>
          </w:tcPr>
          <w:p w14:paraId="26ABCFF8" w14:textId="77777777" w:rsidR="006060C9" w:rsidRPr="00CE60B2" w:rsidRDefault="006060C9" w:rsidP="00C423D1">
            <w:pPr>
              <w:rPr>
                <w:rFonts w:cs="Segoe UI"/>
              </w:rPr>
            </w:pPr>
            <w:r w:rsidRPr="00CE60B2">
              <w:rPr>
                <w:rFonts w:cs="Segoe UI"/>
              </w:rPr>
              <w:t>330</w:t>
            </w:r>
          </w:p>
        </w:tc>
        <w:tc>
          <w:tcPr>
            <w:tcW w:w="993" w:type="dxa"/>
            <w:hideMark/>
          </w:tcPr>
          <w:p w14:paraId="26ABCFF9" w14:textId="77777777" w:rsidR="006060C9" w:rsidRPr="00CE60B2" w:rsidRDefault="006060C9" w:rsidP="00C423D1">
            <w:pPr>
              <w:rPr>
                <w:rFonts w:cs="Segoe UI"/>
              </w:rPr>
            </w:pPr>
            <w:r w:rsidRPr="00CE60B2">
              <w:rPr>
                <w:rFonts w:cs="Segoe UI"/>
              </w:rPr>
              <w:t>330</w:t>
            </w:r>
          </w:p>
        </w:tc>
        <w:tc>
          <w:tcPr>
            <w:tcW w:w="862" w:type="dxa"/>
            <w:hideMark/>
          </w:tcPr>
          <w:p w14:paraId="26ABCFFA" w14:textId="77777777" w:rsidR="006060C9" w:rsidRPr="00CE60B2" w:rsidRDefault="006060C9" w:rsidP="00C423D1">
            <w:pPr>
              <w:rPr>
                <w:rFonts w:cs="Segoe UI"/>
              </w:rPr>
            </w:pPr>
            <w:r w:rsidRPr="00CE60B2">
              <w:rPr>
                <w:rFonts w:cs="Segoe UI"/>
              </w:rPr>
              <w:t>0</w:t>
            </w:r>
          </w:p>
        </w:tc>
        <w:tc>
          <w:tcPr>
            <w:tcW w:w="1122" w:type="dxa"/>
            <w:hideMark/>
          </w:tcPr>
          <w:p w14:paraId="26ABCFFB" w14:textId="77777777" w:rsidR="006060C9" w:rsidRPr="00CE60B2" w:rsidRDefault="006060C9" w:rsidP="00C423D1">
            <w:pPr>
              <w:rPr>
                <w:rFonts w:cs="Segoe UI"/>
              </w:rPr>
            </w:pPr>
            <w:r w:rsidRPr="00CE60B2">
              <w:rPr>
                <w:rFonts w:cs="Segoe UI"/>
              </w:rPr>
              <w:t>0</w:t>
            </w:r>
          </w:p>
        </w:tc>
        <w:tc>
          <w:tcPr>
            <w:tcW w:w="985" w:type="dxa"/>
            <w:hideMark/>
          </w:tcPr>
          <w:p w14:paraId="26ABCFFC" w14:textId="77777777" w:rsidR="006060C9" w:rsidRPr="00CE60B2" w:rsidRDefault="006060C9" w:rsidP="00C423D1">
            <w:pPr>
              <w:rPr>
                <w:rFonts w:cs="Segoe UI"/>
              </w:rPr>
            </w:pPr>
            <w:r w:rsidRPr="00CE60B2">
              <w:rPr>
                <w:rFonts w:cs="Segoe UI"/>
              </w:rPr>
              <w:t>0</w:t>
            </w:r>
          </w:p>
        </w:tc>
      </w:tr>
      <w:tr w:rsidR="006060C9" w:rsidRPr="00CE60B2" w14:paraId="26ABD005" w14:textId="77777777" w:rsidTr="005D1FC2">
        <w:trPr>
          <w:trHeight w:val="300"/>
        </w:trPr>
        <w:tc>
          <w:tcPr>
            <w:tcW w:w="3256" w:type="dxa"/>
            <w:noWrap/>
            <w:hideMark/>
          </w:tcPr>
          <w:p w14:paraId="26ABCFFE" w14:textId="77777777" w:rsidR="006060C9" w:rsidRPr="00CE60B2" w:rsidRDefault="006060C9" w:rsidP="00C423D1">
            <w:pPr>
              <w:rPr>
                <w:rFonts w:cs="Segoe UI"/>
              </w:rPr>
            </w:pPr>
            <w:r w:rsidRPr="00CE60B2">
              <w:rPr>
                <w:rFonts w:cs="Segoe UI"/>
              </w:rPr>
              <w:t>Owingup Swamp System*</w:t>
            </w:r>
          </w:p>
        </w:tc>
        <w:tc>
          <w:tcPr>
            <w:tcW w:w="958" w:type="dxa"/>
            <w:noWrap/>
            <w:hideMark/>
          </w:tcPr>
          <w:p w14:paraId="26ABCFFF" w14:textId="77777777" w:rsidR="006060C9" w:rsidRPr="00CE60B2" w:rsidRDefault="006060C9" w:rsidP="00C423D1">
            <w:pPr>
              <w:rPr>
                <w:rFonts w:cs="Segoe UI"/>
              </w:rPr>
            </w:pPr>
            <w:r w:rsidRPr="00CE60B2">
              <w:rPr>
                <w:rFonts w:cs="Segoe UI"/>
              </w:rPr>
              <w:t>1,367</w:t>
            </w:r>
          </w:p>
        </w:tc>
        <w:tc>
          <w:tcPr>
            <w:tcW w:w="884" w:type="dxa"/>
            <w:noWrap/>
            <w:hideMark/>
          </w:tcPr>
          <w:p w14:paraId="26ABD000" w14:textId="77777777" w:rsidR="006060C9" w:rsidRPr="00CE60B2" w:rsidRDefault="006060C9" w:rsidP="00C423D1">
            <w:pPr>
              <w:rPr>
                <w:rFonts w:cs="Segoe UI"/>
              </w:rPr>
            </w:pPr>
            <w:r w:rsidRPr="00CE60B2">
              <w:rPr>
                <w:rFonts w:cs="Segoe UI"/>
              </w:rPr>
              <w:t>21</w:t>
            </w:r>
          </w:p>
        </w:tc>
        <w:tc>
          <w:tcPr>
            <w:tcW w:w="993" w:type="dxa"/>
            <w:hideMark/>
          </w:tcPr>
          <w:p w14:paraId="26ABD001" w14:textId="77777777" w:rsidR="006060C9" w:rsidRPr="00CE60B2" w:rsidRDefault="006060C9" w:rsidP="00C423D1">
            <w:pPr>
              <w:rPr>
                <w:rFonts w:cs="Segoe UI"/>
              </w:rPr>
            </w:pPr>
            <w:r w:rsidRPr="00CE60B2">
              <w:rPr>
                <w:rFonts w:cs="Segoe UI"/>
              </w:rPr>
              <w:t>0</w:t>
            </w:r>
          </w:p>
        </w:tc>
        <w:tc>
          <w:tcPr>
            <w:tcW w:w="862" w:type="dxa"/>
            <w:hideMark/>
          </w:tcPr>
          <w:p w14:paraId="26ABD002" w14:textId="77777777" w:rsidR="006060C9" w:rsidRPr="00CE60B2" w:rsidRDefault="006060C9" w:rsidP="00C423D1">
            <w:pPr>
              <w:rPr>
                <w:rFonts w:cs="Segoe UI"/>
              </w:rPr>
            </w:pPr>
            <w:r w:rsidRPr="00CE60B2">
              <w:rPr>
                <w:rFonts w:cs="Segoe UI"/>
              </w:rPr>
              <w:t>16</w:t>
            </w:r>
          </w:p>
        </w:tc>
        <w:tc>
          <w:tcPr>
            <w:tcW w:w="1122" w:type="dxa"/>
            <w:hideMark/>
          </w:tcPr>
          <w:p w14:paraId="26ABD003" w14:textId="77777777" w:rsidR="006060C9" w:rsidRPr="00CE60B2" w:rsidRDefault="006060C9" w:rsidP="00C423D1">
            <w:pPr>
              <w:rPr>
                <w:rFonts w:cs="Segoe UI"/>
              </w:rPr>
            </w:pPr>
            <w:r w:rsidRPr="00CE60B2">
              <w:rPr>
                <w:rFonts w:cs="Segoe UI"/>
              </w:rPr>
              <w:t>0</w:t>
            </w:r>
          </w:p>
        </w:tc>
        <w:tc>
          <w:tcPr>
            <w:tcW w:w="985" w:type="dxa"/>
            <w:hideMark/>
          </w:tcPr>
          <w:p w14:paraId="26ABD004" w14:textId="77777777" w:rsidR="006060C9" w:rsidRPr="00CE60B2" w:rsidRDefault="006060C9" w:rsidP="00C423D1">
            <w:pPr>
              <w:rPr>
                <w:rFonts w:cs="Segoe UI"/>
              </w:rPr>
            </w:pPr>
            <w:r w:rsidRPr="00CE60B2">
              <w:rPr>
                <w:rFonts w:cs="Segoe UI"/>
              </w:rPr>
              <w:t>5</w:t>
            </w:r>
          </w:p>
        </w:tc>
      </w:tr>
      <w:tr w:rsidR="006060C9" w:rsidRPr="00CE60B2" w14:paraId="26ABD00D" w14:textId="77777777" w:rsidTr="005D1FC2">
        <w:trPr>
          <w:trHeight w:val="300"/>
        </w:trPr>
        <w:tc>
          <w:tcPr>
            <w:tcW w:w="3256" w:type="dxa"/>
            <w:noWrap/>
            <w:hideMark/>
          </w:tcPr>
          <w:p w14:paraId="26ABD006" w14:textId="77777777" w:rsidR="006060C9" w:rsidRPr="00CE60B2" w:rsidRDefault="006060C9" w:rsidP="00C423D1">
            <w:pPr>
              <w:rPr>
                <w:rFonts w:cs="Segoe UI"/>
              </w:rPr>
            </w:pPr>
            <w:r w:rsidRPr="00CE60B2">
              <w:rPr>
                <w:rFonts w:cs="Segoe UI"/>
              </w:rPr>
              <w:t>Wannamal Lake System</w:t>
            </w:r>
          </w:p>
        </w:tc>
        <w:tc>
          <w:tcPr>
            <w:tcW w:w="958" w:type="dxa"/>
            <w:noWrap/>
            <w:hideMark/>
          </w:tcPr>
          <w:p w14:paraId="26ABD007" w14:textId="77777777" w:rsidR="006060C9" w:rsidRPr="00CE60B2" w:rsidRDefault="006060C9" w:rsidP="00C423D1">
            <w:pPr>
              <w:rPr>
                <w:rFonts w:cs="Segoe UI"/>
              </w:rPr>
            </w:pPr>
            <w:r w:rsidRPr="00CE60B2">
              <w:rPr>
                <w:rFonts w:cs="Segoe UI"/>
              </w:rPr>
              <w:t>827</w:t>
            </w:r>
          </w:p>
        </w:tc>
        <w:tc>
          <w:tcPr>
            <w:tcW w:w="884" w:type="dxa"/>
            <w:noWrap/>
            <w:hideMark/>
          </w:tcPr>
          <w:p w14:paraId="26ABD008" w14:textId="77777777" w:rsidR="006060C9" w:rsidRPr="00CE60B2" w:rsidRDefault="006060C9" w:rsidP="00C423D1">
            <w:pPr>
              <w:rPr>
                <w:rFonts w:cs="Segoe UI"/>
              </w:rPr>
            </w:pPr>
            <w:r w:rsidRPr="00CE60B2">
              <w:rPr>
                <w:rFonts w:cs="Segoe UI"/>
              </w:rPr>
              <w:t>669</w:t>
            </w:r>
          </w:p>
        </w:tc>
        <w:tc>
          <w:tcPr>
            <w:tcW w:w="993" w:type="dxa"/>
            <w:hideMark/>
          </w:tcPr>
          <w:p w14:paraId="26ABD009" w14:textId="77777777" w:rsidR="006060C9" w:rsidRPr="00CE60B2" w:rsidRDefault="006060C9" w:rsidP="00C423D1">
            <w:pPr>
              <w:rPr>
                <w:rFonts w:cs="Segoe UI"/>
              </w:rPr>
            </w:pPr>
            <w:r w:rsidRPr="00CE60B2">
              <w:rPr>
                <w:rFonts w:cs="Segoe UI"/>
              </w:rPr>
              <w:t>202</w:t>
            </w:r>
          </w:p>
        </w:tc>
        <w:tc>
          <w:tcPr>
            <w:tcW w:w="862" w:type="dxa"/>
            <w:hideMark/>
          </w:tcPr>
          <w:p w14:paraId="26ABD00A" w14:textId="77777777" w:rsidR="006060C9" w:rsidRPr="00CE60B2" w:rsidRDefault="006060C9" w:rsidP="00C423D1">
            <w:pPr>
              <w:rPr>
                <w:rFonts w:cs="Segoe UI"/>
              </w:rPr>
            </w:pPr>
            <w:r w:rsidRPr="00CE60B2">
              <w:rPr>
                <w:rFonts w:cs="Segoe UI"/>
              </w:rPr>
              <w:t>0</w:t>
            </w:r>
          </w:p>
        </w:tc>
        <w:tc>
          <w:tcPr>
            <w:tcW w:w="1122" w:type="dxa"/>
            <w:hideMark/>
          </w:tcPr>
          <w:p w14:paraId="26ABD00B" w14:textId="77777777" w:rsidR="006060C9" w:rsidRPr="00CE60B2" w:rsidRDefault="006060C9" w:rsidP="00C423D1">
            <w:pPr>
              <w:rPr>
                <w:rFonts w:cs="Segoe UI"/>
              </w:rPr>
            </w:pPr>
            <w:r w:rsidRPr="00CE60B2">
              <w:rPr>
                <w:rFonts w:cs="Segoe UI"/>
              </w:rPr>
              <w:t>0</w:t>
            </w:r>
          </w:p>
        </w:tc>
        <w:tc>
          <w:tcPr>
            <w:tcW w:w="985" w:type="dxa"/>
            <w:hideMark/>
          </w:tcPr>
          <w:p w14:paraId="26ABD00C" w14:textId="77777777" w:rsidR="006060C9" w:rsidRPr="00CE60B2" w:rsidRDefault="006060C9" w:rsidP="00C423D1">
            <w:pPr>
              <w:rPr>
                <w:rFonts w:cs="Segoe UI"/>
              </w:rPr>
            </w:pPr>
            <w:r w:rsidRPr="00CE60B2">
              <w:rPr>
                <w:rFonts w:cs="Segoe UI"/>
              </w:rPr>
              <w:t>9</w:t>
            </w:r>
          </w:p>
        </w:tc>
      </w:tr>
      <w:tr w:rsidR="006060C9" w:rsidRPr="00CE60B2" w14:paraId="26ABD015" w14:textId="77777777" w:rsidTr="005D1FC2">
        <w:trPr>
          <w:trHeight w:val="300"/>
        </w:trPr>
        <w:tc>
          <w:tcPr>
            <w:tcW w:w="3256" w:type="dxa"/>
            <w:noWrap/>
            <w:hideMark/>
          </w:tcPr>
          <w:p w14:paraId="26ABD00E" w14:textId="77777777" w:rsidR="006060C9" w:rsidRPr="00CE60B2" w:rsidRDefault="006060C9" w:rsidP="00C423D1">
            <w:pPr>
              <w:rPr>
                <w:rFonts w:cs="Segoe UI"/>
                <w:b/>
                <w:bCs/>
              </w:rPr>
            </w:pPr>
            <w:r w:rsidRPr="00CE60B2">
              <w:rPr>
                <w:rFonts w:cs="Segoe UI"/>
                <w:b/>
                <w:bCs/>
              </w:rPr>
              <w:t>TOTAL</w:t>
            </w:r>
          </w:p>
        </w:tc>
        <w:tc>
          <w:tcPr>
            <w:tcW w:w="958" w:type="dxa"/>
            <w:noWrap/>
            <w:hideMark/>
          </w:tcPr>
          <w:p w14:paraId="26ABD00F" w14:textId="77777777" w:rsidR="006060C9" w:rsidRPr="00CE60B2" w:rsidRDefault="006060C9" w:rsidP="00C423D1">
            <w:pPr>
              <w:rPr>
                <w:rFonts w:cs="Segoe UI"/>
                <w:b/>
                <w:bCs/>
              </w:rPr>
            </w:pPr>
            <w:r w:rsidRPr="00CE60B2">
              <w:rPr>
                <w:rFonts w:cs="Segoe UI"/>
                <w:b/>
                <w:bCs/>
              </w:rPr>
              <w:t>63,448</w:t>
            </w:r>
          </w:p>
        </w:tc>
        <w:tc>
          <w:tcPr>
            <w:tcW w:w="884" w:type="dxa"/>
            <w:noWrap/>
            <w:hideMark/>
          </w:tcPr>
          <w:p w14:paraId="26ABD010" w14:textId="77777777" w:rsidR="006060C9" w:rsidRPr="005D1FC2" w:rsidRDefault="006060C9" w:rsidP="00C423D1">
            <w:pPr>
              <w:rPr>
                <w:rFonts w:cs="Segoe UI"/>
                <w:b/>
                <w:bCs/>
                <w:sz w:val="21"/>
                <w:szCs w:val="21"/>
              </w:rPr>
            </w:pPr>
            <w:r w:rsidRPr="005D1FC2">
              <w:rPr>
                <w:rFonts w:cs="Segoe UI"/>
                <w:b/>
                <w:bCs/>
                <w:sz w:val="21"/>
                <w:szCs w:val="21"/>
              </w:rPr>
              <w:t>61,165</w:t>
            </w:r>
          </w:p>
        </w:tc>
        <w:tc>
          <w:tcPr>
            <w:tcW w:w="993" w:type="dxa"/>
            <w:noWrap/>
            <w:hideMark/>
          </w:tcPr>
          <w:p w14:paraId="26ABD011" w14:textId="77777777" w:rsidR="006060C9" w:rsidRPr="00CE60B2" w:rsidRDefault="006060C9" w:rsidP="00C423D1">
            <w:pPr>
              <w:rPr>
                <w:rFonts w:cs="Segoe UI"/>
                <w:b/>
                <w:bCs/>
              </w:rPr>
            </w:pPr>
            <w:r w:rsidRPr="00CE60B2">
              <w:rPr>
                <w:rFonts w:cs="Segoe UI"/>
                <w:b/>
                <w:bCs/>
              </w:rPr>
              <w:t>51,369</w:t>
            </w:r>
          </w:p>
        </w:tc>
        <w:tc>
          <w:tcPr>
            <w:tcW w:w="862" w:type="dxa"/>
            <w:noWrap/>
            <w:hideMark/>
          </w:tcPr>
          <w:p w14:paraId="26ABD012" w14:textId="77777777" w:rsidR="006060C9" w:rsidRPr="00CE60B2" w:rsidRDefault="006060C9" w:rsidP="00C423D1">
            <w:pPr>
              <w:rPr>
                <w:rFonts w:cs="Segoe UI"/>
                <w:b/>
                <w:bCs/>
              </w:rPr>
            </w:pPr>
            <w:r w:rsidRPr="00CE60B2">
              <w:rPr>
                <w:rFonts w:cs="Segoe UI"/>
                <w:b/>
                <w:bCs/>
              </w:rPr>
              <w:t>1,704</w:t>
            </w:r>
          </w:p>
        </w:tc>
        <w:tc>
          <w:tcPr>
            <w:tcW w:w="1122" w:type="dxa"/>
            <w:noWrap/>
            <w:hideMark/>
          </w:tcPr>
          <w:p w14:paraId="26ABD013" w14:textId="77777777" w:rsidR="006060C9" w:rsidRPr="00CE60B2" w:rsidRDefault="006060C9" w:rsidP="00C423D1">
            <w:pPr>
              <w:rPr>
                <w:rFonts w:cs="Segoe UI"/>
                <w:b/>
                <w:bCs/>
              </w:rPr>
            </w:pPr>
            <w:r w:rsidRPr="00CE60B2">
              <w:rPr>
                <w:rFonts w:cs="Segoe UI"/>
                <w:b/>
                <w:bCs/>
              </w:rPr>
              <w:t>136</w:t>
            </w:r>
          </w:p>
        </w:tc>
        <w:tc>
          <w:tcPr>
            <w:tcW w:w="985" w:type="dxa"/>
            <w:noWrap/>
            <w:hideMark/>
          </w:tcPr>
          <w:p w14:paraId="26ABD014" w14:textId="77777777" w:rsidR="006060C9" w:rsidRPr="00CE60B2" w:rsidRDefault="006060C9" w:rsidP="00C423D1">
            <w:pPr>
              <w:rPr>
                <w:rFonts w:cs="Segoe UI"/>
                <w:b/>
                <w:bCs/>
              </w:rPr>
            </w:pPr>
            <w:r w:rsidRPr="00CE60B2">
              <w:rPr>
                <w:rFonts w:cs="Segoe UI"/>
                <w:b/>
                <w:bCs/>
              </w:rPr>
              <w:t>273</w:t>
            </w:r>
          </w:p>
        </w:tc>
      </w:tr>
    </w:tbl>
    <w:p w14:paraId="26ABD016" w14:textId="77777777" w:rsidR="006060C9" w:rsidRPr="00640915" w:rsidRDefault="00640915" w:rsidP="00640915">
      <w:pPr>
        <w:spacing w:before="0" w:after="0"/>
        <w:rPr>
          <w:rFonts w:cs="Segoe UI"/>
          <w:sz w:val="18"/>
        </w:rPr>
      </w:pPr>
      <w:r w:rsidRPr="00640915">
        <w:rPr>
          <w:rFonts w:cs="Segoe UI"/>
          <w:sz w:val="18"/>
        </w:rPr>
        <w:t>" Partly contained within a registered Ramsar wetland</w:t>
      </w:r>
    </w:p>
    <w:p w14:paraId="26ABD017" w14:textId="77777777" w:rsidR="006060C9" w:rsidRPr="00640915" w:rsidRDefault="00640915" w:rsidP="00640915">
      <w:pPr>
        <w:spacing w:before="0" w:after="0"/>
        <w:rPr>
          <w:rFonts w:cs="Segoe UI"/>
          <w:sz w:val="18"/>
        </w:rPr>
      </w:pPr>
      <w:r w:rsidRPr="00640915">
        <w:rPr>
          <w:rFonts w:cs="Segoe UI"/>
          <w:sz w:val="18"/>
        </w:rPr>
        <w:t>^ Partly contained within a candidate Ramsar wetland</w:t>
      </w:r>
    </w:p>
    <w:p w14:paraId="26ABD018" w14:textId="77777777" w:rsidR="00640915" w:rsidRPr="00640915" w:rsidRDefault="00640915" w:rsidP="00640915">
      <w:pPr>
        <w:spacing w:before="0" w:after="0"/>
        <w:rPr>
          <w:rFonts w:cs="Segoe UI"/>
          <w:sz w:val="18"/>
        </w:rPr>
      </w:pPr>
      <w:r w:rsidRPr="00640915">
        <w:rPr>
          <w:rFonts w:cs="Segoe UI"/>
          <w:sz w:val="18"/>
        </w:rPr>
        <w:t>* Majority is outside RFA region</w:t>
      </w:r>
    </w:p>
    <w:p w14:paraId="26ABD019" w14:textId="77777777" w:rsidR="006060C9" w:rsidRPr="00CE60B2" w:rsidRDefault="006060C9" w:rsidP="008A4979">
      <w:pPr>
        <w:pStyle w:val="Heading4"/>
        <w:rPr>
          <w:rFonts w:cs="Segoe UI"/>
          <w:lang w:eastAsia="ja-JP"/>
        </w:rPr>
      </w:pPr>
      <w:r w:rsidRPr="00CE60B2">
        <w:rPr>
          <w:rFonts w:cs="Segoe UI"/>
          <w:lang w:eastAsia="ja-JP"/>
        </w:rPr>
        <w:t>Non-Ramsar wetland areas in RFA regions and the extent in terrestrial ecosystems, and in the CAR Reserve system</w:t>
      </w:r>
    </w:p>
    <w:p w14:paraId="26ABD01A" w14:textId="77777777" w:rsidR="006060C9" w:rsidRPr="00CE60B2" w:rsidRDefault="006060C9" w:rsidP="006060C9">
      <w:pPr>
        <w:rPr>
          <w:rFonts w:cs="Segoe UI"/>
          <w:lang w:eastAsia="ja-JP"/>
        </w:rPr>
      </w:pPr>
      <w:r w:rsidRPr="00CE60B2">
        <w:rPr>
          <w:rFonts w:cs="Segoe UI"/>
          <w:lang w:eastAsia="ja-JP"/>
        </w:rPr>
        <w:t>The extent of other wetland areas in the RFA area is depicted in the following map</w:t>
      </w:r>
      <w:r w:rsidR="00277731">
        <w:rPr>
          <w:rFonts w:cs="Segoe UI"/>
          <w:lang w:eastAsia="ja-JP"/>
        </w:rPr>
        <w:t xml:space="preserve"> (Figure 7)</w:t>
      </w:r>
      <w:r w:rsidRPr="00CE60B2">
        <w:rPr>
          <w:rFonts w:cs="Segoe UI"/>
          <w:lang w:eastAsia="ja-JP"/>
        </w:rPr>
        <w:t>.</w:t>
      </w:r>
    </w:p>
    <w:p w14:paraId="26ABD01B" w14:textId="77777777" w:rsidR="006060C9" w:rsidRPr="00CE60B2" w:rsidRDefault="006060C9" w:rsidP="006060C9">
      <w:pPr>
        <w:rPr>
          <w:rFonts w:cs="Segoe UI"/>
          <w:highlight w:val="cyan"/>
          <w:lang w:eastAsia="ja-JP"/>
        </w:rPr>
      </w:pPr>
    </w:p>
    <w:p w14:paraId="26ABD01C" w14:textId="77777777" w:rsidR="007E62B1" w:rsidRDefault="00655760" w:rsidP="007E62B1">
      <w:pPr>
        <w:keepNext/>
      </w:pPr>
      <w:r>
        <w:rPr>
          <w:noProof/>
          <w:lang w:eastAsia="en-AU"/>
        </w:rPr>
        <w:lastRenderedPageBreak/>
        <w:drawing>
          <wp:inline distT="0" distB="0" distL="0" distR="0" wp14:anchorId="26ABE25E" wp14:editId="26ABE25F">
            <wp:extent cx="5557523" cy="8128932"/>
            <wp:effectExtent l="0" t="0" r="508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2013" cy="8135499"/>
                    </a:xfrm>
                    <a:prstGeom prst="rect">
                      <a:avLst/>
                    </a:prstGeom>
                    <a:noFill/>
                    <a:ln>
                      <a:noFill/>
                    </a:ln>
                  </pic:spPr>
                </pic:pic>
              </a:graphicData>
            </a:graphic>
          </wp:inline>
        </w:drawing>
      </w:r>
    </w:p>
    <w:p w14:paraId="26ABD01D" w14:textId="598D87C7" w:rsidR="007E62B1" w:rsidRDefault="007E62B1" w:rsidP="007E62B1">
      <w:pPr>
        <w:pStyle w:val="Caption"/>
      </w:pPr>
      <w:bookmarkStart w:id="89" w:name="_Toc2776008"/>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7</w:t>
      </w:r>
      <w:r w:rsidR="0002253A">
        <w:rPr>
          <w:noProof/>
        </w:rPr>
        <w:fldChar w:fldCharType="end"/>
      </w:r>
      <w:r>
        <w:t xml:space="preserve">: </w:t>
      </w:r>
      <w:r w:rsidRPr="00E63CEE">
        <w:t>WA RFA region and wetlands in 2018</w:t>
      </w:r>
      <w:bookmarkEnd w:id="89"/>
    </w:p>
    <w:p w14:paraId="26ABD01E" w14:textId="7B860420" w:rsidR="006060C9" w:rsidRPr="005C4876" w:rsidRDefault="00443BD8" w:rsidP="007E62B1">
      <w:pPr>
        <w:rPr>
          <w:rFonts w:cs="Segoe UI"/>
          <w:sz w:val="20"/>
        </w:rPr>
      </w:pPr>
      <w:r>
        <w:rPr>
          <w:rFonts w:cs="Segoe UI"/>
          <w:sz w:val="16"/>
        </w:rPr>
        <w:t>Note: W</w:t>
      </w:r>
      <w:r w:rsidR="006060C9" w:rsidRPr="005C4876">
        <w:rPr>
          <w:rFonts w:cs="Segoe UI"/>
          <w:sz w:val="16"/>
        </w:rPr>
        <w:t xml:space="preserve">etland mapping </w:t>
      </w:r>
      <w:r>
        <w:rPr>
          <w:rFonts w:cs="Segoe UI"/>
          <w:sz w:val="16"/>
        </w:rPr>
        <w:t>is complete across</w:t>
      </w:r>
      <w:r w:rsidR="006060C9" w:rsidRPr="005C4876">
        <w:rPr>
          <w:rFonts w:cs="Segoe UI"/>
          <w:sz w:val="16"/>
        </w:rPr>
        <w:t xml:space="preserve"> over 85% of the area</w:t>
      </w:r>
      <w:r>
        <w:rPr>
          <w:rFonts w:cs="Segoe UI"/>
          <w:sz w:val="16"/>
        </w:rPr>
        <w:t>,</w:t>
      </w:r>
      <w:r w:rsidR="006060C9" w:rsidRPr="005C4876">
        <w:rPr>
          <w:rFonts w:cs="Segoe UI"/>
          <w:sz w:val="16"/>
        </w:rPr>
        <w:t xml:space="preserve"> with variable attributes contributing to delineation of boundaries and classification of wetland type</w:t>
      </w:r>
      <w:r>
        <w:rPr>
          <w:rFonts w:cs="Segoe UI"/>
          <w:sz w:val="16"/>
        </w:rPr>
        <w:t>.</w:t>
      </w:r>
      <w:r w:rsidR="005774C8">
        <w:rPr>
          <w:rFonts w:cs="Segoe UI"/>
          <w:sz w:val="16"/>
        </w:rPr>
        <w:t xml:space="preserve"> ‘RAMSAR site – draft’ represents ‘Candidate Ramsar Wetland’ in Table 16.</w:t>
      </w:r>
    </w:p>
    <w:p w14:paraId="26ABD01F" w14:textId="54E7FE5E" w:rsidR="006060C9" w:rsidRPr="00CE60B2" w:rsidRDefault="006060C9" w:rsidP="006060C9">
      <w:pPr>
        <w:rPr>
          <w:rFonts w:cs="Segoe UI"/>
        </w:rPr>
      </w:pPr>
      <w:r w:rsidRPr="00CE60B2">
        <w:rPr>
          <w:rFonts w:cs="Segoe UI"/>
        </w:rPr>
        <w:lastRenderedPageBreak/>
        <w:t xml:space="preserve">Monitoring of wetlands within the </w:t>
      </w:r>
      <w:r w:rsidR="00732DB6">
        <w:rPr>
          <w:rFonts w:cs="Segoe UI"/>
        </w:rPr>
        <w:t>WA </w:t>
      </w:r>
      <w:r w:rsidRPr="00CE60B2">
        <w:rPr>
          <w:rFonts w:cs="Segoe UI"/>
        </w:rPr>
        <w:t xml:space="preserve">RFA region is targeted on </w:t>
      </w:r>
      <w:r w:rsidR="00443BD8">
        <w:rPr>
          <w:rFonts w:cs="Segoe UI"/>
        </w:rPr>
        <w:t xml:space="preserve">those </w:t>
      </w:r>
      <w:r w:rsidRPr="00CE60B2">
        <w:rPr>
          <w:rFonts w:cs="Segoe UI"/>
        </w:rPr>
        <w:t>list</w:t>
      </w:r>
      <w:r w:rsidR="00443BD8">
        <w:rPr>
          <w:rFonts w:cs="Segoe UI"/>
        </w:rPr>
        <w:t>ed</w:t>
      </w:r>
      <w:r w:rsidRPr="00CE60B2">
        <w:rPr>
          <w:rFonts w:cs="Segoe UI"/>
        </w:rPr>
        <w:t xml:space="preserve"> under the Ramsar Convention</w:t>
      </w:r>
      <w:r w:rsidR="00443BD8">
        <w:rPr>
          <w:rFonts w:cs="Segoe UI"/>
        </w:rPr>
        <w:t>,</w:t>
      </w:r>
      <w:r w:rsidRPr="00CE60B2">
        <w:rPr>
          <w:rFonts w:cs="Segoe UI"/>
        </w:rPr>
        <w:t xml:space="preserve"> or </w:t>
      </w:r>
      <w:r w:rsidR="00443BD8">
        <w:rPr>
          <w:rFonts w:cs="Segoe UI"/>
        </w:rPr>
        <w:t xml:space="preserve">which </w:t>
      </w:r>
      <w:r w:rsidRPr="00CE60B2">
        <w:rPr>
          <w:rFonts w:cs="Segoe UI"/>
        </w:rPr>
        <w:t>have records of migratory bird species listed under Australia’s international migratory bird agreements (JAMBA</w:t>
      </w:r>
      <w:r w:rsidR="00963790">
        <w:rPr>
          <w:rFonts w:cs="Segoe UI"/>
        </w:rPr>
        <w:t xml:space="preserve"> (Japan-Australia Migratory Bird Agreement)</w:t>
      </w:r>
      <w:r w:rsidR="00963790" w:rsidRPr="00CE60B2">
        <w:rPr>
          <w:rFonts w:cs="Segoe UI"/>
        </w:rPr>
        <w:t>,</w:t>
      </w:r>
      <w:r w:rsidRPr="00CE60B2">
        <w:rPr>
          <w:rFonts w:cs="Segoe UI"/>
        </w:rPr>
        <w:t xml:space="preserve"> CAMBA</w:t>
      </w:r>
      <w:r w:rsidR="00963790">
        <w:rPr>
          <w:rFonts w:cs="Segoe UI"/>
        </w:rPr>
        <w:t xml:space="preserve"> (China-Australia Migratory Bird Agreement)</w:t>
      </w:r>
      <w:r w:rsidR="00963790" w:rsidRPr="00CE60B2">
        <w:rPr>
          <w:rFonts w:cs="Segoe UI"/>
        </w:rPr>
        <w:t>,</w:t>
      </w:r>
      <w:r w:rsidRPr="00CE60B2">
        <w:rPr>
          <w:rFonts w:cs="Segoe UI"/>
        </w:rPr>
        <w:t xml:space="preserve"> ROKAMBA</w:t>
      </w:r>
      <w:r w:rsidR="00963790">
        <w:rPr>
          <w:rFonts w:cs="Segoe UI"/>
        </w:rPr>
        <w:t xml:space="preserve"> (Republic of Korea-Australia Migratory Bird Agreement)</w:t>
      </w:r>
      <w:r w:rsidR="00963790" w:rsidRPr="00CE60B2">
        <w:rPr>
          <w:rFonts w:cs="Segoe UI"/>
        </w:rPr>
        <w:t>)</w:t>
      </w:r>
      <w:r w:rsidRPr="00CE60B2">
        <w:rPr>
          <w:rFonts w:cs="Segoe UI"/>
        </w:rPr>
        <w:t xml:space="preserve"> or other migratory species, threatened species and ecological communities listed under the </w:t>
      </w:r>
      <w:r w:rsidR="00732DB6">
        <w:rPr>
          <w:rFonts w:cs="Segoe UI"/>
        </w:rPr>
        <w:t>EPBC </w:t>
      </w:r>
      <w:r w:rsidR="00196B4D">
        <w:rPr>
          <w:rFonts w:cs="Segoe UI"/>
        </w:rPr>
        <w:t>Act</w:t>
      </w:r>
      <w:r w:rsidRPr="00CE60B2">
        <w:rPr>
          <w:rFonts w:cs="Segoe UI"/>
        </w:rPr>
        <w:t>. The South West Wetlands Monitoring Program (SWWMP) has been monitoring depth, salinity and pH in up to 50–200 wetlands continuously since 1978.</w:t>
      </w:r>
    </w:p>
    <w:p w14:paraId="26ABD020" w14:textId="77777777" w:rsidR="00AF064B" w:rsidRPr="00CE60B2" w:rsidRDefault="00DB510B" w:rsidP="008A4979">
      <w:pPr>
        <w:pStyle w:val="Heading3"/>
        <w:rPr>
          <w:lang w:eastAsia="en-AU"/>
        </w:rPr>
      </w:pPr>
      <w:bookmarkStart w:id="90" w:name="_Toc2776042"/>
      <w:r w:rsidRPr="00CE60B2">
        <w:t xml:space="preserve">Indicator </w:t>
      </w:r>
      <w:r w:rsidR="00AF064B" w:rsidRPr="00CE60B2">
        <w:rPr>
          <w:lang w:eastAsia="en-AU"/>
        </w:rPr>
        <w:t>4.1a</w:t>
      </w:r>
      <w:r w:rsidR="00AF064B" w:rsidRPr="00CE60B2">
        <w:rPr>
          <w:lang w:eastAsia="en-AU"/>
        </w:rPr>
        <w:tab/>
        <w:t>Area of forest land managed primarily for protective functions</w:t>
      </w:r>
      <w:bookmarkEnd w:id="87"/>
      <w:bookmarkEnd w:id="90"/>
    </w:p>
    <w:p w14:paraId="26ABD021" w14:textId="77777777" w:rsidR="00054FE5" w:rsidRPr="009C117A" w:rsidRDefault="00054FE5" w:rsidP="006060C9">
      <w:pPr>
        <w:autoSpaceDE w:val="0"/>
        <w:autoSpaceDN w:val="0"/>
        <w:adjustRightInd w:val="0"/>
        <w:spacing w:before="0" w:after="0"/>
        <w:rPr>
          <w:rFonts w:cs="Segoe UI"/>
          <w:i/>
        </w:rPr>
      </w:pPr>
      <w:bookmarkStart w:id="91" w:name="_Toc524952799"/>
      <w:r w:rsidRPr="009C117A">
        <w:rPr>
          <w:rFonts w:cs="Segoe UI"/>
          <w:i/>
        </w:rPr>
        <w:t>Public land</w:t>
      </w:r>
    </w:p>
    <w:p w14:paraId="26ABD022" w14:textId="77777777" w:rsidR="006060C9" w:rsidRPr="00CE60B2" w:rsidRDefault="006060C9" w:rsidP="006060C9">
      <w:pPr>
        <w:autoSpaceDE w:val="0"/>
        <w:autoSpaceDN w:val="0"/>
        <w:adjustRightInd w:val="0"/>
        <w:spacing w:before="0" w:after="0"/>
        <w:rPr>
          <w:rFonts w:cs="Segoe UI"/>
        </w:rPr>
      </w:pPr>
      <w:r w:rsidRPr="00CE60B2">
        <w:rPr>
          <w:rFonts w:cs="Segoe UI"/>
        </w:rPr>
        <w:t>The area of forest land where priority is given to protecting soil and hydrological functions provides an indication of the emphasis being placed by society on the conservation of these values. This indicator includes areas managed to protect soil and water by excluding incompatible activities.</w:t>
      </w:r>
    </w:p>
    <w:p w14:paraId="26ABD023" w14:textId="77777777" w:rsidR="006060C9" w:rsidRPr="00CE60B2" w:rsidRDefault="00732DB6" w:rsidP="006060C9">
      <w:pPr>
        <w:rPr>
          <w:rFonts w:cs="Segoe UI"/>
          <w:lang w:eastAsia="ja-JP"/>
        </w:rPr>
      </w:pPr>
      <w:r>
        <w:rPr>
          <w:rFonts w:cs="Segoe UI"/>
          <w:lang w:eastAsia="ja-JP"/>
        </w:rPr>
        <w:t>Throughout the WA </w:t>
      </w:r>
      <w:r w:rsidR="006060C9" w:rsidRPr="00CE60B2">
        <w:rPr>
          <w:rFonts w:cs="Segoe UI"/>
          <w:lang w:eastAsia="ja-JP"/>
        </w:rPr>
        <w:t xml:space="preserve">RFA region, soil and water resources are protected through the allocation of land for conservation and maintenance purposes. </w:t>
      </w:r>
      <w:r w:rsidR="006060C9" w:rsidRPr="00CE60B2">
        <w:rPr>
          <w:rFonts w:cs="Segoe UI"/>
        </w:rPr>
        <w:t>The area of forest land where priority is given to protecting soil and hydrological functions provides an indication of the emphasis being placed by society on the conservation of these values. This indicator includes areas managed to protect soil and water by excluding incompatible activities.</w:t>
      </w:r>
    </w:p>
    <w:p w14:paraId="26ABD024" w14:textId="77777777" w:rsidR="006060C9" w:rsidRPr="00CE60B2" w:rsidRDefault="006060C9" w:rsidP="006060C9">
      <w:pPr>
        <w:rPr>
          <w:rFonts w:cs="Segoe UI"/>
        </w:rPr>
      </w:pPr>
      <w:r w:rsidRPr="00CE60B2">
        <w:rPr>
          <w:rFonts w:cs="Segoe UI"/>
        </w:rPr>
        <w:t>In W</w:t>
      </w:r>
      <w:r w:rsidR="006474FE">
        <w:rPr>
          <w:rFonts w:cs="Segoe UI"/>
        </w:rPr>
        <w:t>A</w:t>
      </w:r>
      <w:r w:rsidRPr="00CE60B2">
        <w:rPr>
          <w:rFonts w:cs="Segoe UI"/>
        </w:rPr>
        <w:t xml:space="preserve"> the area managed for protective functions comprises all public nature conservation reserves; catchments managed specifically for water supply; and those parts of multiple-use public forests in which wood harvesting and road construction are not permitted. </w:t>
      </w:r>
    </w:p>
    <w:p w14:paraId="26ABD025" w14:textId="77777777" w:rsidR="00BD4173" w:rsidRDefault="006060C9" w:rsidP="006060C9">
      <w:pPr>
        <w:rPr>
          <w:rFonts w:cs="Segoe UI"/>
        </w:rPr>
      </w:pPr>
      <w:r w:rsidRPr="00CE60B2">
        <w:rPr>
          <w:rFonts w:cs="Segoe UI"/>
        </w:rPr>
        <w:t xml:space="preserve">Forested catchments are highly valued as sources of drinking water because forest vegetation, soil and litter serve as natural filters, and the quality of water flowing from such catchments is therefore usually very high. In the WA </w:t>
      </w:r>
      <w:r w:rsidR="00510035">
        <w:rPr>
          <w:rFonts w:cs="Segoe UI"/>
        </w:rPr>
        <w:t>RFA region approximately 48,040 </w:t>
      </w:r>
      <w:r w:rsidRPr="00CE60B2">
        <w:rPr>
          <w:rFonts w:cs="Segoe UI"/>
        </w:rPr>
        <w:t>hectares of forest are managed specifically for water supply in closed catchments from which human disturbance activitie</w:t>
      </w:r>
      <w:r w:rsidR="00510035">
        <w:rPr>
          <w:rFonts w:cs="Segoe UI"/>
        </w:rPr>
        <w:t>s are excluded. Another 204,130 </w:t>
      </w:r>
      <w:r w:rsidRPr="00CE60B2">
        <w:rPr>
          <w:rFonts w:cs="Segoe UI"/>
        </w:rPr>
        <w:t xml:space="preserve">hectares of forest in closed water catchments are available for timber harvesting, subject to </w:t>
      </w:r>
      <w:r w:rsidR="00277731">
        <w:rPr>
          <w:rFonts w:cs="Segoe UI"/>
        </w:rPr>
        <w:t>control</w:t>
      </w:r>
      <w:r w:rsidRPr="00CE60B2">
        <w:rPr>
          <w:rFonts w:cs="Segoe UI"/>
        </w:rPr>
        <w:t xml:space="preserve"> measures to protect soil and water values.</w:t>
      </w:r>
    </w:p>
    <w:p w14:paraId="26ABD026" w14:textId="77777777" w:rsidR="00BD4173" w:rsidRPr="00AD7CB5" w:rsidRDefault="00BD4173" w:rsidP="00707ECC">
      <w:pPr>
        <w:spacing w:after="0"/>
        <w:rPr>
          <w:i/>
        </w:rPr>
      </w:pPr>
      <w:r w:rsidRPr="00AD7CB5">
        <w:rPr>
          <w:i/>
        </w:rPr>
        <w:t>Private land</w:t>
      </w:r>
    </w:p>
    <w:p w14:paraId="26ABD027" w14:textId="77777777" w:rsidR="00BD4173" w:rsidRDefault="00BD4173" w:rsidP="00707ECC">
      <w:pPr>
        <w:spacing w:before="0"/>
      </w:pPr>
      <w:r>
        <w:t xml:space="preserve">Forest </w:t>
      </w:r>
      <w:r w:rsidR="00D853C5">
        <w:t>composition,</w:t>
      </w:r>
      <w:r>
        <w:t xml:space="preserve"> condition and structure on private land is not well recorded in Western Australia, however clearing of any native vegetation is strictly regulated via the </w:t>
      </w:r>
      <w:r w:rsidR="00510035">
        <w:rPr>
          <w:i/>
        </w:rPr>
        <w:t>Environmental Act </w:t>
      </w:r>
      <w:r w:rsidRPr="00CE3782">
        <w:rPr>
          <w:i/>
        </w:rPr>
        <w:t>1986</w:t>
      </w:r>
      <w:r>
        <w:t xml:space="preserve"> (EP Act) and the </w:t>
      </w:r>
      <w:r w:rsidRPr="00CE3782">
        <w:rPr>
          <w:i/>
        </w:rPr>
        <w:t>Environmental Protection (Clearing of Native Vegetation) Regulations 2004</w:t>
      </w:r>
      <w:r>
        <w:rPr>
          <w:i/>
        </w:rPr>
        <w:t xml:space="preserve"> </w:t>
      </w:r>
      <w:r>
        <w:t xml:space="preserve">(Clearing Regulations). </w:t>
      </w:r>
      <w:r w:rsidR="00D853C5">
        <w:t>C</w:t>
      </w:r>
      <w:r>
        <w:t xml:space="preserve">learing of native vegetation </w:t>
      </w:r>
      <w:r w:rsidR="00D853C5">
        <w:t>is authorised</w:t>
      </w:r>
      <w:r w:rsidR="00E7456F">
        <w:t xml:space="preserve"> </w:t>
      </w:r>
      <w:r>
        <w:t xml:space="preserve">only </w:t>
      </w:r>
      <w:r w:rsidR="00E7456F">
        <w:t>under</w:t>
      </w:r>
      <w:r>
        <w:t xml:space="preserve"> a clearing permit </w:t>
      </w:r>
      <w:r w:rsidR="00E7456F">
        <w:t>issued by</w:t>
      </w:r>
      <w:r>
        <w:t xml:space="preserve"> the Department of Water and Environmental Regulation (DWER) or if an exemption applies. Exemptions may be requirements of other written law or statutory process (Schedule 6 of the EP Act) or are routine land management practices as prescribed in the Clearing Regulations. Exemptions do not apply to environmentally sensitive areas (ESAs) as determined by the Minister for the Environment in accordance with section 51B of the EP Act.</w:t>
      </w:r>
    </w:p>
    <w:p w14:paraId="26ABD028" w14:textId="77777777" w:rsidR="00BD4173" w:rsidRDefault="00D3297A" w:rsidP="00BD4173">
      <w:r>
        <w:t>Approval under t</w:t>
      </w:r>
      <w:r w:rsidR="00BD4173">
        <w:t xml:space="preserve">he </w:t>
      </w:r>
      <w:r w:rsidR="00BD4173" w:rsidRPr="00C97369">
        <w:rPr>
          <w:i/>
        </w:rPr>
        <w:t>Country Areas Water Supply Act 1947</w:t>
      </w:r>
      <w:r w:rsidR="00BD4173">
        <w:t xml:space="preserve"> </w:t>
      </w:r>
      <w:r w:rsidR="00B977BE">
        <w:t xml:space="preserve">(WA) </w:t>
      </w:r>
      <w:r w:rsidR="00BD4173">
        <w:t xml:space="preserve">(CAWS Act) may also be required to clear native vegetation within a controlled catchment. There are six controlled </w:t>
      </w:r>
      <w:r w:rsidR="00BD4173">
        <w:lastRenderedPageBreak/>
        <w:t xml:space="preserve">catchments in WA, identified to protect water supply catchments from salinization that might be caused </w:t>
      </w:r>
      <w:r w:rsidR="00A93B48">
        <w:t>by</w:t>
      </w:r>
      <w:r w:rsidR="00BD4173">
        <w:t xml:space="preserve"> the clearing of native vegetation. If a clearing permit is issued under the EP</w:t>
      </w:r>
      <w:r w:rsidR="00B977BE">
        <w:t> </w:t>
      </w:r>
      <w:r w:rsidR="00BD4173">
        <w:t>Act, t</w:t>
      </w:r>
      <w:r w:rsidR="00B977BE">
        <w:t>hen a CAWS </w:t>
      </w:r>
      <w:r w:rsidR="00BD4173">
        <w:t>Act licence is generally not required</w:t>
      </w:r>
      <w:r w:rsidR="00A93B48">
        <w:t>. If</w:t>
      </w:r>
      <w:r w:rsidR="00BD4173">
        <w:t xml:space="preserve"> an EP Act exemption applies to </w:t>
      </w:r>
      <w:r w:rsidR="00A93B48">
        <w:t>a</w:t>
      </w:r>
      <w:r w:rsidR="00B977BE">
        <w:t xml:space="preserve"> clearing application, a CAWS </w:t>
      </w:r>
      <w:r w:rsidR="00BD4173">
        <w:t>Act licence will still be required (unless there</w:t>
      </w:r>
      <w:r w:rsidR="00B977BE">
        <w:t xml:space="preserve"> is an exemption under the CAWS </w:t>
      </w:r>
      <w:r w:rsidR="00BD4173">
        <w:t>Act).</w:t>
      </w:r>
    </w:p>
    <w:p w14:paraId="26ABD029" w14:textId="77777777" w:rsidR="00BD4173" w:rsidRDefault="00BD4173" w:rsidP="00BD4173">
      <w:r>
        <w:t xml:space="preserve">The state of Western Australia and the </w:t>
      </w:r>
      <w:r w:rsidR="00A93B48">
        <w:t>Australian Government</w:t>
      </w:r>
      <w:r>
        <w:t xml:space="preserve"> have entered into a bilateral agreement that allows the </w:t>
      </w:r>
      <w:r w:rsidR="00E7456F">
        <w:t>S</w:t>
      </w:r>
      <w:r>
        <w:t xml:space="preserve">tate to assess, on behalf of the </w:t>
      </w:r>
      <w:r w:rsidR="00E7456F">
        <w:t>C</w:t>
      </w:r>
      <w:r>
        <w:t>ommonwealth, whether or not applications for clearing native vegetation under the EP Act also require assessment under the EPBC</w:t>
      </w:r>
      <w:r w:rsidR="00B977BE">
        <w:t> </w:t>
      </w:r>
      <w:r>
        <w:t>Act. This agreement ensures that if a clearing activity has, or is going to have a significant impact on a matter of national environmental significance</w:t>
      </w:r>
      <w:r w:rsidR="00A93B48">
        <w:t>,</w:t>
      </w:r>
      <w:r>
        <w:t xml:space="preserve"> DWER can ensure the clearing activity is also compliant wi</w:t>
      </w:r>
      <w:r w:rsidR="00B977BE">
        <w:t>th the requirements of the EPBC </w:t>
      </w:r>
      <w:r>
        <w:t>Act (DER 2014).</w:t>
      </w:r>
    </w:p>
    <w:p w14:paraId="26ABD02A" w14:textId="77777777" w:rsidR="00811684" w:rsidRPr="006B0FFC" w:rsidRDefault="00DE7F93" w:rsidP="00BD4173">
      <w:r>
        <w:t>Managing a private native forest for sustainable wood production is subject to the same le</w:t>
      </w:r>
      <w:r w:rsidR="00811684">
        <w:t>g</w:t>
      </w:r>
      <w:r>
        <w:t>i</w:t>
      </w:r>
      <w:r w:rsidR="00811684">
        <w:t>s</w:t>
      </w:r>
      <w:r>
        <w:t xml:space="preserve">lation </w:t>
      </w:r>
      <w:r w:rsidR="00811684">
        <w:t xml:space="preserve">as clearing </w:t>
      </w:r>
      <w:r>
        <w:t>and requires a clearing perm</w:t>
      </w:r>
      <w:r w:rsidR="00811684">
        <w:t>i</w:t>
      </w:r>
      <w:r>
        <w:t>t under the EP Act. To sell products from private native forests a Commercial Producers Licence issued by DBCA under the WC Act (be</w:t>
      </w:r>
      <w:r w:rsidR="00E7456F">
        <w:t>ing</w:t>
      </w:r>
      <w:r>
        <w:t xml:space="preserve"> replaced by a Flora Supply Licence under the BC</w:t>
      </w:r>
      <w:r w:rsidR="00B977BE">
        <w:t> </w:t>
      </w:r>
      <w:r>
        <w:t>Act</w:t>
      </w:r>
      <w:r w:rsidR="00811684">
        <w:t xml:space="preserve">) is required. The publication </w:t>
      </w:r>
      <w:r w:rsidR="00811684" w:rsidRPr="006B0FFC">
        <w:rPr>
          <w:i/>
        </w:rPr>
        <w:t>Managing private native for</w:t>
      </w:r>
      <w:r w:rsidR="006B0FFC">
        <w:rPr>
          <w:i/>
        </w:rPr>
        <w:t>e</w:t>
      </w:r>
      <w:r w:rsidR="00811684" w:rsidRPr="006B0FFC">
        <w:rPr>
          <w:i/>
        </w:rPr>
        <w:t>sts and woodlands in the south-west of Western Australia: combining wood production and conservation</w:t>
      </w:r>
      <w:r w:rsidR="006B0FFC">
        <w:t xml:space="preserve"> was developed by the National Heritage Trust, CALM (</w:t>
      </w:r>
      <w:r w:rsidR="00E7456F">
        <w:t>a predecessor of DBCA</w:t>
      </w:r>
      <w:r w:rsidR="006B0FFC">
        <w:t xml:space="preserve">) and the FPC to assist landowners manage private native forests. The booklet provided information on how wood production could be undertaken in a way that protected conservation values as well as assisting landowners develop management plans to manage their private native forest. </w:t>
      </w:r>
    </w:p>
    <w:p w14:paraId="26ABD02B" w14:textId="77777777" w:rsidR="006060C9" w:rsidRPr="00FF0D54" w:rsidRDefault="00811684" w:rsidP="006060C9">
      <w:pPr>
        <w:rPr>
          <w:i/>
        </w:rPr>
      </w:pPr>
      <w:r>
        <w:t xml:space="preserve">The Forest Industries Federation of Western Australia (FIFWA) and the Australian Forest Growers encourage private plantation growers to apply the </w:t>
      </w:r>
      <w:r w:rsidRPr="00811684">
        <w:rPr>
          <w:i/>
        </w:rPr>
        <w:t>Code of Practice for Timber Plantations in Western Australia</w:t>
      </w:r>
      <w:r>
        <w:t xml:space="preserve">. This code assists landowners with the development of plantation management plans and is based upon the principles in </w:t>
      </w:r>
      <w:r w:rsidRPr="00811684">
        <w:rPr>
          <w:i/>
        </w:rPr>
        <w:t xml:space="preserve">Forest </w:t>
      </w:r>
      <w:r w:rsidR="008A4C96" w:rsidRPr="00811684">
        <w:rPr>
          <w:i/>
        </w:rPr>
        <w:t>P</w:t>
      </w:r>
      <w:r w:rsidR="008A4C96">
        <w:rPr>
          <w:i/>
        </w:rPr>
        <w:t>r</w:t>
      </w:r>
      <w:r w:rsidR="008A4C96" w:rsidRPr="00811684">
        <w:rPr>
          <w:i/>
        </w:rPr>
        <w:t>actices</w:t>
      </w:r>
      <w:r w:rsidRPr="00811684">
        <w:rPr>
          <w:i/>
        </w:rPr>
        <w:t xml:space="preserve"> Re</w:t>
      </w:r>
      <w:r>
        <w:rPr>
          <w:i/>
        </w:rPr>
        <w:t>l</w:t>
      </w:r>
      <w:r w:rsidRPr="00811684">
        <w:rPr>
          <w:i/>
        </w:rPr>
        <w:t>ated to Wood Production in Plantations: National Principles.</w:t>
      </w:r>
    </w:p>
    <w:p w14:paraId="26ABD02C" w14:textId="77777777" w:rsidR="00AF064B" w:rsidRPr="00CE60B2" w:rsidRDefault="00DB510B" w:rsidP="008A4979">
      <w:pPr>
        <w:pStyle w:val="Heading3"/>
        <w:rPr>
          <w:lang w:eastAsia="en-AU"/>
        </w:rPr>
      </w:pPr>
      <w:bookmarkStart w:id="92" w:name="_Toc2776043"/>
      <w:r w:rsidRPr="00CE60B2">
        <w:t xml:space="preserve">Indicator </w:t>
      </w:r>
      <w:r w:rsidR="00AF064B" w:rsidRPr="00CE60B2">
        <w:rPr>
          <w:lang w:eastAsia="en-AU"/>
        </w:rPr>
        <w:t>4.1b</w:t>
      </w:r>
      <w:r w:rsidR="00AF064B" w:rsidRPr="00CE60B2">
        <w:rPr>
          <w:lang w:eastAsia="en-AU"/>
        </w:rPr>
        <w:tab/>
        <w:t xml:space="preserve">Management of the risk </w:t>
      </w:r>
      <w:r w:rsidR="00427A57">
        <w:rPr>
          <w:lang w:eastAsia="en-AU"/>
        </w:rPr>
        <w:t xml:space="preserve">to soil and water values </w:t>
      </w:r>
      <w:r w:rsidR="00AF064B" w:rsidRPr="00CE60B2">
        <w:rPr>
          <w:lang w:eastAsia="en-AU"/>
        </w:rPr>
        <w:t>in forests</w:t>
      </w:r>
      <w:bookmarkEnd w:id="91"/>
      <w:bookmarkEnd w:id="92"/>
    </w:p>
    <w:p w14:paraId="26ABD02D" w14:textId="77777777" w:rsidR="00AE6EC1" w:rsidRDefault="00AE6EC1" w:rsidP="00510035">
      <w:pPr>
        <w:autoSpaceDE w:val="0"/>
        <w:autoSpaceDN w:val="0"/>
        <w:adjustRightInd w:val="0"/>
        <w:spacing w:after="0"/>
        <w:rPr>
          <w:rFonts w:eastAsia="Gill Sans MT" w:cs="Segoe UI"/>
        </w:rPr>
      </w:pPr>
      <w:r>
        <w:rPr>
          <w:rFonts w:eastAsia="Gill Sans MT" w:cs="Segoe UI"/>
        </w:rPr>
        <w:t xml:space="preserve">The </w:t>
      </w:r>
      <w:r w:rsidRPr="00E71303">
        <w:rPr>
          <w:rFonts w:eastAsia="Gill Sans MT" w:cs="Segoe UI"/>
        </w:rPr>
        <w:t>conservation of soil and water is intimately linked to the conservation of biodiversity, sustaining the productive capacity</w:t>
      </w:r>
      <w:r w:rsidR="00E7456F">
        <w:rPr>
          <w:rFonts w:eastAsia="Gill Sans MT" w:cs="Segoe UI"/>
        </w:rPr>
        <w:t>,</w:t>
      </w:r>
      <w:r w:rsidRPr="00E71303">
        <w:rPr>
          <w:rFonts w:eastAsia="Gill Sans MT" w:cs="Segoe UI"/>
        </w:rPr>
        <w:t xml:space="preserve"> health and vitality of ecosystems</w:t>
      </w:r>
      <w:r w:rsidR="00E7456F">
        <w:rPr>
          <w:rFonts w:eastAsia="Gill Sans MT" w:cs="Segoe UI"/>
        </w:rPr>
        <w:t>,</w:t>
      </w:r>
      <w:r>
        <w:rPr>
          <w:rFonts w:eastAsia="Gill Sans MT" w:cs="Segoe UI"/>
        </w:rPr>
        <w:t xml:space="preserve"> and </w:t>
      </w:r>
      <w:r w:rsidRPr="009D775E">
        <w:rPr>
          <w:rFonts w:eastAsia="Gill Sans MT" w:cs="Segoe UI"/>
        </w:rPr>
        <w:t>the value of the land to the culture and heritage of the Noongar</w:t>
      </w:r>
      <w:r>
        <w:rPr>
          <w:rFonts w:eastAsia="Gill Sans MT" w:cs="Segoe UI"/>
        </w:rPr>
        <w:t xml:space="preserve">. Since commencement of the WA RFA, the system for managing soil and water values established through </w:t>
      </w:r>
      <w:r w:rsidR="00E7456F">
        <w:rPr>
          <w:rFonts w:eastAsia="Gill Sans MT" w:cs="Segoe UI"/>
        </w:rPr>
        <w:t xml:space="preserve">the </w:t>
      </w:r>
      <w:r>
        <w:rPr>
          <w:rFonts w:eastAsia="Gill Sans MT" w:cs="Segoe UI"/>
        </w:rPr>
        <w:t>FMP</w:t>
      </w:r>
      <w:r w:rsidR="00B977BE">
        <w:rPr>
          <w:rFonts w:eastAsia="Gill Sans MT" w:cs="Segoe UI"/>
        </w:rPr>
        <w:t> </w:t>
      </w:r>
      <w:r w:rsidR="00E7456F">
        <w:rPr>
          <w:rFonts w:eastAsia="Gill Sans MT" w:cs="Segoe UI"/>
        </w:rPr>
        <w:t>20</w:t>
      </w:r>
      <w:r>
        <w:rPr>
          <w:rFonts w:eastAsia="Gill Sans MT" w:cs="Segoe UI"/>
        </w:rPr>
        <w:t>04</w:t>
      </w:r>
      <w:r w:rsidR="00B977BE">
        <w:rPr>
          <w:rFonts w:eastAsia="Gill Sans MT" w:cs="Segoe UI"/>
        </w:rPr>
        <w:noBreakHyphen/>
      </w:r>
      <w:r w:rsidR="00E7456F">
        <w:rPr>
          <w:rFonts w:eastAsia="Gill Sans MT" w:cs="Segoe UI"/>
        </w:rPr>
        <w:t>2013</w:t>
      </w:r>
      <w:r w:rsidR="00150FEA">
        <w:rPr>
          <w:rFonts w:eastAsia="Gill Sans MT" w:cs="Segoe UI"/>
        </w:rPr>
        <w:t xml:space="preserve"> and </w:t>
      </w:r>
      <w:r>
        <w:rPr>
          <w:rFonts w:eastAsia="Gill Sans MT" w:cs="Segoe UI"/>
        </w:rPr>
        <w:t>FMP</w:t>
      </w:r>
      <w:r w:rsidR="00B977BE">
        <w:rPr>
          <w:rFonts w:eastAsia="Gill Sans MT" w:cs="Segoe UI"/>
        </w:rPr>
        <w:t> </w:t>
      </w:r>
      <w:r w:rsidR="00E7456F">
        <w:rPr>
          <w:rFonts w:eastAsia="Gill Sans MT" w:cs="Segoe UI"/>
        </w:rPr>
        <w:t>20</w:t>
      </w:r>
      <w:r>
        <w:rPr>
          <w:rFonts w:eastAsia="Gill Sans MT" w:cs="Segoe UI"/>
        </w:rPr>
        <w:t>14</w:t>
      </w:r>
      <w:r w:rsidR="00B977BE">
        <w:rPr>
          <w:rFonts w:eastAsia="Gill Sans MT" w:cs="Segoe UI"/>
        </w:rPr>
        <w:noBreakHyphen/>
      </w:r>
      <w:r w:rsidR="00E7456F">
        <w:rPr>
          <w:rFonts w:eastAsia="Gill Sans MT" w:cs="Segoe UI"/>
        </w:rPr>
        <w:t>2023</w:t>
      </w:r>
      <w:r>
        <w:rPr>
          <w:rFonts w:eastAsia="Gill Sans MT" w:cs="Segoe UI"/>
        </w:rPr>
        <w:t xml:space="preserve"> has been updated and continually improved in response to factors such as the increased mechanisation of timber harvesting and changes in forest hydrology, groundwater and streamflow that have resulted from declining rainfall. The approach has been applied in an adaptive management framework which is supported by long term research programs, scientific and operational monitoring and developed in consultation with practitioners and stakeholders. A brief synopsis of past, present and future management of soil and water values is presented below in four key areas: soil physical properties, soil erosion, water quality and water quantity.</w:t>
      </w:r>
    </w:p>
    <w:p w14:paraId="26ABD02E" w14:textId="77777777" w:rsidR="00AE6EC1" w:rsidRPr="009D775E" w:rsidRDefault="00AE6EC1" w:rsidP="00510035">
      <w:pPr>
        <w:autoSpaceDE w:val="0"/>
        <w:autoSpaceDN w:val="0"/>
        <w:adjustRightInd w:val="0"/>
        <w:spacing w:after="0"/>
        <w:rPr>
          <w:rFonts w:eastAsia="Gill Sans MT" w:cs="Segoe UI"/>
          <w:b/>
        </w:rPr>
      </w:pPr>
      <w:r w:rsidRPr="009D775E">
        <w:rPr>
          <w:rFonts w:eastAsia="Gill Sans MT" w:cs="Segoe UI"/>
          <w:b/>
        </w:rPr>
        <w:t>Soil Physical Properties</w:t>
      </w:r>
    </w:p>
    <w:p w14:paraId="26ABD02F" w14:textId="77777777" w:rsidR="00AE6EC1" w:rsidRDefault="00E7456F" w:rsidP="00510035">
      <w:pPr>
        <w:autoSpaceDE w:val="0"/>
        <w:autoSpaceDN w:val="0"/>
        <w:adjustRightInd w:val="0"/>
        <w:spacing w:after="0"/>
        <w:rPr>
          <w:rFonts w:eastAsia="Gill Sans MT" w:cs="Segoe UI"/>
        </w:rPr>
      </w:pPr>
      <w:r>
        <w:rPr>
          <w:rFonts w:eastAsia="Gill Sans MT" w:cs="Segoe UI"/>
        </w:rPr>
        <w:t xml:space="preserve">The </w:t>
      </w:r>
      <w:r w:rsidR="00AE6EC1">
        <w:rPr>
          <w:rFonts w:eastAsia="Gill Sans MT" w:cs="Segoe UI"/>
        </w:rPr>
        <w:t>FMP</w:t>
      </w:r>
      <w:r w:rsidR="00B977BE">
        <w:rPr>
          <w:rFonts w:eastAsia="Gill Sans MT" w:cs="Segoe UI"/>
        </w:rPr>
        <w:t> </w:t>
      </w:r>
      <w:r>
        <w:rPr>
          <w:rFonts w:eastAsia="Gill Sans MT" w:cs="Segoe UI"/>
        </w:rPr>
        <w:t>20</w:t>
      </w:r>
      <w:r w:rsidR="00AE6EC1">
        <w:rPr>
          <w:rFonts w:eastAsia="Gill Sans MT" w:cs="Segoe UI"/>
        </w:rPr>
        <w:t>04</w:t>
      </w:r>
      <w:r w:rsidR="00B977BE">
        <w:rPr>
          <w:rFonts w:eastAsia="Gill Sans MT" w:cs="Segoe UI"/>
        </w:rPr>
        <w:noBreakHyphen/>
      </w:r>
      <w:r>
        <w:rPr>
          <w:rFonts w:eastAsia="Gill Sans MT" w:cs="Segoe UI"/>
        </w:rPr>
        <w:t>2013</w:t>
      </w:r>
      <w:r w:rsidR="00AE6EC1">
        <w:rPr>
          <w:rFonts w:eastAsia="Gill Sans MT" w:cs="Segoe UI"/>
        </w:rPr>
        <w:t xml:space="preserve"> </w:t>
      </w:r>
      <w:r>
        <w:rPr>
          <w:rFonts w:eastAsia="Gill Sans MT" w:cs="Segoe UI"/>
        </w:rPr>
        <w:t>aimed</w:t>
      </w:r>
      <w:r w:rsidR="00AE6EC1">
        <w:rPr>
          <w:rFonts w:eastAsia="Gill Sans MT" w:cs="Segoe UI"/>
        </w:rPr>
        <w:t xml:space="preserve"> to significantly reduce </w:t>
      </w:r>
      <w:r w:rsidR="00AE6EC1" w:rsidRPr="00CF06C7">
        <w:rPr>
          <w:rFonts w:eastAsia="Gill Sans MT" w:cs="Segoe UI"/>
        </w:rPr>
        <w:t xml:space="preserve">the extent and severity of soil disturbance associated with </w:t>
      </w:r>
      <w:r w:rsidR="00AE6EC1">
        <w:rPr>
          <w:rFonts w:eastAsia="Gill Sans MT" w:cs="Segoe UI"/>
        </w:rPr>
        <w:t xml:space="preserve">timber </w:t>
      </w:r>
      <w:r w:rsidR="00AE6EC1" w:rsidRPr="00CF06C7">
        <w:rPr>
          <w:rFonts w:eastAsia="Gill Sans MT" w:cs="Segoe UI"/>
        </w:rPr>
        <w:t>harvesting in native forest</w:t>
      </w:r>
      <w:r>
        <w:rPr>
          <w:rFonts w:eastAsia="Gill Sans MT" w:cs="Segoe UI"/>
        </w:rPr>
        <w:t>s</w:t>
      </w:r>
      <w:r w:rsidR="00AE6EC1">
        <w:rPr>
          <w:rFonts w:eastAsia="Gill Sans MT" w:cs="Segoe UI"/>
        </w:rPr>
        <w:t xml:space="preserve">. </w:t>
      </w:r>
      <w:r>
        <w:rPr>
          <w:rFonts w:eastAsia="Gill Sans MT" w:cs="Segoe UI"/>
        </w:rPr>
        <w:t xml:space="preserve">The </w:t>
      </w:r>
      <w:r w:rsidR="00B977BE">
        <w:rPr>
          <w:rFonts w:eastAsia="Gill Sans MT" w:cs="Segoe UI"/>
        </w:rPr>
        <w:t>FMP 2004</w:t>
      </w:r>
      <w:r w:rsidR="00B977BE">
        <w:rPr>
          <w:rFonts w:eastAsia="Gill Sans MT" w:cs="Segoe UI"/>
        </w:rPr>
        <w:noBreakHyphen/>
      </w:r>
      <w:r w:rsidR="000D7979">
        <w:rPr>
          <w:rFonts w:eastAsia="Gill Sans MT" w:cs="Segoe UI"/>
        </w:rPr>
        <w:t>2013</w:t>
      </w:r>
      <w:r w:rsidR="00AE6EC1">
        <w:rPr>
          <w:rFonts w:eastAsia="Gill Sans MT" w:cs="Segoe UI"/>
        </w:rPr>
        <w:t xml:space="preserve"> and </w:t>
      </w:r>
      <w:r>
        <w:rPr>
          <w:rFonts w:eastAsia="Gill Sans MT" w:cs="Segoe UI"/>
        </w:rPr>
        <w:t>supporting</w:t>
      </w:r>
      <w:r w:rsidR="00AE6EC1">
        <w:rPr>
          <w:rFonts w:eastAsia="Gill Sans MT" w:cs="Segoe UI"/>
        </w:rPr>
        <w:t xml:space="preserve"> guidance documents </w:t>
      </w:r>
      <w:r>
        <w:rPr>
          <w:rFonts w:eastAsia="Gill Sans MT" w:cs="Segoe UI"/>
        </w:rPr>
        <w:t>provided improved</w:t>
      </w:r>
      <w:r w:rsidR="00AE6EC1" w:rsidRPr="00CF06C7">
        <w:rPr>
          <w:rFonts w:eastAsia="Gill Sans MT" w:cs="Segoe UI"/>
        </w:rPr>
        <w:t xml:space="preserve"> definition </w:t>
      </w:r>
      <w:r w:rsidR="00AE6EC1">
        <w:rPr>
          <w:rFonts w:eastAsia="Gill Sans MT" w:cs="Segoe UI"/>
        </w:rPr>
        <w:t>o</w:t>
      </w:r>
      <w:r>
        <w:rPr>
          <w:rFonts w:eastAsia="Gill Sans MT" w:cs="Segoe UI"/>
        </w:rPr>
        <w:t>f</w:t>
      </w:r>
      <w:r w:rsidR="00AE6EC1">
        <w:rPr>
          <w:rFonts w:eastAsia="Gill Sans MT" w:cs="Segoe UI"/>
        </w:rPr>
        <w:t xml:space="preserve"> </w:t>
      </w:r>
      <w:r>
        <w:rPr>
          <w:rFonts w:eastAsia="Gill Sans MT" w:cs="Segoe UI"/>
        </w:rPr>
        <w:t xml:space="preserve">the </w:t>
      </w:r>
      <w:r w:rsidR="00AE6EC1" w:rsidRPr="00CF06C7">
        <w:rPr>
          <w:rFonts w:eastAsia="Gill Sans MT" w:cs="Segoe UI"/>
        </w:rPr>
        <w:t xml:space="preserve">severity of </w:t>
      </w:r>
      <w:r>
        <w:rPr>
          <w:rFonts w:eastAsia="Gill Sans MT" w:cs="Segoe UI"/>
        </w:rPr>
        <w:t xml:space="preserve">soil </w:t>
      </w:r>
      <w:r w:rsidR="00AE6EC1" w:rsidRPr="00CF06C7">
        <w:rPr>
          <w:rFonts w:eastAsia="Gill Sans MT" w:cs="Segoe UI"/>
        </w:rPr>
        <w:t>damage, introduc</w:t>
      </w:r>
      <w:r>
        <w:rPr>
          <w:rFonts w:eastAsia="Gill Sans MT" w:cs="Segoe UI"/>
        </w:rPr>
        <w:t>ed</w:t>
      </w:r>
      <w:r w:rsidR="00AE6EC1" w:rsidRPr="00CF06C7">
        <w:rPr>
          <w:rFonts w:eastAsia="Gill Sans MT" w:cs="Segoe UI"/>
        </w:rPr>
        <w:t xml:space="preserve"> </w:t>
      </w:r>
      <w:r w:rsidR="00AE6EC1">
        <w:rPr>
          <w:rFonts w:eastAsia="Gill Sans MT" w:cs="Segoe UI"/>
        </w:rPr>
        <w:t>soil disturbance limits</w:t>
      </w:r>
      <w:r w:rsidR="00A65AAA">
        <w:rPr>
          <w:rFonts w:eastAsia="Gill Sans MT" w:cs="Segoe UI"/>
        </w:rPr>
        <w:t xml:space="preserve"> </w:t>
      </w:r>
      <w:r w:rsidR="00D9052D">
        <w:rPr>
          <w:rFonts w:eastAsia="Gill Sans MT" w:cs="Segoe UI"/>
        </w:rPr>
        <w:t>and</w:t>
      </w:r>
      <w:r w:rsidR="00AE6EC1" w:rsidRPr="00CF06C7">
        <w:rPr>
          <w:rFonts w:eastAsia="Gill Sans MT" w:cs="Segoe UI"/>
        </w:rPr>
        <w:t xml:space="preserve"> a precautionary approach</w:t>
      </w:r>
      <w:r w:rsidR="00D9052D">
        <w:rPr>
          <w:rFonts w:eastAsia="Gill Sans MT" w:cs="Segoe UI"/>
        </w:rPr>
        <w:t xml:space="preserve"> to planning harvest operations</w:t>
      </w:r>
      <w:r w:rsidR="00A65AAA">
        <w:rPr>
          <w:rFonts w:eastAsia="Gill Sans MT" w:cs="Segoe UI"/>
        </w:rPr>
        <w:t>.</w:t>
      </w:r>
      <w:r w:rsidR="005C3485">
        <w:rPr>
          <w:rFonts w:eastAsia="Gill Sans MT" w:cs="Segoe UI"/>
        </w:rPr>
        <w:t xml:space="preserve"> </w:t>
      </w:r>
      <w:r w:rsidR="00A65AAA">
        <w:rPr>
          <w:rFonts w:eastAsia="Gill Sans MT" w:cs="Segoe UI"/>
        </w:rPr>
        <w:t>A</w:t>
      </w:r>
      <w:r w:rsidR="00AE6EC1">
        <w:rPr>
          <w:rFonts w:eastAsia="Gill Sans MT" w:cs="Segoe UI"/>
        </w:rPr>
        <w:t xml:space="preserve"> risk-</w:t>
      </w:r>
      <w:r w:rsidR="00AE6EC1">
        <w:rPr>
          <w:rFonts w:eastAsia="Gill Sans MT" w:cs="Segoe UI"/>
        </w:rPr>
        <w:lastRenderedPageBreak/>
        <w:t xml:space="preserve">based approach was developed </w:t>
      </w:r>
      <w:r w:rsidR="00A65AAA">
        <w:rPr>
          <w:rFonts w:eastAsia="Gill Sans MT" w:cs="Segoe UI"/>
        </w:rPr>
        <w:t xml:space="preserve">to </w:t>
      </w:r>
      <w:r w:rsidR="00D9052D">
        <w:rPr>
          <w:rFonts w:eastAsia="Gill Sans MT" w:cs="Segoe UI"/>
        </w:rPr>
        <w:t xml:space="preserve">control access for harvesting under </w:t>
      </w:r>
      <w:r w:rsidR="00AE6EC1">
        <w:rPr>
          <w:rFonts w:eastAsia="Gill Sans MT" w:cs="Segoe UI"/>
        </w:rPr>
        <w:t xml:space="preserve">moist soil </w:t>
      </w:r>
      <w:r w:rsidR="00D9052D">
        <w:rPr>
          <w:rFonts w:eastAsia="Gill Sans MT" w:cs="Segoe UI"/>
        </w:rPr>
        <w:t>conditions,</w:t>
      </w:r>
      <w:r w:rsidR="00AE6EC1">
        <w:rPr>
          <w:rFonts w:eastAsia="Gill Sans MT" w:cs="Segoe UI"/>
        </w:rPr>
        <w:t xml:space="preserve"> based on a soil trafficability index. </w:t>
      </w:r>
      <w:r w:rsidR="00AE6EC1" w:rsidRPr="00C8317C">
        <w:rPr>
          <w:rFonts w:eastAsia="Gill Sans MT" w:cs="Segoe UI"/>
        </w:rPr>
        <w:t xml:space="preserve">The Trafficability Index </w:t>
      </w:r>
      <w:r w:rsidR="00D9052D">
        <w:rPr>
          <w:rFonts w:eastAsia="Gill Sans MT" w:cs="Segoe UI"/>
        </w:rPr>
        <w:t>is</w:t>
      </w:r>
      <w:r w:rsidR="00AE6EC1" w:rsidRPr="00C8317C">
        <w:rPr>
          <w:rFonts w:eastAsia="Gill Sans MT" w:cs="Segoe UI"/>
        </w:rPr>
        <w:t xml:space="preserve"> based on the </w:t>
      </w:r>
      <w:r w:rsidR="00AE6EC1">
        <w:rPr>
          <w:rFonts w:eastAsia="Gill Sans MT" w:cs="Segoe UI"/>
        </w:rPr>
        <w:t xml:space="preserve">water balance </w:t>
      </w:r>
      <w:r w:rsidR="00AE6EC1" w:rsidRPr="00C8317C">
        <w:rPr>
          <w:rFonts w:eastAsia="Gill Sans MT" w:cs="Segoe UI"/>
        </w:rPr>
        <w:t xml:space="preserve">method described by Mount (1972) for the 'Soil Dryness Index' </w:t>
      </w:r>
      <w:r w:rsidR="00AE6EC1">
        <w:rPr>
          <w:rFonts w:eastAsia="Gill Sans MT" w:cs="Segoe UI"/>
        </w:rPr>
        <w:t xml:space="preserve">and </w:t>
      </w:r>
      <w:r w:rsidR="00AE6EC1" w:rsidRPr="00C8317C">
        <w:rPr>
          <w:rFonts w:eastAsia="Gill Sans MT" w:cs="Segoe UI"/>
        </w:rPr>
        <w:t xml:space="preserve">adapted by the Bureau of Meteorology for conditions in </w:t>
      </w:r>
      <w:r w:rsidR="00D9052D">
        <w:rPr>
          <w:rFonts w:eastAsia="Gill Sans MT" w:cs="Segoe UI"/>
        </w:rPr>
        <w:t xml:space="preserve">the </w:t>
      </w:r>
      <w:r w:rsidR="00AE6EC1" w:rsidRPr="00C8317C">
        <w:rPr>
          <w:rFonts w:eastAsia="Gill Sans MT" w:cs="Segoe UI"/>
        </w:rPr>
        <w:t>south</w:t>
      </w:r>
      <w:r w:rsidR="00D9052D">
        <w:rPr>
          <w:rFonts w:eastAsia="Gill Sans MT" w:cs="Segoe UI"/>
        </w:rPr>
        <w:t>-</w:t>
      </w:r>
      <w:r w:rsidR="00AE6EC1" w:rsidRPr="00C8317C">
        <w:rPr>
          <w:rFonts w:eastAsia="Gill Sans MT" w:cs="Segoe UI"/>
        </w:rPr>
        <w:t xml:space="preserve">west. </w:t>
      </w:r>
      <w:r w:rsidR="00D9052D">
        <w:rPr>
          <w:rFonts w:eastAsia="Gill Sans MT" w:cs="Segoe UI"/>
        </w:rPr>
        <w:t xml:space="preserve">The index is calculated daily for every coupe </w:t>
      </w:r>
      <w:r w:rsidR="002D56EB">
        <w:rPr>
          <w:rFonts w:eastAsia="Gill Sans MT" w:cs="Segoe UI"/>
        </w:rPr>
        <w:t>using forest</w:t>
      </w:r>
      <w:r w:rsidR="00AE6EC1">
        <w:rPr>
          <w:rFonts w:eastAsia="Gill Sans MT" w:cs="Segoe UI"/>
        </w:rPr>
        <w:t xml:space="preserve"> type</w:t>
      </w:r>
      <w:r w:rsidR="00D9052D">
        <w:rPr>
          <w:rFonts w:eastAsia="Gill Sans MT" w:cs="Segoe UI"/>
        </w:rPr>
        <w:t>,</w:t>
      </w:r>
      <w:r w:rsidR="00AE6EC1">
        <w:rPr>
          <w:rFonts w:eastAsia="Gill Sans MT" w:cs="Segoe UI"/>
        </w:rPr>
        <w:t xml:space="preserve"> daily</w:t>
      </w:r>
      <w:r w:rsidR="00AE6EC1" w:rsidRPr="00C8317C">
        <w:rPr>
          <w:rFonts w:eastAsia="Gill Sans MT" w:cs="Segoe UI"/>
        </w:rPr>
        <w:t xml:space="preserve"> rainfall and temperature data</w:t>
      </w:r>
      <w:r w:rsidR="00AE6EC1">
        <w:rPr>
          <w:rFonts w:eastAsia="Gill Sans MT" w:cs="Segoe UI"/>
        </w:rPr>
        <w:t xml:space="preserve"> and </w:t>
      </w:r>
      <w:r w:rsidR="00D9052D">
        <w:rPr>
          <w:rFonts w:eastAsia="Gill Sans MT" w:cs="Segoe UI"/>
        </w:rPr>
        <w:t>informs decisions on access by DBCA,</w:t>
      </w:r>
      <w:r w:rsidR="00AE6EC1">
        <w:rPr>
          <w:rFonts w:eastAsia="Gill Sans MT" w:cs="Segoe UI"/>
        </w:rPr>
        <w:t xml:space="preserve"> FPC and harvest contractors</w:t>
      </w:r>
      <w:r w:rsidR="00D9052D">
        <w:rPr>
          <w:rFonts w:eastAsia="Gill Sans MT" w:cs="Segoe UI"/>
        </w:rPr>
        <w:t>.</w:t>
      </w:r>
      <w:r w:rsidR="00AE6EC1">
        <w:rPr>
          <w:rFonts w:eastAsia="Gill Sans MT" w:cs="Segoe UI"/>
        </w:rPr>
        <w:t xml:space="preserve"> </w:t>
      </w:r>
      <w:r w:rsidR="00D9052D">
        <w:rPr>
          <w:rFonts w:eastAsia="Gill Sans MT" w:cs="Segoe UI"/>
        </w:rPr>
        <w:t>The system was further refined i</w:t>
      </w:r>
      <w:r w:rsidR="00AE6EC1">
        <w:rPr>
          <w:rFonts w:eastAsia="Gill Sans MT" w:cs="Segoe UI"/>
        </w:rPr>
        <w:t>n 2006</w:t>
      </w:r>
      <w:r w:rsidR="00D9052D">
        <w:rPr>
          <w:rFonts w:eastAsia="Gill Sans MT" w:cs="Segoe UI"/>
        </w:rPr>
        <w:t xml:space="preserve"> (</w:t>
      </w:r>
      <w:r w:rsidR="00AE6EC1">
        <w:rPr>
          <w:rFonts w:eastAsia="Gill Sans MT" w:cs="Segoe UI"/>
        </w:rPr>
        <w:t xml:space="preserve">following a review of factors affecting disturbance of soil (Rab </w:t>
      </w:r>
      <w:r w:rsidR="00AE6EC1" w:rsidRPr="00385108">
        <w:rPr>
          <w:rFonts w:eastAsia="Gill Sans MT" w:cs="Segoe UI"/>
          <w:i/>
        </w:rPr>
        <w:t>et. al</w:t>
      </w:r>
      <w:r w:rsidR="00AE6EC1">
        <w:rPr>
          <w:rFonts w:eastAsia="Gill Sans MT" w:cs="Segoe UI"/>
        </w:rPr>
        <w:t>, 2005)</w:t>
      </w:r>
      <w:r w:rsidR="00D9052D">
        <w:rPr>
          <w:rFonts w:eastAsia="Gill Sans MT" w:cs="Segoe UI"/>
        </w:rPr>
        <w:t>)</w:t>
      </w:r>
      <w:r w:rsidR="00DD41BF">
        <w:rPr>
          <w:rFonts w:eastAsia="Gill Sans MT" w:cs="Segoe UI"/>
        </w:rPr>
        <w:t xml:space="preserve"> </w:t>
      </w:r>
      <w:r w:rsidR="00AE6EC1">
        <w:rPr>
          <w:rFonts w:eastAsia="Gill Sans MT" w:cs="Segoe UI"/>
        </w:rPr>
        <w:t xml:space="preserve">to focus on soil types with the greatest capacity to sustain heavy vehicle traffic during winter. Approval to harvest during moist soil conditions is </w:t>
      </w:r>
      <w:r w:rsidR="00D9052D">
        <w:rPr>
          <w:rFonts w:eastAsia="Gill Sans MT" w:cs="Segoe UI"/>
        </w:rPr>
        <w:t>governed</w:t>
      </w:r>
      <w:r w:rsidR="00AE6EC1">
        <w:rPr>
          <w:rFonts w:eastAsia="Gill Sans MT" w:cs="Segoe UI"/>
        </w:rPr>
        <w:t xml:space="preserve"> by a two-stage approvals process, and approval to harvest at all times of year is supported by requirements to conduct monitoring and manage each harvest cell within allowable limits of soil disturbance. </w:t>
      </w:r>
    </w:p>
    <w:p w14:paraId="26ABD030" w14:textId="187B9C02" w:rsidR="00AE6EC1" w:rsidRDefault="00AE6EC1" w:rsidP="00510035">
      <w:pPr>
        <w:autoSpaceDE w:val="0"/>
        <w:autoSpaceDN w:val="0"/>
        <w:adjustRightInd w:val="0"/>
        <w:spacing w:after="0"/>
        <w:rPr>
          <w:rFonts w:eastAsia="Gill Sans MT" w:cs="Segoe UI"/>
        </w:rPr>
      </w:pPr>
      <w:r>
        <w:rPr>
          <w:rFonts w:eastAsia="Gill Sans MT" w:cs="Segoe UI"/>
        </w:rPr>
        <w:t xml:space="preserve">The collective suite of requirements including templates for monitoring and approvals are prescribed in the </w:t>
      </w:r>
      <w:r w:rsidRPr="00CA2B99">
        <w:rPr>
          <w:rFonts w:eastAsia="Gill Sans MT" w:cs="Segoe UI"/>
          <w:i/>
        </w:rPr>
        <w:t>Manual of Procedures for the Management of Soils Associated with Timber Harvesting in Native Forests</w:t>
      </w:r>
      <w:r>
        <w:rPr>
          <w:rFonts w:eastAsia="Gill Sans MT" w:cs="Segoe UI"/>
        </w:rPr>
        <w:t xml:space="preserve"> (Department of Parks and Wildlife, 2015) which was first published in 2004 and has undergone continual review and improvement, being revised in </w:t>
      </w:r>
      <w:r w:rsidRPr="00051C95">
        <w:rPr>
          <w:rFonts w:eastAsia="Gill Sans MT" w:cs="Segoe UI"/>
        </w:rPr>
        <w:t>2005</w:t>
      </w:r>
      <w:r>
        <w:rPr>
          <w:rFonts w:eastAsia="Gill Sans MT" w:cs="Segoe UI"/>
        </w:rPr>
        <w:t xml:space="preserve">, 2006 (June and September), 2007, 2009, 2010 and 2015. The manual is supported at a policy level by the </w:t>
      </w:r>
      <w:r w:rsidRPr="00CA2B99">
        <w:rPr>
          <w:rFonts w:eastAsia="Gill Sans MT" w:cs="Segoe UI"/>
          <w:i/>
        </w:rPr>
        <w:t>Soil and Water Conservation Guideline</w:t>
      </w:r>
      <w:r>
        <w:rPr>
          <w:rFonts w:eastAsia="Gill Sans MT" w:cs="Segoe UI"/>
        </w:rPr>
        <w:t xml:space="preserve"> (Department </w:t>
      </w:r>
      <w:r w:rsidR="00510035">
        <w:rPr>
          <w:rFonts w:eastAsia="Gill Sans MT" w:cs="Segoe UI"/>
        </w:rPr>
        <w:t>of Environment and Conservation </w:t>
      </w:r>
      <w:r>
        <w:rPr>
          <w:rFonts w:eastAsia="Gill Sans MT" w:cs="Segoe UI"/>
        </w:rPr>
        <w:t>2009) and at the operational level by various procedures and Advisory Notes for monitoring and compliance management (such as Depart</w:t>
      </w:r>
      <w:r w:rsidRPr="00B5500B">
        <w:rPr>
          <w:rFonts w:eastAsia="Gill Sans MT" w:cs="Segoe UI"/>
        </w:rPr>
        <w:t>ment of Parks and Wildlife</w:t>
      </w:r>
      <w:r w:rsidR="00A43AEF">
        <w:rPr>
          <w:rFonts w:eastAsia="Gill Sans MT" w:cs="Segoe UI"/>
        </w:rPr>
        <w:t>,</w:t>
      </w:r>
      <w:r w:rsidRPr="00B5500B">
        <w:rPr>
          <w:rFonts w:eastAsia="Gill Sans MT" w:cs="Segoe UI"/>
        </w:rPr>
        <w:t xml:space="preserve"> 2016</w:t>
      </w:r>
      <w:r>
        <w:rPr>
          <w:rFonts w:eastAsia="Gill Sans MT" w:cs="Segoe UI"/>
        </w:rPr>
        <w:t>). The substantial investment by b</w:t>
      </w:r>
      <w:r w:rsidRPr="006F6D23">
        <w:rPr>
          <w:rFonts w:eastAsia="Gill Sans MT" w:cs="Segoe UI"/>
        </w:rPr>
        <w:t xml:space="preserve">oth the </w:t>
      </w:r>
      <w:r w:rsidR="005C3485">
        <w:rPr>
          <w:rFonts w:eastAsia="Gill Sans MT" w:cs="Segoe UI"/>
        </w:rPr>
        <w:t>then DEC</w:t>
      </w:r>
      <w:r w:rsidRPr="006F6D23">
        <w:rPr>
          <w:rFonts w:eastAsia="Gill Sans MT" w:cs="Segoe UI"/>
        </w:rPr>
        <w:t xml:space="preserve"> and the FPC into planning</w:t>
      </w:r>
      <w:r>
        <w:rPr>
          <w:rFonts w:eastAsia="Gill Sans MT" w:cs="Segoe UI"/>
        </w:rPr>
        <w:t xml:space="preserve"> </w:t>
      </w:r>
      <w:r w:rsidRPr="006F6D23">
        <w:rPr>
          <w:rFonts w:eastAsia="Gill Sans MT" w:cs="Segoe UI"/>
        </w:rPr>
        <w:t>and managing operations to reduce soil damage</w:t>
      </w:r>
      <w:r>
        <w:rPr>
          <w:rFonts w:eastAsia="Gill Sans MT" w:cs="Segoe UI"/>
        </w:rPr>
        <w:t xml:space="preserve"> resulted in </w:t>
      </w:r>
      <w:r w:rsidRPr="006F6D23">
        <w:rPr>
          <w:rFonts w:eastAsia="Gill Sans MT" w:cs="Segoe UI"/>
        </w:rPr>
        <w:t>clear</w:t>
      </w:r>
      <w:r>
        <w:rPr>
          <w:rFonts w:eastAsia="Gill Sans MT" w:cs="Segoe UI"/>
        </w:rPr>
        <w:t xml:space="preserve"> </w:t>
      </w:r>
      <w:r w:rsidRPr="006F6D23">
        <w:rPr>
          <w:rFonts w:eastAsia="Gill Sans MT" w:cs="Segoe UI"/>
        </w:rPr>
        <w:t>improvements in the protection of soil under the FMP</w:t>
      </w:r>
      <w:r w:rsidR="00D9052D">
        <w:rPr>
          <w:rFonts w:eastAsia="Gill Sans MT" w:cs="Segoe UI"/>
        </w:rPr>
        <w:t xml:space="preserve"> 20</w:t>
      </w:r>
      <w:r>
        <w:rPr>
          <w:rFonts w:eastAsia="Gill Sans MT" w:cs="Segoe UI"/>
        </w:rPr>
        <w:t>04</w:t>
      </w:r>
      <w:r w:rsidR="00D9052D">
        <w:rPr>
          <w:rFonts w:eastAsia="Gill Sans MT" w:cs="Segoe UI"/>
        </w:rPr>
        <w:t>-2013</w:t>
      </w:r>
      <w:r>
        <w:rPr>
          <w:rFonts w:eastAsia="Gill Sans MT" w:cs="Segoe UI"/>
        </w:rPr>
        <w:t xml:space="preserve"> as reported in </w:t>
      </w:r>
      <w:r w:rsidRPr="00E3554F">
        <w:rPr>
          <w:rFonts w:eastAsia="Gill Sans MT" w:cs="Segoe UI"/>
        </w:rPr>
        <w:t>both the mid-term and end-of-term audit of performance reports (Conservation Commission 2008,</w:t>
      </w:r>
      <w:r w:rsidR="00CD653A">
        <w:rPr>
          <w:rFonts w:eastAsia="Gill Sans MT" w:cs="Segoe UI"/>
        </w:rPr>
        <w:t xml:space="preserve"> </w:t>
      </w:r>
      <w:r w:rsidRPr="00E3554F">
        <w:rPr>
          <w:rFonts w:eastAsia="Gill Sans MT" w:cs="Segoe UI"/>
        </w:rPr>
        <w:t>2012).</w:t>
      </w:r>
    </w:p>
    <w:p w14:paraId="26ABD031" w14:textId="77777777" w:rsidR="00AE6EC1" w:rsidRDefault="00D9052D" w:rsidP="00510035">
      <w:pPr>
        <w:autoSpaceDE w:val="0"/>
        <w:autoSpaceDN w:val="0"/>
        <w:adjustRightInd w:val="0"/>
        <w:spacing w:after="0"/>
        <w:rPr>
          <w:rFonts w:eastAsia="Gill Sans MT" w:cs="Segoe UI"/>
        </w:rPr>
      </w:pPr>
      <w:r>
        <w:rPr>
          <w:rFonts w:eastAsia="Gill Sans MT" w:cs="Segoe UI"/>
        </w:rPr>
        <w:t xml:space="preserve">The </w:t>
      </w:r>
      <w:r w:rsidR="00AE6EC1">
        <w:rPr>
          <w:rFonts w:eastAsia="Gill Sans MT" w:cs="Segoe UI"/>
        </w:rPr>
        <w:t>FMP</w:t>
      </w:r>
      <w:r w:rsidR="00510035">
        <w:rPr>
          <w:rFonts w:eastAsia="Gill Sans MT" w:cs="Segoe UI"/>
        </w:rPr>
        <w:t> </w:t>
      </w:r>
      <w:r>
        <w:rPr>
          <w:rFonts w:eastAsia="Gill Sans MT" w:cs="Segoe UI"/>
        </w:rPr>
        <w:t>20</w:t>
      </w:r>
      <w:r w:rsidR="00AE6EC1">
        <w:rPr>
          <w:rFonts w:eastAsia="Gill Sans MT" w:cs="Segoe UI"/>
        </w:rPr>
        <w:t>14</w:t>
      </w:r>
      <w:r w:rsidR="00510035">
        <w:rPr>
          <w:rFonts w:eastAsia="Gill Sans MT" w:cs="Segoe UI"/>
        </w:rPr>
        <w:noBreakHyphen/>
      </w:r>
      <w:r>
        <w:rPr>
          <w:rFonts w:eastAsia="Gill Sans MT" w:cs="Segoe UI"/>
        </w:rPr>
        <w:t>2023</w:t>
      </w:r>
      <w:r w:rsidR="00AE6EC1">
        <w:rPr>
          <w:rFonts w:eastAsia="Gill Sans MT" w:cs="Segoe UI"/>
        </w:rPr>
        <w:t xml:space="preserve"> carried forward the measures for the protection of soil</w:t>
      </w:r>
      <w:r w:rsidR="002D56EB">
        <w:rPr>
          <w:rFonts w:eastAsia="Gill Sans MT" w:cs="Segoe UI"/>
        </w:rPr>
        <w:t xml:space="preserve"> in</w:t>
      </w:r>
      <w:r w:rsidR="00A43AEF">
        <w:rPr>
          <w:rFonts w:eastAsia="Gill Sans MT" w:cs="Segoe UI"/>
        </w:rPr>
        <w:t xml:space="preserve"> </w:t>
      </w:r>
      <w:r w:rsidR="00510035">
        <w:rPr>
          <w:rFonts w:eastAsia="Gill Sans MT" w:cs="Segoe UI"/>
        </w:rPr>
        <w:t>FMP 2004</w:t>
      </w:r>
      <w:r w:rsidR="00510035">
        <w:rPr>
          <w:rFonts w:eastAsia="Gill Sans MT" w:cs="Segoe UI"/>
        </w:rPr>
        <w:noBreakHyphen/>
      </w:r>
      <w:r w:rsidR="000D7979">
        <w:rPr>
          <w:rFonts w:eastAsia="Gill Sans MT" w:cs="Segoe UI"/>
        </w:rPr>
        <w:t>2013</w:t>
      </w:r>
      <w:r w:rsidR="00AE6EC1">
        <w:rPr>
          <w:rFonts w:eastAsia="Gill Sans MT" w:cs="Segoe UI"/>
        </w:rPr>
        <w:t xml:space="preserve"> and the</w:t>
      </w:r>
      <w:r w:rsidR="002D7A87">
        <w:rPr>
          <w:rFonts w:eastAsia="Gill Sans MT" w:cs="Segoe UI"/>
        </w:rPr>
        <w:t>y</w:t>
      </w:r>
      <w:r w:rsidR="00AE6EC1">
        <w:rPr>
          <w:rFonts w:eastAsia="Gill Sans MT" w:cs="Segoe UI"/>
        </w:rPr>
        <w:t xml:space="preserve"> have undergone further refinement and improvement through to </w:t>
      </w:r>
      <w:r w:rsidR="002D7A87">
        <w:rPr>
          <w:rFonts w:eastAsia="Gill Sans MT" w:cs="Segoe UI"/>
        </w:rPr>
        <w:t>2018</w:t>
      </w:r>
      <w:r w:rsidR="00AE6EC1">
        <w:rPr>
          <w:rFonts w:eastAsia="Gill Sans MT" w:cs="Segoe UI"/>
        </w:rPr>
        <w:t xml:space="preserve">. While the highly visual forms of soil disturbance such as rutting, puddling and soil mixing are now rarely seen in WA, the focus </w:t>
      </w:r>
      <w:r w:rsidR="002D7A87">
        <w:rPr>
          <w:rFonts w:eastAsia="Gill Sans MT" w:cs="Segoe UI"/>
        </w:rPr>
        <w:t>on</w:t>
      </w:r>
      <w:r w:rsidR="00AE6EC1">
        <w:rPr>
          <w:rFonts w:eastAsia="Gill Sans MT" w:cs="Segoe UI"/>
        </w:rPr>
        <w:t xml:space="preserve"> continu</w:t>
      </w:r>
      <w:r w:rsidR="002D7A87">
        <w:rPr>
          <w:rFonts w:eastAsia="Gill Sans MT" w:cs="Segoe UI"/>
        </w:rPr>
        <w:t>ous</w:t>
      </w:r>
      <w:r w:rsidR="00AE6EC1">
        <w:rPr>
          <w:rFonts w:eastAsia="Gill Sans MT" w:cs="Segoe UI"/>
        </w:rPr>
        <w:t xml:space="preserve"> improvement has </w:t>
      </w:r>
      <w:r w:rsidR="002D7A87">
        <w:rPr>
          <w:rFonts w:eastAsia="Gill Sans MT" w:cs="Segoe UI"/>
        </w:rPr>
        <w:t xml:space="preserve">resulted in refinements to minimise soil </w:t>
      </w:r>
      <w:r w:rsidR="00AE6EC1">
        <w:rPr>
          <w:rFonts w:eastAsia="Gill Sans MT" w:cs="Segoe UI"/>
        </w:rPr>
        <w:t>compaction</w:t>
      </w:r>
      <w:r w:rsidR="002D7A87">
        <w:rPr>
          <w:rFonts w:eastAsia="Gill Sans MT" w:cs="Segoe UI"/>
        </w:rPr>
        <w:t>.</w:t>
      </w:r>
      <w:r w:rsidR="00AE6EC1">
        <w:rPr>
          <w:rFonts w:eastAsia="Gill Sans MT" w:cs="Segoe UI"/>
        </w:rPr>
        <w:t xml:space="preserve"> </w:t>
      </w:r>
      <w:r w:rsidR="002D7A87">
        <w:rPr>
          <w:rFonts w:eastAsia="Gill Sans MT" w:cs="Segoe UI"/>
        </w:rPr>
        <w:t>The r</w:t>
      </w:r>
      <w:r w:rsidR="00AE6EC1">
        <w:rPr>
          <w:rFonts w:eastAsia="Gill Sans MT" w:cs="Segoe UI"/>
        </w:rPr>
        <w:t>eview of performance under FMP</w:t>
      </w:r>
      <w:r w:rsidR="00510035">
        <w:rPr>
          <w:rFonts w:eastAsia="Gill Sans MT" w:cs="Segoe UI"/>
        </w:rPr>
        <w:t> </w:t>
      </w:r>
      <w:r w:rsidR="002D7A87">
        <w:rPr>
          <w:rFonts w:eastAsia="Gill Sans MT" w:cs="Segoe UI"/>
        </w:rPr>
        <w:t>20</w:t>
      </w:r>
      <w:r w:rsidR="00AE6EC1">
        <w:rPr>
          <w:rFonts w:eastAsia="Gill Sans MT" w:cs="Segoe UI"/>
        </w:rPr>
        <w:t>04</w:t>
      </w:r>
      <w:r w:rsidR="00510035">
        <w:rPr>
          <w:rFonts w:eastAsia="Gill Sans MT" w:cs="Segoe UI"/>
        </w:rPr>
        <w:noBreakHyphen/>
      </w:r>
      <w:r w:rsidR="002D7A87">
        <w:rPr>
          <w:rFonts w:eastAsia="Gill Sans MT" w:cs="Segoe UI"/>
        </w:rPr>
        <w:t>2013</w:t>
      </w:r>
      <w:r w:rsidR="00AE6EC1">
        <w:rPr>
          <w:rFonts w:eastAsia="Gill Sans MT" w:cs="Segoe UI"/>
        </w:rPr>
        <w:t xml:space="preserve"> </w:t>
      </w:r>
      <w:r w:rsidR="002D7A87">
        <w:rPr>
          <w:rFonts w:eastAsia="Gill Sans MT" w:cs="Segoe UI"/>
        </w:rPr>
        <w:t>identified</w:t>
      </w:r>
      <w:r w:rsidR="00AE6EC1">
        <w:rPr>
          <w:rFonts w:eastAsia="Gill Sans MT" w:cs="Segoe UI"/>
        </w:rPr>
        <w:t xml:space="preserve"> that t</w:t>
      </w:r>
      <w:r w:rsidR="00AE6EC1" w:rsidRPr="003220CD">
        <w:rPr>
          <w:rFonts w:eastAsia="Gill Sans MT" w:cs="Segoe UI"/>
        </w:rPr>
        <w:t xml:space="preserve">racks created by harvest vehicles </w:t>
      </w:r>
      <w:r w:rsidR="002D7A87">
        <w:rPr>
          <w:rFonts w:eastAsia="Gill Sans MT" w:cs="Segoe UI"/>
        </w:rPr>
        <w:t xml:space="preserve">were the major cause of soil disturbance limits being exceeded. </w:t>
      </w:r>
      <w:r w:rsidR="008C7997">
        <w:rPr>
          <w:rFonts w:eastAsia="Gill Sans MT" w:cs="Segoe UI"/>
        </w:rPr>
        <w:t>I</w:t>
      </w:r>
      <w:r w:rsidR="00AE6EC1">
        <w:rPr>
          <w:rFonts w:eastAsia="Gill Sans MT" w:cs="Segoe UI"/>
        </w:rPr>
        <w:t xml:space="preserve">n </w:t>
      </w:r>
      <w:r w:rsidR="002D7A87">
        <w:rPr>
          <w:rFonts w:eastAsia="Gill Sans MT" w:cs="Segoe UI"/>
        </w:rPr>
        <w:t>response,</w:t>
      </w:r>
      <w:r w:rsidR="00AE6EC1">
        <w:rPr>
          <w:rFonts w:eastAsia="Gill Sans MT" w:cs="Segoe UI"/>
        </w:rPr>
        <w:t xml:space="preserve"> the method of assessment of soil disturbance was </w:t>
      </w:r>
      <w:r w:rsidR="002D7A87">
        <w:rPr>
          <w:rFonts w:eastAsia="Gill Sans MT" w:cs="Segoe UI"/>
        </w:rPr>
        <w:t>refined (from using</w:t>
      </w:r>
      <w:r w:rsidR="00AE6EC1">
        <w:rPr>
          <w:rFonts w:eastAsia="Gill Sans MT" w:cs="Segoe UI"/>
        </w:rPr>
        <w:t xml:space="preserve"> line transect survey</w:t>
      </w:r>
      <w:r w:rsidR="002D7A87">
        <w:rPr>
          <w:rFonts w:eastAsia="Gill Sans MT" w:cs="Segoe UI"/>
        </w:rPr>
        <w:t>s</w:t>
      </w:r>
      <w:r w:rsidR="00AE6EC1">
        <w:rPr>
          <w:rFonts w:eastAsia="Gill Sans MT" w:cs="Segoe UI"/>
        </w:rPr>
        <w:t xml:space="preserve"> </w:t>
      </w:r>
      <w:r w:rsidR="002D7A87">
        <w:rPr>
          <w:rFonts w:eastAsia="Gill Sans MT" w:cs="Segoe UI"/>
        </w:rPr>
        <w:t>of</w:t>
      </w:r>
      <w:r w:rsidR="00AE6EC1">
        <w:rPr>
          <w:rFonts w:eastAsia="Gill Sans MT" w:cs="Segoe UI"/>
        </w:rPr>
        <w:t xml:space="preserve"> visual indicators of soil disturbance to a method that maps the pattern of extraction tracks created by heavy vehicles</w:t>
      </w:r>
      <w:r w:rsidR="002D7A87">
        <w:rPr>
          <w:rFonts w:eastAsia="Gill Sans MT" w:cs="Segoe UI"/>
        </w:rPr>
        <w:t xml:space="preserve">) and reporting altered to better inform the </w:t>
      </w:r>
      <w:r w:rsidR="00AE6EC1">
        <w:rPr>
          <w:rFonts w:eastAsia="Gill Sans MT" w:cs="Segoe UI"/>
        </w:rPr>
        <w:t xml:space="preserve">FPC and their contractors. </w:t>
      </w:r>
      <w:r w:rsidR="002D7A87">
        <w:rPr>
          <w:rFonts w:eastAsia="Gill Sans MT" w:cs="Segoe UI"/>
        </w:rPr>
        <w:t>Future refinements will apply refined planning of extraction tracks for varied machine and operation types.</w:t>
      </w:r>
    </w:p>
    <w:p w14:paraId="26ABD032" w14:textId="77777777" w:rsidR="00AE6EC1" w:rsidRPr="00D50F8F" w:rsidRDefault="00AE6EC1" w:rsidP="00510035">
      <w:pPr>
        <w:autoSpaceDE w:val="0"/>
        <w:autoSpaceDN w:val="0"/>
        <w:adjustRightInd w:val="0"/>
        <w:spacing w:after="0"/>
        <w:rPr>
          <w:rFonts w:eastAsia="Gill Sans MT" w:cs="Segoe UI"/>
          <w:b/>
        </w:rPr>
      </w:pPr>
      <w:r w:rsidRPr="00D50F8F">
        <w:rPr>
          <w:rFonts w:eastAsia="Gill Sans MT" w:cs="Segoe UI"/>
          <w:b/>
        </w:rPr>
        <w:t>Soil Erosion</w:t>
      </w:r>
    </w:p>
    <w:p w14:paraId="26ABD033" w14:textId="77777777" w:rsidR="00AE6EC1" w:rsidRDefault="002D7A87" w:rsidP="00510035">
      <w:pPr>
        <w:autoSpaceDE w:val="0"/>
        <w:autoSpaceDN w:val="0"/>
        <w:adjustRightInd w:val="0"/>
        <w:spacing w:after="0"/>
        <w:rPr>
          <w:rFonts w:eastAsia="Gill Sans MT" w:cs="Segoe UI"/>
        </w:rPr>
      </w:pPr>
      <w:r>
        <w:rPr>
          <w:rFonts w:eastAsia="Gill Sans MT" w:cs="Segoe UI"/>
        </w:rPr>
        <w:t xml:space="preserve">Limits on the permissible </w:t>
      </w:r>
      <w:r w:rsidR="00BF4CAB">
        <w:rPr>
          <w:rFonts w:eastAsia="Gill Sans MT" w:cs="Segoe UI"/>
        </w:rPr>
        <w:t>soil erosion from machine operations were introduced u</w:t>
      </w:r>
      <w:r w:rsidR="00AE6EC1">
        <w:rPr>
          <w:rFonts w:eastAsia="Gill Sans MT" w:cs="Segoe UI"/>
        </w:rPr>
        <w:t xml:space="preserve">nder </w:t>
      </w:r>
      <w:r w:rsidR="00BF4CAB">
        <w:rPr>
          <w:rFonts w:eastAsia="Gill Sans MT" w:cs="Segoe UI"/>
        </w:rPr>
        <w:t xml:space="preserve">the </w:t>
      </w:r>
      <w:r w:rsidR="00AE6EC1">
        <w:rPr>
          <w:rFonts w:eastAsia="Gill Sans MT" w:cs="Segoe UI"/>
        </w:rPr>
        <w:t>FMP</w:t>
      </w:r>
      <w:r w:rsidR="00510035">
        <w:rPr>
          <w:rFonts w:eastAsia="Gill Sans MT" w:cs="Segoe UI"/>
        </w:rPr>
        <w:t> </w:t>
      </w:r>
      <w:r w:rsidR="00BF4CAB">
        <w:rPr>
          <w:rFonts w:eastAsia="Gill Sans MT" w:cs="Segoe UI"/>
        </w:rPr>
        <w:t>20</w:t>
      </w:r>
      <w:r w:rsidR="00AE6EC1">
        <w:rPr>
          <w:rFonts w:eastAsia="Gill Sans MT" w:cs="Segoe UI"/>
        </w:rPr>
        <w:t>04</w:t>
      </w:r>
      <w:r w:rsidR="00510035">
        <w:rPr>
          <w:rFonts w:eastAsia="Gill Sans MT" w:cs="Segoe UI"/>
        </w:rPr>
        <w:noBreakHyphen/>
      </w:r>
      <w:r w:rsidR="00BF4CAB">
        <w:rPr>
          <w:rFonts w:eastAsia="Gill Sans MT" w:cs="Segoe UI"/>
        </w:rPr>
        <w:t>2013.</w:t>
      </w:r>
      <w:r w:rsidR="00AE6EC1">
        <w:rPr>
          <w:rFonts w:eastAsia="Gill Sans MT" w:cs="Segoe UI"/>
        </w:rPr>
        <w:t xml:space="preserve"> These are specified in the </w:t>
      </w:r>
      <w:r w:rsidR="00AE6EC1" w:rsidRPr="00821B46">
        <w:rPr>
          <w:rFonts w:eastAsia="Gill Sans MT" w:cs="Segoe UI"/>
          <w:i/>
        </w:rPr>
        <w:t>Manual of Procedures for the Management of Soils Associated with Timber Harvesting in Native Forests</w:t>
      </w:r>
      <w:r w:rsidR="00AE6EC1">
        <w:rPr>
          <w:rFonts w:eastAsia="Gill Sans MT" w:cs="Segoe UI"/>
        </w:rPr>
        <w:t xml:space="preserve"> and include both onsite (sheet, rill and gully erosion) and offsite (deposition and turbid runoff) forms. In 2008, an independent expert was commissioned to conduct a review of </w:t>
      </w:r>
      <w:r w:rsidR="00636977">
        <w:rPr>
          <w:rFonts w:eastAsia="Gill Sans MT" w:cs="Segoe UI"/>
        </w:rPr>
        <w:t>DBCA’s</w:t>
      </w:r>
      <w:r w:rsidR="00AE6EC1">
        <w:rPr>
          <w:rFonts w:eastAsia="Gill Sans MT" w:cs="Segoe UI"/>
        </w:rPr>
        <w:t xml:space="preserve"> process for surface water management including guidance documents and operational practice. Subsequently, in 2009 recommendations from the review were incorporated into FEM Manual No. 3 </w:t>
      </w:r>
      <w:r w:rsidR="00AE6EC1" w:rsidRPr="003A3D5E">
        <w:rPr>
          <w:rFonts w:eastAsia="Gill Sans MT" w:cs="Segoe UI"/>
          <w:i/>
        </w:rPr>
        <w:t>Manual for the Management of Surface Water</w:t>
      </w:r>
      <w:r w:rsidR="00AE6EC1">
        <w:rPr>
          <w:rFonts w:eastAsia="Gill Sans MT" w:cs="Segoe UI"/>
        </w:rPr>
        <w:t>,</w:t>
      </w:r>
      <w:r w:rsidR="00AE6EC1" w:rsidRPr="003A3D5E">
        <w:t xml:space="preserve"> </w:t>
      </w:r>
      <w:r w:rsidR="00AE6EC1">
        <w:t>(</w:t>
      </w:r>
      <w:r w:rsidR="00AE6EC1" w:rsidRPr="003A3D5E">
        <w:rPr>
          <w:rFonts w:eastAsia="Gill Sans MT" w:cs="Segoe UI"/>
        </w:rPr>
        <w:t>Department of Environment and Conservation</w:t>
      </w:r>
      <w:r w:rsidR="00AE6EC1">
        <w:rPr>
          <w:rFonts w:eastAsia="Gill Sans MT" w:cs="Segoe UI"/>
        </w:rPr>
        <w:t>,</w:t>
      </w:r>
      <w:r w:rsidR="00AE6EC1" w:rsidRPr="003A3D5E">
        <w:rPr>
          <w:rFonts w:eastAsia="Gill Sans MT" w:cs="Segoe UI"/>
        </w:rPr>
        <w:t xml:space="preserve"> 2009)</w:t>
      </w:r>
      <w:r w:rsidR="00AE6EC1">
        <w:rPr>
          <w:rFonts w:eastAsia="Gill Sans MT" w:cs="Segoe UI"/>
        </w:rPr>
        <w:t xml:space="preserve">. The manual is complimented by </w:t>
      </w:r>
      <w:r w:rsidR="00AE6EC1" w:rsidRPr="00C569E4">
        <w:rPr>
          <w:rFonts w:eastAsia="Gill Sans MT" w:cs="Segoe UI"/>
        </w:rPr>
        <w:t xml:space="preserve">a field guide </w:t>
      </w:r>
      <w:r w:rsidR="00AE6EC1" w:rsidRPr="000F117C">
        <w:rPr>
          <w:rFonts w:eastAsia="Gill Sans MT" w:cs="Segoe UI"/>
          <w:i/>
        </w:rPr>
        <w:t>Tables and formulae for the management of surface water</w:t>
      </w:r>
      <w:r w:rsidR="00AE6EC1" w:rsidRPr="000F117C">
        <w:rPr>
          <w:rFonts w:eastAsia="Gill Sans MT" w:cs="Segoe UI"/>
        </w:rPr>
        <w:t xml:space="preserve"> </w:t>
      </w:r>
      <w:r w:rsidR="00AE6EC1">
        <w:rPr>
          <w:rFonts w:eastAsia="Gill Sans MT" w:cs="Segoe UI"/>
        </w:rPr>
        <w:t xml:space="preserve">(Department of Environment and Conservation, 2010) </w:t>
      </w:r>
      <w:r w:rsidR="00AE6EC1" w:rsidRPr="00C569E4">
        <w:rPr>
          <w:rFonts w:eastAsia="Gill Sans MT" w:cs="Segoe UI"/>
        </w:rPr>
        <w:t xml:space="preserve">and spreadsheet tool to guide the planning, installation and management of structures for the management of surface </w:t>
      </w:r>
      <w:r w:rsidR="00AE6EC1" w:rsidRPr="00C569E4">
        <w:rPr>
          <w:rFonts w:eastAsia="Gill Sans MT" w:cs="Segoe UI"/>
        </w:rPr>
        <w:lastRenderedPageBreak/>
        <w:t>water including aspects of road design, culverts, drains</w:t>
      </w:r>
      <w:r w:rsidR="00AE6EC1">
        <w:rPr>
          <w:rFonts w:eastAsia="Gill Sans MT" w:cs="Segoe UI"/>
        </w:rPr>
        <w:t xml:space="preserve">, </w:t>
      </w:r>
      <w:r w:rsidR="00AE6EC1" w:rsidRPr="00C569E4">
        <w:rPr>
          <w:rFonts w:eastAsia="Gill Sans MT" w:cs="Segoe UI"/>
        </w:rPr>
        <w:t>spreaders</w:t>
      </w:r>
      <w:r w:rsidR="00AE6EC1">
        <w:rPr>
          <w:rFonts w:eastAsia="Gill Sans MT" w:cs="Segoe UI"/>
        </w:rPr>
        <w:t xml:space="preserve"> and sediment control</w:t>
      </w:r>
      <w:r w:rsidR="00AE6EC1" w:rsidRPr="00C569E4">
        <w:rPr>
          <w:rFonts w:eastAsia="Gill Sans MT" w:cs="Segoe UI"/>
        </w:rPr>
        <w:t>. To facilitate implementation of the new manual, training courses w</w:t>
      </w:r>
      <w:r w:rsidR="00AE6EC1">
        <w:rPr>
          <w:rFonts w:eastAsia="Gill Sans MT" w:cs="Segoe UI"/>
        </w:rPr>
        <w:t>ere</w:t>
      </w:r>
      <w:r w:rsidR="00AE6EC1" w:rsidRPr="00C569E4">
        <w:rPr>
          <w:rFonts w:eastAsia="Gill Sans MT" w:cs="Segoe UI"/>
        </w:rPr>
        <w:t xml:space="preserve"> developed to </w:t>
      </w:r>
      <w:r w:rsidR="00BF4CAB">
        <w:rPr>
          <w:rFonts w:eastAsia="Gill Sans MT" w:cs="Segoe UI"/>
        </w:rPr>
        <w:t>C</w:t>
      </w:r>
      <w:r w:rsidR="00AE6EC1" w:rsidRPr="00C569E4">
        <w:rPr>
          <w:rFonts w:eastAsia="Gill Sans MT" w:cs="Segoe UI"/>
        </w:rPr>
        <w:t xml:space="preserve">ertificate II (machine operators) and </w:t>
      </w:r>
      <w:r w:rsidR="00BF4CAB">
        <w:rPr>
          <w:rFonts w:eastAsia="Gill Sans MT" w:cs="Segoe UI"/>
        </w:rPr>
        <w:t>C</w:t>
      </w:r>
      <w:r w:rsidR="00AE6EC1" w:rsidRPr="00C569E4">
        <w:rPr>
          <w:rFonts w:eastAsia="Gill Sans MT" w:cs="Segoe UI"/>
        </w:rPr>
        <w:t xml:space="preserve">ertificate III (field officer) level and conducted for FPC and </w:t>
      </w:r>
      <w:r w:rsidR="00CF074C">
        <w:rPr>
          <w:rFonts w:eastAsia="Gill Sans MT" w:cs="Segoe UI"/>
        </w:rPr>
        <w:t>then DEC</w:t>
      </w:r>
      <w:r w:rsidR="00AE6EC1" w:rsidRPr="00C569E4">
        <w:rPr>
          <w:rFonts w:eastAsia="Gill Sans MT" w:cs="Segoe UI"/>
        </w:rPr>
        <w:t xml:space="preserve"> staff in the </w:t>
      </w:r>
      <w:r w:rsidR="00CF074C">
        <w:rPr>
          <w:rFonts w:eastAsia="Gill Sans MT" w:cs="Segoe UI"/>
        </w:rPr>
        <w:t>WA RFA</w:t>
      </w:r>
      <w:r w:rsidR="00AE6EC1" w:rsidRPr="00C569E4">
        <w:rPr>
          <w:rFonts w:eastAsia="Gill Sans MT" w:cs="Segoe UI"/>
        </w:rPr>
        <w:t xml:space="preserve"> region.</w:t>
      </w:r>
    </w:p>
    <w:p w14:paraId="26ABD034" w14:textId="63332D56" w:rsidR="00AE6EC1" w:rsidRDefault="00A43AEF" w:rsidP="00510035">
      <w:pPr>
        <w:autoSpaceDE w:val="0"/>
        <w:autoSpaceDN w:val="0"/>
        <w:adjustRightInd w:val="0"/>
        <w:spacing w:after="0"/>
        <w:rPr>
          <w:rFonts w:eastAsia="Gill Sans MT" w:cs="Segoe UI"/>
        </w:rPr>
      </w:pPr>
      <w:r>
        <w:rPr>
          <w:rFonts w:eastAsia="Gill Sans MT" w:cs="Segoe UI"/>
        </w:rPr>
        <w:t>The</w:t>
      </w:r>
      <w:r w:rsidR="00AE6EC1">
        <w:rPr>
          <w:rFonts w:eastAsia="Gill Sans MT" w:cs="Segoe UI"/>
        </w:rPr>
        <w:t xml:space="preserve"> guidance documents </w:t>
      </w:r>
      <w:r w:rsidR="005D1FC2">
        <w:rPr>
          <w:rFonts w:eastAsia="Gill Sans MT" w:cs="Segoe UI"/>
        </w:rPr>
        <w:t>include</w:t>
      </w:r>
      <w:r w:rsidR="00BF4CAB">
        <w:rPr>
          <w:rFonts w:eastAsia="Gill Sans MT" w:cs="Segoe UI"/>
        </w:rPr>
        <w:t xml:space="preserve"> a</w:t>
      </w:r>
      <w:r w:rsidR="00AE6EC1">
        <w:rPr>
          <w:rFonts w:eastAsia="Gill Sans MT" w:cs="Segoe UI"/>
        </w:rPr>
        <w:t xml:space="preserve"> requirement for surface water management structures to be </w:t>
      </w:r>
      <w:r w:rsidR="00BF4CAB">
        <w:rPr>
          <w:rFonts w:eastAsia="Gill Sans MT" w:cs="Segoe UI"/>
        </w:rPr>
        <w:t>installed prior to</w:t>
      </w:r>
      <w:r w:rsidR="00AE6EC1">
        <w:rPr>
          <w:rFonts w:eastAsia="Gill Sans MT" w:cs="Segoe UI"/>
        </w:rPr>
        <w:t xml:space="preserve"> the completion of harvest operations</w:t>
      </w:r>
      <w:r w:rsidR="00BF4CAB">
        <w:rPr>
          <w:rFonts w:eastAsia="Gill Sans MT" w:cs="Segoe UI"/>
        </w:rPr>
        <w:t xml:space="preserve">. </w:t>
      </w:r>
      <w:r w:rsidR="00AE6EC1">
        <w:rPr>
          <w:rFonts w:eastAsia="Gill Sans MT" w:cs="Segoe UI"/>
        </w:rPr>
        <w:t xml:space="preserve"> </w:t>
      </w:r>
    </w:p>
    <w:p w14:paraId="26ABD035" w14:textId="77777777" w:rsidR="00AE6EC1" w:rsidRPr="002E6B70" w:rsidRDefault="00AE6EC1" w:rsidP="00510035">
      <w:pPr>
        <w:autoSpaceDE w:val="0"/>
        <w:autoSpaceDN w:val="0"/>
        <w:adjustRightInd w:val="0"/>
        <w:spacing w:after="0"/>
        <w:rPr>
          <w:rFonts w:eastAsia="Gill Sans MT" w:cs="Segoe UI"/>
          <w:b/>
        </w:rPr>
      </w:pPr>
      <w:r w:rsidRPr="00AB0A81">
        <w:rPr>
          <w:rFonts w:eastAsia="Gill Sans MT" w:cs="Majalla UI"/>
          <w:b/>
        </w:rPr>
        <w:t xml:space="preserve">Water </w:t>
      </w:r>
      <w:r>
        <w:rPr>
          <w:rFonts w:eastAsia="Gill Sans MT" w:cs="Majalla UI"/>
          <w:b/>
        </w:rPr>
        <w:t>quality and quantity</w:t>
      </w:r>
    </w:p>
    <w:p w14:paraId="26ABD036" w14:textId="77777777" w:rsidR="00AE6EC1" w:rsidRDefault="00AE6EC1" w:rsidP="00510035">
      <w:pPr>
        <w:rPr>
          <w:rFonts w:eastAsia="Gill Sans MT" w:cs="Majalla UI"/>
        </w:rPr>
      </w:pPr>
      <w:r>
        <w:rPr>
          <w:rFonts w:eastAsia="Gill Sans MT" w:cs="Majalla UI"/>
        </w:rPr>
        <w:t>The issues of water quality and quantity are interlinked, and their management has been informed by a</w:t>
      </w:r>
      <w:r w:rsidRPr="000264BB">
        <w:rPr>
          <w:rFonts w:eastAsia="Gill Sans MT" w:cs="Majalla UI"/>
        </w:rPr>
        <w:t xml:space="preserve"> program of hydrological research</w:t>
      </w:r>
      <w:r>
        <w:rPr>
          <w:rFonts w:eastAsia="Gill Sans MT" w:cs="Majalla UI"/>
        </w:rPr>
        <w:t xml:space="preserve"> that</w:t>
      </w:r>
      <w:r w:rsidRPr="000264BB">
        <w:rPr>
          <w:rFonts w:eastAsia="Gill Sans MT" w:cs="Majalla UI"/>
        </w:rPr>
        <w:t xml:space="preserve"> has been in place within </w:t>
      </w:r>
      <w:r w:rsidR="00746A6F">
        <w:rPr>
          <w:rFonts w:eastAsia="Gill Sans MT" w:cs="Majalla UI"/>
        </w:rPr>
        <w:t xml:space="preserve">DBCA and its predecessor agencies </w:t>
      </w:r>
      <w:r w:rsidRPr="000264BB">
        <w:rPr>
          <w:rFonts w:eastAsia="Gill Sans MT" w:cs="Majalla UI"/>
        </w:rPr>
        <w:t>for over 40 years. The research is supported by other government agencies, research institutions and private companies. Long-term data sets on the response of streamflow, stream salinity and groundwater to timber harvesting have informed silvicultural specifications, stream zone dimensions, mining and rehabilitation practices</w:t>
      </w:r>
      <w:r w:rsidR="00D27776">
        <w:rPr>
          <w:rFonts w:eastAsia="Gill Sans MT" w:cs="Majalla UI"/>
        </w:rPr>
        <w:t>. Since commencement of the WA </w:t>
      </w:r>
      <w:r>
        <w:rPr>
          <w:rFonts w:eastAsia="Gill Sans MT" w:cs="Majalla UI"/>
        </w:rPr>
        <w:t xml:space="preserve">RFA, forest management policy and practices have responded to fundamental changes in hydrology resulting from decreased rainfall within the </w:t>
      </w:r>
      <w:r w:rsidR="00D27776">
        <w:rPr>
          <w:rFonts w:eastAsia="Gill Sans MT" w:cs="Majalla UI"/>
        </w:rPr>
        <w:t>WA </w:t>
      </w:r>
      <w:r>
        <w:rPr>
          <w:rFonts w:eastAsia="Gill Sans MT" w:cs="Majalla UI"/>
        </w:rPr>
        <w:t xml:space="preserve">RFA </w:t>
      </w:r>
      <w:r w:rsidR="00746A6F">
        <w:rPr>
          <w:rFonts w:eastAsia="Gill Sans MT" w:cs="Majalla UI"/>
        </w:rPr>
        <w:t>r</w:t>
      </w:r>
      <w:r>
        <w:rPr>
          <w:rFonts w:eastAsia="Gill Sans MT" w:cs="Majalla UI"/>
        </w:rPr>
        <w:t>egion. Declining groundwater has resulted in a shift in management response from salinity being a key risk to (water quality) towards declining groundwater and reduced streamflow being a key risk to forest values (water quantity).</w:t>
      </w:r>
    </w:p>
    <w:p w14:paraId="26ABD037" w14:textId="77777777" w:rsidR="00AE6EC1" w:rsidRDefault="004F0912" w:rsidP="00510035">
      <w:pPr>
        <w:rPr>
          <w:rFonts w:eastAsia="Gill Sans MT" w:cs="Majalla UI"/>
        </w:rPr>
      </w:pPr>
      <w:r>
        <w:rPr>
          <w:rFonts w:eastAsia="Gill Sans MT" w:cs="Majalla UI"/>
        </w:rPr>
        <w:t xml:space="preserve">The </w:t>
      </w:r>
      <w:r w:rsidR="00AE6EC1">
        <w:rPr>
          <w:rFonts w:eastAsia="Gill Sans MT" w:cs="Majalla UI"/>
        </w:rPr>
        <w:t>FMP</w:t>
      </w:r>
      <w:r w:rsidR="00D27776">
        <w:rPr>
          <w:rFonts w:eastAsia="Gill Sans MT" w:cs="Majalla UI"/>
        </w:rPr>
        <w:t> </w:t>
      </w:r>
      <w:r>
        <w:rPr>
          <w:rFonts w:eastAsia="Gill Sans MT" w:cs="Majalla UI"/>
        </w:rPr>
        <w:t>20</w:t>
      </w:r>
      <w:r w:rsidR="00AE6EC1">
        <w:rPr>
          <w:rFonts w:eastAsia="Gill Sans MT" w:cs="Majalla UI"/>
        </w:rPr>
        <w:t>04</w:t>
      </w:r>
      <w:r w:rsidR="00D27776">
        <w:rPr>
          <w:rFonts w:eastAsia="Gill Sans MT" w:cs="Majalla UI"/>
        </w:rPr>
        <w:noBreakHyphen/>
      </w:r>
      <w:r>
        <w:rPr>
          <w:rFonts w:eastAsia="Gill Sans MT" w:cs="Majalla UI"/>
        </w:rPr>
        <w:t>2013</w:t>
      </w:r>
      <w:r w:rsidR="00AE6EC1">
        <w:rPr>
          <w:rFonts w:eastAsia="Gill Sans MT" w:cs="Majalla UI"/>
        </w:rPr>
        <w:t xml:space="preserve"> prescribed a range of </w:t>
      </w:r>
      <w:r w:rsidR="00AE6EC1" w:rsidRPr="000A0C0A">
        <w:rPr>
          <w:rFonts w:eastAsia="Gill Sans MT" w:cs="Majalla UI"/>
        </w:rPr>
        <w:t xml:space="preserve">precautionary salinity management practices guided by hydrology research </w:t>
      </w:r>
      <w:r w:rsidR="00AE6EC1">
        <w:rPr>
          <w:rFonts w:eastAsia="Gill Sans MT" w:cs="Majalla UI"/>
        </w:rPr>
        <w:t xml:space="preserve">which commenced </w:t>
      </w:r>
      <w:r w:rsidR="00AE6EC1" w:rsidRPr="000A0C0A">
        <w:rPr>
          <w:rFonts w:eastAsia="Gill Sans MT" w:cs="Majalla UI"/>
        </w:rPr>
        <w:t>in the 1970s and 1980s</w:t>
      </w:r>
      <w:r w:rsidR="00AE6EC1">
        <w:rPr>
          <w:rFonts w:eastAsia="Gill Sans MT" w:cs="Majalla UI"/>
        </w:rPr>
        <w:t xml:space="preserve">. These practices </w:t>
      </w:r>
      <w:r w:rsidR="00AE6EC1" w:rsidRPr="000A0C0A">
        <w:rPr>
          <w:rFonts w:eastAsia="Gill Sans MT" w:cs="Majalla UI"/>
        </w:rPr>
        <w:t>aim</w:t>
      </w:r>
      <w:r w:rsidR="00AE6EC1">
        <w:rPr>
          <w:rFonts w:eastAsia="Gill Sans MT" w:cs="Majalla UI"/>
        </w:rPr>
        <w:t>ed</w:t>
      </w:r>
      <w:r w:rsidR="00AE6EC1" w:rsidRPr="000A0C0A">
        <w:rPr>
          <w:rFonts w:eastAsia="Gill Sans MT" w:cs="Majalla UI"/>
        </w:rPr>
        <w:t xml:space="preserve"> to retain a minimum vegetation density, or unharvested area, in space and time, during timber harvesting</w:t>
      </w:r>
      <w:r>
        <w:rPr>
          <w:rFonts w:eastAsia="Gill Sans MT" w:cs="Majalla UI"/>
        </w:rPr>
        <w:t>,</w:t>
      </w:r>
      <w:r w:rsidR="00AE6EC1" w:rsidRPr="000A0C0A">
        <w:rPr>
          <w:rFonts w:eastAsia="Gill Sans MT" w:cs="Majalla UI"/>
        </w:rPr>
        <w:t xml:space="preserve"> silvicultur</w:t>
      </w:r>
      <w:r>
        <w:rPr>
          <w:rFonts w:eastAsia="Gill Sans MT" w:cs="Majalla UI"/>
        </w:rPr>
        <w:t>al operations</w:t>
      </w:r>
      <w:r w:rsidR="00AE6EC1" w:rsidRPr="000A0C0A">
        <w:rPr>
          <w:rFonts w:eastAsia="Gill Sans MT" w:cs="Majalla UI"/>
        </w:rPr>
        <w:t xml:space="preserve"> and subsequent regeneration, to minimise the potential rise in groundwater levels and ensure a low potential salinity impact</w:t>
      </w:r>
      <w:r w:rsidR="00AE6EC1">
        <w:rPr>
          <w:rFonts w:eastAsia="Gill Sans MT" w:cs="Majalla UI"/>
        </w:rPr>
        <w:t xml:space="preserve">. By the end of </w:t>
      </w:r>
      <w:r>
        <w:rPr>
          <w:rFonts w:eastAsia="Gill Sans MT" w:cs="Majalla UI"/>
        </w:rPr>
        <w:t xml:space="preserve">the </w:t>
      </w:r>
      <w:r w:rsidR="00AE6EC1">
        <w:rPr>
          <w:rFonts w:eastAsia="Gill Sans MT" w:cs="Majalla UI"/>
        </w:rPr>
        <w:t>FMP</w:t>
      </w:r>
      <w:r w:rsidR="00D27776">
        <w:rPr>
          <w:rFonts w:eastAsia="Gill Sans MT" w:cs="Majalla UI"/>
        </w:rPr>
        <w:t> </w:t>
      </w:r>
      <w:r>
        <w:rPr>
          <w:rFonts w:eastAsia="Gill Sans MT" w:cs="Majalla UI"/>
        </w:rPr>
        <w:t>20</w:t>
      </w:r>
      <w:r w:rsidR="00AE6EC1">
        <w:rPr>
          <w:rFonts w:eastAsia="Gill Sans MT" w:cs="Majalla UI"/>
        </w:rPr>
        <w:t>04</w:t>
      </w:r>
      <w:r w:rsidR="00D27776">
        <w:rPr>
          <w:rFonts w:eastAsia="Gill Sans MT" w:cs="Majalla UI"/>
        </w:rPr>
        <w:noBreakHyphen/>
      </w:r>
      <w:r>
        <w:rPr>
          <w:rFonts w:eastAsia="Gill Sans MT" w:cs="Majalla UI"/>
        </w:rPr>
        <w:t>2013</w:t>
      </w:r>
      <w:r w:rsidR="00AE6EC1">
        <w:rPr>
          <w:rFonts w:eastAsia="Gill Sans MT" w:cs="Majalla UI"/>
        </w:rPr>
        <w:t xml:space="preserve"> it was clear that </w:t>
      </w:r>
      <w:r>
        <w:rPr>
          <w:rFonts w:eastAsia="Gill Sans MT" w:cs="Majalla UI"/>
        </w:rPr>
        <w:t xml:space="preserve">the </w:t>
      </w:r>
      <w:r w:rsidR="00AE6EC1">
        <w:rPr>
          <w:rFonts w:eastAsia="Gill Sans MT" w:cs="Majalla UI"/>
        </w:rPr>
        <w:t>d</w:t>
      </w:r>
      <w:r w:rsidR="00AE6EC1" w:rsidRPr="000A0C0A">
        <w:rPr>
          <w:rFonts w:eastAsia="Gill Sans MT" w:cs="Majalla UI"/>
        </w:rPr>
        <w:t>eclin</w:t>
      </w:r>
      <w:r>
        <w:rPr>
          <w:rFonts w:eastAsia="Gill Sans MT" w:cs="Majalla UI"/>
        </w:rPr>
        <w:t>e in</w:t>
      </w:r>
      <w:r w:rsidR="00AE6EC1" w:rsidRPr="000A0C0A">
        <w:rPr>
          <w:rFonts w:eastAsia="Gill Sans MT" w:cs="Majalla UI"/>
        </w:rPr>
        <w:t xml:space="preserve"> annual rainfall ha</w:t>
      </w:r>
      <w:r w:rsidR="00AE6EC1">
        <w:rPr>
          <w:rFonts w:eastAsia="Gill Sans MT" w:cs="Majalla UI"/>
        </w:rPr>
        <w:t>d</w:t>
      </w:r>
      <w:r w:rsidR="00AE6EC1" w:rsidRPr="000A0C0A">
        <w:rPr>
          <w:rFonts w:eastAsia="Gill Sans MT" w:cs="Majalla UI"/>
        </w:rPr>
        <w:t xml:space="preserve"> resulted in declining groundwater levels and stream salinity</w:t>
      </w:r>
      <w:r w:rsidR="00AE6EC1">
        <w:rPr>
          <w:rFonts w:eastAsia="Gill Sans MT" w:cs="Majalla UI"/>
        </w:rPr>
        <w:t xml:space="preserve"> across much of the </w:t>
      </w:r>
      <w:r w:rsidR="00D27776">
        <w:rPr>
          <w:rFonts w:eastAsia="Gill Sans MT" w:cs="Majalla UI"/>
        </w:rPr>
        <w:t>WA </w:t>
      </w:r>
      <w:r w:rsidR="00AE6EC1">
        <w:rPr>
          <w:rFonts w:eastAsia="Gill Sans MT" w:cs="Majalla UI"/>
        </w:rPr>
        <w:t>RFA region. At this time, g</w:t>
      </w:r>
      <w:r w:rsidR="00AE6EC1" w:rsidRPr="000A0C0A">
        <w:rPr>
          <w:rFonts w:eastAsia="Gill Sans MT" w:cs="Majalla UI"/>
        </w:rPr>
        <w:t xml:space="preserve">roundwater levels that were near the surface in the 1970s and 1980s </w:t>
      </w:r>
      <w:r w:rsidR="00AE6EC1">
        <w:rPr>
          <w:rFonts w:eastAsia="Gill Sans MT" w:cs="Majalla UI"/>
        </w:rPr>
        <w:t xml:space="preserve">had become </w:t>
      </w:r>
      <w:r w:rsidR="00AE6EC1" w:rsidRPr="000A0C0A">
        <w:rPr>
          <w:rFonts w:eastAsia="Gill Sans MT" w:cs="Majalla UI"/>
        </w:rPr>
        <w:t xml:space="preserve">deeper than 5 m in the </w:t>
      </w:r>
      <w:r w:rsidR="00D27776">
        <w:rPr>
          <w:rFonts w:eastAsia="Gill Sans MT" w:cs="Majalla UI"/>
        </w:rPr>
        <w:t>northern half of the WA </w:t>
      </w:r>
      <w:r w:rsidR="00705D44">
        <w:rPr>
          <w:rFonts w:eastAsia="Gill Sans MT" w:cs="Majalla UI"/>
        </w:rPr>
        <w:t>RFA region</w:t>
      </w:r>
      <w:r w:rsidR="00AE6EC1">
        <w:rPr>
          <w:rFonts w:eastAsia="Gill Sans MT" w:cs="Majalla UI"/>
        </w:rPr>
        <w:t>. With a</w:t>
      </w:r>
      <w:r w:rsidR="00AE6EC1" w:rsidRPr="000A0C0A">
        <w:rPr>
          <w:rFonts w:eastAsia="Gill Sans MT" w:cs="Majalla UI"/>
        </w:rPr>
        <w:t>nnual rainfall and groundwater levels projected to decline further for several decades</w:t>
      </w:r>
      <w:r w:rsidR="00AE6EC1">
        <w:rPr>
          <w:rFonts w:eastAsia="Gill Sans MT" w:cs="Majalla UI"/>
        </w:rPr>
        <w:t xml:space="preserve">, </w:t>
      </w:r>
      <w:r>
        <w:rPr>
          <w:rFonts w:eastAsia="Gill Sans MT" w:cs="Majalla UI"/>
        </w:rPr>
        <w:t xml:space="preserve">the </w:t>
      </w:r>
      <w:r w:rsidR="00AE6EC1">
        <w:rPr>
          <w:rFonts w:eastAsia="Gill Sans MT" w:cs="Majalla UI"/>
        </w:rPr>
        <w:t>FMP</w:t>
      </w:r>
      <w:r w:rsidR="00D27776">
        <w:rPr>
          <w:rFonts w:eastAsia="Gill Sans MT" w:cs="Majalla UI"/>
        </w:rPr>
        <w:t> </w:t>
      </w:r>
      <w:r>
        <w:rPr>
          <w:rFonts w:eastAsia="Gill Sans MT" w:cs="Majalla UI"/>
        </w:rPr>
        <w:t>20</w:t>
      </w:r>
      <w:r w:rsidR="00AE6EC1">
        <w:rPr>
          <w:rFonts w:eastAsia="Gill Sans MT" w:cs="Majalla UI"/>
        </w:rPr>
        <w:t>14</w:t>
      </w:r>
      <w:r w:rsidR="00D27776">
        <w:rPr>
          <w:rFonts w:eastAsia="Gill Sans MT" w:cs="Majalla UI"/>
        </w:rPr>
        <w:noBreakHyphen/>
      </w:r>
      <w:r>
        <w:rPr>
          <w:rFonts w:eastAsia="Gill Sans MT" w:cs="Majalla UI"/>
        </w:rPr>
        <w:t>2023</w:t>
      </w:r>
      <w:r w:rsidR="00AE6EC1">
        <w:rPr>
          <w:rFonts w:eastAsia="Gill Sans MT" w:cs="Majalla UI"/>
        </w:rPr>
        <w:t xml:space="preserve"> </w:t>
      </w:r>
      <w:r>
        <w:rPr>
          <w:rFonts w:eastAsia="Gill Sans MT" w:cs="Majalla UI"/>
        </w:rPr>
        <w:t>introduced</w:t>
      </w:r>
      <w:r w:rsidR="00AE6EC1">
        <w:rPr>
          <w:rFonts w:eastAsia="Gill Sans MT" w:cs="Majalla UI"/>
        </w:rPr>
        <w:t xml:space="preserve"> revised settings that recognised the declining risk of stream salinity and increase</w:t>
      </w:r>
      <w:r>
        <w:rPr>
          <w:rFonts w:eastAsia="Gill Sans MT" w:cs="Majalla UI"/>
        </w:rPr>
        <w:t>d</w:t>
      </w:r>
      <w:r w:rsidR="00AE6EC1">
        <w:rPr>
          <w:rFonts w:eastAsia="Gill Sans MT" w:cs="Majalla UI"/>
        </w:rPr>
        <w:t xml:space="preserve"> risk </w:t>
      </w:r>
      <w:r>
        <w:rPr>
          <w:rFonts w:eastAsia="Gill Sans MT" w:cs="Majalla UI"/>
        </w:rPr>
        <w:t>of</w:t>
      </w:r>
      <w:r w:rsidR="00AE6EC1">
        <w:rPr>
          <w:rFonts w:eastAsia="Gill Sans MT" w:cs="Majalla UI"/>
        </w:rPr>
        <w:t xml:space="preserve"> reduced streamflow and potential impacts on aquatic and groundwater dependent ecosystems. </w:t>
      </w:r>
      <w:r>
        <w:rPr>
          <w:rFonts w:eastAsia="Gill Sans MT" w:cs="Majalla UI"/>
        </w:rPr>
        <w:t xml:space="preserve">The </w:t>
      </w:r>
      <w:r w:rsidR="00D27776">
        <w:rPr>
          <w:rFonts w:eastAsia="Gill Sans MT" w:cs="Majalla UI"/>
        </w:rPr>
        <w:t>FMP 2014</w:t>
      </w:r>
      <w:r w:rsidR="00D27776">
        <w:rPr>
          <w:rFonts w:eastAsia="Gill Sans MT" w:cs="Majalla UI"/>
        </w:rPr>
        <w:noBreakHyphen/>
      </w:r>
      <w:r w:rsidR="000D7979">
        <w:rPr>
          <w:rFonts w:eastAsia="Gill Sans MT" w:cs="Majalla UI"/>
        </w:rPr>
        <w:t>2023</w:t>
      </w:r>
      <w:r w:rsidR="00AE6EC1">
        <w:rPr>
          <w:rFonts w:eastAsia="Gill Sans MT" w:cs="Majalla UI"/>
        </w:rPr>
        <w:t xml:space="preserve"> provides for </w:t>
      </w:r>
      <w:r w:rsidR="00AE6EC1" w:rsidRPr="002F2AE5">
        <w:rPr>
          <w:rFonts w:eastAsia="Gill Sans MT" w:cs="Majalla UI"/>
        </w:rPr>
        <w:t xml:space="preserve">silvicultural treatment to address threats to ecosystem health and vitality (referred to as ‘silviculture for ecosystem health’). </w:t>
      </w:r>
      <w:r>
        <w:rPr>
          <w:rFonts w:eastAsia="Gill Sans MT" w:cs="Majalla UI"/>
        </w:rPr>
        <w:t xml:space="preserve">The </w:t>
      </w:r>
      <w:r w:rsidR="00D27776">
        <w:rPr>
          <w:rFonts w:eastAsia="Gill Sans MT" w:cs="Majalla UI"/>
        </w:rPr>
        <w:t>FMP 2014</w:t>
      </w:r>
      <w:r w:rsidR="00D27776">
        <w:rPr>
          <w:rFonts w:eastAsia="Gill Sans MT" w:cs="Majalla UI"/>
        </w:rPr>
        <w:noBreakHyphen/>
      </w:r>
      <w:r w:rsidR="000D7979">
        <w:rPr>
          <w:rFonts w:eastAsia="Gill Sans MT" w:cs="Majalla UI"/>
        </w:rPr>
        <w:t>2023</w:t>
      </w:r>
      <w:r w:rsidR="00AE6EC1">
        <w:rPr>
          <w:rFonts w:eastAsia="Gill Sans MT" w:cs="Majalla UI"/>
        </w:rPr>
        <w:t xml:space="preserve"> </w:t>
      </w:r>
      <w:r w:rsidR="00AE6EC1" w:rsidRPr="002F2AE5">
        <w:rPr>
          <w:rFonts w:eastAsia="Gill Sans MT" w:cs="Majalla UI"/>
        </w:rPr>
        <w:t>also provides for ‘silviculture for water production’, which involves silvicultural treatment to maintain or enhance water supply, with ancillary benefits for ecosystem health and vitality.</w:t>
      </w:r>
    </w:p>
    <w:p w14:paraId="26ABD038" w14:textId="77777777" w:rsidR="00AE6EC1" w:rsidRPr="00C569E4" w:rsidRDefault="00AE6EC1" w:rsidP="00510035">
      <w:pPr>
        <w:rPr>
          <w:rFonts w:eastAsia="Gill Sans MT" w:cs="Majalla UI"/>
        </w:rPr>
      </w:pPr>
      <w:r>
        <w:rPr>
          <w:rFonts w:eastAsia="Gill Sans MT" w:cs="Majalla UI"/>
        </w:rPr>
        <w:t xml:space="preserve">At an operational level, management practices are guided by the </w:t>
      </w:r>
      <w:r w:rsidRPr="00CA2B99">
        <w:rPr>
          <w:rFonts w:eastAsia="Gill Sans MT" w:cs="Majalla UI"/>
          <w:i/>
        </w:rPr>
        <w:t>Soil and Water Conservation Guideline</w:t>
      </w:r>
      <w:r>
        <w:rPr>
          <w:rFonts w:eastAsia="Gill Sans MT" w:cs="Majalla UI"/>
        </w:rPr>
        <w:t xml:space="preserve"> (Department of Environment and Conservation, 2009). </w:t>
      </w:r>
      <w:r w:rsidRPr="00484A30">
        <w:rPr>
          <w:rFonts w:eastAsia="Gill Sans MT" w:cs="Majalla UI"/>
        </w:rPr>
        <w:t>Th</w:t>
      </w:r>
      <w:r w:rsidR="00705D44">
        <w:rPr>
          <w:rFonts w:eastAsia="Gill Sans MT" w:cs="Majalla UI"/>
        </w:rPr>
        <w:t>is</w:t>
      </w:r>
      <w:r w:rsidRPr="00484A30">
        <w:rPr>
          <w:rFonts w:eastAsia="Gill Sans MT" w:cs="Majalla UI"/>
        </w:rPr>
        <w:t xml:space="preserve"> </w:t>
      </w:r>
      <w:r w:rsidR="00705D44">
        <w:rPr>
          <w:rFonts w:eastAsia="Gill Sans MT" w:cs="Majalla UI"/>
        </w:rPr>
        <w:t>g</w:t>
      </w:r>
      <w:r w:rsidRPr="00484A30">
        <w:rPr>
          <w:rFonts w:eastAsia="Gill Sans MT" w:cs="Majalla UI"/>
        </w:rPr>
        <w:t xml:space="preserve">uideline outlines physical and chemical aspects of water quality and a series of guiding principles for protection and management of these values. Key subsidiary documents to the </w:t>
      </w:r>
      <w:r w:rsidR="00705D44">
        <w:rPr>
          <w:rFonts w:eastAsia="Gill Sans MT" w:cs="Majalla UI"/>
        </w:rPr>
        <w:t>g</w:t>
      </w:r>
      <w:r w:rsidRPr="00484A30">
        <w:rPr>
          <w:rFonts w:eastAsia="Gill Sans MT" w:cs="Majalla UI"/>
        </w:rPr>
        <w:t>uideline prescribe operational practices for the management and protection of water values</w:t>
      </w:r>
      <w:r>
        <w:rPr>
          <w:rFonts w:eastAsia="Gill Sans MT" w:cs="Majalla UI"/>
        </w:rPr>
        <w:t xml:space="preserve"> including </w:t>
      </w:r>
      <w:r w:rsidRPr="0003445A">
        <w:rPr>
          <w:rFonts w:eastAsia="Gill Sans MT" w:cs="Majalla UI"/>
        </w:rPr>
        <w:t>demarcation and protection of stream reserves, spills management for pesticides and/or hydrocarbons, the location, design and drainage of roads, identification and management within acid sulphate soil risk zones and operational controls associated with public drinking water source areas.</w:t>
      </w:r>
    </w:p>
    <w:p w14:paraId="7E1FBF2D" w14:textId="77777777" w:rsidR="005D1FC2" w:rsidRDefault="005D1FC2">
      <w:pPr>
        <w:spacing w:before="0" w:after="480" w:line="276" w:lineRule="auto"/>
        <w:rPr>
          <w:rFonts w:cs="Segoe UI"/>
          <w:b/>
          <w:color w:val="000000" w:themeColor="text1"/>
          <w:sz w:val="24"/>
          <w:szCs w:val="24"/>
          <w:lang w:eastAsia="en-AU"/>
        </w:rPr>
      </w:pPr>
      <w:bookmarkStart w:id="93" w:name="_Toc524952800"/>
      <w:r>
        <w:rPr>
          <w:lang w:eastAsia="en-AU"/>
        </w:rPr>
        <w:br w:type="page"/>
      </w:r>
    </w:p>
    <w:p w14:paraId="26ABD039" w14:textId="29CB7A4E" w:rsidR="00DC3260" w:rsidRPr="00CE60B2" w:rsidRDefault="00AF064B" w:rsidP="008A4979">
      <w:pPr>
        <w:pStyle w:val="Heading3"/>
        <w:rPr>
          <w:lang w:eastAsia="en-AU"/>
        </w:rPr>
      </w:pPr>
      <w:bookmarkStart w:id="94" w:name="_Toc2776044"/>
      <w:r w:rsidRPr="00CE60B2">
        <w:rPr>
          <w:lang w:eastAsia="en-AU"/>
        </w:rPr>
        <w:lastRenderedPageBreak/>
        <w:t xml:space="preserve">Summary </w:t>
      </w:r>
      <w:r w:rsidR="008F25E6" w:rsidRPr="00CE60B2">
        <w:rPr>
          <w:lang w:eastAsia="en-AU"/>
        </w:rPr>
        <w:t>and</w:t>
      </w:r>
      <w:r w:rsidRPr="00CE60B2">
        <w:rPr>
          <w:lang w:eastAsia="en-AU"/>
        </w:rPr>
        <w:t xml:space="preserve"> future management of environmental values</w:t>
      </w:r>
      <w:bookmarkEnd w:id="93"/>
      <w:bookmarkEnd w:id="94"/>
    </w:p>
    <w:p w14:paraId="26ABD03A" w14:textId="77777777" w:rsidR="007E358F" w:rsidRDefault="007E358F" w:rsidP="007E358F">
      <w:pPr>
        <w:pStyle w:val="Heading5"/>
        <w:rPr>
          <w:rFonts w:cs="Segoe UI"/>
        </w:rPr>
      </w:pPr>
      <w:r w:rsidRPr="00CE60B2">
        <w:rPr>
          <w:rFonts w:cs="Segoe UI"/>
        </w:rPr>
        <w:t>Old</w:t>
      </w:r>
      <w:r w:rsidR="008B7102">
        <w:rPr>
          <w:rFonts w:cs="Segoe UI"/>
        </w:rPr>
        <w:noBreakHyphen/>
      </w:r>
      <w:r w:rsidRPr="00CE60B2">
        <w:rPr>
          <w:rFonts w:cs="Segoe UI"/>
        </w:rPr>
        <w:t xml:space="preserve">Growth </w:t>
      </w:r>
      <w:r w:rsidR="00D8107E">
        <w:rPr>
          <w:rFonts w:cs="Segoe UI"/>
        </w:rPr>
        <w:t xml:space="preserve">Forest </w:t>
      </w:r>
      <w:r w:rsidRPr="00CE60B2">
        <w:rPr>
          <w:rFonts w:cs="Segoe UI"/>
        </w:rPr>
        <w:t>Values</w:t>
      </w:r>
    </w:p>
    <w:p w14:paraId="26ABD03B" w14:textId="60C43DFA" w:rsidR="007E358F" w:rsidRDefault="00B40201" w:rsidP="007E358F">
      <w:r>
        <w:t>Old-growth</w:t>
      </w:r>
      <w:r w:rsidR="007E358F">
        <w:t xml:space="preserve"> </w:t>
      </w:r>
      <w:r w:rsidR="00DA4B08">
        <w:t>forest attributes</w:t>
      </w:r>
      <w:r w:rsidR="007E358F">
        <w:t xml:space="preserve"> were a key factor in the design of the CAR reserve system under the WA RFA. The </w:t>
      </w:r>
      <w:r w:rsidR="00CD653A">
        <w:t>long-term</w:t>
      </w:r>
      <w:r w:rsidR="007E358F">
        <w:t xml:space="preserve"> protection of </w:t>
      </w:r>
      <w:r>
        <w:t>old-growth</w:t>
      </w:r>
      <w:r w:rsidR="007E358F">
        <w:t xml:space="preserve"> forest is important due to biodiversity, aesthetic and cultural attributes associated with the absence of anthropogenic disturbance.</w:t>
      </w:r>
    </w:p>
    <w:p w14:paraId="26ABD03C" w14:textId="77777777" w:rsidR="00636977" w:rsidRDefault="00636977" w:rsidP="007E358F">
      <w:r>
        <w:t>The Western Australian Government ceased harvesting in old-grow</w:t>
      </w:r>
      <w:r w:rsidR="00A43AEF">
        <w:t>th forests in 2001, through the</w:t>
      </w:r>
      <w:r>
        <w:t xml:space="preserve"> </w:t>
      </w:r>
      <w:r w:rsidRPr="005D0786">
        <w:rPr>
          <w:i/>
        </w:rPr>
        <w:t xml:space="preserve">Protecting our </w:t>
      </w:r>
      <w:r w:rsidR="00506AA1">
        <w:rPr>
          <w:i/>
        </w:rPr>
        <w:t>O</w:t>
      </w:r>
      <w:r w:rsidRPr="005D0786">
        <w:rPr>
          <w:i/>
        </w:rPr>
        <w:t xml:space="preserve">ld-growth </w:t>
      </w:r>
      <w:r w:rsidR="00506AA1">
        <w:rPr>
          <w:i/>
        </w:rPr>
        <w:t>F</w:t>
      </w:r>
      <w:r w:rsidRPr="005D0786">
        <w:rPr>
          <w:i/>
        </w:rPr>
        <w:t xml:space="preserve">orests </w:t>
      </w:r>
      <w:r w:rsidRPr="005D0786">
        <w:t>policy</w:t>
      </w:r>
      <w:r>
        <w:t xml:space="preserve">. </w:t>
      </w:r>
    </w:p>
    <w:p w14:paraId="26ABD03D" w14:textId="77777777" w:rsidR="00543571" w:rsidRDefault="007E358F" w:rsidP="007E358F">
      <w:r>
        <w:t xml:space="preserve">All </w:t>
      </w:r>
      <w:r w:rsidR="00B40201">
        <w:t>old-growth</w:t>
      </w:r>
      <w:r>
        <w:t xml:space="preserve"> forest </w:t>
      </w:r>
      <w:r w:rsidR="00D8107E">
        <w:t>o</w:t>
      </w:r>
      <w:r>
        <w:t xml:space="preserve">n lands vested in the </w:t>
      </w:r>
      <w:r w:rsidR="00D8107E">
        <w:t>C</w:t>
      </w:r>
      <w:r>
        <w:t xml:space="preserve">PC has been protected since 2001. Any disturbance operations on lands managed by DBCA requires checks for the presence of unmapped </w:t>
      </w:r>
      <w:r w:rsidR="00B40201">
        <w:t>old-growth</w:t>
      </w:r>
      <w:r>
        <w:t xml:space="preserve"> forest. This practice will be continued in the future, with any refinements</w:t>
      </w:r>
      <w:r w:rsidR="00A97602">
        <w:t xml:space="preserve"> included in </w:t>
      </w:r>
      <w:r>
        <w:t xml:space="preserve">the </w:t>
      </w:r>
      <w:r w:rsidR="00B40201">
        <w:t>old-growth</w:t>
      </w:r>
      <w:r>
        <w:t xml:space="preserve"> forest dataset</w:t>
      </w:r>
      <w:r w:rsidR="00D8107E">
        <w:t>,</w:t>
      </w:r>
      <w:r>
        <w:t xml:space="preserve"> and to ensure ongoing protection of the </w:t>
      </w:r>
      <w:r w:rsidR="00B40201">
        <w:t>old-growth</w:t>
      </w:r>
      <w:r>
        <w:t xml:space="preserve"> forest estate. </w:t>
      </w:r>
    </w:p>
    <w:p w14:paraId="26ABD03E" w14:textId="0CA6D695" w:rsidR="007E358F" w:rsidRPr="008601B1" w:rsidRDefault="00C9181A" w:rsidP="007E358F">
      <w:pPr>
        <w:rPr>
          <w:vanish/>
          <w:specVanish/>
        </w:rPr>
      </w:pPr>
      <w:r>
        <w:t>In 2018</w:t>
      </w:r>
      <w:r w:rsidR="00CD653A">
        <w:t>,</w:t>
      </w:r>
      <w:r>
        <w:t xml:space="preserve"> there were 335,557 </w:t>
      </w:r>
      <w:r w:rsidR="007E358F">
        <w:t xml:space="preserve">hectares of </w:t>
      </w:r>
      <w:r w:rsidR="00B40201">
        <w:t>old-growth</w:t>
      </w:r>
      <w:r w:rsidR="007E358F">
        <w:t xml:space="preserve"> </w:t>
      </w:r>
      <w:r>
        <w:t>forest on public land in the WA </w:t>
      </w:r>
      <w:r w:rsidR="007E358F">
        <w:t>RFA region</w:t>
      </w:r>
      <w:r w:rsidR="00543571">
        <w:t xml:space="preserve">. </w:t>
      </w:r>
      <w:r w:rsidR="00543571" w:rsidRPr="0055116C">
        <w:rPr>
          <w:rFonts w:cs="Segoe UI"/>
        </w:rPr>
        <w:t>There has been an overall increase in reservation of old</w:t>
      </w:r>
      <w:r w:rsidR="00543571" w:rsidRPr="0055116C">
        <w:rPr>
          <w:rFonts w:cs="Segoe UI"/>
        </w:rPr>
        <w:noBreakHyphen/>
        <w:t xml:space="preserve">growth forest of 89,167 hectares since the commencement of the </w:t>
      </w:r>
      <w:r>
        <w:rPr>
          <w:rFonts w:cs="Segoe UI"/>
        </w:rPr>
        <w:t>WA </w:t>
      </w:r>
      <w:r w:rsidR="00543571" w:rsidRPr="0055116C">
        <w:rPr>
          <w:rFonts w:cs="Segoe UI"/>
        </w:rPr>
        <w:t>RFA in 1999</w:t>
      </w:r>
      <w:r w:rsidR="007E358F">
        <w:t>.</w:t>
      </w:r>
    </w:p>
    <w:p w14:paraId="26ABD03F" w14:textId="77777777" w:rsidR="007E358F" w:rsidRPr="0055116C" w:rsidRDefault="007E358F" w:rsidP="007E358F">
      <w:r>
        <w:t xml:space="preserve"> While the dataset of </w:t>
      </w:r>
      <w:r w:rsidR="00C9181A">
        <w:t>old</w:t>
      </w:r>
      <w:r w:rsidR="00C9181A">
        <w:noBreakHyphen/>
      </w:r>
      <w:r w:rsidR="00B40201">
        <w:t>growth</w:t>
      </w:r>
      <w:r>
        <w:t xml:space="preserve"> forest on private land has not been updated since the CRA, </w:t>
      </w:r>
      <w:r w:rsidRPr="00A97602">
        <w:t xml:space="preserve">DBCA will continue to work with private landowners to </w:t>
      </w:r>
      <w:r w:rsidR="0055116C">
        <w:t xml:space="preserve">identify, </w:t>
      </w:r>
      <w:r w:rsidRPr="00A97602">
        <w:t xml:space="preserve">conserve and protect </w:t>
      </w:r>
      <w:r w:rsidR="00B40201" w:rsidRPr="00A97602">
        <w:t>old-growth</w:t>
      </w:r>
      <w:r w:rsidRPr="00A97602">
        <w:t xml:space="preserve"> forest on private land where the opportunity </w:t>
      </w:r>
      <w:r w:rsidR="00D8107E" w:rsidRPr="00A97602">
        <w:t>arises</w:t>
      </w:r>
      <w:r w:rsidR="0055116C">
        <w:t xml:space="preserve">, </w:t>
      </w:r>
      <w:r w:rsidR="0055116C" w:rsidRPr="0055116C">
        <w:t>and acknowledging the fact that private landowners are governed by different policy and legislation to old-growth forest on public land.</w:t>
      </w:r>
    </w:p>
    <w:p w14:paraId="26ABD040" w14:textId="77777777" w:rsidR="0055116C" w:rsidRPr="00DE1D23" w:rsidRDefault="0055116C" w:rsidP="0055116C">
      <w:r w:rsidRPr="0055116C">
        <w:t>The extended WA</w:t>
      </w:r>
      <w:r w:rsidR="00C9181A">
        <w:t> </w:t>
      </w:r>
      <w:r w:rsidRPr="0055116C">
        <w:t xml:space="preserve">RFA will continue to protect old-growth forest values through the implementation of the CAR reserve system and Western Australia’s </w:t>
      </w:r>
      <w:r w:rsidR="00C06FC1">
        <w:t>FMP</w:t>
      </w:r>
      <w:r w:rsidR="00C9181A">
        <w:t xml:space="preserve"> process. The FMP 2014</w:t>
      </w:r>
      <w:r w:rsidR="00C9181A">
        <w:noBreakHyphen/>
      </w:r>
      <w:r w:rsidRPr="0055116C">
        <w:t>2023 includes measures for the protection of old-growth forest, including the permanent prohibition of harvesting the old-growth forests outside the CAR reserve system.</w:t>
      </w:r>
    </w:p>
    <w:p w14:paraId="26ABD041" w14:textId="77777777" w:rsidR="007E358F" w:rsidRDefault="007E358F" w:rsidP="007E358F">
      <w:pPr>
        <w:pStyle w:val="Heading5"/>
        <w:rPr>
          <w:rFonts w:cs="Segoe UI"/>
        </w:rPr>
      </w:pPr>
      <w:r w:rsidRPr="00CE60B2">
        <w:rPr>
          <w:rFonts w:cs="Segoe UI"/>
        </w:rPr>
        <w:t>Wilderness Values</w:t>
      </w:r>
    </w:p>
    <w:p w14:paraId="26ABD042" w14:textId="77777777" w:rsidR="0012253C" w:rsidRDefault="007E358F" w:rsidP="007E358F">
      <w:r>
        <w:t xml:space="preserve">There is a growing awareness that wilderness areas support values that should be protected from anthropogenic disturbance. While the CRA assessments did not identify any areas that met the combined thresholds for the wilderness indicators to be delineated, areas with high quality wilderness were incorporated into the CAR reserve system. Since the signing of the RFA, the amount of wilderness protected in reserves has increased significantly, including the creation of the Walpole Wilderness areas. </w:t>
      </w:r>
      <w:r w:rsidR="0012253C" w:rsidRPr="00CE60B2">
        <w:rPr>
          <w:rFonts w:cs="Segoe UI"/>
          <w:szCs w:val="16"/>
        </w:rPr>
        <w:t>Management of the Walpo</w:t>
      </w:r>
      <w:r w:rsidR="0012253C">
        <w:rPr>
          <w:rFonts w:cs="Segoe UI"/>
          <w:szCs w:val="16"/>
        </w:rPr>
        <w:t>l</w:t>
      </w:r>
      <w:r w:rsidR="0012253C" w:rsidRPr="00CE60B2">
        <w:rPr>
          <w:rFonts w:cs="Segoe UI"/>
          <w:szCs w:val="16"/>
        </w:rPr>
        <w:t xml:space="preserve">e Wilderness areas is in accordance with the </w:t>
      </w:r>
      <w:r w:rsidR="0012253C" w:rsidRPr="00CE60B2">
        <w:rPr>
          <w:rFonts w:cs="Segoe UI"/>
          <w:i/>
          <w:szCs w:val="16"/>
        </w:rPr>
        <w:t>Walpole Wilderness Management Plan</w:t>
      </w:r>
      <w:r w:rsidR="0012253C">
        <w:rPr>
          <w:rFonts w:cs="Segoe UI"/>
          <w:i/>
          <w:szCs w:val="16"/>
        </w:rPr>
        <w:t> </w:t>
      </w:r>
      <w:r w:rsidR="0012253C" w:rsidRPr="00CE60B2">
        <w:rPr>
          <w:rFonts w:cs="Segoe UI"/>
          <w:i/>
          <w:szCs w:val="16"/>
        </w:rPr>
        <w:t>2008</w:t>
      </w:r>
      <w:r w:rsidR="0012253C" w:rsidRPr="00CE60B2">
        <w:rPr>
          <w:rFonts w:cs="Segoe UI"/>
          <w:szCs w:val="16"/>
        </w:rPr>
        <w:t xml:space="preserve"> and </w:t>
      </w:r>
      <w:r w:rsidR="00137E4F">
        <w:rPr>
          <w:rFonts w:cs="Segoe UI"/>
          <w:szCs w:val="16"/>
        </w:rPr>
        <w:t xml:space="preserve">DBCA </w:t>
      </w:r>
      <w:r w:rsidR="0012253C" w:rsidRPr="00CE60B2">
        <w:rPr>
          <w:rFonts w:cs="Segoe UI"/>
          <w:szCs w:val="16"/>
        </w:rPr>
        <w:t>Policy</w:t>
      </w:r>
      <w:r w:rsidR="0012253C">
        <w:rPr>
          <w:rFonts w:cs="Segoe UI"/>
          <w:szCs w:val="16"/>
        </w:rPr>
        <w:t> </w:t>
      </w:r>
      <w:r w:rsidR="0012253C" w:rsidRPr="00CE60B2">
        <w:rPr>
          <w:rFonts w:cs="Segoe UI"/>
          <w:szCs w:val="16"/>
        </w:rPr>
        <w:t xml:space="preserve">62 which aim to maintain or enhance wilderness qualities within these areas through such actions as restricting access, </w:t>
      </w:r>
      <w:r w:rsidR="0012253C">
        <w:rPr>
          <w:rFonts w:cs="Segoe UI"/>
          <w:szCs w:val="16"/>
        </w:rPr>
        <w:t xml:space="preserve">limiting </w:t>
      </w:r>
      <w:r w:rsidR="0012253C" w:rsidRPr="00CE60B2">
        <w:rPr>
          <w:rFonts w:cs="Segoe UI"/>
          <w:szCs w:val="16"/>
        </w:rPr>
        <w:t>the use of mechanised transport, the placement of infrastructure (including closure and rehabilitation of legacy tracks and trails) and other measures.</w:t>
      </w:r>
      <w:r w:rsidR="0012253C">
        <w:rPr>
          <w:rFonts w:cs="Segoe UI"/>
          <w:szCs w:val="16"/>
        </w:rPr>
        <w:t xml:space="preserve"> These areas are within a national park (part of the CAR reserve system) and will continue to be managed over the long-term, under </w:t>
      </w:r>
      <w:r w:rsidR="00137E4F">
        <w:rPr>
          <w:rFonts w:cs="Segoe UI"/>
          <w:szCs w:val="16"/>
        </w:rPr>
        <w:t>an</w:t>
      </w:r>
      <w:r w:rsidR="0012253C">
        <w:rPr>
          <w:rFonts w:cs="Segoe UI"/>
          <w:szCs w:val="16"/>
        </w:rPr>
        <w:t xml:space="preserve"> extended WA RFA, to preserve their biophysical naturalness and wilderness attributes.</w:t>
      </w:r>
    </w:p>
    <w:p w14:paraId="26ABD043" w14:textId="77777777" w:rsidR="007E358F" w:rsidRPr="009468CE" w:rsidRDefault="00C9181A" w:rsidP="007E358F">
      <w:r>
        <w:t>Under the extended WA </w:t>
      </w:r>
      <w:r w:rsidR="0055116C">
        <w:t xml:space="preserve">RFA, </w:t>
      </w:r>
      <w:r w:rsidR="007E358F">
        <w:t xml:space="preserve">Western Australia will continue to </w:t>
      </w:r>
      <w:r w:rsidR="0055116C" w:rsidRPr="0055116C">
        <w:t xml:space="preserve">protect wilderness values by </w:t>
      </w:r>
      <w:r w:rsidR="007E358F">
        <w:t>identify</w:t>
      </w:r>
      <w:r w:rsidR="0055116C">
        <w:t>ing</w:t>
      </w:r>
      <w:r w:rsidR="007E358F">
        <w:t xml:space="preserve"> and assess</w:t>
      </w:r>
      <w:r w:rsidR="0055116C">
        <w:t>ing</w:t>
      </w:r>
      <w:r w:rsidR="007E358F">
        <w:t xml:space="preserve"> wilderness values on land vested in the C</w:t>
      </w:r>
      <w:r w:rsidR="00D8107E">
        <w:t>PC</w:t>
      </w:r>
      <w:r w:rsidR="007E358F">
        <w:t>. Actions will be taken to maintain natural processes and communities by protecting them from unnatural disturbances and maintaining ecological processes</w:t>
      </w:r>
      <w:r w:rsidR="007E358F" w:rsidRPr="00A43AEF">
        <w:t>.</w:t>
      </w:r>
      <w:r w:rsidR="0055116C" w:rsidRPr="00A43AEF">
        <w:t xml:space="preserve"> Management actions will be subject to ongoing monitoring to ensure the effectiveness of the protection on these values.</w:t>
      </w:r>
      <w:r w:rsidR="007E358F">
        <w:t xml:space="preserve"> </w:t>
      </w:r>
    </w:p>
    <w:p w14:paraId="26ABD044" w14:textId="77777777" w:rsidR="007E358F" w:rsidRDefault="007E358F" w:rsidP="007E358F">
      <w:pPr>
        <w:pStyle w:val="Heading5"/>
        <w:rPr>
          <w:rFonts w:cs="Segoe UI"/>
        </w:rPr>
      </w:pPr>
      <w:r w:rsidRPr="00CE60B2">
        <w:rPr>
          <w:rFonts w:cs="Segoe UI"/>
        </w:rPr>
        <w:lastRenderedPageBreak/>
        <w:t>Endangered Species Values</w:t>
      </w:r>
    </w:p>
    <w:p w14:paraId="26ABD045" w14:textId="77777777" w:rsidR="00AF6FF2" w:rsidRDefault="007E358F" w:rsidP="007E358F">
      <w:r>
        <w:t xml:space="preserve">Protection of endangered species values was one of the key considerations of the CRA process, which </w:t>
      </w:r>
      <w:r w:rsidRPr="003D241C">
        <w:t xml:space="preserve">identified </w:t>
      </w:r>
      <w:r w:rsidR="003D241C" w:rsidRPr="003D241C">
        <w:rPr>
          <w:rFonts w:cs="Segoe UI"/>
        </w:rPr>
        <w:t xml:space="preserve">12 threatened fauna species and 57 threatened flora species </w:t>
      </w:r>
      <w:r w:rsidR="003D241C">
        <w:rPr>
          <w:rFonts w:cs="Segoe UI"/>
        </w:rPr>
        <w:t>listed unde</w:t>
      </w:r>
      <w:r w:rsidR="00C9181A">
        <w:rPr>
          <w:rFonts w:cs="Segoe UI"/>
        </w:rPr>
        <w:t>r the WC Act and ESP </w:t>
      </w:r>
      <w:r w:rsidR="003D241C">
        <w:rPr>
          <w:rFonts w:cs="Segoe UI"/>
        </w:rPr>
        <w:t xml:space="preserve">Act </w:t>
      </w:r>
      <w:r w:rsidR="003D241C" w:rsidRPr="003D241C">
        <w:rPr>
          <w:rFonts w:cs="Segoe UI"/>
        </w:rPr>
        <w:t>that occurred (or which had occurred) within the WA RFA region</w:t>
      </w:r>
      <w:r w:rsidR="003333B0">
        <w:rPr>
          <w:rFonts w:cs="Segoe UI"/>
        </w:rPr>
        <w:t xml:space="preserve">. </w:t>
      </w:r>
      <w:r w:rsidR="003333B0" w:rsidRPr="00CE60B2">
        <w:rPr>
          <w:rFonts w:cs="Segoe UI"/>
        </w:rPr>
        <w:t xml:space="preserve">By 2018, </w:t>
      </w:r>
      <w:r w:rsidR="00844F9B" w:rsidRPr="00844F9B">
        <w:rPr>
          <w:rFonts w:cs="Segoe UI"/>
        </w:rPr>
        <w:t>5</w:t>
      </w:r>
      <w:r w:rsidR="00844F9B" w:rsidRPr="0067459F">
        <w:rPr>
          <w:rFonts w:cs="Segoe UI"/>
        </w:rPr>
        <w:t xml:space="preserve">5 </w:t>
      </w:r>
      <w:r w:rsidR="003333B0" w:rsidRPr="0067459F">
        <w:rPr>
          <w:rFonts w:cs="Segoe UI"/>
        </w:rPr>
        <w:t xml:space="preserve">threatened fauna and </w:t>
      </w:r>
      <w:r w:rsidR="00844F9B" w:rsidRPr="00844F9B">
        <w:rPr>
          <w:rFonts w:cs="Segoe UI"/>
        </w:rPr>
        <w:t>1</w:t>
      </w:r>
      <w:r w:rsidR="00844F9B" w:rsidRPr="0067459F">
        <w:rPr>
          <w:rFonts w:cs="Segoe UI"/>
        </w:rPr>
        <w:t>46</w:t>
      </w:r>
      <w:r w:rsidR="00844F9B" w:rsidRPr="00CE60B2">
        <w:rPr>
          <w:rFonts w:cs="Segoe UI"/>
        </w:rPr>
        <w:t xml:space="preserve"> </w:t>
      </w:r>
      <w:r w:rsidR="003333B0" w:rsidRPr="00CE60B2">
        <w:rPr>
          <w:rFonts w:cs="Segoe UI"/>
        </w:rPr>
        <w:t xml:space="preserve">threatened flora species declared as protected </w:t>
      </w:r>
      <w:r w:rsidR="003333B0">
        <w:rPr>
          <w:rFonts w:cs="Segoe UI"/>
        </w:rPr>
        <w:t>or rare</w:t>
      </w:r>
      <w:r w:rsidR="00C9181A">
        <w:rPr>
          <w:rFonts w:cs="Segoe UI"/>
        </w:rPr>
        <w:t xml:space="preserve"> under the WC </w:t>
      </w:r>
      <w:r w:rsidR="003333B0" w:rsidRPr="00CE60B2">
        <w:rPr>
          <w:rFonts w:cs="Segoe UI"/>
        </w:rPr>
        <w:t>Act</w:t>
      </w:r>
      <w:r w:rsidR="003333B0">
        <w:rPr>
          <w:rFonts w:cs="Segoe UI"/>
        </w:rPr>
        <w:t xml:space="preserve"> </w:t>
      </w:r>
      <w:r w:rsidR="003333B0" w:rsidRPr="00CE60B2">
        <w:rPr>
          <w:rFonts w:cs="Segoe UI"/>
        </w:rPr>
        <w:t>or list</w:t>
      </w:r>
      <w:r w:rsidR="00C9181A">
        <w:rPr>
          <w:rFonts w:cs="Segoe UI"/>
        </w:rPr>
        <w:t>ed in the Schedules to the EPBC </w:t>
      </w:r>
      <w:r w:rsidR="003333B0" w:rsidRPr="00CE60B2">
        <w:rPr>
          <w:rFonts w:cs="Segoe UI"/>
        </w:rPr>
        <w:t>Ac</w:t>
      </w:r>
      <w:r w:rsidR="003333B0">
        <w:rPr>
          <w:rFonts w:cs="Segoe UI"/>
        </w:rPr>
        <w:t>t</w:t>
      </w:r>
      <w:r w:rsidR="003333B0" w:rsidRPr="00CE60B2">
        <w:rPr>
          <w:rFonts w:cs="Segoe UI"/>
        </w:rPr>
        <w:t xml:space="preserve"> had (or were believed to have had) populations within the WA</w:t>
      </w:r>
      <w:r w:rsidR="003333B0">
        <w:rPr>
          <w:rFonts w:cs="Segoe UI"/>
        </w:rPr>
        <w:t> </w:t>
      </w:r>
      <w:r w:rsidR="003333B0" w:rsidRPr="00CE60B2">
        <w:rPr>
          <w:rFonts w:cs="Segoe UI"/>
        </w:rPr>
        <w:t>RFA region</w:t>
      </w:r>
      <w:r w:rsidR="00B27528">
        <w:rPr>
          <w:rFonts w:cs="Segoe UI"/>
        </w:rPr>
        <w:t xml:space="preserve"> (Appendix B)</w:t>
      </w:r>
      <w:r w:rsidR="003333B0" w:rsidRPr="00CE60B2">
        <w:rPr>
          <w:rFonts w:cs="Segoe UI"/>
        </w:rPr>
        <w:t>.</w:t>
      </w:r>
      <w:r>
        <w:t xml:space="preserve"> </w:t>
      </w:r>
    </w:p>
    <w:p w14:paraId="26ABD046" w14:textId="77777777" w:rsidR="007E358F" w:rsidRDefault="007E358F" w:rsidP="007E358F">
      <w:r>
        <w:t>The WA RFA protects endangered species by providing a system of conservation reserves, maintaining a permanent native forest estate</w:t>
      </w:r>
      <w:r w:rsidR="00137E4F">
        <w:t>,</w:t>
      </w:r>
      <w:r>
        <w:t xml:space="preserve"> and management of habitat in areas outside the reserve system. Endangered species are further protected under the EPBC Act</w:t>
      </w:r>
      <w:r w:rsidR="00612811">
        <w:t xml:space="preserve"> and</w:t>
      </w:r>
      <w:r>
        <w:t xml:space="preserve"> the </w:t>
      </w:r>
      <w:r w:rsidR="00C9181A">
        <w:t>WC </w:t>
      </w:r>
      <w:r w:rsidRPr="000D311A">
        <w:t>Act</w:t>
      </w:r>
      <w:r w:rsidR="00612811">
        <w:t>.</w:t>
      </w:r>
      <w:r w:rsidR="00C9181A">
        <w:t xml:space="preserve"> In January </w:t>
      </w:r>
      <w:r>
        <w:t>2019</w:t>
      </w:r>
      <w:r w:rsidR="00C9181A">
        <w:t>,</w:t>
      </w:r>
      <w:r>
        <w:t xml:space="preserve"> endangered species values will also be considered under the </w:t>
      </w:r>
      <w:r w:rsidR="004D4E31" w:rsidRPr="004D4E31">
        <w:t xml:space="preserve">BC Act </w:t>
      </w:r>
      <w:r>
        <w:t xml:space="preserve">which is a modern and effective approach to biodiversity conservation and the ecologically sustainable use of biodiversity. </w:t>
      </w:r>
    </w:p>
    <w:p w14:paraId="26ABD047" w14:textId="77777777" w:rsidR="007E358F" w:rsidRDefault="0067459F" w:rsidP="007E358F">
      <w:r>
        <w:t xml:space="preserve">Either a WA recovery plan or </w:t>
      </w:r>
      <w:r w:rsidR="007E358F">
        <w:t>National recovery plan</w:t>
      </w:r>
      <w:r>
        <w:t xml:space="preserve"> is</w:t>
      </w:r>
      <w:r w:rsidR="007E358F">
        <w:t xml:space="preserve"> in place for </w:t>
      </w:r>
      <w:r>
        <w:t>89 of the 201 threatened fauna and flora</w:t>
      </w:r>
      <w:r w:rsidRPr="0067459F">
        <w:rPr>
          <w:rFonts w:cs="Segoe UI"/>
        </w:rPr>
        <w:t xml:space="preserve"> </w:t>
      </w:r>
      <w:r w:rsidRPr="00CE60B2">
        <w:rPr>
          <w:rFonts w:cs="Segoe UI"/>
        </w:rPr>
        <w:t xml:space="preserve">declared as protected </w:t>
      </w:r>
      <w:r>
        <w:rPr>
          <w:rFonts w:cs="Segoe UI"/>
        </w:rPr>
        <w:t>or rare</w:t>
      </w:r>
      <w:r w:rsidRPr="00CE60B2">
        <w:rPr>
          <w:rFonts w:cs="Segoe UI"/>
        </w:rPr>
        <w:t xml:space="preserve"> under the WC Act</w:t>
      </w:r>
      <w:r>
        <w:rPr>
          <w:rFonts w:cs="Segoe UI"/>
        </w:rPr>
        <w:t xml:space="preserve"> </w:t>
      </w:r>
      <w:r w:rsidRPr="00CE60B2">
        <w:rPr>
          <w:rFonts w:cs="Segoe UI"/>
        </w:rPr>
        <w:t>or listed in the Schedules to the EPBC Ac</w:t>
      </w:r>
      <w:r>
        <w:rPr>
          <w:rFonts w:cs="Segoe UI"/>
        </w:rPr>
        <w:t>t</w:t>
      </w:r>
      <w:r w:rsidRPr="009057B5">
        <w:t>.</w:t>
      </w:r>
      <w:r w:rsidR="003333B0">
        <w:t xml:space="preserve"> </w:t>
      </w:r>
      <w:r w:rsidR="009F00AD">
        <w:t xml:space="preserve">In the WA RFA region, </w:t>
      </w:r>
      <w:r w:rsidR="00F83E17">
        <w:t>there are 15 EPBC Act listed ecological communities</w:t>
      </w:r>
      <w:r w:rsidR="00A34146">
        <w:t xml:space="preserve"> and </w:t>
      </w:r>
      <w:r w:rsidR="0042470F" w:rsidRPr="009057B5">
        <w:t>27</w:t>
      </w:r>
      <w:r w:rsidR="003333B0">
        <w:t xml:space="preserve"> ecological communities considered at threat by the WA Minister for the Environment </w:t>
      </w:r>
      <w:r w:rsidR="0042470F">
        <w:t>(Appendix B)</w:t>
      </w:r>
      <w:r w:rsidR="007E358F">
        <w:t xml:space="preserve">. </w:t>
      </w:r>
      <w:r w:rsidR="00B27528">
        <w:t>All EPBC Act listed ecological communities have a conservation advice</w:t>
      </w:r>
      <w:r w:rsidR="009F00AD">
        <w:t>,</w:t>
      </w:r>
      <w:r w:rsidR="00B27528">
        <w:t xml:space="preserve"> recovery plan</w:t>
      </w:r>
      <w:r w:rsidR="009F00AD">
        <w:t xml:space="preserve"> or both</w:t>
      </w:r>
      <w:r w:rsidR="00B27528">
        <w:t xml:space="preserve"> in place to guide their recovery.</w:t>
      </w:r>
    </w:p>
    <w:p w14:paraId="26ABD048" w14:textId="77777777" w:rsidR="007E358F" w:rsidRDefault="007E358F" w:rsidP="007E358F">
      <w:r>
        <w:t>There are 12 threatening processes listed under the EPBC Act</w:t>
      </w:r>
      <w:r w:rsidR="006662A4">
        <w:t xml:space="preserve"> potentially</w:t>
      </w:r>
      <w:r>
        <w:t xml:space="preserve"> affecting threatened species in the WA RFA region. Western Australia applies a risk based approach to set priorities for management activities to address key threatening processes on public land in the WA RFA region. </w:t>
      </w:r>
    </w:p>
    <w:p w14:paraId="26ABD049" w14:textId="77777777" w:rsidR="0012253C" w:rsidRDefault="0012253C" w:rsidP="007E358F">
      <w:r>
        <w:t xml:space="preserve">A measure to reduce the impact of at least two of these threatening processes, ‘Western Shield’ is working to protect WA’s native wildlife though the broadscale control of introduced predators including foxes and feral cats. Western Shield monitoring has shown increases in the population size and distribution of priority native species including quokka, western brush wallaby and chuditch. Approximately 80 per cent of the annual baiting program occurs within the WA RFA region. This program will continue under the extended WA RFA to minimise the impact to threatened fauna. </w:t>
      </w:r>
    </w:p>
    <w:p w14:paraId="26ABD04A" w14:textId="00F0C283" w:rsidR="0012253C" w:rsidRPr="002658D5" w:rsidRDefault="0012253C" w:rsidP="0012253C">
      <w:r w:rsidRPr="003D153D">
        <w:t xml:space="preserve">Threatened species and ecological communities are protected by a suite of planning and operational controls within WA’s FMS that operate across a range of scales. </w:t>
      </w:r>
      <w:r>
        <w:t xml:space="preserve">The document </w:t>
      </w:r>
      <w:r w:rsidR="0061707C" w:rsidRPr="0061707C">
        <w:rPr>
          <w:i/>
        </w:rPr>
        <w:t>T</w:t>
      </w:r>
      <w:r w:rsidRPr="0061707C">
        <w:rPr>
          <w:rFonts w:cs="Segoe UI"/>
          <w:i/>
          <w:lang w:eastAsia="ja-JP"/>
        </w:rPr>
        <w:t xml:space="preserve">he Forest Management System in Western Australia: </w:t>
      </w:r>
      <w:r w:rsidR="00CD653A" w:rsidRPr="0061707C">
        <w:rPr>
          <w:rFonts w:cs="Segoe UI"/>
          <w:i/>
          <w:lang w:eastAsia="ja-JP"/>
        </w:rPr>
        <w:t>A</w:t>
      </w:r>
      <w:r w:rsidRPr="0061707C">
        <w:rPr>
          <w:rFonts w:cs="Segoe UI"/>
          <w:i/>
          <w:lang w:eastAsia="ja-JP"/>
        </w:rPr>
        <w:t>n Overview (2018)</w:t>
      </w:r>
      <w:r>
        <w:rPr>
          <w:rFonts w:cs="Segoe UI"/>
          <w:lang w:eastAsia="ja-JP"/>
        </w:rPr>
        <w:t xml:space="preserve"> provides details on how WA’s FMS manages and provides protection of threatened species and ecological communities. </w:t>
      </w:r>
    </w:p>
    <w:p w14:paraId="26ABD04B" w14:textId="5F2BEC05" w:rsidR="0012253C" w:rsidRDefault="0012253C" w:rsidP="0012253C">
      <w:r>
        <w:t xml:space="preserve">Listed threatened species and ecological communities are </w:t>
      </w:r>
      <w:r w:rsidR="00C9181A">
        <w:t>MNES</w:t>
      </w:r>
      <w:r>
        <w:t xml:space="preserve"> under the EPBC Act. These listed species and communities include endangered species values. The extended WA RFA will include specific clauses on </w:t>
      </w:r>
      <w:r w:rsidR="00C9181A">
        <w:t>MNES</w:t>
      </w:r>
      <w:r>
        <w:t xml:space="preserve">, including that Western Australia will use best endeavours to ensure that its FMS provides for the protection of </w:t>
      </w:r>
      <w:r w:rsidR="00C9181A">
        <w:t>MNES</w:t>
      </w:r>
      <w:r>
        <w:t>.</w:t>
      </w:r>
    </w:p>
    <w:p w14:paraId="26ABD04C" w14:textId="77777777" w:rsidR="0012253C" w:rsidRPr="0055116C" w:rsidRDefault="0055116C" w:rsidP="0012253C">
      <w:r w:rsidRPr="0055116C">
        <w:t>Under an extended WA RFA, the governments will</w:t>
      </w:r>
      <w:r w:rsidR="0012253C">
        <w:t xml:space="preserve"> continue to consult on the priorities on </w:t>
      </w:r>
      <w:r w:rsidR="0012253C" w:rsidRPr="0055116C">
        <w:t xml:space="preserve">listed species and communities, forest ecosystems, and threatening processes, and research on these, recognising that priorities can change in light of new information. To improve transparency the governments have also agreed in the extension to update in the five-yearly review progress reports the threat status of flora and fauna listed in Attachment 8. </w:t>
      </w:r>
    </w:p>
    <w:p w14:paraId="26ABD04D" w14:textId="3A5D975E" w:rsidR="0012253C" w:rsidRPr="000142C8" w:rsidRDefault="0012253C" w:rsidP="007E358F">
      <w:r w:rsidRPr="0055116C">
        <w:lastRenderedPageBreak/>
        <w:t>In</w:t>
      </w:r>
      <w:r w:rsidR="0055116C">
        <w:t xml:space="preserve"> extending </w:t>
      </w:r>
      <w:r w:rsidR="002D56EB">
        <w:t>the</w:t>
      </w:r>
      <w:r w:rsidR="002D56EB" w:rsidRPr="0055116C">
        <w:t xml:space="preserve"> WA</w:t>
      </w:r>
      <w:r w:rsidRPr="0055116C">
        <w:t xml:space="preserve"> RFA the governments </w:t>
      </w:r>
      <w:r w:rsidR="0055116C">
        <w:t>will agree</w:t>
      </w:r>
      <w:r w:rsidRPr="0055116C">
        <w:t xml:space="preserve"> that the primary function of the CAR reserve system is to</w:t>
      </w:r>
      <w:r w:rsidRPr="0055116C">
        <w:rPr>
          <w:spacing w:val="-6"/>
        </w:rPr>
        <w:t xml:space="preserve"> ensure the long-term conservation and protection of environment and heritage values, including listed species and communities. Western Australia </w:t>
      </w:r>
      <w:r w:rsidR="0055116C">
        <w:rPr>
          <w:spacing w:val="-6"/>
        </w:rPr>
        <w:t>will</w:t>
      </w:r>
      <w:r w:rsidRPr="0055116C">
        <w:rPr>
          <w:spacing w:val="-6"/>
        </w:rPr>
        <w:t xml:space="preserve"> also agree to implement, manage and conserve the CAR reserve system.</w:t>
      </w:r>
    </w:p>
    <w:p w14:paraId="26ABD04E" w14:textId="77777777" w:rsidR="007E358F" w:rsidRPr="00C26A4F" w:rsidRDefault="0012253C" w:rsidP="007E358F">
      <w:r>
        <w:t xml:space="preserve">An extended </w:t>
      </w:r>
      <w:r w:rsidR="007E358F">
        <w:t xml:space="preserve">WA RFA will continue to provide for the protection of endangered species values through the CAR reserve system and </w:t>
      </w:r>
      <w:r>
        <w:t>the ecologically sustainable management and use of forests outside of the reserves, with</w:t>
      </w:r>
      <w:r w:rsidR="007E358F">
        <w:t xml:space="preserve"> adaptive management and continu</w:t>
      </w:r>
      <w:r w:rsidR="007B1B46">
        <w:t>ous</w:t>
      </w:r>
      <w:r w:rsidR="007E358F">
        <w:t xml:space="preserve"> improvement. </w:t>
      </w:r>
    </w:p>
    <w:p w14:paraId="26ABD04F" w14:textId="77777777" w:rsidR="007E358F" w:rsidRDefault="007E358F" w:rsidP="007E358F">
      <w:pPr>
        <w:pStyle w:val="Heading5"/>
        <w:rPr>
          <w:rFonts w:cs="Segoe UI"/>
        </w:rPr>
      </w:pPr>
      <w:r w:rsidRPr="00CE60B2">
        <w:rPr>
          <w:rFonts w:cs="Segoe UI"/>
        </w:rPr>
        <w:t>National Estate Values</w:t>
      </w:r>
    </w:p>
    <w:p w14:paraId="26ABD050" w14:textId="77777777" w:rsidR="007E358F" w:rsidRPr="00CE60B2" w:rsidRDefault="007E358F" w:rsidP="007E358F">
      <w:pPr>
        <w:rPr>
          <w:rStyle w:val="Emphasis"/>
          <w:rFonts w:cs="Segoe UI"/>
          <w:i w:val="0"/>
          <w:color w:val="000000"/>
          <w:bdr w:val="none" w:sz="0" w:space="0" w:color="auto" w:frame="1"/>
        </w:rPr>
      </w:pPr>
      <w:r w:rsidRPr="00CE60B2">
        <w:rPr>
          <w:rFonts w:cs="Segoe UI"/>
        </w:rPr>
        <w:t xml:space="preserve">The term </w:t>
      </w:r>
      <w:r w:rsidRPr="00CE60B2">
        <w:rPr>
          <w:rFonts w:cs="Segoe UI"/>
          <w:i/>
        </w:rPr>
        <w:t>National Estate</w:t>
      </w:r>
      <w:r w:rsidRPr="00CE60B2">
        <w:rPr>
          <w:rFonts w:cs="Segoe UI"/>
        </w:rPr>
        <w:t xml:space="preserve"> refers to places defined in section 4 of the repealed </w:t>
      </w:r>
      <w:r w:rsidR="00E664A9" w:rsidRPr="00E664A9">
        <w:rPr>
          <w:rFonts w:cs="Segoe UI"/>
        </w:rPr>
        <w:t>AHC Act</w:t>
      </w:r>
      <w:r w:rsidRPr="00E664A9">
        <w:rPr>
          <w:rFonts w:cs="Segoe UI"/>
        </w:rPr>
        <w:t>.</w:t>
      </w:r>
      <w:r w:rsidRPr="00CE60B2">
        <w:rPr>
          <w:rFonts w:cs="Segoe UI"/>
        </w:rPr>
        <w:t xml:space="preserve"> After the signing of the WA RFA, the </w:t>
      </w:r>
      <w:r w:rsidR="00E664A9" w:rsidRPr="00E664A9">
        <w:rPr>
          <w:rStyle w:val="Emphasis"/>
          <w:rFonts w:cs="Segoe UI"/>
          <w:i w:val="0"/>
          <w:color w:val="000000"/>
          <w:bdr w:val="none" w:sz="0" w:space="0" w:color="auto" w:frame="1"/>
        </w:rPr>
        <w:t>AHC Act</w:t>
      </w:r>
      <w:r w:rsidRPr="00CE60B2">
        <w:rPr>
          <w:rStyle w:val="Emphasis"/>
          <w:rFonts w:cs="Segoe UI"/>
          <w:color w:val="000000"/>
          <w:bdr w:val="none" w:sz="0" w:space="0" w:color="auto" w:frame="1"/>
        </w:rPr>
        <w:t xml:space="preserve"> </w:t>
      </w:r>
      <w:r w:rsidRPr="00FD10BB">
        <w:rPr>
          <w:rStyle w:val="Emphasis"/>
          <w:i w:val="0"/>
          <w:color w:val="000000"/>
          <w:bdr w:val="none" w:sz="0" w:space="0" w:color="auto" w:frame="1"/>
        </w:rPr>
        <w:t>was repealed</w:t>
      </w:r>
      <w:r w:rsidRPr="00CE60B2">
        <w:rPr>
          <w:rFonts w:cs="Segoe UI"/>
          <w:i/>
        </w:rPr>
        <w:t xml:space="preserve"> </w:t>
      </w:r>
      <w:r w:rsidRPr="00CE60B2">
        <w:rPr>
          <w:rFonts w:cs="Segoe UI"/>
        </w:rPr>
        <w:t>and the Register of the</w:t>
      </w:r>
      <w:r w:rsidRPr="00CE60B2">
        <w:rPr>
          <w:rFonts w:cs="Segoe UI"/>
          <w:lang w:eastAsia="ja-JP"/>
        </w:rPr>
        <w:t xml:space="preserve"> National Estate was phased out</w:t>
      </w:r>
      <w:r w:rsidRPr="00CE60B2">
        <w:rPr>
          <w:rStyle w:val="Emphasis"/>
          <w:rFonts w:cs="Segoe UI"/>
          <w:color w:val="000000"/>
          <w:bdr w:val="none" w:sz="0" w:space="0" w:color="auto" w:frame="1"/>
        </w:rPr>
        <w:t xml:space="preserve">. </w:t>
      </w:r>
      <w:r w:rsidRPr="00FD10BB">
        <w:rPr>
          <w:rStyle w:val="Emphasis"/>
          <w:i w:val="0"/>
          <w:color w:val="000000"/>
          <w:bdr w:val="none" w:sz="0" w:space="0" w:color="auto" w:frame="1"/>
        </w:rPr>
        <w:t>As a consequence,</w:t>
      </w:r>
      <w:r w:rsidR="0012253C">
        <w:rPr>
          <w:rStyle w:val="Emphasis"/>
          <w:i w:val="0"/>
          <w:color w:val="000000"/>
          <w:bdr w:val="none" w:sz="0" w:space="0" w:color="auto" w:frame="1"/>
        </w:rPr>
        <w:t xml:space="preserve"> presently</w:t>
      </w:r>
      <w:r w:rsidRPr="00FD10BB">
        <w:rPr>
          <w:rStyle w:val="Emphasis"/>
          <w:i w:val="0"/>
          <w:color w:val="000000"/>
          <w:bdr w:val="none" w:sz="0" w:space="0" w:color="auto" w:frame="1"/>
        </w:rPr>
        <w:t xml:space="preserve"> the RFAs do not reflect the current system of heritage protection under the EPBC Act through the National and Commonwealth Heritage Lists and </w:t>
      </w:r>
      <w:r w:rsidRPr="00FD10BB">
        <w:rPr>
          <w:i/>
        </w:rPr>
        <w:t>the</w:t>
      </w:r>
      <w:r w:rsidRPr="00CE60B2">
        <w:rPr>
          <w:rFonts w:cs="Segoe UI"/>
        </w:rPr>
        <w:t> </w:t>
      </w:r>
      <w:r w:rsidRPr="00CE60B2">
        <w:rPr>
          <w:rStyle w:val="Emphasis"/>
          <w:rFonts w:cs="Segoe UI"/>
          <w:color w:val="000000"/>
          <w:bdr w:val="none" w:sz="0" w:space="0" w:color="auto" w:frame="1"/>
        </w:rPr>
        <w:t>Australian Heritage Council Act 2003.</w:t>
      </w:r>
    </w:p>
    <w:p w14:paraId="26ABD051" w14:textId="77777777" w:rsidR="007E358F" w:rsidRDefault="007E358F" w:rsidP="007E358F">
      <w:r>
        <w:t xml:space="preserve">There </w:t>
      </w:r>
      <w:r w:rsidR="00D8107E">
        <w:t>is</w:t>
      </w:r>
      <w:r>
        <w:t xml:space="preserve"> one place on the National Heritage List and two places on the Commonwealth Heritage List within the WA RFA region. </w:t>
      </w:r>
      <w:r w:rsidR="006D6084">
        <w:t>T</w:t>
      </w:r>
      <w:r>
        <w:t>he heritage values of the</w:t>
      </w:r>
      <w:r w:rsidR="006D6084">
        <w:t>se</w:t>
      </w:r>
      <w:r>
        <w:t xml:space="preserve"> site</w:t>
      </w:r>
      <w:r w:rsidR="006D6084">
        <w:t>s</w:t>
      </w:r>
      <w:r>
        <w:t xml:space="preserve"> are protected</w:t>
      </w:r>
      <w:r w:rsidR="006D6084">
        <w:t xml:space="preserve"> when conducting management activities in the vicinity</w:t>
      </w:r>
      <w:r>
        <w:t xml:space="preserve">.  </w:t>
      </w:r>
    </w:p>
    <w:p w14:paraId="26ABD052" w14:textId="77777777" w:rsidR="0055116C" w:rsidRDefault="007E358F" w:rsidP="0055116C">
      <w:r>
        <w:t>National Estate Values have been, and will continue to be protected by the WA</w:t>
      </w:r>
      <w:r w:rsidR="00EC5421">
        <w:t> FMS</w:t>
      </w:r>
      <w:r>
        <w:t xml:space="preserve"> in accordance with National Heritage Management Principles. </w:t>
      </w:r>
    </w:p>
    <w:p w14:paraId="26ABD053" w14:textId="77777777" w:rsidR="0055116C" w:rsidRPr="0055116C" w:rsidRDefault="0055116C" w:rsidP="0055116C">
      <w:r w:rsidRPr="0055116C">
        <w:t>An extended WA RFA will reflect current heritage concepts and definitions consistent with the EPBC Act.</w:t>
      </w:r>
    </w:p>
    <w:p w14:paraId="26ABD054" w14:textId="77777777" w:rsidR="0055116C" w:rsidRPr="008666C3" w:rsidRDefault="0055116C" w:rsidP="0055116C">
      <w:r w:rsidRPr="0055116C">
        <w:t>An extended WA RFA will continue the protection of heritage values through the provision of the CAR reserve system and the application of WA FMS. Places of aesthetic, historic, scientific and social significance in the WA RFA Region will be comprehensively managed for current and future generations.</w:t>
      </w:r>
    </w:p>
    <w:p w14:paraId="26ABD055" w14:textId="77777777" w:rsidR="007E358F" w:rsidRDefault="007E358F" w:rsidP="007E358F">
      <w:pPr>
        <w:pStyle w:val="Heading5"/>
        <w:rPr>
          <w:rFonts w:cs="Segoe UI"/>
        </w:rPr>
      </w:pPr>
      <w:r w:rsidRPr="00CE60B2">
        <w:rPr>
          <w:rFonts w:cs="Segoe UI"/>
        </w:rPr>
        <w:t>World Heritage Values</w:t>
      </w:r>
    </w:p>
    <w:p w14:paraId="26ABD056" w14:textId="77777777" w:rsidR="007E358F" w:rsidRDefault="007E358F" w:rsidP="007E358F">
      <w:pPr>
        <w:rPr>
          <w:rFonts w:cs="Segoe UI"/>
          <w:lang w:eastAsia="ja-JP"/>
        </w:rPr>
      </w:pPr>
      <w:r>
        <w:t xml:space="preserve">There are no World Heritage properties located within the WA RFA region. If present, properties would be managed separately from processes put in place by the WA RFA and </w:t>
      </w:r>
      <w:r w:rsidR="00726159">
        <w:t xml:space="preserve">be </w:t>
      </w:r>
      <w:r>
        <w:t xml:space="preserve">protected by Part 3 of the EPBC Act. </w:t>
      </w:r>
      <w:r w:rsidRPr="00CE60B2">
        <w:rPr>
          <w:rFonts w:cs="Segoe UI"/>
        </w:rPr>
        <w:t>T</w:t>
      </w:r>
      <w:r w:rsidRPr="00CE60B2">
        <w:rPr>
          <w:rFonts w:cs="Segoe UI"/>
          <w:lang w:eastAsia="ja-JP"/>
        </w:rPr>
        <w:t>he Australian and WA Governments will continue to participate in the assessment and protection of any future World Heritage places consistent with the Australian World Heritage Intergovernmental Agreement</w:t>
      </w:r>
      <w:r w:rsidR="0012253C" w:rsidRPr="0055116C">
        <w:rPr>
          <w:rFonts w:cs="Segoe UI"/>
          <w:lang w:eastAsia="ja-JP"/>
        </w:rPr>
        <w:t>, as reflected in the extended WA RFA.</w:t>
      </w:r>
      <w:r w:rsidR="0012253C" w:rsidRPr="00CE60B2">
        <w:rPr>
          <w:rFonts w:cs="Segoe UI"/>
          <w:lang w:eastAsia="ja-JP"/>
        </w:rPr>
        <w:t xml:space="preserve"> </w:t>
      </w:r>
    </w:p>
    <w:p w14:paraId="26ABD057" w14:textId="77777777" w:rsidR="0055116C" w:rsidRPr="00CE60B2" w:rsidRDefault="0055116C" w:rsidP="0055116C">
      <w:pPr>
        <w:rPr>
          <w:rFonts w:cs="Segoe UI"/>
        </w:rPr>
      </w:pPr>
      <w:r w:rsidRPr="009057B5">
        <w:rPr>
          <w:rFonts w:cs="Segoe UI"/>
        </w:rPr>
        <w:t xml:space="preserve">While there are no World Heritage properties in the WA RFA region, natural and cultural heritage will be protected and managed through the </w:t>
      </w:r>
      <w:r w:rsidRPr="009057B5">
        <w:t>provision of the CAR reserve system and the application of WA FMS under an extended RFA.</w:t>
      </w:r>
    </w:p>
    <w:p w14:paraId="26ABD058" w14:textId="77777777" w:rsidR="007E358F" w:rsidRDefault="007E358F" w:rsidP="007E358F">
      <w:pPr>
        <w:pStyle w:val="Heading5"/>
        <w:rPr>
          <w:rFonts w:cs="Segoe UI"/>
        </w:rPr>
      </w:pPr>
      <w:r w:rsidRPr="00CE60B2">
        <w:rPr>
          <w:rFonts w:cs="Segoe UI"/>
        </w:rPr>
        <w:t>Biodiversity Values</w:t>
      </w:r>
    </w:p>
    <w:p w14:paraId="26ABD059" w14:textId="77777777" w:rsidR="007E358F" w:rsidRPr="00CE60B2" w:rsidRDefault="007E358F" w:rsidP="007E358F">
      <w:pPr>
        <w:rPr>
          <w:rFonts w:cs="Segoe UI"/>
        </w:rPr>
      </w:pPr>
      <w:r>
        <w:t xml:space="preserve">Biodiversity Values were fundamental in establishing the CAR reserve system and were a focus of the CRAs. </w:t>
      </w:r>
      <w:r w:rsidRPr="00CE60B2">
        <w:rPr>
          <w:rFonts w:cs="Segoe UI"/>
        </w:rPr>
        <w:t xml:space="preserve">Indicators of biodiversity value can include the number and diversity of flora and fauna species, ecological communities and forest types. These </w:t>
      </w:r>
      <w:r w:rsidR="007B1B46">
        <w:rPr>
          <w:rFonts w:cs="Segoe UI"/>
        </w:rPr>
        <w:t>attributes</w:t>
      </w:r>
      <w:r w:rsidRPr="00CE60B2">
        <w:rPr>
          <w:rFonts w:cs="Segoe UI"/>
        </w:rPr>
        <w:t xml:space="preserve"> </w:t>
      </w:r>
      <w:r w:rsidR="007B1B46">
        <w:rPr>
          <w:rFonts w:cs="Segoe UI"/>
        </w:rPr>
        <w:t>reflect</w:t>
      </w:r>
      <w:r w:rsidRPr="00CE60B2">
        <w:rPr>
          <w:rFonts w:cs="Segoe UI"/>
        </w:rPr>
        <w:t xml:space="preserve"> the range of flora and fauna species and communities, and the</w:t>
      </w:r>
      <w:r w:rsidR="007B1B46">
        <w:rPr>
          <w:rFonts w:cs="Segoe UI"/>
        </w:rPr>
        <w:t xml:space="preserve"> representativeness of</w:t>
      </w:r>
      <w:r w:rsidRPr="00CE60B2">
        <w:rPr>
          <w:rFonts w:cs="Segoe UI"/>
        </w:rPr>
        <w:t xml:space="preserve"> reserves established to protect biodiversity.</w:t>
      </w:r>
    </w:p>
    <w:p w14:paraId="26ABD05A" w14:textId="77777777" w:rsidR="007E358F" w:rsidRPr="00CE60B2" w:rsidRDefault="007E358F" w:rsidP="007E358F">
      <w:pPr>
        <w:rPr>
          <w:rFonts w:cs="Segoe UI"/>
          <w:lang w:eastAsia="ja-JP"/>
        </w:rPr>
      </w:pPr>
      <w:r w:rsidRPr="00CE60B2">
        <w:rPr>
          <w:rFonts w:cs="Segoe UI"/>
          <w:lang w:eastAsia="ja-JP"/>
        </w:rPr>
        <w:lastRenderedPageBreak/>
        <w:t>In 1999 there was a total of 2.6 million hectares of forest ecosystems recorded within the WA RFA region, of which 2.2 million hectares (85 per cent) were classified as forested. The total area of forest ecosystems was reduced to 2.5 million hectares at December 2017, of which 2.1</w:t>
      </w:r>
      <w:r w:rsidR="00064677">
        <w:rPr>
          <w:rFonts w:cs="Segoe UI"/>
          <w:lang w:eastAsia="ja-JP"/>
        </w:rPr>
        <w:t> </w:t>
      </w:r>
      <w:r w:rsidRPr="00CE60B2">
        <w:rPr>
          <w:rFonts w:cs="Segoe UI"/>
          <w:lang w:eastAsia="ja-JP"/>
        </w:rPr>
        <w:t>million hectares (84 per cent) was classified as forested. The reduced area arose from clearing for infrastructure, mining, and agriculture as well as data refinements.</w:t>
      </w:r>
    </w:p>
    <w:p w14:paraId="26ABD05B" w14:textId="77777777" w:rsidR="007E358F" w:rsidRDefault="007E358F" w:rsidP="007E358F">
      <w:r w:rsidRPr="00FD10BB">
        <w:rPr>
          <w:i/>
        </w:rPr>
        <w:t>Australia’s Biodiversity Conservation Strategy 2010-2030</w:t>
      </w:r>
      <w:r>
        <w:t xml:space="preserve"> is a guiding policy framework for conserving Australia’s biodiversity, which includes genetic diversity. </w:t>
      </w:r>
      <w:r w:rsidRPr="00CE60B2">
        <w:rPr>
          <w:rFonts w:cs="Segoe UI"/>
        </w:rPr>
        <w:t xml:space="preserve">Formal measures are in place across WA to address the risk of loss of genetic variation in threatened species. These measures include recovery plans, conservation advices, habitat restoration, wildlife corridors, </w:t>
      </w:r>
      <w:r w:rsidR="006D6084">
        <w:rPr>
          <w:rFonts w:cs="Segoe UI"/>
        </w:rPr>
        <w:t>translocation</w:t>
      </w:r>
      <w:r w:rsidRPr="00CE60B2">
        <w:rPr>
          <w:rFonts w:cs="Segoe UI"/>
        </w:rPr>
        <w:t>s, seed-collecting programs, and management of habitat and populations under forest management systems.</w:t>
      </w:r>
    </w:p>
    <w:p w14:paraId="26ABD05C" w14:textId="77777777" w:rsidR="007E358F" w:rsidRPr="00CE60B2" w:rsidRDefault="007E358F" w:rsidP="007E358F">
      <w:pPr>
        <w:rPr>
          <w:rFonts w:cs="Segoe UI"/>
          <w:szCs w:val="16"/>
        </w:rPr>
      </w:pPr>
      <w:r w:rsidRPr="00CE60B2">
        <w:rPr>
          <w:rFonts w:cs="Segoe UI"/>
          <w:szCs w:val="16"/>
        </w:rPr>
        <w:t>At the commencement of the RFA in 1999 the CA</w:t>
      </w:r>
      <w:r w:rsidR="00C9181A">
        <w:rPr>
          <w:rFonts w:cs="Segoe UI"/>
          <w:szCs w:val="16"/>
        </w:rPr>
        <w:t>R Reserve System totalled 1.047 million </w:t>
      </w:r>
      <w:r w:rsidRPr="00CE60B2">
        <w:rPr>
          <w:rFonts w:cs="Segoe UI"/>
          <w:szCs w:val="16"/>
        </w:rPr>
        <w:t>hectares, representing 25</w:t>
      </w:r>
      <w:r w:rsidR="008B7102">
        <w:rPr>
          <w:rFonts w:cs="Segoe UI"/>
          <w:szCs w:val="16"/>
        </w:rPr>
        <w:t> </w:t>
      </w:r>
      <w:r w:rsidR="00DB352A">
        <w:rPr>
          <w:rFonts w:cs="Segoe UI"/>
          <w:szCs w:val="16"/>
        </w:rPr>
        <w:t>per</w:t>
      </w:r>
      <w:r w:rsidR="008B7102">
        <w:rPr>
          <w:rFonts w:cs="Segoe UI"/>
          <w:szCs w:val="16"/>
        </w:rPr>
        <w:t> </w:t>
      </w:r>
      <w:r w:rsidR="00DB352A">
        <w:rPr>
          <w:rFonts w:cs="Segoe UI"/>
          <w:szCs w:val="16"/>
        </w:rPr>
        <w:t>cent</w:t>
      </w:r>
      <w:r w:rsidRPr="00CE60B2">
        <w:rPr>
          <w:rFonts w:cs="Segoe UI"/>
          <w:szCs w:val="16"/>
        </w:rPr>
        <w:t xml:space="preserve"> of the total land within the RFA. By the end of 2009 the CAR reserve</w:t>
      </w:r>
      <w:r w:rsidR="00C9181A">
        <w:rPr>
          <w:rFonts w:cs="Segoe UI"/>
          <w:szCs w:val="16"/>
        </w:rPr>
        <w:t xml:space="preserve"> system had expanded by 203,000 </w:t>
      </w:r>
      <w:r w:rsidRPr="00CE60B2">
        <w:rPr>
          <w:rFonts w:cs="Segoe UI"/>
          <w:szCs w:val="16"/>
        </w:rPr>
        <w:t xml:space="preserve">hectares to </w:t>
      </w:r>
      <w:r w:rsidRPr="00CE60B2">
        <w:rPr>
          <w:rFonts w:cs="Segoe UI"/>
          <w:lang w:eastAsia="ja-JP"/>
        </w:rPr>
        <w:t>1.25</w:t>
      </w:r>
      <w:r w:rsidR="00C9181A">
        <w:rPr>
          <w:rFonts w:cs="Segoe UI"/>
          <w:szCs w:val="16"/>
        </w:rPr>
        <w:t> million </w:t>
      </w:r>
      <w:r w:rsidRPr="00CE60B2">
        <w:rPr>
          <w:rFonts w:cs="Segoe UI"/>
          <w:szCs w:val="16"/>
        </w:rPr>
        <w:t>hectares (</w:t>
      </w:r>
      <w:r w:rsidRPr="00CE60B2">
        <w:rPr>
          <w:rFonts w:cs="Segoe UI"/>
          <w:lang w:eastAsia="ja-JP"/>
        </w:rPr>
        <w:t>30</w:t>
      </w:r>
      <w:r w:rsidR="00C9181A">
        <w:rPr>
          <w:rFonts w:cs="Segoe UI"/>
          <w:szCs w:val="16"/>
        </w:rPr>
        <w:t> per </w:t>
      </w:r>
      <w:r w:rsidRPr="00CE60B2">
        <w:rPr>
          <w:rFonts w:cs="Segoe UI"/>
          <w:szCs w:val="16"/>
        </w:rPr>
        <w:t>cent) of the total</w:t>
      </w:r>
      <w:r w:rsidR="00C9181A">
        <w:rPr>
          <w:rFonts w:cs="Segoe UI"/>
          <w:szCs w:val="16"/>
        </w:rPr>
        <w:t xml:space="preserve"> land in the RFA region. By mid</w:t>
      </w:r>
      <w:r w:rsidR="00C9181A">
        <w:rPr>
          <w:rFonts w:cs="Segoe UI"/>
          <w:szCs w:val="16"/>
        </w:rPr>
        <w:noBreakHyphen/>
      </w:r>
      <w:r w:rsidRPr="00CE60B2">
        <w:rPr>
          <w:rFonts w:cs="Segoe UI"/>
          <w:szCs w:val="16"/>
        </w:rPr>
        <w:t xml:space="preserve">2018, a total of </w:t>
      </w:r>
      <w:r w:rsidRPr="00CE60B2">
        <w:rPr>
          <w:rFonts w:cs="Segoe UI"/>
          <w:lang w:eastAsia="ja-JP"/>
        </w:rPr>
        <w:t>1.29</w:t>
      </w:r>
      <w:r w:rsidR="00C9181A">
        <w:rPr>
          <w:rFonts w:cs="Segoe UI"/>
          <w:szCs w:val="16"/>
        </w:rPr>
        <w:t> million </w:t>
      </w:r>
      <w:r w:rsidRPr="00CE60B2">
        <w:rPr>
          <w:rFonts w:cs="Segoe UI"/>
          <w:szCs w:val="16"/>
        </w:rPr>
        <w:t>hectares (</w:t>
      </w:r>
      <w:r w:rsidRPr="00CE60B2">
        <w:rPr>
          <w:rFonts w:cs="Segoe UI"/>
          <w:lang w:eastAsia="ja-JP"/>
        </w:rPr>
        <w:t>30</w:t>
      </w:r>
      <w:r w:rsidR="00C9181A">
        <w:rPr>
          <w:rFonts w:cs="Segoe UI"/>
          <w:szCs w:val="16"/>
        </w:rPr>
        <w:t> per </w:t>
      </w:r>
      <w:r w:rsidRPr="00CE60B2">
        <w:rPr>
          <w:rFonts w:cs="Segoe UI"/>
          <w:szCs w:val="16"/>
        </w:rPr>
        <w:t xml:space="preserve">cent) of the total land was protected under the CAR Reserve System. This constitutes an overall increase of </w:t>
      </w:r>
      <w:r w:rsidRPr="00CE60B2">
        <w:rPr>
          <w:rFonts w:cs="Segoe UI"/>
          <w:lang w:eastAsia="ja-JP"/>
        </w:rPr>
        <w:t>241,000</w:t>
      </w:r>
      <w:r w:rsidR="00C9181A">
        <w:rPr>
          <w:rFonts w:cs="Segoe UI"/>
          <w:szCs w:val="16"/>
        </w:rPr>
        <w:t> hectares added to CAR Reserves during the period 1999</w:t>
      </w:r>
      <w:r w:rsidR="00C9181A">
        <w:rPr>
          <w:rFonts w:cs="Segoe UI"/>
          <w:szCs w:val="16"/>
        </w:rPr>
        <w:noBreakHyphen/>
      </w:r>
      <w:r w:rsidRPr="00CE60B2">
        <w:rPr>
          <w:rFonts w:cs="Segoe UI"/>
          <w:szCs w:val="16"/>
        </w:rPr>
        <w:t xml:space="preserve">2018. </w:t>
      </w:r>
    </w:p>
    <w:p w14:paraId="26ABD05D" w14:textId="77777777" w:rsidR="007E358F" w:rsidRDefault="007E358F" w:rsidP="007E358F">
      <w:pPr>
        <w:rPr>
          <w:rFonts w:cs="Segoe UI"/>
          <w:lang w:eastAsia="ja-JP"/>
        </w:rPr>
      </w:pPr>
      <w:r w:rsidRPr="00CE60B2">
        <w:rPr>
          <w:rFonts w:cs="Segoe UI"/>
          <w:lang w:eastAsia="ja-JP"/>
        </w:rPr>
        <w:t>Most of the CAR additions during the RFA period arose from government policy decisions, but there were also some additions arising from new i</w:t>
      </w:r>
      <w:r>
        <w:rPr>
          <w:rFonts w:cs="Segoe UI"/>
          <w:lang w:eastAsia="ja-JP"/>
        </w:rPr>
        <w:t xml:space="preserve">nformation on the distribution </w:t>
      </w:r>
      <w:r w:rsidRPr="00CE60B2">
        <w:rPr>
          <w:rFonts w:cs="Segoe UI"/>
          <w:lang w:eastAsia="ja-JP"/>
        </w:rPr>
        <w:t>o</w:t>
      </w:r>
      <w:r>
        <w:rPr>
          <w:rFonts w:cs="Segoe UI"/>
          <w:lang w:eastAsia="ja-JP"/>
        </w:rPr>
        <w:t>f</w:t>
      </w:r>
      <w:r w:rsidRPr="00CE60B2">
        <w:rPr>
          <w:rFonts w:cs="Segoe UI"/>
          <w:lang w:eastAsia="ja-JP"/>
        </w:rPr>
        <w:t xml:space="preserve"> biodiversity within the RFA regi</w:t>
      </w:r>
      <w:r>
        <w:rPr>
          <w:rFonts w:cs="Segoe UI"/>
          <w:lang w:eastAsia="ja-JP"/>
        </w:rPr>
        <w:t>on.</w:t>
      </w:r>
    </w:p>
    <w:p w14:paraId="26ABD05E" w14:textId="1E1F8F72" w:rsidR="007E358F" w:rsidRDefault="00883751" w:rsidP="007E358F">
      <w:r>
        <w:t>FHZs</w:t>
      </w:r>
      <w:r w:rsidR="007E358F">
        <w:t xml:space="preserve"> were established in 2004 across the area of forest on public land available for timber harvesting. These FHZs </w:t>
      </w:r>
      <w:r w:rsidR="005820AB">
        <w:t xml:space="preserve">are set aside from timber harvesting to </w:t>
      </w:r>
      <w:r w:rsidR="007E358F">
        <w:t>provide fauna populations a place of refuge and for recolonization and recovery following displacement</w:t>
      </w:r>
      <w:r w:rsidR="005820AB">
        <w:t>, as well as maintain less disturbed areas with connectivity at the landscape scale</w:t>
      </w:r>
      <w:r w:rsidR="007E358F">
        <w:t xml:space="preserve">. FHZs </w:t>
      </w:r>
      <w:r w:rsidR="005820AB">
        <w:t>range in size</w:t>
      </w:r>
      <w:r w:rsidR="00B37957">
        <w:t xml:space="preserve">, typically from around 50 hectares to around </w:t>
      </w:r>
      <w:r w:rsidR="00C9181A">
        <w:t>200 </w:t>
      </w:r>
      <w:r w:rsidR="007E358F">
        <w:t xml:space="preserve">hectares and </w:t>
      </w:r>
      <w:r w:rsidR="005820AB">
        <w:t xml:space="preserve">are </w:t>
      </w:r>
      <w:r w:rsidR="006D6084">
        <w:t xml:space="preserve">systematically </w:t>
      </w:r>
      <w:r w:rsidR="007E358F">
        <w:t>located across the landscape. Refinements over time have been undertaken to maximise biodiversity outcomes, and resulted in an addition</w:t>
      </w:r>
      <w:r w:rsidR="005820AB">
        <w:t>al</w:t>
      </w:r>
      <w:r w:rsidR="00C9181A">
        <w:t xml:space="preserve"> 48,000 </w:t>
      </w:r>
      <w:r w:rsidR="007E358F">
        <w:t xml:space="preserve">hectares of forest being set aside from timber harvesting. </w:t>
      </w:r>
      <w:r w:rsidR="00C9181A">
        <w:t xml:space="preserve">While future </w:t>
      </w:r>
      <w:r w:rsidR="00C06FC1">
        <w:t>FMP</w:t>
      </w:r>
      <w:r w:rsidR="005820AB">
        <w:t xml:space="preserve">s may </w:t>
      </w:r>
      <w:r w:rsidR="00176847">
        <w:t>be adjusted</w:t>
      </w:r>
      <w:r w:rsidR="005820AB">
        <w:t xml:space="preserve"> based on new </w:t>
      </w:r>
      <w:r w:rsidR="009614ED">
        <w:t>information and monitoring, an</w:t>
      </w:r>
      <w:r w:rsidR="005820AB">
        <w:t xml:space="preserve"> ongoing network of FHZs is seen as a key component of delivering ESFM</w:t>
      </w:r>
      <w:r w:rsidR="00C9181A">
        <w:t xml:space="preserve"> in the WA </w:t>
      </w:r>
      <w:r w:rsidR="009614ED">
        <w:t>RFA region</w:t>
      </w:r>
      <w:r w:rsidR="005820AB">
        <w:t xml:space="preserve">. </w:t>
      </w:r>
    </w:p>
    <w:p w14:paraId="26ABD05F" w14:textId="77777777" w:rsidR="00064677" w:rsidRPr="00064677" w:rsidRDefault="00064677" w:rsidP="007E358F">
      <w:pPr>
        <w:rPr>
          <w:rFonts w:cs="Segoe UI"/>
        </w:rPr>
      </w:pPr>
      <w:r w:rsidRPr="00CE60B2">
        <w:rPr>
          <w:rFonts w:cs="Segoe UI"/>
        </w:rPr>
        <w:t xml:space="preserve">Knowledge of the distribution and abundance of a broad suite of plant and animal species has been enhanced during the period of the RFA by the </w:t>
      </w:r>
      <w:r w:rsidRPr="00CE60B2">
        <w:rPr>
          <w:rFonts w:cs="Segoe UI"/>
          <w:i/>
        </w:rPr>
        <w:t>FORESTCHECK</w:t>
      </w:r>
      <w:r w:rsidRPr="00CE60B2">
        <w:rPr>
          <w:rFonts w:cs="Segoe UI"/>
        </w:rPr>
        <w:t xml:space="preserve"> integrated biodiversity monitoring project. </w:t>
      </w:r>
      <w:r w:rsidRPr="00CE60B2">
        <w:rPr>
          <w:rFonts w:cs="Segoe UI"/>
          <w:i/>
        </w:rPr>
        <w:t>FORESTCHECK</w:t>
      </w:r>
      <w:r w:rsidRPr="00CE60B2">
        <w:rPr>
          <w:rFonts w:cs="Segoe UI"/>
        </w:rPr>
        <w:t xml:space="preserve"> is a long-term, landscape-scale monitoring project which began in 2001 </w:t>
      </w:r>
      <w:r w:rsidR="009614ED">
        <w:rPr>
          <w:rFonts w:cs="Segoe UI"/>
        </w:rPr>
        <w:t xml:space="preserve">(with a sample frame informed by the CRA) </w:t>
      </w:r>
      <w:r w:rsidRPr="00CE60B2">
        <w:rPr>
          <w:rFonts w:cs="Segoe UI"/>
        </w:rPr>
        <w:t xml:space="preserve">to provide information for forest managers about changes and trends in biodiversity associated with timber harvesting and silvicultural treatments in jarrah forest (McCaw </w:t>
      </w:r>
      <w:r w:rsidRPr="009B7525">
        <w:rPr>
          <w:rFonts w:cs="Segoe UI"/>
          <w:i/>
        </w:rPr>
        <w:t>et al.</w:t>
      </w:r>
      <w:r w:rsidRPr="00CE60B2">
        <w:rPr>
          <w:rFonts w:cs="Segoe UI"/>
        </w:rPr>
        <w:t xml:space="preserve"> 2011)</w:t>
      </w:r>
      <w:r>
        <w:rPr>
          <w:rFonts w:cs="Segoe UI"/>
        </w:rPr>
        <w:t xml:space="preserve">. </w:t>
      </w:r>
      <w:r w:rsidRPr="00CE60B2">
        <w:rPr>
          <w:rFonts w:cs="Segoe UI"/>
          <w:i/>
        </w:rPr>
        <w:t>FORESTCHECK</w:t>
      </w:r>
      <w:r>
        <w:rPr>
          <w:rFonts w:cs="Segoe UI"/>
          <w:i/>
        </w:rPr>
        <w:t xml:space="preserve"> </w:t>
      </w:r>
      <w:r>
        <w:rPr>
          <w:rFonts w:cs="Segoe UI"/>
        </w:rPr>
        <w:t>will continue under the extended WA RFA and provide valuable knowledge on biodiversity that can be used to inform forest management acro</w:t>
      </w:r>
      <w:r w:rsidR="00C9181A">
        <w:rPr>
          <w:rFonts w:cs="Segoe UI"/>
        </w:rPr>
        <w:t>ss the jarrah forests in the WA </w:t>
      </w:r>
      <w:r>
        <w:rPr>
          <w:rFonts w:cs="Segoe UI"/>
        </w:rPr>
        <w:t xml:space="preserve">RFA region. </w:t>
      </w:r>
    </w:p>
    <w:p w14:paraId="26ABD060" w14:textId="77777777" w:rsidR="007E358F" w:rsidRDefault="007E358F" w:rsidP="007E358F">
      <w:r>
        <w:t>Future five-yea</w:t>
      </w:r>
      <w:r w:rsidR="00C9181A">
        <w:t>rly reviews of the WA </w:t>
      </w:r>
      <w:r>
        <w:t>RFA will be outcomes focused, with streamlined monitoring and reporting requirements that where possible indicate the impact of management pr</w:t>
      </w:r>
      <w:r w:rsidR="006D6084">
        <w:t>ocedures</w:t>
      </w:r>
      <w:r>
        <w:t xml:space="preserve"> on biodiversity to demonstrate the maintenance of protections for biodiversity values. </w:t>
      </w:r>
    </w:p>
    <w:p w14:paraId="26ABD061" w14:textId="77777777" w:rsidR="00064677" w:rsidRPr="00C72168" w:rsidRDefault="00C9181A" w:rsidP="007E358F">
      <w:r>
        <w:lastRenderedPageBreak/>
        <w:t>An extended WA </w:t>
      </w:r>
      <w:r w:rsidR="00064677">
        <w:t>RFA will continue to provide for the protection of biodiversity values through the CAR reserve system and the ecologically sustainable management and use of forests outside of the reserves, under the FMS, with adaptive management and continu</w:t>
      </w:r>
      <w:r w:rsidR="009614ED">
        <w:t>ous</w:t>
      </w:r>
      <w:r w:rsidR="00064677">
        <w:t xml:space="preserve"> improvement.</w:t>
      </w:r>
    </w:p>
    <w:p w14:paraId="26ABD062" w14:textId="77777777" w:rsidR="007E358F" w:rsidRPr="00CE60B2" w:rsidRDefault="007E358F" w:rsidP="007E358F">
      <w:pPr>
        <w:pStyle w:val="Heading5"/>
        <w:rPr>
          <w:rFonts w:cs="Segoe UI"/>
        </w:rPr>
      </w:pPr>
      <w:r w:rsidRPr="00CE60B2">
        <w:rPr>
          <w:rFonts w:cs="Segoe UI"/>
        </w:rPr>
        <w:t>Wetland values</w:t>
      </w:r>
    </w:p>
    <w:p w14:paraId="26ABD063" w14:textId="77777777" w:rsidR="007E358F" w:rsidRDefault="007E358F" w:rsidP="007E358F">
      <w:pPr>
        <w:rPr>
          <w:rFonts w:cs="Segoe UI"/>
          <w:lang w:val="en"/>
        </w:rPr>
      </w:pPr>
      <w:r w:rsidRPr="00CE60B2">
        <w:rPr>
          <w:rFonts w:cs="Segoe UI"/>
        </w:rPr>
        <w:t xml:space="preserve">Australia has international obligations under the Ramsar Convention to protect the ecological character of declared Ramsar wetlands. </w:t>
      </w:r>
      <w:r w:rsidR="00C9181A">
        <w:rPr>
          <w:rFonts w:cs="Segoe UI"/>
          <w:lang w:eastAsia="ja-JP"/>
        </w:rPr>
        <w:t>The WA </w:t>
      </w:r>
      <w:r w:rsidRPr="00CE60B2">
        <w:rPr>
          <w:rFonts w:cs="Segoe UI"/>
          <w:lang w:eastAsia="ja-JP"/>
        </w:rPr>
        <w:t>Government is responsible for man</w:t>
      </w:r>
      <w:r w:rsidR="00C9181A">
        <w:rPr>
          <w:rFonts w:cs="Segoe UI"/>
          <w:lang w:eastAsia="ja-JP"/>
        </w:rPr>
        <w:t>aging Ramsar wetlands in the WA </w:t>
      </w:r>
      <w:r w:rsidRPr="00CE60B2">
        <w:rPr>
          <w:rFonts w:cs="Segoe UI"/>
          <w:lang w:eastAsia="ja-JP"/>
        </w:rPr>
        <w:t xml:space="preserve">RFA region and works collaboratively with </w:t>
      </w:r>
      <w:r w:rsidRPr="00CE60B2">
        <w:rPr>
          <w:rFonts w:cs="Segoe UI"/>
          <w:lang w:val="en"/>
        </w:rPr>
        <w:t xml:space="preserve">a diverse range of stakeholders, including </w:t>
      </w:r>
      <w:r w:rsidRPr="00CE60B2">
        <w:rPr>
          <w:rFonts w:cs="Segoe UI"/>
        </w:rPr>
        <w:t>Ramsar Convention Secretariat, Commonwealth Government, local governments, landowners and community groups,</w:t>
      </w:r>
      <w:r w:rsidRPr="00CE60B2">
        <w:rPr>
          <w:rFonts w:cs="Segoe UI"/>
          <w:lang w:val="en"/>
        </w:rPr>
        <w:t xml:space="preserve"> to promote the conservation and wise use of wetlands and to implement the Ramsar Convention. </w:t>
      </w:r>
    </w:p>
    <w:p w14:paraId="26ABD064" w14:textId="77777777" w:rsidR="007E358F" w:rsidRPr="00CE60B2" w:rsidRDefault="007E358F" w:rsidP="007E358F">
      <w:pPr>
        <w:rPr>
          <w:rFonts w:cs="Segoe UI"/>
        </w:rPr>
      </w:pPr>
      <w:r w:rsidRPr="00CE60B2">
        <w:rPr>
          <w:rFonts w:cs="Segoe UI"/>
        </w:rPr>
        <w:t xml:space="preserve">While the </w:t>
      </w:r>
      <w:r w:rsidR="00C9181A">
        <w:rPr>
          <w:rFonts w:cs="Segoe UI"/>
        </w:rPr>
        <w:t>1999 WA </w:t>
      </w:r>
      <w:r w:rsidRPr="00CE60B2">
        <w:rPr>
          <w:rFonts w:cs="Segoe UI"/>
        </w:rPr>
        <w:t xml:space="preserve">RFA does not include clauses specifically on wetland values, </w:t>
      </w:r>
      <w:r w:rsidR="009B7525">
        <w:rPr>
          <w:rFonts w:cs="Segoe UI"/>
        </w:rPr>
        <w:t>it includes</w:t>
      </w:r>
      <w:r w:rsidR="00C9181A">
        <w:rPr>
          <w:rFonts w:cs="Segoe UI"/>
        </w:rPr>
        <w:t xml:space="preserve"> commitments from the WA </w:t>
      </w:r>
      <w:r w:rsidRPr="00CE60B2">
        <w:rPr>
          <w:rFonts w:cs="Segoe UI"/>
        </w:rPr>
        <w:t xml:space="preserve">Government to implement measures to improve catchment and water management. These measures have largely been met as reported </w:t>
      </w:r>
      <w:r w:rsidR="00C9181A">
        <w:rPr>
          <w:rFonts w:cs="Segoe UI"/>
        </w:rPr>
        <w:t>in the five</w:t>
      </w:r>
      <w:r w:rsidR="00C9181A">
        <w:rPr>
          <w:rFonts w:cs="Segoe UI"/>
        </w:rPr>
        <w:noBreakHyphen/>
      </w:r>
      <w:r w:rsidRPr="00CE60B2">
        <w:rPr>
          <w:rFonts w:cs="Segoe UI"/>
        </w:rPr>
        <w:t>yearly reviews and in the Independent Reviews.</w:t>
      </w:r>
    </w:p>
    <w:p w14:paraId="26ABD065" w14:textId="77777777" w:rsidR="00064677" w:rsidRDefault="00C9181A" w:rsidP="007E358F">
      <w:pPr>
        <w:rPr>
          <w:rFonts w:cs="Segoe UI"/>
        </w:rPr>
      </w:pPr>
      <w:r>
        <w:rPr>
          <w:rFonts w:cs="Segoe UI"/>
        </w:rPr>
        <w:t>If extended, the WA </w:t>
      </w:r>
      <w:r w:rsidR="00064677">
        <w:rPr>
          <w:rFonts w:cs="Segoe UI"/>
        </w:rPr>
        <w:t>RFA will include a clause that acknowledges that the FMS provides for the protection of the ecological character of Ramsar Wetlands, in</w:t>
      </w:r>
      <w:r>
        <w:rPr>
          <w:rFonts w:cs="Segoe UI"/>
        </w:rPr>
        <w:t>cluding that Part 3 of the EPBC </w:t>
      </w:r>
      <w:r w:rsidR="00064677">
        <w:rPr>
          <w:rFonts w:cs="Segoe UI"/>
        </w:rPr>
        <w:t>Act applies</w:t>
      </w:r>
      <w:r w:rsidR="009614ED">
        <w:rPr>
          <w:rFonts w:cs="Segoe UI"/>
        </w:rPr>
        <w:t xml:space="preserve"> to forestry operations that may impact Ramsar Wetlands</w:t>
      </w:r>
      <w:r w:rsidR="00064677">
        <w:rPr>
          <w:rFonts w:cs="Segoe UI"/>
        </w:rPr>
        <w:t>.</w:t>
      </w:r>
    </w:p>
    <w:p w14:paraId="26ABD066" w14:textId="77777777" w:rsidR="007E358F" w:rsidRDefault="007E358F" w:rsidP="007E358F">
      <w:pPr>
        <w:rPr>
          <w:rFonts w:cs="Segoe UI"/>
          <w:lang w:eastAsia="ja-JP"/>
        </w:rPr>
      </w:pPr>
      <w:r w:rsidRPr="00CE60B2">
        <w:rPr>
          <w:rFonts w:cs="Segoe UI"/>
        </w:rPr>
        <w:t>The one Ramsar Wetland of International Importance in the WA RFA reg</w:t>
      </w:r>
      <w:r w:rsidR="00C9181A">
        <w:rPr>
          <w:rFonts w:cs="Segoe UI"/>
        </w:rPr>
        <w:t>ion covers approximately 10,631 </w:t>
      </w:r>
      <w:r w:rsidRPr="00CE60B2">
        <w:rPr>
          <w:rFonts w:cs="Segoe UI"/>
        </w:rPr>
        <w:t xml:space="preserve">hectares. The Muir-Byenup System is recognised as meeting six criteria for listing under the Ramsar Convention (Department </w:t>
      </w:r>
      <w:r w:rsidR="00C9181A">
        <w:rPr>
          <w:rFonts w:cs="Segoe UI"/>
        </w:rPr>
        <w:t>of Environment and Conservation </w:t>
      </w:r>
      <w:r w:rsidRPr="00CE60B2">
        <w:rPr>
          <w:rFonts w:cs="Segoe UI"/>
        </w:rPr>
        <w:t xml:space="preserve">2009). </w:t>
      </w:r>
      <w:r>
        <w:rPr>
          <w:rFonts w:cs="Segoe UI"/>
        </w:rPr>
        <w:t xml:space="preserve">The </w:t>
      </w:r>
      <w:r w:rsidR="0093333C" w:rsidRPr="0093333C">
        <w:rPr>
          <w:rFonts w:cs="Segoe UI"/>
        </w:rPr>
        <w:t>WA</w:t>
      </w:r>
      <w:r w:rsidR="00C9181A">
        <w:rPr>
          <w:rFonts w:cs="Segoe UI"/>
        </w:rPr>
        <w:t> </w:t>
      </w:r>
      <w:r>
        <w:rPr>
          <w:rFonts w:cs="Segoe UI"/>
        </w:rPr>
        <w:t>Government regularly reviews the ecological values of this wetland</w:t>
      </w:r>
      <w:r w:rsidRPr="00CE60B2">
        <w:rPr>
          <w:rFonts w:cs="Segoe UI"/>
        </w:rPr>
        <w:t xml:space="preserve"> </w:t>
      </w:r>
      <w:r>
        <w:rPr>
          <w:rFonts w:cs="Segoe UI"/>
        </w:rPr>
        <w:t xml:space="preserve">and will continue to implement </w:t>
      </w:r>
      <w:r w:rsidR="0093333C" w:rsidRPr="0093333C">
        <w:rPr>
          <w:rFonts w:cs="Segoe UI"/>
        </w:rPr>
        <w:t>commitments</w:t>
      </w:r>
      <w:r w:rsidRPr="00CE60B2">
        <w:rPr>
          <w:rFonts w:cs="Segoe UI"/>
          <w:lang w:eastAsia="ja-JP"/>
        </w:rPr>
        <w:t xml:space="preserve"> to international agreements relating to the conservation of wetlands and migratory birds</w:t>
      </w:r>
      <w:r>
        <w:rPr>
          <w:rFonts w:cs="Segoe UI"/>
          <w:lang w:eastAsia="ja-JP"/>
        </w:rPr>
        <w:t>.</w:t>
      </w:r>
    </w:p>
    <w:p w14:paraId="26ABD067" w14:textId="77777777" w:rsidR="007E358F" w:rsidRDefault="007E358F" w:rsidP="007E358F">
      <w:pPr>
        <w:rPr>
          <w:lang w:eastAsia="ja-JP"/>
        </w:rPr>
      </w:pPr>
      <w:r>
        <w:rPr>
          <w:lang w:eastAsia="ja-JP"/>
        </w:rPr>
        <w:t>Additionally, there are 120 wetlands in Western Australia, including 15 wetland</w:t>
      </w:r>
      <w:r w:rsidR="00C9181A">
        <w:rPr>
          <w:lang w:eastAsia="ja-JP"/>
        </w:rPr>
        <w:t>s wholly or partially in the WA </w:t>
      </w:r>
      <w:r>
        <w:rPr>
          <w:lang w:eastAsia="ja-JP"/>
        </w:rPr>
        <w:t>RFA region</w:t>
      </w:r>
      <w:r w:rsidR="0093333C" w:rsidRPr="0093333C">
        <w:rPr>
          <w:rFonts w:cs="Segoe UI"/>
        </w:rPr>
        <w:t>,</w:t>
      </w:r>
      <w:r>
        <w:rPr>
          <w:lang w:eastAsia="ja-JP"/>
        </w:rPr>
        <w:t xml:space="preserve"> listed in the Directory of Important Wetlands, a directory of ecologically important wetlands in the Oceania region. </w:t>
      </w:r>
    </w:p>
    <w:p w14:paraId="26ABD068" w14:textId="77777777" w:rsidR="0093333C" w:rsidRPr="0093333C" w:rsidRDefault="00064677" w:rsidP="0093333C">
      <w:pPr>
        <w:rPr>
          <w:rFonts w:cs="Segoe UI"/>
        </w:rPr>
      </w:pPr>
      <w:r>
        <w:rPr>
          <w:lang w:eastAsia="ja-JP"/>
        </w:rPr>
        <w:t xml:space="preserve">Under the extended </w:t>
      </w:r>
      <w:r w:rsidR="00C9181A">
        <w:rPr>
          <w:lang w:eastAsia="ja-JP"/>
        </w:rPr>
        <w:t>WA </w:t>
      </w:r>
      <w:r>
        <w:rPr>
          <w:lang w:eastAsia="ja-JP"/>
        </w:rPr>
        <w:t xml:space="preserve">RFA, </w:t>
      </w:r>
      <w:r w:rsidR="007E358F">
        <w:rPr>
          <w:lang w:eastAsia="ja-JP"/>
        </w:rPr>
        <w:t xml:space="preserve">Western Australia will continue to monitor and manage wetlands to maintain and improve the values within them. </w:t>
      </w:r>
      <w:r>
        <w:rPr>
          <w:lang w:eastAsia="ja-JP"/>
        </w:rPr>
        <w:t xml:space="preserve">This includes having mechanisms in place under the FMS to </w:t>
      </w:r>
      <w:r w:rsidR="009614ED">
        <w:rPr>
          <w:lang w:eastAsia="ja-JP"/>
        </w:rPr>
        <w:t xml:space="preserve">maintain wetland characteristics </w:t>
      </w:r>
      <w:r w:rsidR="00554511">
        <w:rPr>
          <w:lang w:eastAsia="ja-JP"/>
        </w:rPr>
        <w:t xml:space="preserve">that may be impacted by prescribed burning </w:t>
      </w:r>
      <w:r w:rsidR="009614ED">
        <w:rPr>
          <w:lang w:eastAsia="ja-JP"/>
        </w:rPr>
        <w:t xml:space="preserve">and </w:t>
      </w:r>
      <w:r w:rsidR="00554511">
        <w:rPr>
          <w:lang w:eastAsia="ja-JP"/>
        </w:rPr>
        <w:t xml:space="preserve">to </w:t>
      </w:r>
      <w:r>
        <w:rPr>
          <w:lang w:eastAsia="ja-JP"/>
        </w:rPr>
        <w:t>minimise the impact of forestry operations on soil erosion, water quality and quantity</w:t>
      </w:r>
      <w:r w:rsidR="009614ED">
        <w:rPr>
          <w:lang w:eastAsia="ja-JP"/>
        </w:rPr>
        <w:t xml:space="preserve"> in the broader catchments</w:t>
      </w:r>
      <w:r>
        <w:rPr>
          <w:lang w:eastAsia="ja-JP"/>
        </w:rPr>
        <w:t>.</w:t>
      </w:r>
    </w:p>
    <w:p w14:paraId="26ABD069" w14:textId="77777777" w:rsidR="007E358F" w:rsidRDefault="007E358F" w:rsidP="007E358F">
      <w:pPr>
        <w:rPr>
          <w:lang w:eastAsia="ja-JP"/>
        </w:rPr>
      </w:pPr>
    </w:p>
    <w:p w14:paraId="26ABD06A" w14:textId="77777777" w:rsidR="00DC3260" w:rsidRPr="00CE60B2" w:rsidRDefault="00DC3260" w:rsidP="003443B2">
      <w:pPr>
        <w:rPr>
          <w:rFonts w:cs="Segoe UI"/>
          <w:b/>
          <w:color w:val="0074A1"/>
          <w:sz w:val="28"/>
          <w:szCs w:val="28"/>
          <w:lang w:eastAsia="en-AU"/>
        </w:rPr>
      </w:pPr>
      <w:r w:rsidRPr="00CE60B2">
        <w:rPr>
          <w:rFonts w:cs="Segoe UI"/>
          <w:lang w:eastAsia="en-AU"/>
        </w:rPr>
        <w:br w:type="page"/>
      </w:r>
    </w:p>
    <w:p w14:paraId="26ABD06B" w14:textId="77777777" w:rsidR="00996684" w:rsidRPr="00CE60B2" w:rsidRDefault="008A4979" w:rsidP="00FF0D54">
      <w:pPr>
        <w:pStyle w:val="Heading2"/>
      </w:pPr>
      <w:bookmarkStart w:id="95" w:name="_Toc526862012"/>
      <w:bookmarkStart w:id="96" w:name="_Toc2776045"/>
      <w:r w:rsidRPr="00CE60B2">
        <w:lastRenderedPageBreak/>
        <w:t xml:space="preserve">Section 2: </w:t>
      </w:r>
      <w:r w:rsidR="00996684" w:rsidRPr="00CE60B2">
        <w:t>Indigenous Heritage Values</w:t>
      </w:r>
      <w:bookmarkEnd w:id="95"/>
      <w:bookmarkEnd w:id="96"/>
    </w:p>
    <w:p w14:paraId="26ABD06C" w14:textId="5A29D9B1" w:rsidR="00DC3260" w:rsidRPr="00CE60B2" w:rsidRDefault="005F6793" w:rsidP="00DC3260">
      <w:pPr>
        <w:rPr>
          <w:rFonts w:cs="Segoe UI"/>
        </w:rPr>
      </w:pPr>
      <w:r w:rsidRPr="00CE60B2">
        <w:rPr>
          <w:rFonts w:cs="Segoe UI"/>
        </w:rPr>
        <w:t>Indigenous heritage values</w:t>
      </w:r>
      <w:r w:rsidR="00F73C3B" w:rsidRPr="00CE60B2">
        <w:rPr>
          <w:rStyle w:val="FootnoteReference"/>
          <w:rFonts w:cs="Segoe UI"/>
        </w:rPr>
        <w:footnoteReference w:id="7"/>
      </w:r>
      <w:r w:rsidRPr="00CE60B2">
        <w:rPr>
          <w:rFonts w:cs="Segoe UI"/>
        </w:rPr>
        <w:t xml:space="preserve"> </w:t>
      </w:r>
      <w:r w:rsidR="005D1FC2" w:rsidRPr="00CE60B2">
        <w:rPr>
          <w:rFonts w:cs="Segoe UI"/>
        </w:rPr>
        <w:t>are</w:t>
      </w:r>
      <w:r w:rsidRPr="00CE60B2">
        <w:rPr>
          <w:rFonts w:cs="Segoe UI"/>
        </w:rPr>
        <w:t xml:space="preserve"> the values of a place which are of significance as part of Indigenous practices, observances, customs, traditions, beliefs or history. </w:t>
      </w:r>
      <w:r w:rsidR="00DC3260" w:rsidRPr="00CE60B2">
        <w:rPr>
          <w:rFonts w:cs="Segoe UI"/>
        </w:rPr>
        <w:t xml:space="preserve">The extent to which Indigenous people participate in forest management reflects their connection with the land, and the integration of Indigenous values into forest management practice, policy and decision-making. </w:t>
      </w:r>
    </w:p>
    <w:p w14:paraId="26ABD06D" w14:textId="77777777" w:rsidR="00F73C3B" w:rsidRPr="00CE60B2" w:rsidRDefault="00F73C3B" w:rsidP="00F73C3B">
      <w:pPr>
        <w:rPr>
          <w:rFonts w:cs="Segoe UI"/>
          <w:color w:val="000000" w:themeColor="text1"/>
        </w:rPr>
      </w:pPr>
      <w:r w:rsidRPr="00CE60B2">
        <w:rPr>
          <w:rFonts w:cs="Segoe UI"/>
          <w:color w:val="000000" w:themeColor="text1"/>
        </w:rPr>
        <w:t>This section includes the following Montréal Indicators:</w:t>
      </w:r>
    </w:p>
    <w:p w14:paraId="26ABD06E" w14:textId="77777777" w:rsidR="00F73C3B" w:rsidRPr="00CE60B2" w:rsidRDefault="00F73C3B" w:rsidP="00C903EE">
      <w:pPr>
        <w:pStyle w:val="ListParagraph"/>
        <w:numPr>
          <w:ilvl w:val="0"/>
          <w:numId w:val="23"/>
        </w:numPr>
        <w:rPr>
          <w:rFonts w:cs="Segoe UI"/>
          <w:bCs/>
        </w:rPr>
      </w:pPr>
      <w:r w:rsidRPr="00CE60B2">
        <w:rPr>
          <w:rFonts w:cs="Segoe UI"/>
          <w:bCs/>
        </w:rPr>
        <w:t>Indicator 6.4 a – Area of forest to which Indigenous people have use and rights that protect their special values and are recognised through formal and informal management regimes</w:t>
      </w:r>
    </w:p>
    <w:p w14:paraId="26ABD06F" w14:textId="77777777" w:rsidR="00F73C3B" w:rsidRPr="00CE60B2" w:rsidRDefault="00F73C3B" w:rsidP="00C903EE">
      <w:pPr>
        <w:pStyle w:val="ListParagraph"/>
        <w:numPr>
          <w:ilvl w:val="0"/>
          <w:numId w:val="23"/>
        </w:numPr>
        <w:rPr>
          <w:rFonts w:cs="Segoe UI"/>
          <w:bCs/>
        </w:rPr>
      </w:pPr>
      <w:r w:rsidRPr="00CE60B2">
        <w:rPr>
          <w:rFonts w:cs="Segoe UI"/>
          <w:bCs/>
        </w:rPr>
        <w:t xml:space="preserve">Indicator 6.4.c – The extent to which Indigenous values are protected, maintained and enhanced through Indigenous participation in forest </w:t>
      </w:r>
      <w:r w:rsidR="00EF1393" w:rsidRPr="00CE60B2">
        <w:rPr>
          <w:rFonts w:cs="Segoe UI"/>
          <w:bCs/>
        </w:rPr>
        <w:t>management</w:t>
      </w:r>
      <w:r w:rsidRPr="00CE60B2">
        <w:rPr>
          <w:rFonts w:cs="Segoe UI"/>
          <w:bCs/>
        </w:rPr>
        <w:t xml:space="preserve"> </w:t>
      </w:r>
    </w:p>
    <w:p w14:paraId="26ABD070" w14:textId="77777777" w:rsidR="00F73C3B" w:rsidRPr="00CE60B2" w:rsidRDefault="00F73C3B" w:rsidP="00C903EE">
      <w:pPr>
        <w:pStyle w:val="ListParagraph"/>
        <w:numPr>
          <w:ilvl w:val="0"/>
          <w:numId w:val="23"/>
        </w:numPr>
        <w:rPr>
          <w:rFonts w:cs="Segoe UI"/>
          <w:bCs/>
        </w:rPr>
      </w:pPr>
      <w:r w:rsidRPr="00CE60B2">
        <w:rPr>
          <w:rFonts w:cs="Segoe UI"/>
          <w:bCs/>
        </w:rPr>
        <w:t xml:space="preserve">Indicator 6.5.d – Resilience of forest dependent Indigenous communities to changing social and economic conditions </w:t>
      </w:r>
    </w:p>
    <w:p w14:paraId="26ABD071" w14:textId="77777777" w:rsidR="00032BE4" w:rsidRDefault="00DC3260" w:rsidP="00DC3260">
      <w:pPr>
        <w:rPr>
          <w:rFonts w:cs="Segoe UI"/>
        </w:rPr>
      </w:pPr>
      <w:r w:rsidRPr="00CE60B2">
        <w:rPr>
          <w:rFonts w:cs="Segoe UI"/>
        </w:rPr>
        <w:t xml:space="preserve">Access, management and ownership are key parts of the relationship of Indigenous people with land. The Indigenous estate can be broadly divided into land tenure and management categories based on the degree of Indigenous ownership, management and other rights over the land. Effective Indigenous participation can occur through a variety of direct or consultative mechanisms. </w:t>
      </w:r>
    </w:p>
    <w:p w14:paraId="26ABD072" w14:textId="77777777" w:rsidR="00DB510B" w:rsidRPr="00CE60B2" w:rsidRDefault="00DB510B" w:rsidP="008A4979">
      <w:pPr>
        <w:pStyle w:val="Heading3"/>
        <w:rPr>
          <w:lang w:eastAsia="en-AU"/>
        </w:rPr>
      </w:pPr>
      <w:bookmarkStart w:id="97" w:name="_Toc524952802"/>
      <w:bookmarkStart w:id="98" w:name="_Toc2776046"/>
      <w:r w:rsidRPr="00CE60B2">
        <w:rPr>
          <w:lang w:eastAsia="en-AU"/>
        </w:rPr>
        <w:t>Indicator 6.4a</w:t>
      </w:r>
      <w:r w:rsidRPr="00CE60B2">
        <w:rPr>
          <w:lang w:eastAsia="en-AU"/>
        </w:rPr>
        <w:tab/>
        <w:t>Area of forest to which Indigenous people have use and rights that protect their special values and are recognised through formal and informal management regimes</w:t>
      </w:r>
      <w:bookmarkEnd w:id="97"/>
      <w:bookmarkEnd w:id="98"/>
    </w:p>
    <w:p w14:paraId="26ABD073" w14:textId="77777777" w:rsidR="00CD6BB4" w:rsidRPr="00CE60B2" w:rsidRDefault="00CD6BB4" w:rsidP="00CD6BB4">
      <w:pPr>
        <w:autoSpaceDE w:val="0"/>
        <w:autoSpaceDN w:val="0"/>
        <w:adjustRightInd w:val="0"/>
        <w:spacing w:before="0" w:after="0"/>
        <w:rPr>
          <w:rFonts w:cs="Segoe UI"/>
        </w:rPr>
      </w:pPr>
      <w:r w:rsidRPr="00CE60B2">
        <w:rPr>
          <w:rFonts w:cs="Segoe UI"/>
        </w:rPr>
        <w:t>This indicator monitors the degree to which land is placed under appropriate tenure classifications or management regimes to protect Indigenous peoples’ values in forests. An acceptable level of accountability for the protection of Indigenous peoples’ cultural, religious, social and spiritual needs and values is an essential part of forest management.</w:t>
      </w:r>
    </w:p>
    <w:p w14:paraId="26ABD074" w14:textId="131355DB" w:rsidR="00123737" w:rsidRPr="00CE60B2" w:rsidRDefault="00123737" w:rsidP="00123737">
      <w:pPr>
        <w:rPr>
          <w:rFonts w:cs="Segoe UI"/>
        </w:rPr>
      </w:pPr>
      <w:r w:rsidRPr="00CE60B2">
        <w:rPr>
          <w:rFonts w:cs="Segoe UI"/>
        </w:rPr>
        <w:t xml:space="preserve">For the purposes of this indicator ‘Formally managed’ includes management required by legislation, or protection of places through management zones, prescriptions and/or codes of practice where these lead to relevant sites being actively managed or protected on the ground. The four broad categories used to identify </w:t>
      </w:r>
      <w:r w:rsidR="00C80DD6" w:rsidRPr="00CE60B2">
        <w:rPr>
          <w:rFonts w:cs="Segoe UI"/>
        </w:rPr>
        <w:t>I</w:t>
      </w:r>
      <w:r w:rsidRPr="00CE60B2">
        <w:rPr>
          <w:rFonts w:cs="Segoe UI"/>
        </w:rPr>
        <w:t xml:space="preserve">ndigenous land are shown in </w:t>
      </w:r>
      <w:r w:rsidR="00197596">
        <w:rPr>
          <w:rFonts w:cs="Segoe UI"/>
        </w:rPr>
        <w:fldChar w:fldCharType="begin"/>
      </w:r>
      <w:r w:rsidR="00197596">
        <w:rPr>
          <w:rFonts w:cs="Segoe UI"/>
        </w:rPr>
        <w:instrText xml:space="preserve"> REF _Ref527459416 </w:instrText>
      </w:r>
      <w:r w:rsidR="00197596">
        <w:rPr>
          <w:rFonts w:cs="Segoe UI"/>
        </w:rPr>
        <w:fldChar w:fldCharType="separate"/>
      </w:r>
      <w:r w:rsidR="003C7091">
        <w:t xml:space="preserve">Table </w:t>
      </w:r>
      <w:r w:rsidR="003C7091">
        <w:rPr>
          <w:noProof/>
        </w:rPr>
        <w:t>18</w:t>
      </w:r>
      <w:r w:rsidR="00197596">
        <w:rPr>
          <w:rFonts w:cs="Segoe UI"/>
        </w:rPr>
        <w:fldChar w:fldCharType="end"/>
      </w:r>
      <w:r w:rsidR="00E95A08">
        <w:rPr>
          <w:rFonts w:cs="Segoe UI"/>
        </w:rPr>
        <w:t>.</w:t>
      </w:r>
    </w:p>
    <w:p w14:paraId="26ABD075" w14:textId="3420CFA2" w:rsidR="00197596" w:rsidRDefault="00197596" w:rsidP="00197596">
      <w:pPr>
        <w:pStyle w:val="Caption"/>
        <w:keepNext/>
      </w:pPr>
      <w:bookmarkStart w:id="99" w:name="_Ref527459416"/>
      <w:bookmarkStart w:id="100" w:name="_Toc531002179"/>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18</w:t>
      </w:r>
      <w:r w:rsidR="005C10D4">
        <w:rPr>
          <w:noProof/>
        </w:rPr>
        <w:fldChar w:fldCharType="end"/>
      </w:r>
      <w:bookmarkEnd w:id="99"/>
      <w:r>
        <w:t xml:space="preserve">: </w:t>
      </w:r>
      <w:r w:rsidRPr="00D46F51">
        <w:t>Categories of Indigenous land</w:t>
      </w:r>
      <w:bookmarkEnd w:id="100"/>
    </w:p>
    <w:tbl>
      <w:tblPr>
        <w:tblW w:w="964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6666"/>
      </w:tblGrid>
      <w:tr w:rsidR="00123737" w:rsidRPr="00CE60B2" w14:paraId="26ABD078" w14:textId="77777777" w:rsidTr="005D1FC2">
        <w:trPr>
          <w:trHeight w:val="340"/>
          <w:tblHeader/>
        </w:trPr>
        <w:tc>
          <w:tcPr>
            <w:tcW w:w="2979" w:type="dxa"/>
            <w:tcBorders>
              <w:top w:val="single" w:sz="4" w:space="0" w:color="auto"/>
              <w:left w:val="single" w:sz="4" w:space="0" w:color="auto"/>
              <w:bottom w:val="single" w:sz="4" w:space="0" w:color="auto"/>
              <w:right w:val="single" w:sz="4" w:space="0" w:color="auto"/>
            </w:tcBorders>
            <w:shd w:val="clear" w:color="auto" w:fill="DFEFE1" w:themeFill="accent3" w:themeFillTint="66"/>
            <w:vAlign w:val="center"/>
            <w:hideMark/>
          </w:tcPr>
          <w:p w14:paraId="26ABD076" w14:textId="77777777" w:rsidR="00123737" w:rsidRPr="00CE60B2" w:rsidRDefault="00123737" w:rsidP="00167640">
            <w:pPr>
              <w:rPr>
                <w:rFonts w:cs="Segoe UI"/>
                <w:b/>
              </w:rPr>
            </w:pPr>
            <w:r w:rsidRPr="00CE60B2">
              <w:rPr>
                <w:rFonts w:cs="Segoe UI"/>
                <w:b/>
              </w:rPr>
              <w:t>Indigenous land category</w:t>
            </w:r>
          </w:p>
        </w:tc>
        <w:tc>
          <w:tcPr>
            <w:tcW w:w="6666" w:type="dxa"/>
            <w:tcBorders>
              <w:top w:val="single" w:sz="4" w:space="0" w:color="auto"/>
              <w:left w:val="single" w:sz="4" w:space="0" w:color="auto"/>
              <w:bottom w:val="single" w:sz="4" w:space="0" w:color="auto"/>
              <w:right w:val="single" w:sz="4" w:space="0" w:color="auto"/>
            </w:tcBorders>
            <w:shd w:val="clear" w:color="auto" w:fill="DFEFE1" w:themeFill="accent3" w:themeFillTint="66"/>
            <w:vAlign w:val="center"/>
            <w:hideMark/>
          </w:tcPr>
          <w:p w14:paraId="26ABD077" w14:textId="77777777" w:rsidR="00123737" w:rsidRPr="00CE60B2" w:rsidRDefault="00123737" w:rsidP="00167640">
            <w:pPr>
              <w:rPr>
                <w:rFonts w:cs="Segoe UI"/>
                <w:b/>
              </w:rPr>
            </w:pPr>
            <w:r w:rsidRPr="00CE60B2">
              <w:rPr>
                <w:rFonts w:cs="Segoe UI"/>
                <w:b/>
              </w:rPr>
              <w:t>Description</w:t>
            </w:r>
          </w:p>
        </w:tc>
      </w:tr>
      <w:tr w:rsidR="00123737" w:rsidRPr="00CE60B2" w14:paraId="26ABD07B" w14:textId="77777777" w:rsidTr="00167640">
        <w:trPr>
          <w:cantSplit/>
          <w:trHeight w:val="493"/>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26ABD079" w14:textId="77777777" w:rsidR="00123737" w:rsidRPr="00CE60B2" w:rsidRDefault="00123737" w:rsidP="00167640">
            <w:pPr>
              <w:rPr>
                <w:rFonts w:cs="Segoe UI"/>
                <w:szCs w:val="16"/>
              </w:rPr>
            </w:pPr>
            <w:r w:rsidRPr="00CE60B2">
              <w:rPr>
                <w:rFonts w:cs="Segoe UI"/>
                <w:szCs w:val="16"/>
              </w:rPr>
              <w:t>Indigenous owned and managed</w:t>
            </w:r>
          </w:p>
        </w:tc>
        <w:tc>
          <w:tcPr>
            <w:tcW w:w="6666" w:type="dxa"/>
            <w:tcBorders>
              <w:top w:val="single" w:sz="4" w:space="0" w:color="auto"/>
              <w:left w:val="single" w:sz="4" w:space="0" w:color="auto"/>
              <w:bottom w:val="single" w:sz="4" w:space="0" w:color="auto"/>
              <w:right w:val="single" w:sz="4" w:space="0" w:color="auto"/>
            </w:tcBorders>
            <w:shd w:val="clear" w:color="auto" w:fill="auto"/>
            <w:hideMark/>
          </w:tcPr>
          <w:p w14:paraId="26ABD07A" w14:textId="77777777" w:rsidR="00123737" w:rsidRPr="00CE60B2" w:rsidRDefault="00123737" w:rsidP="00167640">
            <w:pPr>
              <w:rPr>
                <w:rFonts w:cs="Segoe UI"/>
                <w:szCs w:val="16"/>
              </w:rPr>
            </w:pPr>
            <w:r w:rsidRPr="00CE60B2">
              <w:rPr>
                <w:rFonts w:cs="Segoe UI"/>
                <w:szCs w:val="16"/>
              </w:rPr>
              <w:t>Freehold lands that are both owned and managed by Indigenous communities</w:t>
            </w:r>
          </w:p>
        </w:tc>
      </w:tr>
      <w:tr w:rsidR="00123737" w:rsidRPr="00CE60B2" w14:paraId="26ABD07E" w14:textId="77777777" w:rsidTr="00167640">
        <w:trPr>
          <w:cantSplit/>
          <w:trHeight w:val="935"/>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26ABD07C" w14:textId="77777777" w:rsidR="00123737" w:rsidRPr="00CE60B2" w:rsidRDefault="00123737" w:rsidP="00167640">
            <w:pPr>
              <w:rPr>
                <w:rFonts w:cs="Segoe UI"/>
                <w:szCs w:val="16"/>
              </w:rPr>
            </w:pPr>
            <w:r w:rsidRPr="00CE60B2">
              <w:rPr>
                <w:rFonts w:cs="Segoe UI"/>
                <w:szCs w:val="16"/>
              </w:rPr>
              <w:lastRenderedPageBreak/>
              <w:t>Indigenous managed</w:t>
            </w:r>
          </w:p>
        </w:tc>
        <w:tc>
          <w:tcPr>
            <w:tcW w:w="6666" w:type="dxa"/>
            <w:tcBorders>
              <w:top w:val="single" w:sz="4" w:space="0" w:color="auto"/>
              <w:left w:val="single" w:sz="4" w:space="0" w:color="auto"/>
              <w:bottom w:val="single" w:sz="4" w:space="0" w:color="auto"/>
              <w:right w:val="single" w:sz="4" w:space="0" w:color="auto"/>
            </w:tcBorders>
            <w:shd w:val="clear" w:color="auto" w:fill="auto"/>
            <w:hideMark/>
          </w:tcPr>
          <w:p w14:paraId="26ABD07D" w14:textId="77777777" w:rsidR="00123737" w:rsidRPr="00CE60B2" w:rsidRDefault="00123737" w:rsidP="00167640">
            <w:pPr>
              <w:rPr>
                <w:rFonts w:cs="Segoe UI"/>
                <w:szCs w:val="16"/>
              </w:rPr>
            </w:pPr>
            <w:r w:rsidRPr="00CE60B2">
              <w:rPr>
                <w:rFonts w:cs="Segoe UI"/>
                <w:szCs w:val="16"/>
              </w:rPr>
              <w:t>Lands that are managed but not owned by Indigenous communities (e.g. Crown reserves and leases); and lands that are owned by Indigenous people, but have formal shared management agreements with Australian and state and territory government agencies (e.g. leased-back nature conservation reserves)</w:t>
            </w:r>
          </w:p>
        </w:tc>
      </w:tr>
      <w:tr w:rsidR="00123737" w:rsidRPr="00CE60B2" w14:paraId="26ABD081" w14:textId="77777777" w:rsidTr="00167640">
        <w:trPr>
          <w:cantSplit/>
          <w:trHeight w:val="935"/>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26ABD07F" w14:textId="77777777" w:rsidR="00123737" w:rsidRPr="00CE60B2" w:rsidRDefault="00123737" w:rsidP="00167640">
            <w:pPr>
              <w:rPr>
                <w:rFonts w:cs="Segoe UI"/>
                <w:szCs w:val="16"/>
              </w:rPr>
            </w:pPr>
            <w:r w:rsidRPr="00CE60B2">
              <w:rPr>
                <w:rFonts w:cs="Segoe UI"/>
                <w:szCs w:val="16"/>
              </w:rPr>
              <w:t>Indigenous co-managed</w:t>
            </w:r>
          </w:p>
        </w:tc>
        <w:tc>
          <w:tcPr>
            <w:tcW w:w="6666" w:type="dxa"/>
            <w:tcBorders>
              <w:top w:val="single" w:sz="4" w:space="0" w:color="auto"/>
              <w:left w:val="single" w:sz="4" w:space="0" w:color="auto"/>
              <w:bottom w:val="single" w:sz="4" w:space="0" w:color="auto"/>
              <w:right w:val="single" w:sz="4" w:space="0" w:color="auto"/>
            </w:tcBorders>
            <w:shd w:val="clear" w:color="auto" w:fill="auto"/>
            <w:hideMark/>
          </w:tcPr>
          <w:p w14:paraId="26ABD080" w14:textId="77777777" w:rsidR="00123737" w:rsidRPr="00CE60B2" w:rsidRDefault="00123737" w:rsidP="00167640">
            <w:pPr>
              <w:rPr>
                <w:rFonts w:cs="Segoe UI"/>
                <w:szCs w:val="16"/>
              </w:rPr>
            </w:pPr>
            <w:r w:rsidRPr="00CE60B2">
              <w:rPr>
                <w:rFonts w:cs="Segoe UI"/>
                <w:szCs w:val="16"/>
              </w:rPr>
              <w:t>Lands that are owned and managed by other parties, but have formal, legally binding agreements in place to include input from Indigenous people in the process of developing and implementing a management plan (e.g. nature conservation reserve memoranda of understanding)</w:t>
            </w:r>
          </w:p>
        </w:tc>
      </w:tr>
      <w:tr w:rsidR="00123737" w:rsidRPr="00CE60B2" w14:paraId="26ABD084" w14:textId="77777777" w:rsidTr="00167640">
        <w:trPr>
          <w:cantSplit/>
          <w:trHeight w:val="935"/>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26ABD082" w14:textId="77777777" w:rsidR="00123737" w:rsidRPr="00CE60B2" w:rsidRDefault="00123737" w:rsidP="00167640">
            <w:pPr>
              <w:rPr>
                <w:rFonts w:cs="Segoe UI"/>
                <w:szCs w:val="16"/>
              </w:rPr>
            </w:pPr>
            <w:r w:rsidRPr="00CE60B2">
              <w:rPr>
                <w:rFonts w:cs="Segoe UI"/>
                <w:szCs w:val="16"/>
              </w:rPr>
              <w:t>Other special rights</w:t>
            </w:r>
          </w:p>
        </w:tc>
        <w:tc>
          <w:tcPr>
            <w:tcW w:w="6666" w:type="dxa"/>
            <w:tcBorders>
              <w:top w:val="single" w:sz="4" w:space="0" w:color="auto"/>
              <w:left w:val="single" w:sz="4" w:space="0" w:color="auto"/>
              <w:bottom w:val="single" w:sz="4" w:space="0" w:color="auto"/>
              <w:right w:val="single" w:sz="4" w:space="0" w:color="auto"/>
            </w:tcBorders>
            <w:shd w:val="clear" w:color="auto" w:fill="auto"/>
            <w:hideMark/>
          </w:tcPr>
          <w:p w14:paraId="26ABD083" w14:textId="77777777" w:rsidR="00123737" w:rsidRPr="00CE60B2" w:rsidRDefault="00123737" w:rsidP="00167640">
            <w:pPr>
              <w:rPr>
                <w:rFonts w:cs="Segoe UI"/>
                <w:szCs w:val="16"/>
              </w:rPr>
            </w:pPr>
            <w:r w:rsidRPr="00CE60B2">
              <w:rPr>
                <w:rFonts w:cs="Segoe UI"/>
                <w:szCs w:val="16"/>
              </w:rPr>
              <w:t>Lands subject to native title determinations and active Indigenous land use agreements</w:t>
            </w:r>
            <w:r w:rsidR="00B83154">
              <w:rPr>
                <w:rFonts w:cs="Segoe UI"/>
                <w:szCs w:val="16"/>
              </w:rPr>
              <w:t xml:space="preserve"> (ILUA)</w:t>
            </w:r>
            <w:r w:rsidRPr="00CE60B2">
              <w:rPr>
                <w:rFonts w:cs="Segoe UI"/>
                <w:szCs w:val="16"/>
              </w:rPr>
              <w:t>. These are independent of tenure and, in most cases, do not grant ownership or management rights of land to Indigenous communities. They can provide for the right to access areas of cultural significance, or a legal requirement for consultation with the local Indigenous community before any major development activities take place</w:t>
            </w:r>
          </w:p>
        </w:tc>
      </w:tr>
    </w:tbl>
    <w:p w14:paraId="26ABD085" w14:textId="77777777" w:rsidR="00123737" w:rsidRDefault="00123737" w:rsidP="00123737">
      <w:pPr>
        <w:rPr>
          <w:rFonts w:cs="Segoe UI"/>
          <w:i/>
          <w:sz w:val="18"/>
        </w:rPr>
      </w:pPr>
      <w:r w:rsidRPr="00CE60B2">
        <w:rPr>
          <w:rFonts w:cs="Segoe UI"/>
          <w:sz w:val="18"/>
        </w:rPr>
        <w:t xml:space="preserve">Source: </w:t>
      </w:r>
      <w:r w:rsidRPr="00CE60B2">
        <w:rPr>
          <w:rFonts w:cs="Segoe UI"/>
          <w:i/>
          <w:sz w:val="18"/>
        </w:rPr>
        <w:t>Australia’s State of the Forests Report 2013</w:t>
      </w:r>
    </w:p>
    <w:p w14:paraId="26ABD086" w14:textId="77777777" w:rsidR="004B71E6" w:rsidRPr="00CE60B2" w:rsidRDefault="004B71E6" w:rsidP="004B71E6">
      <w:pPr>
        <w:rPr>
          <w:rFonts w:cs="Segoe UI"/>
        </w:rPr>
      </w:pPr>
      <w:r>
        <w:t xml:space="preserve">The primary piece of legislation which protects Aboriginal cultural heritage in Western Australia is the </w:t>
      </w:r>
      <w:r w:rsidRPr="00EF27A9">
        <w:rPr>
          <w:i/>
        </w:rPr>
        <w:t>Aboriginal Heritage Ac</w:t>
      </w:r>
      <w:r w:rsidRPr="00EF27A9">
        <w:t xml:space="preserve">t </w:t>
      </w:r>
      <w:r w:rsidRPr="00EF27A9">
        <w:rPr>
          <w:i/>
        </w:rPr>
        <w:t>1972</w:t>
      </w:r>
      <w:r>
        <w:t xml:space="preserve"> (WA) (AHA Act). The Department of Planning Lands and Heritage</w:t>
      </w:r>
      <w:r w:rsidR="00570EBF">
        <w:t xml:space="preserve"> (DPLH)</w:t>
      </w:r>
      <w:r>
        <w:t xml:space="preserve"> is responsible for the administration of the AHA Act. </w:t>
      </w:r>
      <w:r w:rsidRPr="00EF27A9">
        <w:t xml:space="preserve">The AHA Act provides automatic protection for all places and objects in Western Australia that are important to Aboriginal people because of connections to their culture. These places and objects are referred to as </w:t>
      </w:r>
      <w:hyperlink r:id="rId33" w:history="1">
        <w:r w:rsidRPr="005C4876">
          <w:rPr>
            <w:rStyle w:val="Hyperlink"/>
            <w:color w:val="auto"/>
          </w:rPr>
          <w:t>Aboriginal sites</w:t>
        </w:r>
      </w:hyperlink>
      <w:r>
        <w:t xml:space="preserve"> (Department of Planning, Lands and Heritage 2018)</w:t>
      </w:r>
      <w:r w:rsidRPr="00EF27A9">
        <w:t>.</w:t>
      </w:r>
    </w:p>
    <w:p w14:paraId="26ABD087" w14:textId="77777777" w:rsidR="00CA4361" w:rsidRDefault="00CA4361" w:rsidP="00CA4361">
      <w:pPr>
        <w:spacing w:after="0"/>
        <w:jc w:val="both"/>
        <w:rPr>
          <w:rFonts w:cstheme="minorHAnsi"/>
        </w:rPr>
      </w:pPr>
      <w:r>
        <w:rPr>
          <w:rFonts w:cstheme="minorHAnsi"/>
        </w:rPr>
        <w:t>The CALM Act also includes provisions which provide significant protection for Indigenous cultural heritage values including:</w:t>
      </w:r>
    </w:p>
    <w:p w14:paraId="26ABD088" w14:textId="77777777" w:rsidR="00CA4361" w:rsidRDefault="00CA4361" w:rsidP="00C903EE">
      <w:pPr>
        <w:pStyle w:val="ListParagraph"/>
        <w:numPr>
          <w:ilvl w:val="0"/>
          <w:numId w:val="41"/>
        </w:numPr>
        <w:spacing w:before="0" w:after="0"/>
        <w:ind w:left="709" w:hanging="283"/>
        <w:jc w:val="both"/>
        <w:rPr>
          <w:rFonts w:cstheme="minorHAnsi"/>
        </w:rPr>
      </w:pPr>
      <w:r>
        <w:rPr>
          <w:rFonts w:cstheme="minorHAnsi"/>
        </w:rPr>
        <w:t>a management objective to conserve and protect the value of the land to the culture and heritage of Aboriginal people;</w:t>
      </w:r>
    </w:p>
    <w:p w14:paraId="26ABD089" w14:textId="77777777" w:rsidR="00CA4361" w:rsidRDefault="00CA4361" w:rsidP="00C903EE">
      <w:pPr>
        <w:pStyle w:val="ListParagraph"/>
        <w:numPr>
          <w:ilvl w:val="0"/>
          <w:numId w:val="41"/>
        </w:numPr>
        <w:spacing w:before="0" w:after="0"/>
        <w:ind w:left="709" w:hanging="283"/>
        <w:jc w:val="both"/>
        <w:rPr>
          <w:rFonts w:cstheme="minorHAnsi"/>
        </w:rPr>
      </w:pPr>
      <w:r>
        <w:rPr>
          <w:rFonts w:cstheme="minorHAnsi"/>
        </w:rPr>
        <w:t xml:space="preserve">facilitation of the conduct of Aboriginal customary activities </w:t>
      </w:r>
      <w:r w:rsidRPr="00AC24BA">
        <w:rPr>
          <w:rFonts w:cstheme="minorHAnsi"/>
        </w:rPr>
        <w:t xml:space="preserve">(such as </w:t>
      </w:r>
      <w:r>
        <w:rPr>
          <w:rFonts w:cstheme="minorHAnsi"/>
        </w:rPr>
        <w:t xml:space="preserve">visiting country to care for and protect Aboriginal sites and values, </w:t>
      </w:r>
      <w:r w:rsidRPr="00AC24BA">
        <w:rPr>
          <w:rFonts w:cstheme="minorHAnsi"/>
        </w:rPr>
        <w:t>obtaining food, medicines, or conducting ceremonies)</w:t>
      </w:r>
      <w:r>
        <w:rPr>
          <w:rFonts w:cstheme="minorHAnsi"/>
        </w:rPr>
        <w:t>; and</w:t>
      </w:r>
      <w:r w:rsidRPr="00AC24BA">
        <w:rPr>
          <w:rFonts w:cstheme="minorHAnsi"/>
        </w:rPr>
        <w:t xml:space="preserve"> </w:t>
      </w:r>
    </w:p>
    <w:p w14:paraId="26ABD08A" w14:textId="77777777" w:rsidR="00CA4361" w:rsidRPr="00AC24BA" w:rsidRDefault="00CA4361" w:rsidP="00C903EE">
      <w:pPr>
        <w:pStyle w:val="ListParagraph"/>
        <w:numPr>
          <w:ilvl w:val="0"/>
          <w:numId w:val="41"/>
        </w:numPr>
        <w:spacing w:before="0" w:after="0"/>
        <w:ind w:left="709" w:hanging="283"/>
        <w:jc w:val="both"/>
        <w:rPr>
          <w:rFonts w:cstheme="minorHAnsi"/>
        </w:rPr>
      </w:pPr>
      <w:r>
        <w:rPr>
          <w:rFonts w:cstheme="minorHAnsi"/>
        </w:rPr>
        <w:t>a framework for the</w:t>
      </w:r>
      <w:r w:rsidRPr="00AC24BA">
        <w:rPr>
          <w:rFonts w:cstheme="minorHAnsi"/>
        </w:rPr>
        <w:t xml:space="preserve"> joint management </w:t>
      </w:r>
      <w:r>
        <w:rPr>
          <w:rFonts w:cstheme="minorHAnsi"/>
        </w:rPr>
        <w:t>of CALM Act lands</w:t>
      </w:r>
      <w:r w:rsidRPr="00AC24BA">
        <w:rPr>
          <w:rFonts w:cstheme="minorHAnsi"/>
        </w:rPr>
        <w:t xml:space="preserve">. </w:t>
      </w:r>
    </w:p>
    <w:p w14:paraId="26ABD08B" w14:textId="77777777" w:rsidR="00CA4361" w:rsidRDefault="00CA4361" w:rsidP="00CA4361">
      <w:r>
        <w:t>The provisions of section 103A of the CALM Act confer upon Indigenous people rights to access and use CALM Act lands within the scope of the ‘Other special rights’ category of land. Similarly, the provisions of section 56A of the CALM Act provide a statutory framework for formal Indigenous co-management of selected CALM Act land within the scope of the ‘Indigenous co-managed’ category of land.</w:t>
      </w:r>
    </w:p>
    <w:p w14:paraId="26ABD08C" w14:textId="77777777" w:rsidR="00CA4361" w:rsidRDefault="00CA4361" w:rsidP="00176847">
      <w:pPr>
        <w:spacing w:after="0"/>
        <w:rPr>
          <w:rFonts w:cstheme="minorHAnsi"/>
        </w:rPr>
      </w:pPr>
      <w:r w:rsidRPr="0032139F">
        <w:rPr>
          <w:rFonts w:cstheme="minorHAnsi"/>
        </w:rPr>
        <w:t xml:space="preserve">The processes to identify and protect </w:t>
      </w:r>
      <w:r>
        <w:rPr>
          <w:rFonts w:cstheme="minorHAnsi"/>
        </w:rPr>
        <w:t>Indigenous</w:t>
      </w:r>
      <w:r w:rsidRPr="0032139F">
        <w:rPr>
          <w:rFonts w:cstheme="minorHAnsi"/>
        </w:rPr>
        <w:t xml:space="preserve"> heritage places </w:t>
      </w:r>
      <w:r>
        <w:rPr>
          <w:rFonts w:cstheme="minorHAnsi"/>
        </w:rPr>
        <w:t xml:space="preserve">and values </w:t>
      </w:r>
      <w:r w:rsidR="00554511">
        <w:rPr>
          <w:rFonts w:cstheme="minorHAnsi"/>
        </w:rPr>
        <w:t xml:space="preserve">within the WA RFA region </w:t>
      </w:r>
      <w:r w:rsidRPr="0032139F">
        <w:rPr>
          <w:rFonts w:cstheme="minorHAnsi"/>
        </w:rPr>
        <w:t xml:space="preserve">are being further strengthened through the South West Native Title Settlement </w:t>
      </w:r>
      <w:r>
        <w:rPr>
          <w:rFonts w:cstheme="minorHAnsi"/>
        </w:rPr>
        <w:t xml:space="preserve">(SWNT Settlement) </w:t>
      </w:r>
      <w:r w:rsidRPr="0032139F">
        <w:rPr>
          <w:rFonts w:cstheme="minorHAnsi"/>
        </w:rPr>
        <w:t xml:space="preserve">process. This </w:t>
      </w:r>
      <w:r>
        <w:rPr>
          <w:rFonts w:cstheme="minorHAnsi"/>
        </w:rPr>
        <w:t>is</w:t>
      </w:r>
      <w:r w:rsidRPr="0032139F">
        <w:rPr>
          <w:rFonts w:cstheme="minorHAnsi"/>
        </w:rPr>
        <w:t xml:space="preserve"> a comprehensive native title agreement, comprising the </w:t>
      </w:r>
      <w:r w:rsidRPr="0032139F">
        <w:rPr>
          <w:rFonts w:cstheme="minorHAnsi"/>
        </w:rPr>
        <w:lastRenderedPageBreak/>
        <w:t>full and final resolution of all native title claims in the south-west of WA in exchange for a comprehensive settlement package.</w:t>
      </w:r>
      <w:r>
        <w:rPr>
          <w:rFonts w:cstheme="minorHAnsi"/>
        </w:rPr>
        <w:t xml:space="preserve"> </w:t>
      </w:r>
      <w:r w:rsidRPr="0032139F">
        <w:rPr>
          <w:rFonts w:cstheme="minorHAnsi"/>
          <w:shd w:val="clear" w:color="auto" w:fill="FFFFFF"/>
        </w:rPr>
        <w:t>I</w:t>
      </w:r>
      <w:r w:rsidRPr="0032139F">
        <w:rPr>
          <w:rFonts w:cstheme="minorHAnsi"/>
        </w:rPr>
        <w:t xml:space="preserve">dentical </w:t>
      </w:r>
      <w:r w:rsidR="004B7A36">
        <w:rPr>
          <w:rFonts w:cstheme="minorHAnsi"/>
        </w:rPr>
        <w:t>ILUAs</w:t>
      </w:r>
      <w:r w:rsidRPr="0032139F">
        <w:rPr>
          <w:rFonts w:cstheme="minorHAnsi"/>
        </w:rPr>
        <w:t xml:space="preserve"> have been executed across the South West by the WA Government and, respectively, the Yued, Whadjuk People, Gnaala Karla Booja, Ballardong People, South West Boojarah #2 and Wagyl Kaip </w:t>
      </w:r>
      <w:r w:rsidR="00554511">
        <w:rPr>
          <w:rFonts w:cstheme="minorHAnsi"/>
        </w:rPr>
        <w:t>and</w:t>
      </w:r>
      <w:r w:rsidRPr="0032139F">
        <w:rPr>
          <w:rFonts w:cstheme="minorHAnsi"/>
        </w:rPr>
        <w:t xml:space="preserve"> Southern Noongar groups, and the South West Aboriginal Land and Sea Council (SWALSC). </w:t>
      </w:r>
      <w:r>
        <w:rPr>
          <w:rFonts w:cstheme="minorHAnsi"/>
        </w:rPr>
        <w:t>The SWNT Settlement ILUAs were registered with the National Native Title Tribunal on 17 October 2018 which, subject to the outcome of any judicial review, will enable the implementation of the agreement.</w:t>
      </w:r>
    </w:p>
    <w:p w14:paraId="26ABD08D" w14:textId="77777777" w:rsidR="00A241E1" w:rsidRDefault="001D526C" w:rsidP="00123737">
      <w:pPr>
        <w:rPr>
          <w:rFonts w:cs="Segoe UI"/>
        </w:rPr>
      </w:pPr>
      <w:r>
        <w:rPr>
          <w:rFonts w:cs="Segoe UI"/>
        </w:rPr>
        <w:t>In addition to protections pro</w:t>
      </w:r>
      <w:r w:rsidR="00D71BE5">
        <w:rPr>
          <w:rFonts w:cs="Segoe UI"/>
        </w:rPr>
        <w:t>vid</w:t>
      </w:r>
      <w:r>
        <w:rPr>
          <w:rFonts w:cs="Segoe UI"/>
        </w:rPr>
        <w:t>ed under the AHA Act, in 1999 the WA RFA recognised a need to improve the protection and management of Aboriginal heritage and cultural values within the region</w:t>
      </w:r>
      <w:r w:rsidR="00D71BE5">
        <w:rPr>
          <w:rFonts w:cs="Segoe UI"/>
        </w:rPr>
        <w:t>. The RFA included a suite of actions (Attachment 10 of the 1999 WA</w:t>
      </w:r>
      <w:r w:rsidR="003A46E9">
        <w:rPr>
          <w:rFonts w:cs="Segoe UI"/>
        </w:rPr>
        <w:t> </w:t>
      </w:r>
      <w:r w:rsidR="00D71BE5">
        <w:rPr>
          <w:rFonts w:cs="Segoe UI"/>
        </w:rPr>
        <w:t>RFA)</w:t>
      </w:r>
      <w:r>
        <w:rPr>
          <w:rFonts w:cs="Segoe UI"/>
        </w:rPr>
        <w:t xml:space="preserve"> </w:t>
      </w:r>
      <w:r w:rsidR="00D71BE5">
        <w:rPr>
          <w:rFonts w:cs="Segoe UI"/>
        </w:rPr>
        <w:t>for the State to progress, including actions to enhance consultation with Aboriginal people on the identification and protection of sites, facilitate access to CALM Act lands for cultural activities, and improve</w:t>
      </w:r>
      <w:r w:rsidR="00A241E1">
        <w:rPr>
          <w:rFonts w:cs="Segoe UI"/>
        </w:rPr>
        <w:t xml:space="preserve"> assessment and </w:t>
      </w:r>
      <w:r w:rsidR="00D71BE5">
        <w:rPr>
          <w:rFonts w:cs="Segoe UI"/>
        </w:rPr>
        <w:t xml:space="preserve">monitoring of </w:t>
      </w:r>
      <w:r w:rsidR="00A241E1">
        <w:rPr>
          <w:rFonts w:cs="Segoe UI"/>
        </w:rPr>
        <w:t xml:space="preserve">disturbance activities that might pose a threat to sites (such as road construction). </w:t>
      </w:r>
    </w:p>
    <w:p w14:paraId="26ABD08E" w14:textId="77777777" w:rsidR="00883B77" w:rsidRDefault="00A241E1" w:rsidP="00214487">
      <w:pPr>
        <w:spacing w:before="0" w:after="0"/>
        <w:rPr>
          <w:rFonts w:cs="Segoe UI"/>
        </w:rPr>
      </w:pPr>
      <w:r>
        <w:rPr>
          <w:rFonts w:cs="Segoe UI"/>
        </w:rPr>
        <w:t xml:space="preserve">The </w:t>
      </w:r>
      <w:r w:rsidRPr="00A241E1">
        <w:rPr>
          <w:rFonts w:cs="Segoe UI"/>
          <w:i/>
        </w:rPr>
        <w:t>Review of the Implementat</w:t>
      </w:r>
      <w:r w:rsidR="00335DA0">
        <w:rPr>
          <w:rFonts w:cs="Segoe UI"/>
          <w:i/>
        </w:rPr>
        <w:t>i</w:t>
      </w:r>
      <w:r w:rsidRPr="00A241E1">
        <w:rPr>
          <w:rFonts w:cs="Segoe UI"/>
          <w:i/>
        </w:rPr>
        <w:t>on of the Regional Forest Agreement for the South-West Forest Region of Wester</w:t>
      </w:r>
      <w:r w:rsidR="00070D11">
        <w:rPr>
          <w:rFonts w:cs="Segoe UI"/>
          <w:i/>
        </w:rPr>
        <w:t>n Australia for the Period 2009</w:t>
      </w:r>
      <w:r w:rsidR="00070D11">
        <w:rPr>
          <w:rFonts w:cs="Segoe UI"/>
          <w:i/>
        </w:rPr>
        <w:noBreakHyphen/>
      </w:r>
      <w:r w:rsidRPr="00A241E1">
        <w:rPr>
          <w:rFonts w:cs="Segoe UI"/>
          <w:i/>
        </w:rPr>
        <w:t>2014</w:t>
      </w:r>
      <w:r>
        <w:rPr>
          <w:rFonts w:cs="Segoe UI"/>
        </w:rPr>
        <w:t xml:space="preserve"> reported that all actions had been achieved in full or modified form by 2014. </w:t>
      </w:r>
      <w:r w:rsidR="00883B77">
        <w:rPr>
          <w:rFonts w:cs="Segoe UI"/>
        </w:rPr>
        <w:t>In relation to the protection of Aboriginal heritage and cultural values</w:t>
      </w:r>
      <w:r w:rsidR="00CA4361">
        <w:rPr>
          <w:rFonts w:cs="Segoe UI"/>
        </w:rPr>
        <w:t xml:space="preserve"> RFA recommendations have been significantly addressed by</w:t>
      </w:r>
      <w:r w:rsidR="00883B77">
        <w:rPr>
          <w:rFonts w:cs="Segoe UI"/>
        </w:rPr>
        <w:t>:</w:t>
      </w:r>
    </w:p>
    <w:p w14:paraId="26ABD08F" w14:textId="57781D5F" w:rsidR="00CA4361" w:rsidRDefault="00CA4361" w:rsidP="00C903EE">
      <w:pPr>
        <w:pStyle w:val="ListParagraph"/>
        <w:numPr>
          <w:ilvl w:val="0"/>
          <w:numId w:val="38"/>
        </w:numPr>
        <w:spacing w:before="0"/>
        <w:ind w:left="714" w:hanging="357"/>
        <w:rPr>
          <w:rFonts w:cs="Segoe UI"/>
        </w:rPr>
      </w:pPr>
      <w:r>
        <w:rPr>
          <w:rFonts w:cs="Segoe UI"/>
        </w:rPr>
        <w:t>The SWNT Settlement</w:t>
      </w:r>
      <w:r w:rsidR="00554511">
        <w:rPr>
          <w:rFonts w:cs="Segoe UI"/>
        </w:rPr>
        <w:t>,</w:t>
      </w:r>
      <w:r>
        <w:rPr>
          <w:rFonts w:cs="Segoe UI"/>
        </w:rPr>
        <w:t xml:space="preserve"> which provides a standard heritage agreement and </w:t>
      </w:r>
      <w:r w:rsidR="00554511">
        <w:rPr>
          <w:rFonts w:cs="Segoe UI"/>
        </w:rPr>
        <w:t xml:space="preserve">assessment </w:t>
      </w:r>
      <w:r>
        <w:rPr>
          <w:rFonts w:cs="Segoe UI"/>
        </w:rPr>
        <w:t>process to be followed by all Government departments</w:t>
      </w:r>
      <w:r w:rsidR="00BA5A4A">
        <w:rPr>
          <w:rFonts w:cs="Segoe UI"/>
        </w:rPr>
        <w:t>.</w:t>
      </w:r>
    </w:p>
    <w:p w14:paraId="26ABD090" w14:textId="77777777" w:rsidR="00CA4361" w:rsidRDefault="00CA4361" w:rsidP="00C903EE">
      <w:pPr>
        <w:pStyle w:val="ListParagraph"/>
        <w:numPr>
          <w:ilvl w:val="0"/>
          <w:numId w:val="38"/>
        </w:numPr>
        <w:rPr>
          <w:rFonts w:cs="Segoe UI"/>
        </w:rPr>
      </w:pPr>
      <w:r>
        <w:rPr>
          <w:rFonts w:cs="Segoe UI"/>
        </w:rPr>
        <w:t>The establishment of Cooperative Management Committees between Noongar Regional Corporations and DBCA for all CALM Act land within the SWNT Settlement area</w:t>
      </w:r>
      <w:r w:rsidR="00554511">
        <w:rPr>
          <w:rFonts w:cs="Segoe UI"/>
        </w:rPr>
        <w:t>.</w:t>
      </w:r>
      <w:r>
        <w:rPr>
          <w:rFonts w:cs="Segoe UI"/>
        </w:rPr>
        <w:t xml:space="preserve"> </w:t>
      </w:r>
      <w:r w:rsidR="00554511">
        <w:rPr>
          <w:rFonts w:cs="Segoe UI"/>
        </w:rPr>
        <w:t>T</w:t>
      </w:r>
      <w:r>
        <w:rPr>
          <w:rFonts w:cs="Segoe UI"/>
        </w:rPr>
        <w:t>hese Cooperative Management Committees will</w:t>
      </w:r>
      <w:r>
        <w:rPr>
          <w:rFonts w:cstheme="minorHAnsi"/>
        </w:rPr>
        <w:t xml:space="preserve">, among other things, provide advice to DBCA on the value of the land to the culture and heritage of </w:t>
      </w:r>
      <w:r w:rsidR="008A4C96">
        <w:rPr>
          <w:rFonts w:cstheme="minorHAnsi"/>
        </w:rPr>
        <w:t>Indigenous people</w:t>
      </w:r>
      <w:r>
        <w:rPr>
          <w:rFonts w:cstheme="minorHAnsi"/>
        </w:rPr>
        <w:t xml:space="preserve"> from the relevant areas and on management of the conservation estate more generally.</w:t>
      </w:r>
      <w:r>
        <w:rPr>
          <w:rFonts w:cs="Segoe UI"/>
        </w:rPr>
        <w:t xml:space="preserve"> </w:t>
      </w:r>
    </w:p>
    <w:p w14:paraId="26ABD091" w14:textId="77777777" w:rsidR="00CA4361" w:rsidRDefault="00CA4361" w:rsidP="00C903EE">
      <w:pPr>
        <w:pStyle w:val="ListParagraph"/>
        <w:numPr>
          <w:ilvl w:val="0"/>
          <w:numId w:val="38"/>
        </w:numPr>
        <w:rPr>
          <w:rFonts w:cs="Segoe UI"/>
        </w:rPr>
      </w:pPr>
      <w:r>
        <w:rPr>
          <w:rFonts w:cs="Segoe UI"/>
        </w:rPr>
        <w:t>The CALM Act amend</w:t>
      </w:r>
      <w:r w:rsidR="00554511">
        <w:rPr>
          <w:rFonts w:cs="Segoe UI"/>
        </w:rPr>
        <w:t>ments</w:t>
      </w:r>
      <w:r>
        <w:rPr>
          <w:rFonts w:cs="Segoe UI"/>
        </w:rPr>
        <w:t xml:space="preserve"> in 2012 to provide:</w:t>
      </w:r>
    </w:p>
    <w:p w14:paraId="26ABD092" w14:textId="77777777" w:rsidR="00CA4361" w:rsidRDefault="00CA4361" w:rsidP="00C903EE">
      <w:pPr>
        <w:pStyle w:val="ListParagraph"/>
        <w:numPr>
          <w:ilvl w:val="0"/>
          <w:numId w:val="53"/>
        </w:numPr>
        <w:rPr>
          <w:rFonts w:cs="Segoe UI"/>
        </w:rPr>
      </w:pPr>
      <w:r>
        <w:rPr>
          <w:rFonts w:cs="Segoe UI"/>
        </w:rPr>
        <w:t xml:space="preserve">a statutory management objective to conserve and protect the value of the land to the culture and heritage of Aboriginal persons; </w:t>
      </w:r>
    </w:p>
    <w:p w14:paraId="26ABD093" w14:textId="77777777" w:rsidR="00CA4361" w:rsidRDefault="00CA4361" w:rsidP="00C903EE">
      <w:pPr>
        <w:pStyle w:val="ListParagraph"/>
        <w:numPr>
          <w:ilvl w:val="0"/>
          <w:numId w:val="53"/>
        </w:numPr>
        <w:rPr>
          <w:rFonts w:cs="Segoe UI"/>
        </w:rPr>
      </w:pPr>
      <w:r>
        <w:rPr>
          <w:rFonts w:cs="Segoe UI"/>
        </w:rPr>
        <w:t xml:space="preserve">Indigenous people with ‘Other special rights’ </w:t>
      </w:r>
      <w:r w:rsidR="00554511">
        <w:rPr>
          <w:rFonts w:cs="Segoe UI"/>
        </w:rPr>
        <w:t>o</w:t>
      </w:r>
      <w:r>
        <w:rPr>
          <w:rFonts w:cs="Segoe UI"/>
        </w:rPr>
        <w:t>n CALM Act land and provide statutory protections for Indigenous people to access CALM Act land; and</w:t>
      </w:r>
    </w:p>
    <w:p w14:paraId="26ABD094" w14:textId="77777777" w:rsidR="00CA4361" w:rsidRDefault="00CA4361" w:rsidP="00C903EE">
      <w:pPr>
        <w:pStyle w:val="ListParagraph"/>
        <w:numPr>
          <w:ilvl w:val="0"/>
          <w:numId w:val="53"/>
        </w:numPr>
        <w:rPr>
          <w:rFonts w:cs="Segoe UI"/>
        </w:rPr>
      </w:pPr>
      <w:r>
        <w:rPr>
          <w:rFonts w:cs="Segoe UI"/>
        </w:rPr>
        <w:t>a statutory framework for the co-management of CALM Act land.</w:t>
      </w:r>
    </w:p>
    <w:p w14:paraId="26ABD095" w14:textId="77777777" w:rsidR="0032549D" w:rsidRPr="0067475E" w:rsidRDefault="0032549D" w:rsidP="00C903EE">
      <w:pPr>
        <w:pStyle w:val="ListParagraph"/>
        <w:numPr>
          <w:ilvl w:val="0"/>
          <w:numId w:val="38"/>
        </w:numPr>
        <w:rPr>
          <w:rFonts w:cs="Segoe UI"/>
        </w:rPr>
      </w:pPr>
      <w:r w:rsidRPr="0032549D">
        <w:rPr>
          <w:rFonts w:cs="Segoe UI"/>
        </w:rPr>
        <w:t>A specialist Aboriginal Heritage Unit was established within DEC (now DBCA) who</w:t>
      </w:r>
      <w:r w:rsidR="00D95C00">
        <w:rPr>
          <w:rFonts w:cs="Segoe UI"/>
        </w:rPr>
        <w:t>s</w:t>
      </w:r>
      <w:r w:rsidRPr="0032549D">
        <w:rPr>
          <w:rFonts w:cs="Segoe UI"/>
        </w:rPr>
        <w:t>e role includes the provision</w:t>
      </w:r>
      <w:r w:rsidRPr="00D95C00">
        <w:rPr>
          <w:rFonts w:cs="Segoe UI"/>
        </w:rPr>
        <w:t xml:space="preserve"> of cultural heritage advice and information into planning processes, training in heritage and cultural awareness</w:t>
      </w:r>
      <w:r w:rsidRPr="0067475E">
        <w:rPr>
          <w:rFonts w:cs="Segoe UI"/>
        </w:rPr>
        <w:t xml:space="preserve">, and site identification. </w:t>
      </w:r>
    </w:p>
    <w:p w14:paraId="26ABD096" w14:textId="77777777" w:rsidR="00FF4E4E" w:rsidRPr="00FF4E4E" w:rsidRDefault="0067475E" w:rsidP="00123737">
      <w:pPr>
        <w:rPr>
          <w:rFonts w:cs="Segoe UI"/>
        </w:rPr>
      </w:pPr>
      <w:r>
        <w:rPr>
          <w:rFonts w:cs="Segoe UI"/>
        </w:rPr>
        <w:t xml:space="preserve">The protection of Aboriginal heritage and cultural values within the RFA region </w:t>
      </w:r>
      <w:r w:rsidR="000E0D02">
        <w:rPr>
          <w:rFonts w:cs="Segoe UI"/>
        </w:rPr>
        <w:t>w</w:t>
      </w:r>
      <w:r>
        <w:rPr>
          <w:rFonts w:cs="Segoe UI"/>
        </w:rPr>
        <w:t xml:space="preserve">as further strengthened </w:t>
      </w:r>
      <w:r w:rsidR="00C7407D">
        <w:rPr>
          <w:rFonts w:cs="Segoe UI"/>
        </w:rPr>
        <w:t xml:space="preserve">through the </w:t>
      </w:r>
      <w:r w:rsidR="00070D11">
        <w:rPr>
          <w:rFonts w:cs="Segoe UI"/>
        </w:rPr>
        <w:t>SWNT</w:t>
      </w:r>
      <w:r w:rsidR="00C7407D">
        <w:rPr>
          <w:rFonts w:cs="Segoe UI"/>
        </w:rPr>
        <w:t xml:space="preserve"> Settlement process, which incorporates the development of a Noongar Standard Heritage Agreement to ensure compliance with the AHA. These Agreements re</w:t>
      </w:r>
      <w:r w:rsidR="004306CB">
        <w:rPr>
          <w:rFonts w:cs="Segoe UI"/>
        </w:rPr>
        <w:t>quire</w:t>
      </w:r>
      <w:r w:rsidR="00C7407D">
        <w:rPr>
          <w:rFonts w:cs="Segoe UI"/>
        </w:rPr>
        <w:t xml:space="preserve"> proponents of activities that may impact sites </w:t>
      </w:r>
      <w:r w:rsidR="004306CB">
        <w:rPr>
          <w:rFonts w:cs="Segoe UI"/>
        </w:rPr>
        <w:t xml:space="preserve">to </w:t>
      </w:r>
      <w:r w:rsidR="00C7407D">
        <w:rPr>
          <w:rFonts w:cs="Segoe UI"/>
        </w:rPr>
        <w:t>refer the proposed operations to the SWALSC for determination of heritage survey and consultation requirements with Noongar representatives during the planning phase.</w:t>
      </w:r>
      <w:r w:rsidR="004306CB">
        <w:rPr>
          <w:rFonts w:cs="Segoe UI"/>
        </w:rPr>
        <w:t xml:space="preserve"> Depending on the assessment and advice from the traditional owners and custodians the operations may require on-site monitoring during ground disturbance activities.</w:t>
      </w:r>
      <w:r w:rsidR="001D526C">
        <w:rPr>
          <w:rFonts w:cs="Segoe UI"/>
        </w:rPr>
        <w:t xml:space="preserve"> </w:t>
      </w:r>
    </w:p>
    <w:p w14:paraId="26ABD097" w14:textId="77777777" w:rsidR="00FF4E4E" w:rsidRPr="009057B5" w:rsidRDefault="004306CB" w:rsidP="00123737">
      <w:pPr>
        <w:rPr>
          <w:rFonts w:cs="Segoe UI"/>
        </w:rPr>
      </w:pPr>
      <w:r>
        <w:rPr>
          <w:rFonts w:cs="Segoe UI"/>
        </w:rPr>
        <w:lastRenderedPageBreak/>
        <w:t>The register of Aboriginal sites within the RFA region will continue to be added to as an outcome of the Noongar Standard Heritage Agreement</w:t>
      </w:r>
      <w:r w:rsidR="00AA16F0">
        <w:rPr>
          <w:rFonts w:cs="Segoe UI"/>
        </w:rPr>
        <w:t>s</w:t>
      </w:r>
      <w:r w:rsidR="00BC5CAD">
        <w:rPr>
          <w:rFonts w:cs="Segoe UI"/>
        </w:rPr>
        <w:t>. Figure 8 depicts the registered and lodged sites within the region as at April</w:t>
      </w:r>
      <w:r w:rsidR="00E51AFC">
        <w:rPr>
          <w:rFonts w:cs="Segoe UI"/>
        </w:rPr>
        <w:t> </w:t>
      </w:r>
      <w:r w:rsidR="00BC5CAD">
        <w:rPr>
          <w:rFonts w:cs="Segoe UI"/>
        </w:rPr>
        <w:t xml:space="preserve">2018, which total 423 sites. </w:t>
      </w:r>
    </w:p>
    <w:p w14:paraId="26ABD098" w14:textId="77777777" w:rsidR="007E62B1" w:rsidRDefault="00276596" w:rsidP="007E62B1">
      <w:pPr>
        <w:keepNext/>
      </w:pPr>
      <w:r>
        <w:rPr>
          <w:noProof/>
          <w:lang w:eastAsia="en-AU"/>
        </w:rPr>
        <w:lastRenderedPageBreak/>
        <w:drawing>
          <wp:inline distT="0" distB="0" distL="0" distR="0" wp14:anchorId="26ABE260" wp14:editId="26ABE261">
            <wp:extent cx="5805182" cy="8491180"/>
            <wp:effectExtent l="0" t="0" r="508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7820" cy="8495038"/>
                    </a:xfrm>
                    <a:prstGeom prst="rect">
                      <a:avLst/>
                    </a:prstGeom>
                    <a:noFill/>
                    <a:ln>
                      <a:noFill/>
                    </a:ln>
                  </pic:spPr>
                </pic:pic>
              </a:graphicData>
            </a:graphic>
          </wp:inline>
        </w:drawing>
      </w:r>
    </w:p>
    <w:p w14:paraId="26ABD099" w14:textId="5D2712BE" w:rsidR="007E62B1" w:rsidRDefault="007E62B1" w:rsidP="007E62B1">
      <w:pPr>
        <w:pStyle w:val="Caption"/>
      </w:pPr>
      <w:bookmarkStart w:id="101" w:name="_Toc2776009"/>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8</w:t>
      </w:r>
      <w:r w:rsidR="0002253A">
        <w:rPr>
          <w:noProof/>
        </w:rPr>
        <w:fldChar w:fldCharType="end"/>
      </w:r>
      <w:r>
        <w:t xml:space="preserve">: </w:t>
      </w:r>
      <w:r w:rsidRPr="0054503C">
        <w:t>WA RFA region and Indigenous Heritage sites in 2018.</w:t>
      </w:r>
      <w:bookmarkEnd w:id="101"/>
    </w:p>
    <w:p w14:paraId="26ABD09A" w14:textId="77777777" w:rsidR="004306CB" w:rsidRPr="00DD380A" w:rsidRDefault="004306CB" w:rsidP="007E62B1">
      <w:pPr>
        <w:rPr>
          <w:rFonts w:cs="Segoe UI"/>
          <w:i/>
          <w:lang w:eastAsia="ja-JP"/>
        </w:rPr>
      </w:pPr>
      <w:r w:rsidRPr="00DD380A">
        <w:rPr>
          <w:rFonts w:cs="Segoe UI"/>
          <w:i/>
          <w:lang w:eastAsia="ja-JP"/>
        </w:rPr>
        <w:lastRenderedPageBreak/>
        <w:t xml:space="preserve">Comprehensive Regional Assessment </w:t>
      </w:r>
    </w:p>
    <w:p w14:paraId="26ABD09B" w14:textId="1B8BF2A7" w:rsidR="004306CB" w:rsidRDefault="004306CB" w:rsidP="004306CB">
      <w:pPr>
        <w:rPr>
          <w:rFonts w:cs="Segoe UI"/>
          <w:lang w:eastAsia="ja-JP"/>
        </w:rPr>
      </w:pPr>
      <w:r w:rsidRPr="00CE60B2">
        <w:rPr>
          <w:rFonts w:cs="Segoe UI"/>
          <w:lang w:eastAsia="ja-JP"/>
        </w:rPr>
        <w:t xml:space="preserve">The RFA noted that identification and assessment of National Estate Values for the CRA were complete </w:t>
      </w:r>
      <w:r w:rsidR="00BB4061" w:rsidRPr="00CE60B2">
        <w:rPr>
          <w:rFonts w:cs="Segoe UI"/>
          <w:lang w:eastAsia="ja-JP"/>
        </w:rPr>
        <w:t>except for</w:t>
      </w:r>
      <w:r w:rsidRPr="00CE60B2">
        <w:rPr>
          <w:rFonts w:cs="Segoe UI"/>
          <w:lang w:eastAsia="ja-JP"/>
        </w:rPr>
        <w:t xml:space="preserve"> Indigenous heritage values. The identification and assessment of Indigenous heritage values was intended to be</w:t>
      </w:r>
      <w:r w:rsidR="00AA16F0">
        <w:rPr>
          <w:rFonts w:cs="Segoe UI"/>
          <w:lang w:eastAsia="ja-JP"/>
        </w:rPr>
        <w:t>, and continues to be,</w:t>
      </w:r>
      <w:r w:rsidRPr="00CE60B2">
        <w:rPr>
          <w:rFonts w:cs="Segoe UI"/>
          <w:lang w:eastAsia="ja-JP"/>
        </w:rPr>
        <w:t xml:space="preserve"> a</w:t>
      </w:r>
      <w:r w:rsidR="00AA16F0">
        <w:rPr>
          <w:rFonts w:cs="Segoe UI"/>
          <w:lang w:eastAsia="ja-JP"/>
        </w:rPr>
        <w:t>n ongoing</w:t>
      </w:r>
      <w:r w:rsidRPr="00CE60B2">
        <w:rPr>
          <w:rFonts w:cs="Segoe UI"/>
          <w:lang w:eastAsia="ja-JP"/>
        </w:rPr>
        <w:t xml:space="preserve"> effort through the period of implementation of the RFAs</w:t>
      </w:r>
      <w:r w:rsidR="00A43AEF">
        <w:rPr>
          <w:rFonts w:cs="Segoe UI"/>
          <w:lang w:eastAsia="ja-JP"/>
        </w:rPr>
        <w:t>.</w:t>
      </w:r>
    </w:p>
    <w:p w14:paraId="26ABD09C" w14:textId="77777777" w:rsidR="00471068" w:rsidRPr="00CE60B2" w:rsidRDefault="00471068" w:rsidP="00471068">
      <w:pPr>
        <w:pStyle w:val="Heading4"/>
        <w:rPr>
          <w:rFonts w:cs="Segoe UI"/>
          <w:lang w:eastAsia="ja-JP"/>
        </w:rPr>
      </w:pPr>
      <w:r w:rsidRPr="00CE60B2">
        <w:rPr>
          <w:rFonts w:cs="Segoe UI"/>
          <w:lang w:eastAsia="ja-JP"/>
        </w:rPr>
        <w:t>Register of the National Estate (archive)</w:t>
      </w:r>
    </w:p>
    <w:p w14:paraId="26ABD09D" w14:textId="77777777" w:rsidR="00E95A08" w:rsidRDefault="00471068" w:rsidP="00E95A08">
      <w:pPr>
        <w:rPr>
          <w:rFonts w:cs="Segoe UI"/>
          <w:lang w:eastAsia="ja-JP"/>
        </w:rPr>
      </w:pPr>
      <w:r w:rsidRPr="00CE60B2">
        <w:rPr>
          <w:rFonts w:cs="Segoe UI"/>
          <w:lang w:eastAsia="ja-JP"/>
        </w:rPr>
        <w:t>Records of Indigenous sites were maintained by the Australian Government in the Register of the National Estate (RNE) between 1975 until it was closed in 2007</w:t>
      </w:r>
      <w:r w:rsidR="00D45D5B" w:rsidRPr="00CE60B2">
        <w:rPr>
          <w:rFonts w:cs="Segoe UI"/>
          <w:lang w:eastAsia="ja-JP"/>
        </w:rPr>
        <w:t xml:space="preserve"> (Department of the Environment and Energy,</w:t>
      </w:r>
      <w:r w:rsidR="00FF0D54">
        <w:rPr>
          <w:rFonts w:cs="Segoe UI"/>
          <w:lang w:eastAsia="ja-JP"/>
        </w:rPr>
        <w:t xml:space="preserve"> </w:t>
      </w:r>
      <w:r w:rsidR="00A43AEF">
        <w:rPr>
          <w:rFonts w:cs="Segoe UI"/>
          <w:lang w:eastAsia="ja-JP"/>
        </w:rPr>
        <w:t>n.d.</w:t>
      </w:r>
      <w:r w:rsidR="00D45D5B" w:rsidRPr="00CE60B2">
        <w:rPr>
          <w:rFonts w:cs="Segoe UI"/>
          <w:lang w:eastAsia="ja-JP"/>
        </w:rPr>
        <w:t>)</w:t>
      </w:r>
      <w:r w:rsidRPr="00CE60B2">
        <w:rPr>
          <w:rFonts w:cs="Segoe UI"/>
          <w:lang w:eastAsia="ja-JP"/>
        </w:rPr>
        <w:t>. The RNE was</w:t>
      </w:r>
      <w:r w:rsidR="00996684" w:rsidRPr="00CE60B2">
        <w:rPr>
          <w:rFonts w:cs="Segoe UI"/>
          <w:lang w:eastAsia="ja-JP"/>
        </w:rPr>
        <w:t xml:space="preserve"> recognised at the time the RFA</w:t>
      </w:r>
      <w:r w:rsidRPr="00CE60B2">
        <w:rPr>
          <w:rFonts w:cs="Segoe UI"/>
          <w:lang w:eastAsia="ja-JP"/>
        </w:rPr>
        <w:t xml:space="preserve"> came into effect. </w:t>
      </w:r>
    </w:p>
    <w:p w14:paraId="26ABD09E" w14:textId="77777777" w:rsidR="00DB510B" w:rsidRPr="00CE60B2" w:rsidRDefault="00DB510B" w:rsidP="008A4979">
      <w:pPr>
        <w:pStyle w:val="Heading3"/>
        <w:rPr>
          <w:lang w:eastAsia="en-AU"/>
        </w:rPr>
      </w:pPr>
      <w:bookmarkStart w:id="102" w:name="_Toc524952803"/>
      <w:bookmarkStart w:id="103" w:name="_Toc2776047"/>
      <w:r w:rsidRPr="00CE60B2">
        <w:rPr>
          <w:lang w:eastAsia="en-AU"/>
        </w:rPr>
        <w:t>Indicator 6.4c</w:t>
      </w:r>
      <w:r w:rsidRPr="00CE60B2">
        <w:rPr>
          <w:lang w:eastAsia="en-AU"/>
        </w:rPr>
        <w:tab/>
        <w:t>The extent to which Indigenous values are protected, maintained and enhanced through Indigenous participation in forest management</w:t>
      </w:r>
      <w:bookmarkEnd w:id="102"/>
      <w:bookmarkEnd w:id="103"/>
    </w:p>
    <w:p w14:paraId="26ABD09F" w14:textId="1CF17433" w:rsidR="00C80DD6" w:rsidRDefault="00C80DD6" w:rsidP="00E51AFC">
      <w:r w:rsidRPr="00CE60B2">
        <w:t xml:space="preserve">This indicator measures the extent to which Indigenous people participate in forest management. Active participation in forest management reflects the relationship between people and the land, and the integration of Indigenous </w:t>
      </w:r>
      <w:r w:rsidR="00BB4061" w:rsidRPr="00CE60B2">
        <w:t>peoples’</w:t>
      </w:r>
      <w:r w:rsidRPr="00CE60B2">
        <w:t xml:space="preserve"> values with forest management practise, policy and decision making.</w:t>
      </w:r>
    </w:p>
    <w:p w14:paraId="26ABD0A0" w14:textId="77777777" w:rsidR="00BC5CAD" w:rsidRDefault="00BC5CAD" w:rsidP="00E51AFC">
      <w:r>
        <w:t>Since 1999 there has been considerable development of legislation, policy and processes to enhance the recognition and participation of Aboriginal people in forest management.</w:t>
      </w:r>
    </w:p>
    <w:p w14:paraId="26ABD0A1" w14:textId="77777777" w:rsidR="005F3ECB" w:rsidRDefault="00BC5CAD" w:rsidP="00E51AFC">
      <w:r>
        <w:t xml:space="preserve">Amendments to the CALM Act in 2011 (effective from 2012) provide for </w:t>
      </w:r>
      <w:r w:rsidR="00885ABF">
        <w:t xml:space="preserve">the joint management of lands and waters between DBCA and other parties (including traditional owners), the undertaking of customary activities and cultural practices on CALM Act lands, and </w:t>
      </w:r>
      <w:r w:rsidR="005F3ECB">
        <w:t>a requirement that all management plans prepared for CALM Act lands must include the objective of protecting and conserving the value of the land to the culture and heritage of Aboriginal persons.</w:t>
      </w:r>
    </w:p>
    <w:p w14:paraId="26ABD0A2" w14:textId="77777777" w:rsidR="00A30EFA" w:rsidRDefault="005F3ECB" w:rsidP="00E51AFC">
      <w:r>
        <w:t xml:space="preserve">Consideration of joint management arrangements between DBCA and traditional owners for some conservation areas within the RFA region </w:t>
      </w:r>
      <w:r w:rsidR="00A61F15">
        <w:t>may</w:t>
      </w:r>
      <w:r>
        <w:t xml:space="preserve"> progress foll</w:t>
      </w:r>
      <w:r w:rsidR="00883751">
        <w:t>owing finalisation of the SWNT S</w:t>
      </w:r>
      <w:r>
        <w:t>ettlement process.</w:t>
      </w:r>
    </w:p>
    <w:p w14:paraId="26ABD0A3" w14:textId="77777777" w:rsidR="00A30EFA" w:rsidRDefault="00A30EFA" w:rsidP="00E51AFC">
      <w:r>
        <w:t xml:space="preserve">Corporate policies for </w:t>
      </w:r>
      <w:r w:rsidRPr="00A61F15">
        <w:rPr>
          <w:i/>
        </w:rPr>
        <w:t>Acknowledgement of Aboriginal traditional custodians</w:t>
      </w:r>
      <w:r>
        <w:t xml:space="preserve"> and </w:t>
      </w:r>
      <w:r w:rsidRPr="00A61F15">
        <w:rPr>
          <w:i/>
        </w:rPr>
        <w:t>Aboriginal customary activities</w:t>
      </w:r>
      <w:r>
        <w:t xml:space="preserve"> were introduced by DBCA, while the FPC developed a framework for </w:t>
      </w:r>
      <w:r w:rsidRPr="00A61F15">
        <w:rPr>
          <w:i/>
        </w:rPr>
        <w:t xml:space="preserve">Engagement </w:t>
      </w:r>
      <w:r w:rsidR="00A61F15" w:rsidRPr="00A61F15">
        <w:rPr>
          <w:i/>
        </w:rPr>
        <w:t>with Noongar Peoples in the South West of Western Australia</w:t>
      </w:r>
      <w:r w:rsidR="00883751">
        <w:t>. The development of the FMP 2013</w:t>
      </w:r>
      <w:r w:rsidR="00883751">
        <w:noBreakHyphen/>
      </w:r>
      <w:r w:rsidR="00A61F15">
        <w:t xml:space="preserve">2023 included significant engagement with Noongar people and includes </w:t>
      </w:r>
      <w:r w:rsidR="009C0743">
        <w:t xml:space="preserve">performance targets to establish joint management arrangements, develop local area protocols for customary activities in each DBCA </w:t>
      </w:r>
      <w:r w:rsidR="00327D67">
        <w:t>d</w:t>
      </w:r>
      <w:r w:rsidR="009C0743">
        <w:t>istrict, and Noongar input to all management plans.</w:t>
      </w:r>
    </w:p>
    <w:p w14:paraId="26ABD0A4" w14:textId="77777777" w:rsidR="00005D45" w:rsidRDefault="00883751" w:rsidP="00E51AFC">
      <w:r>
        <w:t>The WA G</w:t>
      </w:r>
      <w:r w:rsidR="008B0626">
        <w:t xml:space="preserve">overnment </w:t>
      </w:r>
      <w:r w:rsidR="00005D45">
        <w:t>introduced an Aborig</w:t>
      </w:r>
      <w:r w:rsidR="005F7D76">
        <w:t>i</w:t>
      </w:r>
      <w:r w:rsidR="00005D45">
        <w:t>nal Ranger Program during 2017 aimed at training and employing Aboriginal rangers to undertake a range of land and marine management activities including:</w:t>
      </w:r>
    </w:p>
    <w:p w14:paraId="26ABD0A5" w14:textId="11F80A48" w:rsidR="00005D45" w:rsidRDefault="00005D45" w:rsidP="00C903EE">
      <w:pPr>
        <w:pStyle w:val="ListParagraph"/>
        <w:numPr>
          <w:ilvl w:val="0"/>
          <w:numId w:val="42"/>
        </w:numPr>
      </w:pPr>
      <w:r>
        <w:t>biodiversity monitoring and research</w:t>
      </w:r>
    </w:p>
    <w:p w14:paraId="26ABD0A6" w14:textId="2831D888" w:rsidR="00005D45" w:rsidRDefault="00005D45" w:rsidP="00C903EE">
      <w:pPr>
        <w:pStyle w:val="ListParagraph"/>
        <w:numPr>
          <w:ilvl w:val="0"/>
          <w:numId w:val="42"/>
        </w:numPr>
      </w:pPr>
      <w:r>
        <w:t>traditional knowledge transfer</w:t>
      </w:r>
    </w:p>
    <w:p w14:paraId="26ABD0A7" w14:textId="3AC77ABA" w:rsidR="00005D45" w:rsidRDefault="00005D45" w:rsidP="00C903EE">
      <w:pPr>
        <w:pStyle w:val="ListParagraph"/>
        <w:numPr>
          <w:ilvl w:val="0"/>
          <w:numId w:val="42"/>
        </w:numPr>
      </w:pPr>
      <w:r>
        <w:t>fire management</w:t>
      </w:r>
    </w:p>
    <w:p w14:paraId="26ABD0A8" w14:textId="7243740D" w:rsidR="00005D45" w:rsidRDefault="00005D45" w:rsidP="00C903EE">
      <w:pPr>
        <w:pStyle w:val="ListParagraph"/>
        <w:numPr>
          <w:ilvl w:val="0"/>
          <w:numId w:val="42"/>
        </w:numPr>
      </w:pPr>
      <w:r>
        <w:t>cultural site management</w:t>
      </w:r>
    </w:p>
    <w:p w14:paraId="26ABD0A9" w14:textId="4D71A198" w:rsidR="00005D45" w:rsidRDefault="00005D45" w:rsidP="00C903EE">
      <w:pPr>
        <w:pStyle w:val="ListParagraph"/>
        <w:numPr>
          <w:ilvl w:val="0"/>
          <w:numId w:val="42"/>
        </w:numPr>
      </w:pPr>
      <w:r>
        <w:lastRenderedPageBreak/>
        <w:t>feral animal and weed management</w:t>
      </w:r>
    </w:p>
    <w:p w14:paraId="26ABD0AA" w14:textId="17889CDA" w:rsidR="00005D45" w:rsidRDefault="00005D45" w:rsidP="00C903EE">
      <w:pPr>
        <w:pStyle w:val="ListParagraph"/>
        <w:numPr>
          <w:ilvl w:val="0"/>
          <w:numId w:val="42"/>
        </w:numPr>
      </w:pPr>
      <w:r>
        <w:t>cultural awareness and immersion experiences</w:t>
      </w:r>
    </w:p>
    <w:p w14:paraId="26ABD0AB" w14:textId="26993BC8" w:rsidR="00005D45" w:rsidRDefault="00005D45" w:rsidP="00C903EE">
      <w:pPr>
        <w:pStyle w:val="ListParagraph"/>
        <w:numPr>
          <w:ilvl w:val="0"/>
          <w:numId w:val="42"/>
        </w:numPr>
      </w:pPr>
      <w:r>
        <w:t>tourism management</w:t>
      </w:r>
    </w:p>
    <w:p w14:paraId="26ABD0AC" w14:textId="77777777" w:rsidR="00005D45" w:rsidRDefault="00005D45" w:rsidP="00C903EE">
      <w:pPr>
        <w:pStyle w:val="ListParagraph"/>
        <w:numPr>
          <w:ilvl w:val="0"/>
          <w:numId w:val="42"/>
        </w:numPr>
      </w:pPr>
      <w:r>
        <w:t>education programs and mentoring.</w:t>
      </w:r>
    </w:p>
    <w:p w14:paraId="26ABD0AD" w14:textId="77777777" w:rsidR="00005D45" w:rsidRDefault="00005D45" w:rsidP="00005D45">
      <w:r>
        <w:t xml:space="preserve">This program </w:t>
      </w:r>
      <w:r w:rsidR="00AF7BA7">
        <w:t xml:space="preserve">will </w:t>
      </w:r>
      <w:r w:rsidR="008A4C96">
        <w:t>enable the</w:t>
      </w:r>
      <w:r>
        <w:t xml:space="preserve"> South West Aboriginal Land and Sea Council Aboriginal Corporation, for the Noongar Boodja Mentored Employment and Training Partnership, to employ 12</w:t>
      </w:r>
      <w:r w:rsidR="005F7D76">
        <w:t xml:space="preserve"> </w:t>
      </w:r>
      <w:r>
        <w:t>Aboriginal rangers for the area cover</w:t>
      </w:r>
      <w:r w:rsidR="005F7D76">
        <w:t>ed</w:t>
      </w:r>
      <w:r>
        <w:t xml:space="preserve"> </w:t>
      </w:r>
      <w:r w:rsidR="00AF7BA7">
        <w:t xml:space="preserve">by </w:t>
      </w:r>
      <w:r w:rsidR="00883751">
        <w:t>the WA </w:t>
      </w:r>
      <w:r>
        <w:t>RFA regi</w:t>
      </w:r>
      <w:r w:rsidR="005F7D76">
        <w:t>on.</w:t>
      </w:r>
      <w:r>
        <w:t xml:space="preserve"> </w:t>
      </w:r>
    </w:p>
    <w:p w14:paraId="26ABD0AE" w14:textId="77777777" w:rsidR="00BC5CAD" w:rsidRPr="00CE60B2" w:rsidRDefault="005F3ECB" w:rsidP="00E51AFC">
      <w:r>
        <w:t xml:space="preserve">Collectively, these initiatives will continue to enhance the direct involvement of Aboriginal people in the management and </w:t>
      </w:r>
      <w:r w:rsidR="00A30EFA">
        <w:t xml:space="preserve">use of forests on public lands in the </w:t>
      </w:r>
      <w:r w:rsidR="00883751">
        <w:t>WA </w:t>
      </w:r>
      <w:r w:rsidR="00A30EFA">
        <w:t>RFA region.</w:t>
      </w:r>
    </w:p>
    <w:p w14:paraId="26ABD0AF" w14:textId="77777777" w:rsidR="00DB510B" w:rsidRPr="00041518" w:rsidRDefault="00DB510B" w:rsidP="00041518">
      <w:pPr>
        <w:pStyle w:val="Heading4"/>
        <w:rPr>
          <w:rFonts w:cs="Segoe UI"/>
          <w:i w:val="0"/>
          <w:color w:val="000000" w:themeColor="text1"/>
          <w:sz w:val="24"/>
          <w:szCs w:val="24"/>
          <w:lang w:eastAsia="en-AU"/>
        </w:rPr>
      </w:pPr>
      <w:bookmarkStart w:id="104" w:name="_Toc524952804"/>
      <w:r w:rsidRPr="00041518">
        <w:rPr>
          <w:rFonts w:cs="Segoe UI"/>
          <w:i w:val="0"/>
          <w:color w:val="000000" w:themeColor="text1"/>
          <w:sz w:val="24"/>
          <w:szCs w:val="24"/>
          <w:lang w:eastAsia="en-AU"/>
        </w:rPr>
        <w:t>Indicator 6.5d</w:t>
      </w:r>
      <w:r w:rsidRPr="00041518">
        <w:rPr>
          <w:rFonts w:cs="Segoe UI"/>
          <w:i w:val="0"/>
          <w:color w:val="000000" w:themeColor="text1"/>
          <w:sz w:val="24"/>
          <w:szCs w:val="24"/>
          <w:lang w:eastAsia="en-AU"/>
        </w:rPr>
        <w:tab/>
        <w:t>Resilience of forest dependent Indigenous communities to changing social and economic conditions</w:t>
      </w:r>
      <w:bookmarkEnd w:id="104"/>
    </w:p>
    <w:p w14:paraId="26ABD0B0" w14:textId="2E109B53" w:rsidR="00DC3260" w:rsidRDefault="00DC3260" w:rsidP="00E45934">
      <w:pPr>
        <w:rPr>
          <w:rFonts w:cs="Segoe UI"/>
          <w:b/>
        </w:rPr>
      </w:pPr>
      <w:bookmarkStart w:id="105" w:name="_Hlk513729141"/>
      <w:r w:rsidRPr="00CE60B2">
        <w:rPr>
          <w:rFonts w:cs="Segoe UI"/>
        </w:rPr>
        <w:t xml:space="preserve">This indicator provides a measure of the extent to which forest dependent Indigenous communities </w:t>
      </w:r>
      <w:r w:rsidR="00BB4061" w:rsidRPr="00CE60B2">
        <w:rPr>
          <w:rFonts w:cs="Segoe UI"/>
        </w:rPr>
        <w:t>can</w:t>
      </w:r>
      <w:r w:rsidRPr="00CE60B2">
        <w:rPr>
          <w:rFonts w:cs="Segoe UI"/>
        </w:rPr>
        <w:t xml:space="preserve"> respond and adapt to change successfully. Resilient forest dependent Indigenous communities will adapt to changing social and economic conditions, ensuring they prosper into the future</w:t>
      </w:r>
      <w:r w:rsidRPr="00CE60B2">
        <w:rPr>
          <w:rFonts w:cs="Segoe UI"/>
          <w:b/>
        </w:rPr>
        <w:t>.</w:t>
      </w:r>
    </w:p>
    <w:p w14:paraId="26ABD0B1" w14:textId="77777777" w:rsidR="00DC3260" w:rsidRPr="00CE60B2" w:rsidRDefault="00DC3260" w:rsidP="00DC3260">
      <w:pPr>
        <w:rPr>
          <w:rFonts w:cs="Segoe UI"/>
        </w:rPr>
      </w:pPr>
      <w:r w:rsidRPr="00CE60B2">
        <w:rPr>
          <w:rFonts w:cs="Segoe UI"/>
        </w:rPr>
        <w:t>Beyond their immediate economic value, most Aboriginal people, even those living significant distances away, are likely to have some cultural dependence on forests, particularly where the forest is part of the traditional country for which a particular group has customary responsibility. Native forests are places where new generations of Aboriginal people can learn about cultural practices and laws. Access to the forests is critical for the continuation and maintenance of cultural values; conversely, loss of access to or use of forests and their products may lead to a diminution of culture and therefore of resilience.</w:t>
      </w:r>
    </w:p>
    <w:p w14:paraId="26ABD0B2" w14:textId="77777777" w:rsidR="00DC3260" w:rsidRDefault="00DC3260" w:rsidP="00DC3260">
      <w:pPr>
        <w:rPr>
          <w:rFonts w:cs="Segoe UI"/>
        </w:rPr>
      </w:pPr>
      <w:r w:rsidRPr="00CE60B2">
        <w:rPr>
          <w:rFonts w:cs="Segoe UI"/>
        </w:rPr>
        <w:t xml:space="preserve">It is recognised that resilience is a complex indicator to quantify, and no single measure of resilience is possible. It is believed, however, that </w:t>
      </w:r>
      <w:bookmarkEnd w:id="105"/>
      <w:r w:rsidRPr="00CE60B2">
        <w:rPr>
          <w:rFonts w:cs="Segoe UI"/>
        </w:rPr>
        <w:t>successful Indigenous forest-sector projects can deliver both social and economic benefits, strengthening the resilience of Indigenous communities in the face of social and economic change.</w:t>
      </w:r>
    </w:p>
    <w:p w14:paraId="26ABD0B3" w14:textId="77777777" w:rsidR="00A84D61" w:rsidRPr="00CE60B2" w:rsidRDefault="00A84D61" w:rsidP="00DC3260">
      <w:pPr>
        <w:rPr>
          <w:rFonts w:cs="Segoe UI"/>
        </w:rPr>
      </w:pPr>
      <w:r>
        <w:rPr>
          <w:rFonts w:cs="Segoe UI"/>
        </w:rPr>
        <w:t xml:space="preserve">The registration of the SWNT Settlement </w:t>
      </w:r>
      <w:r w:rsidR="008E371B">
        <w:rPr>
          <w:rFonts w:cs="Segoe UI"/>
        </w:rPr>
        <w:t>ILUAs</w:t>
      </w:r>
      <w:r w:rsidR="007C75C7">
        <w:rPr>
          <w:rFonts w:cs="Segoe UI"/>
        </w:rPr>
        <w:t xml:space="preserve">, amendments to the CALM Act and the establishment of </w:t>
      </w:r>
      <w:r w:rsidR="00473431">
        <w:rPr>
          <w:rFonts w:cs="Segoe UI"/>
        </w:rPr>
        <w:t>Cooperative Management Committees between Noongar Regional Corporations and DBCA for all CALM Act land within the SWNT Settlement area</w:t>
      </w:r>
      <w:r w:rsidR="008E371B">
        <w:rPr>
          <w:rFonts w:cs="Segoe UI"/>
        </w:rPr>
        <w:t xml:space="preserve"> </w:t>
      </w:r>
      <w:r w:rsidR="00473431">
        <w:rPr>
          <w:rFonts w:cs="Segoe UI"/>
        </w:rPr>
        <w:t>(see Indicator 6.4a)</w:t>
      </w:r>
      <w:r w:rsidR="008E371B">
        <w:rPr>
          <w:rFonts w:cs="Segoe UI"/>
        </w:rPr>
        <w:t xml:space="preserve"> will provide ongoing commitment and </w:t>
      </w:r>
      <w:r w:rsidR="00484341">
        <w:rPr>
          <w:rFonts w:cs="Segoe UI"/>
        </w:rPr>
        <w:t xml:space="preserve">opportunities </w:t>
      </w:r>
      <w:r w:rsidR="008E371B">
        <w:rPr>
          <w:rFonts w:cs="Segoe UI"/>
        </w:rPr>
        <w:t xml:space="preserve">to Aboriginal </w:t>
      </w:r>
      <w:r w:rsidR="00B415D4">
        <w:rPr>
          <w:rFonts w:cs="Segoe UI"/>
        </w:rPr>
        <w:t xml:space="preserve">communities </w:t>
      </w:r>
      <w:r w:rsidR="008E371B">
        <w:rPr>
          <w:rFonts w:cs="Segoe UI"/>
        </w:rPr>
        <w:t>based within the WA RFA region.</w:t>
      </w:r>
    </w:p>
    <w:p w14:paraId="26ABD0B4" w14:textId="77777777" w:rsidR="00DB510B" w:rsidRPr="00CE60B2" w:rsidRDefault="00DB510B" w:rsidP="008A4979">
      <w:pPr>
        <w:pStyle w:val="Heading3"/>
        <w:rPr>
          <w:lang w:eastAsia="en-AU"/>
        </w:rPr>
      </w:pPr>
      <w:bookmarkStart w:id="106" w:name="_Toc524952805"/>
      <w:bookmarkStart w:id="107" w:name="_Toc2776048"/>
      <w:r w:rsidRPr="00CE60B2">
        <w:rPr>
          <w:lang w:eastAsia="en-AU"/>
        </w:rPr>
        <w:t xml:space="preserve">Summary </w:t>
      </w:r>
      <w:r w:rsidR="00DB1016" w:rsidRPr="00CE60B2">
        <w:rPr>
          <w:lang w:eastAsia="en-AU"/>
        </w:rPr>
        <w:t>and</w:t>
      </w:r>
      <w:r w:rsidRPr="00CE60B2">
        <w:rPr>
          <w:lang w:eastAsia="en-AU"/>
        </w:rPr>
        <w:t xml:space="preserve"> future management of Indigenous heritage values</w:t>
      </w:r>
      <w:bookmarkEnd w:id="106"/>
      <w:bookmarkEnd w:id="107"/>
    </w:p>
    <w:p w14:paraId="26ABD0B5" w14:textId="7D5E4767" w:rsidR="001E455A" w:rsidRPr="00CE60B2" w:rsidRDefault="001E455A" w:rsidP="001E455A">
      <w:pPr>
        <w:rPr>
          <w:rFonts w:cs="Segoe UI"/>
        </w:rPr>
      </w:pPr>
      <w:r w:rsidRPr="00CE60B2">
        <w:rPr>
          <w:rFonts w:cs="Segoe UI"/>
        </w:rPr>
        <w:t xml:space="preserve">The extent to which </w:t>
      </w:r>
      <w:r w:rsidR="009E0C86">
        <w:rPr>
          <w:rFonts w:cs="Segoe UI"/>
        </w:rPr>
        <w:t>Aboriginal</w:t>
      </w:r>
      <w:r w:rsidRPr="00CE60B2">
        <w:rPr>
          <w:rFonts w:cs="Segoe UI"/>
        </w:rPr>
        <w:t xml:space="preserve"> people participate in forest management reflects their connection with the land, and the integration of Indigenous values into forest management practice, policy and decision-making. </w:t>
      </w:r>
    </w:p>
    <w:p w14:paraId="26ABD0B6" w14:textId="77777777" w:rsidR="001E455A" w:rsidRDefault="001E455A" w:rsidP="009C117A">
      <w:pPr>
        <w:rPr>
          <w:rFonts w:cstheme="minorHAnsi"/>
        </w:rPr>
      </w:pPr>
      <w:r>
        <w:t xml:space="preserve">The primary piece of legislation which protects Aboriginal cultural heritage in WA is the </w:t>
      </w:r>
      <w:r w:rsidRPr="00EF27A9">
        <w:rPr>
          <w:i/>
        </w:rPr>
        <w:t>Aboriginal Heritage Ac</w:t>
      </w:r>
      <w:r w:rsidRPr="00EF27A9">
        <w:t xml:space="preserve">t </w:t>
      </w:r>
      <w:r w:rsidRPr="00EF27A9">
        <w:rPr>
          <w:i/>
        </w:rPr>
        <w:t>1972</w:t>
      </w:r>
      <w:r>
        <w:t xml:space="preserve"> (WA) (AHA Act).</w:t>
      </w:r>
      <w:r w:rsidR="00335DA0" w:rsidRPr="00335DA0">
        <w:rPr>
          <w:rFonts w:cstheme="minorHAnsi"/>
        </w:rPr>
        <w:t xml:space="preserve"> </w:t>
      </w:r>
      <w:r w:rsidR="00335DA0">
        <w:rPr>
          <w:rFonts w:cstheme="minorHAnsi"/>
        </w:rPr>
        <w:t xml:space="preserve">The CALM Act also includes provisions which provide significant protection for Indigenous cultural heritage values. </w:t>
      </w:r>
    </w:p>
    <w:p w14:paraId="26ABD0B7" w14:textId="77777777" w:rsidR="00F155CC" w:rsidRDefault="00F155CC" w:rsidP="00F155CC">
      <w:r>
        <w:t>Since 1999 there has been considerable development of legislation, policy and processes to enhance the recognition and participation of Aboriginal people in forest management.</w:t>
      </w:r>
      <w:r w:rsidR="00064677">
        <w:t xml:space="preserve"> This is </w:t>
      </w:r>
      <w:r w:rsidR="00064677">
        <w:lastRenderedPageBreak/>
        <w:t>expected to develop further under the extended WA RFA, with WA’s commitment to provide opportunities for Aboriginal communities to be involved in forest management.</w:t>
      </w:r>
    </w:p>
    <w:p w14:paraId="26ABD0B8" w14:textId="77777777" w:rsidR="00F155CC" w:rsidRDefault="00F155CC" w:rsidP="00F155CC">
      <w:pPr>
        <w:rPr>
          <w:rFonts w:cstheme="minorHAnsi"/>
        </w:rPr>
      </w:pPr>
      <w:r>
        <w:t xml:space="preserve">Amendments to the CALM Act in 2011 (effective from 2012) provide for the joint management of lands and waters between DBCA and other parties (including traditional owners), the undertaking of customary activities and cultural practices on CALM Act lands, and a requirement that all management plans prepared for CALM Act lands must include the objective of protecting and conserving the value of the land to the culture and heritage of Aboriginal persons. The development of the FMP also involves significant engagement with Aboriginal people and includes performance targets to establish joint management arrangements, develop local area protocols for customary activities in each DBCA </w:t>
      </w:r>
      <w:r w:rsidR="00327D67">
        <w:t>d</w:t>
      </w:r>
      <w:r>
        <w:t>istrict, and Noongar input to all management plans.</w:t>
      </w:r>
    </w:p>
    <w:p w14:paraId="26ABD0B9" w14:textId="77777777" w:rsidR="00F155CC" w:rsidRDefault="00335DA0" w:rsidP="00F155CC">
      <w:pPr>
        <w:rPr>
          <w:rFonts w:cs="Segoe UI"/>
        </w:rPr>
      </w:pPr>
      <w:r>
        <w:rPr>
          <w:rFonts w:cstheme="minorHAnsi"/>
        </w:rPr>
        <w:t xml:space="preserve">In 1999, the WA RFA </w:t>
      </w:r>
      <w:r>
        <w:rPr>
          <w:rFonts w:cs="Segoe UI"/>
        </w:rPr>
        <w:t xml:space="preserve">recognised a need to improve the protection and management of Aboriginal heritage and cultural values within the region, and included a suite of actions for increased consultation, identification and protection of sites, facilitate access to CALM Act lands for cultural activities and monitoring of disturbance activities. The five-yearly reviews of the WA RFA reported that all actions had been achieved by 2014. </w:t>
      </w:r>
    </w:p>
    <w:p w14:paraId="26ABD0BA" w14:textId="352783FE" w:rsidR="00F155CC" w:rsidRDefault="00F155CC" w:rsidP="00F155CC">
      <w:pPr>
        <w:rPr>
          <w:rFonts w:cstheme="minorHAnsi"/>
        </w:rPr>
      </w:pPr>
      <w:r>
        <w:rPr>
          <w:rFonts w:cs="Segoe UI"/>
        </w:rPr>
        <w:t xml:space="preserve">Aboriginal heritage has been </w:t>
      </w:r>
      <w:r w:rsidR="00C66508">
        <w:rPr>
          <w:rFonts w:cs="Segoe UI"/>
        </w:rPr>
        <w:t xml:space="preserve">further </w:t>
      </w:r>
      <w:r w:rsidR="004414DF">
        <w:rPr>
          <w:rFonts w:cs="Segoe UI"/>
        </w:rPr>
        <w:t>enhanced</w:t>
      </w:r>
      <w:r>
        <w:rPr>
          <w:rFonts w:cs="Segoe UI"/>
        </w:rPr>
        <w:t xml:space="preserve"> through the </w:t>
      </w:r>
      <w:r w:rsidR="00202A26">
        <w:rPr>
          <w:rFonts w:cs="Segoe UI"/>
        </w:rPr>
        <w:t>SWNT </w:t>
      </w:r>
      <w:r>
        <w:rPr>
          <w:rFonts w:cs="Segoe UI"/>
        </w:rPr>
        <w:t xml:space="preserve">Settlement process. </w:t>
      </w:r>
      <w:r w:rsidRPr="0032139F">
        <w:rPr>
          <w:rFonts w:cstheme="minorHAnsi"/>
        </w:rPr>
        <w:t xml:space="preserve">This </w:t>
      </w:r>
      <w:r>
        <w:rPr>
          <w:rFonts w:cstheme="minorHAnsi"/>
        </w:rPr>
        <w:t>is</w:t>
      </w:r>
      <w:r w:rsidRPr="0032139F">
        <w:rPr>
          <w:rFonts w:cstheme="minorHAnsi"/>
        </w:rPr>
        <w:t xml:space="preserve"> a comprehensive native title agreement, comprising the full and final resolution of all native title claims in the south-west of W</w:t>
      </w:r>
      <w:r w:rsidR="004414DF">
        <w:rPr>
          <w:rFonts w:cstheme="minorHAnsi"/>
        </w:rPr>
        <w:t xml:space="preserve">estern </w:t>
      </w:r>
      <w:r w:rsidRPr="0032139F">
        <w:rPr>
          <w:rFonts w:cstheme="minorHAnsi"/>
        </w:rPr>
        <w:t>A</w:t>
      </w:r>
      <w:r w:rsidR="004414DF">
        <w:rPr>
          <w:rFonts w:cstheme="minorHAnsi"/>
        </w:rPr>
        <w:t>ustralia</w:t>
      </w:r>
      <w:r w:rsidRPr="0032139F">
        <w:rPr>
          <w:rFonts w:cstheme="minorHAnsi"/>
        </w:rPr>
        <w:t xml:space="preserve"> in exchange for a comprehensive settlement package.</w:t>
      </w:r>
    </w:p>
    <w:p w14:paraId="26ABD0BB" w14:textId="77777777" w:rsidR="00335DA0" w:rsidRPr="0081689E" w:rsidRDefault="00F155CC" w:rsidP="009C117A">
      <w:pPr>
        <w:rPr>
          <w:lang w:eastAsia="ja-JP"/>
        </w:rPr>
      </w:pPr>
      <w:r>
        <w:rPr>
          <w:rFonts w:cstheme="minorHAnsi"/>
        </w:rPr>
        <w:t xml:space="preserve">The commitment to protection and acknowledgement of Aboriginal heritage is reflected in legislation, WA Government policy, procedures and </w:t>
      </w:r>
      <w:r w:rsidR="002D56EB">
        <w:rPr>
          <w:rFonts w:cstheme="minorHAnsi"/>
        </w:rPr>
        <w:t>guidelines. The</w:t>
      </w:r>
      <w:r>
        <w:rPr>
          <w:rFonts w:cstheme="minorHAnsi"/>
        </w:rPr>
        <w:t xml:space="preserve"> processes described </w:t>
      </w:r>
      <w:r w:rsidR="00CE7E81">
        <w:rPr>
          <w:rFonts w:cstheme="minorHAnsi"/>
        </w:rPr>
        <w:t>in this chapter</w:t>
      </w:r>
      <w:r>
        <w:rPr>
          <w:rFonts w:cstheme="minorHAnsi"/>
        </w:rPr>
        <w:t xml:space="preserve"> provide the framework to continue to enhance the consideration and direct involvement of Aboriginal people in the management and use of forests on public land in the RFA region. DBCA are committed to providing ongoing opportunities </w:t>
      </w:r>
      <w:r w:rsidR="00CE7E81">
        <w:rPr>
          <w:rFonts w:cstheme="minorHAnsi"/>
        </w:rPr>
        <w:t xml:space="preserve">for involvement in forest management </w:t>
      </w:r>
      <w:r>
        <w:rPr>
          <w:rFonts w:cstheme="minorHAnsi"/>
        </w:rPr>
        <w:t>to Aboriginal communities in the WA RFA region</w:t>
      </w:r>
      <w:r w:rsidR="00327D67">
        <w:rPr>
          <w:rFonts w:cstheme="minorHAnsi"/>
        </w:rPr>
        <w:t xml:space="preserve"> </w:t>
      </w:r>
      <w:r w:rsidR="004414DF" w:rsidRPr="004414DF">
        <w:rPr>
          <w:rFonts w:cstheme="minorHAnsi"/>
        </w:rPr>
        <w:t>and to continue adapting and improving the WA FMS to provide these opportunities, including through commitments under an extended WA RFA.</w:t>
      </w:r>
      <w:r w:rsidR="004414DF">
        <w:rPr>
          <w:rFonts w:cstheme="minorHAnsi"/>
        </w:rPr>
        <w:t xml:space="preserve"> </w:t>
      </w:r>
    </w:p>
    <w:p w14:paraId="26ABD0BC" w14:textId="77777777" w:rsidR="00676168" w:rsidRPr="00CE60B2" w:rsidRDefault="00676168" w:rsidP="003443B2">
      <w:pPr>
        <w:rPr>
          <w:rFonts w:cs="Segoe UI"/>
        </w:rPr>
      </w:pPr>
    </w:p>
    <w:p w14:paraId="26ABD0BD" w14:textId="77777777" w:rsidR="00B11CAC" w:rsidRDefault="00B11CAC">
      <w:pPr>
        <w:spacing w:before="0" w:after="480" w:line="276" w:lineRule="auto"/>
        <w:rPr>
          <w:rFonts w:cs="Segoe UI"/>
          <w:b/>
          <w:color w:val="0074A1"/>
          <w:sz w:val="28"/>
          <w:szCs w:val="28"/>
        </w:rPr>
      </w:pPr>
      <w:bookmarkStart w:id="108" w:name="_Toc524952806"/>
      <w:r>
        <w:br w:type="page"/>
      </w:r>
    </w:p>
    <w:p w14:paraId="26ABD0BE" w14:textId="77777777" w:rsidR="00261F4B" w:rsidRPr="00CE60B2" w:rsidRDefault="008A4979" w:rsidP="00E95A08">
      <w:pPr>
        <w:pStyle w:val="Heading2"/>
      </w:pPr>
      <w:bookmarkStart w:id="109" w:name="_Toc2776049"/>
      <w:r w:rsidRPr="00CE60B2">
        <w:lastRenderedPageBreak/>
        <w:t xml:space="preserve">Section 3: </w:t>
      </w:r>
      <w:r w:rsidR="00261F4B" w:rsidRPr="00CE60B2">
        <w:t>Economic Value</w:t>
      </w:r>
      <w:r w:rsidR="00DB510B" w:rsidRPr="00CE60B2">
        <w:t>s</w:t>
      </w:r>
      <w:bookmarkEnd w:id="108"/>
      <w:bookmarkEnd w:id="109"/>
    </w:p>
    <w:p w14:paraId="26ABD0BF" w14:textId="77777777" w:rsidR="008A795B" w:rsidRDefault="008A795B" w:rsidP="008A795B">
      <w:pPr>
        <w:rPr>
          <w:rFonts w:cs="Segoe UI"/>
        </w:rPr>
      </w:pPr>
      <w:r>
        <w:rPr>
          <w:rFonts w:cs="Segoe UI"/>
        </w:rPr>
        <w:t xml:space="preserve">Ecologically Sustainable Forest Management requires that decision making processes effectively integrate both the long-term and short-term economic, social and equitable considerations, and that the health, </w:t>
      </w:r>
      <w:r w:rsidR="008A4C96">
        <w:rPr>
          <w:rFonts w:cs="Segoe UI"/>
        </w:rPr>
        <w:t>diversity</w:t>
      </w:r>
      <w:r>
        <w:rPr>
          <w:rFonts w:cs="Segoe UI"/>
        </w:rPr>
        <w:t xml:space="preserve"> and productivity of the forest is maintained or enhanced.</w:t>
      </w:r>
    </w:p>
    <w:p w14:paraId="26ABD0C0" w14:textId="77777777" w:rsidR="008A795B" w:rsidRDefault="008A795B" w:rsidP="008A795B">
      <w:pPr>
        <w:rPr>
          <w:rFonts w:cs="Segoe UI"/>
        </w:rPr>
      </w:pPr>
      <w:r>
        <w:rPr>
          <w:rFonts w:cs="Segoe UI"/>
        </w:rPr>
        <w:t>The primary economic value</w:t>
      </w:r>
      <w:r w:rsidR="001F1251">
        <w:rPr>
          <w:rFonts w:cs="Segoe UI"/>
        </w:rPr>
        <w:t>s</w:t>
      </w:r>
      <w:r>
        <w:rPr>
          <w:rFonts w:cs="Segoe UI"/>
        </w:rPr>
        <w:t xml:space="preserve"> from the forests in the south west forest region of WA </w:t>
      </w:r>
      <w:r w:rsidR="001F1251">
        <w:rPr>
          <w:rFonts w:cs="Segoe UI"/>
        </w:rPr>
        <w:t>are</w:t>
      </w:r>
      <w:r>
        <w:rPr>
          <w:rFonts w:cs="Segoe UI"/>
        </w:rPr>
        <w:t xml:space="preserve"> derived from timber harvesting, mineral extraction and </w:t>
      </w:r>
      <w:r w:rsidR="001F1251">
        <w:rPr>
          <w:rFonts w:cs="Segoe UI"/>
        </w:rPr>
        <w:t xml:space="preserve">intra-state and overseas </w:t>
      </w:r>
      <w:r>
        <w:rPr>
          <w:rFonts w:cs="Segoe UI"/>
        </w:rPr>
        <w:t xml:space="preserve">tourism. Other economic activities include </w:t>
      </w:r>
      <w:r w:rsidR="001F1251">
        <w:rPr>
          <w:rFonts w:cs="Segoe UI"/>
        </w:rPr>
        <w:t>honey production,</w:t>
      </w:r>
      <w:r>
        <w:rPr>
          <w:rFonts w:cs="Segoe UI"/>
        </w:rPr>
        <w:t xml:space="preserve"> </w:t>
      </w:r>
      <w:r w:rsidR="001F1251">
        <w:rPr>
          <w:rFonts w:cs="Segoe UI"/>
        </w:rPr>
        <w:t xml:space="preserve">seed collection </w:t>
      </w:r>
      <w:r>
        <w:rPr>
          <w:rFonts w:cs="Segoe UI"/>
        </w:rPr>
        <w:t xml:space="preserve">and wildflower collection. </w:t>
      </w:r>
    </w:p>
    <w:p w14:paraId="26ABD0C1" w14:textId="77777777" w:rsidR="008A795B" w:rsidRDefault="008A795B" w:rsidP="008A795B">
      <w:pPr>
        <w:rPr>
          <w:rFonts w:cs="Segoe UI"/>
        </w:rPr>
      </w:pPr>
      <w:r>
        <w:rPr>
          <w:rFonts w:cs="Segoe UI"/>
        </w:rPr>
        <w:t>Consistent with the Montreal Criteria, the FMP seeks to sustain social and economic benefits through the provision of a range of goods and services valued by the community.</w:t>
      </w:r>
    </w:p>
    <w:p w14:paraId="26ABD0C2" w14:textId="77777777" w:rsidR="007A61A6" w:rsidRPr="00CE60B2" w:rsidRDefault="007A61A6" w:rsidP="007A61A6">
      <w:pPr>
        <w:rPr>
          <w:rFonts w:cs="Segoe UI"/>
          <w:color w:val="000000" w:themeColor="text1"/>
        </w:rPr>
      </w:pPr>
      <w:r w:rsidRPr="00CE60B2">
        <w:rPr>
          <w:rFonts w:cs="Segoe UI"/>
          <w:color w:val="000000" w:themeColor="text1"/>
        </w:rPr>
        <w:t xml:space="preserve">Criterions 2 and 6 of the </w:t>
      </w:r>
      <w:r w:rsidR="00F73C3B" w:rsidRPr="00CE60B2">
        <w:rPr>
          <w:rFonts w:cs="Segoe UI"/>
          <w:color w:val="000000" w:themeColor="text1"/>
        </w:rPr>
        <w:t>Montréal</w:t>
      </w:r>
      <w:r w:rsidRPr="00CE60B2">
        <w:rPr>
          <w:rFonts w:cs="Segoe UI"/>
          <w:color w:val="000000" w:themeColor="text1"/>
        </w:rPr>
        <w:t xml:space="preserve"> Process Working Group on Criteria and Indicators for the Conservation and Sustainable Management of Temperate and Boreal Forests </w:t>
      </w:r>
      <w:r w:rsidR="0007110D">
        <w:rPr>
          <w:rFonts w:cs="Segoe UI"/>
          <w:color w:val="000000" w:themeColor="text1"/>
        </w:rPr>
        <w:t>provide for the maintenance and enhancement of</w:t>
      </w:r>
      <w:r w:rsidRPr="00CE60B2">
        <w:rPr>
          <w:rFonts w:cs="Segoe UI"/>
          <w:color w:val="000000" w:themeColor="text1"/>
        </w:rPr>
        <w:t xml:space="preserve"> economic values. </w:t>
      </w:r>
    </w:p>
    <w:p w14:paraId="26ABD0C3" w14:textId="77777777" w:rsidR="007A61A6" w:rsidRPr="00CE60B2" w:rsidRDefault="007A61A6" w:rsidP="007A61A6">
      <w:pPr>
        <w:rPr>
          <w:rFonts w:cs="Segoe UI"/>
          <w:color w:val="000000" w:themeColor="text1"/>
        </w:rPr>
      </w:pPr>
      <w:r w:rsidRPr="00CE60B2">
        <w:rPr>
          <w:rFonts w:cs="Segoe UI"/>
          <w:color w:val="000000" w:themeColor="text1"/>
        </w:rPr>
        <w:t>Criterion 2</w:t>
      </w:r>
      <w:r w:rsidR="0007110D">
        <w:rPr>
          <w:rFonts w:cs="Segoe UI"/>
          <w:color w:val="000000" w:themeColor="text1"/>
        </w:rPr>
        <w:t>, Maintenance of Productive Capacity of Forest Ecosystems</w:t>
      </w:r>
      <w:r w:rsidRPr="00CE60B2">
        <w:rPr>
          <w:rFonts w:cs="Segoe UI"/>
          <w:color w:val="000000" w:themeColor="text1"/>
        </w:rPr>
        <w:t xml:space="preserve"> measures the ongoing productive capacity of forests by monitoring the area of native forests and plantations available for producing timber and other forest products. </w:t>
      </w:r>
      <w:r w:rsidR="0007110D">
        <w:rPr>
          <w:rFonts w:cs="Segoe UI"/>
          <w:color w:val="000000" w:themeColor="text1"/>
        </w:rPr>
        <w:t xml:space="preserve">Maintaining the productive capacity of forests involves maintaining the land base, and from areas of State forest and timber </w:t>
      </w:r>
      <w:r w:rsidR="008A4C96">
        <w:rPr>
          <w:rFonts w:cs="Segoe UI"/>
          <w:color w:val="000000" w:themeColor="text1"/>
        </w:rPr>
        <w:t>reserves</w:t>
      </w:r>
      <w:r w:rsidR="0007110D">
        <w:rPr>
          <w:rFonts w:cs="Segoe UI"/>
          <w:color w:val="000000" w:themeColor="text1"/>
        </w:rPr>
        <w:t xml:space="preserve"> where </w:t>
      </w:r>
      <w:r w:rsidR="001F1251">
        <w:rPr>
          <w:rFonts w:cs="Segoe UI"/>
          <w:color w:val="000000" w:themeColor="text1"/>
        </w:rPr>
        <w:t xml:space="preserve">timber </w:t>
      </w:r>
      <w:r w:rsidR="008A4C96">
        <w:rPr>
          <w:rFonts w:cs="Segoe UI"/>
          <w:color w:val="000000" w:themeColor="text1"/>
        </w:rPr>
        <w:t>harvest</w:t>
      </w:r>
      <w:r w:rsidR="001F1251">
        <w:rPr>
          <w:rFonts w:cs="Segoe UI"/>
          <w:color w:val="000000" w:themeColor="text1"/>
        </w:rPr>
        <w:t>ing</w:t>
      </w:r>
      <w:r w:rsidR="00883751">
        <w:rPr>
          <w:rFonts w:cs="Segoe UI"/>
          <w:color w:val="000000" w:themeColor="text1"/>
        </w:rPr>
        <w:t xml:space="preserve"> is permitted, providing for </w:t>
      </w:r>
      <w:r w:rsidR="0007110D">
        <w:rPr>
          <w:rFonts w:cs="Segoe UI"/>
          <w:color w:val="000000" w:themeColor="text1"/>
        </w:rPr>
        <w:t>timber production on a sustained yield basis.</w:t>
      </w:r>
      <w:r w:rsidRPr="00CE60B2">
        <w:rPr>
          <w:rFonts w:cs="Segoe UI"/>
          <w:color w:val="000000" w:themeColor="text1"/>
        </w:rPr>
        <w:t xml:space="preserve"> </w:t>
      </w:r>
    </w:p>
    <w:p w14:paraId="26ABD0C4" w14:textId="77777777" w:rsidR="007A61A6" w:rsidRPr="00CE60B2" w:rsidRDefault="007A61A6" w:rsidP="007A61A6">
      <w:pPr>
        <w:rPr>
          <w:rFonts w:cs="Segoe UI"/>
          <w:color w:val="000000" w:themeColor="text1"/>
        </w:rPr>
      </w:pPr>
      <w:r w:rsidRPr="00CE60B2">
        <w:rPr>
          <w:rFonts w:cs="Segoe UI"/>
          <w:color w:val="000000" w:themeColor="text1"/>
        </w:rPr>
        <w:t xml:space="preserve">Criterion 6 </w:t>
      </w:r>
      <w:r w:rsidR="0007110D">
        <w:rPr>
          <w:rFonts w:cs="Segoe UI"/>
          <w:color w:val="000000" w:themeColor="text1"/>
        </w:rPr>
        <w:t>Maintenance and Enhancement of Lon</w:t>
      </w:r>
      <w:r w:rsidR="00B415D4">
        <w:rPr>
          <w:rFonts w:cs="Segoe UI"/>
          <w:color w:val="000000" w:themeColor="text1"/>
        </w:rPr>
        <w:t>g</w:t>
      </w:r>
      <w:r w:rsidR="0007110D">
        <w:rPr>
          <w:rFonts w:cs="Segoe UI"/>
          <w:color w:val="000000" w:themeColor="text1"/>
        </w:rPr>
        <w:t>-term Multiple Socio</w:t>
      </w:r>
      <w:r w:rsidR="001F1251">
        <w:rPr>
          <w:rFonts w:cs="Segoe UI"/>
          <w:color w:val="000000" w:themeColor="text1"/>
        </w:rPr>
        <w:t>-</w:t>
      </w:r>
      <w:r w:rsidR="0007110D">
        <w:rPr>
          <w:rFonts w:cs="Segoe UI"/>
          <w:color w:val="000000" w:themeColor="text1"/>
        </w:rPr>
        <w:t>economic benefits,</w:t>
      </w:r>
      <w:r w:rsidR="0007110D" w:rsidRPr="00CE60B2">
        <w:rPr>
          <w:rFonts w:cs="Segoe UI"/>
          <w:color w:val="000000" w:themeColor="text1"/>
        </w:rPr>
        <w:t xml:space="preserve"> </w:t>
      </w:r>
      <w:r w:rsidRPr="00CE60B2">
        <w:rPr>
          <w:rFonts w:cs="Segoe UI"/>
          <w:color w:val="000000" w:themeColor="text1"/>
        </w:rPr>
        <w:t xml:space="preserve">monitors and reports across five sub-criteria relevant to how the forest sector provides multiple socio-economic benefits to society. </w:t>
      </w:r>
      <w:r w:rsidR="001F1251">
        <w:rPr>
          <w:rFonts w:cs="Segoe UI"/>
          <w:color w:val="000000" w:themeColor="text1"/>
        </w:rPr>
        <w:t>T</w:t>
      </w:r>
      <w:r w:rsidRPr="00CE60B2">
        <w:rPr>
          <w:rFonts w:cs="Segoe UI"/>
          <w:color w:val="000000" w:themeColor="text1"/>
        </w:rPr>
        <w:t>his chapter include</w:t>
      </w:r>
      <w:r w:rsidR="001F1251">
        <w:rPr>
          <w:rFonts w:cs="Segoe UI"/>
          <w:color w:val="000000" w:themeColor="text1"/>
        </w:rPr>
        <w:t>s measures of</w:t>
      </w:r>
      <w:r w:rsidRPr="00CE60B2">
        <w:rPr>
          <w:rFonts w:cs="Segoe UI"/>
          <w:color w:val="000000" w:themeColor="text1"/>
        </w:rPr>
        <w:t xml:space="preserve"> the production and consumption of forest products, investment in the forest sector and forest-related employment and community needs.</w:t>
      </w:r>
    </w:p>
    <w:p w14:paraId="26ABD0C5" w14:textId="77777777" w:rsidR="00B07560" w:rsidRPr="00CE60B2" w:rsidRDefault="00B07560" w:rsidP="007A61A6">
      <w:pPr>
        <w:rPr>
          <w:rFonts w:cs="Segoe UI"/>
          <w:color w:val="000000" w:themeColor="text1"/>
        </w:rPr>
      </w:pPr>
      <w:r w:rsidRPr="00CE60B2">
        <w:rPr>
          <w:rFonts w:cs="Segoe UI"/>
          <w:color w:val="000000" w:themeColor="text1"/>
        </w:rPr>
        <w:t xml:space="preserve">This section includes the following </w:t>
      </w:r>
      <w:r w:rsidR="00F73C3B" w:rsidRPr="00CE60B2">
        <w:rPr>
          <w:rFonts w:cs="Segoe UI"/>
          <w:color w:val="000000" w:themeColor="text1"/>
        </w:rPr>
        <w:t>Montréal</w:t>
      </w:r>
      <w:r w:rsidRPr="00CE60B2">
        <w:rPr>
          <w:rFonts w:cs="Segoe UI"/>
          <w:color w:val="000000" w:themeColor="text1"/>
        </w:rPr>
        <w:t xml:space="preserve"> Indicators:</w:t>
      </w:r>
    </w:p>
    <w:p w14:paraId="26ABD0C6" w14:textId="77777777" w:rsidR="00B07560" w:rsidRPr="00CE60B2" w:rsidRDefault="00B07560" w:rsidP="00C903EE">
      <w:pPr>
        <w:pStyle w:val="ListParagraph"/>
        <w:numPr>
          <w:ilvl w:val="0"/>
          <w:numId w:val="23"/>
        </w:numPr>
        <w:rPr>
          <w:rFonts w:cs="Segoe UI"/>
        </w:rPr>
      </w:pPr>
      <w:r w:rsidRPr="00CE60B2">
        <w:rPr>
          <w:rFonts w:cs="Segoe UI"/>
        </w:rPr>
        <w:t>Indicator 2.1a – Native forest available for wood production, area harvested, and growing stock of merchantable and non-merchantable tree species</w:t>
      </w:r>
    </w:p>
    <w:p w14:paraId="26ABD0C7" w14:textId="77777777" w:rsidR="00B07560" w:rsidRPr="00CE60B2" w:rsidRDefault="00B07560" w:rsidP="00C903EE">
      <w:pPr>
        <w:pStyle w:val="ListParagraph"/>
        <w:numPr>
          <w:ilvl w:val="0"/>
          <w:numId w:val="23"/>
        </w:numPr>
        <w:rPr>
          <w:rFonts w:cs="Segoe UI"/>
        </w:rPr>
      </w:pPr>
      <w:r w:rsidRPr="00CE60B2">
        <w:rPr>
          <w:rFonts w:cs="Segoe UI"/>
        </w:rPr>
        <w:t>Indicator 2.1b – Age class and growing stock of plantations</w:t>
      </w:r>
    </w:p>
    <w:p w14:paraId="26ABD0C8" w14:textId="77777777" w:rsidR="00B07560" w:rsidRPr="00CE60B2" w:rsidRDefault="00B07560" w:rsidP="00C903EE">
      <w:pPr>
        <w:pStyle w:val="ListParagraph"/>
        <w:numPr>
          <w:ilvl w:val="0"/>
          <w:numId w:val="23"/>
        </w:numPr>
        <w:rPr>
          <w:rFonts w:cs="Segoe UI"/>
        </w:rPr>
      </w:pPr>
      <w:r w:rsidRPr="00CE60B2">
        <w:rPr>
          <w:rFonts w:cs="Segoe UI"/>
        </w:rPr>
        <w:t>Indicator 2.1c – Annual removal of wood products compared to the volume determined to be sustainable for native forests and future yields for plantations</w:t>
      </w:r>
    </w:p>
    <w:p w14:paraId="26ABD0C9" w14:textId="77777777" w:rsidR="00B07560" w:rsidRPr="00CE60B2" w:rsidRDefault="00B07560" w:rsidP="00C903EE">
      <w:pPr>
        <w:pStyle w:val="ListParagraph"/>
        <w:numPr>
          <w:ilvl w:val="0"/>
          <w:numId w:val="23"/>
        </w:numPr>
        <w:rPr>
          <w:rFonts w:cs="Segoe UI"/>
        </w:rPr>
      </w:pPr>
      <w:r w:rsidRPr="00CE60B2">
        <w:rPr>
          <w:rFonts w:cs="Segoe UI"/>
        </w:rPr>
        <w:t>Indicator 2.1d – Annual removal of non-wood forest products compared to the level determined to be sustainable</w:t>
      </w:r>
      <w:r w:rsidRPr="00CE60B2">
        <w:rPr>
          <w:rFonts w:cs="Segoe UI"/>
        </w:rPr>
        <w:tab/>
      </w:r>
    </w:p>
    <w:p w14:paraId="26ABD0CA" w14:textId="77777777" w:rsidR="00B07560" w:rsidRPr="00CE60B2" w:rsidRDefault="00B07560" w:rsidP="00C903EE">
      <w:pPr>
        <w:pStyle w:val="ListParagraph"/>
        <w:numPr>
          <w:ilvl w:val="0"/>
          <w:numId w:val="23"/>
        </w:numPr>
        <w:rPr>
          <w:rFonts w:cs="Segoe UI"/>
        </w:rPr>
      </w:pPr>
      <w:r w:rsidRPr="00CE60B2">
        <w:rPr>
          <w:rFonts w:cs="Segoe UI"/>
        </w:rPr>
        <w:t>Indicator 2.1e – The area of native forest harvested and the proportion of that effectively regenerated, and the area of plantation harvested and the proportion of that effectively re-established</w:t>
      </w:r>
    </w:p>
    <w:p w14:paraId="26ABD0CB" w14:textId="77777777" w:rsidR="00B07560" w:rsidRPr="00CE60B2" w:rsidRDefault="00B07560" w:rsidP="00C903EE">
      <w:pPr>
        <w:pStyle w:val="ListParagraph"/>
        <w:numPr>
          <w:ilvl w:val="0"/>
          <w:numId w:val="23"/>
        </w:numPr>
        <w:rPr>
          <w:rFonts w:cs="Segoe UI"/>
        </w:rPr>
      </w:pPr>
      <w:r w:rsidRPr="00CE60B2">
        <w:rPr>
          <w:rFonts w:cs="Segoe UI"/>
        </w:rPr>
        <w:t>Indicator 6.1a – Value and volume of wood and wood products</w:t>
      </w:r>
    </w:p>
    <w:p w14:paraId="26ABD0CC" w14:textId="77777777" w:rsidR="00B07560" w:rsidRPr="00CE60B2" w:rsidRDefault="00B07560" w:rsidP="00C903EE">
      <w:pPr>
        <w:pStyle w:val="ListParagraph"/>
        <w:numPr>
          <w:ilvl w:val="0"/>
          <w:numId w:val="23"/>
        </w:numPr>
        <w:rPr>
          <w:rFonts w:cs="Segoe UI"/>
        </w:rPr>
      </w:pPr>
      <w:r w:rsidRPr="00CE60B2">
        <w:rPr>
          <w:rFonts w:cs="Segoe UI"/>
        </w:rPr>
        <w:t>Indicator 6.1b – Values, quantities and use of non-wood forest products</w:t>
      </w:r>
    </w:p>
    <w:p w14:paraId="26ABD0CD" w14:textId="77777777" w:rsidR="00B07560" w:rsidRPr="00CE60B2" w:rsidRDefault="00B07560" w:rsidP="00C903EE">
      <w:pPr>
        <w:pStyle w:val="ListParagraph"/>
        <w:numPr>
          <w:ilvl w:val="0"/>
          <w:numId w:val="23"/>
        </w:numPr>
        <w:rPr>
          <w:rFonts w:cs="Segoe UI"/>
        </w:rPr>
      </w:pPr>
      <w:r w:rsidRPr="00CE60B2">
        <w:rPr>
          <w:rFonts w:cs="Segoe UI"/>
        </w:rPr>
        <w:t>Indicator 6.1c – Value of forest based services</w:t>
      </w:r>
    </w:p>
    <w:p w14:paraId="26ABD0CE" w14:textId="77777777" w:rsidR="00B07560" w:rsidRPr="00CE60B2" w:rsidRDefault="00B07560" w:rsidP="00C903EE">
      <w:pPr>
        <w:pStyle w:val="ListParagraph"/>
        <w:numPr>
          <w:ilvl w:val="0"/>
          <w:numId w:val="23"/>
        </w:numPr>
        <w:rPr>
          <w:rFonts w:cs="Segoe UI"/>
        </w:rPr>
      </w:pPr>
      <w:r w:rsidRPr="00CE60B2">
        <w:rPr>
          <w:rFonts w:cs="Segoe UI"/>
        </w:rPr>
        <w:t>Indicator 6.1d – Production and consumption and import/export of wood, wood products and non-wood products</w:t>
      </w:r>
    </w:p>
    <w:p w14:paraId="26ABD0CF" w14:textId="77777777" w:rsidR="00B07560" w:rsidRPr="00CE60B2" w:rsidRDefault="00B07560" w:rsidP="00C903EE">
      <w:pPr>
        <w:pStyle w:val="ListParagraph"/>
        <w:numPr>
          <w:ilvl w:val="0"/>
          <w:numId w:val="23"/>
        </w:numPr>
        <w:rPr>
          <w:rFonts w:cs="Segoe UI"/>
        </w:rPr>
      </w:pPr>
      <w:r w:rsidRPr="00CE60B2">
        <w:rPr>
          <w:rFonts w:cs="Segoe UI"/>
        </w:rPr>
        <w:t>Indicator 6.1e – Degree of recycling of forest products</w:t>
      </w:r>
    </w:p>
    <w:p w14:paraId="26ABD0D0" w14:textId="77777777" w:rsidR="00B07560" w:rsidRPr="00CE60B2" w:rsidRDefault="00B07560" w:rsidP="00C903EE">
      <w:pPr>
        <w:pStyle w:val="ListParagraph"/>
        <w:numPr>
          <w:ilvl w:val="0"/>
          <w:numId w:val="23"/>
        </w:numPr>
        <w:rPr>
          <w:rFonts w:cs="Segoe UI"/>
        </w:rPr>
      </w:pPr>
      <w:r w:rsidRPr="00CE60B2">
        <w:rPr>
          <w:rFonts w:cs="Segoe UI"/>
        </w:rPr>
        <w:t>Indicator 6.2a – Investment and expenditure in forest management</w:t>
      </w:r>
    </w:p>
    <w:p w14:paraId="26ABD0D1" w14:textId="77777777" w:rsidR="00B07560" w:rsidRPr="00CE60B2" w:rsidRDefault="00B07560" w:rsidP="00C903EE">
      <w:pPr>
        <w:pStyle w:val="ListParagraph"/>
        <w:numPr>
          <w:ilvl w:val="0"/>
          <w:numId w:val="23"/>
        </w:numPr>
        <w:rPr>
          <w:rFonts w:cs="Segoe UI"/>
        </w:rPr>
      </w:pPr>
      <w:r w:rsidRPr="00CE60B2">
        <w:rPr>
          <w:rFonts w:cs="Segoe UI"/>
        </w:rPr>
        <w:lastRenderedPageBreak/>
        <w:t>Indicator 6.2b – Investment in research, development, extension and use of new and improved technologies</w:t>
      </w:r>
      <w:r w:rsidR="00460D72" w:rsidRPr="00CE60B2">
        <w:rPr>
          <w:rFonts w:cs="Segoe UI"/>
        </w:rPr>
        <w:t>.</w:t>
      </w:r>
    </w:p>
    <w:p w14:paraId="26ABD0D2" w14:textId="77777777" w:rsidR="00DB510B" w:rsidRPr="00CE60B2" w:rsidRDefault="00DB510B" w:rsidP="008A4979">
      <w:pPr>
        <w:pStyle w:val="Heading3"/>
        <w:rPr>
          <w:lang w:eastAsia="en-AU"/>
        </w:rPr>
      </w:pPr>
      <w:bookmarkStart w:id="110" w:name="_Toc524952807"/>
      <w:bookmarkStart w:id="111" w:name="_Toc2776050"/>
      <w:r w:rsidRPr="00CE60B2">
        <w:rPr>
          <w:lang w:eastAsia="en-AU"/>
        </w:rPr>
        <w:t>Indicator 2.1a</w:t>
      </w:r>
      <w:r w:rsidRPr="00CE60B2">
        <w:rPr>
          <w:lang w:eastAsia="en-AU"/>
        </w:rPr>
        <w:tab/>
        <w:t>Native forest available for wood production, area harvested, and growing stock of merchantable and non-merchantable tree species</w:t>
      </w:r>
      <w:bookmarkEnd w:id="110"/>
      <w:bookmarkEnd w:id="111"/>
    </w:p>
    <w:p w14:paraId="26ABD0D3" w14:textId="77777777" w:rsidR="00E40B48" w:rsidRDefault="00E40B48" w:rsidP="00E40B48">
      <w:pPr>
        <w:spacing w:before="0" w:after="0"/>
        <w:rPr>
          <w:rFonts w:cs="Segoe UI"/>
          <w:lang w:eastAsia="ja-JP"/>
        </w:rPr>
      </w:pPr>
      <w:r w:rsidRPr="00CE60B2">
        <w:rPr>
          <w:rFonts w:cs="Segoe UI"/>
          <w:lang w:eastAsia="ja-JP"/>
        </w:rPr>
        <w:t xml:space="preserve">This indicator reports the capacity of forests to sustainably produce wood to meet society’s needs into the future. The area of native forest available for wood production, the nature of the growing stock, and the area harvested over time </w:t>
      </w:r>
      <w:r w:rsidR="001F1251">
        <w:rPr>
          <w:rFonts w:cs="Segoe UI"/>
          <w:lang w:eastAsia="ja-JP"/>
        </w:rPr>
        <w:t>are measures of</w:t>
      </w:r>
      <w:r w:rsidRPr="00CE60B2">
        <w:rPr>
          <w:rFonts w:cs="Segoe UI"/>
          <w:lang w:eastAsia="ja-JP"/>
        </w:rPr>
        <w:t xml:space="preserve"> the sustainability of forest management.</w:t>
      </w:r>
    </w:p>
    <w:p w14:paraId="26ABD0D4" w14:textId="77777777" w:rsidR="0007110D" w:rsidRDefault="0007110D" w:rsidP="0007110D">
      <w:pPr>
        <w:spacing w:before="0" w:after="0"/>
        <w:rPr>
          <w:rFonts w:cs="Segoe UI"/>
          <w:lang w:eastAsia="ja-JP"/>
        </w:rPr>
      </w:pPr>
      <w:r>
        <w:rPr>
          <w:rFonts w:cs="Segoe UI"/>
          <w:lang w:eastAsia="ja-JP"/>
        </w:rPr>
        <w:t>The main factors which affect the sustained yield of forests include:</w:t>
      </w:r>
    </w:p>
    <w:p w14:paraId="26ABD0D5" w14:textId="4E527E38" w:rsidR="0007110D" w:rsidRDefault="0007110D" w:rsidP="00C903EE">
      <w:pPr>
        <w:pStyle w:val="ListParagraph"/>
        <w:numPr>
          <w:ilvl w:val="0"/>
          <w:numId w:val="39"/>
        </w:numPr>
        <w:spacing w:before="0" w:after="0"/>
        <w:rPr>
          <w:rFonts w:cs="Segoe UI"/>
          <w:lang w:eastAsia="ja-JP"/>
        </w:rPr>
      </w:pPr>
      <w:r>
        <w:rPr>
          <w:rFonts w:cs="Segoe UI"/>
          <w:lang w:eastAsia="ja-JP"/>
        </w:rPr>
        <w:t>the net area available for the activity</w:t>
      </w:r>
    </w:p>
    <w:p w14:paraId="26ABD0D6" w14:textId="4A7682B7" w:rsidR="0007110D" w:rsidRDefault="0007110D" w:rsidP="00C903EE">
      <w:pPr>
        <w:pStyle w:val="ListParagraph"/>
        <w:numPr>
          <w:ilvl w:val="0"/>
          <w:numId w:val="39"/>
        </w:numPr>
        <w:spacing w:before="0" w:after="0"/>
        <w:rPr>
          <w:rFonts w:cs="Segoe UI"/>
          <w:lang w:eastAsia="ja-JP"/>
        </w:rPr>
      </w:pPr>
      <w:r>
        <w:rPr>
          <w:rFonts w:cs="Segoe UI"/>
          <w:lang w:eastAsia="ja-JP"/>
        </w:rPr>
        <w:t xml:space="preserve">attributes of the forest – including species, age and size classes, growth and mortality rates, which are in turn affected by soils, climate, natural </w:t>
      </w:r>
      <w:r w:rsidR="008A4C96">
        <w:rPr>
          <w:rFonts w:cs="Segoe UI"/>
          <w:lang w:eastAsia="ja-JP"/>
        </w:rPr>
        <w:t>disturbance</w:t>
      </w:r>
      <w:r>
        <w:rPr>
          <w:rFonts w:cs="Segoe UI"/>
          <w:lang w:eastAsia="ja-JP"/>
        </w:rPr>
        <w:t>, pests, diseases and management history</w:t>
      </w:r>
    </w:p>
    <w:p w14:paraId="26ABD0D7" w14:textId="77777777" w:rsidR="0007110D" w:rsidRPr="00021A3F" w:rsidRDefault="0007110D" w:rsidP="00C903EE">
      <w:pPr>
        <w:pStyle w:val="ListParagraph"/>
        <w:numPr>
          <w:ilvl w:val="0"/>
          <w:numId w:val="39"/>
        </w:numPr>
        <w:spacing w:before="0" w:after="0"/>
        <w:rPr>
          <w:rFonts w:cs="Segoe UI"/>
          <w:lang w:eastAsia="ja-JP"/>
        </w:rPr>
      </w:pPr>
      <w:r>
        <w:rPr>
          <w:rFonts w:cs="Segoe UI"/>
          <w:lang w:eastAsia="ja-JP"/>
        </w:rPr>
        <w:t>the silviculture applied.</w:t>
      </w:r>
    </w:p>
    <w:p w14:paraId="26ABD0D8" w14:textId="77777777" w:rsidR="00E40B48" w:rsidRPr="00CE60B2" w:rsidRDefault="00E40B48" w:rsidP="008A4979">
      <w:pPr>
        <w:pStyle w:val="Heading4"/>
        <w:rPr>
          <w:rFonts w:cs="Segoe UI"/>
          <w:lang w:eastAsia="ja-JP"/>
        </w:rPr>
      </w:pPr>
      <w:r w:rsidRPr="00CE60B2">
        <w:rPr>
          <w:rFonts w:cs="Segoe UI"/>
          <w:lang w:eastAsia="ja-JP"/>
        </w:rPr>
        <w:t>Net harvestable area</w:t>
      </w:r>
    </w:p>
    <w:p w14:paraId="26ABD0D9" w14:textId="77777777" w:rsidR="00E40B48" w:rsidRPr="00CE60B2" w:rsidRDefault="00E40B48" w:rsidP="00E40B48">
      <w:pPr>
        <w:rPr>
          <w:rFonts w:cs="Segoe UI"/>
          <w:lang w:eastAsia="ja-JP"/>
        </w:rPr>
      </w:pPr>
      <w:r w:rsidRPr="00CE60B2">
        <w:rPr>
          <w:rFonts w:cs="Segoe UI"/>
          <w:lang w:eastAsia="ja-JP"/>
        </w:rPr>
        <w:t xml:space="preserve">The net area available for timber harvesting is an important component of the sustained yield calculation process, as it the area basis upon which </w:t>
      </w:r>
      <w:r w:rsidR="001F1251">
        <w:rPr>
          <w:rFonts w:cs="Segoe UI"/>
          <w:lang w:eastAsia="ja-JP"/>
        </w:rPr>
        <w:t xml:space="preserve">current growing stock is measured and </w:t>
      </w:r>
      <w:r w:rsidRPr="00CE60B2">
        <w:rPr>
          <w:rFonts w:cs="Segoe UI"/>
          <w:lang w:eastAsia="ja-JP"/>
        </w:rPr>
        <w:t>future yields are modelled. Within state fores</w:t>
      </w:r>
      <w:r w:rsidR="00883751">
        <w:rPr>
          <w:rFonts w:cs="Segoe UI"/>
          <w:lang w:eastAsia="ja-JP"/>
        </w:rPr>
        <w:t>t and timber reserves in the WA </w:t>
      </w:r>
      <w:r w:rsidRPr="00CE60B2">
        <w:rPr>
          <w:rFonts w:cs="Segoe UI"/>
          <w:lang w:eastAsia="ja-JP"/>
        </w:rPr>
        <w:t xml:space="preserve">RFA region, informal reserves, </w:t>
      </w:r>
      <w:r w:rsidR="00883751">
        <w:rPr>
          <w:rFonts w:cs="Segoe UI"/>
          <w:lang w:eastAsia="ja-JP"/>
        </w:rPr>
        <w:t>FHZ</w:t>
      </w:r>
      <w:r w:rsidRPr="00CE60B2">
        <w:rPr>
          <w:rFonts w:cs="Segoe UI"/>
          <w:lang w:eastAsia="ja-JP"/>
        </w:rPr>
        <w:t xml:space="preserve">s and areas of unproductive or degraded forest (such as those mapped as drought affected, areas too steep to harvest safely or areas used for roads and landings) are excluded from the net area used to calculate the sustained yield. The areas of jarrah dominant </w:t>
      </w:r>
      <w:r w:rsidR="001F1251">
        <w:rPr>
          <w:rFonts w:cs="Segoe UI"/>
          <w:lang w:eastAsia="ja-JP"/>
        </w:rPr>
        <w:t>forest rehabilitated following bauxite mining</w:t>
      </w:r>
      <w:r w:rsidRPr="00CE60B2">
        <w:rPr>
          <w:rFonts w:cs="Segoe UI"/>
          <w:lang w:eastAsia="ja-JP"/>
        </w:rPr>
        <w:t xml:space="preserve"> are also included in the net area available for timber harvesting.</w:t>
      </w:r>
    </w:p>
    <w:p w14:paraId="26ABD0DA" w14:textId="77777777" w:rsidR="002A19D3" w:rsidRDefault="0013311C" w:rsidP="002A19D3">
      <w:r>
        <w:t xml:space="preserve">The net harvestable area of public forest </w:t>
      </w:r>
      <w:r w:rsidR="002A19D3">
        <w:t xml:space="preserve">has declined </w:t>
      </w:r>
      <w:r w:rsidR="0056204C">
        <w:t xml:space="preserve">since 1999 </w:t>
      </w:r>
      <w:r w:rsidR="002A19D3">
        <w:t xml:space="preserve">as a result </w:t>
      </w:r>
      <w:r w:rsidR="008A4C96">
        <w:t>of policy</w:t>
      </w:r>
      <w:r w:rsidR="002A19D3">
        <w:t xml:space="preserve"> decisions</w:t>
      </w:r>
      <w:r w:rsidR="00C33042">
        <w:t xml:space="preserve"> made by the WA government</w:t>
      </w:r>
      <w:r w:rsidR="001312F0">
        <w:t xml:space="preserve"> including</w:t>
      </w:r>
      <w:r w:rsidR="002A19D3">
        <w:t>:</w:t>
      </w:r>
    </w:p>
    <w:p w14:paraId="26ABD0DB" w14:textId="631716CB" w:rsidR="002A19D3" w:rsidRDefault="002A19D3" w:rsidP="00C903EE">
      <w:pPr>
        <w:pStyle w:val="ListParagraph"/>
        <w:numPr>
          <w:ilvl w:val="0"/>
          <w:numId w:val="40"/>
        </w:numPr>
      </w:pPr>
      <w:r>
        <w:t xml:space="preserve">the introduction of the </w:t>
      </w:r>
      <w:r w:rsidRPr="002D6DC7">
        <w:rPr>
          <w:i/>
        </w:rPr>
        <w:t xml:space="preserve">Protecting our </w:t>
      </w:r>
      <w:r w:rsidR="00506AA1">
        <w:rPr>
          <w:i/>
        </w:rPr>
        <w:t>O</w:t>
      </w:r>
      <w:r w:rsidRPr="002D6DC7">
        <w:rPr>
          <w:i/>
        </w:rPr>
        <w:t xml:space="preserve">ld-growth </w:t>
      </w:r>
      <w:r w:rsidR="00506AA1">
        <w:rPr>
          <w:i/>
        </w:rPr>
        <w:t>F</w:t>
      </w:r>
      <w:r w:rsidRPr="002D6DC7">
        <w:rPr>
          <w:i/>
        </w:rPr>
        <w:t>orests</w:t>
      </w:r>
      <w:r>
        <w:t xml:space="preserve"> policy</w:t>
      </w:r>
      <w:r w:rsidR="001F1251">
        <w:t>, which</w:t>
      </w:r>
      <w:r w:rsidRPr="002D6DC7">
        <w:t xml:space="preserve"> </w:t>
      </w:r>
      <w:r>
        <w:t>resulted in additional national parks, conservation parks and nature reserves being added to the CAR reserve system</w:t>
      </w:r>
    </w:p>
    <w:p w14:paraId="26ABD0DC" w14:textId="70815355" w:rsidR="0013311C" w:rsidRDefault="001312F0" w:rsidP="00C903EE">
      <w:pPr>
        <w:pStyle w:val="ListParagraph"/>
        <w:numPr>
          <w:ilvl w:val="0"/>
          <w:numId w:val="40"/>
        </w:numPr>
      </w:pPr>
      <w:r>
        <w:t>t</w:t>
      </w:r>
      <w:r w:rsidR="0013311C">
        <w:t>he introduction of FHZs</w:t>
      </w:r>
      <w:r w:rsidR="00FD28ED">
        <w:t xml:space="preserve"> in the FMP 2004-2013</w:t>
      </w:r>
      <w:r w:rsidR="002A19D3">
        <w:t>.</w:t>
      </w:r>
      <w:r w:rsidR="0013311C">
        <w:t xml:space="preserve"> FHZs contributed to a reduction in the net harvestable area of 52 thousand hectares in </w:t>
      </w:r>
      <w:r w:rsidR="000D7979">
        <w:t>FMP 2004-2013</w:t>
      </w:r>
      <w:r w:rsidR="00FD28ED">
        <w:t>, which was refined to</w:t>
      </w:r>
      <w:r w:rsidR="0013311C">
        <w:t xml:space="preserve"> 48 thousand hectares in FMP</w:t>
      </w:r>
      <w:r w:rsidR="00FD28ED">
        <w:t xml:space="preserve"> 20</w:t>
      </w:r>
      <w:r w:rsidR="0013311C">
        <w:t>14</w:t>
      </w:r>
      <w:r w:rsidR="00FD28ED">
        <w:t>-2023</w:t>
      </w:r>
    </w:p>
    <w:p w14:paraId="26ABD0DD" w14:textId="77777777" w:rsidR="002A19D3" w:rsidRDefault="001312F0" w:rsidP="00C903EE">
      <w:pPr>
        <w:pStyle w:val="ListParagraph"/>
        <w:numPr>
          <w:ilvl w:val="0"/>
          <w:numId w:val="40"/>
        </w:numPr>
      </w:pPr>
      <w:r>
        <w:t>t</w:t>
      </w:r>
      <w:r w:rsidR="002A19D3">
        <w:t xml:space="preserve">he </w:t>
      </w:r>
      <w:r w:rsidR="0056204C">
        <w:t xml:space="preserve">establishment </w:t>
      </w:r>
      <w:r w:rsidR="002A19D3">
        <w:t xml:space="preserve">of </w:t>
      </w:r>
      <w:r w:rsidR="002D56EB">
        <w:t>further national</w:t>
      </w:r>
      <w:r w:rsidR="002A19D3">
        <w:t xml:space="preserve"> parks</w:t>
      </w:r>
      <w:r w:rsidR="0056204C">
        <w:t xml:space="preserve"> in the FMP 2014-2023</w:t>
      </w:r>
      <w:r w:rsidR="002A19D3">
        <w:t xml:space="preserve">, such as the </w:t>
      </w:r>
      <w:r w:rsidR="0056204C">
        <w:t xml:space="preserve">proposed </w:t>
      </w:r>
      <w:r w:rsidR="002A19D3">
        <w:t>Whicher Scarp</w:t>
      </w:r>
      <w:r w:rsidR="0056204C">
        <w:t xml:space="preserve"> national park.</w:t>
      </w:r>
      <w:r w:rsidR="002A19D3">
        <w:t xml:space="preserve"> </w:t>
      </w:r>
    </w:p>
    <w:p w14:paraId="26ABD0DE" w14:textId="77777777" w:rsidR="002A19D3" w:rsidRPr="002A19D3" w:rsidRDefault="002A19D3" w:rsidP="002A19D3">
      <w:pPr>
        <w:rPr>
          <w:b/>
        </w:rPr>
      </w:pPr>
      <w:r>
        <w:t xml:space="preserve">These decisions have </w:t>
      </w:r>
      <w:r w:rsidR="0056204C">
        <w:t>contributed to an overall reduction</w:t>
      </w:r>
      <w:r>
        <w:t xml:space="preserve"> from 1.15 million hectares </w:t>
      </w:r>
      <w:r w:rsidR="0056204C">
        <w:t xml:space="preserve">of forest available for timber production </w:t>
      </w:r>
      <w:r>
        <w:t xml:space="preserve">at the commencement of the WA RFA to 0.9 million hectares </w:t>
      </w:r>
      <w:r w:rsidR="0056204C">
        <w:t xml:space="preserve">by 2009 </w:t>
      </w:r>
      <w:r>
        <w:t xml:space="preserve">(Table </w:t>
      </w:r>
      <w:r w:rsidR="006B08AE">
        <w:t>19</w:t>
      </w:r>
      <w:r>
        <w:t xml:space="preserve">). </w:t>
      </w:r>
      <w:r w:rsidR="00CE4298">
        <w:t>The net harvestable area of public forest has remained largely unchanged since the 2009 review, and currently equates to 21 per cent of the total RFA area</w:t>
      </w:r>
      <w:r w:rsidR="0056204C">
        <w:t xml:space="preserve"> (down from </w:t>
      </w:r>
      <w:r>
        <w:t xml:space="preserve">27 per cent </w:t>
      </w:r>
      <w:r w:rsidR="0056204C">
        <w:t>in 1999</w:t>
      </w:r>
      <w:r w:rsidR="00BD7DBF">
        <w:t>)</w:t>
      </w:r>
      <w:r>
        <w:t>.</w:t>
      </w:r>
    </w:p>
    <w:p w14:paraId="26ABD0DF" w14:textId="77777777" w:rsidR="0013311C" w:rsidRDefault="0013311C" w:rsidP="0013311C"/>
    <w:p w14:paraId="26ABD0E0" w14:textId="4A3147EA" w:rsidR="007E62B1" w:rsidRDefault="007E62B1" w:rsidP="007E62B1">
      <w:pPr>
        <w:pStyle w:val="Caption"/>
        <w:keepNext/>
      </w:pPr>
      <w:bookmarkStart w:id="112" w:name="_Toc531002180"/>
      <w:r>
        <w:lastRenderedPageBreak/>
        <w:t xml:space="preserve">Table </w:t>
      </w:r>
      <w:r w:rsidR="0002253A">
        <w:rPr>
          <w:noProof/>
        </w:rPr>
        <w:fldChar w:fldCharType="begin"/>
      </w:r>
      <w:r w:rsidR="0002253A">
        <w:rPr>
          <w:noProof/>
        </w:rPr>
        <w:instrText xml:space="preserve"> SEQ Table \* ARABIC </w:instrText>
      </w:r>
      <w:r w:rsidR="0002253A">
        <w:rPr>
          <w:noProof/>
        </w:rPr>
        <w:fldChar w:fldCharType="separate"/>
      </w:r>
      <w:r w:rsidR="003C7091">
        <w:rPr>
          <w:noProof/>
        </w:rPr>
        <w:t>19</w:t>
      </w:r>
      <w:r w:rsidR="0002253A">
        <w:rPr>
          <w:noProof/>
        </w:rPr>
        <w:fldChar w:fldCharType="end"/>
      </w:r>
      <w:r>
        <w:t xml:space="preserve">: </w:t>
      </w:r>
      <w:r w:rsidR="0056204C">
        <w:t>Net a</w:t>
      </w:r>
      <w:r w:rsidRPr="00E10DCA">
        <w:t xml:space="preserve">rea </w:t>
      </w:r>
      <w:r w:rsidR="0056204C">
        <w:t xml:space="preserve">of State forest and timber reserves </w:t>
      </w:r>
      <w:r w:rsidRPr="00E10DCA">
        <w:t xml:space="preserve">available for wood production within the WA RFA region at each of the </w:t>
      </w:r>
      <w:r w:rsidR="0056204C">
        <w:t xml:space="preserve">RFA </w:t>
      </w:r>
      <w:r w:rsidRPr="00E10DCA">
        <w:t>reporting periods.</w:t>
      </w:r>
      <w:bookmarkEnd w:id="112"/>
    </w:p>
    <w:tbl>
      <w:tblPr>
        <w:tblW w:w="5098" w:type="dxa"/>
        <w:jc w:val="center"/>
        <w:tblLook w:val="04A0" w:firstRow="1" w:lastRow="0" w:firstColumn="1" w:lastColumn="0" w:noHBand="0" w:noVBand="1"/>
      </w:tblPr>
      <w:tblGrid>
        <w:gridCol w:w="2263"/>
        <w:gridCol w:w="1560"/>
        <w:gridCol w:w="1275"/>
      </w:tblGrid>
      <w:tr w:rsidR="0013311C" w:rsidRPr="00BC51B1" w14:paraId="26ABD0E4" w14:textId="77777777" w:rsidTr="00176847">
        <w:trPr>
          <w:trHeight w:val="576"/>
          <w:jc w:val="center"/>
        </w:trPr>
        <w:tc>
          <w:tcPr>
            <w:tcW w:w="2263" w:type="dxa"/>
            <w:tcBorders>
              <w:top w:val="single" w:sz="4" w:space="0" w:color="auto"/>
              <w:left w:val="single" w:sz="4" w:space="0" w:color="auto"/>
              <w:bottom w:val="single" w:sz="4" w:space="0" w:color="000000"/>
              <w:right w:val="single" w:sz="4" w:space="0" w:color="auto"/>
            </w:tcBorders>
            <w:shd w:val="clear" w:color="auto" w:fill="DFEFE1" w:themeFill="accent3" w:themeFillTint="66"/>
            <w:vAlign w:val="bottom"/>
            <w:hideMark/>
          </w:tcPr>
          <w:p w14:paraId="26ABD0E1" w14:textId="77777777" w:rsidR="0013311C" w:rsidRPr="00BC51B1" w:rsidRDefault="0013311C" w:rsidP="004227B9">
            <w:pPr>
              <w:spacing w:before="0"/>
              <w:rPr>
                <w:rFonts w:ascii="Calibri" w:eastAsia="Times New Roman" w:hAnsi="Calibri"/>
                <w:b/>
                <w:bCs/>
                <w:color w:val="000000"/>
                <w:sz w:val="20"/>
                <w:szCs w:val="20"/>
                <w:lang w:eastAsia="en-AU"/>
              </w:rPr>
            </w:pPr>
            <w:r>
              <w:rPr>
                <w:rFonts w:ascii="Calibri" w:eastAsia="Times New Roman" w:hAnsi="Calibri"/>
                <w:b/>
                <w:bCs/>
                <w:color w:val="000000"/>
                <w:sz w:val="20"/>
                <w:szCs w:val="20"/>
                <w:lang w:eastAsia="en-AU"/>
              </w:rPr>
              <w:t>RFA reporting period</w:t>
            </w:r>
          </w:p>
        </w:tc>
        <w:tc>
          <w:tcPr>
            <w:tcW w:w="1560" w:type="dxa"/>
            <w:tcBorders>
              <w:top w:val="single" w:sz="4" w:space="0" w:color="auto"/>
              <w:left w:val="single" w:sz="4" w:space="0" w:color="auto"/>
              <w:bottom w:val="single" w:sz="4" w:space="0" w:color="000000"/>
              <w:right w:val="nil"/>
            </w:tcBorders>
            <w:shd w:val="clear" w:color="auto" w:fill="DFEFE1" w:themeFill="accent3" w:themeFillTint="66"/>
            <w:vAlign w:val="bottom"/>
            <w:hideMark/>
          </w:tcPr>
          <w:p w14:paraId="26ABD0E2" w14:textId="77777777" w:rsidR="0013311C" w:rsidRPr="00BC51B1" w:rsidRDefault="0013311C" w:rsidP="004227B9">
            <w:pPr>
              <w:spacing w:before="0"/>
              <w:jc w:val="center"/>
              <w:rPr>
                <w:rFonts w:ascii="Calibri" w:eastAsia="Times New Roman" w:hAnsi="Calibri"/>
                <w:b/>
                <w:bCs/>
                <w:color w:val="000000"/>
                <w:sz w:val="20"/>
                <w:szCs w:val="20"/>
                <w:lang w:eastAsia="en-AU"/>
              </w:rPr>
            </w:pPr>
            <w:r>
              <w:rPr>
                <w:rFonts w:ascii="Calibri" w:eastAsia="Times New Roman" w:hAnsi="Calibri"/>
                <w:b/>
                <w:bCs/>
                <w:color w:val="000000"/>
                <w:sz w:val="20"/>
                <w:szCs w:val="20"/>
                <w:lang w:eastAsia="en-AU"/>
              </w:rPr>
              <w:t>Area available for wood production</w:t>
            </w:r>
            <w:r>
              <w:rPr>
                <w:rFonts w:ascii="Calibri" w:eastAsia="Times New Roman" w:hAnsi="Calibri"/>
                <w:b/>
                <w:bCs/>
                <w:color w:val="000000"/>
                <w:sz w:val="20"/>
                <w:szCs w:val="20"/>
                <w:lang w:eastAsia="en-AU"/>
              </w:rPr>
              <w:br/>
              <w:t>(ha)</w:t>
            </w:r>
          </w:p>
        </w:tc>
        <w:tc>
          <w:tcPr>
            <w:tcW w:w="1275" w:type="dxa"/>
            <w:tcBorders>
              <w:top w:val="single" w:sz="4" w:space="0" w:color="auto"/>
              <w:left w:val="single" w:sz="4" w:space="0" w:color="auto"/>
              <w:right w:val="single" w:sz="4" w:space="0" w:color="auto"/>
            </w:tcBorders>
            <w:shd w:val="clear" w:color="auto" w:fill="DFEFE1" w:themeFill="accent3" w:themeFillTint="66"/>
            <w:noWrap/>
            <w:vAlign w:val="bottom"/>
            <w:hideMark/>
          </w:tcPr>
          <w:p w14:paraId="26ABD0E3" w14:textId="77777777" w:rsidR="0013311C" w:rsidRPr="00BC51B1" w:rsidRDefault="0013311C" w:rsidP="004227B9">
            <w:pPr>
              <w:spacing w:before="0"/>
              <w:jc w:val="center"/>
              <w:rPr>
                <w:rFonts w:ascii="Calibri" w:eastAsia="Times New Roman" w:hAnsi="Calibri"/>
                <w:b/>
                <w:bCs/>
                <w:color w:val="000000"/>
                <w:sz w:val="20"/>
                <w:szCs w:val="20"/>
                <w:lang w:eastAsia="en-AU"/>
              </w:rPr>
            </w:pPr>
            <w:r>
              <w:rPr>
                <w:rFonts w:ascii="Calibri" w:eastAsia="Times New Roman" w:hAnsi="Calibri"/>
                <w:b/>
                <w:bCs/>
                <w:color w:val="000000"/>
                <w:sz w:val="20"/>
                <w:szCs w:val="20"/>
                <w:lang w:eastAsia="en-AU"/>
              </w:rPr>
              <w:t>Proportion of total RFA area</w:t>
            </w:r>
            <w:r>
              <w:rPr>
                <w:rFonts w:ascii="Calibri" w:eastAsia="Times New Roman" w:hAnsi="Calibri"/>
                <w:b/>
                <w:bCs/>
                <w:color w:val="000000"/>
                <w:sz w:val="20"/>
                <w:szCs w:val="20"/>
                <w:lang w:eastAsia="en-AU"/>
              </w:rPr>
              <w:br/>
              <w:t>(%)</w:t>
            </w:r>
          </w:p>
        </w:tc>
      </w:tr>
      <w:tr w:rsidR="0013311C" w:rsidRPr="00BC51B1" w14:paraId="26ABD0E8" w14:textId="77777777" w:rsidTr="00176847">
        <w:trPr>
          <w:trHeight w:val="300"/>
          <w:jc w:val="center"/>
        </w:trPr>
        <w:tc>
          <w:tcPr>
            <w:tcW w:w="2263" w:type="dxa"/>
            <w:tcBorders>
              <w:top w:val="single" w:sz="4" w:space="0" w:color="auto"/>
              <w:left w:val="single" w:sz="4" w:space="0" w:color="auto"/>
              <w:right w:val="single" w:sz="4" w:space="0" w:color="auto"/>
            </w:tcBorders>
            <w:shd w:val="clear" w:color="auto" w:fill="auto"/>
            <w:hideMark/>
          </w:tcPr>
          <w:p w14:paraId="26ABD0E5" w14:textId="77777777" w:rsidR="0013311C" w:rsidRPr="00BC51B1" w:rsidRDefault="0013311C" w:rsidP="004227B9">
            <w:pPr>
              <w:spacing w:before="60"/>
              <w:rPr>
                <w:rFonts w:ascii="Calibri" w:eastAsia="Times New Roman" w:hAnsi="Calibri"/>
                <w:color w:val="000000"/>
                <w:sz w:val="20"/>
                <w:szCs w:val="20"/>
                <w:lang w:eastAsia="en-AU"/>
              </w:rPr>
            </w:pPr>
            <w:r>
              <w:rPr>
                <w:rFonts w:ascii="Calibri" w:eastAsia="Times New Roman" w:hAnsi="Calibri"/>
                <w:color w:val="000000"/>
                <w:sz w:val="20"/>
                <w:szCs w:val="20"/>
                <w:lang w:eastAsia="en-AU"/>
              </w:rPr>
              <w:t>WA RFA 1999</w:t>
            </w:r>
          </w:p>
        </w:tc>
        <w:tc>
          <w:tcPr>
            <w:tcW w:w="1560" w:type="dxa"/>
            <w:tcBorders>
              <w:top w:val="single" w:sz="4" w:space="0" w:color="auto"/>
              <w:left w:val="single" w:sz="4" w:space="0" w:color="auto"/>
              <w:bottom w:val="nil"/>
              <w:right w:val="nil"/>
            </w:tcBorders>
            <w:shd w:val="clear" w:color="auto" w:fill="auto"/>
            <w:noWrap/>
            <w:vAlign w:val="bottom"/>
            <w:hideMark/>
          </w:tcPr>
          <w:p w14:paraId="26ABD0E6" w14:textId="77777777" w:rsidR="0013311C" w:rsidRPr="00BC51B1" w:rsidRDefault="0013311C" w:rsidP="004227B9">
            <w:pPr>
              <w:spacing w:before="0"/>
              <w:jc w:val="right"/>
              <w:rPr>
                <w:rFonts w:ascii="Calibri" w:eastAsia="Times New Roman" w:hAnsi="Calibri"/>
                <w:color w:val="000000"/>
                <w:sz w:val="20"/>
                <w:szCs w:val="20"/>
                <w:lang w:eastAsia="en-AU"/>
              </w:rPr>
            </w:pPr>
            <w:r>
              <w:rPr>
                <w:rFonts w:ascii="Calibri" w:eastAsia="Times New Roman" w:hAnsi="Calibri"/>
                <w:color w:val="000000"/>
                <w:sz w:val="20"/>
                <w:szCs w:val="20"/>
                <w:lang w:eastAsia="en-AU"/>
              </w:rPr>
              <w:t>1,147,200</w:t>
            </w:r>
          </w:p>
        </w:tc>
        <w:tc>
          <w:tcPr>
            <w:tcW w:w="1275" w:type="dxa"/>
            <w:tcBorders>
              <w:top w:val="single" w:sz="4" w:space="0" w:color="auto"/>
              <w:left w:val="single" w:sz="4" w:space="0" w:color="auto"/>
              <w:bottom w:val="nil"/>
              <w:right w:val="single" w:sz="4" w:space="0" w:color="auto"/>
            </w:tcBorders>
            <w:shd w:val="clear" w:color="auto" w:fill="auto"/>
            <w:noWrap/>
            <w:vAlign w:val="bottom"/>
          </w:tcPr>
          <w:p w14:paraId="26ABD0E7" w14:textId="77777777" w:rsidR="0013311C" w:rsidRPr="00BC51B1" w:rsidRDefault="0013311C" w:rsidP="004227B9">
            <w:pPr>
              <w:spacing w:before="0"/>
              <w:jc w:val="right"/>
              <w:rPr>
                <w:rFonts w:ascii="Calibri" w:eastAsia="Times New Roman" w:hAnsi="Calibri"/>
                <w:color w:val="000000"/>
                <w:sz w:val="20"/>
                <w:szCs w:val="20"/>
                <w:lang w:eastAsia="en-AU"/>
              </w:rPr>
            </w:pPr>
            <w:r>
              <w:rPr>
                <w:rFonts w:ascii="Calibri" w:eastAsia="Times New Roman" w:hAnsi="Calibri"/>
                <w:color w:val="000000"/>
                <w:sz w:val="20"/>
                <w:szCs w:val="20"/>
                <w:lang w:eastAsia="en-AU"/>
              </w:rPr>
              <w:t>27.0</w:t>
            </w:r>
          </w:p>
        </w:tc>
      </w:tr>
      <w:tr w:rsidR="0013311C" w:rsidRPr="00BC51B1" w14:paraId="26ABD0EC" w14:textId="77777777" w:rsidTr="00176847">
        <w:trPr>
          <w:trHeight w:val="300"/>
          <w:jc w:val="center"/>
        </w:trPr>
        <w:tc>
          <w:tcPr>
            <w:tcW w:w="2263" w:type="dxa"/>
            <w:tcBorders>
              <w:top w:val="single" w:sz="4" w:space="0" w:color="auto"/>
              <w:left w:val="single" w:sz="4" w:space="0" w:color="auto"/>
              <w:right w:val="single" w:sz="4" w:space="0" w:color="auto"/>
            </w:tcBorders>
            <w:shd w:val="clear" w:color="auto" w:fill="auto"/>
            <w:hideMark/>
          </w:tcPr>
          <w:p w14:paraId="26ABD0E9" w14:textId="77777777" w:rsidR="0013311C" w:rsidRPr="00BC51B1" w:rsidRDefault="0013311C" w:rsidP="004227B9">
            <w:pPr>
              <w:spacing w:before="60"/>
              <w:rPr>
                <w:rFonts w:ascii="Calibri" w:eastAsia="Times New Roman" w:hAnsi="Calibri"/>
                <w:color w:val="000000"/>
                <w:sz w:val="20"/>
                <w:szCs w:val="20"/>
                <w:lang w:eastAsia="en-AU"/>
              </w:rPr>
            </w:pPr>
            <w:r>
              <w:rPr>
                <w:rFonts w:ascii="Calibri" w:eastAsia="Times New Roman" w:hAnsi="Calibri"/>
                <w:color w:val="000000"/>
                <w:sz w:val="20"/>
                <w:szCs w:val="20"/>
                <w:lang w:eastAsia="en-AU"/>
              </w:rPr>
              <w:t>RFA review 2009</w:t>
            </w:r>
          </w:p>
        </w:tc>
        <w:tc>
          <w:tcPr>
            <w:tcW w:w="1560" w:type="dxa"/>
            <w:tcBorders>
              <w:top w:val="single" w:sz="4" w:space="0" w:color="auto"/>
              <w:left w:val="single" w:sz="4" w:space="0" w:color="auto"/>
              <w:bottom w:val="nil"/>
              <w:right w:val="nil"/>
            </w:tcBorders>
            <w:shd w:val="clear" w:color="auto" w:fill="auto"/>
            <w:noWrap/>
            <w:vAlign w:val="bottom"/>
            <w:hideMark/>
          </w:tcPr>
          <w:p w14:paraId="26ABD0EA" w14:textId="77777777" w:rsidR="0013311C" w:rsidRPr="00BC51B1" w:rsidRDefault="0013311C" w:rsidP="004227B9">
            <w:pPr>
              <w:spacing w:before="0"/>
              <w:jc w:val="right"/>
              <w:rPr>
                <w:rFonts w:ascii="Calibri" w:eastAsia="Times New Roman" w:hAnsi="Calibri"/>
                <w:color w:val="000000"/>
                <w:sz w:val="20"/>
                <w:szCs w:val="20"/>
                <w:lang w:eastAsia="en-AU"/>
              </w:rPr>
            </w:pPr>
            <w:r>
              <w:rPr>
                <w:rFonts w:ascii="Calibri" w:eastAsia="Times New Roman" w:hAnsi="Calibri"/>
                <w:color w:val="000000"/>
                <w:sz w:val="20"/>
                <w:szCs w:val="20"/>
                <w:lang w:eastAsia="en-AU"/>
              </w:rPr>
              <w:t>901,190</w:t>
            </w:r>
          </w:p>
        </w:tc>
        <w:tc>
          <w:tcPr>
            <w:tcW w:w="1275" w:type="dxa"/>
            <w:tcBorders>
              <w:top w:val="single" w:sz="4" w:space="0" w:color="auto"/>
              <w:left w:val="single" w:sz="4" w:space="0" w:color="auto"/>
              <w:bottom w:val="nil"/>
              <w:right w:val="single" w:sz="4" w:space="0" w:color="auto"/>
            </w:tcBorders>
            <w:shd w:val="clear" w:color="auto" w:fill="auto"/>
            <w:noWrap/>
            <w:vAlign w:val="bottom"/>
          </w:tcPr>
          <w:p w14:paraId="26ABD0EB" w14:textId="77777777" w:rsidR="0013311C" w:rsidRPr="00BC51B1" w:rsidRDefault="0013311C" w:rsidP="004227B9">
            <w:pPr>
              <w:spacing w:before="0"/>
              <w:jc w:val="right"/>
              <w:rPr>
                <w:rFonts w:ascii="Calibri" w:eastAsia="Times New Roman" w:hAnsi="Calibri"/>
                <w:color w:val="000000"/>
                <w:sz w:val="20"/>
                <w:szCs w:val="20"/>
                <w:lang w:eastAsia="en-AU"/>
              </w:rPr>
            </w:pPr>
            <w:r>
              <w:rPr>
                <w:rFonts w:ascii="Calibri" w:eastAsia="Times New Roman" w:hAnsi="Calibri"/>
                <w:color w:val="000000"/>
                <w:sz w:val="20"/>
                <w:szCs w:val="20"/>
                <w:lang w:eastAsia="en-AU"/>
              </w:rPr>
              <w:t>21.1</w:t>
            </w:r>
          </w:p>
        </w:tc>
      </w:tr>
      <w:tr w:rsidR="0013311C" w:rsidRPr="00BC51B1" w14:paraId="26ABD0F0" w14:textId="77777777" w:rsidTr="00176847">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26ABD0ED" w14:textId="77777777" w:rsidR="0013311C" w:rsidRPr="00BC51B1" w:rsidRDefault="0013311C" w:rsidP="004227B9">
            <w:pPr>
              <w:spacing w:before="60"/>
              <w:rPr>
                <w:rFonts w:ascii="Calibri" w:eastAsia="Times New Roman" w:hAnsi="Calibri"/>
                <w:color w:val="000000"/>
                <w:sz w:val="20"/>
                <w:szCs w:val="20"/>
                <w:lang w:eastAsia="en-AU"/>
              </w:rPr>
            </w:pPr>
            <w:r>
              <w:rPr>
                <w:rFonts w:ascii="Calibri" w:eastAsia="Times New Roman" w:hAnsi="Calibri"/>
                <w:color w:val="000000"/>
                <w:sz w:val="20"/>
                <w:szCs w:val="20"/>
                <w:lang w:eastAsia="en-AU"/>
              </w:rPr>
              <w:t>RFA review 2014</w:t>
            </w:r>
          </w:p>
        </w:tc>
        <w:tc>
          <w:tcPr>
            <w:tcW w:w="1560" w:type="dxa"/>
            <w:tcBorders>
              <w:top w:val="single" w:sz="4" w:space="0" w:color="auto"/>
              <w:left w:val="single" w:sz="4" w:space="0" w:color="auto"/>
              <w:bottom w:val="single" w:sz="4" w:space="0" w:color="auto"/>
              <w:right w:val="nil"/>
            </w:tcBorders>
            <w:shd w:val="clear" w:color="auto" w:fill="auto"/>
            <w:noWrap/>
            <w:vAlign w:val="bottom"/>
            <w:hideMark/>
          </w:tcPr>
          <w:p w14:paraId="26ABD0EE" w14:textId="77777777" w:rsidR="0013311C" w:rsidRPr="00BC51B1" w:rsidRDefault="0013311C" w:rsidP="004227B9">
            <w:pPr>
              <w:spacing w:before="0"/>
              <w:jc w:val="right"/>
              <w:rPr>
                <w:rFonts w:ascii="Calibri" w:eastAsia="Times New Roman" w:hAnsi="Calibri"/>
                <w:color w:val="000000"/>
                <w:sz w:val="20"/>
                <w:szCs w:val="20"/>
                <w:lang w:eastAsia="en-AU"/>
              </w:rPr>
            </w:pPr>
            <w:r>
              <w:rPr>
                <w:rFonts w:ascii="Calibri" w:eastAsia="Times New Roman" w:hAnsi="Calibri"/>
                <w:color w:val="000000"/>
                <w:sz w:val="20"/>
                <w:szCs w:val="20"/>
                <w:lang w:eastAsia="en-AU"/>
              </w:rPr>
              <w:t>902,940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BD0EF" w14:textId="77777777" w:rsidR="0013311C" w:rsidRPr="00BC51B1" w:rsidRDefault="0013311C" w:rsidP="004227B9">
            <w:pPr>
              <w:spacing w:before="0"/>
              <w:jc w:val="right"/>
              <w:rPr>
                <w:rFonts w:ascii="Calibri" w:eastAsia="Times New Roman" w:hAnsi="Calibri"/>
                <w:color w:val="000000"/>
                <w:sz w:val="20"/>
                <w:szCs w:val="20"/>
                <w:lang w:eastAsia="en-AU"/>
              </w:rPr>
            </w:pPr>
            <w:r>
              <w:rPr>
                <w:rFonts w:ascii="Calibri" w:eastAsia="Times New Roman" w:hAnsi="Calibri"/>
                <w:color w:val="000000"/>
                <w:sz w:val="20"/>
                <w:szCs w:val="20"/>
                <w:lang w:eastAsia="en-AU"/>
              </w:rPr>
              <w:t>21.2</w:t>
            </w:r>
          </w:p>
        </w:tc>
      </w:tr>
      <w:tr w:rsidR="0013311C" w:rsidRPr="00BC51B1" w14:paraId="26ABD0F4" w14:textId="77777777" w:rsidTr="00176847">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26ABD0F1" w14:textId="77777777" w:rsidR="0013311C" w:rsidRPr="00BC51B1" w:rsidRDefault="0013311C" w:rsidP="004227B9">
            <w:pPr>
              <w:spacing w:before="60"/>
              <w:rPr>
                <w:rFonts w:ascii="Calibri" w:eastAsia="Times New Roman" w:hAnsi="Calibri"/>
                <w:color w:val="000000"/>
                <w:sz w:val="20"/>
                <w:szCs w:val="20"/>
                <w:lang w:eastAsia="en-AU"/>
              </w:rPr>
            </w:pPr>
            <w:r>
              <w:rPr>
                <w:rFonts w:ascii="Calibri" w:eastAsia="Times New Roman" w:hAnsi="Calibri"/>
                <w:color w:val="000000"/>
                <w:sz w:val="20"/>
                <w:szCs w:val="20"/>
                <w:lang w:eastAsia="en-AU"/>
              </w:rPr>
              <w:t>Current area to June 2018</w:t>
            </w:r>
          </w:p>
        </w:tc>
        <w:tc>
          <w:tcPr>
            <w:tcW w:w="1560" w:type="dxa"/>
            <w:tcBorders>
              <w:top w:val="single" w:sz="4" w:space="0" w:color="auto"/>
              <w:left w:val="single" w:sz="4" w:space="0" w:color="auto"/>
              <w:bottom w:val="single" w:sz="4" w:space="0" w:color="auto"/>
              <w:right w:val="nil"/>
            </w:tcBorders>
            <w:shd w:val="clear" w:color="auto" w:fill="auto"/>
            <w:noWrap/>
            <w:vAlign w:val="bottom"/>
            <w:hideMark/>
          </w:tcPr>
          <w:p w14:paraId="26ABD0F2" w14:textId="77777777" w:rsidR="0013311C" w:rsidRPr="00BC51B1" w:rsidRDefault="0013311C" w:rsidP="004227B9">
            <w:pPr>
              <w:spacing w:before="0"/>
              <w:jc w:val="right"/>
              <w:rPr>
                <w:rFonts w:ascii="Calibri" w:eastAsia="Times New Roman" w:hAnsi="Calibri"/>
                <w:color w:val="000000"/>
                <w:sz w:val="20"/>
                <w:szCs w:val="20"/>
                <w:lang w:eastAsia="en-AU"/>
              </w:rPr>
            </w:pPr>
            <w:r>
              <w:rPr>
                <w:rFonts w:ascii="Calibri" w:eastAsia="Times New Roman" w:hAnsi="Calibri"/>
                <w:color w:val="000000"/>
                <w:sz w:val="20"/>
                <w:szCs w:val="20"/>
                <w:lang w:eastAsia="en-AU"/>
              </w:rPr>
              <w:t>903,430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BD0F3" w14:textId="77777777" w:rsidR="0013311C" w:rsidRPr="00BC51B1" w:rsidRDefault="0013311C" w:rsidP="004227B9">
            <w:pPr>
              <w:spacing w:before="0"/>
              <w:jc w:val="right"/>
              <w:rPr>
                <w:rFonts w:ascii="Calibri" w:eastAsia="Times New Roman" w:hAnsi="Calibri"/>
                <w:color w:val="000000"/>
                <w:sz w:val="20"/>
                <w:szCs w:val="20"/>
                <w:lang w:eastAsia="en-AU"/>
              </w:rPr>
            </w:pPr>
            <w:r>
              <w:rPr>
                <w:rFonts w:ascii="Calibri" w:eastAsia="Times New Roman" w:hAnsi="Calibri"/>
                <w:color w:val="000000"/>
                <w:sz w:val="20"/>
                <w:szCs w:val="20"/>
                <w:lang w:eastAsia="en-AU"/>
              </w:rPr>
              <w:t>21.2</w:t>
            </w:r>
          </w:p>
        </w:tc>
      </w:tr>
    </w:tbl>
    <w:p w14:paraId="26ABD0F5" w14:textId="77777777" w:rsidR="0013311C" w:rsidRPr="003D4B35" w:rsidRDefault="0013311C" w:rsidP="00176847">
      <w:pPr>
        <w:ind w:left="1440" w:firstLine="545"/>
        <w:rPr>
          <w:rFonts w:ascii="Verdana" w:hAnsi="Verdana"/>
          <w:sz w:val="14"/>
          <w:szCs w:val="14"/>
        </w:rPr>
      </w:pPr>
      <w:r w:rsidRPr="003D4B35">
        <w:rPr>
          <w:rFonts w:ascii="Verdana" w:hAnsi="Verdana"/>
          <w:sz w:val="14"/>
          <w:szCs w:val="14"/>
        </w:rPr>
        <w:t>Source: DBCA</w:t>
      </w:r>
    </w:p>
    <w:p w14:paraId="26ABD0F6" w14:textId="77777777" w:rsidR="00E40B48" w:rsidRPr="00CE60B2" w:rsidRDefault="00E40B48" w:rsidP="008A4979">
      <w:pPr>
        <w:pStyle w:val="Heading4"/>
        <w:rPr>
          <w:rFonts w:cs="Segoe UI"/>
          <w:lang w:eastAsia="ja-JP"/>
        </w:rPr>
      </w:pPr>
      <w:r w:rsidRPr="00CE60B2">
        <w:rPr>
          <w:rFonts w:cs="Segoe UI"/>
          <w:lang w:eastAsia="ja-JP"/>
        </w:rPr>
        <w:t>Area harvested</w:t>
      </w:r>
    </w:p>
    <w:p w14:paraId="26ABD0F7" w14:textId="77777777" w:rsidR="00C33042" w:rsidRDefault="00E40B48" w:rsidP="00C33042">
      <w:pPr>
        <w:rPr>
          <w:rFonts w:cs="Segoe UI"/>
          <w:lang w:eastAsia="ja-JP"/>
        </w:rPr>
      </w:pPr>
      <w:r w:rsidRPr="00CE60B2">
        <w:rPr>
          <w:rFonts w:cs="Segoe UI"/>
          <w:lang w:eastAsia="ja-JP"/>
        </w:rPr>
        <w:t>The area of native forest harvested on public land in the WA RFA region varies from year to year, influenced by a range of factors including forest type and structure being harvested, market conditions and the silvicultur</w:t>
      </w:r>
      <w:r w:rsidR="0056204C">
        <w:rPr>
          <w:rFonts w:cs="Segoe UI"/>
          <w:lang w:eastAsia="ja-JP"/>
        </w:rPr>
        <w:t>e</w:t>
      </w:r>
      <w:r w:rsidRPr="00CE60B2">
        <w:rPr>
          <w:rFonts w:cs="Segoe UI"/>
          <w:lang w:eastAsia="ja-JP"/>
        </w:rPr>
        <w:t xml:space="preserve"> </w:t>
      </w:r>
      <w:r w:rsidR="0056204C">
        <w:rPr>
          <w:rFonts w:cs="Segoe UI"/>
          <w:lang w:eastAsia="ja-JP"/>
        </w:rPr>
        <w:t>objectives</w:t>
      </w:r>
      <w:r w:rsidRPr="00CE60B2">
        <w:rPr>
          <w:rFonts w:cs="Segoe UI"/>
          <w:lang w:eastAsia="ja-JP"/>
        </w:rPr>
        <w:t xml:space="preserve"> being applied.</w:t>
      </w:r>
      <w:r w:rsidR="00C33042">
        <w:rPr>
          <w:rFonts w:cs="Segoe UI"/>
          <w:lang w:eastAsia="ja-JP"/>
        </w:rPr>
        <w:t xml:space="preserve"> The area harvested is reported annually in the FPC and DBCA annual reports.</w:t>
      </w:r>
    </w:p>
    <w:p w14:paraId="26ABD0F8" w14:textId="77777777" w:rsidR="00FA0ACC" w:rsidRDefault="00FA0ACC" w:rsidP="00FA0ACC">
      <w:pPr>
        <w:rPr>
          <w:lang w:eastAsia="ja-JP"/>
        </w:rPr>
      </w:pPr>
      <w:r>
        <w:rPr>
          <w:lang w:eastAsia="ja-JP"/>
        </w:rPr>
        <w:t xml:space="preserve">The </w:t>
      </w:r>
      <w:r w:rsidR="00FD28ED">
        <w:rPr>
          <w:lang w:eastAsia="ja-JP"/>
        </w:rPr>
        <w:t xml:space="preserve">annual </w:t>
      </w:r>
      <w:r>
        <w:rPr>
          <w:lang w:eastAsia="ja-JP"/>
        </w:rPr>
        <w:t xml:space="preserve">area of public native forest harvested </w:t>
      </w:r>
      <w:r w:rsidR="00C33042">
        <w:rPr>
          <w:lang w:eastAsia="ja-JP"/>
        </w:rPr>
        <w:t xml:space="preserve">dropped significantly after </w:t>
      </w:r>
      <w:r w:rsidR="00C33042">
        <w:t xml:space="preserve">the introduction of the </w:t>
      </w:r>
      <w:r w:rsidR="00C33042" w:rsidRPr="002D6DC7">
        <w:rPr>
          <w:i/>
        </w:rPr>
        <w:t xml:space="preserve">Protecting our </w:t>
      </w:r>
      <w:r w:rsidR="007416C5">
        <w:rPr>
          <w:i/>
        </w:rPr>
        <w:t>O</w:t>
      </w:r>
      <w:r w:rsidR="00C33042" w:rsidRPr="002D6DC7">
        <w:rPr>
          <w:i/>
        </w:rPr>
        <w:t xml:space="preserve">ld-growth </w:t>
      </w:r>
      <w:r w:rsidR="007416C5">
        <w:rPr>
          <w:i/>
        </w:rPr>
        <w:t>F</w:t>
      </w:r>
      <w:r w:rsidR="00C33042" w:rsidRPr="002D6DC7">
        <w:rPr>
          <w:i/>
        </w:rPr>
        <w:t>orests</w:t>
      </w:r>
      <w:r w:rsidR="00C33042">
        <w:t xml:space="preserve"> policy</w:t>
      </w:r>
      <w:r w:rsidR="00C33042" w:rsidRPr="002D6DC7">
        <w:t xml:space="preserve"> </w:t>
      </w:r>
      <w:r>
        <w:rPr>
          <w:lang w:eastAsia="ja-JP"/>
        </w:rPr>
        <w:t xml:space="preserve">(Table </w:t>
      </w:r>
      <w:r w:rsidR="00DD376C">
        <w:rPr>
          <w:lang w:eastAsia="ja-JP"/>
        </w:rPr>
        <w:t>20</w:t>
      </w:r>
      <w:r>
        <w:rPr>
          <w:lang w:eastAsia="ja-JP"/>
        </w:rPr>
        <w:t xml:space="preserve">) </w:t>
      </w:r>
      <w:r w:rsidR="00C33042">
        <w:rPr>
          <w:lang w:eastAsia="ja-JP"/>
        </w:rPr>
        <w:t xml:space="preserve">and </w:t>
      </w:r>
      <w:r>
        <w:rPr>
          <w:lang w:eastAsia="ja-JP"/>
        </w:rPr>
        <w:t xml:space="preserve">has continued to contract as the net available area and sustained yield levels have been revised to accommodate additions to the conservation estate. </w:t>
      </w:r>
      <w:r w:rsidR="00FD28ED">
        <w:rPr>
          <w:lang w:eastAsia="ja-JP"/>
        </w:rPr>
        <w:t xml:space="preserve">Throughout the period of </w:t>
      </w:r>
      <w:r>
        <w:rPr>
          <w:lang w:eastAsia="ja-JP"/>
        </w:rPr>
        <w:t xml:space="preserve">the WA RFA the area harvested </w:t>
      </w:r>
      <w:r w:rsidR="001F09B1">
        <w:rPr>
          <w:lang w:eastAsia="ja-JP"/>
        </w:rPr>
        <w:t xml:space="preserve">each year </w:t>
      </w:r>
      <w:r>
        <w:rPr>
          <w:lang w:eastAsia="ja-JP"/>
        </w:rPr>
        <w:t xml:space="preserve">has always remained </w:t>
      </w:r>
      <w:r w:rsidR="00F727D9">
        <w:rPr>
          <w:lang w:eastAsia="ja-JP"/>
        </w:rPr>
        <w:t>below</w:t>
      </w:r>
      <w:r>
        <w:rPr>
          <w:lang w:eastAsia="ja-JP"/>
        </w:rPr>
        <w:t xml:space="preserve"> 1.5 per cent of the area available for wood production.</w:t>
      </w:r>
    </w:p>
    <w:p w14:paraId="26ABD0F9" w14:textId="21CC763A" w:rsidR="00D934F4" w:rsidRDefault="00D934F4" w:rsidP="00D934F4">
      <w:pPr>
        <w:pStyle w:val="Caption"/>
        <w:keepNext/>
      </w:pPr>
      <w:bookmarkStart w:id="113" w:name="_Toc531002181"/>
      <w:r>
        <w:t xml:space="preserve">Table </w:t>
      </w:r>
      <w:r w:rsidR="0002253A">
        <w:rPr>
          <w:noProof/>
        </w:rPr>
        <w:fldChar w:fldCharType="begin"/>
      </w:r>
      <w:r w:rsidR="0002253A">
        <w:rPr>
          <w:noProof/>
        </w:rPr>
        <w:instrText xml:space="preserve"> SEQ Table \* ARABIC </w:instrText>
      </w:r>
      <w:r w:rsidR="0002253A">
        <w:rPr>
          <w:noProof/>
        </w:rPr>
        <w:fldChar w:fldCharType="separate"/>
      </w:r>
      <w:r w:rsidR="003C7091">
        <w:rPr>
          <w:noProof/>
        </w:rPr>
        <w:t>20</w:t>
      </w:r>
      <w:r w:rsidR="0002253A">
        <w:rPr>
          <w:noProof/>
        </w:rPr>
        <w:fldChar w:fldCharType="end"/>
      </w:r>
      <w:r>
        <w:t xml:space="preserve">: </w:t>
      </w:r>
      <w:r w:rsidRPr="00EE219D">
        <w:t>Native forest average annual area harvested within the WA RFA region at each of the reporting periods.</w:t>
      </w:r>
      <w:bookmarkEnd w:id="113"/>
    </w:p>
    <w:tbl>
      <w:tblPr>
        <w:tblW w:w="5637" w:type="dxa"/>
        <w:jc w:val="center"/>
        <w:tblLook w:val="04A0" w:firstRow="1" w:lastRow="0" w:firstColumn="1" w:lastColumn="0" w:noHBand="0" w:noVBand="1"/>
      </w:tblPr>
      <w:tblGrid>
        <w:gridCol w:w="2263"/>
        <w:gridCol w:w="1531"/>
        <w:gridCol w:w="1843"/>
      </w:tblGrid>
      <w:tr w:rsidR="00FA0ACC" w:rsidRPr="00BC51B1" w14:paraId="26ABD0FD" w14:textId="77777777" w:rsidTr="00176847">
        <w:trPr>
          <w:trHeight w:val="576"/>
          <w:jc w:val="center"/>
        </w:trPr>
        <w:tc>
          <w:tcPr>
            <w:tcW w:w="2263" w:type="dxa"/>
            <w:tcBorders>
              <w:top w:val="single" w:sz="4" w:space="0" w:color="auto"/>
              <w:left w:val="single" w:sz="4" w:space="0" w:color="auto"/>
              <w:bottom w:val="single" w:sz="4" w:space="0" w:color="000000"/>
              <w:right w:val="single" w:sz="4" w:space="0" w:color="auto"/>
            </w:tcBorders>
            <w:shd w:val="clear" w:color="auto" w:fill="DFEFE1" w:themeFill="accent3" w:themeFillTint="66"/>
            <w:vAlign w:val="bottom"/>
            <w:hideMark/>
          </w:tcPr>
          <w:p w14:paraId="26ABD0FA" w14:textId="77777777" w:rsidR="00FA0ACC" w:rsidRPr="00BC51B1" w:rsidRDefault="00FA0ACC" w:rsidP="004227B9">
            <w:pPr>
              <w:spacing w:before="0"/>
              <w:rPr>
                <w:rFonts w:ascii="Calibri" w:eastAsia="Times New Roman" w:hAnsi="Calibri"/>
                <w:b/>
                <w:bCs/>
                <w:color w:val="000000"/>
                <w:sz w:val="20"/>
                <w:szCs w:val="20"/>
                <w:lang w:eastAsia="en-AU"/>
              </w:rPr>
            </w:pPr>
            <w:r>
              <w:rPr>
                <w:rFonts w:ascii="Arial" w:hAnsi="Arial" w:cs="Arial"/>
                <w:sz w:val="20"/>
                <w:szCs w:val="20"/>
                <w:lang w:eastAsia="en-AU"/>
              </w:rPr>
              <w:t>Years of harvest</w:t>
            </w:r>
          </w:p>
        </w:tc>
        <w:tc>
          <w:tcPr>
            <w:tcW w:w="1531" w:type="dxa"/>
            <w:tcBorders>
              <w:top w:val="single" w:sz="4" w:space="0" w:color="auto"/>
              <w:left w:val="single" w:sz="4" w:space="0" w:color="auto"/>
              <w:bottom w:val="single" w:sz="4" w:space="0" w:color="000000"/>
              <w:right w:val="nil"/>
            </w:tcBorders>
            <w:shd w:val="clear" w:color="auto" w:fill="DFEFE1" w:themeFill="accent3" w:themeFillTint="66"/>
            <w:vAlign w:val="bottom"/>
            <w:hideMark/>
          </w:tcPr>
          <w:p w14:paraId="26ABD0FB" w14:textId="77777777" w:rsidR="00FA0ACC" w:rsidRPr="00BC51B1" w:rsidRDefault="00FA0ACC" w:rsidP="004227B9">
            <w:pPr>
              <w:spacing w:before="0"/>
              <w:jc w:val="center"/>
              <w:rPr>
                <w:rFonts w:ascii="Calibri" w:eastAsia="Times New Roman" w:hAnsi="Calibri"/>
                <w:b/>
                <w:bCs/>
                <w:color w:val="000000"/>
                <w:sz w:val="20"/>
                <w:szCs w:val="20"/>
                <w:lang w:eastAsia="en-AU"/>
              </w:rPr>
            </w:pPr>
            <w:r>
              <w:rPr>
                <w:rFonts w:ascii="Arial" w:hAnsi="Arial" w:cs="Arial"/>
                <w:sz w:val="20"/>
                <w:szCs w:val="20"/>
                <w:lang w:eastAsia="en-AU"/>
              </w:rPr>
              <w:t>Average annual area harvested (ha)</w:t>
            </w:r>
          </w:p>
        </w:tc>
        <w:tc>
          <w:tcPr>
            <w:tcW w:w="1843" w:type="dxa"/>
            <w:tcBorders>
              <w:top w:val="single" w:sz="4" w:space="0" w:color="auto"/>
              <w:left w:val="single" w:sz="4" w:space="0" w:color="auto"/>
              <w:right w:val="single" w:sz="4" w:space="0" w:color="auto"/>
            </w:tcBorders>
            <w:shd w:val="clear" w:color="auto" w:fill="DFEFE1" w:themeFill="accent3" w:themeFillTint="66"/>
            <w:noWrap/>
            <w:vAlign w:val="bottom"/>
            <w:hideMark/>
          </w:tcPr>
          <w:p w14:paraId="26ABD0FC" w14:textId="77777777" w:rsidR="00FA0ACC" w:rsidRPr="00BC51B1" w:rsidRDefault="00FA0ACC" w:rsidP="004227B9">
            <w:pPr>
              <w:spacing w:before="0"/>
              <w:jc w:val="center"/>
              <w:rPr>
                <w:rFonts w:ascii="Calibri" w:eastAsia="Times New Roman" w:hAnsi="Calibri"/>
                <w:b/>
                <w:bCs/>
                <w:color w:val="000000"/>
                <w:sz w:val="20"/>
                <w:szCs w:val="20"/>
                <w:lang w:eastAsia="en-AU"/>
              </w:rPr>
            </w:pPr>
            <w:r>
              <w:rPr>
                <w:rFonts w:ascii="Arial" w:hAnsi="Arial" w:cs="Arial"/>
                <w:sz w:val="20"/>
                <w:szCs w:val="20"/>
                <w:lang w:eastAsia="en-AU"/>
              </w:rPr>
              <w:t>Proportion of area available for wood production (%)</w:t>
            </w:r>
          </w:p>
        </w:tc>
      </w:tr>
      <w:tr w:rsidR="00FA0ACC" w:rsidRPr="00BC51B1" w14:paraId="26ABD101" w14:textId="77777777" w:rsidTr="00176847">
        <w:trPr>
          <w:trHeight w:val="300"/>
          <w:jc w:val="center"/>
        </w:trPr>
        <w:tc>
          <w:tcPr>
            <w:tcW w:w="2263" w:type="dxa"/>
            <w:tcBorders>
              <w:top w:val="single" w:sz="4" w:space="0" w:color="auto"/>
              <w:left w:val="single" w:sz="4" w:space="0" w:color="auto"/>
              <w:right w:val="single" w:sz="4" w:space="0" w:color="auto"/>
            </w:tcBorders>
            <w:shd w:val="clear" w:color="auto" w:fill="auto"/>
            <w:vAlign w:val="bottom"/>
            <w:hideMark/>
          </w:tcPr>
          <w:p w14:paraId="26ABD0FE" w14:textId="77777777" w:rsidR="00FA0ACC" w:rsidRPr="00BC51B1" w:rsidRDefault="00FA0ACC" w:rsidP="004227B9">
            <w:pPr>
              <w:spacing w:before="60"/>
              <w:rPr>
                <w:rFonts w:ascii="Calibri" w:eastAsia="Times New Roman" w:hAnsi="Calibri"/>
                <w:color w:val="000000"/>
                <w:sz w:val="20"/>
                <w:szCs w:val="20"/>
                <w:lang w:eastAsia="en-AU"/>
              </w:rPr>
            </w:pPr>
            <w:r>
              <w:rPr>
                <w:rFonts w:ascii="Arial" w:hAnsi="Arial" w:cs="Arial"/>
                <w:sz w:val="20"/>
                <w:szCs w:val="20"/>
                <w:lang w:eastAsia="en-AU"/>
              </w:rPr>
              <w:t>1999-2003</w:t>
            </w:r>
          </w:p>
        </w:tc>
        <w:tc>
          <w:tcPr>
            <w:tcW w:w="1531" w:type="dxa"/>
            <w:tcBorders>
              <w:top w:val="single" w:sz="4" w:space="0" w:color="auto"/>
              <w:left w:val="single" w:sz="4" w:space="0" w:color="auto"/>
              <w:bottom w:val="nil"/>
              <w:right w:val="nil"/>
            </w:tcBorders>
            <w:shd w:val="clear" w:color="auto" w:fill="auto"/>
            <w:noWrap/>
            <w:vAlign w:val="bottom"/>
            <w:hideMark/>
          </w:tcPr>
          <w:p w14:paraId="26ABD0FF" w14:textId="77777777" w:rsidR="00FA0ACC" w:rsidRPr="00BC51B1" w:rsidRDefault="00FA0ACC" w:rsidP="004227B9">
            <w:pPr>
              <w:spacing w:before="0"/>
              <w:jc w:val="right"/>
              <w:rPr>
                <w:rFonts w:ascii="Calibri" w:eastAsia="Times New Roman" w:hAnsi="Calibri"/>
                <w:color w:val="000000"/>
                <w:sz w:val="20"/>
                <w:szCs w:val="20"/>
                <w:lang w:eastAsia="en-AU"/>
              </w:rPr>
            </w:pPr>
            <w:r>
              <w:rPr>
                <w:rFonts w:ascii="Arial" w:hAnsi="Arial" w:cs="Arial"/>
                <w:sz w:val="20"/>
                <w:szCs w:val="20"/>
                <w:lang w:eastAsia="en-AU"/>
              </w:rPr>
              <w:t>15,337</w:t>
            </w:r>
          </w:p>
        </w:tc>
        <w:tc>
          <w:tcPr>
            <w:tcW w:w="1843" w:type="dxa"/>
            <w:tcBorders>
              <w:top w:val="single" w:sz="4" w:space="0" w:color="auto"/>
              <w:left w:val="single" w:sz="4" w:space="0" w:color="auto"/>
              <w:bottom w:val="nil"/>
              <w:right w:val="single" w:sz="4" w:space="0" w:color="auto"/>
            </w:tcBorders>
            <w:shd w:val="clear" w:color="auto" w:fill="auto"/>
            <w:noWrap/>
            <w:vAlign w:val="bottom"/>
          </w:tcPr>
          <w:p w14:paraId="26ABD100" w14:textId="77777777" w:rsidR="00FA0ACC" w:rsidRPr="00BC51B1" w:rsidRDefault="00FA0ACC" w:rsidP="004227B9">
            <w:pPr>
              <w:spacing w:before="0"/>
              <w:jc w:val="right"/>
              <w:rPr>
                <w:rFonts w:ascii="Calibri" w:eastAsia="Times New Roman" w:hAnsi="Calibri"/>
                <w:color w:val="000000"/>
                <w:sz w:val="20"/>
                <w:szCs w:val="20"/>
                <w:lang w:eastAsia="en-AU"/>
              </w:rPr>
            </w:pPr>
            <w:r>
              <w:rPr>
                <w:rFonts w:ascii="Arial" w:hAnsi="Arial" w:cs="Arial"/>
                <w:sz w:val="20"/>
                <w:szCs w:val="20"/>
                <w:lang w:eastAsia="en-AU"/>
              </w:rPr>
              <w:t>1.3</w:t>
            </w:r>
          </w:p>
        </w:tc>
      </w:tr>
      <w:tr w:rsidR="00FA0ACC" w:rsidRPr="00BC51B1" w14:paraId="26ABD105" w14:textId="77777777" w:rsidTr="00176847">
        <w:trPr>
          <w:trHeight w:val="300"/>
          <w:jc w:val="center"/>
        </w:trPr>
        <w:tc>
          <w:tcPr>
            <w:tcW w:w="2263" w:type="dxa"/>
            <w:tcBorders>
              <w:top w:val="single" w:sz="4" w:space="0" w:color="auto"/>
              <w:left w:val="single" w:sz="4" w:space="0" w:color="auto"/>
              <w:right w:val="single" w:sz="4" w:space="0" w:color="auto"/>
            </w:tcBorders>
            <w:shd w:val="clear" w:color="auto" w:fill="auto"/>
            <w:vAlign w:val="bottom"/>
            <w:hideMark/>
          </w:tcPr>
          <w:p w14:paraId="26ABD102" w14:textId="77777777" w:rsidR="00FA0ACC" w:rsidRPr="00BC51B1" w:rsidRDefault="00FA0ACC" w:rsidP="004227B9">
            <w:pPr>
              <w:spacing w:before="60"/>
              <w:rPr>
                <w:rFonts w:ascii="Calibri" w:eastAsia="Times New Roman" w:hAnsi="Calibri"/>
                <w:color w:val="000000"/>
                <w:sz w:val="20"/>
                <w:szCs w:val="20"/>
                <w:lang w:eastAsia="en-AU"/>
              </w:rPr>
            </w:pPr>
            <w:r>
              <w:rPr>
                <w:rFonts w:ascii="Arial" w:hAnsi="Arial" w:cs="Arial"/>
                <w:sz w:val="20"/>
                <w:szCs w:val="20"/>
                <w:lang w:eastAsia="en-AU"/>
              </w:rPr>
              <w:t>2004-2008</w:t>
            </w:r>
          </w:p>
        </w:tc>
        <w:tc>
          <w:tcPr>
            <w:tcW w:w="1531" w:type="dxa"/>
            <w:tcBorders>
              <w:top w:val="single" w:sz="4" w:space="0" w:color="auto"/>
              <w:left w:val="single" w:sz="4" w:space="0" w:color="auto"/>
              <w:bottom w:val="nil"/>
              <w:right w:val="nil"/>
            </w:tcBorders>
            <w:shd w:val="clear" w:color="auto" w:fill="auto"/>
            <w:noWrap/>
            <w:vAlign w:val="bottom"/>
            <w:hideMark/>
          </w:tcPr>
          <w:p w14:paraId="26ABD103" w14:textId="77777777" w:rsidR="00FA0ACC" w:rsidRPr="00BC51B1" w:rsidRDefault="00FA0ACC" w:rsidP="004227B9">
            <w:pPr>
              <w:spacing w:before="0"/>
              <w:jc w:val="right"/>
              <w:rPr>
                <w:rFonts w:ascii="Calibri" w:eastAsia="Times New Roman" w:hAnsi="Calibri"/>
                <w:color w:val="000000"/>
                <w:sz w:val="20"/>
                <w:szCs w:val="20"/>
                <w:lang w:eastAsia="en-AU"/>
              </w:rPr>
            </w:pPr>
            <w:r>
              <w:rPr>
                <w:rFonts w:ascii="Arial" w:hAnsi="Arial" w:cs="Arial"/>
                <w:sz w:val="20"/>
                <w:szCs w:val="20"/>
                <w:lang w:eastAsia="en-AU"/>
              </w:rPr>
              <w:t>8,473</w:t>
            </w:r>
          </w:p>
        </w:tc>
        <w:tc>
          <w:tcPr>
            <w:tcW w:w="1843" w:type="dxa"/>
            <w:tcBorders>
              <w:top w:val="single" w:sz="4" w:space="0" w:color="auto"/>
              <w:left w:val="single" w:sz="4" w:space="0" w:color="auto"/>
              <w:bottom w:val="nil"/>
              <w:right w:val="single" w:sz="4" w:space="0" w:color="auto"/>
            </w:tcBorders>
            <w:shd w:val="clear" w:color="auto" w:fill="auto"/>
            <w:noWrap/>
            <w:vAlign w:val="bottom"/>
          </w:tcPr>
          <w:p w14:paraId="26ABD104" w14:textId="77777777" w:rsidR="00FA0ACC" w:rsidRPr="00BC51B1" w:rsidRDefault="00FA0ACC" w:rsidP="004227B9">
            <w:pPr>
              <w:spacing w:before="0"/>
              <w:jc w:val="right"/>
              <w:rPr>
                <w:rFonts w:ascii="Calibri" w:eastAsia="Times New Roman" w:hAnsi="Calibri"/>
                <w:color w:val="000000"/>
                <w:sz w:val="20"/>
                <w:szCs w:val="20"/>
                <w:lang w:eastAsia="en-AU"/>
              </w:rPr>
            </w:pPr>
            <w:r>
              <w:rPr>
                <w:rFonts w:ascii="Arial" w:hAnsi="Arial" w:cs="Arial"/>
                <w:sz w:val="20"/>
                <w:szCs w:val="20"/>
                <w:lang w:eastAsia="en-AU"/>
              </w:rPr>
              <w:t>0.9</w:t>
            </w:r>
          </w:p>
        </w:tc>
      </w:tr>
      <w:tr w:rsidR="00FA0ACC" w:rsidRPr="00BC51B1" w14:paraId="26ABD109" w14:textId="77777777" w:rsidTr="00176847">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ABD106" w14:textId="77777777" w:rsidR="00FA0ACC" w:rsidRPr="00BC51B1" w:rsidRDefault="00FA0ACC" w:rsidP="004227B9">
            <w:pPr>
              <w:spacing w:before="60"/>
              <w:rPr>
                <w:rFonts w:ascii="Calibri" w:eastAsia="Times New Roman" w:hAnsi="Calibri"/>
                <w:color w:val="000000"/>
                <w:sz w:val="20"/>
                <w:szCs w:val="20"/>
                <w:lang w:eastAsia="en-AU"/>
              </w:rPr>
            </w:pPr>
            <w:r>
              <w:rPr>
                <w:rFonts w:ascii="Arial" w:hAnsi="Arial" w:cs="Arial"/>
                <w:sz w:val="20"/>
                <w:szCs w:val="20"/>
                <w:lang w:eastAsia="en-AU"/>
              </w:rPr>
              <w:t>2009-2013</w:t>
            </w:r>
          </w:p>
        </w:tc>
        <w:tc>
          <w:tcPr>
            <w:tcW w:w="1531" w:type="dxa"/>
            <w:tcBorders>
              <w:top w:val="single" w:sz="4" w:space="0" w:color="auto"/>
              <w:left w:val="single" w:sz="4" w:space="0" w:color="auto"/>
              <w:bottom w:val="single" w:sz="4" w:space="0" w:color="auto"/>
              <w:right w:val="nil"/>
            </w:tcBorders>
            <w:shd w:val="clear" w:color="auto" w:fill="auto"/>
            <w:noWrap/>
            <w:vAlign w:val="bottom"/>
            <w:hideMark/>
          </w:tcPr>
          <w:p w14:paraId="26ABD107" w14:textId="77777777" w:rsidR="00FA0ACC" w:rsidRPr="00BC51B1" w:rsidRDefault="00FA0ACC" w:rsidP="004227B9">
            <w:pPr>
              <w:spacing w:before="0"/>
              <w:jc w:val="right"/>
              <w:rPr>
                <w:rFonts w:ascii="Calibri" w:eastAsia="Times New Roman" w:hAnsi="Calibri"/>
                <w:color w:val="000000"/>
                <w:sz w:val="20"/>
                <w:szCs w:val="20"/>
                <w:lang w:eastAsia="en-AU"/>
              </w:rPr>
            </w:pPr>
            <w:r>
              <w:rPr>
                <w:rFonts w:ascii="Arial" w:hAnsi="Arial" w:cs="Arial"/>
                <w:sz w:val="20"/>
                <w:szCs w:val="20"/>
                <w:lang w:eastAsia="en-AU"/>
              </w:rPr>
              <w:t>7,780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BD108" w14:textId="77777777" w:rsidR="00FA0ACC" w:rsidRPr="00BC51B1" w:rsidRDefault="00FA0ACC" w:rsidP="004227B9">
            <w:pPr>
              <w:spacing w:before="0"/>
              <w:jc w:val="right"/>
              <w:rPr>
                <w:rFonts w:ascii="Calibri" w:eastAsia="Times New Roman" w:hAnsi="Calibri"/>
                <w:color w:val="000000"/>
                <w:sz w:val="20"/>
                <w:szCs w:val="20"/>
                <w:lang w:eastAsia="en-AU"/>
              </w:rPr>
            </w:pPr>
            <w:r>
              <w:rPr>
                <w:rFonts w:ascii="Arial" w:hAnsi="Arial" w:cs="Arial"/>
                <w:sz w:val="20"/>
                <w:szCs w:val="20"/>
                <w:lang w:eastAsia="en-AU"/>
              </w:rPr>
              <w:t>0.9</w:t>
            </w:r>
          </w:p>
        </w:tc>
      </w:tr>
      <w:tr w:rsidR="00FA0ACC" w:rsidRPr="00BC51B1" w14:paraId="26ABD10D" w14:textId="77777777" w:rsidTr="00176847">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ABD10A" w14:textId="77777777" w:rsidR="00FA0ACC" w:rsidRPr="00BC51B1" w:rsidRDefault="00FA0ACC" w:rsidP="004227B9">
            <w:pPr>
              <w:spacing w:before="60"/>
              <w:rPr>
                <w:rFonts w:ascii="Calibri" w:eastAsia="Times New Roman" w:hAnsi="Calibri"/>
                <w:color w:val="000000"/>
                <w:sz w:val="20"/>
                <w:szCs w:val="20"/>
                <w:lang w:eastAsia="en-AU"/>
              </w:rPr>
            </w:pPr>
            <w:r>
              <w:rPr>
                <w:rFonts w:ascii="Arial" w:hAnsi="Arial" w:cs="Arial"/>
                <w:sz w:val="20"/>
                <w:szCs w:val="20"/>
                <w:lang w:eastAsia="en-AU"/>
              </w:rPr>
              <w:t>2014-2017</w:t>
            </w:r>
          </w:p>
        </w:tc>
        <w:tc>
          <w:tcPr>
            <w:tcW w:w="1531" w:type="dxa"/>
            <w:tcBorders>
              <w:top w:val="single" w:sz="4" w:space="0" w:color="auto"/>
              <w:left w:val="single" w:sz="4" w:space="0" w:color="auto"/>
              <w:bottom w:val="single" w:sz="4" w:space="0" w:color="auto"/>
              <w:right w:val="nil"/>
            </w:tcBorders>
            <w:shd w:val="clear" w:color="auto" w:fill="auto"/>
            <w:noWrap/>
            <w:vAlign w:val="bottom"/>
            <w:hideMark/>
          </w:tcPr>
          <w:p w14:paraId="26ABD10B" w14:textId="77777777" w:rsidR="00FA0ACC" w:rsidRPr="00BC51B1" w:rsidRDefault="00FA0ACC" w:rsidP="004227B9">
            <w:pPr>
              <w:spacing w:before="0"/>
              <w:jc w:val="right"/>
              <w:rPr>
                <w:rFonts w:ascii="Calibri" w:eastAsia="Times New Roman" w:hAnsi="Calibri"/>
                <w:color w:val="000000"/>
                <w:sz w:val="20"/>
                <w:szCs w:val="20"/>
                <w:lang w:eastAsia="en-AU"/>
              </w:rPr>
            </w:pPr>
            <w:r>
              <w:rPr>
                <w:rFonts w:ascii="Arial" w:hAnsi="Arial" w:cs="Arial"/>
                <w:sz w:val="20"/>
                <w:szCs w:val="20"/>
                <w:lang w:eastAsia="en-AU"/>
              </w:rPr>
              <w:t>6,652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BD10C" w14:textId="77777777" w:rsidR="00FA0ACC" w:rsidRPr="00BC51B1" w:rsidRDefault="00FA0ACC" w:rsidP="004227B9">
            <w:pPr>
              <w:spacing w:before="0"/>
              <w:jc w:val="right"/>
              <w:rPr>
                <w:rFonts w:ascii="Calibri" w:eastAsia="Times New Roman" w:hAnsi="Calibri"/>
                <w:color w:val="000000"/>
                <w:sz w:val="20"/>
                <w:szCs w:val="20"/>
                <w:lang w:eastAsia="en-AU"/>
              </w:rPr>
            </w:pPr>
            <w:r>
              <w:rPr>
                <w:rFonts w:ascii="Arial" w:hAnsi="Arial" w:cs="Arial"/>
                <w:sz w:val="20"/>
                <w:szCs w:val="20"/>
                <w:lang w:eastAsia="en-AU"/>
              </w:rPr>
              <w:t>0.7</w:t>
            </w:r>
          </w:p>
        </w:tc>
      </w:tr>
    </w:tbl>
    <w:p w14:paraId="26ABD10E" w14:textId="77777777" w:rsidR="00FA0ACC" w:rsidRPr="003D4B35" w:rsidRDefault="00FA0ACC" w:rsidP="00176847">
      <w:pPr>
        <w:ind w:left="1440" w:firstLine="261"/>
        <w:rPr>
          <w:rFonts w:ascii="Verdana" w:hAnsi="Verdana"/>
          <w:sz w:val="14"/>
          <w:szCs w:val="14"/>
        </w:rPr>
      </w:pPr>
      <w:r w:rsidRPr="003D4B35">
        <w:rPr>
          <w:rFonts w:ascii="Verdana" w:hAnsi="Verdana"/>
          <w:sz w:val="14"/>
          <w:szCs w:val="14"/>
        </w:rPr>
        <w:t>Source: DBCA</w:t>
      </w:r>
    </w:p>
    <w:p w14:paraId="26ABD10F" w14:textId="77777777" w:rsidR="00E40B48" w:rsidRPr="00CE60B2" w:rsidRDefault="00E40B48" w:rsidP="008A4979">
      <w:pPr>
        <w:pStyle w:val="Heading4"/>
        <w:rPr>
          <w:rFonts w:cs="Segoe UI"/>
          <w:lang w:eastAsia="ja-JP"/>
        </w:rPr>
      </w:pPr>
      <w:r w:rsidRPr="00CE60B2">
        <w:rPr>
          <w:rFonts w:cs="Segoe UI"/>
          <w:lang w:eastAsia="ja-JP"/>
        </w:rPr>
        <w:t>Growing stock of merchantable and non-merchantable tree species</w:t>
      </w:r>
    </w:p>
    <w:p w14:paraId="26ABD110" w14:textId="77777777" w:rsidR="00737153" w:rsidRDefault="00D704C2" w:rsidP="00737153">
      <w:pPr>
        <w:spacing w:before="80" w:after="80"/>
        <w:rPr>
          <w:rFonts w:cs="Segoe UI"/>
          <w:lang w:eastAsia="ja-JP"/>
        </w:rPr>
      </w:pPr>
      <w:r>
        <w:rPr>
          <w:rFonts w:cs="Segoe UI"/>
          <w:lang w:eastAsia="ja-JP"/>
        </w:rPr>
        <w:t>Strategic inventory to estimate the growing stock of</w:t>
      </w:r>
      <w:r w:rsidR="00737153">
        <w:rPr>
          <w:rFonts w:cs="Segoe UI"/>
          <w:lang w:eastAsia="ja-JP"/>
        </w:rPr>
        <w:t xml:space="preserve"> native forest</w:t>
      </w:r>
      <w:r>
        <w:rPr>
          <w:rFonts w:cs="Segoe UI"/>
          <w:lang w:eastAsia="ja-JP"/>
        </w:rPr>
        <w:t>s</w:t>
      </w:r>
      <w:r w:rsidR="00737153">
        <w:rPr>
          <w:rFonts w:cs="Segoe UI"/>
          <w:lang w:eastAsia="ja-JP"/>
        </w:rPr>
        <w:t xml:space="preserve"> is maintained by DBCA</w:t>
      </w:r>
      <w:r>
        <w:rPr>
          <w:rFonts w:cs="Segoe UI"/>
          <w:lang w:eastAsia="ja-JP"/>
        </w:rPr>
        <w:t>, and informs</w:t>
      </w:r>
      <w:r w:rsidR="00737153">
        <w:rPr>
          <w:rFonts w:cs="Segoe UI"/>
          <w:lang w:eastAsia="ja-JP"/>
        </w:rPr>
        <w:t xml:space="preserve"> the </w:t>
      </w:r>
      <w:r>
        <w:rPr>
          <w:rFonts w:cs="Segoe UI"/>
          <w:lang w:eastAsia="ja-JP"/>
        </w:rPr>
        <w:t xml:space="preserve">calculation of </w:t>
      </w:r>
      <w:r w:rsidR="00737153">
        <w:rPr>
          <w:rFonts w:cs="Segoe UI"/>
          <w:lang w:eastAsia="ja-JP"/>
        </w:rPr>
        <w:t xml:space="preserve">sustained yields </w:t>
      </w:r>
      <w:r>
        <w:rPr>
          <w:rFonts w:cs="Segoe UI"/>
          <w:lang w:eastAsia="ja-JP"/>
        </w:rPr>
        <w:t>for each</w:t>
      </w:r>
      <w:r w:rsidR="00737153">
        <w:rPr>
          <w:rFonts w:cs="Segoe UI"/>
          <w:lang w:eastAsia="ja-JP"/>
        </w:rPr>
        <w:t xml:space="preserve"> FMP. Th</w:t>
      </w:r>
      <w:r>
        <w:rPr>
          <w:rFonts w:cs="Segoe UI"/>
          <w:lang w:eastAsia="ja-JP"/>
        </w:rPr>
        <w:t xml:space="preserve">e calculations </w:t>
      </w:r>
      <w:r w:rsidR="00737153">
        <w:rPr>
          <w:rFonts w:cs="Segoe UI"/>
          <w:lang w:eastAsia="ja-JP"/>
        </w:rPr>
        <w:t xml:space="preserve">include consideration of standing wood inventory, forest stratification and extent, future growth, past and future </w:t>
      </w:r>
      <w:r>
        <w:rPr>
          <w:rFonts w:cs="Segoe UI"/>
          <w:lang w:eastAsia="ja-JP"/>
        </w:rPr>
        <w:t xml:space="preserve">disease, pest and </w:t>
      </w:r>
      <w:r w:rsidR="00737153">
        <w:rPr>
          <w:rFonts w:cs="Segoe UI"/>
          <w:lang w:eastAsia="ja-JP"/>
        </w:rPr>
        <w:t xml:space="preserve">bushfire impacts </w:t>
      </w:r>
      <w:r>
        <w:rPr>
          <w:rFonts w:cs="Segoe UI"/>
          <w:lang w:eastAsia="ja-JP"/>
        </w:rPr>
        <w:t>(</w:t>
      </w:r>
      <w:r w:rsidR="00737153">
        <w:rPr>
          <w:rFonts w:cs="Segoe UI"/>
          <w:lang w:eastAsia="ja-JP"/>
        </w:rPr>
        <w:t>and related effects on tree mortality</w:t>
      </w:r>
      <w:r>
        <w:rPr>
          <w:rFonts w:cs="Segoe UI"/>
          <w:lang w:eastAsia="ja-JP"/>
        </w:rPr>
        <w:t>)</w:t>
      </w:r>
      <w:r w:rsidR="00737153">
        <w:rPr>
          <w:rFonts w:cs="Segoe UI"/>
          <w:lang w:eastAsia="ja-JP"/>
        </w:rPr>
        <w:t>.</w:t>
      </w:r>
    </w:p>
    <w:p w14:paraId="26ABD111" w14:textId="77777777" w:rsidR="00E40B48" w:rsidRDefault="00E40B48" w:rsidP="00E40B48">
      <w:pPr>
        <w:spacing w:before="80" w:after="80"/>
        <w:rPr>
          <w:rFonts w:cs="Segoe UI"/>
          <w:lang w:eastAsia="ja-JP"/>
        </w:rPr>
      </w:pPr>
      <w:r w:rsidRPr="00CE60B2">
        <w:rPr>
          <w:rFonts w:cs="Segoe UI"/>
          <w:lang w:eastAsia="ja-JP"/>
        </w:rPr>
        <w:t xml:space="preserve">The proportion of the total standing volume that is harvested each year also provides a broad indicator of the maintenance of the forest productive capacity. For example, </w:t>
      </w:r>
      <w:r w:rsidR="004321BB">
        <w:rPr>
          <w:rFonts w:cs="Segoe UI"/>
          <w:lang w:eastAsia="ja-JP"/>
        </w:rPr>
        <w:t xml:space="preserve">DBCA’s </w:t>
      </w:r>
      <w:r w:rsidR="00ED0283">
        <w:rPr>
          <w:rFonts w:cs="Segoe UI"/>
          <w:lang w:eastAsia="ja-JP"/>
        </w:rPr>
        <w:lastRenderedPageBreak/>
        <w:t>sustai</w:t>
      </w:r>
      <w:r w:rsidR="001861D1">
        <w:rPr>
          <w:rFonts w:cs="Segoe UI"/>
          <w:lang w:eastAsia="ja-JP"/>
        </w:rPr>
        <w:t>n</w:t>
      </w:r>
      <w:r w:rsidR="00FD28ED">
        <w:rPr>
          <w:rFonts w:cs="Segoe UI"/>
          <w:lang w:eastAsia="ja-JP"/>
        </w:rPr>
        <w:t>ed</w:t>
      </w:r>
      <w:r w:rsidR="001861D1">
        <w:rPr>
          <w:rFonts w:cs="Segoe UI"/>
          <w:lang w:eastAsia="ja-JP"/>
        </w:rPr>
        <w:t xml:space="preserve"> yield </w:t>
      </w:r>
      <w:r w:rsidRPr="00CE60B2">
        <w:rPr>
          <w:rFonts w:cs="Segoe UI"/>
          <w:lang w:eastAsia="ja-JP"/>
        </w:rPr>
        <w:t xml:space="preserve">projections </w:t>
      </w:r>
      <w:r w:rsidR="00BF19C9">
        <w:rPr>
          <w:rFonts w:cs="Segoe UI"/>
          <w:lang w:eastAsia="ja-JP"/>
        </w:rPr>
        <w:t>for the FMP 2014</w:t>
      </w:r>
      <w:r w:rsidR="00BF19C9">
        <w:rPr>
          <w:rFonts w:cs="Segoe UI"/>
          <w:lang w:eastAsia="ja-JP"/>
        </w:rPr>
        <w:noBreakHyphen/>
      </w:r>
      <w:r w:rsidR="00D704C2">
        <w:rPr>
          <w:rFonts w:cs="Segoe UI"/>
          <w:lang w:eastAsia="ja-JP"/>
        </w:rPr>
        <w:t>2023 indicated that</w:t>
      </w:r>
      <w:r w:rsidRPr="00CE60B2">
        <w:rPr>
          <w:rFonts w:cs="Segoe UI"/>
          <w:lang w:eastAsia="ja-JP"/>
        </w:rPr>
        <w:t xml:space="preserve"> the removal of the annual levels of sawlog determined to be sustainable would constitute around 1.1</w:t>
      </w:r>
      <w:r w:rsidR="00D155CF">
        <w:rPr>
          <w:rFonts w:cs="Segoe UI"/>
          <w:lang w:eastAsia="ja-JP"/>
        </w:rPr>
        <w:t> </w:t>
      </w:r>
      <w:r w:rsidRPr="00CE60B2">
        <w:rPr>
          <w:rFonts w:cs="Segoe UI"/>
          <w:lang w:eastAsia="ja-JP"/>
        </w:rPr>
        <w:t>per</w:t>
      </w:r>
      <w:r w:rsidR="00D155CF">
        <w:rPr>
          <w:rFonts w:cs="Segoe UI"/>
          <w:lang w:eastAsia="ja-JP"/>
        </w:rPr>
        <w:t> </w:t>
      </w:r>
      <w:r w:rsidRPr="00CE60B2">
        <w:rPr>
          <w:rFonts w:cs="Segoe UI"/>
          <w:lang w:eastAsia="ja-JP"/>
        </w:rPr>
        <w:t xml:space="preserve">cent for jarrah, and 1.8 per cent for karri, of the estimated standing sawlog volumes at 2014. The sustainable harvest </w:t>
      </w:r>
      <w:r w:rsidR="00FD28ED">
        <w:rPr>
          <w:rFonts w:cs="Segoe UI"/>
          <w:lang w:eastAsia="ja-JP"/>
        </w:rPr>
        <w:t>volumes</w:t>
      </w:r>
      <w:r w:rsidRPr="00CE60B2">
        <w:rPr>
          <w:rFonts w:cs="Segoe UI"/>
          <w:lang w:eastAsia="ja-JP"/>
        </w:rPr>
        <w:t xml:space="preserve"> for other </w:t>
      </w:r>
      <w:r w:rsidR="001861D1">
        <w:rPr>
          <w:rFonts w:cs="Segoe UI"/>
          <w:lang w:eastAsia="ja-JP"/>
        </w:rPr>
        <w:t>non-</w:t>
      </w:r>
      <w:r w:rsidR="006C03A0">
        <w:rPr>
          <w:rFonts w:cs="Segoe UI"/>
          <w:lang w:eastAsia="ja-JP"/>
        </w:rPr>
        <w:t>sawlog</w:t>
      </w:r>
      <w:r w:rsidR="006C03A0">
        <w:rPr>
          <w:rStyle w:val="CommentReference"/>
        </w:rPr>
        <w:t xml:space="preserve"> </w:t>
      </w:r>
      <w:r w:rsidR="006C03A0" w:rsidRPr="00CE60B2">
        <w:rPr>
          <w:rFonts w:cs="Segoe UI"/>
          <w:lang w:eastAsia="ja-JP"/>
        </w:rPr>
        <w:t>volume</w:t>
      </w:r>
      <w:r w:rsidRPr="00CE60B2">
        <w:rPr>
          <w:rFonts w:cs="Segoe UI"/>
          <w:lang w:eastAsia="ja-JP"/>
        </w:rPr>
        <w:t xml:space="preserve"> would constitute around 0.6</w:t>
      </w:r>
      <w:r w:rsidR="00D155CF">
        <w:rPr>
          <w:rFonts w:cs="Segoe UI"/>
          <w:lang w:eastAsia="ja-JP"/>
        </w:rPr>
        <w:t> </w:t>
      </w:r>
      <w:r w:rsidRPr="00CE60B2">
        <w:rPr>
          <w:rFonts w:cs="Segoe UI"/>
          <w:lang w:eastAsia="ja-JP"/>
        </w:rPr>
        <w:t>per</w:t>
      </w:r>
      <w:r w:rsidR="00D155CF">
        <w:rPr>
          <w:rFonts w:cs="Segoe UI"/>
          <w:lang w:eastAsia="ja-JP"/>
        </w:rPr>
        <w:t> </w:t>
      </w:r>
      <w:r w:rsidRPr="00CE60B2">
        <w:rPr>
          <w:rFonts w:cs="Segoe UI"/>
          <w:lang w:eastAsia="ja-JP"/>
        </w:rPr>
        <w:t>cent for jarrah, and 1.6</w:t>
      </w:r>
      <w:r w:rsidR="00D155CF">
        <w:rPr>
          <w:rFonts w:cs="Segoe UI"/>
          <w:lang w:eastAsia="ja-JP"/>
        </w:rPr>
        <w:t> </w:t>
      </w:r>
      <w:r w:rsidRPr="00CE60B2">
        <w:rPr>
          <w:rFonts w:cs="Segoe UI"/>
          <w:lang w:eastAsia="ja-JP"/>
        </w:rPr>
        <w:t>per</w:t>
      </w:r>
      <w:r w:rsidR="00D155CF">
        <w:rPr>
          <w:rFonts w:cs="Segoe UI"/>
          <w:lang w:eastAsia="ja-JP"/>
        </w:rPr>
        <w:t> </w:t>
      </w:r>
      <w:r w:rsidRPr="00CE60B2">
        <w:rPr>
          <w:rFonts w:cs="Segoe UI"/>
          <w:lang w:eastAsia="ja-JP"/>
        </w:rPr>
        <w:t xml:space="preserve">cent for karri, of the estimated standing other </w:t>
      </w:r>
      <w:r w:rsidR="00C653A0">
        <w:rPr>
          <w:rFonts w:cs="Segoe UI"/>
          <w:lang w:eastAsia="ja-JP"/>
        </w:rPr>
        <w:t>non-sawlog</w:t>
      </w:r>
      <w:r w:rsidR="00BF19C9">
        <w:rPr>
          <w:rFonts w:cs="Segoe UI"/>
          <w:lang w:eastAsia="ja-JP"/>
        </w:rPr>
        <w:t xml:space="preserve"> volumes at </w:t>
      </w:r>
      <w:r w:rsidRPr="00CE60B2">
        <w:rPr>
          <w:rFonts w:cs="Segoe UI"/>
          <w:lang w:eastAsia="ja-JP"/>
        </w:rPr>
        <w:t>2014.</w:t>
      </w:r>
    </w:p>
    <w:p w14:paraId="26ABD112" w14:textId="77777777" w:rsidR="00737153" w:rsidRPr="00CE60B2" w:rsidRDefault="006C1D07" w:rsidP="00E40B48">
      <w:pPr>
        <w:spacing w:before="80" w:after="80"/>
        <w:rPr>
          <w:rFonts w:cs="Segoe UI"/>
          <w:lang w:eastAsia="ja-JP"/>
        </w:rPr>
      </w:pPr>
      <w:r>
        <w:rPr>
          <w:rFonts w:cs="Segoe UI"/>
          <w:lang w:eastAsia="ja-JP"/>
        </w:rPr>
        <w:t>Given limited in</w:t>
      </w:r>
      <w:r w:rsidR="00D704C2">
        <w:rPr>
          <w:rFonts w:cs="Segoe UI"/>
          <w:lang w:eastAsia="ja-JP"/>
        </w:rPr>
        <w:t>ventory</w:t>
      </w:r>
      <w:r w:rsidR="002D56EB">
        <w:rPr>
          <w:rFonts w:cs="Segoe UI"/>
          <w:lang w:eastAsia="ja-JP"/>
        </w:rPr>
        <w:t xml:space="preserve"> </w:t>
      </w:r>
      <w:r w:rsidR="00D704C2">
        <w:rPr>
          <w:rFonts w:cs="Segoe UI"/>
          <w:lang w:eastAsia="ja-JP"/>
        </w:rPr>
        <w:t>for</w:t>
      </w:r>
      <w:r>
        <w:rPr>
          <w:rFonts w:cs="Segoe UI"/>
          <w:lang w:eastAsia="ja-JP"/>
        </w:rPr>
        <w:t xml:space="preserve"> the private native forest</w:t>
      </w:r>
      <w:r w:rsidR="00D704C2">
        <w:rPr>
          <w:rFonts w:cs="Segoe UI"/>
          <w:lang w:eastAsia="ja-JP"/>
        </w:rPr>
        <w:t xml:space="preserve">s in WA, their variable grower intent and condition, and the restrictions under the native vegetation clearing regulations, the private native forests have not been a significant consideration for industry </w:t>
      </w:r>
      <w:r w:rsidR="00246943">
        <w:rPr>
          <w:rFonts w:cs="Segoe UI"/>
          <w:lang w:eastAsia="ja-JP"/>
        </w:rPr>
        <w:t xml:space="preserve">supply projections </w:t>
      </w:r>
      <w:r w:rsidR="00D704C2">
        <w:rPr>
          <w:rFonts w:cs="Segoe UI"/>
          <w:lang w:eastAsia="ja-JP"/>
        </w:rPr>
        <w:t>to date.</w:t>
      </w:r>
      <w:r>
        <w:rPr>
          <w:rFonts w:cs="Segoe UI"/>
          <w:lang w:eastAsia="ja-JP"/>
        </w:rPr>
        <w:t xml:space="preserve"> </w:t>
      </w:r>
    </w:p>
    <w:p w14:paraId="26ABD113" w14:textId="77777777" w:rsidR="00DB510B" w:rsidRPr="00CE60B2" w:rsidRDefault="00DB510B" w:rsidP="008A4979">
      <w:pPr>
        <w:pStyle w:val="Heading3"/>
        <w:rPr>
          <w:lang w:eastAsia="en-AU"/>
        </w:rPr>
      </w:pPr>
      <w:bookmarkStart w:id="114" w:name="_Toc524952808"/>
      <w:bookmarkStart w:id="115" w:name="_Toc2776051"/>
      <w:r w:rsidRPr="00CE60B2">
        <w:rPr>
          <w:lang w:eastAsia="en-AU"/>
        </w:rPr>
        <w:t>Indicator 2.1b</w:t>
      </w:r>
      <w:r w:rsidRPr="00CE60B2">
        <w:rPr>
          <w:lang w:eastAsia="en-AU"/>
        </w:rPr>
        <w:tab/>
        <w:t>Age class and growing stock of plantations</w:t>
      </w:r>
      <w:bookmarkEnd w:id="114"/>
      <w:bookmarkEnd w:id="115"/>
    </w:p>
    <w:p w14:paraId="26ABD114" w14:textId="77777777" w:rsidR="00E40B48" w:rsidRPr="00CE60B2" w:rsidRDefault="00E40B48" w:rsidP="00E40B48">
      <w:pPr>
        <w:autoSpaceDE w:val="0"/>
        <w:autoSpaceDN w:val="0"/>
        <w:adjustRightInd w:val="0"/>
        <w:spacing w:before="0" w:after="0"/>
        <w:rPr>
          <w:rFonts w:cs="Segoe UI"/>
          <w:color w:val="000000" w:themeColor="text1"/>
        </w:rPr>
      </w:pPr>
      <w:bookmarkStart w:id="116" w:name="_Toc524952809"/>
      <w:r w:rsidRPr="00CE60B2">
        <w:rPr>
          <w:rFonts w:cs="Segoe UI"/>
          <w:color w:val="000000" w:themeColor="text1"/>
        </w:rPr>
        <w:t>This indicator uses the area, age class and growing stock of native and exotic species plantations to assess the volume of timber that Australia’s plantation forests can supply now and into the future.</w:t>
      </w:r>
    </w:p>
    <w:p w14:paraId="26ABD115" w14:textId="77777777" w:rsidR="00E40B48" w:rsidRPr="00CE60B2" w:rsidRDefault="00E40B48" w:rsidP="00E40B48">
      <w:pPr>
        <w:rPr>
          <w:rFonts w:cs="Segoe UI"/>
          <w:color w:val="000000" w:themeColor="text1"/>
        </w:rPr>
      </w:pPr>
      <w:r w:rsidRPr="00CE60B2">
        <w:rPr>
          <w:rFonts w:cs="Segoe UI"/>
          <w:color w:val="000000" w:themeColor="text1"/>
        </w:rPr>
        <w:t>This indicator provides a state-wide summary of the progress of plantation establishment of native and exotic species over time. An increase in the size and quality of the plantation estate is a significant element in longer-term sustainability, wood supply security, and the growth of the forest industry in Western Australia.</w:t>
      </w:r>
    </w:p>
    <w:p w14:paraId="26ABD116" w14:textId="77777777" w:rsidR="00E40B48" w:rsidRPr="00CE60B2" w:rsidRDefault="00E40B48" w:rsidP="00E40B48">
      <w:pPr>
        <w:rPr>
          <w:rFonts w:cs="Segoe UI"/>
        </w:rPr>
      </w:pPr>
      <w:r w:rsidRPr="00CE60B2">
        <w:rPr>
          <w:rFonts w:cs="Segoe UI"/>
        </w:rPr>
        <w:t>The State monitors and reports on plantation areas through the FMP and the FPC’s annual reports. The FMP area differs from the RFA area, and the FPC annual reports are at a state-wide level</w:t>
      </w:r>
      <w:r w:rsidR="00863C9C">
        <w:rPr>
          <w:rFonts w:cs="Segoe UI"/>
        </w:rPr>
        <w:t>. However</w:t>
      </w:r>
      <w:r w:rsidRPr="00CE60B2">
        <w:rPr>
          <w:rFonts w:cs="Segoe UI"/>
        </w:rPr>
        <w:t>, they provide a good indication of the area and volume available to the industry</w:t>
      </w:r>
      <w:r w:rsidR="00863C9C">
        <w:rPr>
          <w:rFonts w:cs="Segoe UI"/>
        </w:rPr>
        <w:t xml:space="preserve"> as a significant proportion of the publicly owned pine plantations are located within the WA RFA region.</w:t>
      </w:r>
      <w:r w:rsidRPr="00CE60B2">
        <w:rPr>
          <w:rFonts w:cs="Segoe UI"/>
        </w:rPr>
        <w:t xml:space="preserve"> </w:t>
      </w:r>
    </w:p>
    <w:p w14:paraId="26ABD117" w14:textId="77777777" w:rsidR="00E40B48" w:rsidRPr="00CE60B2" w:rsidRDefault="00E40B48" w:rsidP="00E40B48">
      <w:pPr>
        <w:rPr>
          <w:rFonts w:cs="Segoe UI"/>
        </w:rPr>
      </w:pPr>
      <w:r w:rsidRPr="00CE60B2">
        <w:rPr>
          <w:rFonts w:cs="Segoe UI"/>
        </w:rPr>
        <w:t xml:space="preserve">Since 1999, areas of plantation on State forests have been </w:t>
      </w:r>
      <w:r w:rsidR="004524F9">
        <w:rPr>
          <w:rFonts w:cs="Segoe UI"/>
        </w:rPr>
        <w:t xml:space="preserve">added or excised because of land tenure changes. These arose from road and utility corridor construction, </w:t>
      </w:r>
      <w:r w:rsidR="00863C9C">
        <w:rPr>
          <w:rFonts w:cs="Segoe UI"/>
        </w:rPr>
        <w:t xml:space="preserve">and </w:t>
      </w:r>
      <w:r w:rsidR="004524F9">
        <w:rPr>
          <w:rFonts w:cs="Segoe UI"/>
        </w:rPr>
        <w:t>the establishment of basic raw material quarries</w:t>
      </w:r>
      <w:r w:rsidR="00863C9C">
        <w:rPr>
          <w:rFonts w:cs="Segoe UI"/>
        </w:rPr>
        <w:t>.</w:t>
      </w:r>
      <w:r w:rsidR="004524F9">
        <w:rPr>
          <w:rFonts w:cs="Segoe UI"/>
        </w:rPr>
        <w:t xml:space="preserve"> </w:t>
      </w:r>
      <w:r w:rsidRPr="00CE60B2">
        <w:rPr>
          <w:rFonts w:cs="Segoe UI"/>
        </w:rPr>
        <w:t>Bushfires have impacted the McLarty, Myalup and Thomson Brook plantations</w:t>
      </w:r>
      <w:r w:rsidR="00863C9C">
        <w:rPr>
          <w:rFonts w:cs="Segoe UI"/>
        </w:rPr>
        <w:t xml:space="preserve"> within the WA RFA region</w:t>
      </w:r>
      <w:r w:rsidRPr="00CE60B2">
        <w:rPr>
          <w:rFonts w:cs="Segoe UI"/>
        </w:rPr>
        <w:t xml:space="preserve">, affecting the net plantation area and wood supply. The FPC </w:t>
      </w:r>
      <w:r w:rsidR="004524F9">
        <w:rPr>
          <w:rFonts w:cs="Segoe UI"/>
        </w:rPr>
        <w:t>has a policy to</w:t>
      </w:r>
      <w:r w:rsidR="008A4C96">
        <w:rPr>
          <w:rFonts w:cs="Segoe UI"/>
        </w:rPr>
        <w:t xml:space="preserve"> </w:t>
      </w:r>
      <w:r w:rsidRPr="00CE60B2">
        <w:rPr>
          <w:rFonts w:cs="Segoe UI"/>
        </w:rPr>
        <w:t>salvage harvest and replant plantations damaged by fire</w:t>
      </w:r>
      <w:r w:rsidR="004524F9">
        <w:rPr>
          <w:rFonts w:cs="Segoe UI"/>
        </w:rPr>
        <w:t xml:space="preserve"> in order to reduce the impact of the fire on the long-term sustainable productivity of the plantations</w:t>
      </w:r>
      <w:r w:rsidRPr="00CE60B2">
        <w:rPr>
          <w:rFonts w:cs="Segoe UI"/>
        </w:rPr>
        <w:t>.</w:t>
      </w:r>
    </w:p>
    <w:p w14:paraId="26ABD118" w14:textId="77777777" w:rsidR="00E40B48" w:rsidRPr="00CE60B2" w:rsidRDefault="00863C9C" w:rsidP="00E40B48">
      <w:pPr>
        <w:rPr>
          <w:rFonts w:cs="Segoe UI"/>
        </w:rPr>
      </w:pPr>
      <w:r>
        <w:rPr>
          <w:rFonts w:cs="Segoe UI"/>
        </w:rPr>
        <w:t>During the period 1999 to 2018 the total area of plantations available to, or managed</w:t>
      </w:r>
      <w:r w:rsidR="00F465BB">
        <w:rPr>
          <w:rFonts w:cs="Segoe UI"/>
        </w:rPr>
        <w:t xml:space="preserve"> by,</w:t>
      </w:r>
      <w:r>
        <w:rPr>
          <w:rFonts w:cs="Segoe UI"/>
        </w:rPr>
        <w:t xml:space="preserve"> the FPC increased </w:t>
      </w:r>
      <w:r w:rsidR="00BB4D90">
        <w:rPr>
          <w:rFonts w:cs="Segoe UI"/>
        </w:rPr>
        <w:t>from 37,540 hectares to 47,690 </w:t>
      </w:r>
      <w:r w:rsidR="00F465BB">
        <w:rPr>
          <w:rFonts w:cs="Segoe UI"/>
        </w:rPr>
        <w:t>hectares (Table 21).</w:t>
      </w:r>
      <w:r>
        <w:rPr>
          <w:rFonts w:cs="Segoe UI"/>
        </w:rPr>
        <w:t xml:space="preserve"> </w:t>
      </w:r>
      <w:r w:rsidR="00E40B48" w:rsidRPr="00CE60B2">
        <w:rPr>
          <w:rFonts w:cs="Segoe UI"/>
        </w:rPr>
        <w:t>Through th</w:t>
      </w:r>
      <w:r w:rsidR="00F465BB">
        <w:rPr>
          <w:rFonts w:cs="Segoe UI"/>
        </w:rPr>
        <w:t>is</w:t>
      </w:r>
      <w:r w:rsidR="00E40B48" w:rsidRPr="00CE60B2">
        <w:rPr>
          <w:rFonts w:cs="Segoe UI"/>
        </w:rPr>
        <w:t xml:space="preserve"> period investment in new plantation establishment has fluctuated</w:t>
      </w:r>
      <w:r w:rsidR="004524F9">
        <w:rPr>
          <w:rFonts w:cs="Segoe UI"/>
        </w:rPr>
        <w:t xml:space="preserve"> in response to various federal and state government initiatives including Managed </w:t>
      </w:r>
      <w:r w:rsidR="00F465BB">
        <w:rPr>
          <w:rFonts w:cs="Segoe UI"/>
        </w:rPr>
        <w:t xml:space="preserve">(Sharefarm) </w:t>
      </w:r>
      <w:r w:rsidR="004524F9">
        <w:rPr>
          <w:rFonts w:cs="Segoe UI"/>
        </w:rPr>
        <w:t xml:space="preserve">Investment Schemes, National Action Plan for Salinity and Water Quality, </w:t>
      </w:r>
      <w:r>
        <w:rPr>
          <w:rFonts w:cs="Segoe UI"/>
        </w:rPr>
        <w:t xml:space="preserve">the </w:t>
      </w:r>
      <w:r w:rsidR="004524F9">
        <w:rPr>
          <w:rFonts w:cs="Segoe UI"/>
        </w:rPr>
        <w:t>Infinitree</w:t>
      </w:r>
      <w:r>
        <w:rPr>
          <w:rFonts w:cs="Segoe UI"/>
        </w:rPr>
        <w:t xml:space="preserve"> initiative to promote plantations on farm lands</w:t>
      </w:r>
      <w:r w:rsidR="004524F9">
        <w:rPr>
          <w:rFonts w:cs="Segoe UI"/>
        </w:rPr>
        <w:t>,</w:t>
      </w:r>
      <w:r>
        <w:rPr>
          <w:rFonts w:cs="Segoe UI"/>
        </w:rPr>
        <w:t xml:space="preserve"> and the </w:t>
      </w:r>
      <w:r w:rsidR="004524F9">
        <w:rPr>
          <w:rFonts w:cs="Segoe UI"/>
        </w:rPr>
        <w:t>Strategic Treefarming Project</w:t>
      </w:r>
      <w:r w:rsidR="00E40B48" w:rsidRPr="00CE60B2">
        <w:rPr>
          <w:rFonts w:cs="Segoe UI"/>
        </w:rPr>
        <w:t xml:space="preserve">. </w:t>
      </w:r>
    </w:p>
    <w:p w14:paraId="26ABD119" w14:textId="77777777" w:rsidR="00E40B48" w:rsidRPr="00CE60B2" w:rsidRDefault="00E40B48" w:rsidP="00E40B48">
      <w:pPr>
        <w:rPr>
          <w:rFonts w:cs="Segoe UI"/>
        </w:rPr>
      </w:pPr>
      <w:r w:rsidRPr="00CE60B2">
        <w:rPr>
          <w:rFonts w:cs="Segoe UI"/>
        </w:rPr>
        <w:t xml:space="preserve">The State government has made significant recent investment in softwood plantations, with the development of the </w:t>
      </w:r>
      <w:r w:rsidRPr="00CE60B2">
        <w:rPr>
          <w:rFonts w:cs="Segoe UI"/>
          <w:i/>
        </w:rPr>
        <w:t>Softwood Industry Strategy for Western Australia</w:t>
      </w:r>
      <w:r w:rsidRPr="00CE60B2">
        <w:rPr>
          <w:rFonts w:cs="Segoe UI"/>
        </w:rPr>
        <w:t xml:space="preserve"> (FPC </w:t>
      </w:r>
      <w:r w:rsidR="00BB4D90">
        <w:rPr>
          <w:rFonts w:cs="Segoe UI"/>
        </w:rPr>
        <w:t>2016) and the commitment of $21 </w:t>
      </w:r>
      <w:r w:rsidRPr="00CE60B2">
        <w:rPr>
          <w:rFonts w:cs="Segoe UI"/>
        </w:rPr>
        <w:t xml:space="preserve">million to plant additional softwood plantation areas over five years. </w:t>
      </w:r>
    </w:p>
    <w:p w14:paraId="26ABD11A" w14:textId="77777777" w:rsidR="00E40B48" w:rsidRPr="00CE60B2" w:rsidRDefault="00E40B48" w:rsidP="00E40B48">
      <w:pPr>
        <w:rPr>
          <w:rFonts w:cs="Segoe UI"/>
        </w:rPr>
      </w:pPr>
      <w:r w:rsidRPr="00CE60B2">
        <w:rPr>
          <w:rFonts w:cs="Segoe UI"/>
        </w:rPr>
        <w:t>The area of plantation</w:t>
      </w:r>
      <w:r w:rsidR="00F465BB">
        <w:rPr>
          <w:rFonts w:cs="Segoe UI"/>
        </w:rPr>
        <w:t>s providing</w:t>
      </w:r>
      <w:r w:rsidRPr="00CE60B2">
        <w:rPr>
          <w:rFonts w:cs="Segoe UI"/>
        </w:rPr>
        <w:t xml:space="preserve"> resource to </w:t>
      </w:r>
      <w:r w:rsidR="00F465BB">
        <w:rPr>
          <w:rFonts w:cs="Segoe UI"/>
        </w:rPr>
        <w:t>the</w:t>
      </w:r>
      <w:r w:rsidRPr="00CE60B2">
        <w:rPr>
          <w:rFonts w:cs="Segoe UI"/>
        </w:rPr>
        <w:t xml:space="preserve"> industry is forecast to </w:t>
      </w:r>
      <w:r w:rsidR="00A3309E">
        <w:rPr>
          <w:rFonts w:cs="Segoe UI"/>
        </w:rPr>
        <w:t>increase over the next decade</w:t>
      </w:r>
      <w:r w:rsidR="00711747">
        <w:rPr>
          <w:rFonts w:cs="Segoe UI"/>
        </w:rPr>
        <w:t>.</w:t>
      </w:r>
      <w:r w:rsidRPr="00CE60B2">
        <w:rPr>
          <w:rFonts w:cs="Segoe UI"/>
        </w:rPr>
        <w:t xml:space="preserve"> The FPC and industry are working to</w:t>
      </w:r>
      <w:r w:rsidR="00711747">
        <w:rPr>
          <w:rFonts w:cs="Segoe UI"/>
        </w:rPr>
        <w:t>gether to secure additional plantation areas consistent with</w:t>
      </w:r>
      <w:r w:rsidRPr="00CE60B2">
        <w:rPr>
          <w:rFonts w:cs="Segoe UI"/>
        </w:rPr>
        <w:t xml:space="preserve"> the </w:t>
      </w:r>
      <w:r w:rsidRPr="00CE60B2">
        <w:rPr>
          <w:rFonts w:cs="Segoe UI"/>
          <w:i/>
        </w:rPr>
        <w:t>Softwood Industry Strategy for Western Australia</w:t>
      </w:r>
      <w:r w:rsidRPr="00CE60B2">
        <w:rPr>
          <w:rFonts w:cs="Segoe UI"/>
        </w:rPr>
        <w:t xml:space="preserve"> (2016).</w:t>
      </w:r>
    </w:p>
    <w:p w14:paraId="26ABD11B" w14:textId="117E6688" w:rsidR="00D934F4" w:rsidRDefault="00D934F4" w:rsidP="00D934F4">
      <w:pPr>
        <w:pStyle w:val="Caption"/>
        <w:keepNext/>
      </w:pPr>
      <w:bookmarkStart w:id="117" w:name="_Toc531002182"/>
      <w:r>
        <w:lastRenderedPageBreak/>
        <w:t xml:space="preserve">Table </w:t>
      </w:r>
      <w:r w:rsidR="0002253A">
        <w:rPr>
          <w:noProof/>
        </w:rPr>
        <w:fldChar w:fldCharType="begin"/>
      </w:r>
      <w:r w:rsidR="0002253A">
        <w:rPr>
          <w:noProof/>
        </w:rPr>
        <w:instrText xml:space="preserve"> SEQ Table \* ARABIC </w:instrText>
      </w:r>
      <w:r w:rsidR="0002253A">
        <w:rPr>
          <w:noProof/>
        </w:rPr>
        <w:fldChar w:fldCharType="separate"/>
      </w:r>
      <w:r w:rsidR="003C7091">
        <w:rPr>
          <w:noProof/>
        </w:rPr>
        <w:t>21</w:t>
      </w:r>
      <w:r w:rsidR="0002253A">
        <w:rPr>
          <w:noProof/>
        </w:rPr>
        <w:fldChar w:fldCharType="end"/>
      </w:r>
      <w:r>
        <w:t xml:space="preserve">: </w:t>
      </w:r>
      <w:r w:rsidRPr="00CE239F">
        <w:t>Plantation areas within the WA RFA region owned or managed by the Forest Products Commission from 1999 to 2018</w:t>
      </w:r>
      <w:bookmarkEnd w:id="117"/>
    </w:p>
    <w:tbl>
      <w:tblPr>
        <w:tblW w:w="5000" w:type="pct"/>
        <w:tblCellMar>
          <w:left w:w="0" w:type="dxa"/>
          <w:right w:w="0" w:type="dxa"/>
        </w:tblCellMar>
        <w:tblLook w:val="04A0" w:firstRow="1" w:lastRow="0" w:firstColumn="1" w:lastColumn="0" w:noHBand="0" w:noVBand="1"/>
      </w:tblPr>
      <w:tblGrid>
        <w:gridCol w:w="815"/>
        <w:gridCol w:w="493"/>
        <w:gridCol w:w="663"/>
        <w:gridCol w:w="493"/>
        <w:gridCol w:w="493"/>
        <w:gridCol w:w="663"/>
        <w:gridCol w:w="493"/>
        <w:gridCol w:w="493"/>
        <w:gridCol w:w="663"/>
        <w:gridCol w:w="493"/>
        <w:gridCol w:w="493"/>
        <w:gridCol w:w="663"/>
        <w:gridCol w:w="493"/>
        <w:gridCol w:w="493"/>
        <w:gridCol w:w="663"/>
        <w:gridCol w:w="493"/>
      </w:tblGrid>
      <w:tr w:rsidR="008202AE" w:rsidRPr="00D924C9" w14:paraId="26ABD122" w14:textId="77777777" w:rsidTr="00D934F4">
        <w:trPr>
          <w:trHeight w:val="255"/>
        </w:trPr>
        <w:tc>
          <w:tcPr>
            <w:tcW w:w="449" w:type="pct"/>
            <w:noWrap/>
            <w:tcMar>
              <w:top w:w="0" w:type="dxa"/>
              <w:left w:w="108" w:type="dxa"/>
              <w:bottom w:w="0" w:type="dxa"/>
              <w:right w:w="108" w:type="dxa"/>
            </w:tcMar>
            <w:vAlign w:val="bottom"/>
            <w:hideMark/>
          </w:tcPr>
          <w:p w14:paraId="26ABD11C" w14:textId="77777777" w:rsidR="008202AE" w:rsidRPr="00D924C9" w:rsidRDefault="008202AE" w:rsidP="00924D17">
            <w:pPr>
              <w:spacing w:before="0" w:after="0"/>
              <w:rPr>
                <w:rFonts w:ascii="Times New Roman" w:hAnsi="Times New Roman"/>
                <w:sz w:val="14"/>
                <w:szCs w:val="14"/>
              </w:rPr>
            </w:pPr>
          </w:p>
        </w:tc>
        <w:tc>
          <w:tcPr>
            <w:tcW w:w="909" w:type="pct"/>
            <w:gridSpan w:val="3"/>
            <w:tcBorders>
              <w:top w:val="single" w:sz="8" w:space="0" w:color="auto"/>
              <w:left w:val="single" w:sz="8" w:space="0" w:color="auto"/>
              <w:bottom w:val="single" w:sz="8" w:space="0" w:color="auto"/>
              <w:right w:val="nil"/>
            </w:tcBorders>
            <w:shd w:val="clear" w:color="auto" w:fill="DFEFE1" w:themeFill="accent3" w:themeFillTint="66"/>
            <w:tcMar>
              <w:top w:w="0" w:type="dxa"/>
              <w:left w:w="108" w:type="dxa"/>
              <w:bottom w:w="0" w:type="dxa"/>
              <w:right w:w="108" w:type="dxa"/>
            </w:tcMar>
            <w:vAlign w:val="bottom"/>
            <w:hideMark/>
          </w:tcPr>
          <w:p w14:paraId="26ABD11D"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December 1998</w:t>
            </w:r>
          </w:p>
        </w:tc>
        <w:tc>
          <w:tcPr>
            <w:tcW w:w="911" w:type="pct"/>
            <w:gridSpan w:val="3"/>
            <w:tcBorders>
              <w:top w:val="single" w:sz="8" w:space="0" w:color="auto"/>
              <w:left w:val="single" w:sz="8" w:space="0" w:color="auto"/>
              <w:bottom w:val="single" w:sz="8" w:space="0" w:color="auto"/>
              <w:right w:val="single" w:sz="8" w:space="0" w:color="000000"/>
            </w:tcBorders>
            <w:shd w:val="clear" w:color="auto" w:fill="DFEFE1" w:themeFill="accent3" w:themeFillTint="66"/>
            <w:tcMar>
              <w:top w:w="0" w:type="dxa"/>
              <w:left w:w="108" w:type="dxa"/>
              <w:bottom w:w="0" w:type="dxa"/>
              <w:right w:w="108" w:type="dxa"/>
            </w:tcMar>
            <w:vAlign w:val="bottom"/>
            <w:hideMark/>
          </w:tcPr>
          <w:p w14:paraId="26ABD11E"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December 2003</w:t>
            </w:r>
          </w:p>
        </w:tc>
        <w:tc>
          <w:tcPr>
            <w:tcW w:w="911" w:type="pct"/>
            <w:gridSpan w:val="3"/>
            <w:tcBorders>
              <w:top w:val="single" w:sz="8" w:space="0" w:color="auto"/>
              <w:left w:val="nil"/>
              <w:bottom w:val="single" w:sz="8" w:space="0" w:color="auto"/>
              <w:right w:val="single" w:sz="8" w:space="0" w:color="000000"/>
            </w:tcBorders>
            <w:shd w:val="clear" w:color="auto" w:fill="DFEFE1" w:themeFill="accent3" w:themeFillTint="66"/>
            <w:tcMar>
              <w:top w:w="0" w:type="dxa"/>
              <w:left w:w="108" w:type="dxa"/>
              <w:bottom w:w="0" w:type="dxa"/>
              <w:right w:w="108" w:type="dxa"/>
            </w:tcMar>
            <w:vAlign w:val="bottom"/>
            <w:hideMark/>
          </w:tcPr>
          <w:p w14:paraId="26ABD11F"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December 2008</w:t>
            </w:r>
          </w:p>
        </w:tc>
        <w:tc>
          <w:tcPr>
            <w:tcW w:w="911" w:type="pct"/>
            <w:gridSpan w:val="3"/>
            <w:tcBorders>
              <w:top w:val="single" w:sz="8" w:space="0" w:color="auto"/>
              <w:left w:val="nil"/>
              <w:bottom w:val="single" w:sz="8" w:space="0" w:color="auto"/>
              <w:right w:val="single" w:sz="8" w:space="0" w:color="000000"/>
            </w:tcBorders>
            <w:shd w:val="clear" w:color="auto" w:fill="DFEFE1" w:themeFill="accent3" w:themeFillTint="66"/>
            <w:tcMar>
              <w:top w:w="0" w:type="dxa"/>
              <w:left w:w="108" w:type="dxa"/>
              <w:bottom w:w="0" w:type="dxa"/>
              <w:right w:w="108" w:type="dxa"/>
            </w:tcMar>
            <w:vAlign w:val="bottom"/>
            <w:hideMark/>
          </w:tcPr>
          <w:p w14:paraId="26ABD120"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December 2014</w:t>
            </w:r>
          </w:p>
        </w:tc>
        <w:tc>
          <w:tcPr>
            <w:tcW w:w="911" w:type="pct"/>
            <w:gridSpan w:val="3"/>
            <w:tcBorders>
              <w:top w:val="single" w:sz="8" w:space="0" w:color="auto"/>
              <w:left w:val="nil"/>
              <w:bottom w:val="single" w:sz="8" w:space="0" w:color="auto"/>
              <w:right w:val="single" w:sz="8" w:space="0" w:color="000000"/>
            </w:tcBorders>
            <w:shd w:val="clear" w:color="auto" w:fill="DFEFE1" w:themeFill="accent3" w:themeFillTint="66"/>
            <w:tcMar>
              <w:top w:w="0" w:type="dxa"/>
              <w:left w:w="108" w:type="dxa"/>
              <w:bottom w:w="0" w:type="dxa"/>
              <w:right w:w="108" w:type="dxa"/>
            </w:tcMar>
            <w:vAlign w:val="bottom"/>
            <w:hideMark/>
          </w:tcPr>
          <w:p w14:paraId="26ABD121"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December 2017</w:t>
            </w:r>
          </w:p>
        </w:tc>
      </w:tr>
      <w:tr w:rsidR="006C03A0" w:rsidRPr="00D924C9" w14:paraId="26ABD133" w14:textId="77777777" w:rsidTr="00D934F4">
        <w:trPr>
          <w:trHeight w:val="255"/>
        </w:trPr>
        <w:tc>
          <w:tcPr>
            <w:tcW w:w="449" w:type="pct"/>
            <w:tcBorders>
              <w:top w:val="single" w:sz="8" w:space="0" w:color="auto"/>
              <w:left w:val="single" w:sz="8" w:space="0" w:color="auto"/>
              <w:bottom w:val="single" w:sz="8" w:space="0" w:color="auto"/>
              <w:right w:val="nil"/>
            </w:tcBorders>
            <w:shd w:val="clear" w:color="auto" w:fill="DFEFE1" w:themeFill="accent3" w:themeFillTint="66"/>
            <w:noWrap/>
            <w:tcMar>
              <w:top w:w="0" w:type="dxa"/>
              <w:left w:w="108" w:type="dxa"/>
              <w:bottom w:w="0" w:type="dxa"/>
              <w:right w:w="108" w:type="dxa"/>
            </w:tcMar>
            <w:vAlign w:val="bottom"/>
            <w:hideMark/>
          </w:tcPr>
          <w:p w14:paraId="26ABD123" w14:textId="77777777" w:rsidR="008202AE" w:rsidRPr="00D924C9" w:rsidRDefault="008202AE" w:rsidP="00924D17">
            <w:pPr>
              <w:rPr>
                <w:rFonts w:ascii="Arial" w:hAnsi="Arial" w:cs="Arial"/>
                <w:sz w:val="14"/>
                <w:szCs w:val="14"/>
                <w:lang w:eastAsia="en-AU"/>
              </w:rPr>
            </w:pPr>
            <w:r w:rsidRPr="00D924C9">
              <w:rPr>
                <w:rFonts w:ascii="Arial" w:hAnsi="Arial" w:cs="Arial"/>
                <w:sz w:val="14"/>
                <w:szCs w:val="14"/>
                <w:lang w:eastAsia="en-AU"/>
              </w:rPr>
              <w:t>Plantation type</w:t>
            </w:r>
          </w:p>
        </w:tc>
        <w:tc>
          <w:tcPr>
            <w:tcW w:w="272" w:type="pct"/>
            <w:tcBorders>
              <w:top w:val="nil"/>
              <w:left w:val="single" w:sz="8" w:space="0" w:color="auto"/>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4"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State</w:t>
            </w:r>
          </w:p>
        </w:tc>
        <w:tc>
          <w:tcPr>
            <w:tcW w:w="365"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5" w14:textId="77777777" w:rsidR="008202AE" w:rsidRPr="00D924C9" w:rsidRDefault="006C03A0" w:rsidP="00924D17">
            <w:pPr>
              <w:jc w:val="center"/>
              <w:rPr>
                <w:rFonts w:ascii="Arial" w:hAnsi="Arial" w:cs="Arial"/>
                <w:sz w:val="14"/>
                <w:szCs w:val="14"/>
                <w:lang w:eastAsia="en-AU"/>
              </w:rPr>
            </w:pPr>
            <w:r w:rsidRPr="00D924C9">
              <w:rPr>
                <w:rFonts w:ascii="Arial" w:hAnsi="Arial" w:cs="Arial"/>
                <w:sz w:val="14"/>
                <w:szCs w:val="14"/>
                <w:lang w:eastAsia="en-AU"/>
              </w:rPr>
              <w:t>Share farm</w:t>
            </w:r>
          </w:p>
        </w:tc>
        <w:tc>
          <w:tcPr>
            <w:tcW w:w="272" w:type="pct"/>
            <w:tcBorders>
              <w:top w:val="nil"/>
              <w:left w:val="nil"/>
              <w:bottom w:val="single" w:sz="8" w:space="0" w:color="auto"/>
              <w:right w:val="nil"/>
            </w:tcBorders>
            <w:shd w:val="clear" w:color="auto" w:fill="DFEFE1" w:themeFill="accent3" w:themeFillTint="66"/>
            <w:noWrap/>
            <w:tcMar>
              <w:top w:w="0" w:type="dxa"/>
              <w:left w:w="108" w:type="dxa"/>
              <w:bottom w:w="0" w:type="dxa"/>
              <w:right w:w="108" w:type="dxa"/>
            </w:tcMar>
            <w:vAlign w:val="bottom"/>
            <w:hideMark/>
          </w:tcPr>
          <w:p w14:paraId="26ABD126"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Total</w:t>
            </w:r>
          </w:p>
        </w:tc>
        <w:tc>
          <w:tcPr>
            <w:tcW w:w="272" w:type="pct"/>
            <w:tcBorders>
              <w:top w:val="nil"/>
              <w:left w:val="single" w:sz="8" w:space="0" w:color="auto"/>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7"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State</w:t>
            </w:r>
          </w:p>
        </w:tc>
        <w:tc>
          <w:tcPr>
            <w:tcW w:w="366"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8" w14:textId="77777777" w:rsidR="008202AE" w:rsidRPr="00D924C9" w:rsidRDefault="006C03A0" w:rsidP="00924D17">
            <w:pPr>
              <w:jc w:val="center"/>
              <w:rPr>
                <w:rFonts w:ascii="Arial" w:hAnsi="Arial" w:cs="Arial"/>
                <w:sz w:val="14"/>
                <w:szCs w:val="14"/>
                <w:lang w:eastAsia="en-AU"/>
              </w:rPr>
            </w:pPr>
            <w:r w:rsidRPr="00D924C9">
              <w:rPr>
                <w:rFonts w:ascii="Arial" w:hAnsi="Arial" w:cs="Arial"/>
                <w:sz w:val="14"/>
                <w:szCs w:val="14"/>
                <w:lang w:eastAsia="en-AU"/>
              </w:rPr>
              <w:t>Share farm</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9"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Total</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A"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State</w:t>
            </w:r>
          </w:p>
        </w:tc>
        <w:tc>
          <w:tcPr>
            <w:tcW w:w="366"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B" w14:textId="77777777" w:rsidR="008202AE" w:rsidRPr="00D924C9" w:rsidRDefault="006C03A0" w:rsidP="00924D17">
            <w:pPr>
              <w:jc w:val="center"/>
              <w:rPr>
                <w:rFonts w:ascii="Arial" w:hAnsi="Arial" w:cs="Arial"/>
                <w:sz w:val="14"/>
                <w:szCs w:val="14"/>
                <w:lang w:eastAsia="en-AU"/>
              </w:rPr>
            </w:pPr>
            <w:r w:rsidRPr="00D924C9">
              <w:rPr>
                <w:rFonts w:ascii="Arial" w:hAnsi="Arial" w:cs="Arial"/>
                <w:sz w:val="14"/>
                <w:szCs w:val="14"/>
                <w:lang w:eastAsia="en-AU"/>
              </w:rPr>
              <w:t>Share farm</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C"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Total</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D"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State</w:t>
            </w:r>
          </w:p>
        </w:tc>
        <w:tc>
          <w:tcPr>
            <w:tcW w:w="366"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E" w14:textId="77777777" w:rsidR="008202AE" w:rsidRPr="00D924C9" w:rsidRDefault="006C03A0" w:rsidP="00924D17">
            <w:pPr>
              <w:jc w:val="center"/>
              <w:rPr>
                <w:rFonts w:ascii="Arial" w:hAnsi="Arial" w:cs="Arial"/>
                <w:sz w:val="14"/>
                <w:szCs w:val="14"/>
                <w:lang w:eastAsia="en-AU"/>
              </w:rPr>
            </w:pPr>
            <w:r w:rsidRPr="00D924C9">
              <w:rPr>
                <w:rFonts w:ascii="Arial" w:hAnsi="Arial" w:cs="Arial"/>
                <w:sz w:val="14"/>
                <w:szCs w:val="14"/>
                <w:lang w:eastAsia="en-AU"/>
              </w:rPr>
              <w:t>Share farm</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2F"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Total</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30"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State</w:t>
            </w:r>
          </w:p>
        </w:tc>
        <w:tc>
          <w:tcPr>
            <w:tcW w:w="366"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31" w14:textId="77777777" w:rsidR="008202AE" w:rsidRPr="00D924C9" w:rsidRDefault="006C03A0" w:rsidP="00924D17">
            <w:pPr>
              <w:jc w:val="center"/>
              <w:rPr>
                <w:rFonts w:ascii="Arial" w:hAnsi="Arial" w:cs="Arial"/>
                <w:sz w:val="14"/>
                <w:szCs w:val="14"/>
                <w:lang w:eastAsia="en-AU"/>
              </w:rPr>
            </w:pPr>
            <w:r w:rsidRPr="00D924C9">
              <w:rPr>
                <w:rFonts w:ascii="Arial" w:hAnsi="Arial" w:cs="Arial"/>
                <w:sz w:val="14"/>
                <w:szCs w:val="14"/>
                <w:lang w:eastAsia="en-AU"/>
              </w:rPr>
              <w:t>Share farm</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32" w14:textId="77777777" w:rsidR="008202AE" w:rsidRPr="00D924C9" w:rsidRDefault="008202AE" w:rsidP="00924D17">
            <w:pPr>
              <w:jc w:val="center"/>
              <w:rPr>
                <w:rFonts w:ascii="Arial" w:hAnsi="Arial" w:cs="Arial"/>
                <w:sz w:val="14"/>
                <w:szCs w:val="14"/>
                <w:lang w:eastAsia="en-AU"/>
              </w:rPr>
            </w:pPr>
            <w:r w:rsidRPr="00D924C9">
              <w:rPr>
                <w:rFonts w:ascii="Arial" w:hAnsi="Arial" w:cs="Arial"/>
                <w:sz w:val="14"/>
                <w:szCs w:val="14"/>
                <w:lang w:eastAsia="en-AU"/>
              </w:rPr>
              <w:t>Total</w:t>
            </w:r>
          </w:p>
        </w:tc>
      </w:tr>
      <w:tr w:rsidR="008202AE" w:rsidRPr="00D924C9" w14:paraId="26ABD144" w14:textId="77777777" w:rsidTr="00D934F4">
        <w:trPr>
          <w:trHeight w:val="255"/>
        </w:trPr>
        <w:tc>
          <w:tcPr>
            <w:tcW w:w="449" w:type="pct"/>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26ABD134" w14:textId="77777777" w:rsidR="008202AE" w:rsidRPr="00D924C9" w:rsidRDefault="008202AE" w:rsidP="00924D17">
            <w:pPr>
              <w:rPr>
                <w:rFonts w:ascii="Arial" w:hAnsi="Arial" w:cs="Arial"/>
                <w:sz w:val="14"/>
                <w:szCs w:val="14"/>
                <w:lang w:eastAsia="en-AU"/>
              </w:rPr>
            </w:pPr>
            <w:r w:rsidRPr="00D924C9">
              <w:rPr>
                <w:rFonts w:ascii="Arial" w:hAnsi="Arial" w:cs="Arial"/>
                <w:sz w:val="14"/>
                <w:szCs w:val="14"/>
                <w:lang w:eastAsia="en-AU"/>
              </w:rPr>
              <w:t>Hardwood</w:t>
            </w:r>
          </w:p>
        </w:tc>
        <w:tc>
          <w:tcPr>
            <w:tcW w:w="27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ABD135"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560</w:t>
            </w:r>
          </w:p>
        </w:tc>
        <w:tc>
          <w:tcPr>
            <w:tcW w:w="36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36"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0</w:t>
            </w:r>
          </w:p>
        </w:tc>
        <w:tc>
          <w:tcPr>
            <w:tcW w:w="272" w:type="pct"/>
            <w:tcBorders>
              <w:top w:val="nil"/>
              <w:left w:val="nil"/>
              <w:bottom w:val="single" w:sz="8" w:space="0" w:color="auto"/>
              <w:right w:val="nil"/>
            </w:tcBorders>
            <w:noWrap/>
            <w:tcMar>
              <w:top w:w="0" w:type="dxa"/>
              <w:left w:w="108" w:type="dxa"/>
              <w:bottom w:w="0" w:type="dxa"/>
              <w:right w:w="108" w:type="dxa"/>
            </w:tcMar>
            <w:vAlign w:val="bottom"/>
            <w:hideMark/>
          </w:tcPr>
          <w:p w14:paraId="26ABD137"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560</w:t>
            </w:r>
          </w:p>
        </w:tc>
        <w:tc>
          <w:tcPr>
            <w:tcW w:w="27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ABD138"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460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39"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2,810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3A"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3,270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3B"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380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3C"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3,270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3D"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3,650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3E"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1,260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3F"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1,650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0"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2,910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1"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870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2"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1,720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3"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2,590</w:t>
            </w:r>
          </w:p>
        </w:tc>
      </w:tr>
      <w:tr w:rsidR="008202AE" w:rsidRPr="00D924C9" w14:paraId="26ABD155" w14:textId="77777777" w:rsidTr="00D934F4">
        <w:trPr>
          <w:trHeight w:val="255"/>
        </w:trPr>
        <w:tc>
          <w:tcPr>
            <w:tcW w:w="449" w:type="pct"/>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26ABD145" w14:textId="77777777" w:rsidR="008202AE" w:rsidRPr="00D924C9" w:rsidRDefault="008202AE" w:rsidP="00924D17">
            <w:pPr>
              <w:rPr>
                <w:rFonts w:ascii="Arial" w:hAnsi="Arial" w:cs="Arial"/>
                <w:sz w:val="14"/>
                <w:szCs w:val="14"/>
                <w:lang w:eastAsia="en-AU"/>
              </w:rPr>
            </w:pPr>
            <w:r w:rsidRPr="00D924C9">
              <w:rPr>
                <w:rFonts w:ascii="Arial" w:hAnsi="Arial" w:cs="Arial"/>
                <w:sz w:val="14"/>
                <w:szCs w:val="14"/>
                <w:lang w:eastAsia="en-AU"/>
              </w:rPr>
              <w:t>Softwood</w:t>
            </w:r>
          </w:p>
        </w:tc>
        <w:tc>
          <w:tcPr>
            <w:tcW w:w="27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ABD146"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32,250</w:t>
            </w:r>
          </w:p>
        </w:tc>
        <w:tc>
          <w:tcPr>
            <w:tcW w:w="36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7"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4,730</w:t>
            </w:r>
          </w:p>
        </w:tc>
        <w:tc>
          <w:tcPr>
            <w:tcW w:w="272" w:type="pct"/>
            <w:tcBorders>
              <w:top w:val="nil"/>
              <w:left w:val="nil"/>
              <w:bottom w:val="single" w:sz="8" w:space="0" w:color="auto"/>
              <w:right w:val="nil"/>
            </w:tcBorders>
            <w:noWrap/>
            <w:tcMar>
              <w:top w:w="0" w:type="dxa"/>
              <w:left w:w="108" w:type="dxa"/>
              <w:bottom w:w="0" w:type="dxa"/>
              <w:right w:w="108" w:type="dxa"/>
            </w:tcMar>
            <w:vAlign w:val="bottom"/>
            <w:hideMark/>
          </w:tcPr>
          <w:p w14:paraId="26ABD148"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36,980</w:t>
            </w:r>
          </w:p>
        </w:tc>
        <w:tc>
          <w:tcPr>
            <w:tcW w:w="27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ABD149"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32,220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A"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7,050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B"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39,270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C"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31,370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D"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7,410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E"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38,780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4F"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33,140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0"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7,050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1"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40,190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2"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35,090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3"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7,800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4"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42,890</w:t>
            </w:r>
          </w:p>
        </w:tc>
      </w:tr>
      <w:tr w:rsidR="008202AE" w:rsidRPr="00D924C9" w14:paraId="26ABD166" w14:textId="77777777" w:rsidTr="00D934F4">
        <w:trPr>
          <w:trHeight w:val="255"/>
        </w:trPr>
        <w:tc>
          <w:tcPr>
            <w:tcW w:w="449" w:type="pct"/>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26ABD156" w14:textId="77777777" w:rsidR="008202AE" w:rsidRPr="00D924C9" w:rsidRDefault="008202AE" w:rsidP="00924D17">
            <w:pPr>
              <w:rPr>
                <w:rFonts w:ascii="Arial" w:hAnsi="Arial" w:cs="Arial"/>
                <w:sz w:val="14"/>
                <w:szCs w:val="14"/>
                <w:lang w:eastAsia="en-AU"/>
              </w:rPr>
            </w:pPr>
            <w:r w:rsidRPr="00D924C9">
              <w:rPr>
                <w:rFonts w:ascii="Arial" w:hAnsi="Arial" w:cs="Arial"/>
                <w:sz w:val="14"/>
                <w:szCs w:val="14"/>
                <w:lang w:eastAsia="en-AU"/>
              </w:rPr>
              <w:t>Sandalwood</w:t>
            </w:r>
          </w:p>
        </w:tc>
        <w:tc>
          <w:tcPr>
            <w:tcW w:w="27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ABD157"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n/a</w:t>
            </w:r>
          </w:p>
        </w:tc>
        <w:tc>
          <w:tcPr>
            <w:tcW w:w="36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8"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n/a</w:t>
            </w:r>
          </w:p>
        </w:tc>
        <w:tc>
          <w:tcPr>
            <w:tcW w:w="272" w:type="pct"/>
            <w:tcBorders>
              <w:top w:val="nil"/>
              <w:left w:val="nil"/>
              <w:bottom w:val="single" w:sz="8" w:space="0" w:color="auto"/>
              <w:right w:val="nil"/>
            </w:tcBorders>
            <w:noWrap/>
            <w:tcMar>
              <w:top w:w="0" w:type="dxa"/>
              <w:left w:w="108" w:type="dxa"/>
              <w:bottom w:w="0" w:type="dxa"/>
              <w:right w:w="108" w:type="dxa"/>
            </w:tcMar>
            <w:vAlign w:val="bottom"/>
            <w:hideMark/>
          </w:tcPr>
          <w:p w14:paraId="26ABD159"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n/a</w:t>
            </w:r>
          </w:p>
        </w:tc>
        <w:tc>
          <w:tcPr>
            <w:tcW w:w="27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ABD15A"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n/a</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B"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n/a</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C"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n/a</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D"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E"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120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5F"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120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0"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1"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160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2"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170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3"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4"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160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5"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170</w:t>
            </w:r>
          </w:p>
        </w:tc>
      </w:tr>
      <w:tr w:rsidR="008202AE" w:rsidRPr="00D924C9" w14:paraId="26ABD177" w14:textId="77777777" w:rsidTr="00D934F4">
        <w:trPr>
          <w:trHeight w:val="255"/>
        </w:trPr>
        <w:tc>
          <w:tcPr>
            <w:tcW w:w="449" w:type="pct"/>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26ABD167" w14:textId="77777777" w:rsidR="008202AE" w:rsidRPr="00D924C9" w:rsidRDefault="008202AE" w:rsidP="00924D17">
            <w:pPr>
              <w:rPr>
                <w:rFonts w:ascii="Arial" w:hAnsi="Arial" w:cs="Arial"/>
                <w:sz w:val="14"/>
                <w:szCs w:val="14"/>
                <w:lang w:eastAsia="en-AU"/>
              </w:rPr>
            </w:pPr>
            <w:r w:rsidRPr="00D924C9">
              <w:rPr>
                <w:rFonts w:ascii="Arial" w:hAnsi="Arial" w:cs="Arial"/>
                <w:sz w:val="14"/>
                <w:szCs w:val="14"/>
                <w:lang w:eastAsia="en-AU"/>
              </w:rPr>
              <w:t>Fallow</w:t>
            </w:r>
          </w:p>
        </w:tc>
        <w:tc>
          <w:tcPr>
            <w:tcW w:w="27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ABD168"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n/a</w:t>
            </w:r>
          </w:p>
        </w:tc>
        <w:tc>
          <w:tcPr>
            <w:tcW w:w="36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9"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n/a</w:t>
            </w:r>
          </w:p>
        </w:tc>
        <w:tc>
          <w:tcPr>
            <w:tcW w:w="272" w:type="pct"/>
            <w:tcBorders>
              <w:top w:val="nil"/>
              <w:left w:val="nil"/>
              <w:bottom w:val="single" w:sz="8" w:space="0" w:color="auto"/>
              <w:right w:val="nil"/>
            </w:tcBorders>
            <w:noWrap/>
            <w:tcMar>
              <w:top w:w="0" w:type="dxa"/>
              <w:left w:w="108" w:type="dxa"/>
              <w:bottom w:w="0" w:type="dxa"/>
              <w:right w:w="108" w:type="dxa"/>
            </w:tcMar>
            <w:vAlign w:val="bottom"/>
            <w:hideMark/>
          </w:tcPr>
          <w:p w14:paraId="26ABD16A"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n/a</w:t>
            </w:r>
          </w:p>
        </w:tc>
        <w:tc>
          <w:tcPr>
            <w:tcW w:w="27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ABD16B"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1,970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C"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D"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1,970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E"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3,550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6F"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90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70"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3,640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71"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1,920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72"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440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73"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2,360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74"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1,570</w:t>
            </w:r>
          </w:p>
        </w:tc>
        <w:tc>
          <w:tcPr>
            <w:tcW w:w="36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75"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470</w:t>
            </w:r>
          </w:p>
        </w:tc>
        <w:tc>
          <w:tcPr>
            <w:tcW w:w="27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BD176"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2,040</w:t>
            </w:r>
          </w:p>
        </w:tc>
      </w:tr>
      <w:tr w:rsidR="006C03A0" w:rsidRPr="00D924C9" w14:paraId="26ABD188" w14:textId="77777777" w:rsidTr="00D934F4">
        <w:trPr>
          <w:trHeight w:val="270"/>
        </w:trPr>
        <w:tc>
          <w:tcPr>
            <w:tcW w:w="449" w:type="pct"/>
            <w:tcBorders>
              <w:top w:val="nil"/>
              <w:left w:val="single" w:sz="8" w:space="0" w:color="auto"/>
              <w:bottom w:val="single" w:sz="8" w:space="0" w:color="auto"/>
              <w:right w:val="nil"/>
            </w:tcBorders>
            <w:shd w:val="clear" w:color="auto" w:fill="DFEFE1" w:themeFill="accent3" w:themeFillTint="66"/>
            <w:noWrap/>
            <w:tcMar>
              <w:top w:w="0" w:type="dxa"/>
              <w:left w:w="108" w:type="dxa"/>
              <w:bottom w:w="0" w:type="dxa"/>
              <w:right w:w="108" w:type="dxa"/>
            </w:tcMar>
            <w:vAlign w:val="bottom"/>
            <w:hideMark/>
          </w:tcPr>
          <w:p w14:paraId="26ABD178" w14:textId="77777777" w:rsidR="008202AE" w:rsidRPr="00D924C9" w:rsidRDefault="008202AE" w:rsidP="00924D17">
            <w:pPr>
              <w:rPr>
                <w:rFonts w:ascii="Arial" w:hAnsi="Arial" w:cs="Arial"/>
                <w:sz w:val="14"/>
                <w:szCs w:val="14"/>
                <w:lang w:eastAsia="en-AU"/>
              </w:rPr>
            </w:pPr>
            <w:r w:rsidRPr="00D924C9">
              <w:rPr>
                <w:rFonts w:ascii="Arial" w:hAnsi="Arial" w:cs="Arial"/>
                <w:sz w:val="14"/>
                <w:szCs w:val="14"/>
                <w:lang w:eastAsia="en-AU"/>
              </w:rPr>
              <w:t>Total</w:t>
            </w:r>
          </w:p>
        </w:tc>
        <w:tc>
          <w:tcPr>
            <w:tcW w:w="272" w:type="pct"/>
            <w:tcBorders>
              <w:top w:val="nil"/>
              <w:left w:val="single" w:sz="8" w:space="0" w:color="auto"/>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79"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32,810</w:t>
            </w:r>
          </w:p>
        </w:tc>
        <w:tc>
          <w:tcPr>
            <w:tcW w:w="365"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7A"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4,730</w:t>
            </w:r>
          </w:p>
        </w:tc>
        <w:tc>
          <w:tcPr>
            <w:tcW w:w="272" w:type="pct"/>
            <w:tcBorders>
              <w:top w:val="nil"/>
              <w:left w:val="nil"/>
              <w:bottom w:val="single" w:sz="8" w:space="0" w:color="auto"/>
              <w:right w:val="nil"/>
            </w:tcBorders>
            <w:shd w:val="clear" w:color="auto" w:fill="DFEFE1" w:themeFill="accent3" w:themeFillTint="66"/>
            <w:noWrap/>
            <w:tcMar>
              <w:top w:w="0" w:type="dxa"/>
              <w:left w:w="108" w:type="dxa"/>
              <w:bottom w:w="0" w:type="dxa"/>
              <w:right w:w="108" w:type="dxa"/>
            </w:tcMar>
            <w:vAlign w:val="bottom"/>
            <w:hideMark/>
          </w:tcPr>
          <w:p w14:paraId="26ABD17B"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37,540</w:t>
            </w:r>
          </w:p>
        </w:tc>
        <w:tc>
          <w:tcPr>
            <w:tcW w:w="272" w:type="pct"/>
            <w:tcBorders>
              <w:top w:val="nil"/>
              <w:left w:val="single" w:sz="8" w:space="0" w:color="auto"/>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7C"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34,650</w:t>
            </w:r>
          </w:p>
        </w:tc>
        <w:tc>
          <w:tcPr>
            <w:tcW w:w="366"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7D"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9,860</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7E"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44,510</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7F"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35,300</w:t>
            </w:r>
          </w:p>
        </w:tc>
        <w:tc>
          <w:tcPr>
            <w:tcW w:w="366"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80"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10,890</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81"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46,190</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82"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36,330</w:t>
            </w:r>
          </w:p>
        </w:tc>
        <w:tc>
          <w:tcPr>
            <w:tcW w:w="366"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83"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9,300</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84"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45,630</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85"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37,540</w:t>
            </w:r>
          </w:p>
        </w:tc>
        <w:tc>
          <w:tcPr>
            <w:tcW w:w="366"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86"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10,150</w:t>
            </w:r>
          </w:p>
        </w:tc>
        <w:tc>
          <w:tcPr>
            <w:tcW w:w="272" w:type="pct"/>
            <w:tcBorders>
              <w:top w:val="nil"/>
              <w:left w:val="nil"/>
              <w:bottom w:val="single" w:sz="8" w:space="0" w:color="auto"/>
              <w:right w:val="single" w:sz="8" w:space="0" w:color="auto"/>
            </w:tcBorders>
            <w:shd w:val="clear" w:color="auto" w:fill="DFEFE1" w:themeFill="accent3" w:themeFillTint="66"/>
            <w:noWrap/>
            <w:tcMar>
              <w:top w:w="0" w:type="dxa"/>
              <w:left w:w="108" w:type="dxa"/>
              <w:bottom w:w="0" w:type="dxa"/>
              <w:right w:w="108" w:type="dxa"/>
            </w:tcMar>
            <w:vAlign w:val="bottom"/>
            <w:hideMark/>
          </w:tcPr>
          <w:p w14:paraId="26ABD187" w14:textId="77777777" w:rsidR="008202AE" w:rsidRPr="00D924C9" w:rsidRDefault="008202AE" w:rsidP="00924D17">
            <w:pPr>
              <w:jc w:val="right"/>
              <w:rPr>
                <w:rFonts w:ascii="Arial" w:hAnsi="Arial" w:cs="Arial"/>
                <w:sz w:val="14"/>
                <w:szCs w:val="14"/>
                <w:lang w:eastAsia="en-AU"/>
              </w:rPr>
            </w:pPr>
            <w:r w:rsidRPr="00D924C9">
              <w:rPr>
                <w:rFonts w:ascii="Arial" w:hAnsi="Arial" w:cs="Arial"/>
                <w:sz w:val="14"/>
                <w:szCs w:val="14"/>
                <w:lang w:eastAsia="en-AU"/>
              </w:rPr>
              <w:t>47,690</w:t>
            </w:r>
          </w:p>
        </w:tc>
      </w:tr>
    </w:tbl>
    <w:p w14:paraId="26ABD18A" w14:textId="77777777" w:rsidR="00DB510B" w:rsidRPr="00CE60B2" w:rsidRDefault="00DB510B" w:rsidP="008A4979">
      <w:pPr>
        <w:pStyle w:val="Heading3"/>
        <w:rPr>
          <w:lang w:eastAsia="en-AU"/>
        </w:rPr>
      </w:pPr>
      <w:bookmarkStart w:id="118" w:name="_Toc2776052"/>
      <w:r w:rsidRPr="00CE60B2">
        <w:rPr>
          <w:lang w:eastAsia="en-AU"/>
        </w:rPr>
        <w:t>Indicator 2.1c</w:t>
      </w:r>
      <w:r w:rsidRPr="00CE60B2">
        <w:rPr>
          <w:lang w:eastAsia="en-AU"/>
        </w:rPr>
        <w:tab/>
        <w:t>Annual removal of wood products compared to the volume determined to be sustainable for native forests and future yields for plantations</w:t>
      </w:r>
      <w:bookmarkEnd w:id="116"/>
      <w:bookmarkEnd w:id="118"/>
    </w:p>
    <w:p w14:paraId="26ABD18B" w14:textId="77777777" w:rsidR="00E40B48" w:rsidRPr="00CE60B2" w:rsidRDefault="00E40B48" w:rsidP="00E40B48">
      <w:pPr>
        <w:rPr>
          <w:rFonts w:cs="Segoe UI"/>
          <w:color w:val="000000" w:themeColor="text1"/>
        </w:rPr>
      </w:pPr>
      <w:bookmarkStart w:id="119" w:name="_Toc524952810"/>
      <w:r w:rsidRPr="00CE60B2">
        <w:rPr>
          <w:rFonts w:cs="Segoe UI"/>
          <w:color w:val="000000" w:themeColor="text1"/>
        </w:rPr>
        <w:t xml:space="preserve">This indicator measures the harvest levels of wood products in relation to sustainable and predicted yields. </w:t>
      </w:r>
      <w:r w:rsidR="00BC647F">
        <w:rPr>
          <w:rFonts w:cs="Segoe UI"/>
          <w:color w:val="000000" w:themeColor="text1"/>
        </w:rPr>
        <w:t xml:space="preserve">These products can represent a significant asset base supporting the livelihoods of </w:t>
      </w:r>
      <w:r w:rsidR="008A4C96">
        <w:rPr>
          <w:rFonts w:cs="Segoe UI"/>
          <w:color w:val="000000" w:themeColor="text1"/>
        </w:rPr>
        <w:t>re</w:t>
      </w:r>
      <w:r w:rsidR="0078465C">
        <w:rPr>
          <w:rFonts w:cs="Segoe UI"/>
          <w:color w:val="000000" w:themeColor="text1"/>
        </w:rPr>
        <w:t>gional</w:t>
      </w:r>
      <w:r w:rsidR="00BC647F">
        <w:rPr>
          <w:rFonts w:cs="Segoe UI"/>
          <w:color w:val="000000" w:themeColor="text1"/>
        </w:rPr>
        <w:t xml:space="preserve"> communities. </w:t>
      </w:r>
      <w:r w:rsidRPr="00CE60B2">
        <w:rPr>
          <w:rFonts w:cs="Segoe UI"/>
          <w:color w:val="000000" w:themeColor="text1"/>
        </w:rPr>
        <w:t>The capacity to implement strategies to deal with changing demand for forest products based on predicted yields from both native and plantation forests is an integral part of sustainable forest management.</w:t>
      </w:r>
    </w:p>
    <w:p w14:paraId="26ABD18C" w14:textId="77777777" w:rsidR="00E40B48" w:rsidRPr="00CE60B2" w:rsidRDefault="00E40B48" w:rsidP="008A4979">
      <w:pPr>
        <w:pStyle w:val="Heading4"/>
        <w:rPr>
          <w:rFonts w:cs="Segoe UI"/>
        </w:rPr>
      </w:pPr>
      <w:r w:rsidRPr="00CE60B2">
        <w:rPr>
          <w:rFonts w:cs="Segoe UI"/>
        </w:rPr>
        <w:t>Sustainable yield from native forests</w:t>
      </w:r>
    </w:p>
    <w:p w14:paraId="26ABD18D" w14:textId="77777777" w:rsidR="00E40B48" w:rsidRPr="00CE60B2" w:rsidRDefault="00E40B48" w:rsidP="00E40B48">
      <w:pPr>
        <w:rPr>
          <w:rFonts w:cs="Segoe UI"/>
          <w:color w:val="000000" w:themeColor="text1"/>
        </w:rPr>
      </w:pPr>
      <w:r w:rsidRPr="00CE60B2">
        <w:rPr>
          <w:rFonts w:cs="Segoe UI"/>
          <w:color w:val="000000" w:themeColor="text1"/>
        </w:rPr>
        <w:t>Calculated sustainable yield is the estimated volume of wood that can be removed each year while ensuring maintenance of functions within native forest systems as a whole. Sustainable yield volumes vary over time according to changing management strategies and utilisation standards, improved resource data, and changes in the net area of native forest available for wood harvesting.</w:t>
      </w:r>
    </w:p>
    <w:p w14:paraId="26ABD18E" w14:textId="77777777" w:rsidR="00E40B48" w:rsidRPr="00CE60B2" w:rsidRDefault="00E40B48" w:rsidP="00E40B48">
      <w:pPr>
        <w:rPr>
          <w:rFonts w:cs="Segoe UI"/>
          <w:color w:val="000000" w:themeColor="text1"/>
        </w:rPr>
      </w:pPr>
      <w:r w:rsidRPr="00CE60B2">
        <w:rPr>
          <w:rFonts w:cs="Segoe UI"/>
          <w:color w:val="000000" w:themeColor="text1"/>
        </w:rPr>
        <w:t xml:space="preserve">The sustained yield for the period pre-dating the RFA was calculated in 1993 for the period of the </w:t>
      </w:r>
      <w:r w:rsidR="0070699E">
        <w:rPr>
          <w:rFonts w:cs="Segoe UI"/>
          <w:color w:val="000000" w:themeColor="text1"/>
        </w:rPr>
        <w:t>FMP </w:t>
      </w:r>
      <w:r w:rsidRPr="00CE60B2">
        <w:rPr>
          <w:rFonts w:cs="Segoe UI"/>
          <w:color w:val="000000" w:themeColor="text1"/>
        </w:rPr>
        <w:t>1994-2003. The sustain</w:t>
      </w:r>
      <w:r w:rsidR="0078465C">
        <w:rPr>
          <w:rFonts w:cs="Segoe UI"/>
          <w:color w:val="000000" w:themeColor="text1"/>
        </w:rPr>
        <w:t>ed</w:t>
      </w:r>
      <w:r w:rsidR="00BB4D90">
        <w:rPr>
          <w:rFonts w:cs="Segoe UI"/>
          <w:color w:val="000000" w:themeColor="text1"/>
        </w:rPr>
        <w:t xml:space="preserve"> yield figure of 704,000 cubic metres consisted of 214,000 cubic </w:t>
      </w:r>
      <w:r w:rsidRPr="00CE60B2">
        <w:rPr>
          <w:rFonts w:cs="Segoe UI"/>
          <w:color w:val="000000" w:themeColor="text1"/>
        </w:rPr>
        <w:t xml:space="preserve">metres of first grade karri </w:t>
      </w:r>
      <w:r w:rsidR="00BB4D90">
        <w:rPr>
          <w:rFonts w:cs="Segoe UI"/>
          <w:color w:val="000000" w:themeColor="text1"/>
        </w:rPr>
        <w:t>sawlogs and 490,000 cubic </w:t>
      </w:r>
      <w:r w:rsidRPr="00CE60B2">
        <w:rPr>
          <w:rFonts w:cs="Segoe UI"/>
          <w:color w:val="000000" w:themeColor="text1"/>
        </w:rPr>
        <w:t>metres of jarrah first and second grade sawlogs.</w:t>
      </w:r>
    </w:p>
    <w:p w14:paraId="26ABD18F" w14:textId="77777777" w:rsidR="00E40B48" w:rsidRPr="00CE60B2" w:rsidRDefault="00E40B48" w:rsidP="00E40B48">
      <w:pPr>
        <w:rPr>
          <w:rFonts w:cs="Segoe UI"/>
          <w:color w:val="000000" w:themeColor="text1"/>
        </w:rPr>
      </w:pPr>
      <w:r w:rsidRPr="00CE60B2">
        <w:rPr>
          <w:rFonts w:cs="Segoe UI"/>
          <w:color w:val="000000" w:themeColor="text1"/>
        </w:rPr>
        <w:t xml:space="preserve">The WA RFA reduced the sustained </w:t>
      </w:r>
      <w:r w:rsidR="00BB4D90">
        <w:rPr>
          <w:rFonts w:cs="Segoe UI"/>
          <w:color w:val="000000" w:themeColor="text1"/>
        </w:rPr>
        <w:t>yield level for the period 1999</w:t>
      </w:r>
      <w:r w:rsidR="00BB4D90">
        <w:rPr>
          <w:rFonts w:cs="Segoe UI"/>
          <w:color w:val="000000" w:themeColor="text1"/>
        </w:rPr>
        <w:noBreakHyphen/>
        <w:t>2003 to 186,000 cubic </w:t>
      </w:r>
      <w:r w:rsidRPr="00CE60B2">
        <w:rPr>
          <w:rFonts w:cs="Segoe UI"/>
          <w:color w:val="000000" w:themeColor="text1"/>
        </w:rPr>
        <w:t>metres of first and</w:t>
      </w:r>
      <w:r w:rsidR="00BB4D90">
        <w:rPr>
          <w:rFonts w:cs="Segoe UI"/>
          <w:color w:val="000000" w:themeColor="text1"/>
        </w:rPr>
        <w:t xml:space="preserve"> second grade karri and 324,000 cubic </w:t>
      </w:r>
      <w:r w:rsidRPr="00CE60B2">
        <w:rPr>
          <w:rFonts w:cs="Segoe UI"/>
          <w:color w:val="000000" w:themeColor="text1"/>
        </w:rPr>
        <w:t>metres of first and second grade jarrah sawlogs</w:t>
      </w:r>
      <w:r w:rsidR="00BB4D90">
        <w:rPr>
          <w:rFonts w:cs="Segoe UI"/>
          <w:color w:val="000000" w:themeColor="text1"/>
        </w:rPr>
        <w:t xml:space="preserve"> per annum. For the period 2004</w:t>
      </w:r>
      <w:r w:rsidR="00BB4D90">
        <w:rPr>
          <w:rFonts w:cs="Segoe UI"/>
          <w:color w:val="000000" w:themeColor="text1"/>
        </w:rPr>
        <w:noBreakHyphen/>
      </w:r>
      <w:r w:rsidRPr="00CE60B2">
        <w:rPr>
          <w:rFonts w:cs="Segoe UI"/>
          <w:color w:val="000000" w:themeColor="text1"/>
        </w:rPr>
        <w:t xml:space="preserve">2018, the </w:t>
      </w:r>
      <w:r w:rsidR="00BB4D90">
        <w:rPr>
          <w:rFonts w:cs="Segoe UI"/>
          <w:color w:val="000000" w:themeColor="text1"/>
        </w:rPr>
        <w:t>WA </w:t>
      </w:r>
      <w:r w:rsidRPr="00CE60B2">
        <w:rPr>
          <w:rFonts w:cs="Segoe UI"/>
          <w:color w:val="000000" w:themeColor="text1"/>
        </w:rPr>
        <w:t>RFA set su</w:t>
      </w:r>
      <w:r w:rsidR="00BB4D90">
        <w:rPr>
          <w:rFonts w:cs="Segoe UI"/>
          <w:color w:val="000000" w:themeColor="text1"/>
        </w:rPr>
        <w:t>stained yield levels of 178,000 cubic metres per </w:t>
      </w:r>
      <w:r w:rsidRPr="00CE60B2">
        <w:rPr>
          <w:rFonts w:cs="Segoe UI"/>
          <w:color w:val="000000" w:themeColor="text1"/>
        </w:rPr>
        <w:t>annum of karri first and second grade sawlogs and 286,000</w:t>
      </w:r>
      <w:r w:rsidR="00BB4D90">
        <w:rPr>
          <w:rFonts w:cs="Segoe UI"/>
          <w:color w:val="000000" w:themeColor="text1"/>
        </w:rPr>
        <w:t> </w:t>
      </w:r>
      <w:r w:rsidRPr="00CE60B2">
        <w:rPr>
          <w:rFonts w:cs="Segoe UI"/>
          <w:color w:val="000000" w:themeColor="text1"/>
        </w:rPr>
        <w:t>cubic</w:t>
      </w:r>
      <w:r w:rsidR="0080535D">
        <w:rPr>
          <w:rFonts w:cs="Segoe UI"/>
          <w:color w:val="000000" w:themeColor="text1"/>
        </w:rPr>
        <w:t> </w:t>
      </w:r>
      <w:r w:rsidRPr="00CE60B2">
        <w:rPr>
          <w:rFonts w:cs="Segoe UI"/>
          <w:color w:val="000000" w:themeColor="text1"/>
        </w:rPr>
        <w:t>metres of jarrah first and second grade sawlogs.</w:t>
      </w:r>
    </w:p>
    <w:p w14:paraId="26ABD190" w14:textId="77777777" w:rsidR="00E40B48" w:rsidRPr="00CE60B2" w:rsidRDefault="00E40B48" w:rsidP="00E40B48">
      <w:pPr>
        <w:rPr>
          <w:rFonts w:cs="Segoe UI"/>
          <w:color w:val="000000" w:themeColor="text1"/>
        </w:rPr>
      </w:pPr>
      <w:r w:rsidRPr="00CE60B2">
        <w:rPr>
          <w:rFonts w:cs="Segoe UI"/>
          <w:color w:val="000000" w:themeColor="text1"/>
        </w:rPr>
        <w:t xml:space="preserve">A further, more significant reduction in the sustained yield figure took effect with the release of the </w:t>
      </w:r>
      <w:r w:rsidR="0070699E">
        <w:rPr>
          <w:rFonts w:cs="Segoe UI"/>
          <w:color w:val="000000" w:themeColor="text1"/>
        </w:rPr>
        <w:t>FMP </w:t>
      </w:r>
      <w:r w:rsidR="0080535D">
        <w:rPr>
          <w:rFonts w:cs="Segoe UI"/>
          <w:color w:val="000000" w:themeColor="text1"/>
        </w:rPr>
        <w:t>2004</w:t>
      </w:r>
      <w:r w:rsidR="0080535D">
        <w:rPr>
          <w:rFonts w:cs="Segoe UI"/>
          <w:color w:val="000000" w:themeColor="text1"/>
        </w:rPr>
        <w:noBreakHyphen/>
      </w:r>
      <w:r w:rsidRPr="00CE60B2">
        <w:rPr>
          <w:rFonts w:cs="Segoe UI"/>
          <w:color w:val="000000" w:themeColor="text1"/>
        </w:rPr>
        <w:t>2013. The revised figures during this period allow</w:t>
      </w:r>
      <w:r w:rsidR="0080535D">
        <w:rPr>
          <w:rFonts w:cs="Segoe UI"/>
          <w:color w:val="000000" w:themeColor="text1"/>
        </w:rPr>
        <w:t>ed for up to 54,000 and 131,000 cubic metres per </w:t>
      </w:r>
      <w:r w:rsidRPr="00CE60B2">
        <w:rPr>
          <w:rFonts w:cs="Segoe UI"/>
          <w:color w:val="000000" w:themeColor="text1"/>
        </w:rPr>
        <w:t xml:space="preserve">annum of karri and jarrah first and second grade sawlogs. This reduction (and deviation from the levels expected for this period under the RFA) was largely </w:t>
      </w:r>
      <w:r w:rsidRPr="00CE60B2">
        <w:rPr>
          <w:rFonts w:cs="Segoe UI"/>
          <w:color w:val="000000" w:themeColor="text1"/>
        </w:rPr>
        <w:lastRenderedPageBreak/>
        <w:t xml:space="preserve">due to the implementation of the </w:t>
      </w:r>
      <w:r w:rsidRPr="00CE60B2">
        <w:rPr>
          <w:rFonts w:cs="Segoe UI"/>
          <w:i/>
          <w:color w:val="000000" w:themeColor="text1"/>
        </w:rPr>
        <w:t xml:space="preserve">Protecting our </w:t>
      </w:r>
      <w:r w:rsidR="007416C5">
        <w:rPr>
          <w:rFonts w:cs="Segoe UI"/>
          <w:i/>
          <w:color w:val="000000" w:themeColor="text1"/>
        </w:rPr>
        <w:t>O</w:t>
      </w:r>
      <w:r w:rsidRPr="00CE60B2">
        <w:rPr>
          <w:rFonts w:cs="Segoe UI"/>
          <w:i/>
          <w:color w:val="000000" w:themeColor="text1"/>
        </w:rPr>
        <w:t xml:space="preserve">ld-growth </w:t>
      </w:r>
      <w:r w:rsidR="007416C5">
        <w:rPr>
          <w:rFonts w:cs="Segoe UI"/>
          <w:i/>
          <w:color w:val="000000" w:themeColor="text1"/>
        </w:rPr>
        <w:t>F</w:t>
      </w:r>
      <w:r w:rsidRPr="00CE60B2">
        <w:rPr>
          <w:rFonts w:cs="Segoe UI"/>
          <w:i/>
          <w:color w:val="000000" w:themeColor="text1"/>
        </w:rPr>
        <w:t>orests</w:t>
      </w:r>
      <w:r w:rsidRPr="00CE60B2">
        <w:rPr>
          <w:rFonts w:cs="Segoe UI"/>
          <w:color w:val="000000" w:themeColor="text1"/>
        </w:rPr>
        <w:t xml:space="preserve"> policy, and the consequent reduction in forest area available for timber production.</w:t>
      </w:r>
    </w:p>
    <w:p w14:paraId="26ABD191" w14:textId="1EE35416" w:rsidR="00E40B48" w:rsidRPr="00CE60B2" w:rsidRDefault="000727CD" w:rsidP="00E40B48">
      <w:pPr>
        <w:rPr>
          <w:rFonts w:cs="Segoe UI"/>
          <w:color w:val="000000" w:themeColor="text1"/>
        </w:rPr>
      </w:pPr>
      <w:r>
        <w:rPr>
          <w:rFonts w:cs="Segoe UI"/>
          <w:color w:val="000000" w:themeColor="text1"/>
        </w:rPr>
        <w:fldChar w:fldCharType="begin"/>
      </w:r>
      <w:r>
        <w:rPr>
          <w:rFonts w:cs="Segoe UI"/>
          <w:color w:val="000000" w:themeColor="text1"/>
        </w:rPr>
        <w:instrText xml:space="preserve"> REF _Ref527460776 </w:instrText>
      </w:r>
      <w:r>
        <w:rPr>
          <w:rFonts w:cs="Segoe UI"/>
          <w:color w:val="000000" w:themeColor="text1"/>
        </w:rPr>
        <w:fldChar w:fldCharType="separate"/>
      </w:r>
      <w:r w:rsidR="003C7091">
        <w:t xml:space="preserve">Table </w:t>
      </w:r>
      <w:r w:rsidR="003C7091">
        <w:rPr>
          <w:noProof/>
        </w:rPr>
        <w:t>22</w:t>
      </w:r>
      <w:r>
        <w:rPr>
          <w:rFonts w:cs="Segoe UI"/>
          <w:color w:val="000000" w:themeColor="text1"/>
        </w:rPr>
        <w:fldChar w:fldCharType="end"/>
      </w:r>
      <w:r>
        <w:rPr>
          <w:rFonts w:cs="Segoe UI"/>
          <w:color w:val="000000" w:themeColor="text1"/>
        </w:rPr>
        <w:t xml:space="preserve"> </w:t>
      </w:r>
      <w:r w:rsidR="00E40B48" w:rsidRPr="00CE60B2">
        <w:rPr>
          <w:rFonts w:cs="Segoe UI"/>
          <w:color w:val="000000" w:themeColor="text1"/>
        </w:rPr>
        <w:t>below shows the actual annual volume removed compared to the allowable harvest levels over the RFA period. The volume of sawlogs harvested from public native forests has remained within sustain</w:t>
      </w:r>
      <w:r w:rsidR="00B716BC">
        <w:rPr>
          <w:rFonts w:cs="Segoe UI"/>
          <w:color w:val="000000" w:themeColor="text1"/>
        </w:rPr>
        <w:t>ed</w:t>
      </w:r>
      <w:r w:rsidR="00E40B48" w:rsidRPr="00CE60B2">
        <w:rPr>
          <w:rFonts w:cs="Segoe UI"/>
          <w:color w:val="000000" w:themeColor="text1"/>
        </w:rPr>
        <w:t xml:space="preserve"> levels over the entire period of the RFA. </w:t>
      </w:r>
    </w:p>
    <w:p w14:paraId="26ABD192" w14:textId="2C27ABD7" w:rsidR="000727CD" w:rsidRDefault="000727CD" w:rsidP="000727CD">
      <w:pPr>
        <w:pStyle w:val="Caption"/>
        <w:keepNext/>
      </w:pPr>
      <w:bookmarkStart w:id="120" w:name="_Ref527460776"/>
      <w:bookmarkStart w:id="121" w:name="_Toc531002183"/>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22</w:t>
      </w:r>
      <w:r w:rsidR="005C10D4">
        <w:rPr>
          <w:noProof/>
        </w:rPr>
        <w:fldChar w:fldCharType="end"/>
      </w:r>
      <w:bookmarkEnd w:id="120"/>
      <w:r>
        <w:t xml:space="preserve">: </w:t>
      </w:r>
      <w:r w:rsidRPr="009C5635">
        <w:t>Annual sustained yield and volume removed from public native forests in WA</w:t>
      </w:r>
      <w:bookmarkEnd w:id="121"/>
    </w:p>
    <w:tbl>
      <w:tblPr>
        <w:tblStyle w:val="dpitablestyle"/>
        <w:tblW w:w="5011"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298"/>
        <w:gridCol w:w="1298"/>
        <w:gridCol w:w="1297"/>
        <w:gridCol w:w="1297"/>
        <w:gridCol w:w="1297"/>
        <w:gridCol w:w="1295"/>
      </w:tblGrid>
      <w:tr w:rsidR="00E40B48" w:rsidRPr="00CE60B2" w14:paraId="26ABD19A" w14:textId="77777777" w:rsidTr="005409DB">
        <w:trPr>
          <w:cnfStyle w:val="100000000000" w:firstRow="1" w:lastRow="0" w:firstColumn="0" w:lastColumn="0" w:oddVBand="0" w:evenVBand="0" w:oddHBand="0" w:evenHBand="0" w:firstRowFirstColumn="0" w:firstRowLastColumn="0" w:lastRowFirstColumn="0" w:lastRowLastColumn="0"/>
        </w:trPr>
        <w:tc>
          <w:tcPr>
            <w:tcW w:w="715" w:type="pct"/>
            <w:tcBorders>
              <w:top w:val="none" w:sz="0" w:space="0" w:color="auto"/>
              <w:left w:val="none" w:sz="0" w:space="0" w:color="auto"/>
              <w:bottom w:val="none" w:sz="0" w:space="0" w:color="auto"/>
              <w:right w:val="none" w:sz="0" w:space="0" w:color="auto"/>
            </w:tcBorders>
            <w:vAlign w:val="center"/>
          </w:tcPr>
          <w:p w14:paraId="26ABD193" w14:textId="77777777" w:rsidR="00E40B48" w:rsidRPr="00CE60B2" w:rsidRDefault="00E40B48" w:rsidP="00C423D1">
            <w:pPr>
              <w:jc w:val="center"/>
              <w:rPr>
                <w:rFonts w:cs="Segoe UI"/>
              </w:rPr>
            </w:pPr>
            <w:r w:rsidRPr="00CE60B2">
              <w:rPr>
                <w:rFonts w:cs="Segoe UI"/>
              </w:rPr>
              <w:t>Public native forest</w:t>
            </w:r>
          </w:p>
        </w:tc>
        <w:tc>
          <w:tcPr>
            <w:tcW w:w="715" w:type="pct"/>
            <w:tcBorders>
              <w:top w:val="none" w:sz="0" w:space="0" w:color="auto"/>
              <w:left w:val="none" w:sz="0" w:space="0" w:color="auto"/>
              <w:bottom w:val="none" w:sz="0" w:space="0" w:color="auto"/>
              <w:right w:val="none" w:sz="0" w:space="0" w:color="auto"/>
            </w:tcBorders>
            <w:vAlign w:val="center"/>
          </w:tcPr>
          <w:p w14:paraId="26ABD194" w14:textId="77777777" w:rsidR="00E40B48" w:rsidRPr="00CE60B2" w:rsidRDefault="00E40B48" w:rsidP="00C423D1">
            <w:pPr>
              <w:jc w:val="center"/>
              <w:rPr>
                <w:rFonts w:cs="Segoe UI"/>
              </w:rPr>
            </w:pPr>
            <w:r w:rsidRPr="00CE60B2">
              <w:rPr>
                <w:rFonts w:cs="Segoe UI"/>
              </w:rPr>
              <w:t>Volume (cubic metres)</w:t>
            </w:r>
          </w:p>
        </w:tc>
        <w:tc>
          <w:tcPr>
            <w:tcW w:w="715" w:type="pct"/>
            <w:tcBorders>
              <w:top w:val="none" w:sz="0" w:space="0" w:color="auto"/>
              <w:left w:val="none" w:sz="0" w:space="0" w:color="auto"/>
              <w:bottom w:val="none" w:sz="0" w:space="0" w:color="auto"/>
              <w:right w:val="none" w:sz="0" w:space="0" w:color="auto"/>
            </w:tcBorders>
            <w:vAlign w:val="center"/>
          </w:tcPr>
          <w:p w14:paraId="26ABD195" w14:textId="77777777" w:rsidR="00E40B48" w:rsidRPr="00CE60B2" w:rsidRDefault="00E40B48" w:rsidP="00C423D1">
            <w:pPr>
              <w:jc w:val="center"/>
              <w:rPr>
                <w:rFonts w:cs="Segoe UI"/>
              </w:rPr>
            </w:pPr>
            <w:r w:rsidRPr="00CE60B2">
              <w:rPr>
                <w:rFonts w:cs="Segoe UI"/>
              </w:rPr>
              <w:t>1996-97</w:t>
            </w:r>
            <w:r w:rsidRPr="00CE60B2">
              <w:rPr>
                <w:rFonts w:cs="Segoe UI"/>
                <w:vertAlign w:val="superscript"/>
              </w:rPr>
              <w:t>a</w:t>
            </w:r>
          </w:p>
        </w:tc>
        <w:tc>
          <w:tcPr>
            <w:tcW w:w="714" w:type="pct"/>
            <w:tcBorders>
              <w:top w:val="none" w:sz="0" w:space="0" w:color="auto"/>
              <w:left w:val="none" w:sz="0" w:space="0" w:color="auto"/>
              <w:bottom w:val="none" w:sz="0" w:space="0" w:color="auto"/>
              <w:right w:val="none" w:sz="0" w:space="0" w:color="auto"/>
            </w:tcBorders>
            <w:vAlign w:val="center"/>
          </w:tcPr>
          <w:p w14:paraId="26ABD196" w14:textId="77777777" w:rsidR="00E40B48" w:rsidRPr="00CE60B2" w:rsidRDefault="00E40B48" w:rsidP="00C423D1">
            <w:pPr>
              <w:jc w:val="center"/>
              <w:rPr>
                <w:rFonts w:cs="Segoe UI"/>
              </w:rPr>
            </w:pPr>
            <w:r w:rsidRPr="00CE60B2">
              <w:rPr>
                <w:rFonts w:cs="Segoe UI"/>
              </w:rPr>
              <w:t>2001-02</w:t>
            </w:r>
            <w:r w:rsidRPr="00CE60B2">
              <w:rPr>
                <w:rFonts w:cs="Segoe UI"/>
                <w:vertAlign w:val="superscript"/>
              </w:rPr>
              <w:t>b</w:t>
            </w:r>
          </w:p>
        </w:tc>
        <w:tc>
          <w:tcPr>
            <w:tcW w:w="714" w:type="pct"/>
            <w:tcBorders>
              <w:top w:val="none" w:sz="0" w:space="0" w:color="auto"/>
              <w:left w:val="none" w:sz="0" w:space="0" w:color="auto"/>
              <w:bottom w:val="none" w:sz="0" w:space="0" w:color="auto"/>
              <w:right w:val="none" w:sz="0" w:space="0" w:color="auto"/>
            </w:tcBorders>
            <w:vAlign w:val="center"/>
          </w:tcPr>
          <w:p w14:paraId="26ABD197" w14:textId="77777777" w:rsidR="00E40B48" w:rsidRPr="00CE60B2" w:rsidRDefault="00E40B48" w:rsidP="00C423D1">
            <w:pPr>
              <w:jc w:val="center"/>
              <w:rPr>
                <w:rFonts w:cs="Segoe UI"/>
              </w:rPr>
            </w:pPr>
            <w:r w:rsidRPr="00CE60B2">
              <w:rPr>
                <w:rFonts w:cs="Segoe UI"/>
              </w:rPr>
              <w:t>2006</w:t>
            </w:r>
            <w:r w:rsidRPr="00CE60B2">
              <w:rPr>
                <w:rFonts w:cs="Segoe UI"/>
                <w:vertAlign w:val="superscript"/>
              </w:rPr>
              <w:t>c</w:t>
            </w:r>
          </w:p>
        </w:tc>
        <w:tc>
          <w:tcPr>
            <w:tcW w:w="714" w:type="pct"/>
            <w:tcBorders>
              <w:top w:val="none" w:sz="0" w:space="0" w:color="auto"/>
              <w:left w:val="none" w:sz="0" w:space="0" w:color="auto"/>
              <w:bottom w:val="none" w:sz="0" w:space="0" w:color="auto"/>
              <w:right w:val="none" w:sz="0" w:space="0" w:color="auto"/>
            </w:tcBorders>
            <w:vAlign w:val="center"/>
          </w:tcPr>
          <w:p w14:paraId="26ABD198" w14:textId="77777777" w:rsidR="00E40B48" w:rsidRPr="00CE60B2" w:rsidRDefault="00E40B48" w:rsidP="00C423D1">
            <w:pPr>
              <w:jc w:val="center"/>
              <w:rPr>
                <w:rFonts w:cs="Segoe UI"/>
              </w:rPr>
            </w:pPr>
            <w:r w:rsidRPr="00CE60B2">
              <w:rPr>
                <w:rFonts w:cs="Segoe UI"/>
              </w:rPr>
              <w:t>2010</w:t>
            </w:r>
            <w:r w:rsidRPr="00CE60B2">
              <w:rPr>
                <w:rFonts w:cs="Segoe UI"/>
                <w:vertAlign w:val="superscript"/>
              </w:rPr>
              <w:t>c</w:t>
            </w:r>
          </w:p>
        </w:tc>
        <w:tc>
          <w:tcPr>
            <w:tcW w:w="714" w:type="pct"/>
            <w:tcBorders>
              <w:top w:val="none" w:sz="0" w:space="0" w:color="auto"/>
              <w:left w:val="none" w:sz="0" w:space="0" w:color="auto"/>
              <w:bottom w:val="none" w:sz="0" w:space="0" w:color="auto"/>
              <w:right w:val="none" w:sz="0" w:space="0" w:color="auto"/>
            </w:tcBorders>
            <w:vAlign w:val="center"/>
          </w:tcPr>
          <w:p w14:paraId="26ABD199" w14:textId="77777777" w:rsidR="00E40B48" w:rsidRPr="00CE60B2" w:rsidRDefault="00E40B48" w:rsidP="00C423D1">
            <w:pPr>
              <w:jc w:val="center"/>
              <w:rPr>
                <w:rFonts w:cs="Segoe UI"/>
              </w:rPr>
            </w:pPr>
            <w:r w:rsidRPr="00CE60B2">
              <w:rPr>
                <w:rFonts w:cs="Segoe UI"/>
              </w:rPr>
              <w:t>2016-17</w:t>
            </w:r>
            <w:r w:rsidRPr="00CE60B2">
              <w:rPr>
                <w:rFonts w:cs="Segoe UI"/>
                <w:vertAlign w:val="superscript"/>
              </w:rPr>
              <w:t>d</w:t>
            </w:r>
          </w:p>
        </w:tc>
      </w:tr>
      <w:tr w:rsidR="00E40B48" w:rsidRPr="00CE60B2" w14:paraId="26ABD1A2" w14:textId="77777777" w:rsidTr="005409DB">
        <w:trPr>
          <w:cnfStyle w:val="000000100000" w:firstRow="0" w:lastRow="0" w:firstColumn="0" w:lastColumn="0" w:oddVBand="0" w:evenVBand="0" w:oddHBand="1" w:evenHBand="0" w:firstRowFirstColumn="0" w:firstRowLastColumn="0" w:lastRowFirstColumn="0" w:lastRowLastColumn="0"/>
          <w:trHeight w:val="640"/>
        </w:trPr>
        <w:tc>
          <w:tcPr>
            <w:tcW w:w="715" w:type="pct"/>
            <w:tcBorders>
              <w:bottom w:val="none" w:sz="0" w:space="0" w:color="auto"/>
            </w:tcBorders>
            <w:vAlign w:val="center"/>
          </w:tcPr>
          <w:p w14:paraId="26ABD19B" w14:textId="77777777" w:rsidR="00E40B48" w:rsidRPr="00CE60B2" w:rsidRDefault="00E40B48" w:rsidP="00C423D1">
            <w:pPr>
              <w:jc w:val="center"/>
              <w:rPr>
                <w:rFonts w:cs="Segoe UI"/>
              </w:rPr>
            </w:pPr>
            <w:r w:rsidRPr="00CE60B2">
              <w:rPr>
                <w:rFonts w:cs="Segoe UI"/>
              </w:rPr>
              <w:t>Sustained yield</w:t>
            </w:r>
          </w:p>
        </w:tc>
        <w:tc>
          <w:tcPr>
            <w:tcW w:w="715" w:type="pct"/>
            <w:tcBorders>
              <w:bottom w:val="none" w:sz="0" w:space="0" w:color="auto"/>
            </w:tcBorders>
            <w:vAlign w:val="center"/>
          </w:tcPr>
          <w:p w14:paraId="26ABD19C" w14:textId="77777777" w:rsidR="00E40B48" w:rsidRPr="00CE60B2" w:rsidRDefault="00E40B48" w:rsidP="00C423D1">
            <w:pPr>
              <w:jc w:val="center"/>
              <w:rPr>
                <w:rFonts w:cs="Segoe UI"/>
              </w:rPr>
            </w:pPr>
            <w:r w:rsidRPr="00CE60B2">
              <w:rPr>
                <w:rFonts w:cs="Segoe UI"/>
              </w:rPr>
              <w:t>‘000 m3</w:t>
            </w:r>
          </w:p>
        </w:tc>
        <w:tc>
          <w:tcPr>
            <w:tcW w:w="715" w:type="pct"/>
            <w:tcBorders>
              <w:bottom w:val="none" w:sz="0" w:space="0" w:color="auto"/>
            </w:tcBorders>
            <w:vAlign w:val="center"/>
          </w:tcPr>
          <w:p w14:paraId="26ABD19D" w14:textId="77777777" w:rsidR="00E40B48" w:rsidRPr="00CE60B2" w:rsidRDefault="00E40B48" w:rsidP="00C423D1">
            <w:pPr>
              <w:jc w:val="center"/>
              <w:rPr>
                <w:rFonts w:cs="Segoe UI"/>
              </w:rPr>
            </w:pPr>
            <w:r w:rsidRPr="00CE60B2">
              <w:rPr>
                <w:rFonts w:cs="Segoe UI"/>
              </w:rPr>
              <w:t>704</w:t>
            </w:r>
          </w:p>
        </w:tc>
        <w:tc>
          <w:tcPr>
            <w:tcW w:w="714" w:type="pct"/>
            <w:tcBorders>
              <w:bottom w:val="none" w:sz="0" w:space="0" w:color="auto"/>
            </w:tcBorders>
            <w:vAlign w:val="center"/>
          </w:tcPr>
          <w:p w14:paraId="26ABD19E" w14:textId="77777777" w:rsidR="00E40B48" w:rsidRPr="00CE60B2" w:rsidRDefault="00E40B48" w:rsidP="00C423D1">
            <w:pPr>
              <w:jc w:val="center"/>
              <w:rPr>
                <w:rFonts w:cs="Segoe UI"/>
              </w:rPr>
            </w:pPr>
            <w:r w:rsidRPr="00CE60B2">
              <w:rPr>
                <w:rFonts w:cs="Segoe UI"/>
              </w:rPr>
              <w:t>510</w:t>
            </w:r>
          </w:p>
        </w:tc>
        <w:tc>
          <w:tcPr>
            <w:tcW w:w="714" w:type="pct"/>
            <w:tcBorders>
              <w:bottom w:val="none" w:sz="0" w:space="0" w:color="auto"/>
            </w:tcBorders>
            <w:vAlign w:val="center"/>
          </w:tcPr>
          <w:p w14:paraId="26ABD19F" w14:textId="77777777" w:rsidR="00E40B48" w:rsidRPr="00CE60B2" w:rsidRDefault="00E40B48" w:rsidP="00C423D1">
            <w:pPr>
              <w:jc w:val="center"/>
              <w:rPr>
                <w:rFonts w:cs="Segoe UI"/>
              </w:rPr>
            </w:pPr>
            <w:r w:rsidRPr="00CE60B2">
              <w:rPr>
                <w:rFonts w:cs="Segoe UI"/>
              </w:rPr>
              <w:t>185</w:t>
            </w:r>
          </w:p>
        </w:tc>
        <w:tc>
          <w:tcPr>
            <w:tcW w:w="714" w:type="pct"/>
            <w:tcBorders>
              <w:bottom w:val="none" w:sz="0" w:space="0" w:color="auto"/>
            </w:tcBorders>
            <w:vAlign w:val="center"/>
          </w:tcPr>
          <w:p w14:paraId="26ABD1A0" w14:textId="77777777" w:rsidR="00E40B48" w:rsidRPr="00CE60B2" w:rsidRDefault="00E40B48" w:rsidP="00C423D1">
            <w:pPr>
              <w:jc w:val="center"/>
              <w:rPr>
                <w:rFonts w:cs="Segoe UI"/>
              </w:rPr>
            </w:pPr>
            <w:r w:rsidRPr="00CE60B2">
              <w:rPr>
                <w:rFonts w:cs="Segoe UI"/>
              </w:rPr>
              <w:t>185</w:t>
            </w:r>
          </w:p>
        </w:tc>
        <w:tc>
          <w:tcPr>
            <w:tcW w:w="714" w:type="pct"/>
            <w:tcBorders>
              <w:bottom w:val="none" w:sz="0" w:space="0" w:color="auto"/>
            </w:tcBorders>
            <w:vAlign w:val="center"/>
          </w:tcPr>
          <w:p w14:paraId="26ABD1A1" w14:textId="77777777" w:rsidR="00E40B48" w:rsidRPr="00CE60B2" w:rsidRDefault="00E40B48" w:rsidP="00C423D1">
            <w:pPr>
              <w:jc w:val="center"/>
              <w:rPr>
                <w:rFonts w:cs="Segoe UI"/>
              </w:rPr>
            </w:pPr>
            <w:r w:rsidRPr="00CE60B2">
              <w:rPr>
                <w:rFonts w:cs="Segoe UI"/>
              </w:rPr>
              <w:t>191</w:t>
            </w:r>
          </w:p>
        </w:tc>
      </w:tr>
      <w:tr w:rsidR="00E40B48" w:rsidRPr="00CE60B2" w14:paraId="26ABD1AA" w14:textId="77777777" w:rsidTr="005409DB">
        <w:trPr>
          <w:cnfStyle w:val="000000010000" w:firstRow="0" w:lastRow="0" w:firstColumn="0" w:lastColumn="0" w:oddVBand="0" w:evenVBand="0" w:oddHBand="0" w:evenHBand="1" w:firstRowFirstColumn="0" w:firstRowLastColumn="0" w:lastRowFirstColumn="0" w:lastRowLastColumn="0"/>
        </w:trPr>
        <w:tc>
          <w:tcPr>
            <w:tcW w:w="715" w:type="pct"/>
            <w:tcBorders>
              <w:left w:val="none" w:sz="0" w:space="0" w:color="auto"/>
              <w:bottom w:val="none" w:sz="0" w:space="0" w:color="auto"/>
            </w:tcBorders>
            <w:vAlign w:val="center"/>
          </w:tcPr>
          <w:p w14:paraId="26ABD1A3" w14:textId="77777777" w:rsidR="00E40B48" w:rsidRPr="00CE60B2" w:rsidRDefault="00E40B48" w:rsidP="00C423D1">
            <w:pPr>
              <w:jc w:val="center"/>
              <w:rPr>
                <w:rFonts w:cs="Segoe UI"/>
              </w:rPr>
            </w:pPr>
            <w:r w:rsidRPr="00CE60B2">
              <w:rPr>
                <w:rFonts w:cs="Segoe UI"/>
              </w:rPr>
              <w:t>Actual harvest</w:t>
            </w:r>
          </w:p>
        </w:tc>
        <w:tc>
          <w:tcPr>
            <w:tcW w:w="715" w:type="pct"/>
            <w:tcBorders>
              <w:bottom w:val="none" w:sz="0" w:space="0" w:color="auto"/>
            </w:tcBorders>
            <w:vAlign w:val="center"/>
          </w:tcPr>
          <w:p w14:paraId="26ABD1A4" w14:textId="77777777" w:rsidR="00E40B48" w:rsidRPr="00CE60B2" w:rsidRDefault="00E40B48" w:rsidP="00C423D1">
            <w:pPr>
              <w:jc w:val="center"/>
              <w:rPr>
                <w:rFonts w:cs="Segoe UI"/>
              </w:rPr>
            </w:pPr>
            <w:r w:rsidRPr="00CE60B2">
              <w:rPr>
                <w:rFonts w:cs="Segoe UI"/>
              </w:rPr>
              <w:t>‘000 m3</w:t>
            </w:r>
          </w:p>
        </w:tc>
        <w:tc>
          <w:tcPr>
            <w:tcW w:w="715" w:type="pct"/>
            <w:tcBorders>
              <w:bottom w:val="none" w:sz="0" w:space="0" w:color="auto"/>
            </w:tcBorders>
            <w:vAlign w:val="center"/>
          </w:tcPr>
          <w:p w14:paraId="26ABD1A5" w14:textId="77777777" w:rsidR="00E40B48" w:rsidRPr="00CE60B2" w:rsidRDefault="00E40B48" w:rsidP="00C423D1">
            <w:pPr>
              <w:jc w:val="center"/>
              <w:rPr>
                <w:rFonts w:cs="Segoe UI"/>
              </w:rPr>
            </w:pPr>
            <w:r w:rsidRPr="00CE60B2">
              <w:rPr>
                <w:rFonts w:cs="Segoe UI"/>
              </w:rPr>
              <w:t>568</w:t>
            </w:r>
          </w:p>
        </w:tc>
        <w:tc>
          <w:tcPr>
            <w:tcW w:w="714" w:type="pct"/>
            <w:tcBorders>
              <w:bottom w:val="none" w:sz="0" w:space="0" w:color="auto"/>
            </w:tcBorders>
            <w:vAlign w:val="center"/>
          </w:tcPr>
          <w:p w14:paraId="26ABD1A6" w14:textId="77777777" w:rsidR="00E40B48" w:rsidRPr="00CE60B2" w:rsidRDefault="00E40B48" w:rsidP="00C423D1">
            <w:pPr>
              <w:jc w:val="center"/>
              <w:rPr>
                <w:rFonts w:cs="Segoe UI"/>
              </w:rPr>
            </w:pPr>
            <w:r w:rsidRPr="00CE60B2">
              <w:rPr>
                <w:rFonts w:cs="Segoe UI"/>
              </w:rPr>
              <w:t>336</w:t>
            </w:r>
          </w:p>
        </w:tc>
        <w:tc>
          <w:tcPr>
            <w:tcW w:w="714" w:type="pct"/>
            <w:tcBorders>
              <w:bottom w:val="none" w:sz="0" w:space="0" w:color="auto"/>
            </w:tcBorders>
            <w:vAlign w:val="center"/>
          </w:tcPr>
          <w:p w14:paraId="26ABD1A7" w14:textId="77777777" w:rsidR="00E40B48" w:rsidRPr="00CE60B2" w:rsidRDefault="00E40B48" w:rsidP="00C423D1">
            <w:pPr>
              <w:jc w:val="center"/>
              <w:rPr>
                <w:rFonts w:cs="Segoe UI"/>
              </w:rPr>
            </w:pPr>
            <w:r w:rsidRPr="00CE60B2">
              <w:rPr>
                <w:rFonts w:cs="Segoe UI"/>
              </w:rPr>
              <w:t>181</w:t>
            </w:r>
          </w:p>
        </w:tc>
        <w:tc>
          <w:tcPr>
            <w:tcW w:w="714" w:type="pct"/>
            <w:tcBorders>
              <w:bottom w:val="none" w:sz="0" w:space="0" w:color="auto"/>
            </w:tcBorders>
            <w:vAlign w:val="center"/>
          </w:tcPr>
          <w:p w14:paraId="26ABD1A8" w14:textId="77777777" w:rsidR="00E40B48" w:rsidRPr="00CE60B2" w:rsidRDefault="00E40B48" w:rsidP="00C423D1">
            <w:pPr>
              <w:jc w:val="center"/>
              <w:rPr>
                <w:rFonts w:cs="Segoe UI"/>
              </w:rPr>
            </w:pPr>
            <w:r w:rsidRPr="00CE60B2">
              <w:rPr>
                <w:rFonts w:cs="Segoe UI"/>
              </w:rPr>
              <w:t>150</w:t>
            </w:r>
          </w:p>
        </w:tc>
        <w:tc>
          <w:tcPr>
            <w:tcW w:w="714" w:type="pct"/>
            <w:tcBorders>
              <w:bottom w:val="none" w:sz="0" w:space="0" w:color="auto"/>
            </w:tcBorders>
            <w:vAlign w:val="center"/>
          </w:tcPr>
          <w:p w14:paraId="26ABD1A9" w14:textId="77777777" w:rsidR="00E40B48" w:rsidRPr="00CE60B2" w:rsidRDefault="00E40B48" w:rsidP="00C423D1">
            <w:pPr>
              <w:jc w:val="center"/>
              <w:rPr>
                <w:rFonts w:cs="Segoe UI"/>
              </w:rPr>
            </w:pPr>
            <w:r w:rsidRPr="00CE60B2">
              <w:rPr>
                <w:rFonts w:cs="Segoe UI"/>
              </w:rPr>
              <w:t>150</w:t>
            </w:r>
          </w:p>
        </w:tc>
      </w:tr>
    </w:tbl>
    <w:p w14:paraId="26ABD1AB" w14:textId="77777777" w:rsidR="00E40B48" w:rsidRPr="00CE60B2" w:rsidRDefault="00E40B48" w:rsidP="00E40B48">
      <w:pPr>
        <w:spacing w:before="0" w:after="0"/>
        <w:rPr>
          <w:rFonts w:cs="Segoe UI"/>
          <w:color w:val="000000" w:themeColor="text1"/>
          <w:sz w:val="16"/>
          <w:szCs w:val="16"/>
        </w:rPr>
      </w:pPr>
      <w:r w:rsidRPr="00CE60B2">
        <w:rPr>
          <w:rFonts w:cs="Segoe UI"/>
          <w:color w:val="000000" w:themeColor="text1"/>
          <w:sz w:val="16"/>
          <w:szCs w:val="16"/>
          <w:vertAlign w:val="superscript"/>
        </w:rPr>
        <w:t>a</w:t>
      </w:r>
      <w:r w:rsidRPr="00CE60B2">
        <w:rPr>
          <w:rFonts w:cs="Segoe UI"/>
          <w:color w:val="000000" w:themeColor="text1"/>
          <w:sz w:val="16"/>
          <w:szCs w:val="16"/>
        </w:rPr>
        <w:t xml:space="preserve"> Sourced from SOFR2003. Figures include jarrah first and second grade sawlogs, karri first grade sawlogs.</w:t>
      </w:r>
    </w:p>
    <w:p w14:paraId="26ABD1AC" w14:textId="77777777" w:rsidR="00E40B48" w:rsidRPr="00CE60B2" w:rsidRDefault="00E40B48" w:rsidP="00E40B48">
      <w:pPr>
        <w:spacing w:before="0" w:after="0"/>
        <w:rPr>
          <w:rFonts w:cs="Segoe UI"/>
          <w:color w:val="000000" w:themeColor="text1"/>
          <w:sz w:val="16"/>
          <w:szCs w:val="16"/>
        </w:rPr>
      </w:pPr>
      <w:r w:rsidRPr="00CE60B2">
        <w:rPr>
          <w:rFonts w:cs="Segoe UI"/>
          <w:color w:val="000000" w:themeColor="text1"/>
          <w:sz w:val="16"/>
          <w:szCs w:val="16"/>
          <w:vertAlign w:val="superscript"/>
        </w:rPr>
        <w:t>b</w:t>
      </w:r>
      <w:r w:rsidRPr="00CE60B2">
        <w:rPr>
          <w:rFonts w:cs="Segoe UI"/>
          <w:color w:val="000000" w:themeColor="text1"/>
          <w:sz w:val="16"/>
          <w:szCs w:val="16"/>
        </w:rPr>
        <w:t xml:space="preserve"> 2001/02 Annual Report of the Forest Products Commission</w:t>
      </w:r>
    </w:p>
    <w:p w14:paraId="26ABD1AD" w14:textId="77777777" w:rsidR="00E40B48" w:rsidRPr="00CE60B2" w:rsidRDefault="00E40B48" w:rsidP="00E40B48">
      <w:pPr>
        <w:spacing w:before="0" w:after="0"/>
        <w:rPr>
          <w:rFonts w:cs="Segoe UI"/>
          <w:color w:val="000000" w:themeColor="text1"/>
          <w:sz w:val="16"/>
          <w:szCs w:val="16"/>
        </w:rPr>
      </w:pPr>
      <w:r w:rsidRPr="00CE60B2">
        <w:rPr>
          <w:rFonts w:cs="Segoe UI"/>
          <w:color w:val="000000" w:themeColor="text1"/>
          <w:sz w:val="16"/>
          <w:szCs w:val="16"/>
          <w:vertAlign w:val="superscript"/>
        </w:rPr>
        <w:t>c</w:t>
      </w:r>
      <w:r w:rsidRPr="00CE60B2">
        <w:rPr>
          <w:rFonts w:cs="Segoe UI"/>
          <w:color w:val="000000" w:themeColor="text1"/>
          <w:sz w:val="16"/>
          <w:szCs w:val="16"/>
        </w:rPr>
        <w:t xml:space="preserve"> 2012 Forest Management Plan 2004-2013: End-of-term Audit of Performance Report, CCWA Perth</w:t>
      </w:r>
    </w:p>
    <w:p w14:paraId="26ABD1AE" w14:textId="77777777" w:rsidR="00E40B48" w:rsidRPr="00CE60B2" w:rsidRDefault="00E40B48" w:rsidP="00E40B48">
      <w:pPr>
        <w:spacing w:before="0" w:after="0"/>
        <w:rPr>
          <w:rFonts w:cs="Segoe UI"/>
          <w:color w:val="000000" w:themeColor="text1"/>
          <w:sz w:val="16"/>
          <w:szCs w:val="16"/>
        </w:rPr>
      </w:pPr>
      <w:r w:rsidRPr="00CE60B2">
        <w:rPr>
          <w:rFonts w:cs="Segoe UI"/>
          <w:color w:val="000000" w:themeColor="text1"/>
          <w:sz w:val="16"/>
          <w:szCs w:val="16"/>
          <w:vertAlign w:val="superscript"/>
        </w:rPr>
        <w:t>d</w:t>
      </w:r>
      <w:r w:rsidRPr="00CE60B2">
        <w:rPr>
          <w:rFonts w:cs="Segoe UI"/>
          <w:color w:val="000000" w:themeColor="text1"/>
          <w:sz w:val="16"/>
          <w:szCs w:val="16"/>
        </w:rPr>
        <w:t xml:space="preserve"> 2016/17 Annual Report of the Forest Products Commission. ‘Sustained yield’ figure reported is actually the ‘allowable cut’ volume. The calculated ‘sustained yield’ figure is 216,000m3 (12% higher), the allowable cut has been reduced to include a safety margin</w:t>
      </w:r>
      <w:r w:rsidR="00E10A05">
        <w:rPr>
          <w:rFonts w:cs="Segoe UI"/>
          <w:color w:val="000000" w:themeColor="text1"/>
          <w:sz w:val="16"/>
          <w:szCs w:val="16"/>
        </w:rPr>
        <w:t xml:space="preserve"> for unforeseen bushfire and disease impacts,</w:t>
      </w:r>
      <w:r w:rsidRPr="00CE60B2">
        <w:rPr>
          <w:rFonts w:cs="Segoe UI"/>
          <w:color w:val="000000" w:themeColor="text1"/>
          <w:sz w:val="16"/>
          <w:szCs w:val="16"/>
        </w:rPr>
        <w:t xml:space="preserve"> as per </w:t>
      </w:r>
      <w:r w:rsidR="00E10A05">
        <w:rPr>
          <w:rFonts w:cs="Segoe UI"/>
          <w:color w:val="000000" w:themeColor="text1"/>
          <w:sz w:val="16"/>
          <w:szCs w:val="16"/>
        </w:rPr>
        <w:t xml:space="preserve">a </w:t>
      </w:r>
      <w:r w:rsidRPr="00CE60B2">
        <w:rPr>
          <w:rFonts w:cs="Segoe UI"/>
          <w:color w:val="000000" w:themeColor="text1"/>
          <w:sz w:val="16"/>
          <w:szCs w:val="16"/>
        </w:rPr>
        <w:t>recommendation by an independent review panel.</w:t>
      </w:r>
    </w:p>
    <w:p w14:paraId="26ABD1AF" w14:textId="77777777" w:rsidR="00E40B48" w:rsidRPr="00CE60B2" w:rsidRDefault="00E40B48" w:rsidP="008A4979">
      <w:pPr>
        <w:pStyle w:val="Heading4"/>
        <w:rPr>
          <w:rFonts w:cs="Segoe UI"/>
        </w:rPr>
      </w:pPr>
      <w:r w:rsidRPr="00CE60B2">
        <w:rPr>
          <w:rFonts w:cs="Segoe UI"/>
        </w:rPr>
        <w:t xml:space="preserve">Removal of wood products from </w:t>
      </w:r>
      <w:r w:rsidR="006C03A0" w:rsidRPr="00CE60B2">
        <w:rPr>
          <w:rFonts w:cs="Segoe UI"/>
        </w:rPr>
        <w:t>plantations</w:t>
      </w:r>
    </w:p>
    <w:p w14:paraId="26ABD1B0" w14:textId="77777777" w:rsidR="00E40B48" w:rsidRPr="00CE60B2" w:rsidRDefault="00E40B48" w:rsidP="00E40B48">
      <w:pPr>
        <w:rPr>
          <w:rFonts w:cs="Segoe UI"/>
          <w:color w:val="000000" w:themeColor="text1"/>
        </w:rPr>
      </w:pPr>
      <w:r w:rsidRPr="00CE60B2">
        <w:rPr>
          <w:rFonts w:cs="Segoe UI"/>
          <w:color w:val="000000" w:themeColor="text1"/>
        </w:rPr>
        <w:t xml:space="preserve">The annual supply of plantation wood to industry fluctuates due to a broad range of supply and demand issues. </w:t>
      </w:r>
    </w:p>
    <w:p w14:paraId="26ABD1B1" w14:textId="77777777" w:rsidR="00E40B48" w:rsidRPr="00CE60B2" w:rsidRDefault="00E40B48" w:rsidP="00E40B48">
      <w:pPr>
        <w:rPr>
          <w:rFonts w:cs="Segoe UI"/>
        </w:rPr>
      </w:pPr>
      <w:r w:rsidRPr="00CE60B2">
        <w:rPr>
          <w:rFonts w:cs="Segoe UI"/>
        </w:rPr>
        <w:t>The State government’s contracts of sale for plantation products typically include a maximum amount that the FPC is required to supply. The contracts also include provisions for customers to request a lesser amount in any year depending on market demand and alternative sources of supply. This negotiated volume is reported as budgeted demand in the FPC’s annual reports and has fluctuated over the RFA period. Budgeted demand continues to be met annually</w:t>
      </w:r>
      <w:r w:rsidR="00E10A05">
        <w:rPr>
          <w:rFonts w:cs="Segoe UI"/>
        </w:rPr>
        <w:t xml:space="preserve"> (Table 23)</w:t>
      </w:r>
      <w:r w:rsidRPr="00CE60B2">
        <w:rPr>
          <w:rFonts w:cs="Segoe UI"/>
        </w:rPr>
        <w:t>.</w:t>
      </w:r>
    </w:p>
    <w:p w14:paraId="26ABD1B2" w14:textId="77777777" w:rsidR="00E40B48" w:rsidRPr="00CE60B2" w:rsidRDefault="00E40B48" w:rsidP="00E40B48">
      <w:pPr>
        <w:rPr>
          <w:rFonts w:cs="Segoe UI"/>
        </w:rPr>
      </w:pPr>
      <w:r w:rsidRPr="00CE60B2">
        <w:rPr>
          <w:rFonts w:cs="Segoe UI"/>
        </w:rPr>
        <w:t>Short-term variations in supply or demand may also arise due to machinery breakdowns, market cycles or the need to respond to salvage areas following bushfire or storm events. Short-term opportunities also arise to meet plantation management objectives by supplying export markets when prices are favourable.</w:t>
      </w:r>
    </w:p>
    <w:p w14:paraId="26ABD1B3" w14:textId="77777777" w:rsidR="00E40B48" w:rsidRPr="00CE60B2" w:rsidRDefault="00E40B48" w:rsidP="00E40B48">
      <w:pPr>
        <w:rPr>
          <w:rFonts w:cs="Segoe UI"/>
        </w:rPr>
      </w:pPr>
      <w:r w:rsidRPr="00CE60B2">
        <w:rPr>
          <w:rFonts w:cs="Segoe UI"/>
        </w:rPr>
        <w:t>The State continues to demonstrate support for the plantation industry, with industry highlights including the development of State Agreements with major processors including Wespine</w:t>
      </w:r>
      <w:r w:rsidR="00472FBF">
        <w:rPr>
          <w:rFonts w:cs="Segoe UI"/>
        </w:rPr>
        <w:t xml:space="preserve"> (2008)</w:t>
      </w:r>
      <w:r w:rsidRPr="00CE60B2">
        <w:rPr>
          <w:rFonts w:cs="Segoe UI"/>
        </w:rPr>
        <w:t>, Wesbeam</w:t>
      </w:r>
      <w:r w:rsidR="00472FBF">
        <w:rPr>
          <w:rFonts w:cs="Segoe UI"/>
        </w:rPr>
        <w:t xml:space="preserve"> (2002)</w:t>
      </w:r>
      <w:r w:rsidRPr="00CE60B2">
        <w:rPr>
          <w:rFonts w:cs="Segoe UI"/>
        </w:rPr>
        <w:t xml:space="preserve"> and Laminex. </w:t>
      </w:r>
    </w:p>
    <w:p w14:paraId="26ABD1B4" w14:textId="77777777" w:rsidR="00E40B48" w:rsidRPr="00CE60B2" w:rsidRDefault="00E40B48" w:rsidP="00E40B48">
      <w:pPr>
        <w:rPr>
          <w:rFonts w:cs="Segoe UI"/>
          <w:b/>
          <w:noProof/>
        </w:rPr>
      </w:pPr>
      <w:r w:rsidRPr="00CE60B2">
        <w:rPr>
          <w:rFonts w:cs="Segoe UI"/>
        </w:rPr>
        <w:t>The RFA period has also seen the closure of Wesfi MDF plant in 2009.</w:t>
      </w:r>
      <w:r w:rsidRPr="00CE60B2">
        <w:rPr>
          <w:rFonts w:cs="Segoe UI"/>
          <w:b/>
          <w:noProof/>
        </w:rPr>
        <w:t xml:space="preserve"> </w:t>
      </w:r>
    </w:p>
    <w:p w14:paraId="26ABD1B5" w14:textId="77777777" w:rsidR="00B978C3" w:rsidRDefault="00B978C3">
      <w:pPr>
        <w:spacing w:before="0" w:after="480" w:line="276" w:lineRule="auto"/>
        <w:rPr>
          <w:rFonts w:ascii="Segoe UI Semibold" w:eastAsia="Times New Roman" w:hAnsi="Segoe UI Semibold" w:cs="Times New Roman"/>
          <w:color w:val="016295" w:themeColor="accent2" w:themeShade="80"/>
        </w:rPr>
      </w:pPr>
      <w:bookmarkStart w:id="122" w:name="_Toc531002184"/>
      <w:r>
        <w:br w:type="page"/>
      </w:r>
    </w:p>
    <w:p w14:paraId="26ABD1B6" w14:textId="3A931C60" w:rsidR="00D934F4" w:rsidRDefault="00D934F4" w:rsidP="00D934F4">
      <w:pPr>
        <w:pStyle w:val="Caption"/>
        <w:keepNext/>
      </w:pPr>
      <w:r>
        <w:lastRenderedPageBreak/>
        <w:t xml:space="preserve">Table </w:t>
      </w:r>
      <w:r w:rsidR="0002253A">
        <w:rPr>
          <w:noProof/>
        </w:rPr>
        <w:fldChar w:fldCharType="begin"/>
      </w:r>
      <w:r w:rsidR="0002253A">
        <w:rPr>
          <w:noProof/>
        </w:rPr>
        <w:instrText xml:space="preserve"> SEQ Table \* ARABIC </w:instrText>
      </w:r>
      <w:r w:rsidR="0002253A">
        <w:rPr>
          <w:noProof/>
        </w:rPr>
        <w:fldChar w:fldCharType="separate"/>
      </w:r>
      <w:r w:rsidR="003C7091">
        <w:rPr>
          <w:noProof/>
        </w:rPr>
        <w:t>23</w:t>
      </w:r>
      <w:r w:rsidR="0002253A">
        <w:rPr>
          <w:noProof/>
        </w:rPr>
        <w:fldChar w:fldCharType="end"/>
      </w:r>
      <w:r>
        <w:t xml:space="preserve">: </w:t>
      </w:r>
      <w:r w:rsidRPr="00E5351A">
        <w:t>Annual demand and supply of sawlog volumes from WA plantations owned or managed by the Forest Products Commission for the past five years</w:t>
      </w:r>
      <w:r>
        <w:t xml:space="preserve"> (Source, FPC, 2017)</w:t>
      </w:r>
      <w:bookmarkEnd w:id="122"/>
    </w:p>
    <w:tbl>
      <w:tblPr>
        <w:tblStyle w:val="TableGrid"/>
        <w:tblW w:w="0" w:type="auto"/>
        <w:tblLook w:val="04A0" w:firstRow="1" w:lastRow="0" w:firstColumn="1" w:lastColumn="0" w:noHBand="0" w:noVBand="1"/>
      </w:tblPr>
      <w:tblGrid>
        <w:gridCol w:w="1514"/>
        <w:gridCol w:w="1500"/>
        <w:gridCol w:w="1500"/>
        <w:gridCol w:w="1500"/>
        <w:gridCol w:w="1501"/>
        <w:gridCol w:w="1501"/>
      </w:tblGrid>
      <w:tr w:rsidR="00486A22" w14:paraId="26ABD1BD" w14:textId="77777777" w:rsidTr="00D934F4">
        <w:tc>
          <w:tcPr>
            <w:tcW w:w="1514" w:type="dxa"/>
            <w:shd w:val="clear" w:color="auto" w:fill="DFEFE1" w:themeFill="accent3" w:themeFillTint="66"/>
          </w:tcPr>
          <w:p w14:paraId="26ABD1B7" w14:textId="77777777" w:rsidR="00486A22" w:rsidRDefault="00486A22" w:rsidP="00924D17">
            <w:pPr>
              <w:rPr>
                <w:rFonts w:cs="Gill Sans MT"/>
              </w:rPr>
            </w:pPr>
          </w:p>
        </w:tc>
        <w:tc>
          <w:tcPr>
            <w:tcW w:w="1500" w:type="dxa"/>
            <w:shd w:val="clear" w:color="auto" w:fill="DFEFE1" w:themeFill="accent3" w:themeFillTint="66"/>
          </w:tcPr>
          <w:p w14:paraId="26ABD1B8" w14:textId="77777777" w:rsidR="00486A22" w:rsidRPr="005D7B07" w:rsidRDefault="00486A22" w:rsidP="00924D17">
            <w:pPr>
              <w:rPr>
                <w:rFonts w:cs="Gill Sans MT"/>
                <w:b/>
              </w:rPr>
            </w:pPr>
            <w:r w:rsidRPr="005D7B07">
              <w:rPr>
                <w:rFonts w:cs="Gill Sans MT"/>
                <w:b/>
              </w:rPr>
              <w:t>2012-2013</w:t>
            </w:r>
          </w:p>
        </w:tc>
        <w:tc>
          <w:tcPr>
            <w:tcW w:w="1500" w:type="dxa"/>
            <w:shd w:val="clear" w:color="auto" w:fill="DFEFE1" w:themeFill="accent3" w:themeFillTint="66"/>
          </w:tcPr>
          <w:p w14:paraId="26ABD1B9" w14:textId="77777777" w:rsidR="00486A22" w:rsidRPr="005D7B07" w:rsidRDefault="00486A22" w:rsidP="00924D17">
            <w:pPr>
              <w:rPr>
                <w:rFonts w:cs="Gill Sans MT"/>
                <w:b/>
              </w:rPr>
            </w:pPr>
            <w:r w:rsidRPr="005D7B07">
              <w:rPr>
                <w:rFonts w:cs="Gill Sans MT"/>
                <w:b/>
              </w:rPr>
              <w:t>2013-2014</w:t>
            </w:r>
          </w:p>
        </w:tc>
        <w:tc>
          <w:tcPr>
            <w:tcW w:w="1500" w:type="dxa"/>
            <w:shd w:val="clear" w:color="auto" w:fill="DFEFE1" w:themeFill="accent3" w:themeFillTint="66"/>
          </w:tcPr>
          <w:p w14:paraId="26ABD1BA" w14:textId="77777777" w:rsidR="00486A22" w:rsidRPr="005D7B07" w:rsidRDefault="00486A22" w:rsidP="00924D17">
            <w:pPr>
              <w:rPr>
                <w:rFonts w:cs="Gill Sans MT"/>
                <w:b/>
              </w:rPr>
            </w:pPr>
            <w:r w:rsidRPr="005D7B07">
              <w:rPr>
                <w:rFonts w:cs="Gill Sans MT"/>
                <w:b/>
              </w:rPr>
              <w:t>2014-2015</w:t>
            </w:r>
          </w:p>
        </w:tc>
        <w:tc>
          <w:tcPr>
            <w:tcW w:w="1501" w:type="dxa"/>
            <w:shd w:val="clear" w:color="auto" w:fill="DFEFE1" w:themeFill="accent3" w:themeFillTint="66"/>
          </w:tcPr>
          <w:p w14:paraId="26ABD1BB" w14:textId="77777777" w:rsidR="00486A22" w:rsidRPr="005D7B07" w:rsidRDefault="00486A22" w:rsidP="00924D17">
            <w:pPr>
              <w:rPr>
                <w:rFonts w:cs="Gill Sans MT"/>
                <w:b/>
              </w:rPr>
            </w:pPr>
            <w:r w:rsidRPr="005D7B07">
              <w:rPr>
                <w:rFonts w:cs="Gill Sans MT"/>
                <w:b/>
              </w:rPr>
              <w:t>2015-2016</w:t>
            </w:r>
          </w:p>
        </w:tc>
        <w:tc>
          <w:tcPr>
            <w:tcW w:w="1501" w:type="dxa"/>
            <w:shd w:val="clear" w:color="auto" w:fill="DFEFE1" w:themeFill="accent3" w:themeFillTint="66"/>
          </w:tcPr>
          <w:p w14:paraId="26ABD1BC" w14:textId="77777777" w:rsidR="00486A22" w:rsidRPr="005D7B07" w:rsidRDefault="00486A22" w:rsidP="00924D17">
            <w:pPr>
              <w:rPr>
                <w:rFonts w:cs="Gill Sans MT"/>
                <w:b/>
              </w:rPr>
            </w:pPr>
            <w:r w:rsidRPr="005D7B07">
              <w:rPr>
                <w:rFonts w:cs="Gill Sans MT"/>
                <w:b/>
              </w:rPr>
              <w:t>2016-2017</w:t>
            </w:r>
          </w:p>
        </w:tc>
      </w:tr>
      <w:tr w:rsidR="00486A22" w14:paraId="26ABD1C4" w14:textId="77777777" w:rsidTr="00D934F4">
        <w:tc>
          <w:tcPr>
            <w:tcW w:w="1514" w:type="dxa"/>
          </w:tcPr>
          <w:p w14:paraId="26ABD1BE" w14:textId="77777777" w:rsidR="00486A22" w:rsidRDefault="00486A22" w:rsidP="00924D17">
            <w:pPr>
              <w:rPr>
                <w:rFonts w:cs="Gill Sans MT"/>
              </w:rPr>
            </w:pPr>
            <w:r>
              <w:rPr>
                <w:rFonts w:cs="Gill Sans MT"/>
              </w:rPr>
              <w:t>Actual supply</w:t>
            </w:r>
          </w:p>
        </w:tc>
        <w:tc>
          <w:tcPr>
            <w:tcW w:w="1500" w:type="dxa"/>
          </w:tcPr>
          <w:p w14:paraId="26ABD1BF" w14:textId="77777777" w:rsidR="00486A22" w:rsidRDefault="00486A22" w:rsidP="00924D17">
            <w:pPr>
              <w:rPr>
                <w:rFonts w:cs="Gill Sans MT"/>
              </w:rPr>
            </w:pPr>
            <w:r>
              <w:rPr>
                <w:rFonts w:cs="Gill Sans MT"/>
              </w:rPr>
              <w:t>444,392</w:t>
            </w:r>
          </w:p>
        </w:tc>
        <w:tc>
          <w:tcPr>
            <w:tcW w:w="1500" w:type="dxa"/>
          </w:tcPr>
          <w:p w14:paraId="26ABD1C0" w14:textId="77777777" w:rsidR="00486A22" w:rsidRDefault="00486A22" w:rsidP="00924D17">
            <w:pPr>
              <w:rPr>
                <w:rFonts w:cs="Gill Sans MT"/>
              </w:rPr>
            </w:pPr>
            <w:r>
              <w:rPr>
                <w:rFonts w:cs="Gill Sans MT"/>
              </w:rPr>
              <w:t>536,123</w:t>
            </w:r>
          </w:p>
        </w:tc>
        <w:tc>
          <w:tcPr>
            <w:tcW w:w="1500" w:type="dxa"/>
          </w:tcPr>
          <w:p w14:paraId="26ABD1C1" w14:textId="77777777" w:rsidR="00486A22" w:rsidRDefault="00486A22" w:rsidP="00924D17">
            <w:pPr>
              <w:rPr>
                <w:rFonts w:cs="Gill Sans MT"/>
              </w:rPr>
            </w:pPr>
            <w:r>
              <w:rPr>
                <w:rFonts w:cs="Gill Sans MT"/>
              </w:rPr>
              <w:t>594,106</w:t>
            </w:r>
          </w:p>
        </w:tc>
        <w:tc>
          <w:tcPr>
            <w:tcW w:w="1501" w:type="dxa"/>
          </w:tcPr>
          <w:p w14:paraId="26ABD1C2" w14:textId="77777777" w:rsidR="00486A22" w:rsidRDefault="00486A22" w:rsidP="00924D17">
            <w:pPr>
              <w:rPr>
                <w:rFonts w:cs="Gill Sans MT"/>
              </w:rPr>
            </w:pPr>
            <w:r>
              <w:rPr>
                <w:rFonts w:cs="Gill Sans MT"/>
              </w:rPr>
              <w:t>538,253</w:t>
            </w:r>
          </w:p>
        </w:tc>
        <w:tc>
          <w:tcPr>
            <w:tcW w:w="1501" w:type="dxa"/>
          </w:tcPr>
          <w:p w14:paraId="26ABD1C3" w14:textId="77777777" w:rsidR="00486A22" w:rsidRDefault="00486A22" w:rsidP="00924D17">
            <w:pPr>
              <w:rPr>
                <w:rFonts w:cs="Gill Sans MT"/>
              </w:rPr>
            </w:pPr>
            <w:r>
              <w:rPr>
                <w:rFonts w:cs="Gill Sans MT"/>
              </w:rPr>
              <w:t>488,360</w:t>
            </w:r>
          </w:p>
        </w:tc>
      </w:tr>
      <w:tr w:rsidR="00486A22" w14:paraId="26ABD1CB" w14:textId="77777777" w:rsidTr="00D934F4">
        <w:tc>
          <w:tcPr>
            <w:tcW w:w="1514" w:type="dxa"/>
          </w:tcPr>
          <w:p w14:paraId="26ABD1C5" w14:textId="77777777" w:rsidR="00486A22" w:rsidRDefault="00486A22" w:rsidP="00924D17">
            <w:pPr>
              <w:rPr>
                <w:rFonts w:cs="Gill Sans MT"/>
              </w:rPr>
            </w:pPr>
            <w:r>
              <w:rPr>
                <w:rFonts w:cs="Gill Sans MT"/>
              </w:rPr>
              <w:t>Budgeted demand</w:t>
            </w:r>
          </w:p>
        </w:tc>
        <w:tc>
          <w:tcPr>
            <w:tcW w:w="1500" w:type="dxa"/>
          </w:tcPr>
          <w:p w14:paraId="26ABD1C6" w14:textId="77777777" w:rsidR="00486A22" w:rsidRDefault="00486A22" w:rsidP="00924D17">
            <w:pPr>
              <w:rPr>
                <w:rFonts w:cs="Gill Sans MT"/>
              </w:rPr>
            </w:pPr>
            <w:r>
              <w:rPr>
                <w:rFonts w:cs="Gill Sans MT"/>
              </w:rPr>
              <w:t>435,500</w:t>
            </w:r>
          </w:p>
        </w:tc>
        <w:tc>
          <w:tcPr>
            <w:tcW w:w="1500" w:type="dxa"/>
          </w:tcPr>
          <w:p w14:paraId="26ABD1C7" w14:textId="77777777" w:rsidR="00486A22" w:rsidRDefault="00486A22" w:rsidP="00924D17">
            <w:pPr>
              <w:rPr>
                <w:rFonts w:cs="Gill Sans MT"/>
              </w:rPr>
            </w:pPr>
            <w:r>
              <w:rPr>
                <w:rFonts w:cs="Gill Sans MT"/>
              </w:rPr>
              <w:t>473,500</w:t>
            </w:r>
          </w:p>
        </w:tc>
        <w:tc>
          <w:tcPr>
            <w:tcW w:w="1500" w:type="dxa"/>
          </w:tcPr>
          <w:p w14:paraId="26ABD1C8" w14:textId="77777777" w:rsidR="00486A22" w:rsidRDefault="00486A22" w:rsidP="00924D17">
            <w:pPr>
              <w:rPr>
                <w:rFonts w:cs="Gill Sans MT"/>
              </w:rPr>
            </w:pPr>
            <w:r>
              <w:rPr>
                <w:rFonts w:cs="Gill Sans MT"/>
              </w:rPr>
              <w:t>542,200</w:t>
            </w:r>
          </w:p>
        </w:tc>
        <w:tc>
          <w:tcPr>
            <w:tcW w:w="1501" w:type="dxa"/>
          </w:tcPr>
          <w:p w14:paraId="26ABD1C9" w14:textId="77777777" w:rsidR="00486A22" w:rsidRDefault="00486A22" w:rsidP="00924D17">
            <w:pPr>
              <w:rPr>
                <w:rFonts w:cs="Gill Sans MT"/>
              </w:rPr>
            </w:pPr>
            <w:r>
              <w:rPr>
                <w:rFonts w:cs="Gill Sans MT"/>
              </w:rPr>
              <w:t>546,900</w:t>
            </w:r>
          </w:p>
        </w:tc>
        <w:tc>
          <w:tcPr>
            <w:tcW w:w="1501" w:type="dxa"/>
          </w:tcPr>
          <w:p w14:paraId="26ABD1CA" w14:textId="77777777" w:rsidR="00486A22" w:rsidRDefault="00486A22" w:rsidP="00924D17">
            <w:pPr>
              <w:rPr>
                <w:rFonts w:cs="Gill Sans MT"/>
              </w:rPr>
            </w:pPr>
            <w:r>
              <w:rPr>
                <w:rFonts w:cs="Gill Sans MT"/>
              </w:rPr>
              <w:t>441,000</w:t>
            </w:r>
          </w:p>
        </w:tc>
      </w:tr>
    </w:tbl>
    <w:p w14:paraId="26ABD1CC" w14:textId="77777777" w:rsidR="000142C8" w:rsidRDefault="004A1017" w:rsidP="009057B5">
      <w:pPr>
        <w:rPr>
          <w:lang w:eastAsia="en-AU"/>
        </w:rPr>
      </w:pPr>
      <w:r>
        <w:rPr>
          <w:lang w:eastAsia="en-AU"/>
        </w:rPr>
        <w:t>Within WA t</w:t>
      </w:r>
      <w:r w:rsidR="00A21BEE">
        <w:rPr>
          <w:lang w:eastAsia="en-AU"/>
        </w:rPr>
        <w:t>he</w:t>
      </w:r>
      <w:r>
        <w:rPr>
          <w:lang w:eastAsia="en-AU"/>
        </w:rPr>
        <w:t xml:space="preserve">re is no formal process for reporting on the </w:t>
      </w:r>
      <w:r w:rsidR="00A21BEE">
        <w:rPr>
          <w:lang w:eastAsia="en-AU"/>
        </w:rPr>
        <w:t xml:space="preserve">removal of wood products from private </w:t>
      </w:r>
      <w:r>
        <w:rPr>
          <w:lang w:eastAsia="en-AU"/>
        </w:rPr>
        <w:t xml:space="preserve">native forests or </w:t>
      </w:r>
      <w:r w:rsidR="00C55CFB">
        <w:rPr>
          <w:lang w:eastAsia="en-AU"/>
        </w:rPr>
        <w:t xml:space="preserve">private </w:t>
      </w:r>
      <w:r>
        <w:rPr>
          <w:lang w:eastAsia="en-AU"/>
        </w:rPr>
        <w:t>plantations</w:t>
      </w:r>
      <w:r w:rsidR="00E10A05">
        <w:rPr>
          <w:lang w:eastAsia="en-AU"/>
        </w:rPr>
        <w:t xml:space="preserve"> in the WA RFA region</w:t>
      </w:r>
      <w:r w:rsidR="00C55CFB">
        <w:rPr>
          <w:lang w:eastAsia="en-AU"/>
        </w:rPr>
        <w:t>.</w:t>
      </w:r>
      <w:r>
        <w:rPr>
          <w:lang w:eastAsia="en-AU"/>
        </w:rPr>
        <w:t xml:space="preserve"> </w:t>
      </w:r>
      <w:r w:rsidR="00E10A05">
        <w:rPr>
          <w:lang w:eastAsia="en-AU"/>
        </w:rPr>
        <w:t>T</w:t>
      </w:r>
      <w:r w:rsidR="00C55CFB">
        <w:rPr>
          <w:lang w:eastAsia="en-AU"/>
        </w:rPr>
        <w:t xml:space="preserve">his information is </w:t>
      </w:r>
      <w:r>
        <w:rPr>
          <w:lang w:eastAsia="en-AU"/>
        </w:rPr>
        <w:t xml:space="preserve">unable to be included in this Indicator. </w:t>
      </w:r>
    </w:p>
    <w:p w14:paraId="26ABD1CD" w14:textId="77777777" w:rsidR="00DB510B" w:rsidRPr="00CE60B2" w:rsidRDefault="00DB510B" w:rsidP="000142C8">
      <w:pPr>
        <w:pStyle w:val="Heading3"/>
        <w:rPr>
          <w:lang w:eastAsia="en-AU"/>
        </w:rPr>
      </w:pPr>
      <w:bookmarkStart w:id="123" w:name="_Toc2776053"/>
      <w:r w:rsidRPr="00CE60B2">
        <w:rPr>
          <w:lang w:eastAsia="en-AU"/>
        </w:rPr>
        <w:t>Indicator 2.1d</w:t>
      </w:r>
      <w:r w:rsidRPr="00CE60B2">
        <w:rPr>
          <w:lang w:eastAsia="en-AU"/>
        </w:rPr>
        <w:tab/>
        <w:t>Annual removal of non-wood forest products compared to the level determined to be sustainable</w:t>
      </w:r>
      <w:bookmarkEnd w:id="119"/>
      <w:bookmarkEnd w:id="123"/>
    </w:p>
    <w:p w14:paraId="26ABD1CE" w14:textId="77777777" w:rsidR="00E40B48" w:rsidRPr="00CE60B2" w:rsidRDefault="00E40B48" w:rsidP="00E40B48">
      <w:pPr>
        <w:autoSpaceDE w:val="0"/>
        <w:autoSpaceDN w:val="0"/>
        <w:adjustRightInd w:val="0"/>
        <w:spacing w:before="0" w:after="0"/>
        <w:rPr>
          <w:rFonts w:eastAsia="Times New Roman" w:cs="Segoe UI"/>
          <w:szCs w:val="20"/>
          <w:lang w:eastAsia="en-AU"/>
        </w:rPr>
      </w:pPr>
      <w:bookmarkStart w:id="124" w:name="_Toc524952811"/>
      <w:r w:rsidRPr="00CE60B2">
        <w:rPr>
          <w:rFonts w:eastAsia="Times New Roman" w:cs="Segoe UI"/>
          <w:szCs w:val="20"/>
          <w:lang w:eastAsia="en-AU"/>
        </w:rPr>
        <w:t>This indicator is used to assess the sustainability of removals of non-wood forest products. These products can represent a significant asset base supporting the livelihoods of remote communities.</w:t>
      </w:r>
    </w:p>
    <w:p w14:paraId="26ABD1CF" w14:textId="77777777" w:rsidR="00E40B48" w:rsidRPr="00CE60B2" w:rsidRDefault="00E40B48" w:rsidP="00E40B48">
      <w:pPr>
        <w:spacing w:before="240"/>
        <w:rPr>
          <w:rFonts w:eastAsia="Times New Roman" w:cs="Segoe UI"/>
          <w:szCs w:val="20"/>
          <w:lang w:eastAsia="en-AU"/>
        </w:rPr>
      </w:pPr>
      <w:r w:rsidRPr="00CE60B2">
        <w:rPr>
          <w:rFonts w:eastAsia="Times New Roman" w:cs="Segoe UI"/>
          <w:szCs w:val="20"/>
          <w:lang w:eastAsia="en-AU"/>
        </w:rPr>
        <w:t>While there are some state-wide data for this indicator available on removal of non-wood forest products, the data on sustainable yields of these products are very limited. The different levels of available data reflect market driven responses where demand for particular non-wood forest products determines what, if any, monitoring systems are developed.</w:t>
      </w:r>
    </w:p>
    <w:p w14:paraId="26ABD1D0" w14:textId="77777777" w:rsidR="00A629BD" w:rsidRDefault="00E40B48" w:rsidP="00E40B48">
      <w:pPr>
        <w:autoSpaceDE w:val="0"/>
        <w:autoSpaceDN w:val="0"/>
        <w:adjustRightInd w:val="0"/>
        <w:spacing w:before="0" w:after="0"/>
        <w:rPr>
          <w:rFonts w:cs="Segoe UI"/>
          <w:color w:val="000000"/>
        </w:rPr>
      </w:pPr>
      <w:r w:rsidRPr="00CE60B2">
        <w:rPr>
          <w:rFonts w:cs="Segoe UI"/>
          <w:color w:val="000000"/>
        </w:rPr>
        <w:t xml:space="preserve">Continued access to floral resources on Crown land </w:t>
      </w:r>
      <w:r w:rsidR="00F2562C">
        <w:rPr>
          <w:rFonts w:cs="Segoe UI"/>
          <w:color w:val="000000"/>
        </w:rPr>
        <w:t xml:space="preserve">has remained </w:t>
      </w:r>
      <w:r w:rsidRPr="00CE60B2">
        <w:rPr>
          <w:rFonts w:cs="Segoe UI"/>
          <w:color w:val="000000"/>
        </w:rPr>
        <w:t>important to the beekeeping industry</w:t>
      </w:r>
      <w:r w:rsidR="00F2562C">
        <w:rPr>
          <w:rFonts w:cs="Segoe UI"/>
          <w:color w:val="000000"/>
        </w:rPr>
        <w:t xml:space="preserve"> throughout the period of the RFA</w:t>
      </w:r>
      <w:r w:rsidRPr="00CE60B2">
        <w:rPr>
          <w:rFonts w:cs="Segoe UI"/>
          <w:color w:val="000000"/>
        </w:rPr>
        <w:t xml:space="preserve">.  Access to Crown land for apiary is regulated by the DBCA in accordance with the </w:t>
      </w:r>
      <w:r w:rsidRPr="00CE60B2">
        <w:rPr>
          <w:rFonts w:cs="Segoe UI"/>
          <w:i/>
          <w:color w:val="000000"/>
        </w:rPr>
        <w:t xml:space="preserve">Conservation and </w:t>
      </w:r>
      <w:r w:rsidR="00D10087">
        <w:rPr>
          <w:rFonts w:cs="Segoe UI"/>
          <w:i/>
          <w:color w:val="000000"/>
        </w:rPr>
        <w:t>Land Management Act </w:t>
      </w:r>
      <w:r w:rsidRPr="00CE60B2">
        <w:rPr>
          <w:rFonts w:cs="Segoe UI"/>
          <w:i/>
          <w:color w:val="000000"/>
        </w:rPr>
        <w:t>1984</w:t>
      </w:r>
      <w:r w:rsidR="00D10087">
        <w:rPr>
          <w:rFonts w:cs="Segoe UI"/>
          <w:i/>
          <w:color w:val="000000"/>
        </w:rPr>
        <w:t> </w:t>
      </w:r>
      <w:r w:rsidR="00420DDF" w:rsidRPr="00420DDF">
        <w:rPr>
          <w:rFonts w:cs="Segoe UI"/>
          <w:color w:val="000000"/>
        </w:rPr>
        <w:t>(WA)</w:t>
      </w:r>
      <w:r w:rsidR="00D10087">
        <w:rPr>
          <w:rFonts w:cs="Segoe UI"/>
          <w:i/>
          <w:color w:val="000000"/>
        </w:rPr>
        <w:t> </w:t>
      </w:r>
      <w:r w:rsidRPr="00CE60B2">
        <w:rPr>
          <w:rFonts w:cs="Segoe UI"/>
          <w:color w:val="000000"/>
        </w:rPr>
        <w:t xml:space="preserve">(CALM Act) and Conservation and Land Management Regulations 2002 and consistent with the </w:t>
      </w:r>
      <w:r w:rsidR="004D4E31" w:rsidRPr="004D4E31">
        <w:rPr>
          <w:rFonts w:cs="Segoe UI"/>
          <w:color w:val="000000"/>
        </w:rPr>
        <w:t>BC Act</w:t>
      </w:r>
      <w:r w:rsidRPr="00CE60B2">
        <w:rPr>
          <w:rFonts w:cs="Segoe UI"/>
          <w:i/>
          <w:color w:val="000000"/>
        </w:rPr>
        <w:t xml:space="preserve"> </w:t>
      </w:r>
      <w:r w:rsidRPr="00CE60B2">
        <w:rPr>
          <w:rFonts w:cs="Segoe UI"/>
          <w:color w:val="000000"/>
        </w:rPr>
        <w:t>and Biodiversity Conservation Regulations 2018. Beekeeping on Crown land is facilitated when it is compatible with the primary purpose of the land and consistent with the CALM Act management plan for the land. DBCA maintains a distance of three kilometres between apiary sites held by different beekeepers in order to minimise the potential for disease spread. Applications for apiary sites are assessed against environmental and management criteria. The General Conditions for Apiary Authorities on Crown land require beekeepers to ensure appropriate risk management systems, strategies and procedures to minimise foreseeable risks to the environment, the values of the land, the beekeeper and their employees, agents or contractors and to members of the public.</w:t>
      </w:r>
    </w:p>
    <w:p w14:paraId="26ABD1D1" w14:textId="0A089F43" w:rsidR="005409DB" w:rsidRDefault="005409DB" w:rsidP="005409DB">
      <w:pPr>
        <w:pStyle w:val="Caption"/>
        <w:keepNext/>
      </w:pPr>
      <w:bookmarkStart w:id="125" w:name="_Ref531101589"/>
      <w:bookmarkStart w:id="126" w:name="_Ref530125829"/>
      <w:bookmarkStart w:id="127" w:name="_Toc531002185"/>
      <w:r>
        <w:t xml:space="preserve">Table </w:t>
      </w:r>
      <w:r w:rsidR="0002253A">
        <w:rPr>
          <w:noProof/>
        </w:rPr>
        <w:fldChar w:fldCharType="begin"/>
      </w:r>
      <w:r w:rsidR="0002253A">
        <w:rPr>
          <w:noProof/>
        </w:rPr>
        <w:instrText xml:space="preserve"> SEQ Table \* ARABIC </w:instrText>
      </w:r>
      <w:r w:rsidR="0002253A">
        <w:rPr>
          <w:noProof/>
        </w:rPr>
        <w:fldChar w:fldCharType="separate"/>
      </w:r>
      <w:r w:rsidR="003C7091">
        <w:rPr>
          <w:noProof/>
        </w:rPr>
        <w:t>24</w:t>
      </w:r>
      <w:r w:rsidR="0002253A">
        <w:rPr>
          <w:noProof/>
        </w:rPr>
        <w:fldChar w:fldCharType="end"/>
      </w:r>
      <w:bookmarkEnd w:id="125"/>
      <w:r>
        <w:t>: Number of registered beekeepers in Western Australia (Source, DPIRD)</w:t>
      </w:r>
      <w:bookmarkEnd w:id="126"/>
      <w:bookmarkEnd w:id="127"/>
    </w:p>
    <w:tbl>
      <w:tblPr>
        <w:tblStyle w:val="TableGrid"/>
        <w:tblW w:w="0" w:type="auto"/>
        <w:tblInd w:w="1555" w:type="dxa"/>
        <w:tblLook w:val="04A0" w:firstRow="1" w:lastRow="0" w:firstColumn="1" w:lastColumn="0" w:noHBand="0" w:noVBand="1"/>
      </w:tblPr>
      <w:tblGrid>
        <w:gridCol w:w="2405"/>
        <w:gridCol w:w="2693"/>
      </w:tblGrid>
      <w:tr w:rsidR="005409DB" w14:paraId="26ABD1D4" w14:textId="77777777" w:rsidTr="001F627D">
        <w:trPr>
          <w:tblHeader/>
        </w:trPr>
        <w:tc>
          <w:tcPr>
            <w:tcW w:w="2405" w:type="dxa"/>
            <w:shd w:val="clear" w:color="auto" w:fill="DFEFE1" w:themeFill="accent3" w:themeFillTint="66"/>
          </w:tcPr>
          <w:p w14:paraId="26ABD1D2" w14:textId="77777777" w:rsidR="005409DB" w:rsidRPr="005409DB" w:rsidRDefault="005409DB" w:rsidP="005409DB">
            <w:pPr>
              <w:autoSpaceDE w:val="0"/>
              <w:autoSpaceDN w:val="0"/>
              <w:adjustRightInd w:val="0"/>
              <w:spacing w:before="0" w:after="0"/>
              <w:jc w:val="center"/>
              <w:rPr>
                <w:rFonts w:cs="Segoe UI"/>
                <w:b/>
                <w:color w:val="000000"/>
              </w:rPr>
            </w:pPr>
            <w:r w:rsidRPr="005409DB">
              <w:rPr>
                <w:rFonts w:cs="Segoe UI"/>
                <w:b/>
                <w:color w:val="000000"/>
              </w:rPr>
              <w:t>Year</w:t>
            </w:r>
          </w:p>
        </w:tc>
        <w:tc>
          <w:tcPr>
            <w:tcW w:w="2693" w:type="dxa"/>
            <w:shd w:val="clear" w:color="auto" w:fill="DFEFE1" w:themeFill="accent3" w:themeFillTint="66"/>
          </w:tcPr>
          <w:p w14:paraId="26ABD1D3" w14:textId="77777777" w:rsidR="005409DB" w:rsidRPr="005409DB" w:rsidRDefault="005409DB" w:rsidP="005409DB">
            <w:pPr>
              <w:autoSpaceDE w:val="0"/>
              <w:autoSpaceDN w:val="0"/>
              <w:adjustRightInd w:val="0"/>
              <w:spacing w:before="0" w:after="0"/>
              <w:jc w:val="center"/>
              <w:rPr>
                <w:rFonts w:cs="Segoe UI"/>
                <w:b/>
                <w:color w:val="000000"/>
              </w:rPr>
            </w:pPr>
            <w:r w:rsidRPr="005409DB">
              <w:rPr>
                <w:rFonts w:cs="Segoe UI"/>
                <w:b/>
                <w:color w:val="000000"/>
              </w:rPr>
              <w:t>No. of beekeepers</w:t>
            </w:r>
          </w:p>
        </w:tc>
      </w:tr>
      <w:tr w:rsidR="005409DB" w14:paraId="26ABD1D7" w14:textId="77777777" w:rsidTr="005409DB">
        <w:tc>
          <w:tcPr>
            <w:tcW w:w="2405" w:type="dxa"/>
          </w:tcPr>
          <w:p w14:paraId="26ABD1D5"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2006</w:t>
            </w:r>
          </w:p>
        </w:tc>
        <w:tc>
          <w:tcPr>
            <w:tcW w:w="2693" w:type="dxa"/>
          </w:tcPr>
          <w:p w14:paraId="26ABD1D6"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430</w:t>
            </w:r>
          </w:p>
        </w:tc>
      </w:tr>
      <w:tr w:rsidR="005409DB" w14:paraId="26ABD1DA" w14:textId="77777777" w:rsidTr="005409DB">
        <w:tc>
          <w:tcPr>
            <w:tcW w:w="2405" w:type="dxa"/>
          </w:tcPr>
          <w:p w14:paraId="26ABD1D8"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2007</w:t>
            </w:r>
          </w:p>
        </w:tc>
        <w:tc>
          <w:tcPr>
            <w:tcW w:w="2693" w:type="dxa"/>
          </w:tcPr>
          <w:p w14:paraId="26ABD1D9"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406</w:t>
            </w:r>
          </w:p>
        </w:tc>
      </w:tr>
      <w:tr w:rsidR="005409DB" w14:paraId="26ABD1DD" w14:textId="77777777" w:rsidTr="005409DB">
        <w:tc>
          <w:tcPr>
            <w:tcW w:w="2405" w:type="dxa"/>
          </w:tcPr>
          <w:p w14:paraId="26ABD1DB"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2008</w:t>
            </w:r>
          </w:p>
        </w:tc>
        <w:tc>
          <w:tcPr>
            <w:tcW w:w="2693" w:type="dxa"/>
          </w:tcPr>
          <w:p w14:paraId="26ABD1DC"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425</w:t>
            </w:r>
          </w:p>
        </w:tc>
      </w:tr>
      <w:tr w:rsidR="005409DB" w14:paraId="26ABD1E0" w14:textId="77777777" w:rsidTr="005409DB">
        <w:tc>
          <w:tcPr>
            <w:tcW w:w="2405" w:type="dxa"/>
          </w:tcPr>
          <w:p w14:paraId="26ABD1DE"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2009</w:t>
            </w:r>
          </w:p>
        </w:tc>
        <w:tc>
          <w:tcPr>
            <w:tcW w:w="2693" w:type="dxa"/>
          </w:tcPr>
          <w:p w14:paraId="26ABD1DF"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488</w:t>
            </w:r>
          </w:p>
        </w:tc>
      </w:tr>
      <w:tr w:rsidR="005409DB" w14:paraId="26ABD1E3" w14:textId="77777777" w:rsidTr="005409DB">
        <w:tc>
          <w:tcPr>
            <w:tcW w:w="2405" w:type="dxa"/>
          </w:tcPr>
          <w:p w14:paraId="26ABD1E1"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2010</w:t>
            </w:r>
          </w:p>
        </w:tc>
        <w:tc>
          <w:tcPr>
            <w:tcW w:w="2693" w:type="dxa"/>
          </w:tcPr>
          <w:p w14:paraId="26ABD1E2"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542</w:t>
            </w:r>
          </w:p>
        </w:tc>
      </w:tr>
      <w:tr w:rsidR="005409DB" w14:paraId="26ABD1E6" w14:textId="77777777" w:rsidTr="005409DB">
        <w:tc>
          <w:tcPr>
            <w:tcW w:w="2405" w:type="dxa"/>
          </w:tcPr>
          <w:p w14:paraId="26ABD1E4"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2011</w:t>
            </w:r>
          </w:p>
        </w:tc>
        <w:tc>
          <w:tcPr>
            <w:tcW w:w="2693" w:type="dxa"/>
          </w:tcPr>
          <w:p w14:paraId="26ABD1E5"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582</w:t>
            </w:r>
          </w:p>
        </w:tc>
      </w:tr>
      <w:tr w:rsidR="005409DB" w14:paraId="26ABD1E9" w14:textId="77777777" w:rsidTr="005409DB">
        <w:tc>
          <w:tcPr>
            <w:tcW w:w="2405" w:type="dxa"/>
          </w:tcPr>
          <w:p w14:paraId="26ABD1E7"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lastRenderedPageBreak/>
              <w:t>2012</w:t>
            </w:r>
          </w:p>
        </w:tc>
        <w:tc>
          <w:tcPr>
            <w:tcW w:w="2693" w:type="dxa"/>
          </w:tcPr>
          <w:p w14:paraId="26ABD1E8"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643</w:t>
            </w:r>
          </w:p>
        </w:tc>
      </w:tr>
      <w:tr w:rsidR="005409DB" w14:paraId="26ABD1EC" w14:textId="77777777" w:rsidTr="005409DB">
        <w:tc>
          <w:tcPr>
            <w:tcW w:w="2405" w:type="dxa"/>
          </w:tcPr>
          <w:p w14:paraId="26ABD1EA"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2013</w:t>
            </w:r>
          </w:p>
        </w:tc>
        <w:tc>
          <w:tcPr>
            <w:tcW w:w="2693" w:type="dxa"/>
          </w:tcPr>
          <w:p w14:paraId="26ABD1EB"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753</w:t>
            </w:r>
          </w:p>
        </w:tc>
      </w:tr>
      <w:tr w:rsidR="005409DB" w14:paraId="26ABD1EF" w14:textId="77777777" w:rsidTr="005409DB">
        <w:tc>
          <w:tcPr>
            <w:tcW w:w="2405" w:type="dxa"/>
          </w:tcPr>
          <w:p w14:paraId="26ABD1ED"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2014</w:t>
            </w:r>
          </w:p>
        </w:tc>
        <w:tc>
          <w:tcPr>
            <w:tcW w:w="2693" w:type="dxa"/>
          </w:tcPr>
          <w:p w14:paraId="26ABD1EE"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850</w:t>
            </w:r>
          </w:p>
        </w:tc>
      </w:tr>
      <w:tr w:rsidR="005409DB" w14:paraId="26ABD1F2" w14:textId="77777777" w:rsidTr="005409DB">
        <w:tc>
          <w:tcPr>
            <w:tcW w:w="2405" w:type="dxa"/>
          </w:tcPr>
          <w:p w14:paraId="26ABD1F0"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2015</w:t>
            </w:r>
          </w:p>
        </w:tc>
        <w:tc>
          <w:tcPr>
            <w:tcW w:w="2693" w:type="dxa"/>
          </w:tcPr>
          <w:p w14:paraId="26ABD1F1"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1127</w:t>
            </w:r>
          </w:p>
        </w:tc>
      </w:tr>
      <w:tr w:rsidR="005409DB" w14:paraId="26ABD1F5" w14:textId="77777777" w:rsidTr="005409DB">
        <w:tc>
          <w:tcPr>
            <w:tcW w:w="2405" w:type="dxa"/>
          </w:tcPr>
          <w:p w14:paraId="26ABD1F3"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2016</w:t>
            </w:r>
          </w:p>
        </w:tc>
        <w:tc>
          <w:tcPr>
            <w:tcW w:w="2693" w:type="dxa"/>
          </w:tcPr>
          <w:p w14:paraId="26ABD1F4"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1508</w:t>
            </w:r>
          </w:p>
        </w:tc>
      </w:tr>
      <w:tr w:rsidR="005409DB" w14:paraId="26ABD1F8" w14:textId="77777777" w:rsidTr="005409DB">
        <w:tc>
          <w:tcPr>
            <w:tcW w:w="2405" w:type="dxa"/>
          </w:tcPr>
          <w:p w14:paraId="26ABD1F6"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2017</w:t>
            </w:r>
          </w:p>
        </w:tc>
        <w:tc>
          <w:tcPr>
            <w:tcW w:w="2693" w:type="dxa"/>
          </w:tcPr>
          <w:p w14:paraId="26ABD1F7"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2007</w:t>
            </w:r>
          </w:p>
        </w:tc>
      </w:tr>
      <w:tr w:rsidR="005409DB" w14:paraId="26ABD1FB" w14:textId="77777777" w:rsidTr="005409DB">
        <w:tc>
          <w:tcPr>
            <w:tcW w:w="2405" w:type="dxa"/>
          </w:tcPr>
          <w:p w14:paraId="26ABD1F9"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2018</w:t>
            </w:r>
          </w:p>
        </w:tc>
        <w:tc>
          <w:tcPr>
            <w:tcW w:w="2693" w:type="dxa"/>
          </w:tcPr>
          <w:p w14:paraId="26ABD1FA" w14:textId="77777777" w:rsidR="005409DB" w:rsidRDefault="005409DB" w:rsidP="005409DB">
            <w:pPr>
              <w:autoSpaceDE w:val="0"/>
              <w:autoSpaceDN w:val="0"/>
              <w:adjustRightInd w:val="0"/>
              <w:spacing w:before="0" w:after="0"/>
              <w:jc w:val="center"/>
              <w:rPr>
                <w:rFonts w:cs="Segoe UI"/>
                <w:color w:val="000000"/>
              </w:rPr>
            </w:pPr>
            <w:r>
              <w:rPr>
                <w:rFonts w:cs="Segoe UI"/>
                <w:color w:val="000000"/>
              </w:rPr>
              <w:t>2550</w:t>
            </w:r>
          </w:p>
        </w:tc>
      </w:tr>
    </w:tbl>
    <w:p w14:paraId="26ABD1FC" w14:textId="77777777" w:rsidR="00E40B48" w:rsidRPr="00CE60B2" w:rsidRDefault="00E40B48" w:rsidP="00E40B48">
      <w:pPr>
        <w:autoSpaceDE w:val="0"/>
        <w:autoSpaceDN w:val="0"/>
        <w:adjustRightInd w:val="0"/>
        <w:spacing w:before="0" w:after="0"/>
        <w:rPr>
          <w:rFonts w:cs="Segoe UI"/>
          <w:color w:val="000000"/>
        </w:rPr>
      </w:pPr>
    </w:p>
    <w:p w14:paraId="26ABD1FD" w14:textId="290CF14D" w:rsidR="00E40B48" w:rsidRPr="00CE60B2" w:rsidRDefault="00E40B48" w:rsidP="00E40B48">
      <w:pPr>
        <w:autoSpaceDE w:val="0"/>
        <w:autoSpaceDN w:val="0"/>
        <w:adjustRightInd w:val="0"/>
        <w:spacing w:before="0" w:after="0"/>
        <w:rPr>
          <w:rFonts w:cs="Segoe UI"/>
          <w:color w:val="000000"/>
        </w:rPr>
      </w:pPr>
      <w:r w:rsidRPr="00CE60B2">
        <w:rPr>
          <w:rFonts w:cs="Segoe UI"/>
          <w:color w:val="000000"/>
        </w:rPr>
        <w:t>Beekeepers are also registered with</w:t>
      </w:r>
      <w:r w:rsidR="00C07225">
        <w:rPr>
          <w:rFonts w:cs="Segoe UI"/>
          <w:color w:val="000000"/>
        </w:rPr>
        <w:t xml:space="preserve"> the </w:t>
      </w:r>
      <w:r w:rsidR="00C07225">
        <w:rPr>
          <w:rFonts w:cs="Segoe UI"/>
        </w:rPr>
        <w:t>Department of Primary Industries and Regional Development</w:t>
      </w:r>
      <w:r w:rsidRPr="00CE60B2">
        <w:rPr>
          <w:rFonts w:cs="Segoe UI"/>
          <w:color w:val="000000"/>
        </w:rPr>
        <w:t xml:space="preserve"> </w:t>
      </w:r>
      <w:r w:rsidR="00C07225">
        <w:rPr>
          <w:rFonts w:cs="Segoe UI"/>
          <w:color w:val="000000"/>
        </w:rPr>
        <w:t>(</w:t>
      </w:r>
      <w:r w:rsidRPr="00CE60B2">
        <w:rPr>
          <w:rFonts w:cs="Segoe UI"/>
          <w:color w:val="000000"/>
        </w:rPr>
        <w:t>DPIRD</w:t>
      </w:r>
      <w:r w:rsidR="00C07225">
        <w:rPr>
          <w:rFonts w:cs="Segoe UI"/>
          <w:color w:val="000000"/>
        </w:rPr>
        <w:t>)</w:t>
      </w:r>
      <w:r w:rsidRPr="00CE60B2">
        <w:rPr>
          <w:rFonts w:cs="Segoe UI"/>
          <w:color w:val="000000"/>
        </w:rPr>
        <w:t xml:space="preserve"> </w:t>
      </w:r>
      <w:r w:rsidR="00176847" w:rsidRPr="00CE60B2">
        <w:rPr>
          <w:rFonts w:cs="Segoe UI"/>
          <w:color w:val="000000"/>
        </w:rPr>
        <w:t>to</w:t>
      </w:r>
      <w:r w:rsidRPr="00CE60B2">
        <w:rPr>
          <w:rFonts w:cs="Segoe UI"/>
          <w:color w:val="000000"/>
        </w:rPr>
        <w:t xml:space="preserve"> maintain high biosecurity standards</w:t>
      </w:r>
      <w:r w:rsidR="005409DB">
        <w:rPr>
          <w:rFonts w:cs="Segoe UI"/>
          <w:color w:val="000000"/>
        </w:rPr>
        <w:t xml:space="preserve"> (</w:t>
      </w:r>
      <w:r w:rsidR="00B978C3">
        <w:rPr>
          <w:rFonts w:cs="Segoe UI"/>
          <w:color w:val="000000"/>
        </w:rPr>
        <w:fldChar w:fldCharType="begin"/>
      </w:r>
      <w:r w:rsidR="00B978C3">
        <w:rPr>
          <w:rFonts w:cs="Segoe UI"/>
          <w:color w:val="000000"/>
        </w:rPr>
        <w:instrText xml:space="preserve"> REF _Ref531101589 \h </w:instrText>
      </w:r>
      <w:r w:rsidR="00B978C3">
        <w:rPr>
          <w:rFonts w:cs="Segoe UI"/>
          <w:color w:val="000000"/>
        </w:rPr>
      </w:r>
      <w:r w:rsidR="00B978C3">
        <w:rPr>
          <w:rFonts w:cs="Segoe UI"/>
          <w:color w:val="000000"/>
        </w:rPr>
        <w:fldChar w:fldCharType="separate"/>
      </w:r>
      <w:r w:rsidR="003C7091">
        <w:t xml:space="preserve">Table </w:t>
      </w:r>
      <w:r w:rsidR="003C7091">
        <w:rPr>
          <w:noProof/>
        </w:rPr>
        <w:t>24</w:t>
      </w:r>
      <w:r w:rsidR="00B978C3">
        <w:rPr>
          <w:rFonts w:cs="Segoe UI"/>
          <w:color w:val="000000"/>
        </w:rPr>
        <w:fldChar w:fldCharType="end"/>
      </w:r>
      <w:r w:rsidR="003B6AF5">
        <w:rPr>
          <w:rFonts w:cs="Segoe UI"/>
          <w:color w:val="000000"/>
        </w:rPr>
        <w:t>)</w:t>
      </w:r>
      <w:r w:rsidR="005409DB">
        <w:rPr>
          <w:rFonts w:cs="Segoe UI"/>
          <w:color w:val="000000"/>
        </w:rPr>
        <w:t>.</w:t>
      </w:r>
      <w:r w:rsidRPr="00CE60B2">
        <w:rPr>
          <w:rFonts w:cs="Segoe UI"/>
          <w:color w:val="000000"/>
        </w:rPr>
        <w:t xml:space="preserve"> Honey, pollen, beeswax, honeycomb or any other product of bees are animal products covered by the </w:t>
      </w:r>
      <w:r w:rsidRPr="00CE60B2">
        <w:rPr>
          <w:rFonts w:cs="Segoe UI"/>
          <w:i/>
          <w:color w:val="000000"/>
        </w:rPr>
        <w:t>Biosecurity and Agriculture Management Act 2007</w:t>
      </w:r>
      <w:r w:rsidRPr="00CE60B2">
        <w:rPr>
          <w:rFonts w:cs="Segoe UI"/>
          <w:color w:val="000000"/>
        </w:rPr>
        <w:t>. DPIRD undertakes surveillance and sampling for exotic bee pests and diseases.</w:t>
      </w:r>
    </w:p>
    <w:p w14:paraId="26ABD1FE" w14:textId="77777777" w:rsidR="00E40B48" w:rsidRPr="00CE60B2" w:rsidRDefault="00E40B48" w:rsidP="00E40B48">
      <w:pPr>
        <w:spacing w:before="240"/>
        <w:rPr>
          <w:rFonts w:eastAsia="Times New Roman" w:cs="Segoe UI"/>
          <w:szCs w:val="20"/>
          <w:lang w:eastAsia="en-AU"/>
        </w:rPr>
      </w:pPr>
      <w:r w:rsidRPr="00CE60B2">
        <w:rPr>
          <w:rFonts w:eastAsia="Times New Roman" w:cs="Segoe UI"/>
          <w:szCs w:val="20"/>
          <w:lang w:eastAsia="en-AU"/>
        </w:rPr>
        <w:t>There are no data available on indigenous resources collected or used for cultural activities.</w:t>
      </w:r>
    </w:p>
    <w:p w14:paraId="26ABD1FF" w14:textId="77777777" w:rsidR="00806ABE" w:rsidRPr="00CE60B2" w:rsidRDefault="00806ABE" w:rsidP="008A4979">
      <w:pPr>
        <w:pStyle w:val="Heading3"/>
        <w:rPr>
          <w:lang w:eastAsia="en-AU"/>
        </w:rPr>
      </w:pPr>
      <w:bookmarkStart w:id="128" w:name="_Toc2776054"/>
      <w:r w:rsidRPr="00CE60B2">
        <w:rPr>
          <w:lang w:eastAsia="en-AU"/>
        </w:rPr>
        <w:t>Indicator 2.1e</w:t>
      </w:r>
      <w:r w:rsidRPr="00CE60B2">
        <w:rPr>
          <w:lang w:eastAsia="en-AU"/>
        </w:rPr>
        <w:tab/>
        <w:t>The area of native forest harvested and the proportion of that effectively regenerated, and the area of plantation harvested and the proportion of that effectively re-established</w:t>
      </w:r>
      <w:bookmarkEnd w:id="124"/>
      <w:bookmarkEnd w:id="128"/>
    </w:p>
    <w:p w14:paraId="26ABD200" w14:textId="77777777" w:rsidR="00E40B48" w:rsidRDefault="00E40B48" w:rsidP="00E40B48">
      <w:pPr>
        <w:rPr>
          <w:rFonts w:cs="Segoe UI"/>
          <w:lang w:eastAsia="ja-JP"/>
        </w:rPr>
      </w:pPr>
      <w:bookmarkStart w:id="129" w:name="_Toc524952812"/>
      <w:r w:rsidRPr="00CE60B2">
        <w:rPr>
          <w:rFonts w:cs="Segoe UI"/>
          <w:lang w:eastAsia="ja-JP"/>
        </w:rPr>
        <w:t>This indicator reports on the extent of native forest harvested and the success of re</w:t>
      </w:r>
      <w:r w:rsidR="001D68DC">
        <w:rPr>
          <w:rFonts w:cs="Segoe UI"/>
          <w:lang w:eastAsia="ja-JP"/>
        </w:rPr>
        <w:noBreakHyphen/>
      </w:r>
      <w:r w:rsidRPr="00CE60B2">
        <w:rPr>
          <w:rFonts w:cs="Segoe UI"/>
          <w:lang w:eastAsia="ja-JP"/>
        </w:rPr>
        <w:t>establishing regeneration on harvested sites. It also compares the area of plantation clearfelled with the area effectively replanted, and gives an indication of the success of the planting effort. This indicator is used to assess the success of the re-establishment of forests after harvesting. Re-establishment is critical to the maintenance of the productive capacity of the forest.</w:t>
      </w:r>
    </w:p>
    <w:p w14:paraId="26ABD201" w14:textId="77777777" w:rsidR="00583289" w:rsidRPr="00CE60B2" w:rsidRDefault="00583289" w:rsidP="00E40B48">
      <w:pPr>
        <w:rPr>
          <w:rFonts w:cs="Segoe UI"/>
          <w:lang w:eastAsia="ja-JP"/>
        </w:rPr>
      </w:pPr>
      <w:r>
        <w:rPr>
          <w:rFonts w:cs="Segoe UI"/>
          <w:lang w:eastAsia="ja-JP"/>
        </w:rPr>
        <w:t>The areas re-established and replanted are reported annually in the annual reports of the FPC and DBCA</w:t>
      </w:r>
      <w:r w:rsidR="00F2562C">
        <w:rPr>
          <w:rFonts w:cs="Segoe UI"/>
          <w:lang w:eastAsia="ja-JP"/>
        </w:rPr>
        <w:t>.</w:t>
      </w:r>
    </w:p>
    <w:p w14:paraId="26ABD202" w14:textId="77777777" w:rsidR="00E40B48" w:rsidRPr="00CE60B2" w:rsidRDefault="00E40B48" w:rsidP="008A4979">
      <w:pPr>
        <w:pStyle w:val="Heading4"/>
        <w:rPr>
          <w:rFonts w:cs="Segoe UI"/>
          <w:lang w:eastAsia="ja-JP"/>
        </w:rPr>
      </w:pPr>
      <w:r w:rsidRPr="00CE60B2">
        <w:rPr>
          <w:rFonts w:cs="Segoe UI"/>
          <w:lang w:eastAsia="ja-JP"/>
        </w:rPr>
        <w:t xml:space="preserve">Native forest </w:t>
      </w:r>
    </w:p>
    <w:p w14:paraId="26ABD203" w14:textId="66E662DF" w:rsidR="00E40B48" w:rsidRPr="00CE60B2" w:rsidRDefault="00E40B48" w:rsidP="00E40B48">
      <w:pPr>
        <w:autoSpaceDE w:val="0"/>
        <w:autoSpaceDN w:val="0"/>
        <w:adjustRightInd w:val="0"/>
        <w:spacing w:before="0" w:after="0"/>
        <w:rPr>
          <w:rFonts w:cs="Segoe UI"/>
          <w:lang w:eastAsia="ja-JP"/>
        </w:rPr>
      </w:pPr>
      <w:r w:rsidRPr="00CE60B2">
        <w:rPr>
          <w:rFonts w:cs="Segoe UI"/>
          <w:lang w:eastAsia="ja-JP"/>
        </w:rPr>
        <w:t xml:space="preserve">Effective regeneration of native forest after wood harvesting is a fundamental component of sustainable forest management, since </w:t>
      </w:r>
      <w:r w:rsidR="00F2562C">
        <w:rPr>
          <w:rFonts w:cs="Segoe UI"/>
          <w:lang w:eastAsia="ja-JP"/>
        </w:rPr>
        <w:t xml:space="preserve">the standard of </w:t>
      </w:r>
      <w:r w:rsidRPr="00CE60B2">
        <w:rPr>
          <w:rFonts w:cs="Segoe UI"/>
          <w:lang w:eastAsia="ja-JP"/>
        </w:rPr>
        <w:t xml:space="preserve">regeneration determines the long-term productivity, growth, dynamics and composition of forest stands. In this context, regeneration is considered the establishment of a new tree cohort from natural seed fall, </w:t>
      </w:r>
      <w:r w:rsidR="00D4615D">
        <w:rPr>
          <w:rFonts w:cs="Segoe UI"/>
          <w:lang w:eastAsia="ja-JP"/>
        </w:rPr>
        <w:t xml:space="preserve">planted seedlings, </w:t>
      </w:r>
      <w:r w:rsidRPr="00CE60B2">
        <w:rPr>
          <w:rFonts w:cs="Segoe UI"/>
          <w:lang w:eastAsia="ja-JP"/>
        </w:rPr>
        <w:t>lignotubers or coppice following the harvesting event.</w:t>
      </w:r>
    </w:p>
    <w:p w14:paraId="26ABD204" w14:textId="77777777" w:rsidR="00E40B48" w:rsidRPr="00CE60B2" w:rsidRDefault="00E40B48" w:rsidP="00E40B48">
      <w:pPr>
        <w:autoSpaceDE w:val="0"/>
        <w:autoSpaceDN w:val="0"/>
        <w:adjustRightInd w:val="0"/>
        <w:rPr>
          <w:rFonts w:cs="Segoe UI"/>
          <w:lang w:eastAsia="ja-JP"/>
        </w:rPr>
      </w:pPr>
      <w:r w:rsidRPr="00CE60B2">
        <w:rPr>
          <w:rFonts w:cs="Segoe UI"/>
          <w:lang w:eastAsia="ja-JP"/>
        </w:rPr>
        <w:t xml:space="preserve">This indicator is relevant to the public forest estate as there are no statistics for regeneration on harvested private property. For native forests, annual information is provided on the total area harvested, the area harvested where regeneration is a targeted outcome and the proportion of area effectively regenerated. </w:t>
      </w:r>
    </w:p>
    <w:p w14:paraId="26ABD205" w14:textId="7749F3A3" w:rsidR="00E40B48" w:rsidRPr="00CE60B2" w:rsidRDefault="00E40B48" w:rsidP="00E40B48">
      <w:pPr>
        <w:autoSpaceDE w:val="0"/>
        <w:autoSpaceDN w:val="0"/>
        <w:adjustRightInd w:val="0"/>
        <w:rPr>
          <w:rFonts w:cs="Segoe UI"/>
          <w:lang w:eastAsia="ja-JP"/>
        </w:rPr>
      </w:pPr>
      <w:r w:rsidRPr="00CE60B2">
        <w:rPr>
          <w:rFonts w:cs="Segoe UI"/>
          <w:lang w:eastAsia="ja-JP"/>
        </w:rPr>
        <w:t xml:space="preserve">Regeneration activities aim to re-establish the species representation within the disturbed area, using propagules, on-site seed, on-site seedlings and other established growth that has been retained, or seedlings developed from seed from the same landscape zone. The </w:t>
      </w:r>
      <w:r w:rsidR="0070699E" w:rsidRPr="0070699E">
        <w:rPr>
          <w:rFonts w:cs="Segoe UI"/>
          <w:lang w:eastAsia="ja-JP"/>
        </w:rPr>
        <w:t>FMP </w:t>
      </w:r>
      <w:r w:rsidR="00F26DBE">
        <w:rPr>
          <w:rFonts w:cs="Segoe UI"/>
          <w:lang w:eastAsia="ja-JP"/>
        </w:rPr>
        <w:t>2014</w:t>
      </w:r>
      <w:r w:rsidR="00F26DBE">
        <w:rPr>
          <w:rFonts w:cs="Segoe UI"/>
          <w:lang w:eastAsia="ja-JP"/>
        </w:rPr>
        <w:noBreakHyphen/>
      </w:r>
      <w:r w:rsidRPr="0070699E">
        <w:rPr>
          <w:rFonts w:cs="Segoe UI"/>
          <w:lang w:eastAsia="ja-JP"/>
        </w:rPr>
        <w:t>2023</w:t>
      </w:r>
      <w:r w:rsidRPr="00CE60B2">
        <w:rPr>
          <w:rFonts w:cs="Segoe UI"/>
          <w:lang w:eastAsia="ja-JP"/>
        </w:rPr>
        <w:t xml:space="preserve"> requires proponents harvesting native forest to undertake regeneration and tending operations in accordance with DBCA’s silvicultur</w:t>
      </w:r>
      <w:r w:rsidR="00F2562C">
        <w:rPr>
          <w:rFonts w:cs="Segoe UI"/>
          <w:lang w:eastAsia="ja-JP"/>
        </w:rPr>
        <w:t>e</w:t>
      </w:r>
      <w:r w:rsidRPr="00CE60B2">
        <w:rPr>
          <w:rFonts w:cs="Segoe UI"/>
          <w:lang w:eastAsia="ja-JP"/>
        </w:rPr>
        <w:t xml:space="preserve"> guidelines, and sets timelines and </w:t>
      </w:r>
      <w:r w:rsidRPr="00CE60B2">
        <w:rPr>
          <w:rFonts w:cs="Segoe UI"/>
          <w:lang w:eastAsia="ja-JP"/>
        </w:rPr>
        <w:lastRenderedPageBreak/>
        <w:t>targets for effective re</w:t>
      </w:r>
      <w:r w:rsidR="005C2908">
        <w:rPr>
          <w:rFonts w:cs="Segoe UI"/>
          <w:lang w:eastAsia="ja-JP"/>
        </w:rPr>
        <w:t xml:space="preserve">generation to occur. As </w:t>
      </w:r>
      <w:r w:rsidR="005C2908">
        <w:rPr>
          <w:rFonts w:cs="Segoe UI"/>
          <w:lang w:eastAsia="ja-JP"/>
        </w:rPr>
        <w:fldChar w:fldCharType="begin"/>
      </w:r>
      <w:r w:rsidR="005C2908">
        <w:rPr>
          <w:rFonts w:cs="Segoe UI"/>
          <w:lang w:eastAsia="ja-JP"/>
        </w:rPr>
        <w:instrText xml:space="preserve"> REF _Ref527461337 </w:instrText>
      </w:r>
      <w:r w:rsidR="005C2908">
        <w:rPr>
          <w:rFonts w:cs="Segoe UI"/>
          <w:lang w:eastAsia="ja-JP"/>
        </w:rPr>
        <w:fldChar w:fldCharType="separate"/>
      </w:r>
      <w:r w:rsidR="003C7091">
        <w:t xml:space="preserve">Table </w:t>
      </w:r>
      <w:r w:rsidR="003C7091">
        <w:rPr>
          <w:noProof/>
        </w:rPr>
        <w:t>25</w:t>
      </w:r>
      <w:r w:rsidR="005C2908">
        <w:rPr>
          <w:rFonts w:cs="Segoe UI"/>
          <w:lang w:eastAsia="ja-JP"/>
        </w:rPr>
        <w:fldChar w:fldCharType="end"/>
      </w:r>
      <w:r w:rsidRPr="00CE60B2">
        <w:rPr>
          <w:rFonts w:cs="Segoe UI"/>
          <w:lang w:eastAsia="ja-JP"/>
        </w:rPr>
        <w:t xml:space="preserve"> below indicat</w:t>
      </w:r>
      <w:r w:rsidR="00F26DBE">
        <w:rPr>
          <w:rFonts w:cs="Segoe UI"/>
          <w:lang w:eastAsia="ja-JP"/>
        </w:rPr>
        <w:t>es, during the period of the WA </w:t>
      </w:r>
      <w:r w:rsidRPr="00CE60B2">
        <w:rPr>
          <w:rFonts w:cs="Segoe UI"/>
          <w:lang w:eastAsia="ja-JP"/>
        </w:rPr>
        <w:t xml:space="preserve">RFA the proportion of harvested area being effectively regenerated has been within 1 per cent of required targets. </w:t>
      </w:r>
    </w:p>
    <w:p w14:paraId="26ABD206" w14:textId="77777777" w:rsidR="00E40B48" w:rsidRPr="00CE60B2" w:rsidRDefault="00E40B48" w:rsidP="00E40B48">
      <w:pPr>
        <w:autoSpaceDE w:val="0"/>
        <w:autoSpaceDN w:val="0"/>
        <w:adjustRightInd w:val="0"/>
        <w:rPr>
          <w:rFonts w:cs="Segoe UI"/>
          <w:lang w:eastAsia="ja-JP"/>
        </w:rPr>
      </w:pPr>
      <w:r w:rsidRPr="00CE60B2">
        <w:rPr>
          <w:rFonts w:cs="Segoe UI"/>
          <w:lang w:eastAsia="ja-JP"/>
        </w:rPr>
        <w:t xml:space="preserve">The release of the </w:t>
      </w:r>
      <w:r w:rsidRPr="00CE60B2">
        <w:rPr>
          <w:rFonts w:cs="Segoe UI"/>
          <w:i/>
          <w:lang w:eastAsia="ja-JP"/>
        </w:rPr>
        <w:t xml:space="preserve">Draft mid-term review of performance of </w:t>
      </w:r>
      <w:r w:rsidR="00F26DBE">
        <w:rPr>
          <w:rFonts w:cs="Segoe UI"/>
          <w:i/>
          <w:lang w:eastAsia="ja-JP"/>
        </w:rPr>
        <w:t>the Forest Management Plan 2014</w:t>
      </w:r>
      <w:r w:rsidR="00F26DBE">
        <w:rPr>
          <w:rFonts w:cs="Segoe UI"/>
          <w:i/>
          <w:lang w:eastAsia="ja-JP"/>
        </w:rPr>
        <w:noBreakHyphen/>
      </w:r>
      <w:r w:rsidRPr="00CE60B2">
        <w:rPr>
          <w:rFonts w:cs="Segoe UI"/>
          <w:i/>
          <w:lang w:eastAsia="ja-JP"/>
        </w:rPr>
        <w:t xml:space="preserve">2023 </w:t>
      </w:r>
      <w:r w:rsidRPr="00CE60B2">
        <w:rPr>
          <w:rFonts w:cs="Segoe UI"/>
          <w:lang w:eastAsia="ja-JP"/>
        </w:rPr>
        <w:t xml:space="preserve">noted that for areas of jarrah forest </w:t>
      </w:r>
      <w:r w:rsidR="00F2562C">
        <w:rPr>
          <w:rFonts w:cs="Segoe UI"/>
          <w:lang w:eastAsia="ja-JP"/>
        </w:rPr>
        <w:t>where the release of regeneration was an objective</w:t>
      </w:r>
      <w:r w:rsidRPr="00CE60B2">
        <w:rPr>
          <w:rFonts w:cs="Segoe UI"/>
          <w:lang w:eastAsia="ja-JP"/>
        </w:rPr>
        <w:t xml:space="preserve">, around half of the areas had not been treated within the specified timeframe. This shortfall has been largely due to delays in achieving </w:t>
      </w:r>
      <w:r w:rsidR="001D68DC">
        <w:rPr>
          <w:rFonts w:cs="Segoe UI"/>
          <w:lang w:eastAsia="ja-JP"/>
        </w:rPr>
        <w:t>DBCA’</w:t>
      </w:r>
      <w:r w:rsidRPr="00CE60B2">
        <w:rPr>
          <w:rFonts w:cs="Segoe UI"/>
          <w:lang w:eastAsia="ja-JP"/>
        </w:rPr>
        <w:t>s scheduled silvicultural burning program. The commencement of the ‘Enhanced Pres</w:t>
      </w:r>
      <w:r w:rsidR="00F26DBE">
        <w:rPr>
          <w:rFonts w:cs="Segoe UI"/>
          <w:lang w:eastAsia="ja-JP"/>
        </w:rPr>
        <w:t>cribed Burning Program’ in 2015</w:t>
      </w:r>
      <w:r w:rsidR="00F26DBE">
        <w:rPr>
          <w:rFonts w:cs="Segoe UI"/>
          <w:lang w:eastAsia="ja-JP"/>
        </w:rPr>
        <w:noBreakHyphen/>
      </w:r>
      <w:r w:rsidRPr="00CE60B2">
        <w:rPr>
          <w:rFonts w:cs="Segoe UI"/>
          <w:lang w:eastAsia="ja-JP"/>
        </w:rPr>
        <w:t>16 has enabled more silvicultural burns to completed and substantially reduce the backlog of areas requiring regeneration.</w:t>
      </w:r>
    </w:p>
    <w:p w14:paraId="26ABD207" w14:textId="2E6D9959" w:rsidR="005C2908" w:rsidRDefault="005C2908" w:rsidP="005C2908">
      <w:pPr>
        <w:pStyle w:val="Caption"/>
        <w:keepNext/>
      </w:pPr>
      <w:bookmarkStart w:id="130" w:name="_Ref527461337"/>
      <w:bookmarkStart w:id="131" w:name="_Toc531002186"/>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25</w:t>
      </w:r>
      <w:r w:rsidR="005C10D4">
        <w:rPr>
          <w:noProof/>
        </w:rPr>
        <w:fldChar w:fldCharType="end"/>
      </w:r>
      <w:bookmarkEnd w:id="130"/>
      <w:r>
        <w:t xml:space="preserve">: </w:t>
      </w:r>
      <w:r w:rsidRPr="00361117">
        <w:t>Area of multiple-use public native forest effectively regenerated, Western Australia, 2001–02 to 2015–16</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50"/>
        <w:gridCol w:w="3195"/>
        <w:gridCol w:w="3195"/>
      </w:tblGrid>
      <w:tr w:rsidR="00B738D9" w:rsidRPr="00300EF2" w14:paraId="26ABD20B" w14:textId="77777777" w:rsidTr="008A4C96">
        <w:trPr>
          <w:cantSplit/>
        </w:trPr>
        <w:tc>
          <w:tcPr>
            <w:tcW w:w="2250" w:type="dxa"/>
            <w:shd w:val="clear" w:color="auto" w:fill="DFEFE1" w:themeFill="accent3" w:themeFillTint="66"/>
            <w:vAlign w:val="bottom"/>
          </w:tcPr>
          <w:p w14:paraId="26ABD208" w14:textId="77777777" w:rsidR="00B738D9" w:rsidRPr="00300EF2" w:rsidRDefault="00B738D9" w:rsidP="004227B9">
            <w:pPr>
              <w:pStyle w:val="TableHeading"/>
              <w:rPr>
                <w:sz w:val="16"/>
                <w:szCs w:val="16"/>
              </w:rPr>
            </w:pPr>
            <w:r w:rsidRPr="00300EF2">
              <w:rPr>
                <w:sz w:val="16"/>
                <w:szCs w:val="16"/>
              </w:rPr>
              <w:t>Reporting year</w:t>
            </w:r>
          </w:p>
        </w:tc>
        <w:tc>
          <w:tcPr>
            <w:tcW w:w="3195" w:type="dxa"/>
            <w:shd w:val="clear" w:color="auto" w:fill="DFEFE1" w:themeFill="accent3" w:themeFillTint="66"/>
          </w:tcPr>
          <w:p w14:paraId="26ABD209" w14:textId="77777777" w:rsidR="00B738D9" w:rsidRPr="00300EF2" w:rsidRDefault="00B738D9" w:rsidP="004227B9">
            <w:pPr>
              <w:pStyle w:val="TableHeading"/>
              <w:jc w:val="right"/>
              <w:rPr>
                <w:sz w:val="16"/>
                <w:szCs w:val="16"/>
              </w:rPr>
            </w:pPr>
            <w:r w:rsidRPr="00300EF2">
              <w:rPr>
                <w:sz w:val="16"/>
                <w:szCs w:val="16"/>
              </w:rPr>
              <w:t>Total a</w:t>
            </w:r>
            <w:r>
              <w:rPr>
                <w:sz w:val="16"/>
                <w:szCs w:val="16"/>
              </w:rPr>
              <w:t>rea harvested (</w:t>
            </w:r>
            <w:r w:rsidRPr="00962BEF">
              <w:rPr>
                <w:color w:val="000000"/>
                <w:sz w:val="16"/>
                <w:szCs w:val="16"/>
              </w:rPr>
              <w:t>hectares</w:t>
            </w:r>
            <w:r>
              <w:rPr>
                <w:color w:val="000000"/>
                <w:sz w:val="16"/>
                <w:szCs w:val="16"/>
              </w:rPr>
              <w:t>)</w:t>
            </w:r>
          </w:p>
        </w:tc>
        <w:tc>
          <w:tcPr>
            <w:tcW w:w="3195" w:type="dxa"/>
            <w:shd w:val="clear" w:color="auto" w:fill="DFEFE1" w:themeFill="accent3" w:themeFillTint="66"/>
          </w:tcPr>
          <w:p w14:paraId="26ABD20A" w14:textId="77777777" w:rsidR="00B738D9" w:rsidRPr="00300EF2" w:rsidRDefault="00B738D9" w:rsidP="004227B9">
            <w:pPr>
              <w:pStyle w:val="TableHeading"/>
              <w:jc w:val="right"/>
              <w:rPr>
                <w:sz w:val="16"/>
                <w:szCs w:val="16"/>
                <w:vertAlign w:val="superscript"/>
              </w:rPr>
            </w:pPr>
            <w:r w:rsidRPr="00300EF2">
              <w:rPr>
                <w:sz w:val="16"/>
                <w:szCs w:val="16"/>
              </w:rPr>
              <w:t xml:space="preserve">Proportion of harvested </w:t>
            </w:r>
            <w:r>
              <w:rPr>
                <w:sz w:val="16"/>
                <w:szCs w:val="16"/>
              </w:rPr>
              <w:t>area effectively regenerated (%)</w:t>
            </w:r>
            <w:r w:rsidRPr="00300EF2">
              <w:rPr>
                <w:sz w:val="16"/>
                <w:szCs w:val="16"/>
                <w:vertAlign w:val="superscript"/>
              </w:rPr>
              <w:t>a</w:t>
            </w:r>
          </w:p>
        </w:tc>
      </w:tr>
      <w:tr w:rsidR="00B738D9" w:rsidRPr="00300EF2" w14:paraId="26ABD20F" w14:textId="77777777" w:rsidTr="008A4C96">
        <w:trPr>
          <w:cantSplit/>
          <w:trHeight w:val="283"/>
        </w:trPr>
        <w:tc>
          <w:tcPr>
            <w:tcW w:w="2250" w:type="dxa"/>
            <w:vAlign w:val="center"/>
          </w:tcPr>
          <w:p w14:paraId="26ABD20C" w14:textId="77777777" w:rsidR="00B738D9" w:rsidRPr="00300EF2" w:rsidRDefault="00B738D9" w:rsidP="004227B9">
            <w:pPr>
              <w:pStyle w:val="TableText0"/>
              <w:spacing w:before="0" w:after="0"/>
              <w:rPr>
                <w:sz w:val="16"/>
                <w:szCs w:val="16"/>
              </w:rPr>
            </w:pPr>
            <w:r w:rsidRPr="00300EF2">
              <w:rPr>
                <w:sz w:val="16"/>
                <w:szCs w:val="16"/>
              </w:rPr>
              <w:t>2001–02</w:t>
            </w:r>
          </w:p>
        </w:tc>
        <w:tc>
          <w:tcPr>
            <w:tcW w:w="3195" w:type="dxa"/>
            <w:vAlign w:val="center"/>
          </w:tcPr>
          <w:p w14:paraId="26ABD20D" w14:textId="77777777" w:rsidR="00B738D9" w:rsidRPr="00300EF2" w:rsidRDefault="00B738D9" w:rsidP="004227B9">
            <w:pPr>
              <w:pStyle w:val="TableText0"/>
              <w:spacing w:before="0" w:after="0"/>
              <w:jc w:val="right"/>
              <w:rPr>
                <w:sz w:val="16"/>
                <w:szCs w:val="16"/>
              </w:rPr>
            </w:pPr>
            <w:r w:rsidRPr="00300EF2">
              <w:rPr>
                <w:sz w:val="16"/>
                <w:szCs w:val="16"/>
              </w:rPr>
              <w:t>16,630</w:t>
            </w:r>
          </w:p>
        </w:tc>
        <w:tc>
          <w:tcPr>
            <w:tcW w:w="3195" w:type="dxa"/>
            <w:vAlign w:val="center"/>
          </w:tcPr>
          <w:p w14:paraId="26ABD20E" w14:textId="77777777" w:rsidR="00B738D9" w:rsidRPr="00300EF2" w:rsidRDefault="00B738D9" w:rsidP="004227B9">
            <w:pPr>
              <w:pStyle w:val="TableText0"/>
              <w:spacing w:before="0" w:after="0"/>
              <w:jc w:val="right"/>
              <w:rPr>
                <w:sz w:val="16"/>
                <w:szCs w:val="16"/>
              </w:rPr>
            </w:pPr>
            <w:r w:rsidRPr="00300EF2">
              <w:rPr>
                <w:sz w:val="16"/>
                <w:szCs w:val="16"/>
              </w:rPr>
              <w:t>100.00</w:t>
            </w:r>
          </w:p>
        </w:tc>
      </w:tr>
      <w:tr w:rsidR="00B738D9" w:rsidRPr="00300EF2" w14:paraId="26ABD213" w14:textId="77777777" w:rsidTr="008A4C96">
        <w:trPr>
          <w:cantSplit/>
          <w:trHeight w:val="283"/>
        </w:trPr>
        <w:tc>
          <w:tcPr>
            <w:tcW w:w="2250" w:type="dxa"/>
            <w:vAlign w:val="center"/>
          </w:tcPr>
          <w:p w14:paraId="26ABD210" w14:textId="77777777" w:rsidR="00B738D9" w:rsidRPr="00300EF2" w:rsidRDefault="00B738D9" w:rsidP="004227B9">
            <w:pPr>
              <w:pStyle w:val="TableText0"/>
              <w:spacing w:before="0" w:after="0"/>
              <w:rPr>
                <w:sz w:val="16"/>
                <w:szCs w:val="16"/>
              </w:rPr>
            </w:pPr>
            <w:r w:rsidRPr="00300EF2">
              <w:rPr>
                <w:sz w:val="16"/>
                <w:szCs w:val="16"/>
              </w:rPr>
              <w:t>2002–03</w:t>
            </w:r>
          </w:p>
        </w:tc>
        <w:tc>
          <w:tcPr>
            <w:tcW w:w="3195" w:type="dxa"/>
            <w:vAlign w:val="center"/>
          </w:tcPr>
          <w:p w14:paraId="26ABD211" w14:textId="77777777" w:rsidR="00B738D9" w:rsidRPr="00300EF2" w:rsidRDefault="00B738D9" w:rsidP="004227B9">
            <w:pPr>
              <w:pStyle w:val="TableText0"/>
              <w:spacing w:before="0" w:after="0"/>
              <w:jc w:val="right"/>
              <w:rPr>
                <w:sz w:val="16"/>
                <w:szCs w:val="16"/>
              </w:rPr>
            </w:pPr>
            <w:r w:rsidRPr="00300EF2">
              <w:rPr>
                <w:sz w:val="16"/>
                <w:szCs w:val="16"/>
              </w:rPr>
              <w:t>13,950</w:t>
            </w:r>
          </w:p>
        </w:tc>
        <w:tc>
          <w:tcPr>
            <w:tcW w:w="3195" w:type="dxa"/>
            <w:vAlign w:val="center"/>
          </w:tcPr>
          <w:p w14:paraId="26ABD212" w14:textId="77777777" w:rsidR="00B738D9" w:rsidRPr="00300EF2" w:rsidRDefault="00B738D9" w:rsidP="004227B9">
            <w:pPr>
              <w:pStyle w:val="TableText0"/>
              <w:spacing w:before="0" w:after="0"/>
              <w:jc w:val="right"/>
              <w:rPr>
                <w:sz w:val="16"/>
                <w:szCs w:val="16"/>
              </w:rPr>
            </w:pPr>
            <w:r w:rsidRPr="00300EF2">
              <w:rPr>
                <w:sz w:val="16"/>
                <w:szCs w:val="16"/>
              </w:rPr>
              <w:t>100.00</w:t>
            </w:r>
          </w:p>
        </w:tc>
      </w:tr>
      <w:tr w:rsidR="00B738D9" w:rsidRPr="00300EF2" w14:paraId="26ABD217" w14:textId="77777777" w:rsidTr="008A4C96">
        <w:trPr>
          <w:cantSplit/>
          <w:trHeight w:val="283"/>
        </w:trPr>
        <w:tc>
          <w:tcPr>
            <w:tcW w:w="2250" w:type="dxa"/>
            <w:vAlign w:val="center"/>
          </w:tcPr>
          <w:p w14:paraId="26ABD214" w14:textId="77777777" w:rsidR="00B738D9" w:rsidRPr="00300EF2" w:rsidRDefault="00B738D9" w:rsidP="004227B9">
            <w:pPr>
              <w:pStyle w:val="TableText0"/>
              <w:spacing w:before="0" w:after="0"/>
              <w:rPr>
                <w:sz w:val="16"/>
                <w:szCs w:val="16"/>
              </w:rPr>
            </w:pPr>
            <w:r w:rsidRPr="00300EF2">
              <w:rPr>
                <w:sz w:val="16"/>
                <w:szCs w:val="16"/>
              </w:rPr>
              <w:t>2003–04</w:t>
            </w:r>
          </w:p>
        </w:tc>
        <w:tc>
          <w:tcPr>
            <w:tcW w:w="3195" w:type="dxa"/>
            <w:vAlign w:val="center"/>
          </w:tcPr>
          <w:p w14:paraId="26ABD215" w14:textId="77777777" w:rsidR="00B738D9" w:rsidRPr="00300EF2" w:rsidRDefault="00B738D9" w:rsidP="004227B9">
            <w:pPr>
              <w:pStyle w:val="TableText0"/>
              <w:spacing w:before="0" w:after="0"/>
              <w:jc w:val="right"/>
              <w:rPr>
                <w:sz w:val="16"/>
                <w:szCs w:val="16"/>
              </w:rPr>
            </w:pPr>
            <w:r w:rsidRPr="00300EF2">
              <w:rPr>
                <w:sz w:val="16"/>
                <w:szCs w:val="16"/>
              </w:rPr>
              <w:t>9,725</w:t>
            </w:r>
          </w:p>
        </w:tc>
        <w:tc>
          <w:tcPr>
            <w:tcW w:w="3195" w:type="dxa"/>
            <w:vAlign w:val="center"/>
          </w:tcPr>
          <w:p w14:paraId="26ABD216" w14:textId="77777777" w:rsidR="00B738D9" w:rsidRPr="00300EF2" w:rsidRDefault="00B738D9" w:rsidP="004227B9">
            <w:pPr>
              <w:pStyle w:val="TableText0"/>
              <w:spacing w:before="0" w:after="0"/>
              <w:jc w:val="right"/>
              <w:rPr>
                <w:sz w:val="16"/>
                <w:szCs w:val="16"/>
              </w:rPr>
            </w:pPr>
            <w:r w:rsidRPr="00300EF2">
              <w:rPr>
                <w:sz w:val="16"/>
                <w:szCs w:val="16"/>
              </w:rPr>
              <w:t>100.00</w:t>
            </w:r>
          </w:p>
        </w:tc>
      </w:tr>
      <w:tr w:rsidR="00B738D9" w:rsidRPr="00300EF2" w14:paraId="26ABD21B" w14:textId="77777777" w:rsidTr="008A4C96">
        <w:trPr>
          <w:cantSplit/>
          <w:trHeight w:val="283"/>
        </w:trPr>
        <w:tc>
          <w:tcPr>
            <w:tcW w:w="2250" w:type="dxa"/>
            <w:vAlign w:val="center"/>
          </w:tcPr>
          <w:p w14:paraId="26ABD218" w14:textId="77777777" w:rsidR="00B738D9" w:rsidRPr="00300EF2" w:rsidRDefault="00B738D9" w:rsidP="004227B9">
            <w:pPr>
              <w:pStyle w:val="TableText0"/>
              <w:spacing w:before="0" w:after="0"/>
              <w:rPr>
                <w:sz w:val="16"/>
                <w:szCs w:val="16"/>
              </w:rPr>
            </w:pPr>
            <w:r w:rsidRPr="00300EF2">
              <w:rPr>
                <w:sz w:val="16"/>
                <w:szCs w:val="16"/>
              </w:rPr>
              <w:t>2004–05</w:t>
            </w:r>
          </w:p>
        </w:tc>
        <w:tc>
          <w:tcPr>
            <w:tcW w:w="3195" w:type="dxa"/>
            <w:vAlign w:val="center"/>
          </w:tcPr>
          <w:p w14:paraId="26ABD219" w14:textId="77777777" w:rsidR="00B738D9" w:rsidRPr="00300EF2" w:rsidRDefault="00B738D9" w:rsidP="004227B9">
            <w:pPr>
              <w:pStyle w:val="TableText0"/>
              <w:spacing w:before="0" w:after="0"/>
              <w:jc w:val="right"/>
              <w:rPr>
                <w:sz w:val="16"/>
                <w:szCs w:val="16"/>
              </w:rPr>
            </w:pPr>
            <w:r w:rsidRPr="00300EF2">
              <w:rPr>
                <w:sz w:val="16"/>
                <w:szCs w:val="16"/>
              </w:rPr>
              <w:t>9,610</w:t>
            </w:r>
          </w:p>
        </w:tc>
        <w:tc>
          <w:tcPr>
            <w:tcW w:w="3195" w:type="dxa"/>
            <w:vAlign w:val="center"/>
          </w:tcPr>
          <w:p w14:paraId="26ABD21A" w14:textId="77777777" w:rsidR="00B738D9" w:rsidRPr="00300EF2" w:rsidRDefault="00B738D9" w:rsidP="004227B9">
            <w:pPr>
              <w:pStyle w:val="TableText0"/>
              <w:spacing w:before="0" w:after="0"/>
              <w:jc w:val="right"/>
              <w:rPr>
                <w:sz w:val="16"/>
                <w:szCs w:val="16"/>
              </w:rPr>
            </w:pPr>
            <w:r w:rsidRPr="00300EF2">
              <w:rPr>
                <w:sz w:val="16"/>
                <w:szCs w:val="16"/>
              </w:rPr>
              <w:t>99.94</w:t>
            </w:r>
          </w:p>
        </w:tc>
      </w:tr>
      <w:tr w:rsidR="00B738D9" w:rsidRPr="00300EF2" w14:paraId="26ABD21F" w14:textId="77777777" w:rsidTr="008A4C96">
        <w:trPr>
          <w:cantSplit/>
          <w:trHeight w:val="283"/>
        </w:trPr>
        <w:tc>
          <w:tcPr>
            <w:tcW w:w="2250" w:type="dxa"/>
            <w:vAlign w:val="center"/>
          </w:tcPr>
          <w:p w14:paraId="26ABD21C" w14:textId="77777777" w:rsidR="00B738D9" w:rsidRPr="00300EF2" w:rsidRDefault="00B738D9" w:rsidP="004227B9">
            <w:pPr>
              <w:pStyle w:val="TableText0"/>
              <w:spacing w:before="0" w:after="0"/>
              <w:rPr>
                <w:sz w:val="16"/>
                <w:szCs w:val="16"/>
              </w:rPr>
            </w:pPr>
            <w:r w:rsidRPr="00300EF2">
              <w:rPr>
                <w:sz w:val="16"/>
                <w:szCs w:val="16"/>
              </w:rPr>
              <w:t>2005–06</w:t>
            </w:r>
          </w:p>
        </w:tc>
        <w:tc>
          <w:tcPr>
            <w:tcW w:w="3195" w:type="dxa"/>
            <w:vAlign w:val="center"/>
          </w:tcPr>
          <w:p w14:paraId="26ABD21D" w14:textId="77777777" w:rsidR="00B738D9" w:rsidRPr="00300EF2" w:rsidRDefault="00B738D9" w:rsidP="004227B9">
            <w:pPr>
              <w:pStyle w:val="TableText0"/>
              <w:spacing w:before="0" w:after="0"/>
              <w:jc w:val="right"/>
              <w:rPr>
                <w:sz w:val="16"/>
                <w:szCs w:val="16"/>
              </w:rPr>
            </w:pPr>
            <w:r w:rsidRPr="00300EF2">
              <w:rPr>
                <w:sz w:val="16"/>
                <w:szCs w:val="16"/>
              </w:rPr>
              <w:t>7,440</w:t>
            </w:r>
          </w:p>
        </w:tc>
        <w:tc>
          <w:tcPr>
            <w:tcW w:w="3195" w:type="dxa"/>
            <w:vAlign w:val="center"/>
          </w:tcPr>
          <w:p w14:paraId="26ABD21E" w14:textId="77777777" w:rsidR="00B738D9" w:rsidRPr="00300EF2" w:rsidRDefault="00B738D9" w:rsidP="004227B9">
            <w:pPr>
              <w:pStyle w:val="TableText0"/>
              <w:spacing w:before="0" w:after="0"/>
              <w:jc w:val="right"/>
              <w:rPr>
                <w:sz w:val="16"/>
                <w:szCs w:val="16"/>
              </w:rPr>
            </w:pPr>
            <w:r w:rsidRPr="00300EF2">
              <w:rPr>
                <w:sz w:val="16"/>
                <w:szCs w:val="16"/>
              </w:rPr>
              <w:t>99.94</w:t>
            </w:r>
          </w:p>
        </w:tc>
      </w:tr>
      <w:tr w:rsidR="00B738D9" w:rsidRPr="00300EF2" w14:paraId="26ABD223" w14:textId="77777777" w:rsidTr="008A4C96">
        <w:trPr>
          <w:cantSplit/>
          <w:trHeight w:val="283"/>
        </w:trPr>
        <w:tc>
          <w:tcPr>
            <w:tcW w:w="2250" w:type="dxa"/>
            <w:vAlign w:val="center"/>
          </w:tcPr>
          <w:p w14:paraId="26ABD220" w14:textId="77777777" w:rsidR="00B738D9" w:rsidRPr="00300EF2" w:rsidRDefault="00B738D9" w:rsidP="004227B9">
            <w:pPr>
              <w:pStyle w:val="TableText0"/>
              <w:spacing w:before="0" w:after="0"/>
              <w:rPr>
                <w:sz w:val="16"/>
                <w:szCs w:val="16"/>
              </w:rPr>
            </w:pPr>
            <w:r w:rsidRPr="00300EF2">
              <w:rPr>
                <w:sz w:val="16"/>
                <w:szCs w:val="16"/>
              </w:rPr>
              <w:t>2006–07</w:t>
            </w:r>
          </w:p>
        </w:tc>
        <w:tc>
          <w:tcPr>
            <w:tcW w:w="3195" w:type="dxa"/>
            <w:vAlign w:val="center"/>
          </w:tcPr>
          <w:p w14:paraId="26ABD221" w14:textId="77777777" w:rsidR="00B738D9" w:rsidRPr="00300EF2" w:rsidRDefault="00B738D9" w:rsidP="004227B9">
            <w:pPr>
              <w:pStyle w:val="TableText0"/>
              <w:spacing w:before="0" w:after="0"/>
              <w:jc w:val="right"/>
              <w:rPr>
                <w:sz w:val="16"/>
                <w:szCs w:val="16"/>
              </w:rPr>
            </w:pPr>
            <w:r w:rsidRPr="00300EF2">
              <w:rPr>
                <w:sz w:val="16"/>
                <w:szCs w:val="16"/>
              </w:rPr>
              <w:t>9,670</w:t>
            </w:r>
          </w:p>
        </w:tc>
        <w:tc>
          <w:tcPr>
            <w:tcW w:w="3195" w:type="dxa"/>
            <w:vAlign w:val="center"/>
          </w:tcPr>
          <w:p w14:paraId="26ABD222" w14:textId="77777777" w:rsidR="00B738D9" w:rsidRPr="00300EF2" w:rsidRDefault="00B738D9" w:rsidP="004227B9">
            <w:pPr>
              <w:pStyle w:val="TableText0"/>
              <w:spacing w:before="0" w:after="0"/>
              <w:jc w:val="right"/>
              <w:rPr>
                <w:sz w:val="16"/>
                <w:szCs w:val="16"/>
              </w:rPr>
            </w:pPr>
            <w:r w:rsidRPr="00300EF2">
              <w:rPr>
                <w:sz w:val="16"/>
                <w:szCs w:val="16"/>
              </w:rPr>
              <w:t>99.98</w:t>
            </w:r>
          </w:p>
        </w:tc>
      </w:tr>
      <w:tr w:rsidR="00B738D9" w:rsidRPr="00300EF2" w14:paraId="26ABD227" w14:textId="77777777" w:rsidTr="008A4C96">
        <w:trPr>
          <w:cantSplit/>
          <w:trHeight w:val="283"/>
        </w:trPr>
        <w:tc>
          <w:tcPr>
            <w:tcW w:w="2250" w:type="dxa"/>
            <w:vAlign w:val="center"/>
          </w:tcPr>
          <w:p w14:paraId="26ABD224" w14:textId="77777777" w:rsidR="00B738D9" w:rsidRPr="00300EF2" w:rsidRDefault="00B738D9" w:rsidP="004227B9">
            <w:pPr>
              <w:pStyle w:val="TableText0"/>
              <w:spacing w:before="0" w:after="0"/>
              <w:rPr>
                <w:sz w:val="16"/>
                <w:szCs w:val="16"/>
              </w:rPr>
            </w:pPr>
            <w:r w:rsidRPr="00300EF2">
              <w:rPr>
                <w:sz w:val="16"/>
                <w:szCs w:val="16"/>
              </w:rPr>
              <w:t>2007–08</w:t>
            </w:r>
          </w:p>
        </w:tc>
        <w:tc>
          <w:tcPr>
            <w:tcW w:w="3195" w:type="dxa"/>
            <w:vAlign w:val="center"/>
          </w:tcPr>
          <w:p w14:paraId="26ABD225" w14:textId="77777777" w:rsidR="00B738D9" w:rsidRPr="00300EF2" w:rsidRDefault="00B738D9" w:rsidP="004227B9">
            <w:pPr>
              <w:pStyle w:val="TableText0"/>
              <w:spacing w:before="0" w:after="0"/>
              <w:jc w:val="right"/>
              <w:rPr>
                <w:sz w:val="16"/>
                <w:szCs w:val="16"/>
              </w:rPr>
            </w:pPr>
            <w:r w:rsidRPr="00300EF2">
              <w:rPr>
                <w:sz w:val="16"/>
                <w:szCs w:val="16"/>
              </w:rPr>
              <w:t>8,820</w:t>
            </w:r>
          </w:p>
        </w:tc>
        <w:tc>
          <w:tcPr>
            <w:tcW w:w="3195" w:type="dxa"/>
            <w:vAlign w:val="center"/>
          </w:tcPr>
          <w:p w14:paraId="26ABD226" w14:textId="77777777" w:rsidR="00B738D9" w:rsidRPr="00300EF2" w:rsidRDefault="00B738D9" w:rsidP="004227B9">
            <w:pPr>
              <w:pStyle w:val="TableText0"/>
              <w:spacing w:before="0" w:after="0"/>
              <w:jc w:val="right"/>
              <w:rPr>
                <w:sz w:val="16"/>
                <w:szCs w:val="16"/>
              </w:rPr>
            </w:pPr>
            <w:r w:rsidRPr="00300EF2">
              <w:rPr>
                <w:sz w:val="16"/>
                <w:szCs w:val="16"/>
              </w:rPr>
              <w:t>99.90</w:t>
            </w:r>
          </w:p>
        </w:tc>
      </w:tr>
      <w:tr w:rsidR="00B738D9" w:rsidRPr="00300EF2" w14:paraId="26ABD22B" w14:textId="77777777" w:rsidTr="008A4C96">
        <w:trPr>
          <w:cantSplit/>
          <w:trHeight w:val="283"/>
        </w:trPr>
        <w:tc>
          <w:tcPr>
            <w:tcW w:w="2250" w:type="dxa"/>
            <w:vAlign w:val="center"/>
          </w:tcPr>
          <w:p w14:paraId="26ABD228" w14:textId="77777777" w:rsidR="00B738D9" w:rsidRPr="00300EF2" w:rsidRDefault="00B738D9" w:rsidP="004227B9">
            <w:pPr>
              <w:pStyle w:val="TableText0"/>
              <w:spacing w:before="0" w:after="0"/>
              <w:rPr>
                <w:sz w:val="16"/>
                <w:szCs w:val="16"/>
              </w:rPr>
            </w:pPr>
            <w:r w:rsidRPr="00300EF2">
              <w:rPr>
                <w:sz w:val="16"/>
                <w:szCs w:val="16"/>
              </w:rPr>
              <w:t>2008–09</w:t>
            </w:r>
          </w:p>
        </w:tc>
        <w:tc>
          <w:tcPr>
            <w:tcW w:w="3195" w:type="dxa"/>
            <w:vAlign w:val="center"/>
          </w:tcPr>
          <w:p w14:paraId="26ABD229" w14:textId="77777777" w:rsidR="00B738D9" w:rsidRPr="00300EF2" w:rsidRDefault="00B738D9" w:rsidP="004227B9">
            <w:pPr>
              <w:pStyle w:val="TableText0"/>
              <w:spacing w:before="0" w:after="0"/>
              <w:jc w:val="right"/>
              <w:rPr>
                <w:sz w:val="16"/>
                <w:szCs w:val="16"/>
              </w:rPr>
            </w:pPr>
            <w:r w:rsidRPr="00300EF2">
              <w:rPr>
                <w:sz w:val="16"/>
                <w:szCs w:val="16"/>
              </w:rPr>
              <w:t>7,640</w:t>
            </w:r>
          </w:p>
        </w:tc>
        <w:tc>
          <w:tcPr>
            <w:tcW w:w="3195" w:type="dxa"/>
            <w:vAlign w:val="center"/>
          </w:tcPr>
          <w:p w14:paraId="26ABD22A" w14:textId="77777777" w:rsidR="00B738D9" w:rsidRPr="00300EF2" w:rsidRDefault="00B738D9" w:rsidP="004227B9">
            <w:pPr>
              <w:pStyle w:val="TableText0"/>
              <w:spacing w:before="0" w:after="0"/>
              <w:jc w:val="right"/>
              <w:rPr>
                <w:sz w:val="16"/>
                <w:szCs w:val="16"/>
              </w:rPr>
            </w:pPr>
            <w:r w:rsidRPr="00300EF2">
              <w:rPr>
                <w:sz w:val="16"/>
                <w:szCs w:val="16"/>
              </w:rPr>
              <w:t>100.00</w:t>
            </w:r>
          </w:p>
        </w:tc>
      </w:tr>
      <w:tr w:rsidR="00B738D9" w:rsidRPr="00300EF2" w14:paraId="26ABD22F" w14:textId="77777777" w:rsidTr="008A4C96">
        <w:trPr>
          <w:cantSplit/>
          <w:trHeight w:val="283"/>
        </w:trPr>
        <w:tc>
          <w:tcPr>
            <w:tcW w:w="2250" w:type="dxa"/>
            <w:vAlign w:val="center"/>
          </w:tcPr>
          <w:p w14:paraId="26ABD22C" w14:textId="77777777" w:rsidR="00B738D9" w:rsidRPr="00300EF2" w:rsidRDefault="00B738D9" w:rsidP="004227B9">
            <w:pPr>
              <w:pStyle w:val="TableText0"/>
              <w:spacing w:before="0" w:after="0"/>
              <w:rPr>
                <w:sz w:val="16"/>
                <w:szCs w:val="16"/>
              </w:rPr>
            </w:pPr>
            <w:r w:rsidRPr="00300EF2">
              <w:rPr>
                <w:sz w:val="16"/>
                <w:szCs w:val="16"/>
              </w:rPr>
              <w:t>2009–10</w:t>
            </w:r>
          </w:p>
        </w:tc>
        <w:tc>
          <w:tcPr>
            <w:tcW w:w="3195" w:type="dxa"/>
            <w:vAlign w:val="center"/>
          </w:tcPr>
          <w:p w14:paraId="26ABD22D" w14:textId="77777777" w:rsidR="00B738D9" w:rsidRPr="00300EF2" w:rsidRDefault="00B738D9" w:rsidP="004227B9">
            <w:pPr>
              <w:pStyle w:val="TableText0"/>
              <w:spacing w:before="0" w:after="0"/>
              <w:jc w:val="right"/>
              <w:rPr>
                <w:sz w:val="16"/>
                <w:szCs w:val="16"/>
              </w:rPr>
            </w:pPr>
            <w:r w:rsidRPr="00300EF2">
              <w:rPr>
                <w:sz w:val="16"/>
                <w:szCs w:val="16"/>
              </w:rPr>
              <w:t>10,660</w:t>
            </w:r>
          </w:p>
        </w:tc>
        <w:tc>
          <w:tcPr>
            <w:tcW w:w="3195" w:type="dxa"/>
            <w:vAlign w:val="center"/>
          </w:tcPr>
          <w:p w14:paraId="26ABD22E" w14:textId="77777777" w:rsidR="00B738D9" w:rsidRPr="00300EF2" w:rsidRDefault="00B738D9" w:rsidP="004227B9">
            <w:pPr>
              <w:pStyle w:val="TableText0"/>
              <w:spacing w:before="0" w:after="0"/>
              <w:jc w:val="right"/>
              <w:rPr>
                <w:sz w:val="16"/>
                <w:szCs w:val="16"/>
              </w:rPr>
            </w:pPr>
            <w:r w:rsidRPr="00300EF2">
              <w:rPr>
                <w:sz w:val="16"/>
                <w:szCs w:val="16"/>
              </w:rPr>
              <w:t>99.65</w:t>
            </w:r>
          </w:p>
        </w:tc>
      </w:tr>
      <w:tr w:rsidR="00B738D9" w:rsidRPr="00300EF2" w14:paraId="26ABD233" w14:textId="77777777" w:rsidTr="008A4C96">
        <w:trPr>
          <w:cantSplit/>
          <w:trHeight w:val="283"/>
        </w:trPr>
        <w:tc>
          <w:tcPr>
            <w:tcW w:w="2250" w:type="dxa"/>
            <w:vAlign w:val="center"/>
          </w:tcPr>
          <w:p w14:paraId="26ABD230" w14:textId="77777777" w:rsidR="00B738D9" w:rsidRPr="00300EF2" w:rsidRDefault="00B738D9" w:rsidP="004227B9">
            <w:pPr>
              <w:pStyle w:val="TableText0"/>
              <w:spacing w:before="0" w:after="0"/>
              <w:rPr>
                <w:sz w:val="16"/>
                <w:szCs w:val="16"/>
              </w:rPr>
            </w:pPr>
            <w:r w:rsidRPr="00300EF2">
              <w:rPr>
                <w:sz w:val="16"/>
                <w:szCs w:val="16"/>
              </w:rPr>
              <w:t>2010–11</w:t>
            </w:r>
          </w:p>
        </w:tc>
        <w:tc>
          <w:tcPr>
            <w:tcW w:w="3195" w:type="dxa"/>
            <w:vAlign w:val="center"/>
          </w:tcPr>
          <w:p w14:paraId="26ABD231" w14:textId="77777777" w:rsidR="00B738D9" w:rsidRPr="00300EF2" w:rsidRDefault="00B738D9" w:rsidP="004227B9">
            <w:pPr>
              <w:pStyle w:val="TableText0"/>
              <w:spacing w:before="0" w:after="0"/>
              <w:jc w:val="right"/>
              <w:rPr>
                <w:sz w:val="16"/>
                <w:szCs w:val="16"/>
              </w:rPr>
            </w:pPr>
            <w:r w:rsidRPr="00300EF2">
              <w:rPr>
                <w:sz w:val="16"/>
                <w:szCs w:val="16"/>
              </w:rPr>
              <w:t>6,140</w:t>
            </w:r>
          </w:p>
        </w:tc>
        <w:tc>
          <w:tcPr>
            <w:tcW w:w="3195" w:type="dxa"/>
            <w:vAlign w:val="center"/>
          </w:tcPr>
          <w:p w14:paraId="26ABD232" w14:textId="77777777" w:rsidR="00B738D9" w:rsidRPr="00300EF2" w:rsidRDefault="00B738D9" w:rsidP="004227B9">
            <w:pPr>
              <w:pStyle w:val="TableText0"/>
              <w:spacing w:before="0" w:after="0"/>
              <w:jc w:val="right"/>
              <w:rPr>
                <w:sz w:val="16"/>
                <w:szCs w:val="16"/>
              </w:rPr>
            </w:pPr>
            <w:r>
              <w:rPr>
                <w:sz w:val="16"/>
                <w:szCs w:val="16"/>
              </w:rPr>
              <w:t>n.r.</w:t>
            </w:r>
          </w:p>
        </w:tc>
      </w:tr>
      <w:tr w:rsidR="00B738D9" w:rsidRPr="004C66A6" w14:paraId="26ABD237" w14:textId="77777777" w:rsidTr="008A4C96">
        <w:trPr>
          <w:cantSplit/>
          <w:trHeight w:val="283"/>
        </w:trPr>
        <w:tc>
          <w:tcPr>
            <w:tcW w:w="2250" w:type="dxa"/>
            <w:vAlign w:val="center"/>
          </w:tcPr>
          <w:p w14:paraId="26ABD234" w14:textId="77777777" w:rsidR="00B738D9" w:rsidRPr="00300EF2" w:rsidRDefault="00B738D9" w:rsidP="004227B9">
            <w:pPr>
              <w:pStyle w:val="TableText0"/>
              <w:spacing w:before="0" w:after="0"/>
              <w:rPr>
                <w:sz w:val="16"/>
                <w:szCs w:val="16"/>
              </w:rPr>
            </w:pPr>
            <w:r w:rsidRPr="00300EF2">
              <w:rPr>
                <w:sz w:val="16"/>
                <w:szCs w:val="16"/>
              </w:rPr>
              <w:t>2011–12</w:t>
            </w:r>
          </w:p>
        </w:tc>
        <w:tc>
          <w:tcPr>
            <w:tcW w:w="3195" w:type="dxa"/>
            <w:vAlign w:val="center"/>
          </w:tcPr>
          <w:p w14:paraId="26ABD235" w14:textId="77777777" w:rsidR="00B738D9" w:rsidRPr="00514F08" w:rsidRDefault="00B738D9" w:rsidP="004227B9">
            <w:pPr>
              <w:pStyle w:val="TableText0"/>
              <w:spacing w:before="0" w:after="0"/>
              <w:jc w:val="right"/>
              <w:rPr>
                <w:sz w:val="16"/>
                <w:szCs w:val="16"/>
              </w:rPr>
            </w:pPr>
            <w:r w:rsidRPr="00514F08">
              <w:rPr>
                <w:sz w:val="16"/>
                <w:szCs w:val="16"/>
              </w:rPr>
              <w:t xml:space="preserve">7,490 </w:t>
            </w:r>
          </w:p>
        </w:tc>
        <w:tc>
          <w:tcPr>
            <w:tcW w:w="3195" w:type="dxa"/>
            <w:vAlign w:val="center"/>
          </w:tcPr>
          <w:p w14:paraId="26ABD236" w14:textId="77777777" w:rsidR="00B738D9" w:rsidRPr="004C66A6" w:rsidRDefault="00B738D9" w:rsidP="004227B9">
            <w:pPr>
              <w:pStyle w:val="TableText0"/>
              <w:spacing w:before="0" w:after="0"/>
              <w:jc w:val="right"/>
              <w:rPr>
                <w:sz w:val="16"/>
                <w:szCs w:val="16"/>
              </w:rPr>
            </w:pPr>
            <w:r>
              <w:rPr>
                <w:sz w:val="16"/>
                <w:szCs w:val="16"/>
              </w:rPr>
              <w:t>n.r.</w:t>
            </w:r>
          </w:p>
        </w:tc>
      </w:tr>
      <w:tr w:rsidR="00B738D9" w:rsidRPr="004C66A6" w14:paraId="26ABD23B" w14:textId="77777777" w:rsidTr="008A4C96">
        <w:trPr>
          <w:cantSplit/>
          <w:trHeight w:val="283"/>
        </w:trPr>
        <w:tc>
          <w:tcPr>
            <w:tcW w:w="2250" w:type="dxa"/>
            <w:vAlign w:val="center"/>
          </w:tcPr>
          <w:p w14:paraId="26ABD238" w14:textId="77777777" w:rsidR="00B738D9" w:rsidRPr="00300EF2" w:rsidRDefault="00B738D9" w:rsidP="004227B9">
            <w:pPr>
              <w:pStyle w:val="TableText0"/>
              <w:spacing w:before="0" w:after="0"/>
              <w:rPr>
                <w:sz w:val="16"/>
                <w:szCs w:val="16"/>
              </w:rPr>
            </w:pPr>
            <w:r w:rsidRPr="00300EF2">
              <w:rPr>
                <w:sz w:val="16"/>
                <w:szCs w:val="16"/>
              </w:rPr>
              <w:t>2012–13</w:t>
            </w:r>
          </w:p>
        </w:tc>
        <w:tc>
          <w:tcPr>
            <w:tcW w:w="3195" w:type="dxa"/>
            <w:vAlign w:val="center"/>
          </w:tcPr>
          <w:p w14:paraId="26ABD239" w14:textId="77777777" w:rsidR="00B738D9" w:rsidRPr="00514F08" w:rsidRDefault="00B738D9" w:rsidP="004227B9">
            <w:pPr>
              <w:pStyle w:val="TableText0"/>
              <w:spacing w:before="0" w:after="0"/>
              <w:jc w:val="right"/>
              <w:rPr>
                <w:sz w:val="16"/>
                <w:szCs w:val="16"/>
              </w:rPr>
            </w:pPr>
            <w:r w:rsidRPr="00514F08">
              <w:rPr>
                <w:sz w:val="16"/>
                <w:szCs w:val="16"/>
              </w:rPr>
              <w:t xml:space="preserve">7,780 </w:t>
            </w:r>
          </w:p>
        </w:tc>
        <w:tc>
          <w:tcPr>
            <w:tcW w:w="3195" w:type="dxa"/>
            <w:vAlign w:val="center"/>
          </w:tcPr>
          <w:p w14:paraId="26ABD23A" w14:textId="77777777" w:rsidR="00B738D9" w:rsidRPr="004C66A6" w:rsidRDefault="00B738D9" w:rsidP="004227B9">
            <w:pPr>
              <w:pStyle w:val="TableText0"/>
              <w:spacing w:before="0" w:after="0"/>
              <w:jc w:val="right"/>
              <w:rPr>
                <w:sz w:val="16"/>
                <w:szCs w:val="16"/>
              </w:rPr>
            </w:pPr>
            <w:r>
              <w:rPr>
                <w:sz w:val="16"/>
                <w:szCs w:val="16"/>
              </w:rPr>
              <w:t>n.r.</w:t>
            </w:r>
          </w:p>
        </w:tc>
      </w:tr>
      <w:tr w:rsidR="00B738D9" w:rsidRPr="004C66A6" w14:paraId="26ABD23F" w14:textId="77777777" w:rsidTr="008A4C96">
        <w:trPr>
          <w:cantSplit/>
          <w:trHeight w:val="283"/>
        </w:trPr>
        <w:tc>
          <w:tcPr>
            <w:tcW w:w="2250" w:type="dxa"/>
            <w:vAlign w:val="center"/>
          </w:tcPr>
          <w:p w14:paraId="26ABD23C" w14:textId="77777777" w:rsidR="00B738D9" w:rsidRPr="00300EF2" w:rsidRDefault="00B738D9" w:rsidP="004227B9">
            <w:pPr>
              <w:pStyle w:val="TableText0"/>
              <w:spacing w:before="0" w:after="0"/>
              <w:rPr>
                <w:sz w:val="16"/>
                <w:szCs w:val="16"/>
              </w:rPr>
            </w:pPr>
            <w:r w:rsidRPr="00300EF2">
              <w:rPr>
                <w:sz w:val="16"/>
                <w:szCs w:val="16"/>
              </w:rPr>
              <w:t>2013–14</w:t>
            </w:r>
          </w:p>
        </w:tc>
        <w:tc>
          <w:tcPr>
            <w:tcW w:w="3195" w:type="dxa"/>
            <w:vAlign w:val="center"/>
          </w:tcPr>
          <w:p w14:paraId="26ABD23D" w14:textId="77777777" w:rsidR="00B738D9" w:rsidRPr="00514F08" w:rsidRDefault="00B738D9" w:rsidP="004227B9">
            <w:pPr>
              <w:pStyle w:val="TableText0"/>
              <w:spacing w:before="0" w:after="0"/>
              <w:jc w:val="right"/>
              <w:rPr>
                <w:sz w:val="16"/>
                <w:szCs w:val="16"/>
              </w:rPr>
            </w:pPr>
            <w:r w:rsidRPr="00514F08">
              <w:rPr>
                <w:sz w:val="16"/>
                <w:szCs w:val="16"/>
              </w:rPr>
              <w:t xml:space="preserve">6,730 </w:t>
            </w:r>
          </w:p>
        </w:tc>
        <w:tc>
          <w:tcPr>
            <w:tcW w:w="3195" w:type="dxa"/>
            <w:vAlign w:val="center"/>
          </w:tcPr>
          <w:p w14:paraId="26ABD23E" w14:textId="77777777" w:rsidR="00B738D9" w:rsidRPr="004C66A6" w:rsidRDefault="00B738D9" w:rsidP="004227B9">
            <w:pPr>
              <w:pStyle w:val="TableText0"/>
              <w:spacing w:before="0" w:after="0"/>
              <w:jc w:val="right"/>
              <w:rPr>
                <w:sz w:val="16"/>
                <w:szCs w:val="16"/>
              </w:rPr>
            </w:pPr>
            <w:r>
              <w:rPr>
                <w:sz w:val="16"/>
                <w:szCs w:val="16"/>
              </w:rPr>
              <w:t>n.r.</w:t>
            </w:r>
          </w:p>
        </w:tc>
      </w:tr>
      <w:tr w:rsidR="00B738D9" w:rsidRPr="004C66A6" w14:paraId="26ABD243" w14:textId="77777777" w:rsidTr="008A4C96">
        <w:trPr>
          <w:cantSplit/>
          <w:trHeight w:val="283"/>
        </w:trPr>
        <w:tc>
          <w:tcPr>
            <w:tcW w:w="2250" w:type="dxa"/>
            <w:vAlign w:val="center"/>
          </w:tcPr>
          <w:p w14:paraId="26ABD240" w14:textId="77777777" w:rsidR="00B738D9" w:rsidRPr="00300EF2" w:rsidRDefault="00B738D9" w:rsidP="004227B9">
            <w:pPr>
              <w:pStyle w:val="TableText0"/>
              <w:spacing w:before="0" w:after="0"/>
              <w:rPr>
                <w:sz w:val="16"/>
                <w:szCs w:val="16"/>
              </w:rPr>
            </w:pPr>
            <w:r w:rsidRPr="00300EF2">
              <w:rPr>
                <w:sz w:val="16"/>
                <w:szCs w:val="16"/>
              </w:rPr>
              <w:t>2014–15</w:t>
            </w:r>
          </w:p>
        </w:tc>
        <w:tc>
          <w:tcPr>
            <w:tcW w:w="3195" w:type="dxa"/>
            <w:vAlign w:val="center"/>
          </w:tcPr>
          <w:p w14:paraId="26ABD241" w14:textId="77777777" w:rsidR="00B738D9" w:rsidRPr="00514F08" w:rsidRDefault="00B738D9" w:rsidP="004227B9">
            <w:pPr>
              <w:pStyle w:val="TableText0"/>
              <w:spacing w:before="0" w:after="0"/>
              <w:jc w:val="right"/>
              <w:rPr>
                <w:sz w:val="16"/>
                <w:szCs w:val="16"/>
              </w:rPr>
            </w:pPr>
            <w:r w:rsidRPr="00514F08">
              <w:rPr>
                <w:sz w:val="16"/>
                <w:szCs w:val="16"/>
              </w:rPr>
              <w:t xml:space="preserve">5,480 </w:t>
            </w:r>
          </w:p>
        </w:tc>
        <w:tc>
          <w:tcPr>
            <w:tcW w:w="3195" w:type="dxa"/>
            <w:vAlign w:val="center"/>
          </w:tcPr>
          <w:p w14:paraId="26ABD242" w14:textId="77777777" w:rsidR="00B738D9" w:rsidRPr="004C66A6" w:rsidRDefault="00B738D9" w:rsidP="004227B9">
            <w:pPr>
              <w:pStyle w:val="TableText0"/>
              <w:spacing w:before="0" w:after="0"/>
              <w:jc w:val="right"/>
              <w:rPr>
                <w:sz w:val="16"/>
                <w:szCs w:val="16"/>
              </w:rPr>
            </w:pPr>
            <w:r>
              <w:rPr>
                <w:sz w:val="16"/>
                <w:szCs w:val="16"/>
              </w:rPr>
              <w:t>n.r.</w:t>
            </w:r>
          </w:p>
        </w:tc>
      </w:tr>
      <w:tr w:rsidR="00B738D9" w:rsidRPr="004C66A6" w14:paraId="26ABD247" w14:textId="77777777" w:rsidTr="008A4C96">
        <w:trPr>
          <w:cantSplit/>
          <w:trHeight w:val="283"/>
        </w:trPr>
        <w:tc>
          <w:tcPr>
            <w:tcW w:w="2250" w:type="dxa"/>
            <w:vAlign w:val="center"/>
          </w:tcPr>
          <w:p w14:paraId="26ABD244" w14:textId="77777777" w:rsidR="00B738D9" w:rsidRPr="00300EF2" w:rsidRDefault="00B738D9" w:rsidP="004227B9">
            <w:pPr>
              <w:pStyle w:val="TableText0"/>
              <w:spacing w:before="0" w:after="0"/>
              <w:rPr>
                <w:sz w:val="16"/>
                <w:szCs w:val="16"/>
              </w:rPr>
            </w:pPr>
            <w:r w:rsidRPr="00300EF2">
              <w:rPr>
                <w:sz w:val="16"/>
                <w:szCs w:val="16"/>
              </w:rPr>
              <w:t>2015–16</w:t>
            </w:r>
          </w:p>
        </w:tc>
        <w:tc>
          <w:tcPr>
            <w:tcW w:w="3195" w:type="dxa"/>
            <w:vAlign w:val="center"/>
          </w:tcPr>
          <w:p w14:paraId="26ABD245" w14:textId="77777777" w:rsidR="00B738D9" w:rsidRPr="00514F08" w:rsidRDefault="00B738D9" w:rsidP="004227B9">
            <w:pPr>
              <w:pStyle w:val="TableText0"/>
              <w:spacing w:before="0" w:after="0"/>
              <w:jc w:val="right"/>
              <w:rPr>
                <w:sz w:val="16"/>
                <w:szCs w:val="16"/>
              </w:rPr>
            </w:pPr>
            <w:r w:rsidRPr="00514F08">
              <w:rPr>
                <w:sz w:val="16"/>
                <w:szCs w:val="16"/>
              </w:rPr>
              <w:t xml:space="preserve">6,360 </w:t>
            </w:r>
          </w:p>
        </w:tc>
        <w:tc>
          <w:tcPr>
            <w:tcW w:w="3195" w:type="dxa"/>
            <w:vAlign w:val="center"/>
          </w:tcPr>
          <w:p w14:paraId="26ABD246" w14:textId="77777777" w:rsidR="00B738D9" w:rsidRPr="004C66A6" w:rsidRDefault="00B738D9" w:rsidP="004227B9">
            <w:pPr>
              <w:pStyle w:val="TableText0"/>
              <w:spacing w:before="0" w:after="0"/>
              <w:jc w:val="right"/>
              <w:rPr>
                <w:sz w:val="16"/>
                <w:szCs w:val="16"/>
              </w:rPr>
            </w:pPr>
            <w:r>
              <w:rPr>
                <w:sz w:val="16"/>
                <w:szCs w:val="16"/>
              </w:rPr>
              <w:t>n.r.</w:t>
            </w:r>
          </w:p>
        </w:tc>
      </w:tr>
      <w:tr w:rsidR="00B738D9" w:rsidRPr="00300EF2" w14:paraId="26ABD249" w14:textId="77777777" w:rsidTr="008A4C96">
        <w:trPr>
          <w:cantSplit/>
          <w:trHeight w:val="283"/>
        </w:trPr>
        <w:tc>
          <w:tcPr>
            <w:tcW w:w="8640" w:type="dxa"/>
            <w:gridSpan w:val="3"/>
            <w:vAlign w:val="center"/>
          </w:tcPr>
          <w:p w14:paraId="26ABD248" w14:textId="77777777" w:rsidR="00B738D9" w:rsidRPr="00300EF2" w:rsidRDefault="00B738D9" w:rsidP="004227B9">
            <w:pPr>
              <w:pStyle w:val="TableText0"/>
              <w:spacing w:before="0" w:after="0"/>
              <w:rPr>
                <w:sz w:val="16"/>
                <w:szCs w:val="16"/>
                <w:highlight w:val="yellow"/>
              </w:rPr>
            </w:pPr>
            <w:r>
              <w:rPr>
                <w:b/>
                <w:sz w:val="16"/>
                <w:szCs w:val="16"/>
              </w:rPr>
              <w:t xml:space="preserve">Annual averages for </w:t>
            </w:r>
            <w:r w:rsidRPr="00072F9A">
              <w:rPr>
                <w:b/>
                <w:sz w:val="16"/>
                <w:szCs w:val="16"/>
              </w:rPr>
              <w:t xml:space="preserve">SOFR </w:t>
            </w:r>
            <w:r>
              <w:rPr>
                <w:b/>
                <w:sz w:val="16"/>
                <w:szCs w:val="16"/>
              </w:rPr>
              <w:t xml:space="preserve">reporting periods </w:t>
            </w:r>
          </w:p>
        </w:tc>
      </w:tr>
      <w:tr w:rsidR="00B738D9" w:rsidRPr="00300EF2" w14:paraId="26ABD24D" w14:textId="77777777" w:rsidTr="008A4C96">
        <w:trPr>
          <w:cantSplit/>
          <w:trHeight w:val="283"/>
        </w:trPr>
        <w:tc>
          <w:tcPr>
            <w:tcW w:w="2250" w:type="dxa"/>
            <w:vAlign w:val="center"/>
          </w:tcPr>
          <w:p w14:paraId="26ABD24A" w14:textId="77777777" w:rsidR="00B738D9" w:rsidRPr="00300EF2" w:rsidRDefault="00B738D9" w:rsidP="004227B9">
            <w:pPr>
              <w:pStyle w:val="TableText0"/>
              <w:spacing w:before="0" w:after="0"/>
              <w:rPr>
                <w:sz w:val="16"/>
                <w:szCs w:val="16"/>
              </w:rPr>
            </w:pPr>
            <w:r>
              <w:rPr>
                <w:color w:val="000000"/>
                <w:sz w:val="16"/>
                <w:szCs w:val="16"/>
              </w:rPr>
              <w:t>2001</w:t>
            </w:r>
            <w:r w:rsidRPr="00300EF2">
              <w:rPr>
                <w:sz w:val="16"/>
                <w:szCs w:val="16"/>
              </w:rPr>
              <w:t>–</w:t>
            </w:r>
            <w:r>
              <w:rPr>
                <w:color w:val="000000"/>
                <w:sz w:val="16"/>
                <w:szCs w:val="16"/>
              </w:rPr>
              <w:t>02 to 2005</w:t>
            </w:r>
            <w:r w:rsidRPr="00300EF2">
              <w:rPr>
                <w:sz w:val="16"/>
                <w:szCs w:val="16"/>
              </w:rPr>
              <w:t>–</w:t>
            </w:r>
            <w:r>
              <w:rPr>
                <w:color w:val="000000"/>
                <w:sz w:val="16"/>
                <w:szCs w:val="16"/>
              </w:rPr>
              <w:t>06</w:t>
            </w:r>
          </w:p>
        </w:tc>
        <w:tc>
          <w:tcPr>
            <w:tcW w:w="3195" w:type="dxa"/>
            <w:vAlign w:val="center"/>
          </w:tcPr>
          <w:p w14:paraId="26ABD24B" w14:textId="77777777" w:rsidR="00B738D9" w:rsidRPr="000A49B5" w:rsidRDefault="00B738D9" w:rsidP="004227B9">
            <w:pPr>
              <w:pStyle w:val="TableText0"/>
              <w:spacing w:before="0" w:after="0"/>
              <w:jc w:val="right"/>
              <w:rPr>
                <w:sz w:val="16"/>
                <w:szCs w:val="16"/>
                <w:highlight w:val="yellow"/>
              </w:rPr>
            </w:pPr>
            <w:r w:rsidRPr="000A49B5">
              <w:rPr>
                <w:sz w:val="16"/>
                <w:szCs w:val="16"/>
              </w:rPr>
              <w:t>11,471</w:t>
            </w:r>
          </w:p>
        </w:tc>
        <w:tc>
          <w:tcPr>
            <w:tcW w:w="3195" w:type="dxa"/>
            <w:vAlign w:val="center"/>
          </w:tcPr>
          <w:p w14:paraId="26ABD24C" w14:textId="77777777" w:rsidR="00B738D9" w:rsidRPr="000A49B5" w:rsidRDefault="00B738D9" w:rsidP="004227B9">
            <w:pPr>
              <w:pStyle w:val="TableText0"/>
              <w:spacing w:before="0" w:after="0"/>
              <w:jc w:val="right"/>
              <w:rPr>
                <w:sz w:val="16"/>
                <w:szCs w:val="16"/>
                <w:highlight w:val="yellow"/>
              </w:rPr>
            </w:pPr>
            <w:r w:rsidRPr="000A49B5">
              <w:rPr>
                <w:sz w:val="16"/>
                <w:szCs w:val="16"/>
              </w:rPr>
              <w:t>100.0</w:t>
            </w:r>
          </w:p>
        </w:tc>
      </w:tr>
      <w:tr w:rsidR="00B738D9" w:rsidRPr="00300EF2" w14:paraId="26ABD251" w14:textId="77777777" w:rsidTr="008A4C96">
        <w:trPr>
          <w:cantSplit/>
          <w:trHeight w:val="283"/>
        </w:trPr>
        <w:tc>
          <w:tcPr>
            <w:tcW w:w="2250" w:type="dxa"/>
            <w:vAlign w:val="center"/>
          </w:tcPr>
          <w:p w14:paraId="26ABD24E" w14:textId="77777777" w:rsidR="00B738D9" w:rsidRPr="00300EF2" w:rsidRDefault="00B738D9" w:rsidP="004227B9">
            <w:pPr>
              <w:pStyle w:val="TableText0"/>
              <w:spacing w:before="0" w:after="0"/>
              <w:rPr>
                <w:sz w:val="16"/>
                <w:szCs w:val="16"/>
              </w:rPr>
            </w:pPr>
            <w:r>
              <w:rPr>
                <w:color w:val="000000"/>
                <w:sz w:val="16"/>
                <w:szCs w:val="16"/>
              </w:rPr>
              <w:t>2006</w:t>
            </w:r>
            <w:r w:rsidRPr="00300EF2">
              <w:rPr>
                <w:sz w:val="16"/>
                <w:szCs w:val="16"/>
              </w:rPr>
              <w:t>–</w:t>
            </w:r>
            <w:r>
              <w:rPr>
                <w:color w:val="000000"/>
                <w:sz w:val="16"/>
                <w:szCs w:val="16"/>
              </w:rPr>
              <w:t>07 to 2010</w:t>
            </w:r>
            <w:r w:rsidRPr="00300EF2">
              <w:rPr>
                <w:sz w:val="16"/>
                <w:szCs w:val="16"/>
              </w:rPr>
              <w:t>–</w:t>
            </w:r>
            <w:r>
              <w:rPr>
                <w:color w:val="000000"/>
                <w:sz w:val="16"/>
                <w:szCs w:val="16"/>
              </w:rPr>
              <w:t>11</w:t>
            </w:r>
          </w:p>
        </w:tc>
        <w:tc>
          <w:tcPr>
            <w:tcW w:w="3195" w:type="dxa"/>
            <w:vAlign w:val="center"/>
          </w:tcPr>
          <w:p w14:paraId="26ABD24F" w14:textId="77777777" w:rsidR="00B738D9" w:rsidRPr="000A49B5" w:rsidRDefault="00B738D9" w:rsidP="004227B9">
            <w:pPr>
              <w:pStyle w:val="TableText0"/>
              <w:spacing w:before="0" w:after="0"/>
              <w:jc w:val="right"/>
              <w:rPr>
                <w:sz w:val="16"/>
                <w:szCs w:val="16"/>
                <w:highlight w:val="yellow"/>
              </w:rPr>
            </w:pPr>
            <w:r w:rsidRPr="000A49B5">
              <w:rPr>
                <w:sz w:val="16"/>
                <w:szCs w:val="16"/>
              </w:rPr>
              <w:t>8,586</w:t>
            </w:r>
          </w:p>
        </w:tc>
        <w:tc>
          <w:tcPr>
            <w:tcW w:w="3195" w:type="dxa"/>
            <w:vAlign w:val="center"/>
          </w:tcPr>
          <w:p w14:paraId="26ABD250" w14:textId="77777777" w:rsidR="00B738D9" w:rsidRPr="000A49B5" w:rsidRDefault="00B738D9" w:rsidP="004227B9">
            <w:pPr>
              <w:pStyle w:val="TableText0"/>
              <w:spacing w:before="0" w:after="0"/>
              <w:jc w:val="right"/>
              <w:rPr>
                <w:sz w:val="16"/>
                <w:szCs w:val="16"/>
                <w:highlight w:val="yellow"/>
              </w:rPr>
            </w:pPr>
            <w:r w:rsidRPr="000A49B5">
              <w:rPr>
                <w:sz w:val="16"/>
                <w:szCs w:val="16"/>
              </w:rPr>
              <w:t>99.9</w:t>
            </w:r>
          </w:p>
        </w:tc>
      </w:tr>
      <w:tr w:rsidR="00B738D9" w:rsidRPr="004C66A6" w14:paraId="26ABD255" w14:textId="77777777" w:rsidTr="008A4C96">
        <w:trPr>
          <w:cantSplit/>
          <w:trHeight w:val="283"/>
        </w:trPr>
        <w:tc>
          <w:tcPr>
            <w:tcW w:w="2250" w:type="dxa"/>
            <w:vAlign w:val="center"/>
          </w:tcPr>
          <w:p w14:paraId="26ABD252" w14:textId="77777777" w:rsidR="00B738D9" w:rsidRPr="00300EF2" w:rsidRDefault="00B738D9" w:rsidP="004227B9">
            <w:pPr>
              <w:pStyle w:val="TableText0"/>
              <w:spacing w:before="0" w:after="0"/>
              <w:rPr>
                <w:sz w:val="16"/>
                <w:szCs w:val="16"/>
              </w:rPr>
            </w:pPr>
            <w:r>
              <w:rPr>
                <w:color w:val="000000"/>
                <w:sz w:val="16"/>
                <w:szCs w:val="16"/>
              </w:rPr>
              <w:t>2011</w:t>
            </w:r>
            <w:r w:rsidRPr="00300EF2">
              <w:rPr>
                <w:sz w:val="16"/>
                <w:szCs w:val="16"/>
              </w:rPr>
              <w:t>–</w:t>
            </w:r>
            <w:r>
              <w:rPr>
                <w:color w:val="000000"/>
                <w:sz w:val="16"/>
                <w:szCs w:val="16"/>
              </w:rPr>
              <w:t>12 to 2015</w:t>
            </w:r>
            <w:r w:rsidRPr="00300EF2">
              <w:rPr>
                <w:sz w:val="16"/>
                <w:szCs w:val="16"/>
              </w:rPr>
              <w:t>–</w:t>
            </w:r>
            <w:r>
              <w:rPr>
                <w:color w:val="000000"/>
                <w:sz w:val="16"/>
                <w:szCs w:val="16"/>
              </w:rPr>
              <w:t>16</w:t>
            </w:r>
          </w:p>
        </w:tc>
        <w:tc>
          <w:tcPr>
            <w:tcW w:w="3195" w:type="dxa"/>
            <w:vAlign w:val="center"/>
          </w:tcPr>
          <w:p w14:paraId="26ABD253" w14:textId="77777777" w:rsidR="00B738D9" w:rsidRPr="00300EF2" w:rsidRDefault="00B738D9" w:rsidP="004227B9">
            <w:pPr>
              <w:pStyle w:val="TableText0"/>
              <w:spacing w:before="0" w:after="0"/>
              <w:jc w:val="right"/>
              <w:rPr>
                <w:sz w:val="16"/>
                <w:szCs w:val="16"/>
                <w:highlight w:val="yellow"/>
              </w:rPr>
            </w:pPr>
            <w:r w:rsidRPr="000A49B5">
              <w:rPr>
                <w:color w:val="000000"/>
                <w:sz w:val="16"/>
                <w:szCs w:val="16"/>
              </w:rPr>
              <w:t xml:space="preserve">6,768 </w:t>
            </w:r>
          </w:p>
        </w:tc>
        <w:tc>
          <w:tcPr>
            <w:tcW w:w="3195" w:type="dxa"/>
            <w:vAlign w:val="center"/>
          </w:tcPr>
          <w:p w14:paraId="26ABD254" w14:textId="77777777" w:rsidR="00B738D9" w:rsidRPr="004C66A6" w:rsidRDefault="00B738D9" w:rsidP="004227B9">
            <w:pPr>
              <w:pStyle w:val="TableText0"/>
              <w:spacing w:before="0" w:after="0"/>
              <w:jc w:val="right"/>
              <w:rPr>
                <w:sz w:val="16"/>
                <w:szCs w:val="16"/>
              </w:rPr>
            </w:pPr>
            <w:r>
              <w:rPr>
                <w:color w:val="000000"/>
                <w:sz w:val="16"/>
                <w:szCs w:val="16"/>
              </w:rPr>
              <w:t>n.r.</w:t>
            </w:r>
            <w:r w:rsidRPr="004C66A6">
              <w:rPr>
                <w:color w:val="000000"/>
                <w:sz w:val="16"/>
                <w:szCs w:val="16"/>
              </w:rPr>
              <w:t xml:space="preserve"> </w:t>
            </w:r>
          </w:p>
        </w:tc>
      </w:tr>
    </w:tbl>
    <w:p w14:paraId="26ABD256" w14:textId="77777777" w:rsidR="00B738D9" w:rsidRPr="00514F08" w:rsidRDefault="00B738D9" w:rsidP="00B738D9">
      <w:pPr>
        <w:pStyle w:val="Footnote"/>
        <w:spacing w:before="0" w:after="0"/>
      </w:pPr>
      <w:r w:rsidRPr="00514F08">
        <w:t xml:space="preserve">Total forest area harvested is the gross harvested area and includes jarrah forest harvested to a range of silvicultural objectives, but excludes areas cleared for mining. </w:t>
      </w:r>
    </w:p>
    <w:p w14:paraId="26ABD257" w14:textId="77777777" w:rsidR="00B738D9" w:rsidRPr="00300EF2" w:rsidRDefault="00B738D9" w:rsidP="00B738D9">
      <w:pPr>
        <w:pStyle w:val="Footnote"/>
        <w:spacing w:before="0" w:after="0"/>
      </w:pPr>
      <w:r w:rsidRPr="00300EF2">
        <w:rPr>
          <w:vertAlign w:val="superscript"/>
        </w:rPr>
        <w:t>a</w:t>
      </w:r>
      <w:r w:rsidRPr="00300EF2">
        <w:t xml:space="preserve"> Proportion of harvested area effectively regenerated, based on harvested areas where the silvicultural objectives of the silvicultural systems require regeneration establishment in the harvested area and follow-</w:t>
      </w:r>
      <w:r>
        <w:t xml:space="preserve">up assessment for effectiveness, and calculated as </w:t>
      </w:r>
      <w:r w:rsidRPr="00300EF2">
        <w:t>the weighted average of regeneration success reported for karri and jarr</w:t>
      </w:r>
      <w:r>
        <w:t>ah regeneration for that year. R</w:t>
      </w:r>
      <w:r w:rsidRPr="00300EF2">
        <w:t>egeneration success can relate to areas harvested 18</w:t>
      </w:r>
      <w:r w:rsidRPr="009E50DF">
        <w:t>–</w:t>
      </w:r>
      <w:r w:rsidRPr="00300EF2">
        <w:t>30 months previously.</w:t>
      </w:r>
    </w:p>
    <w:p w14:paraId="26ABD258" w14:textId="77777777" w:rsidR="00B738D9" w:rsidRPr="00300EF2" w:rsidRDefault="00B738D9" w:rsidP="00B738D9">
      <w:pPr>
        <w:pStyle w:val="Footnote"/>
        <w:spacing w:before="0" w:after="0"/>
      </w:pPr>
      <w:r>
        <w:t>n.r.,</w:t>
      </w:r>
      <w:r w:rsidRPr="00300EF2">
        <w:t xml:space="preserve"> not </w:t>
      </w:r>
      <w:r>
        <w:t>reported in this format, but adequate regeneration achieved for karri and jarrah areas across the years.</w:t>
      </w:r>
    </w:p>
    <w:p w14:paraId="26ABD259" w14:textId="77777777" w:rsidR="00B738D9" w:rsidRPr="00514F08" w:rsidRDefault="00B738D9" w:rsidP="00B738D9">
      <w:pPr>
        <w:pStyle w:val="Footnote"/>
        <w:spacing w:before="0" w:after="0"/>
      </w:pPr>
      <w:r w:rsidRPr="00300EF2">
        <w:t>Source: C</w:t>
      </w:r>
      <w:r>
        <w:t>CWA (2012</w:t>
      </w:r>
      <w:r w:rsidRPr="00300EF2">
        <w:t xml:space="preserve">), Western Australian Department of Environment </w:t>
      </w:r>
      <w:r w:rsidRPr="00514F08">
        <w:t>and Conservation, Western Australian Department of Biodiversity, Conservation and Attractions.</w:t>
      </w:r>
    </w:p>
    <w:p w14:paraId="26ABD25A" w14:textId="77777777" w:rsidR="00E40B48" w:rsidRPr="00CE60B2" w:rsidRDefault="00E40B48" w:rsidP="008A4979">
      <w:pPr>
        <w:pStyle w:val="Heading4"/>
        <w:rPr>
          <w:rFonts w:cs="Segoe UI"/>
          <w:lang w:eastAsia="ja-JP"/>
        </w:rPr>
      </w:pPr>
      <w:r w:rsidRPr="00CE60B2">
        <w:rPr>
          <w:rFonts w:cs="Segoe UI"/>
          <w:lang w:eastAsia="ja-JP"/>
        </w:rPr>
        <w:t>Plantation</w:t>
      </w:r>
    </w:p>
    <w:p w14:paraId="26ABD25B" w14:textId="77777777" w:rsidR="00E40B48" w:rsidRPr="00CE60B2" w:rsidRDefault="00E40B48" w:rsidP="00E40B48">
      <w:pPr>
        <w:autoSpaceDE w:val="0"/>
        <w:autoSpaceDN w:val="0"/>
        <w:adjustRightInd w:val="0"/>
        <w:spacing w:before="0"/>
        <w:rPr>
          <w:rFonts w:cs="Segoe UI"/>
        </w:rPr>
      </w:pPr>
      <w:r w:rsidRPr="00CE60B2">
        <w:rPr>
          <w:rFonts w:cs="Segoe UI"/>
          <w:lang w:eastAsia="ja-JP"/>
        </w:rPr>
        <w:t xml:space="preserve">Effective establishment of a plantation either on land not previously under plantation (afforestation) or as re-establishment of a previous plantation after clearfell harvesting </w:t>
      </w:r>
      <w:r w:rsidRPr="00CE60B2">
        <w:rPr>
          <w:rFonts w:cs="Segoe UI"/>
          <w:lang w:eastAsia="ja-JP"/>
        </w:rPr>
        <w:lastRenderedPageBreak/>
        <w:t>(reforestation) is a fundamental component of sustainable plantation management to provide for long term and consistent wood volumes required by wood-processing industries.</w:t>
      </w:r>
    </w:p>
    <w:p w14:paraId="26ABD25C" w14:textId="2057B665" w:rsidR="00E40B48" w:rsidRDefault="00E40B48" w:rsidP="00E40B48">
      <w:pPr>
        <w:rPr>
          <w:rFonts w:cs="Segoe UI"/>
        </w:rPr>
      </w:pPr>
      <w:r w:rsidRPr="00CE60B2">
        <w:rPr>
          <w:rFonts w:cs="Segoe UI"/>
        </w:rPr>
        <w:t xml:space="preserve">In terms of monitoring plantation establishment on public forests, the planted area includes both new plantation establishment and plantation re-establishment. Establishment is measured one year after planting; the </w:t>
      </w:r>
      <w:r w:rsidR="00040D1A">
        <w:rPr>
          <w:rFonts w:cs="Segoe UI"/>
        </w:rPr>
        <w:t xml:space="preserve">seedling survival </w:t>
      </w:r>
      <w:r w:rsidRPr="00CE60B2">
        <w:rPr>
          <w:rFonts w:cs="Segoe UI"/>
        </w:rPr>
        <w:t xml:space="preserve">rate applies to the planted area in the previous year. Monitoring the effectiveness of the establishment of newly planted forest is undertaken by surveys of seedling survival in the first year after planting. If survival rates are generally low or low in specific </w:t>
      </w:r>
      <w:r w:rsidR="001B2208" w:rsidRPr="00CE60B2">
        <w:rPr>
          <w:rFonts w:cs="Segoe UI"/>
        </w:rPr>
        <w:t>locations,</w:t>
      </w:r>
      <w:r w:rsidRPr="00CE60B2">
        <w:rPr>
          <w:rFonts w:cs="Segoe UI"/>
        </w:rPr>
        <w:t xml:space="preserve"> the failed areas are replanted. Secondary survival count</w:t>
      </w:r>
      <w:r w:rsidR="00563A85">
        <w:rPr>
          <w:rFonts w:cs="Segoe UI"/>
        </w:rPr>
        <w:t>s</w:t>
      </w:r>
      <w:r w:rsidRPr="00CE60B2">
        <w:rPr>
          <w:rFonts w:cs="Segoe UI"/>
        </w:rPr>
        <w:t xml:space="preserve"> </w:t>
      </w:r>
      <w:r w:rsidR="00563A85">
        <w:rPr>
          <w:rFonts w:cs="Segoe UI"/>
        </w:rPr>
        <w:t>are</w:t>
      </w:r>
      <w:r w:rsidRPr="00CE60B2">
        <w:rPr>
          <w:rFonts w:cs="Segoe UI"/>
        </w:rPr>
        <w:t xml:space="preserve"> sometimes undertaken if plant health, disease or adverse weather conditions warrant further examination. </w:t>
      </w:r>
    </w:p>
    <w:p w14:paraId="26ABD25D" w14:textId="77777777" w:rsidR="00D9793F" w:rsidRPr="00CE60B2" w:rsidRDefault="00410FD0" w:rsidP="00E40B48">
      <w:pPr>
        <w:rPr>
          <w:rFonts w:cs="Segoe UI"/>
        </w:rPr>
      </w:pPr>
      <w:r>
        <w:rPr>
          <w:rFonts w:cs="Segoe UI"/>
        </w:rPr>
        <w:t>During the period 2001 to 2017 the annual area of softwood plantation established by the FPC</w:t>
      </w:r>
      <w:r w:rsidR="00723047">
        <w:rPr>
          <w:rFonts w:cs="Segoe UI"/>
        </w:rPr>
        <w:t xml:space="preserve"> fluctuated between years, but</w:t>
      </w:r>
      <w:r>
        <w:rPr>
          <w:rFonts w:cs="Segoe UI"/>
        </w:rPr>
        <w:t xml:space="preserve"> averaged 1,64</w:t>
      </w:r>
      <w:r w:rsidR="00723047">
        <w:rPr>
          <w:rFonts w:cs="Segoe UI"/>
        </w:rPr>
        <w:t>9</w:t>
      </w:r>
      <w:r w:rsidR="00F26DBE">
        <w:rPr>
          <w:rFonts w:cs="Segoe UI"/>
        </w:rPr>
        <w:t> hectares per </w:t>
      </w:r>
      <w:r w:rsidR="00723047">
        <w:rPr>
          <w:rFonts w:cs="Segoe UI"/>
        </w:rPr>
        <w:t xml:space="preserve">annum </w:t>
      </w:r>
      <w:r>
        <w:rPr>
          <w:rFonts w:cs="Segoe UI"/>
        </w:rPr>
        <w:t>(Table 26).</w:t>
      </w:r>
    </w:p>
    <w:p w14:paraId="26ABD25E" w14:textId="549CE149" w:rsidR="005C2908" w:rsidRDefault="005C2908" w:rsidP="005C2908">
      <w:pPr>
        <w:pStyle w:val="Caption"/>
        <w:keepNext/>
      </w:pPr>
      <w:bookmarkStart w:id="132" w:name="_Toc531002187"/>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26</w:t>
      </w:r>
      <w:r w:rsidR="005C10D4">
        <w:rPr>
          <w:noProof/>
        </w:rPr>
        <w:fldChar w:fldCharType="end"/>
      </w:r>
      <w:r>
        <w:t xml:space="preserve">: </w:t>
      </w:r>
      <w:r w:rsidRPr="0059079C">
        <w:t>Annual area of public softwood plantation re-established</w:t>
      </w:r>
      <w:r w:rsidR="00D934F4">
        <w:t xml:space="preserve"> (Source: FPC)</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10"/>
        <w:gridCol w:w="1585"/>
        <w:gridCol w:w="1559"/>
      </w:tblGrid>
      <w:tr w:rsidR="00656320" w:rsidRPr="00CE60B2" w14:paraId="26ABD262" w14:textId="77777777" w:rsidTr="008A4C96">
        <w:trPr>
          <w:cantSplit/>
          <w:jc w:val="center"/>
        </w:trPr>
        <w:tc>
          <w:tcPr>
            <w:tcW w:w="1510" w:type="dxa"/>
            <w:shd w:val="clear" w:color="auto" w:fill="DFEFE1" w:themeFill="accent3" w:themeFillTint="66"/>
            <w:vAlign w:val="center"/>
          </w:tcPr>
          <w:p w14:paraId="26ABD25F" w14:textId="77777777" w:rsidR="00656320" w:rsidRPr="00CE60B2" w:rsidRDefault="00656320" w:rsidP="00C423D1">
            <w:pPr>
              <w:pStyle w:val="TableHeading"/>
              <w:jc w:val="center"/>
              <w:rPr>
                <w:rFonts w:ascii="Segoe UI" w:hAnsi="Segoe UI" w:cs="Segoe UI"/>
                <w:sz w:val="16"/>
                <w:szCs w:val="16"/>
              </w:rPr>
            </w:pPr>
            <w:bookmarkStart w:id="133" w:name="_Hlk525042232"/>
            <w:r w:rsidRPr="00CE60B2">
              <w:rPr>
                <w:rFonts w:ascii="Segoe UI" w:hAnsi="Segoe UI" w:cs="Segoe UI"/>
                <w:sz w:val="16"/>
                <w:szCs w:val="16"/>
              </w:rPr>
              <w:t>Reporting year</w:t>
            </w:r>
          </w:p>
        </w:tc>
        <w:tc>
          <w:tcPr>
            <w:tcW w:w="1585" w:type="dxa"/>
            <w:shd w:val="clear" w:color="auto" w:fill="DFEFE1" w:themeFill="accent3" w:themeFillTint="66"/>
            <w:vAlign w:val="center"/>
          </w:tcPr>
          <w:p w14:paraId="26ABD260" w14:textId="77777777" w:rsidR="00656320" w:rsidRPr="00CE60B2" w:rsidRDefault="00656320" w:rsidP="00C423D1">
            <w:pPr>
              <w:pStyle w:val="TableHeading"/>
              <w:jc w:val="center"/>
              <w:rPr>
                <w:rFonts w:ascii="Segoe UI" w:hAnsi="Segoe UI" w:cs="Segoe UI"/>
                <w:sz w:val="16"/>
                <w:szCs w:val="16"/>
              </w:rPr>
            </w:pPr>
            <w:r>
              <w:rPr>
                <w:rFonts w:ascii="Segoe UI" w:hAnsi="Segoe UI" w:cs="Segoe UI"/>
                <w:sz w:val="16"/>
                <w:szCs w:val="16"/>
              </w:rPr>
              <w:t>Target Area (ha)</w:t>
            </w:r>
          </w:p>
        </w:tc>
        <w:tc>
          <w:tcPr>
            <w:tcW w:w="1559" w:type="dxa"/>
            <w:shd w:val="clear" w:color="auto" w:fill="DFEFE1" w:themeFill="accent3" w:themeFillTint="66"/>
            <w:vAlign w:val="center"/>
          </w:tcPr>
          <w:p w14:paraId="26ABD261" w14:textId="77777777" w:rsidR="00656320" w:rsidRPr="00CE60B2" w:rsidRDefault="00656320" w:rsidP="00C423D1">
            <w:pPr>
              <w:pStyle w:val="TableHeading"/>
              <w:jc w:val="center"/>
              <w:rPr>
                <w:rFonts w:ascii="Segoe UI" w:hAnsi="Segoe UI" w:cs="Segoe UI"/>
                <w:sz w:val="16"/>
                <w:szCs w:val="16"/>
                <w:vertAlign w:val="superscript"/>
              </w:rPr>
            </w:pPr>
            <w:r w:rsidRPr="00CE60B2">
              <w:rPr>
                <w:rFonts w:ascii="Segoe UI" w:hAnsi="Segoe UI" w:cs="Segoe UI"/>
                <w:sz w:val="16"/>
                <w:szCs w:val="16"/>
              </w:rPr>
              <w:t xml:space="preserve">Area </w:t>
            </w:r>
            <w:r>
              <w:rPr>
                <w:rFonts w:ascii="Segoe UI" w:hAnsi="Segoe UI" w:cs="Segoe UI"/>
                <w:sz w:val="16"/>
                <w:szCs w:val="16"/>
              </w:rPr>
              <w:t xml:space="preserve">Established </w:t>
            </w:r>
            <w:r w:rsidRPr="00CE60B2">
              <w:rPr>
                <w:rFonts w:ascii="Segoe UI" w:hAnsi="Segoe UI" w:cs="Segoe UI"/>
                <w:sz w:val="16"/>
                <w:szCs w:val="16"/>
              </w:rPr>
              <w:t>(ha)</w:t>
            </w:r>
          </w:p>
        </w:tc>
      </w:tr>
      <w:tr w:rsidR="00656320" w:rsidRPr="00CE60B2" w14:paraId="26ABD266" w14:textId="77777777" w:rsidTr="00D934F4">
        <w:trPr>
          <w:cantSplit/>
          <w:trHeight w:val="283"/>
          <w:jc w:val="center"/>
        </w:trPr>
        <w:tc>
          <w:tcPr>
            <w:tcW w:w="1510" w:type="dxa"/>
            <w:vAlign w:val="center"/>
          </w:tcPr>
          <w:p w14:paraId="26ABD263" w14:textId="77777777" w:rsidR="00656320"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2001 - 02</w:t>
            </w:r>
          </w:p>
        </w:tc>
        <w:tc>
          <w:tcPr>
            <w:tcW w:w="1585" w:type="dxa"/>
            <w:vAlign w:val="center"/>
          </w:tcPr>
          <w:p w14:paraId="26ABD264"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1,229</w:t>
            </w:r>
          </w:p>
        </w:tc>
        <w:tc>
          <w:tcPr>
            <w:tcW w:w="1559" w:type="dxa"/>
            <w:vAlign w:val="center"/>
          </w:tcPr>
          <w:p w14:paraId="26ABD265"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943</w:t>
            </w:r>
          </w:p>
        </w:tc>
      </w:tr>
      <w:tr w:rsidR="00656320" w:rsidRPr="00CE60B2" w14:paraId="26ABD26A" w14:textId="77777777" w:rsidTr="00D934F4">
        <w:trPr>
          <w:cantSplit/>
          <w:trHeight w:val="283"/>
          <w:jc w:val="center"/>
        </w:trPr>
        <w:tc>
          <w:tcPr>
            <w:tcW w:w="1510" w:type="dxa"/>
            <w:vAlign w:val="center"/>
          </w:tcPr>
          <w:p w14:paraId="26ABD267" w14:textId="77777777" w:rsidR="00656320"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2002 – 03</w:t>
            </w:r>
          </w:p>
        </w:tc>
        <w:tc>
          <w:tcPr>
            <w:tcW w:w="1585" w:type="dxa"/>
            <w:vAlign w:val="center"/>
          </w:tcPr>
          <w:p w14:paraId="26ABD268"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914</w:t>
            </w:r>
          </w:p>
        </w:tc>
        <w:tc>
          <w:tcPr>
            <w:tcW w:w="1559" w:type="dxa"/>
            <w:vAlign w:val="center"/>
          </w:tcPr>
          <w:p w14:paraId="26ABD269"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721</w:t>
            </w:r>
          </w:p>
        </w:tc>
      </w:tr>
      <w:tr w:rsidR="00656320" w:rsidRPr="00CE60B2" w14:paraId="26ABD26E" w14:textId="77777777" w:rsidTr="00D934F4">
        <w:trPr>
          <w:cantSplit/>
          <w:trHeight w:val="283"/>
          <w:jc w:val="center"/>
        </w:trPr>
        <w:tc>
          <w:tcPr>
            <w:tcW w:w="1510" w:type="dxa"/>
            <w:vAlign w:val="center"/>
          </w:tcPr>
          <w:p w14:paraId="26ABD26B" w14:textId="77777777" w:rsidR="00656320"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2003 – 04</w:t>
            </w:r>
          </w:p>
        </w:tc>
        <w:tc>
          <w:tcPr>
            <w:tcW w:w="1585" w:type="dxa"/>
            <w:vAlign w:val="center"/>
          </w:tcPr>
          <w:p w14:paraId="26ABD26C"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1,309</w:t>
            </w:r>
          </w:p>
        </w:tc>
        <w:tc>
          <w:tcPr>
            <w:tcW w:w="1559" w:type="dxa"/>
            <w:vAlign w:val="center"/>
          </w:tcPr>
          <w:p w14:paraId="26ABD26D"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1,013</w:t>
            </w:r>
          </w:p>
        </w:tc>
      </w:tr>
      <w:tr w:rsidR="00656320" w:rsidRPr="00CE60B2" w14:paraId="26ABD272" w14:textId="77777777" w:rsidTr="00D934F4">
        <w:trPr>
          <w:cantSplit/>
          <w:trHeight w:val="283"/>
          <w:jc w:val="center"/>
        </w:trPr>
        <w:tc>
          <w:tcPr>
            <w:tcW w:w="1510" w:type="dxa"/>
            <w:vAlign w:val="center"/>
          </w:tcPr>
          <w:p w14:paraId="26ABD26F" w14:textId="77777777" w:rsidR="00656320"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2004 – 05</w:t>
            </w:r>
          </w:p>
        </w:tc>
        <w:tc>
          <w:tcPr>
            <w:tcW w:w="1585" w:type="dxa"/>
            <w:vAlign w:val="center"/>
          </w:tcPr>
          <w:p w14:paraId="26ABD270"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1,500</w:t>
            </w:r>
          </w:p>
        </w:tc>
        <w:tc>
          <w:tcPr>
            <w:tcW w:w="1559" w:type="dxa"/>
            <w:vAlign w:val="center"/>
          </w:tcPr>
          <w:p w14:paraId="26ABD271"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1,391</w:t>
            </w:r>
          </w:p>
        </w:tc>
      </w:tr>
      <w:tr w:rsidR="00656320" w:rsidRPr="00CE60B2" w14:paraId="26ABD276" w14:textId="77777777" w:rsidTr="00D934F4">
        <w:trPr>
          <w:cantSplit/>
          <w:trHeight w:val="283"/>
          <w:jc w:val="center"/>
        </w:trPr>
        <w:tc>
          <w:tcPr>
            <w:tcW w:w="1510" w:type="dxa"/>
            <w:vAlign w:val="center"/>
          </w:tcPr>
          <w:p w14:paraId="26ABD273" w14:textId="77777777" w:rsidR="00656320" w:rsidRDefault="00656320" w:rsidP="00D934F4">
            <w:pPr>
              <w:pStyle w:val="TableText0"/>
              <w:spacing w:before="0" w:after="0"/>
              <w:ind w:left="-45"/>
              <w:jc w:val="center"/>
              <w:rPr>
                <w:rFonts w:ascii="Segoe UI" w:hAnsi="Segoe UI" w:cs="Segoe UI"/>
                <w:sz w:val="16"/>
                <w:szCs w:val="16"/>
              </w:rPr>
            </w:pPr>
            <w:r>
              <w:rPr>
                <w:rFonts w:ascii="Segoe UI" w:hAnsi="Segoe UI" w:cs="Segoe UI"/>
                <w:sz w:val="16"/>
                <w:szCs w:val="16"/>
              </w:rPr>
              <w:t>2005 - 06</w:t>
            </w:r>
          </w:p>
        </w:tc>
        <w:tc>
          <w:tcPr>
            <w:tcW w:w="1585" w:type="dxa"/>
            <w:vAlign w:val="center"/>
          </w:tcPr>
          <w:p w14:paraId="26ABD274"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1,500</w:t>
            </w:r>
          </w:p>
        </w:tc>
        <w:tc>
          <w:tcPr>
            <w:tcW w:w="1559" w:type="dxa"/>
            <w:vAlign w:val="center"/>
          </w:tcPr>
          <w:p w14:paraId="26ABD275"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1,425</w:t>
            </w:r>
          </w:p>
        </w:tc>
      </w:tr>
      <w:tr w:rsidR="00656320" w:rsidRPr="00CE60B2" w14:paraId="26ABD27A" w14:textId="77777777" w:rsidTr="00D934F4">
        <w:trPr>
          <w:cantSplit/>
          <w:trHeight w:val="283"/>
          <w:jc w:val="center"/>
        </w:trPr>
        <w:tc>
          <w:tcPr>
            <w:tcW w:w="1510" w:type="dxa"/>
            <w:vAlign w:val="center"/>
          </w:tcPr>
          <w:p w14:paraId="26ABD277" w14:textId="77777777" w:rsidR="00656320"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2006 – 07</w:t>
            </w:r>
          </w:p>
        </w:tc>
        <w:tc>
          <w:tcPr>
            <w:tcW w:w="1585" w:type="dxa"/>
            <w:vAlign w:val="center"/>
          </w:tcPr>
          <w:p w14:paraId="26ABD278"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1,500</w:t>
            </w:r>
          </w:p>
        </w:tc>
        <w:tc>
          <w:tcPr>
            <w:tcW w:w="1559" w:type="dxa"/>
            <w:vAlign w:val="center"/>
          </w:tcPr>
          <w:p w14:paraId="26ABD279"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1,425</w:t>
            </w:r>
          </w:p>
        </w:tc>
      </w:tr>
      <w:tr w:rsidR="00656320" w:rsidRPr="00CE60B2" w14:paraId="26ABD27E" w14:textId="77777777" w:rsidTr="00D934F4">
        <w:trPr>
          <w:cantSplit/>
          <w:trHeight w:val="283"/>
          <w:jc w:val="center"/>
        </w:trPr>
        <w:tc>
          <w:tcPr>
            <w:tcW w:w="1510" w:type="dxa"/>
            <w:vAlign w:val="center"/>
          </w:tcPr>
          <w:p w14:paraId="26ABD27B" w14:textId="77777777" w:rsidR="00656320"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2007 – 08</w:t>
            </w:r>
          </w:p>
        </w:tc>
        <w:tc>
          <w:tcPr>
            <w:tcW w:w="1585" w:type="dxa"/>
            <w:vAlign w:val="center"/>
          </w:tcPr>
          <w:p w14:paraId="26ABD27C"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1,500</w:t>
            </w:r>
          </w:p>
        </w:tc>
        <w:tc>
          <w:tcPr>
            <w:tcW w:w="1559" w:type="dxa"/>
            <w:vAlign w:val="center"/>
          </w:tcPr>
          <w:p w14:paraId="26ABD27D"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1,506</w:t>
            </w:r>
          </w:p>
        </w:tc>
      </w:tr>
      <w:tr w:rsidR="00656320" w:rsidRPr="00CE60B2" w14:paraId="26ABD282" w14:textId="77777777" w:rsidTr="00D934F4">
        <w:trPr>
          <w:cantSplit/>
          <w:trHeight w:val="283"/>
          <w:jc w:val="center"/>
        </w:trPr>
        <w:tc>
          <w:tcPr>
            <w:tcW w:w="1510" w:type="dxa"/>
            <w:vAlign w:val="center"/>
          </w:tcPr>
          <w:p w14:paraId="26ABD27F" w14:textId="77777777" w:rsidR="00656320"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2008 – 09</w:t>
            </w:r>
          </w:p>
        </w:tc>
        <w:tc>
          <w:tcPr>
            <w:tcW w:w="1585" w:type="dxa"/>
            <w:vAlign w:val="center"/>
          </w:tcPr>
          <w:p w14:paraId="26ABD280"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2,000</w:t>
            </w:r>
          </w:p>
        </w:tc>
        <w:tc>
          <w:tcPr>
            <w:tcW w:w="1559" w:type="dxa"/>
            <w:vAlign w:val="center"/>
          </w:tcPr>
          <w:p w14:paraId="26ABD281"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1,644</w:t>
            </w:r>
          </w:p>
        </w:tc>
      </w:tr>
      <w:tr w:rsidR="00656320" w:rsidRPr="00CE60B2" w14:paraId="26ABD286" w14:textId="77777777" w:rsidTr="00D934F4">
        <w:trPr>
          <w:cantSplit/>
          <w:trHeight w:val="283"/>
          <w:jc w:val="center"/>
        </w:trPr>
        <w:tc>
          <w:tcPr>
            <w:tcW w:w="1510" w:type="dxa"/>
            <w:vAlign w:val="center"/>
          </w:tcPr>
          <w:p w14:paraId="26ABD283" w14:textId="77777777" w:rsidR="00656320"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2009 – 10</w:t>
            </w:r>
          </w:p>
        </w:tc>
        <w:tc>
          <w:tcPr>
            <w:tcW w:w="1585" w:type="dxa"/>
            <w:vAlign w:val="center"/>
          </w:tcPr>
          <w:p w14:paraId="26ABD284"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2,000</w:t>
            </w:r>
          </w:p>
        </w:tc>
        <w:tc>
          <w:tcPr>
            <w:tcW w:w="1559" w:type="dxa"/>
            <w:vAlign w:val="center"/>
          </w:tcPr>
          <w:p w14:paraId="26ABD285"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2,112</w:t>
            </w:r>
          </w:p>
        </w:tc>
      </w:tr>
      <w:tr w:rsidR="00656320" w:rsidRPr="00CE60B2" w14:paraId="26ABD28A" w14:textId="77777777" w:rsidTr="00D934F4">
        <w:trPr>
          <w:cantSplit/>
          <w:trHeight w:val="283"/>
          <w:jc w:val="center"/>
        </w:trPr>
        <w:tc>
          <w:tcPr>
            <w:tcW w:w="1510" w:type="dxa"/>
            <w:vAlign w:val="center"/>
          </w:tcPr>
          <w:p w14:paraId="26ABD287"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2010 - 11</w:t>
            </w:r>
          </w:p>
        </w:tc>
        <w:tc>
          <w:tcPr>
            <w:tcW w:w="1585" w:type="dxa"/>
            <w:vAlign w:val="center"/>
          </w:tcPr>
          <w:p w14:paraId="26ABD288"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600</w:t>
            </w:r>
          </w:p>
        </w:tc>
        <w:tc>
          <w:tcPr>
            <w:tcW w:w="1559" w:type="dxa"/>
            <w:vAlign w:val="center"/>
          </w:tcPr>
          <w:p w14:paraId="26ABD289"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636</w:t>
            </w:r>
          </w:p>
        </w:tc>
      </w:tr>
      <w:tr w:rsidR="00656320" w:rsidRPr="00CE60B2" w14:paraId="26ABD28E" w14:textId="77777777" w:rsidTr="00D934F4">
        <w:trPr>
          <w:cantSplit/>
          <w:trHeight w:val="283"/>
          <w:jc w:val="center"/>
        </w:trPr>
        <w:tc>
          <w:tcPr>
            <w:tcW w:w="1510" w:type="dxa"/>
            <w:vAlign w:val="center"/>
          </w:tcPr>
          <w:p w14:paraId="26ABD28B"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2011 – 12</w:t>
            </w:r>
          </w:p>
        </w:tc>
        <w:tc>
          <w:tcPr>
            <w:tcW w:w="1585" w:type="dxa"/>
            <w:vAlign w:val="center"/>
          </w:tcPr>
          <w:p w14:paraId="26ABD28C"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2,000</w:t>
            </w:r>
          </w:p>
        </w:tc>
        <w:tc>
          <w:tcPr>
            <w:tcW w:w="1559" w:type="dxa"/>
            <w:vAlign w:val="center"/>
          </w:tcPr>
          <w:p w14:paraId="26ABD28D"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2,252</w:t>
            </w:r>
          </w:p>
        </w:tc>
      </w:tr>
      <w:tr w:rsidR="00656320" w:rsidRPr="00CE60B2" w14:paraId="26ABD292" w14:textId="77777777" w:rsidTr="00D934F4">
        <w:trPr>
          <w:cantSplit/>
          <w:trHeight w:val="283"/>
          <w:jc w:val="center"/>
        </w:trPr>
        <w:tc>
          <w:tcPr>
            <w:tcW w:w="1510" w:type="dxa"/>
            <w:vAlign w:val="center"/>
          </w:tcPr>
          <w:p w14:paraId="26ABD28F"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2012 – 13</w:t>
            </w:r>
          </w:p>
        </w:tc>
        <w:tc>
          <w:tcPr>
            <w:tcW w:w="1585" w:type="dxa"/>
            <w:vAlign w:val="center"/>
          </w:tcPr>
          <w:p w14:paraId="26ABD290"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2,500</w:t>
            </w:r>
          </w:p>
        </w:tc>
        <w:tc>
          <w:tcPr>
            <w:tcW w:w="1559" w:type="dxa"/>
            <w:vAlign w:val="center"/>
          </w:tcPr>
          <w:p w14:paraId="26ABD291"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2,083</w:t>
            </w:r>
          </w:p>
        </w:tc>
      </w:tr>
      <w:tr w:rsidR="00656320" w:rsidRPr="00CE60B2" w14:paraId="26ABD296" w14:textId="77777777" w:rsidTr="00D934F4">
        <w:trPr>
          <w:cantSplit/>
          <w:trHeight w:val="283"/>
          <w:jc w:val="center"/>
        </w:trPr>
        <w:tc>
          <w:tcPr>
            <w:tcW w:w="1510" w:type="dxa"/>
            <w:vAlign w:val="center"/>
          </w:tcPr>
          <w:p w14:paraId="26ABD293"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2013 – 14</w:t>
            </w:r>
          </w:p>
        </w:tc>
        <w:tc>
          <w:tcPr>
            <w:tcW w:w="1585" w:type="dxa"/>
            <w:vAlign w:val="center"/>
          </w:tcPr>
          <w:p w14:paraId="26ABD294"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2,000</w:t>
            </w:r>
          </w:p>
        </w:tc>
        <w:tc>
          <w:tcPr>
            <w:tcW w:w="1559" w:type="dxa"/>
            <w:vAlign w:val="center"/>
          </w:tcPr>
          <w:p w14:paraId="26ABD295"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2,002</w:t>
            </w:r>
          </w:p>
        </w:tc>
      </w:tr>
      <w:tr w:rsidR="00656320" w:rsidRPr="00CE60B2" w14:paraId="26ABD29A" w14:textId="77777777" w:rsidTr="00D934F4">
        <w:trPr>
          <w:cantSplit/>
          <w:trHeight w:val="283"/>
          <w:jc w:val="center"/>
        </w:trPr>
        <w:tc>
          <w:tcPr>
            <w:tcW w:w="1510" w:type="dxa"/>
            <w:vAlign w:val="center"/>
          </w:tcPr>
          <w:p w14:paraId="26ABD297"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2014 – 15</w:t>
            </w:r>
          </w:p>
        </w:tc>
        <w:tc>
          <w:tcPr>
            <w:tcW w:w="1585" w:type="dxa"/>
            <w:vAlign w:val="center"/>
          </w:tcPr>
          <w:p w14:paraId="26ABD298"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2,000</w:t>
            </w:r>
          </w:p>
        </w:tc>
        <w:tc>
          <w:tcPr>
            <w:tcW w:w="1559" w:type="dxa"/>
            <w:vAlign w:val="center"/>
          </w:tcPr>
          <w:p w14:paraId="26ABD299"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2,133</w:t>
            </w:r>
          </w:p>
        </w:tc>
      </w:tr>
      <w:tr w:rsidR="00656320" w:rsidRPr="00CE60B2" w14:paraId="26ABD29E" w14:textId="77777777" w:rsidTr="00D934F4">
        <w:trPr>
          <w:cantSplit/>
          <w:trHeight w:val="283"/>
          <w:jc w:val="center"/>
        </w:trPr>
        <w:tc>
          <w:tcPr>
            <w:tcW w:w="1510" w:type="dxa"/>
            <w:vAlign w:val="center"/>
          </w:tcPr>
          <w:p w14:paraId="26ABD29B"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2015 – 16</w:t>
            </w:r>
          </w:p>
        </w:tc>
        <w:tc>
          <w:tcPr>
            <w:tcW w:w="1585" w:type="dxa"/>
            <w:vAlign w:val="center"/>
          </w:tcPr>
          <w:p w14:paraId="26ABD29C"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2,400</w:t>
            </w:r>
          </w:p>
        </w:tc>
        <w:tc>
          <w:tcPr>
            <w:tcW w:w="1559" w:type="dxa"/>
            <w:vAlign w:val="center"/>
          </w:tcPr>
          <w:p w14:paraId="26ABD29D"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2,605</w:t>
            </w:r>
          </w:p>
        </w:tc>
      </w:tr>
      <w:tr w:rsidR="00656320" w:rsidRPr="00CE60B2" w14:paraId="26ABD2A2" w14:textId="77777777" w:rsidTr="00D934F4">
        <w:trPr>
          <w:cantSplit/>
          <w:trHeight w:val="283"/>
          <w:jc w:val="center"/>
        </w:trPr>
        <w:tc>
          <w:tcPr>
            <w:tcW w:w="1510" w:type="dxa"/>
            <w:vAlign w:val="center"/>
          </w:tcPr>
          <w:p w14:paraId="26ABD29F" w14:textId="77777777" w:rsidR="00656320" w:rsidRPr="00CE60B2" w:rsidRDefault="00656320" w:rsidP="00C423D1">
            <w:pPr>
              <w:pStyle w:val="TableText0"/>
              <w:spacing w:before="0" w:after="0"/>
              <w:jc w:val="center"/>
              <w:rPr>
                <w:rFonts w:ascii="Segoe UI" w:hAnsi="Segoe UI" w:cs="Segoe UI"/>
                <w:sz w:val="16"/>
                <w:szCs w:val="16"/>
              </w:rPr>
            </w:pPr>
            <w:r>
              <w:rPr>
                <w:rFonts w:ascii="Segoe UI" w:hAnsi="Segoe UI" w:cs="Segoe UI"/>
                <w:sz w:val="16"/>
                <w:szCs w:val="16"/>
              </w:rPr>
              <w:t>2016 - 17</w:t>
            </w:r>
          </w:p>
        </w:tc>
        <w:tc>
          <w:tcPr>
            <w:tcW w:w="1585" w:type="dxa"/>
            <w:vAlign w:val="center"/>
          </w:tcPr>
          <w:p w14:paraId="26ABD2A0"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2,400</w:t>
            </w:r>
          </w:p>
        </w:tc>
        <w:tc>
          <w:tcPr>
            <w:tcW w:w="1559" w:type="dxa"/>
            <w:vAlign w:val="center"/>
          </w:tcPr>
          <w:p w14:paraId="26ABD2A1" w14:textId="77777777" w:rsidR="00656320" w:rsidRPr="00CE60B2"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2,378</w:t>
            </w:r>
          </w:p>
        </w:tc>
      </w:tr>
      <w:tr w:rsidR="00443A6F" w:rsidRPr="00CE60B2" w14:paraId="26ABD2A6" w14:textId="77777777" w:rsidTr="00D934F4">
        <w:trPr>
          <w:cantSplit/>
          <w:trHeight w:val="283"/>
          <w:jc w:val="center"/>
        </w:trPr>
        <w:tc>
          <w:tcPr>
            <w:tcW w:w="1510" w:type="dxa"/>
            <w:vAlign w:val="center"/>
          </w:tcPr>
          <w:p w14:paraId="26ABD2A3" w14:textId="77777777" w:rsidR="00443A6F"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2017 - 18</w:t>
            </w:r>
          </w:p>
        </w:tc>
        <w:tc>
          <w:tcPr>
            <w:tcW w:w="1585" w:type="dxa"/>
            <w:vAlign w:val="center"/>
          </w:tcPr>
          <w:p w14:paraId="26ABD2A4" w14:textId="77777777" w:rsidR="00443A6F"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n.r.</w:t>
            </w:r>
          </w:p>
        </w:tc>
        <w:tc>
          <w:tcPr>
            <w:tcW w:w="1559" w:type="dxa"/>
            <w:vAlign w:val="center"/>
          </w:tcPr>
          <w:p w14:paraId="26ABD2A5" w14:textId="77777777" w:rsidR="00443A6F" w:rsidRDefault="00443A6F" w:rsidP="00C423D1">
            <w:pPr>
              <w:pStyle w:val="TableText0"/>
              <w:spacing w:before="0" w:after="0"/>
              <w:jc w:val="center"/>
              <w:rPr>
                <w:rFonts w:ascii="Segoe UI" w:hAnsi="Segoe UI" w:cs="Segoe UI"/>
                <w:sz w:val="16"/>
                <w:szCs w:val="16"/>
              </w:rPr>
            </w:pPr>
            <w:r>
              <w:rPr>
                <w:rFonts w:ascii="Segoe UI" w:hAnsi="Segoe UI" w:cs="Segoe UI"/>
                <w:sz w:val="16"/>
                <w:szCs w:val="16"/>
              </w:rPr>
              <w:t>1,768</w:t>
            </w:r>
          </w:p>
        </w:tc>
      </w:tr>
    </w:tbl>
    <w:bookmarkEnd w:id="133"/>
    <w:p w14:paraId="26ABD2A7" w14:textId="77777777" w:rsidR="00593FBE" w:rsidRDefault="00593FBE" w:rsidP="001B2208">
      <w:pPr>
        <w:spacing w:after="0"/>
        <w:ind w:left="1843"/>
        <w:rPr>
          <w:rFonts w:cs="Segoe UI"/>
          <w:sz w:val="16"/>
          <w:szCs w:val="16"/>
        </w:rPr>
      </w:pPr>
      <w:r w:rsidRPr="00D934F4">
        <w:rPr>
          <w:rFonts w:cs="Segoe UI"/>
          <w:sz w:val="16"/>
          <w:szCs w:val="16"/>
        </w:rPr>
        <w:t>Note: Target area refers to 2nd and 3rd rotation areas planted with softwood species</w:t>
      </w:r>
      <w:r w:rsidR="00EE4255" w:rsidRPr="00D934F4">
        <w:rPr>
          <w:rFonts w:cs="Segoe UI"/>
          <w:sz w:val="16"/>
          <w:szCs w:val="16"/>
        </w:rPr>
        <w:t>.</w:t>
      </w:r>
    </w:p>
    <w:p w14:paraId="26ABD2A8" w14:textId="77777777" w:rsidR="00443A6F" w:rsidRPr="00D934F4" w:rsidRDefault="00443A6F" w:rsidP="001B2208">
      <w:pPr>
        <w:spacing w:before="0"/>
        <w:ind w:left="1843"/>
        <w:rPr>
          <w:rFonts w:cs="Segoe UI"/>
          <w:sz w:val="16"/>
          <w:szCs w:val="16"/>
        </w:rPr>
      </w:pPr>
      <w:r>
        <w:rPr>
          <w:rFonts w:cs="Segoe UI"/>
          <w:sz w:val="16"/>
          <w:szCs w:val="16"/>
        </w:rPr>
        <w:t>n.r. not reported</w:t>
      </w:r>
    </w:p>
    <w:p w14:paraId="26ABD2A9" w14:textId="77777777" w:rsidR="00DB510B" w:rsidRPr="00CE60B2" w:rsidRDefault="00DB510B" w:rsidP="008A4979">
      <w:pPr>
        <w:pStyle w:val="Heading3"/>
        <w:rPr>
          <w:lang w:eastAsia="en-AU"/>
        </w:rPr>
      </w:pPr>
      <w:bookmarkStart w:id="134" w:name="_Toc2776055"/>
      <w:r w:rsidRPr="00CE60B2">
        <w:rPr>
          <w:lang w:eastAsia="en-AU"/>
        </w:rPr>
        <w:t>Indicator 6.1a</w:t>
      </w:r>
      <w:r w:rsidRPr="00CE60B2">
        <w:rPr>
          <w:lang w:eastAsia="en-AU"/>
        </w:rPr>
        <w:tab/>
        <w:t>Value and volume of wood and wood products</w:t>
      </w:r>
      <w:bookmarkEnd w:id="129"/>
      <w:bookmarkEnd w:id="134"/>
    </w:p>
    <w:p w14:paraId="26ABD2AA" w14:textId="77777777" w:rsidR="00FD610E" w:rsidRPr="00CE60B2" w:rsidRDefault="00FD610E" w:rsidP="00FD610E">
      <w:pPr>
        <w:rPr>
          <w:rFonts w:cs="Segoe UI"/>
          <w:lang w:eastAsia="ja-JP"/>
        </w:rPr>
      </w:pPr>
      <w:r w:rsidRPr="00CE60B2">
        <w:rPr>
          <w:rFonts w:cs="Segoe UI"/>
          <w:lang w:eastAsia="ja-JP"/>
        </w:rPr>
        <w:t>This indicator presents information on the value and volume of wood and wood products that are directly generated by the forest and wood products industries and enables socio</w:t>
      </w:r>
      <w:r w:rsidR="00634768">
        <w:rPr>
          <w:rFonts w:cs="Segoe UI"/>
          <w:lang w:eastAsia="ja-JP"/>
        </w:rPr>
        <w:noBreakHyphen/>
      </w:r>
      <w:r w:rsidRPr="00CE60B2">
        <w:rPr>
          <w:rFonts w:cs="Segoe UI"/>
          <w:lang w:eastAsia="ja-JP"/>
        </w:rPr>
        <w:t>economic benefits to be monitored by ascertaining trends in value and volume of wood production.</w:t>
      </w:r>
    </w:p>
    <w:p w14:paraId="26ABD2AB" w14:textId="77777777" w:rsidR="00FD610E" w:rsidRPr="00CE60B2" w:rsidRDefault="00FD610E" w:rsidP="008A4979">
      <w:pPr>
        <w:pStyle w:val="Heading4"/>
        <w:rPr>
          <w:rFonts w:cs="Segoe UI"/>
        </w:rPr>
      </w:pPr>
      <w:r w:rsidRPr="00CE60B2">
        <w:rPr>
          <w:rFonts w:cs="Segoe UI"/>
        </w:rPr>
        <w:t>State Summary</w:t>
      </w:r>
    </w:p>
    <w:p w14:paraId="26ABD2AC" w14:textId="77777777" w:rsidR="00E40B48" w:rsidRDefault="00E40B48" w:rsidP="00E40B48">
      <w:pPr>
        <w:rPr>
          <w:rFonts w:cs="Segoe UI"/>
        </w:rPr>
      </w:pPr>
      <w:r w:rsidRPr="00CE60B2">
        <w:rPr>
          <w:rFonts w:cs="Segoe UI"/>
        </w:rPr>
        <w:t xml:space="preserve">A detailed study of the socio-economic impacts of the forestry industry (Schirmer </w:t>
      </w:r>
      <w:r w:rsidRPr="00CE60B2">
        <w:rPr>
          <w:rFonts w:cs="Segoe UI"/>
          <w:i/>
        </w:rPr>
        <w:t>et al.</w:t>
      </w:r>
      <w:r w:rsidRPr="00CE60B2">
        <w:rPr>
          <w:rFonts w:cs="Segoe UI"/>
        </w:rPr>
        <w:t xml:space="preserve"> 2017) found that in 2015</w:t>
      </w:r>
      <w:r w:rsidR="00F26DBE">
        <w:rPr>
          <w:rFonts w:cs="Segoe UI"/>
        </w:rPr>
        <w:noBreakHyphen/>
      </w:r>
      <w:r w:rsidRPr="00CE60B2">
        <w:rPr>
          <w:rFonts w:cs="Segoe UI"/>
        </w:rPr>
        <w:t xml:space="preserve">16, the direct value of output generated by the WA forestry industry at </w:t>
      </w:r>
      <w:r w:rsidRPr="00CE60B2">
        <w:rPr>
          <w:rFonts w:cs="Segoe UI"/>
        </w:rPr>
        <w:lastRenderedPageBreak/>
        <w:t>the point of sale of primary processed products was $649</w:t>
      </w:r>
      <w:r w:rsidR="002A5937">
        <w:rPr>
          <w:rFonts w:cs="Segoe UI"/>
        </w:rPr>
        <w:t> </w:t>
      </w:r>
      <w:r w:rsidRPr="00CE60B2">
        <w:rPr>
          <w:rFonts w:cs="Segoe UI"/>
        </w:rPr>
        <w:t>million, increasing to $1,405</w:t>
      </w:r>
      <w:r w:rsidR="00634768">
        <w:rPr>
          <w:rFonts w:cs="Segoe UI"/>
        </w:rPr>
        <w:t> </w:t>
      </w:r>
      <w:r w:rsidRPr="00CE60B2">
        <w:rPr>
          <w:rFonts w:cs="Segoe UI"/>
        </w:rPr>
        <w:t>million when flow-on effects generated in other industries is included. The study covered the South West, Wheatbelt, Great Southern and Esperance regions and does not specifically address the WA</w:t>
      </w:r>
      <w:r w:rsidR="002A5937">
        <w:rPr>
          <w:rFonts w:cs="Segoe UI"/>
        </w:rPr>
        <w:t> </w:t>
      </w:r>
      <w:r w:rsidRPr="00CE60B2">
        <w:rPr>
          <w:rFonts w:cs="Segoe UI"/>
        </w:rPr>
        <w:t>RFA region, though the native forests and the much of the softwood plantations are located within this area.</w:t>
      </w:r>
    </w:p>
    <w:p w14:paraId="26ABD2AD" w14:textId="77777777" w:rsidR="006912BD" w:rsidRDefault="009C7113" w:rsidP="00E40B48">
      <w:pPr>
        <w:rPr>
          <w:rFonts w:cs="Segoe UI"/>
        </w:rPr>
      </w:pPr>
      <w:r>
        <w:rPr>
          <w:rFonts w:cs="Segoe UI"/>
        </w:rPr>
        <w:t>Both the volume and value of hardwood logs sourced from native forests in WA has declined over the last decade and now stabilised, while the softwood (pine) volume and value have remained relatively constant (Tables 27 and 28). The volume of plantation hardwood removals (mostly bluegums managed on short rotations for export as woodchips) has increased in recent years to be almost nine times the volume of native forest production. The majority of the bluegum plantations are located outside the WA RFA region.</w:t>
      </w:r>
    </w:p>
    <w:p w14:paraId="26ABD2AE" w14:textId="77777777" w:rsidR="004414DF" w:rsidRDefault="004414DF" w:rsidP="004414DF">
      <w:pPr>
        <w:rPr>
          <w:rFonts w:cs="Segoe UI"/>
        </w:rPr>
      </w:pPr>
      <w:r>
        <w:rPr>
          <w:rFonts w:cs="Segoe UI"/>
        </w:rPr>
        <w:t xml:space="preserve">The volume of saw log wood products extracted is anticipated to remain relatively constant into the future. The volume of other bole volume is expected to increase, as higher value markets are found for this material. Removal of other bole volume will enhance regeneration and provide forest health </w:t>
      </w:r>
      <w:r w:rsidR="002D56EB">
        <w:rPr>
          <w:rFonts w:cs="Segoe UI"/>
        </w:rPr>
        <w:t>benefits</w:t>
      </w:r>
      <w:r>
        <w:rPr>
          <w:rFonts w:cs="Segoe UI"/>
        </w:rPr>
        <w:t xml:space="preserve">. Greater removal of other bole volume is a key recommendation of the draft </w:t>
      </w:r>
      <w:r w:rsidR="00F26DBE">
        <w:rPr>
          <w:rFonts w:cs="Segoe UI"/>
        </w:rPr>
        <w:t>FMP 2014</w:t>
      </w:r>
      <w:r w:rsidR="00F26DBE">
        <w:rPr>
          <w:rFonts w:cs="Segoe UI"/>
        </w:rPr>
        <w:noBreakHyphen/>
      </w:r>
      <w:r w:rsidR="000D7979">
        <w:rPr>
          <w:rFonts w:cs="Segoe UI"/>
        </w:rPr>
        <w:t>2023</w:t>
      </w:r>
      <w:r w:rsidR="00F26DBE">
        <w:rPr>
          <w:rFonts w:cs="Segoe UI"/>
        </w:rPr>
        <w:t xml:space="preserve"> mid</w:t>
      </w:r>
      <w:r w:rsidR="00F26DBE">
        <w:rPr>
          <w:rFonts w:cs="Segoe UI"/>
        </w:rPr>
        <w:noBreakHyphen/>
      </w:r>
      <w:r>
        <w:rPr>
          <w:rFonts w:cs="Segoe UI"/>
        </w:rPr>
        <w:t>term review.</w:t>
      </w:r>
    </w:p>
    <w:p w14:paraId="26ABD2B0" w14:textId="77777777" w:rsidR="00E40B48" w:rsidRPr="00CE60B2" w:rsidRDefault="00E40B48" w:rsidP="00B11CAC">
      <w:pPr>
        <w:pStyle w:val="Heading4"/>
        <w:keepNext/>
        <w:keepLines/>
        <w:rPr>
          <w:rFonts w:cs="Segoe UI"/>
          <w:lang w:eastAsia="ja-JP"/>
        </w:rPr>
      </w:pPr>
      <w:r w:rsidRPr="00CE60B2">
        <w:rPr>
          <w:rFonts w:cs="Segoe UI"/>
          <w:lang w:eastAsia="ja-JP"/>
        </w:rPr>
        <w:t>Log volume</w:t>
      </w:r>
    </w:p>
    <w:p w14:paraId="26ABD2B1" w14:textId="5C702E16" w:rsidR="005C2908" w:rsidRDefault="005C2908" w:rsidP="00B11CAC">
      <w:pPr>
        <w:pStyle w:val="Caption"/>
        <w:keepNext/>
        <w:keepLines/>
      </w:pPr>
      <w:bookmarkStart w:id="135" w:name="_Toc531002188"/>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27</w:t>
      </w:r>
      <w:r w:rsidR="005C10D4">
        <w:rPr>
          <w:noProof/>
        </w:rPr>
        <w:fldChar w:fldCharType="end"/>
      </w:r>
      <w:r>
        <w:t xml:space="preserve">: </w:t>
      </w:r>
      <w:r w:rsidRPr="00DE6D8E">
        <w:t>Volume of logs harvested in Western Australia (‘000m3) (Australian forest and wood products statistics: September and December quarters 2017)</w:t>
      </w:r>
      <w:bookmarkEnd w:id="135"/>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704"/>
        <w:gridCol w:w="704"/>
        <w:gridCol w:w="704"/>
        <w:gridCol w:w="704"/>
        <w:gridCol w:w="704"/>
        <w:gridCol w:w="704"/>
        <w:gridCol w:w="704"/>
        <w:gridCol w:w="704"/>
        <w:gridCol w:w="704"/>
        <w:gridCol w:w="704"/>
        <w:gridCol w:w="704"/>
      </w:tblGrid>
      <w:tr w:rsidR="00E40B48" w:rsidRPr="00CE60B2" w14:paraId="26ABD2BE" w14:textId="77777777" w:rsidTr="008A4C96">
        <w:trPr>
          <w:trHeight w:val="225"/>
        </w:trPr>
        <w:tc>
          <w:tcPr>
            <w:tcW w:w="0" w:type="auto"/>
            <w:shd w:val="clear" w:color="auto" w:fill="DFEFE1" w:themeFill="accent3" w:themeFillTint="66"/>
            <w:noWrap/>
            <w:vAlign w:val="bottom"/>
          </w:tcPr>
          <w:p w14:paraId="26ABD2B2" w14:textId="77777777" w:rsidR="00E40B48" w:rsidRPr="00CE60B2" w:rsidRDefault="00E40B48" w:rsidP="00C423D1">
            <w:pPr>
              <w:rPr>
                <w:rFonts w:cs="Segoe UI"/>
                <w:b/>
                <w:color w:val="000000"/>
                <w:sz w:val="16"/>
                <w:szCs w:val="16"/>
              </w:rPr>
            </w:pPr>
            <w:r w:rsidRPr="00CE60B2">
              <w:rPr>
                <w:rFonts w:cs="Segoe UI"/>
                <w:b/>
                <w:color w:val="000000"/>
                <w:sz w:val="16"/>
                <w:szCs w:val="16"/>
              </w:rPr>
              <w:t>Forest type</w:t>
            </w:r>
          </w:p>
        </w:tc>
        <w:tc>
          <w:tcPr>
            <w:tcW w:w="0" w:type="auto"/>
            <w:shd w:val="clear" w:color="auto" w:fill="DFEFE1" w:themeFill="accent3" w:themeFillTint="66"/>
            <w:noWrap/>
            <w:vAlign w:val="bottom"/>
          </w:tcPr>
          <w:p w14:paraId="26ABD2B3" w14:textId="77777777" w:rsidR="00E40B48" w:rsidRPr="00CE60B2" w:rsidRDefault="00E40B48" w:rsidP="00C423D1">
            <w:pPr>
              <w:rPr>
                <w:rFonts w:cs="Segoe UI"/>
                <w:b/>
                <w:color w:val="000000"/>
                <w:sz w:val="16"/>
                <w:szCs w:val="16"/>
              </w:rPr>
            </w:pPr>
            <w:r w:rsidRPr="00CE60B2">
              <w:rPr>
                <w:rFonts w:cs="Segoe UI"/>
                <w:b/>
                <w:color w:val="000000"/>
                <w:sz w:val="16"/>
                <w:szCs w:val="16"/>
              </w:rPr>
              <w:t>2006–07</w:t>
            </w:r>
          </w:p>
        </w:tc>
        <w:tc>
          <w:tcPr>
            <w:tcW w:w="0" w:type="auto"/>
            <w:shd w:val="clear" w:color="auto" w:fill="DFEFE1" w:themeFill="accent3" w:themeFillTint="66"/>
            <w:noWrap/>
            <w:vAlign w:val="bottom"/>
          </w:tcPr>
          <w:p w14:paraId="26ABD2B4" w14:textId="77777777" w:rsidR="00E40B48" w:rsidRPr="00CE60B2" w:rsidRDefault="00E40B48" w:rsidP="00C423D1">
            <w:pPr>
              <w:rPr>
                <w:rFonts w:cs="Segoe UI"/>
                <w:b/>
                <w:color w:val="000000"/>
                <w:sz w:val="16"/>
                <w:szCs w:val="16"/>
              </w:rPr>
            </w:pPr>
            <w:r w:rsidRPr="00CE60B2">
              <w:rPr>
                <w:rFonts w:cs="Segoe UI"/>
                <w:b/>
                <w:color w:val="000000"/>
                <w:sz w:val="16"/>
                <w:szCs w:val="16"/>
              </w:rPr>
              <w:t>2007–08</w:t>
            </w:r>
          </w:p>
        </w:tc>
        <w:tc>
          <w:tcPr>
            <w:tcW w:w="0" w:type="auto"/>
            <w:shd w:val="clear" w:color="auto" w:fill="DFEFE1" w:themeFill="accent3" w:themeFillTint="66"/>
            <w:noWrap/>
            <w:vAlign w:val="bottom"/>
          </w:tcPr>
          <w:p w14:paraId="26ABD2B5" w14:textId="77777777" w:rsidR="00E40B48" w:rsidRPr="00CE60B2" w:rsidRDefault="00E40B48" w:rsidP="00C423D1">
            <w:pPr>
              <w:rPr>
                <w:rFonts w:cs="Segoe UI"/>
                <w:b/>
                <w:color w:val="000000"/>
                <w:sz w:val="16"/>
                <w:szCs w:val="16"/>
              </w:rPr>
            </w:pPr>
            <w:r w:rsidRPr="00CE60B2">
              <w:rPr>
                <w:rFonts w:cs="Segoe UI"/>
                <w:b/>
                <w:color w:val="000000"/>
                <w:sz w:val="16"/>
                <w:szCs w:val="16"/>
              </w:rPr>
              <w:t>2008–09</w:t>
            </w:r>
          </w:p>
        </w:tc>
        <w:tc>
          <w:tcPr>
            <w:tcW w:w="0" w:type="auto"/>
            <w:shd w:val="clear" w:color="auto" w:fill="DFEFE1" w:themeFill="accent3" w:themeFillTint="66"/>
            <w:noWrap/>
            <w:vAlign w:val="bottom"/>
          </w:tcPr>
          <w:p w14:paraId="26ABD2B6" w14:textId="77777777" w:rsidR="00E40B48" w:rsidRPr="00CE60B2" w:rsidRDefault="00E40B48" w:rsidP="00C423D1">
            <w:pPr>
              <w:rPr>
                <w:rFonts w:cs="Segoe UI"/>
                <w:b/>
                <w:color w:val="000000"/>
                <w:sz w:val="16"/>
                <w:szCs w:val="16"/>
              </w:rPr>
            </w:pPr>
            <w:r w:rsidRPr="00CE60B2">
              <w:rPr>
                <w:rFonts w:cs="Segoe UI"/>
                <w:b/>
                <w:color w:val="000000"/>
                <w:sz w:val="16"/>
                <w:szCs w:val="16"/>
              </w:rPr>
              <w:t>2009–10</w:t>
            </w:r>
          </w:p>
        </w:tc>
        <w:tc>
          <w:tcPr>
            <w:tcW w:w="0" w:type="auto"/>
            <w:shd w:val="clear" w:color="auto" w:fill="DFEFE1" w:themeFill="accent3" w:themeFillTint="66"/>
            <w:noWrap/>
            <w:vAlign w:val="bottom"/>
          </w:tcPr>
          <w:p w14:paraId="26ABD2B7" w14:textId="77777777" w:rsidR="00E40B48" w:rsidRPr="00CE60B2" w:rsidRDefault="00E40B48" w:rsidP="00C423D1">
            <w:pPr>
              <w:rPr>
                <w:rFonts w:cs="Segoe UI"/>
                <w:b/>
                <w:color w:val="000000"/>
                <w:sz w:val="16"/>
                <w:szCs w:val="16"/>
              </w:rPr>
            </w:pPr>
            <w:r w:rsidRPr="00CE60B2">
              <w:rPr>
                <w:rFonts w:cs="Segoe UI"/>
                <w:b/>
                <w:color w:val="000000"/>
                <w:sz w:val="16"/>
                <w:szCs w:val="16"/>
              </w:rPr>
              <w:t>2010–11</w:t>
            </w:r>
          </w:p>
        </w:tc>
        <w:tc>
          <w:tcPr>
            <w:tcW w:w="0" w:type="auto"/>
            <w:shd w:val="clear" w:color="auto" w:fill="DFEFE1" w:themeFill="accent3" w:themeFillTint="66"/>
            <w:noWrap/>
            <w:vAlign w:val="bottom"/>
          </w:tcPr>
          <w:p w14:paraId="26ABD2B8" w14:textId="77777777" w:rsidR="00E40B48" w:rsidRPr="00CE60B2" w:rsidRDefault="00E40B48" w:rsidP="00C423D1">
            <w:pPr>
              <w:rPr>
                <w:rFonts w:cs="Segoe UI"/>
                <w:b/>
                <w:color w:val="000000"/>
                <w:sz w:val="16"/>
                <w:szCs w:val="16"/>
              </w:rPr>
            </w:pPr>
            <w:r w:rsidRPr="00CE60B2">
              <w:rPr>
                <w:rFonts w:cs="Segoe UI"/>
                <w:b/>
                <w:color w:val="000000"/>
                <w:sz w:val="16"/>
                <w:szCs w:val="16"/>
              </w:rPr>
              <w:t>2011–12</w:t>
            </w:r>
          </w:p>
        </w:tc>
        <w:tc>
          <w:tcPr>
            <w:tcW w:w="0" w:type="auto"/>
            <w:shd w:val="clear" w:color="auto" w:fill="DFEFE1" w:themeFill="accent3" w:themeFillTint="66"/>
            <w:noWrap/>
            <w:vAlign w:val="bottom"/>
          </w:tcPr>
          <w:p w14:paraId="26ABD2B9" w14:textId="77777777" w:rsidR="00E40B48" w:rsidRPr="00CE60B2" w:rsidRDefault="00E40B48" w:rsidP="00C423D1">
            <w:pPr>
              <w:rPr>
                <w:rFonts w:cs="Segoe UI"/>
                <w:b/>
                <w:color w:val="000000"/>
                <w:sz w:val="16"/>
                <w:szCs w:val="16"/>
              </w:rPr>
            </w:pPr>
            <w:r w:rsidRPr="00CE60B2">
              <w:rPr>
                <w:rFonts w:cs="Segoe UI"/>
                <w:b/>
                <w:color w:val="000000"/>
                <w:sz w:val="16"/>
                <w:szCs w:val="16"/>
              </w:rPr>
              <w:t>2012–13</w:t>
            </w:r>
          </w:p>
        </w:tc>
        <w:tc>
          <w:tcPr>
            <w:tcW w:w="0" w:type="auto"/>
            <w:shd w:val="clear" w:color="auto" w:fill="DFEFE1" w:themeFill="accent3" w:themeFillTint="66"/>
            <w:noWrap/>
            <w:vAlign w:val="bottom"/>
          </w:tcPr>
          <w:p w14:paraId="26ABD2BA" w14:textId="77777777" w:rsidR="00E40B48" w:rsidRPr="00CE60B2" w:rsidRDefault="00E40B48" w:rsidP="00C423D1">
            <w:pPr>
              <w:rPr>
                <w:rFonts w:cs="Segoe UI"/>
                <w:b/>
                <w:color w:val="000000"/>
                <w:sz w:val="16"/>
                <w:szCs w:val="16"/>
              </w:rPr>
            </w:pPr>
            <w:r w:rsidRPr="00CE60B2">
              <w:rPr>
                <w:rFonts w:cs="Segoe UI"/>
                <w:b/>
                <w:color w:val="000000"/>
                <w:sz w:val="16"/>
                <w:szCs w:val="16"/>
              </w:rPr>
              <w:t>2013–14</w:t>
            </w:r>
          </w:p>
        </w:tc>
        <w:tc>
          <w:tcPr>
            <w:tcW w:w="0" w:type="auto"/>
            <w:shd w:val="clear" w:color="auto" w:fill="DFEFE1" w:themeFill="accent3" w:themeFillTint="66"/>
            <w:noWrap/>
            <w:vAlign w:val="bottom"/>
          </w:tcPr>
          <w:p w14:paraId="26ABD2BB" w14:textId="77777777" w:rsidR="00E40B48" w:rsidRPr="00CE60B2" w:rsidRDefault="00E40B48" w:rsidP="00C423D1">
            <w:pPr>
              <w:rPr>
                <w:rFonts w:cs="Segoe UI"/>
                <w:b/>
                <w:color w:val="000000"/>
                <w:sz w:val="16"/>
                <w:szCs w:val="16"/>
              </w:rPr>
            </w:pPr>
            <w:r w:rsidRPr="00CE60B2">
              <w:rPr>
                <w:rFonts w:cs="Segoe UI"/>
                <w:b/>
                <w:color w:val="000000"/>
                <w:sz w:val="16"/>
                <w:szCs w:val="16"/>
              </w:rPr>
              <w:t>2014–15</w:t>
            </w:r>
          </w:p>
        </w:tc>
        <w:tc>
          <w:tcPr>
            <w:tcW w:w="0" w:type="auto"/>
            <w:shd w:val="clear" w:color="auto" w:fill="DFEFE1" w:themeFill="accent3" w:themeFillTint="66"/>
            <w:noWrap/>
            <w:vAlign w:val="bottom"/>
          </w:tcPr>
          <w:p w14:paraId="26ABD2BC" w14:textId="77777777" w:rsidR="00E40B48" w:rsidRPr="00CE60B2" w:rsidRDefault="00E40B48" w:rsidP="00C423D1">
            <w:pPr>
              <w:rPr>
                <w:rFonts w:cs="Segoe UI"/>
                <w:b/>
                <w:color w:val="000000"/>
                <w:sz w:val="16"/>
                <w:szCs w:val="16"/>
              </w:rPr>
            </w:pPr>
            <w:r w:rsidRPr="00CE60B2">
              <w:rPr>
                <w:rFonts w:cs="Segoe UI"/>
                <w:b/>
                <w:color w:val="000000"/>
                <w:sz w:val="16"/>
                <w:szCs w:val="16"/>
              </w:rPr>
              <w:t>2015–16</w:t>
            </w:r>
          </w:p>
        </w:tc>
        <w:tc>
          <w:tcPr>
            <w:tcW w:w="0" w:type="auto"/>
            <w:shd w:val="clear" w:color="auto" w:fill="DFEFE1" w:themeFill="accent3" w:themeFillTint="66"/>
            <w:noWrap/>
            <w:vAlign w:val="bottom"/>
          </w:tcPr>
          <w:p w14:paraId="26ABD2BD" w14:textId="77777777" w:rsidR="00E40B48" w:rsidRPr="00CE60B2" w:rsidRDefault="00E40B48" w:rsidP="00C423D1">
            <w:pPr>
              <w:rPr>
                <w:rFonts w:cs="Segoe UI"/>
                <w:b/>
                <w:color w:val="000000"/>
                <w:sz w:val="16"/>
                <w:szCs w:val="16"/>
              </w:rPr>
            </w:pPr>
            <w:r w:rsidRPr="00CE60B2">
              <w:rPr>
                <w:rFonts w:cs="Segoe UI"/>
                <w:b/>
                <w:color w:val="000000"/>
                <w:sz w:val="16"/>
                <w:szCs w:val="16"/>
              </w:rPr>
              <w:t>2016–17</w:t>
            </w:r>
          </w:p>
        </w:tc>
      </w:tr>
      <w:tr w:rsidR="00E40B48" w:rsidRPr="00CE60B2" w14:paraId="26ABD2CB" w14:textId="77777777" w:rsidTr="00C423D1">
        <w:trPr>
          <w:trHeight w:val="225"/>
        </w:trPr>
        <w:tc>
          <w:tcPr>
            <w:tcW w:w="0" w:type="auto"/>
            <w:shd w:val="clear" w:color="auto" w:fill="auto"/>
            <w:noWrap/>
            <w:vAlign w:val="bottom"/>
            <w:hideMark/>
          </w:tcPr>
          <w:p w14:paraId="26ABD2BF" w14:textId="77777777" w:rsidR="00E40B48" w:rsidRPr="00CE60B2" w:rsidRDefault="00E40B48" w:rsidP="00C423D1">
            <w:pPr>
              <w:rPr>
                <w:rFonts w:cs="Segoe UI"/>
                <w:b/>
                <w:color w:val="000000"/>
                <w:sz w:val="16"/>
                <w:szCs w:val="16"/>
              </w:rPr>
            </w:pPr>
            <w:r w:rsidRPr="00CE60B2">
              <w:rPr>
                <w:rFonts w:cs="Segoe UI"/>
                <w:b/>
                <w:color w:val="000000"/>
                <w:sz w:val="16"/>
                <w:szCs w:val="16"/>
              </w:rPr>
              <w:t>Hardwood native</w:t>
            </w:r>
          </w:p>
        </w:tc>
        <w:tc>
          <w:tcPr>
            <w:tcW w:w="0" w:type="auto"/>
            <w:shd w:val="clear" w:color="auto" w:fill="auto"/>
            <w:noWrap/>
            <w:vAlign w:val="bottom"/>
            <w:hideMark/>
          </w:tcPr>
          <w:p w14:paraId="26ABD2C0" w14:textId="77777777" w:rsidR="00E40B48" w:rsidRPr="00CE60B2" w:rsidRDefault="00E40B48" w:rsidP="00C423D1">
            <w:pPr>
              <w:rPr>
                <w:rFonts w:cs="Segoe UI"/>
                <w:color w:val="000000"/>
                <w:sz w:val="16"/>
                <w:szCs w:val="16"/>
              </w:rPr>
            </w:pPr>
            <w:r w:rsidRPr="00CE60B2">
              <w:rPr>
                <w:rFonts w:cs="Segoe UI"/>
                <w:color w:val="000000"/>
                <w:sz w:val="16"/>
                <w:szCs w:val="16"/>
              </w:rPr>
              <w:t>528</w:t>
            </w:r>
          </w:p>
        </w:tc>
        <w:tc>
          <w:tcPr>
            <w:tcW w:w="0" w:type="auto"/>
            <w:shd w:val="clear" w:color="auto" w:fill="auto"/>
            <w:noWrap/>
            <w:vAlign w:val="bottom"/>
            <w:hideMark/>
          </w:tcPr>
          <w:p w14:paraId="26ABD2C1" w14:textId="77777777" w:rsidR="00E40B48" w:rsidRPr="00CE60B2" w:rsidRDefault="00E40B48" w:rsidP="00C423D1">
            <w:pPr>
              <w:rPr>
                <w:rFonts w:cs="Segoe UI"/>
                <w:color w:val="000000"/>
                <w:sz w:val="16"/>
                <w:szCs w:val="16"/>
              </w:rPr>
            </w:pPr>
            <w:r w:rsidRPr="00CE60B2">
              <w:rPr>
                <w:rFonts w:cs="Segoe UI"/>
                <w:color w:val="000000"/>
                <w:sz w:val="16"/>
                <w:szCs w:val="16"/>
              </w:rPr>
              <w:t>545</w:t>
            </w:r>
          </w:p>
        </w:tc>
        <w:tc>
          <w:tcPr>
            <w:tcW w:w="0" w:type="auto"/>
            <w:shd w:val="clear" w:color="auto" w:fill="auto"/>
            <w:noWrap/>
            <w:vAlign w:val="bottom"/>
            <w:hideMark/>
          </w:tcPr>
          <w:p w14:paraId="26ABD2C2" w14:textId="77777777" w:rsidR="00E40B48" w:rsidRPr="00CE60B2" w:rsidRDefault="00E40B48" w:rsidP="00C423D1">
            <w:pPr>
              <w:rPr>
                <w:rFonts w:cs="Segoe UI"/>
                <w:color w:val="000000"/>
                <w:sz w:val="16"/>
                <w:szCs w:val="16"/>
              </w:rPr>
            </w:pPr>
            <w:r w:rsidRPr="00CE60B2">
              <w:rPr>
                <w:rFonts w:cs="Segoe UI"/>
                <w:color w:val="000000"/>
                <w:sz w:val="16"/>
                <w:szCs w:val="16"/>
              </w:rPr>
              <w:t>495</w:t>
            </w:r>
          </w:p>
        </w:tc>
        <w:tc>
          <w:tcPr>
            <w:tcW w:w="0" w:type="auto"/>
            <w:shd w:val="clear" w:color="auto" w:fill="auto"/>
            <w:noWrap/>
            <w:vAlign w:val="bottom"/>
            <w:hideMark/>
          </w:tcPr>
          <w:p w14:paraId="26ABD2C3" w14:textId="77777777" w:rsidR="00E40B48" w:rsidRPr="00CE60B2" w:rsidRDefault="00E40B48" w:rsidP="00C423D1">
            <w:pPr>
              <w:rPr>
                <w:rFonts w:cs="Segoe UI"/>
                <w:color w:val="000000"/>
                <w:sz w:val="16"/>
                <w:szCs w:val="16"/>
              </w:rPr>
            </w:pPr>
            <w:r w:rsidRPr="00CE60B2">
              <w:rPr>
                <w:rFonts w:cs="Segoe UI"/>
                <w:color w:val="000000"/>
                <w:sz w:val="16"/>
                <w:szCs w:val="16"/>
              </w:rPr>
              <w:t>437</w:t>
            </w:r>
          </w:p>
        </w:tc>
        <w:tc>
          <w:tcPr>
            <w:tcW w:w="0" w:type="auto"/>
            <w:shd w:val="clear" w:color="auto" w:fill="auto"/>
            <w:noWrap/>
            <w:vAlign w:val="bottom"/>
            <w:hideMark/>
          </w:tcPr>
          <w:p w14:paraId="26ABD2C4" w14:textId="77777777" w:rsidR="00E40B48" w:rsidRPr="00CE60B2" w:rsidRDefault="00E40B48" w:rsidP="00C423D1">
            <w:pPr>
              <w:rPr>
                <w:rFonts w:cs="Segoe UI"/>
                <w:color w:val="000000"/>
                <w:sz w:val="16"/>
                <w:szCs w:val="16"/>
              </w:rPr>
            </w:pPr>
            <w:r w:rsidRPr="00CE60B2">
              <w:rPr>
                <w:rFonts w:cs="Segoe UI"/>
                <w:color w:val="000000"/>
                <w:sz w:val="16"/>
                <w:szCs w:val="16"/>
              </w:rPr>
              <w:t>468</w:t>
            </w:r>
          </w:p>
        </w:tc>
        <w:tc>
          <w:tcPr>
            <w:tcW w:w="0" w:type="auto"/>
            <w:shd w:val="clear" w:color="auto" w:fill="auto"/>
            <w:noWrap/>
            <w:vAlign w:val="bottom"/>
            <w:hideMark/>
          </w:tcPr>
          <w:p w14:paraId="26ABD2C5" w14:textId="77777777" w:rsidR="00E40B48" w:rsidRPr="00CE60B2" w:rsidRDefault="00E40B48" w:rsidP="00C423D1">
            <w:pPr>
              <w:rPr>
                <w:rFonts w:cs="Segoe UI"/>
                <w:color w:val="000000"/>
                <w:sz w:val="16"/>
                <w:szCs w:val="16"/>
              </w:rPr>
            </w:pPr>
            <w:r w:rsidRPr="00CE60B2">
              <w:rPr>
                <w:rFonts w:cs="Segoe UI"/>
                <w:color w:val="000000"/>
                <w:sz w:val="16"/>
                <w:szCs w:val="16"/>
              </w:rPr>
              <w:t>499</w:t>
            </w:r>
          </w:p>
        </w:tc>
        <w:tc>
          <w:tcPr>
            <w:tcW w:w="0" w:type="auto"/>
            <w:shd w:val="clear" w:color="auto" w:fill="auto"/>
            <w:noWrap/>
            <w:vAlign w:val="bottom"/>
            <w:hideMark/>
          </w:tcPr>
          <w:p w14:paraId="26ABD2C6" w14:textId="77777777" w:rsidR="00E40B48" w:rsidRPr="00CE60B2" w:rsidRDefault="00E40B48" w:rsidP="00C423D1">
            <w:pPr>
              <w:rPr>
                <w:rFonts w:cs="Segoe UI"/>
                <w:color w:val="000000"/>
                <w:sz w:val="16"/>
                <w:szCs w:val="16"/>
              </w:rPr>
            </w:pPr>
            <w:r w:rsidRPr="00CE60B2">
              <w:rPr>
                <w:rFonts w:cs="Segoe UI"/>
                <w:color w:val="000000"/>
                <w:sz w:val="16"/>
                <w:szCs w:val="16"/>
              </w:rPr>
              <w:t>451</w:t>
            </w:r>
          </w:p>
        </w:tc>
        <w:tc>
          <w:tcPr>
            <w:tcW w:w="0" w:type="auto"/>
            <w:shd w:val="clear" w:color="auto" w:fill="auto"/>
            <w:noWrap/>
            <w:vAlign w:val="bottom"/>
            <w:hideMark/>
          </w:tcPr>
          <w:p w14:paraId="26ABD2C7" w14:textId="77777777" w:rsidR="00E40B48" w:rsidRPr="00CE60B2" w:rsidRDefault="00E40B48" w:rsidP="00C423D1">
            <w:pPr>
              <w:rPr>
                <w:rFonts w:cs="Segoe UI"/>
                <w:color w:val="000000"/>
                <w:sz w:val="16"/>
                <w:szCs w:val="16"/>
              </w:rPr>
            </w:pPr>
            <w:r w:rsidRPr="00CE60B2">
              <w:rPr>
                <w:rFonts w:cs="Segoe UI"/>
                <w:color w:val="000000"/>
                <w:sz w:val="16"/>
                <w:szCs w:val="16"/>
              </w:rPr>
              <w:t>343</w:t>
            </w:r>
          </w:p>
        </w:tc>
        <w:tc>
          <w:tcPr>
            <w:tcW w:w="0" w:type="auto"/>
            <w:shd w:val="clear" w:color="auto" w:fill="auto"/>
            <w:noWrap/>
            <w:vAlign w:val="bottom"/>
            <w:hideMark/>
          </w:tcPr>
          <w:p w14:paraId="26ABD2C8" w14:textId="77777777" w:rsidR="00E40B48" w:rsidRPr="00CE60B2" w:rsidRDefault="00E40B48" w:rsidP="00C423D1">
            <w:pPr>
              <w:rPr>
                <w:rFonts w:cs="Segoe UI"/>
                <w:color w:val="000000"/>
                <w:sz w:val="16"/>
                <w:szCs w:val="16"/>
              </w:rPr>
            </w:pPr>
            <w:r w:rsidRPr="00CE60B2">
              <w:rPr>
                <w:rFonts w:cs="Segoe UI"/>
                <w:color w:val="000000"/>
                <w:sz w:val="16"/>
                <w:szCs w:val="16"/>
              </w:rPr>
              <w:t>331</w:t>
            </w:r>
          </w:p>
        </w:tc>
        <w:tc>
          <w:tcPr>
            <w:tcW w:w="0" w:type="auto"/>
            <w:shd w:val="clear" w:color="auto" w:fill="auto"/>
            <w:noWrap/>
            <w:vAlign w:val="bottom"/>
            <w:hideMark/>
          </w:tcPr>
          <w:p w14:paraId="26ABD2C9" w14:textId="77777777" w:rsidR="00E40B48" w:rsidRPr="00CE60B2" w:rsidRDefault="00E40B48" w:rsidP="00C423D1">
            <w:pPr>
              <w:rPr>
                <w:rFonts w:cs="Segoe UI"/>
                <w:color w:val="000000"/>
                <w:sz w:val="16"/>
                <w:szCs w:val="16"/>
              </w:rPr>
            </w:pPr>
            <w:r w:rsidRPr="00CE60B2">
              <w:rPr>
                <w:rFonts w:cs="Segoe UI"/>
                <w:color w:val="000000"/>
                <w:sz w:val="16"/>
                <w:szCs w:val="16"/>
              </w:rPr>
              <w:t>355</w:t>
            </w:r>
          </w:p>
        </w:tc>
        <w:tc>
          <w:tcPr>
            <w:tcW w:w="0" w:type="auto"/>
            <w:shd w:val="clear" w:color="auto" w:fill="auto"/>
            <w:noWrap/>
            <w:vAlign w:val="bottom"/>
            <w:hideMark/>
          </w:tcPr>
          <w:p w14:paraId="26ABD2CA" w14:textId="77777777" w:rsidR="00E40B48" w:rsidRPr="00CE60B2" w:rsidRDefault="00E40B48" w:rsidP="00C423D1">
            <w:pPr>
              <w:rPr>
                <w:rFonts w:cs="Segoe UI"/>
                <w:color w:val="000000"/>
                <w:sz w:val="16"/>
                <w:szCs w:val="16"/>
              </w:rPr>
            </w:pPr>
            <w:r w:rsidRPr="00CE60B2">
              <w:rPr>
                <w:rFonts w:cs="Segoe UI"/>
                <w:color w:val="000000"/>
                <w:sz w:val="16"/>
                <w:szCs w:val="16"/>
              </w:rPr>
              <w:t>395</w:t>
            </w:r>
          </w:p>
        </w:tc>
      </w:tr>
      <w:tr w:rsidR="00E40B48" w:rsidRPr="00CE60B2" w14:paraId="26ABD2D8" w14:textId="77777777" w:rsidTr="00C423D1">
        <w:trPr>
          <w:trHeight w:val="225"/>
        </w:trPr>
        <w:tc>
          <w:tcPr>
            <w:tcW w:w="0" w:type="auto"/>
            <w:shd w:val="clear" w:color="auto" w:fill="auto"/>
            <w:noWrap/>
            <w:vAlign w:val="bottom"/>
            <w:hideMark/>
          </w:tcPr>
          <w:p w14:paraId="26ABD2CC" w14:textId="77777777" w:rsidR="00E40B48" w:rsidRPr="00CE60B2" w:rsidRDefault="00E40B48" w:rsidP="00C423D1">
            <w:pPr>
              <w:rPr>
                <w:rFonts w:cs="Segoe UI"/>
                <w:b/>
                <w:color w:val="000000"/>
                <w:sz w:val="16"/>
                <w:szCs w:val="16"/>
              </w:rPr>
            </w:pPr>
            <w:r w:rsidRPr="00CE60B2">
              <w:rPr>
                <w:rFonts w:cs="Segoe UI"/>
                <w:b/>
                <w:color w:val="000000"/>
                <w:sz w:val="16"/>
                <w:szCs w:val="16"/>
              </w:rPr>
              <w:t>Hardwood plantation</w:t>
            </w:r>
          </w:p>
        </w:tc>
        <w:tc>
          <w:tcPr>
            <w:tcW w:w="0" w:type="auto"/>
            <w:shd w:val="clear" w:color="auto" w:fill="auto"/>
            <w:noWrap/>
            <w:vAlign w:val="bottom"/>
            <w:hideMark/>
          </w:tcPr>
          <w:p w14:paraId="26ABD2CD" w14:textId="77777777" w:rsidR="00E40B48" w:rsidRPr="00CE60B2" w:rsidRDefault="00E40B48" w:rsidP="00C423D1">
            <w:pPr>
              <w:rPr>
                <w:rFonts w:cs="Segoe UI"/>
                <w:color w:val="000000"/>
                <w:sz w:val="16"/>
                <w:szCs w:val="16"/>
              </w:rPr>
            </w:pPr>
            <w:r w:rsidRPr="00CE60B2">
              <w:rPr>
                <w:rFonts w:cs="Segoe UI"/>
                <w:color w:val="000000"/>
                <w:sz w:val="16"/>
                <w:szCs w:val="16"/>
              </w:rPr>
              <w:t>2,498</w:t>
            </w:r>
          </w:p>
        </w:tc>
        <w:tc>
          <w:tcPr>
            <w:tcW w:w="0" w:type="auto"/>
            <w:shd w:val="clear" w:color="auto" w:fill="auto"/>
            <w:noWrap/>
            <w:vAlign w:val="bottom"/>
            <w:hideMark/>
          </w:tcPr>
          <w:p w14:paraId="26ABD2CE" w14:textId="77777777" w:rsidR="00E40B48" w:rsidRPr="00CE60B2" w:rsidRDefault="00E40B48" w:rsidP="00C423D1">
            <w:pPr>
              <w:rPr>
                <w:rFonts w:cs="Segoe UI"/>
                <w:color w:val="000000"/>
                <w:sz w:val="16"/>
                <w:szCs w:val="16"/>
              </w:rPr>
            </w:pPr>
            <w:r w:rsidRPr="00CE60B2">
              <w:rPr>
                <w:rFonts w:cs="Segoe UI"/>
                <w:color w:val="000000"/>
                <w:sz w:val="16"/>
                <w:szCs w:val="16"/>
              </w:rPr>
              <w:t>2,255</w:t>
            </w:r>
          </w:p>
        </w:tc>
        <w:tc>
          <w:tcPr>
            <w:tcW w:w="0" w:type="auto"/>
            <w:shd w:val="clear" w:color="auto" w:fill="auto"/>
            <w:noWrap/>
            <w:vAlign w:val="bottom"/>
            <w:hideMark/>
          </w:tcPr>
          <w:p w14:paraId="26ABD2CF" w14:textId="77777777" w:rsidR="00E40B48" w:rsidRPr="00CE60B2" w:rsidRDefault="00E40B48" w:rsidP="00C423D1">
            <w:pPr>
              <w:rPr>
                <w:rFonts w:cs="Segoe UI"/>
                <w:color w:val="000000"/>
                <w:sz w:val="16"/>
                <w:szCs w:val="16"/>
              </w:rPr>
            </w:pPr>
            <w:r w:rsidRPr="00CE60B2">
              <w:rPr>
                <w:rFonts w:cs="Segoe UI"/>
                <w:color w:val="000000"/>
                <w:sz w:val="16"/>
                <w:szCs w:val="16"/>
              </w:rPr>
              <w:t>2,590</w:t>
            </w:r>
          </w:p>
        </w:tc>
        <w:tc>
          <w:tcPr>
            <w:tcW w:w="0" w:type="auto"/>
            <w:shd w:val="clear" w:color="auto" w:fill="auto"/>
            <w:noWrap/>
            <w:vAlign w:val="bottom"/>
            <w:hideMark/>
          </w:tcPr>
          <w:p w14:paraId="26ABD2D0" w14:textId="77777777" w:rsidR="00E40B48" w:rsidRPr="00CE60B2" w:rsidRDefault="00E40B48" w:rsidP="00C423D1">
            <w:pPr>
              <w:rPr>
                <w:rFonts w:cs="Segoe UI"/>
                <w:color w:val="000000"/>
                <w:sz w:val="16"/>
                <w:szCs w:val="16"/>
              </w:rPr>
            </w:pPr>
            <w:r w:rsidRPr="00CE60B2">
              <w:rPr>
                <w:rFonts w:cs="Segoe UI"/>
                <w:color w:val="000000"/>
                <w:sz w:val="16"/>
                <w:szCs w:val="16"/>
              </w:rPr>
              <w:t>2,639</w:t>
            </w:r>
          </w:p>
        </w:tc>
        <w:tc>
          <w:tcPr>
            <w:tcW w:w="0" w:type="auto"/>
            <w:shd w:val="clear" w:color="auto" w:fill="auto"/>
            <w:noWrap/>
            <w:vAlign w:val="bottom"/>
            <w:hideMark/>
          </w:tcPr>
          <w:p w14:paraId="26ABD2D1" w14:textId="77777777" w:rsidR="00E40B48" w:rsidRPr="00CE60B2" w:rsidRDefault="00E40B48" w:rsidP="00C423D1">
            <w:pPr>
              <w:rPr>
                <w:rFonts w:cs="Segoe UI"/>
                <w:color w:val="000000"/>
                <w:sz w:val="16"/>
                <w:szCs w:val="16"/>
              </w:rPr>
            </w:pPr>
            <w:r w:rsidRPr="00CE60B2">
              <w:rPr>
                <w:rFonts w:cs="Segoe UI"/>
                <w:color w:val="000000"/>
                <w:sz w:val="16"/>
                <w:szCs w:val="16"/>
              </w:rPr>
              <w:t>3,060</w:t>
            </w:r>
          </w:p>
        </w:tc>
        <w:tc>
          <w:tcPr>
            <w:tcW w:w="0" w:type="auto"/>
            <w:shd w:val="clear" w:color="auto" w:fill="auto"/>
            <w:noWrap/>
            <w:vAlign w:val="bottom"/>
            <w:hideMark/>
          </w:tcPr>
          <w:p w14:paraId="26ABD2D2" w14:textId="77777777" w:rsidR="00E40B48" w:rsidRPr="00CE60B2" w:rsidRDefault="00E40B48" w:rsidP="00C423D1">
            <w:pPr>
              <w:rPr>
                <w:rFonts w:cs="Segoe UI"/>
                <w:color w:val="000000"/>
                <w:sz w:val="16"/>
                <w:szCs w:val="16"/>
              </w:rPr>
            </w:pPr>
            <w:r w:rsidRPr="00CE60B2">
              <w:rPr>
                <w:rFonts w:cs="Segoe UI"/>
                <w:color w:val="000000"/>
                <w:sz w:val="16"/>
                <w:szCs w:val="16"/>
              </w:rPr>
              <w:t>2,543</w:t>
            </w:r>
          </w:p>
        </w:tc>
        <w:tc>
          <w:tcPr>
            <w:tcW w:w="0" w:type="auto"/>
            <w:shd w:val="clear" w:color="auto" w:fill="auto"/>
            <w:noWrap/>
            <w:vAlign w:val="bottom"/>
            <w:hideMark/>
          </w:tcPr>
          <w:p w14:paraId="26ABD2D3" w14:textId="77777777" w:rsidR="00E40B48" w:rsidRPr="00CE60B2" w:rsidRDefault="00E40B48" w:rsidP="00C423D1">
            <w:pPr>
              <w:rPr>
                <w:rFonts w:cs="Segoe UI"/>
                <w:color w:val="000000"/>
                <w:sz w:val="16"/>
                <w:szCs w:val="16"/>
              </w:rPr>
            </w:pPr>
            <w:r w:rsidRPr="00CE60B2">
              <w:rPr>
                <w:rFonts w:cs="Segoe UI"/>
                <w:color w:val="000000"/>
                <w:sz w:val="16"/>
                <w:szCs w:val="16"/>
              </w:rPr>
              <w:t>2,772</w:t>
            </w:r>
          </w:p>
        </w:tc>
        <w:tc>
          <w:tcPr>
            <w:tcW w:w="0" w:type="auto"/>
            <w:shd w:val="clear" w:color="auto" w:fill="auto"/>
            <w:noWrap/>
            <w:vAlign w:val="bottom"/>
            <w:hideMark/>
          </w:tcPr>
          <w:p w14:paraId="26ABD2D4" w14:textId="77777777" w:rsidR="00E40B48" w:rsidRPr="00CE60B2" w:rsidRDefault="00E40B48" w:rsidP="00C423D1">
            <w:pPr>
              <w:rPr>
                <w:rFonts w:cs="Segoe UI"/>
                <w:color w:val="000000"/>
                <w:sz w:val="16"/>
                <w:szCs w:val="16"/>
              </w:rPr>
            </w:pPr>
            <w:r w:rsidRPr="00CE60B2">
              <w:rPr>
                <w:rFonts w:cs="Segoe UI"/>
                <w:color w:val="000000"/>
                <w:sz w:val="16"/>
                <w:szCs w:val="16"/>
              </w:rPr>
              <w:t>2,911</w:t>
            </w:r>
          </w:p>
        </w:tc>
        <w:tc>
          <w:tcPr>
            <w:tcW w:w="0" w:type="auto"/>
            <w:shd w:val="clear" w:color="auto" w:fill="auto"/>
            <w:noWrap/>
            <w:vAlign w:val="bottom"/>
            <w:hideMark/>
          </w:tcPr>
          <w:p w14:paraId="26ABD2D5" w14:textId="77777777" w:rsidR="00E40B48" w:rsidRPr="00CE60B2" w:rsidRDefault="00E40B48" w:rsidP="00C423D1">
            <w:pPr>
              <w:rPr>
                <w:rFonts w:cs="Segoe UI"/>
                <w:color w:val="000000"/>
                <w:sz w:val="16"/>
                <w:szCs w:val="16"/>
              </w:rPr>
            </w:pPr>
            <w:r w:rsidRPr="00CE60B2">
              <w:rPr>
                <w:rFonts w:cs="Segoe UI"/>
                <w:color w:val="000000"/>
                <w:sz w:val="16"/>
                <w:szCs w:val="16"/>
              </w:rPr>
              <w:t>3,376</w:t>
            </w:r>
          </w:p>
        </w:tc>
        <w:tc>
          <w:tcPr>
            <w:tcW w:w="0" w:type="auto"/>
            <w:shd w:val="clear" w:color="auto" w:fill="auto"/>
            <w:noWrap/>
            <w:vAlign w:val="bottom"/>
            <w:hideMark/>
          </w:tcPr>
          <w:p w14:paraId="26ABD2D6" w14:textId="77777777" w:rsidR="00E40B48" w:rsidRPr="00CE60B2" w:rsidRDefault="00E40B48" w:rsidP="00C423D1">
            <w:pPr>
              <w:rPr>
                <w:rFonts w:cs="Segoe UI"/>
                <w:color w:val="000000"/>
                <w:sz w:val="16"/>
                <w:szCs w:val="16"/>
              </w:rPr>
            </w:pPr>
            <w:r w:rsidRPr="00CE60B2">
              <w:rPr>
                <w:rFonts w:cs="Segoe UI"/>
                <w:color w:val="000000"/>
                <w:sz w:val="16"/>
                <w:szCs w:val="16"/>
              </w:rPr>
              <w:t>3,700</w:t>
            </w:r>
          </w:p>
        </w:tc>
        <w:tc>
          <w:tcPr>
            <w:tcW w:w="0" w:type="auto"/>
            <w:shd w:val="clear" w:color="auto" w:fill="auto"/>
            <w:noWrap/>
            <w:vAlign w:val="bottom"/>
            <w:hideMark/>
          </w:tcPr>
          <w:p w14:paraId="26ABD2D7" w14:textId="77777777" w:rsidR="00E40B48" w:rsidRPr="00CE60B2" w:rsidRDefault="00E40B48" w:rsidP="00C423D1">
            <w:pPr>
              <w:rPr>
                <w:rFonts w:cs="Segoe UI"/>
                <w:color w:val="000000"/>
                <w:sz w:val="16"/>
                <w:szCs w:val="16"/>
              </w:rPr>
            </w:pPr>
            <w:r w:rsidRPr="00CE60B2">
              <w:rPr>
                <w:rFonts w:cs="Segoe UI"/>
                <w:color w:val="000000"/>
                <w:sz w:val="16"/>
                <w:szCs w:val="16"/>
              </w:rPr>
              <w:t>3,620</w:t>
            </w:r>
          </w:p>
        </w:tc>
      </w:tr>
      <w:tr w:rsidR="00E40B48" w:rsidRPr="00CE60B2" w14:paraId="26ABD2E5" w14:textId="77777777" w:rsidTr="00C423D1">
        <w:trPr>
          <w:trHeight w:val="225"/>
        </w:trPr>
        <w:tc>
          <w:tcPr>
            <w:tcW w:w="0" w:type="auto"/>
            <w:shd w:val="clear" w:color="auto" w:fill="auto"/>
            <w:noWrap/>
            <w:vAlign w:val="bottom"/>
            <w:hideMark/>
          </w:tcPr>
          <w:p w14:paraId="26ABD2D9" w14:textId="77777777" w:rsidR="00E40B48" w:rsidRPr="00CE60B2" w:rsidRDefault="00E40B48" w:rsidP="00C423D1">
            <w:pPr>
              <w:rPr>
                <w:rFonts w:cs="Segoe UI"/>
                <w:b/>
                <w:color w:val="000000"/>
                <w:sz w:val="16"/>
                <w:szCs w:val="16"/>
              </w:rPr>
            </w:pPr>
            <w:r w:rsidRPr="00CE60B2">
              <w:rPr>
                <w:rFonts w:cs="Segoe UI"/>
                <w:b/>
                <w:color w:val="000000"/>
                <w:sz w:val="16"/>
                <w:szCs w:val="16"/>
              </w:rPr>
              <w:t>Softwood</w:t>
            </w:r>
          </w:p>
        </w:tc>
        <w:tc>
          <w:tcPr>
            <w:tcW w:w="0" w:type="auto"/>
            <w:shd w:val="clear" w:color="auto" w:fill="auto"/>
            <w:noWrap/>
            <w:vAlign w:val="bottom"/>
            <w:hideMark/>
          </w:tcPr>
          <w:p w14:paraId="26ABD2DA" w14:textId="77777777" w:rsidR="00E40B48" w:rsidRPr="00CE60B2" w:rsidRDefault="00E40B48" w:rsidP="00C423D1">
            <w:pPr>
              <w:rPr>
                <w:rFonts w:cs="Segoe UI"/>
                <w:color w:val="000000"/>
                <w:sz w:val="16"/>
                <w:szCs w:val="16"/>
              </w:rPr>
            </w:pPr>
            <w:r w:rsidRPr="00CE60B2">
              <w:rPr>
                <w:rFonts w:cs="Segoe UI"/>
                <w:color w:val="000000"/>
                <w:sz w:val="16"/>
                <w:szCs w:val="16"/>
              </w:rPr>
              <w:t>980</w:t>
            </w:r>
          </w:p>
        </w:tc>
        <w:tc>
          <w:tcPr>
            <w:tcW w:w="0" w:type="auto"/>
            <w:shd w:val="clear" w:color="auto" w:fill="auto"/>
            <w:noWrap/>
            <w:vAlign w:val="bottom"/>
            <w:hideMark/>
          </w:tcPr>
          <w:p w14:paraId="26ABD2DB" w14:textId="77777777" w:rsidR="00E40B48" w:rsidRPr="00CE60B2" w:rsidRDefault="00E40B48" w:rsidP="00C423D1">
            <w:pPr>
              <w:rPr>
                <w:rFonts w:cs="Segoe UI"/>
                <w:color w:val="000000"/>
                <w:sz w:val="16"/>
                <w:szCs w:val="16"/>
              </w:rPr>
            </w:pPr>
            <w:r w:rsidRPr="00CE60B2">
              <w:rPr>
                <w:rFonts w:cs="Segoe UI"/>
                <w:color w:val="000000"/>
                <w:sz w:val="16"/>
                <w:szCs w:val="16"/>
              </w:rPr>
              <w:t>997</w:t>
            </w:r>
          </w:p>
        </w:tc>
        <w:tc>
          <w:tcPr>
            <w:tcW w:w="0" w:type="auto"/>
            <w:shd w:val="clear" w:color="auto" w:fill="auto"/>
            <w:noWrap/>
            <w:vAlign w:val="bottom"/>
            <w:hideMark/>
          </w:tcPr>
          <w:p w14:paraId="26ABD2DC" w14:textId="77777777" w:rsidR="00E40B48" w:rsidRPr="00CE60B2" w:rsidRDefault="00E40B48" w:rsidP="00C423D1">
            <w:pPr>
              <w:rPr>
                <w:rFonts w:cs="Segoe UI"/>
                <w:color w:val="000000"/>
                <w:sz w:val="16"/>
                <w:szCs w:val="16"/>
              </w:rPr>
            </w:pPr>
            <w:r w:rsidRPr="00CE60B2">
              <w:rPr>
                <w:rFonts w:cs="Segoe UI"/>
                <w:color w:val="000000"/>
                <w:sz w:val="16"/>
                <w:szCs w:val="16"/>
              </w:rPr>
              <w:t>1,009</w:t>
            </w:r>
          </w:p>
        </w:tc>
        <w:tc>
          <w:tcPr>
            <w:tcW w:w="0" w:type="auto"/>
            <w:shd w:val="clear" w:color="auto" w:fill="auto"/>
            <w:noWrap/>
            <w:vAlign w:val="bottom"/>
            <w:hideMark/>
          </w:tcPr>
          <w:p w14:paraId="26ABD2DD" w14:textId="77777777" w:rsidR="00E40B48" w:rsidRPr="00CE60B2" w:rsidRDefault="00E40B48" w:rsidP="00C423D1">
            <w:pPr>
              <w:rPr>
                <w:rFonts w:cs="Segoe UI"/>
                <w:color w:val="000000"/>
                <w:sz w:val="16"/>
                <w:szCs w:val="16"/>
              </w:rPr>
            </w:pPr>
            <w:r w:rsidRPr="00CE60B2">
              <w:rPr>
                <w:rFonts w:cs="Segoe UI"/>
                <w:color w:val="000000"/>
                <w:sz w:val="16"/>
                <w:szCs w:val="16"/>
              </w:rPr>
              <w:t>901</w:t>
            </w:r>
          </w:p>
        </w:tc>
        <w:tc>
          <w:tcPr>
            <w:tcW w:w="0" w:type="auto"/>
            <w:shd w:val="clear" w:color="auto" w:fill="auto"/>
            <w:noWrap/>
            <w:vAlign w:val="bottom"/>
            <w:hideMark/>
          </w:tcPr>
          <w:p w14:paraId="26ABD2DE" w14:textId="77777777" w:rsidR="00E40B48" w:rsidRPr="00CE60B2" w:rsidRDefault="00E40B48" w:rsidP="00C423D1">
            <w:pPr>
              <w:rPr>
                <w:rFonts w:cs="Segoe UI"/>
                <w:color w:val="000000"/>
                <w:sz w:val="16"/>
                <w:szCs w:val="16"/>
              </w:rPr>
            </w:pPr>
            <w:r w:rsidRPr="00CE60B2">
              <w:rPr>
                <w:rFonts w:cs="Segoe UI"/>
                <w:color w:val="000000"/>
                <w:sz w:val="16"/>
                <w:szCs w:val="16"/>
              </w:rPr>
              <w:t>924</w:t>
            </w:r>
          </w:p>
        </w:tc>
        <w:tc>
          <w:tcPr>
            <w:tcW w:w="0" w:type="auto"/>
            <w:shd w:val="clear" w:color="auto" w:fill="auto"/>
            <w:noWrap/>
            <w:vAlign w:val="bottom"/>
            <w:hideMark/>
          </w:tcPr>
          <w:p w14:paraId="26ABD2DF" w14:textId="77777777" w:rsidR="00E40B48" w:rsidRPr="00CE60B2" w:rsidRDefault="00E40B48" w:rsidP="00C423D1">
            <w:pPr>
              <w:rPr>
                <w:rFonts w:cs="Segoe UI"/>
                <w:color w:val="000000"/>
                <w:sz w:val="16"/>
                <w:szCs w:val="16"/>
              </w:rPr>
            </w:pPr>
            <w:r w:rsidRPr="00CE60B2">
              <w:rPr>
                <w:rFonts w:cs="Segoe UI"/>
                <w:color w:val="000000"/>
                <w:sz w:val="16"/>
                <w:szCs w:val="16"/>
              </w:rPr>
              <w:t>843</w:t>
            </w:r>
          </w:p>
        </w:tc>
        <w:tc>
          <w:tcPr>
            <w:tcW w:w="0" w:type="auto"/>
            <w:shd w:val="clear" w:color="auto" w:fill="auto"/>
            <w:noWrap/>
            <w:vAlign w:val="bottom"/>
            <w:hideMark/>
          </w:tcPr>
          <w:p w14:paraId="26ABD2E0" w14:textId="77777777" w:rsidR="00E40B48" w:rsidRPr="00CE60B2" w:rsidRDefault="00E40B48" w:rsidP="00C423D1">
            <w:pPr>
              <w:rPr>
                <w:rFonts w:cs="Segoe UI"/>
                <w:color w:val="000000"/>
                <w:sz w:val="16"/>
                <w:szCs w:val="16"/>
              </w:rPr>
            </w:pPr>
            <w:r w:rsidRPr="00CE60B2">
              <w:rPr>
                <w:rFonts w:cs="Segoe UI"/>
                <w:color w:val="000000"/>
                <w:sz w:val="16"/>
                <w:szCs w:val="16"/>
              </w:rPr>
              <w:t>801</w:t>
            </w:r>
          </w:p>
        </w:tc>
        <w:tc>
          <w:tcPr>
            <w:tcW w:w="0" w:type="auto"/>
            <w:shd w:val="clear" w:color="auto" w:fill="auto"/>
            <w:noWrap/>
            <w:vAlign w:val="bottom"/>
            <w:hideMark/>
          </w:tcPr>
          <w:p w14:paraId="26ABD2E1" w14:textId="77777777" w:rsidR="00E40B48" w:rsidRPr="00CE60B2" w:rsidRDefault="00E40B48" w:rsidP="00C423D1">
            <w:pPr>
              <w:rPr>
                <w:rFonts w:cs="Segoe UI"/>
                <w:color w:val="000000"/>
                <w:sz w:val="16"/>
                <w:szCs w:val="16"/>
              </w:rPr>
            </w:pPr>
            <w:r w:rsidRPr="00CE60B2">
              <w:rPr>
                <w:rFonts w:cs="Segoe UI"/>
                <w:color w:val="000000"/>
                <w:sz w:val="16"/>
                <w:szCs w:val="16"/>
              </w:rPr>
              <w:t>856</w:t>
            </w:r>
          </w:p>
        </w:tc>
        <w:tc>
          <w:tcPr>
            <w:tcW w:w="0" w:type="auto"/>
            <w:shd w:val="clear" w:color="auto" w:fill="auto"/>
            <w:noWrap/>
            <w:vAlign w:val="bottom"/>
            <w:hideMark/>
          </w:tcPr>
          <w:p w14:paraId="26ABD2E2" w14:textId="77777777" w:rsidR="00E40B48" w:rsidRPr="00CE60B2" w:rsidRDefault="00E40B48" w:rsidP="00C423D1">
            <w:pPr>
              <w:rPr>
                <w:rFonts w:cs="Segoe UI"/>
                <w:color w:val="000000"/>
                <w:sz w:val="16"/>
                <w:szCs w:val="16"/>
              </w:rPr>
            </w:pPr>
            <w:r w:rsidRPr="00CE60B2">
              <w:rPr>
                <w:rFonts w:cs="Segoe UI"/>
                <w:color w:val="000000"/>
                <w:sz w:val="16"/>
                <w:szCs w:val="16"/>
              </w:rPr>
              <w:t>969</w:t>
            </w:r>
          </w:p>
        </w:tc>
        <w:tc>
          <w:tcPr>
            <w:tcW w:w="0" w:type="auto"/>
            <w:shd w:val="clear" w:color="auto" w:fill="auto"/>
            <w:noWrap/>
            <w:vAlign w:val="bottom"/>
            <w:hideMark/>
          </w:tcPr>
          <w:p w14:paraId="26ABD2E3" w14:textId="77777777" w:rsidR="00E40B48" w:rsidRPr="00CE60B2" w:rsidRDefault="00E40B48" w:rsidP="00C423D1">
            <w:pPr>
              <w:rPr>
                <w:rFonts w:cs="Segoe UI"/>
                <w:color w:val="000000"/>
                <w:sz w:val="16"/>
                <w:szCs w:val="16"/>
              </w:rPr>
            </w:pPr>
            <w:r w:rsidRPr="00CE60B2">
              <w:rPr>
                <w:rFonts w:cs="Segoe UI"/>
                <w:color w:val="000000"/>
                <w:sz w:val="16"/>
                <w:szCs w:val="16"/>
              </w:rPr>
              <w:t>912</w:t>
            </w:r>
          </w:p>
        </w:tc>
        <w:tc>
          <w:tcPr>
            <w:tcW w:w="0" w:type="auto"/>
            <w:shd w:val="clear" w:color="auto" w:fill="auto"/>
            <w:noWrap/>
            <w:vAlign w:val="bottom"/>
            <w:hideMark/>
          </w:tcPr>
          <w:p w14:paraId="26ABD2E4" w14:textId="77777777" w:rsidR="00E40B48" w:rsidRPr="00CE60B2" w:rsidRDefault="00E40B48" w:rsidP="00C423D1">
            <w:pPr>
              <w:rPr>
                <w:rFonts w:cs="Segoe UI"/>
                <w:color w:val="000000"/>
                <w:sz w:val="16"/>
                <w:szCs w:val="16"/>
              </w:rPr>
            </w:pPr>
            <w:r w:rsidRPr="00CE60B2">
              <w:rPr>
                <w:rFonts w:cs="Segoe UI"/>
                <w:color w:val="000000"/>
                <w:sz w:val="16"/>
                <w:szCs w:val="16"/>
              </w:rPr>
              <w:t>930</w:t>
            </w:r>
          </w:p>
        </w:tc>
      </w:tr>
      <w:tr w:rsidR="00E40B48" w:rsidRPr="00CE60B2" w14:paraId="26ABD2F2" w14:textId="77777777" w:rsidTr="00C423D1">
        <w:trPr>
          <w:trHeight w:val="225"/>
        </w:trPr>
        <w:tc>
          <w:tcPr>
            <w:tcW w:w="0" w:type="auto"/>
            <w:shd w:val="clear" w:color="auto" w:fill="auto"/>
            <w:noWrap/>
            <w:vAlign w:val="bottom"/>
            <w:hideMark/>
          </w:tcPr>
          <w:p w14:paraId="26ABD2E6" w14:textId="77777777" w:rsidR="00E40B48" w:rsidRPr="00CE60B2" w:rsidRDefault="00E40B48" w:rsidP="00C423D1">
            <w:pPr>
              <w:rPr>
                <w:rFonts w:cs="Segoe UI"/>
                <w:b/>
                <w:color w:val="000000"/>
                <w:sz w:val="16"/>
                <w:szCs w:val="16"/>
              </w:rPr>
            </w:pPr>
            <w:r w:rsidRPr="00CE60B2">
              <w:rPr>
                <w:rFonts w:cs="Segoe UI"/>
                <w:b/>
                <w:color w:val="000000"/>
                <w:sz w:val="16"/>
                <w:szCs w:val="16"/>
              </w:rPr>
              <w:t>Total</w:t>
            </w:r>
          </w:p>
        </w:tc>
        <w:tc>
          <w:tcPr>
            <w:tcW w:w="0" w:type="auto"/>
            <w:shd w:val="clear" w:color="auto" w:fill="auto"/>
            <w:noWrap/>
            <w:vAlign w:val="bottom"/>
            <w:hideMark/>
          </w:tcPr>
          <w:p w14:paraId="26ABD2E7" w14:textId="77777777" w:rsidR="00E40B48" w:rsidRPr="00CE60B2" w:rsidRDefault="00E40B48" w:rsidP="00C423D1">
            <w:pPr>
              <w:rPr>
                <w:rFonts w:cs="Segoe UI"/>
                <w:color w:val="000000"/>
                <w:sz w:val="16"/>
                <w:szCs w:val="16"/>
              </w:rPr>
            </w:pPr>
            <w:r w:rsidRPr="00CE60B2">
              <w:rPr>
                <w:rFonts w:cs="Segoe UI"/>
                <w:color w:val="000000"/>
                <w:sz w:val="16"/>
                <w:szCs w:val="16"/>
              </w:rPr>
              <w:t>4,007</w:t>
            </w:r>
          </w:p>
        </w:tc>
        <w:tc>
          <w:tcPr>
            <w:tcW w:w="0" w:type="auto"/>
            <w:shd w:val="clear" w:color="auto" w:fill="auto"/>
            <w:noWrap/>
            <w:vAlign w:val="bottom"/>
            <w:hideMark/>
          </w:tcPr>
          <w:p w14:paraId="26ABD2E8" w14:textId="77777777" w:rsidR="00E40B48" w:rsidRPr="00CE60B2" w:rsidRDefault="00E40B48" w:rsidP="00C423D1">
            <w:pPr>
              <w:rPr>
                <w:rFonts w:cs="Segoe UI"/>
                <w:color w:val="000000"/>
                <w:sz w:val="16"/>
                <w:szCs w:val="16"/>
              </w:rPr>
            </w:pPr>
            <w:r w:rsidRPr="00CE60B2">
              <w:rPr>
                <w:rFonts w:cs="Segoe UI"/>
                <w:color w:val="000000"/>
                <w:sz w:val="16"/>
                <w:szCs w:val="16"/>
              </w:rPr>
              <w:t>3,796</w:t>
            </w:r>
          </w:p>
        </w:tc>
        <w:tc>
          <w:tcPr>
            <w:tcW w:w="0" w:type="auto"/>
            <w:shd w:val="clear" w:color="auto" w:fill="auto"/>
            <w:noWrap/>
            <w:vAlign w:val="bottom"/>
            <w:hideMark/>
          </w:tcPr>
          <w:p w14:paraId="26ABD2E9" w14:textId="77777777" w:rsidR="00E40B48" w:rsidRPr="00CE60B2" w:rsidRDefault="00E40B48" w:rsidP="00C423D1">
            <w:pPr>
              <w:rPr>
                <w:rFonts w:cs="Segoe UI"/>
                <w:color w:val="000000"/>
                <w:sz w:val="16"/>
                <w:szCs w:val="16"/>
              </w:rPr>
            </w:pPr>
            <w:r w:rsidRPr="00CE60B2">
              <w:rPr>
                <w:rFonts w:cs="Segoe UI"/>
                <w:color w:val="000000"/>
                <w:sz w:val="16"/>
                <w:szCs w:val="16"/>
              </w:rPr>
              <w:t>4,093</w:t>
            </w:r>
          </w:p>
        </w:tc>
        <w:tc>
          <w:tcPr>
            <w:tcW w:w="0" w:type="auto"/>
            <w:shd w:val="clear" w:color="auto" w:fill="auto"/>
            <w:noWrap/>
            <w:vAlign w:val="bottom"/>
            <w:hideMark/>
          </w:tcPr>
          <w:p w14:paraId="26ABD2EA" w14:textId="77777777" w:rsidR="00E40B48" w:rsidRPr="00CE60B2" w:rsidRDefault="00E40B48" w:rsidP="00C423D1">
            <w:pPr>
              <w:rPr>
                <w:rFonts w:cs="Segoe UI"/>
                <w:color w:val="000000"/>
                <w:sz w:val="16"/>
                <w:szCs w:val="16"/>
              </w:rPr>
            </w:pPr>
            <w:r w:rsidRPr="00CE60B2">
              <w:rPr>
                <w:rFonts w:cs="Segoe UI"/>
                <w:color w:val="000000"/>
                <w:sz w:val="16"/>
                <w:szCs w:val="16"/>
              </w:rPr>
              <w:t>3,977</w:t>
            </w:r>
          </w:p>
        </w:tc>
        <w:tc>
          <w:tcPr>
            <w:tcW w:w="0" w:type="auto"/>
            <w:shd w:val="clear" w:color="auto" w:fill="auto"/>
            <w:noWrap/>
            <w:vAlign w:val="bottom"/>
            <w:hideMark/>
          </w:tcPr>
          <w:p w14:paraId="26ABD2EB" w14:textId="77777777" w:rsidR="00E40B48" w:rsidRPr="00CE60B2" w:rsidRDefault="00E40B48" w:rsidP="00C423D1">
            <w:pPr>
              <w:rPr>
                <w:rFonts w:cs="Segoe UI"/>
                <w:color w:val="000000"/>
                <w:sz w:val="16"/>
                <w:szCs w:val="16"/>
              </w:rPr>
            </w:pPr>
            <w:r w:rsidRPr="00CE60B2">
              <w:rPr>
                <w:rFonts w:cs="Segoe UI"/>
                <w:color w:val="000000"/>
                <w:sz w:val="16"/>
                <w:szCs w:val="16"/>
              </w:rPr>
              <w:t>4,452</w:t>
            </w:r>
          </w:p>
        </w:tc>
        <w:tc>
          <w:tcPr>
            <w:tcW w:w="0" w:type="auto"/>
            <w:shd w:val="clear" w:color="auto" w:fill="auto"/>
            <w:noWrap/>
            <w:vAlign w:val="bottom"/>
            <w:hideMark/>
          </w:tcPr>
          <w:p w14:paraId="26ABD2EC" w14:textId="77777777" w:rsidR="00E40B48" w:rsidRPr="00CE60B2" w:rsidRDefault="00E40B48" w:rsidP="00C423D1">
            <w:pPr>
              <w:rPr>
                <w:rFonts w:cs="Segoe UI"/>
                <w:color w:val="000000"/>
                <w:sz w:val="16"/>
                <w:szCs w:val="16"/>
              </w:rPr>
            </w:pPr>
            <w:r w:rsidRPr="00CE60B2">
              <w:rPr>
                <w:rFonts w:cs="Segoe UI"/>
                <w:color w:val="000000"/>
                <w:sz w:val="16"/>
                <w:szCs w:val="16"/>
              </w:rPr>
              <w:t>3,885</w:t>
            </w:r>
          </w:p>
        </w:tc>
        <w:tc>
          <w:tcPr>
            <w:tcW w:w="0" w:type="auto"/>
            <w:shd w:val="clear" w:color="auto" w:fill="auto"/>
            <w:noWrap/>
            <w:vAlign w:val="bottom"/>
            <w:hideMark/>
          </w:tcPr>
          <w:p w14:paraId="26ABD2ED" w14:textId="77777777" w:rsidR="00E40B48" w:rsidRPr="00CE60B2" w:rsidRDefault="00E40B48" w:rsidP="00C423D1">
            <w:pPr>
              <w:rPr>
                <w:rFonts w:cs="Segoe UI"/>
                <w:color w:val="000000"/>
                <w:sz w:val="16"/>
                <w:szCs w:val="16"/>
              </w:rPr>
            </w:pPr>
            <w:r w:rsidRPr="00CE60B2">
              <w:rPr>
                <w:rFonts w:cs="Segoe UI"/>
                <w:color w:val="000000"/>
                <w:sz w:val="16"/>
                <w:szCs w:val="16"/>
              </w:rPr>
              <w:t>4,024</w:t>
            </w:r>
          </w:p>
        </w:tc>
        <w:tc>
          <w:tcPr>
            <w:tcW w:w="0" w:type="auto"/>
            <w:shd w:val="clear" w:color="auto" w:fill="auto"/>
            <w:noWrap/>
            <w:vAlign w:val="bottom"/>
            <w:hideMark/>
          </w:tcPr>
          <w:p w14:paraId="26ABD2EE" w14:textId="77777777" w:rsidR="00E40B48" w:rsidRPr="00CE60B2" w:rsidRDefault="00E40B48" w:rsidP="00C423D1">
            <w:pPr>
              <w:rPr>
                <w:rFonts w:cs="Segoe UI"/>
                <w:color w:val="000000"/>
                <w:sz w:val="16"/>
                <w:szCs w:val="16"/>
              </w:rPr>
            </w:pPr>
            <w:r w:rsidRPr="00CE60B2">
              <w:rPr>
                <w:rFonts w:cs="Segoe UI"/>
                <w:color w:val="000000"/>
                <w:sz w:val="16"/>
                <w:szCs w:val="16"/>
              </w:rPr>
              <w:t>4,110</w:t>
            </w:r>
          </w:p>
        </w:tc>
        <w:tc>
          <w:tcPr>
            <w:tcW w:w="0" w:type="auto"/>
            <w:shd w:val="clear" w:color="auto" w:fill="auto"/>
            <w:noWrap/>
            <w:vAlign w:val="bottom"/>
            <w:hideMark/>
          </w:tcPr>
          <w:p w14:paraId="26ABD2EF" w14:textId="77777777" w:rsidR="00E40B48" w:rsidRPr="00CE60B2" w:rsidRDefault="00E40B48" w:rsidP="00C423D1">
            <w:pPr>
              <w:rPr>
                <w:rFonts w:cs="Segoe UI"/>
                <w:color w:val="000000"/>
                <w:sz w:val="16"/>
                <w:szCs w:val="16"/>
              </w:rPr>
            </w:pPr>
            <w:r w:rsidRPr="00CE60B2">
              <w:rPr>
                <w:rFonts w:cs="Segoe UI"/>
                <w:color w:val="000000"/>
                <w:sz w:val="16"/>
                <w:szCs w:val="16"/>
              </w:rPr>
              <w:t>4,676</w:t>
            </w:r>
          </w:p>
        </w:tc>
        <w:tc>
          <w:tcPr>
            <w:tcW w:w="0" w:type="auto"/>
            <w:shd w:val="clear" w:color="auto" w:fill="auto"/>
            <w:noWrap/>
            <w:vAlign w:val="bottom"/>
            <w:hideMark/>
          </w:tcPr>
          <w:p w14:paraId="26ABD2F0" w14:textId="77777777" w:rsidR="00E40B48" w:rsidRPr="00CE60B2" w:rsidRDefault="00E40B48" w:rsidP="00C423D1">
            <w:pPr>
              <w:rPr>
                <w:rFonts w:cs="Segoe UI"/>
                <w:color w:val="000000"/>
                <w:sz w:val="16"/>
                <w:szCs w:val="16"/>
              </w:rPr>
            </w:pPr>
            <w:r w:rsidRPr="00CE60B2">
              <w:rPr>
                <w:rFonts w:cs="Segoe UI"/>
                <w:color w:val="000000"/>
                <w:sz w:val="16"/>
                <w:szCs w:val="16"/>
              </w:rPr>
              <w:t>4,967</w:t>
            </w:r>
          </w:p>
        </w:tc>
        <w:tc>
          <w:tcPr>
            <w:tcW w:w="0" w:type="auto"/>
            <w:shd w:val="clear" w:color="auto" w:fill="auto"/>
            <w:noWrap/>
            <w:vAlign w:val="bottom"/>
            <w:hideMark/>
          </w:tcPr>
          <w:p w14:paraId="26ABD2F1" w14:textId="77777777" w:rsidR="00E40B48" w:rsidRPr="00CE60B2" w:rsidRDefault="00E40B48" w:rsidP="00C423D1">
            <w:pPr>
              <w:rPr>
                <w:rFonts w:cs="Segoe UI"/>
                <w:color w:val="000000"/>
                <w:sz w:val="16"/>
                <w:szCs w:val="16"/>
              </w:rPr>
            </w:pPr>
            <w:r w:rsidRPr="00CE60B2">
              <w:rPr>
                <w:rFonts w:cs="Segoe UI"/>
                <w:color w:val="000000"/>
                <w:sz w:val="16"/>
                <w:szCs w:val="16"/>
              </w:rPr>
              <w:t>4,945</w:t>
            </w:r>
          </w:p>
        </w:tc>
      </w:tr>
    </w:tbl>
    <w:p w14:paraId="26ABD2F3" w14:textId="77777777" w:rsidR="00E40B48" w:rsidRPr="00CE60B2" w:rsidRDefault="00E40B48" w:rsidP="008A4979">
      <w:pPr>
        <w:pStyle w:val="Heading4"/>
        <w:rPr>
          <w:rFonts w:cs="Segoe UI"/>
          <w:lang w:eastAsia="ja-JP"/>
        </w:rPr>
      </w:pPr>
      <w:r w:rsidRPr="00CE60B2">
        <w:rPr>
          <w:rFonts w:cs="Segoe UI"/>
          <w:lang w:eastAsia="ja-JP"/>
        </w:rPr>
        <w:t>Log value</w:t>
      </w:r>
    </w:p>
    <w:p w14:paraId="26ABD2F4" w14:textId="51A6FEDF" w:rsidR="005C2908" w:rsidRDefault="005C2908" w:rsidP="005C2908">
      <w:pPr>
        <w:pStyle w:val="Caption"/>
        <w:keepNext/>
      </w:pPr>
      <w:bookmarkStart w:id="136" w:name="_Toc531002189"/>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28</w:t>
      </w:r>
      <w:r w:rsidR="005C10D4">
        <w:rPr>
          <w:noProof/>
        </w:rPr>
        <w:fldChar w:fldCharType="end"/>
      </w:r>
      <w:r>
        <w:t xml:space="preserve">: </w:t>
      </w:r>
      <w:r w:rsidRPr="00E817E5">
        <w:t>Value of logs harvested in Western Australia ($m) (Australian forest and wood products statistics: September and December quarters 2017)</w:t>
      </w:r>
      <w:bookmarkEnd w:id="136"/>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704"/>
        <w:gridCol w:w="704"/>
        <w:gridCol w:w="704"/>
        <w:gridCol w:w="704"/>
        <w:gridCol w:w="704"/>
        <w:gridCol w:w="704"/>
        <w:gridCol w:w="704"/>
        <w:gridCol w:w="704"/>
        <w:gridCol w:w="704"/>
        <w:gridCol w:w="704"/>
        <w:gridCol w:w="704"/>
      </w:tblGrid>
      <w:tr w:rsidR="00E40B48" w:rsidRPr="00CE60B2" w14:paraId="26ABD301" w14:textId="77777777" w:rsidTr="008A4C96">
        <w:trPr>
          <w:trHeight w:val="225"/>
        </w:trPr>
        <w:tc>
          <w:tcPr>
            <w:tcW w:w="0" w:type="auto"/>
            <w:shd w:val="clear" w:color="auto" w:fill="DFEFE1" w:themeFill="accent3" w:themeFillTint="66"/>
            <w:noWrap/>
            <w:vAlign w:val="bottom"/>
          </w:tcPr>
          <w:p w14:paraId="26ABD2F5" w14:textId="77777777" w:rsidR="00E40B48" w:rsidRPr="00CE60B2" w:rsidRDefault="00E40B48" w:rsidP="00C423D1">
            <w:pPr>
              <w:rPr>
                <w:rFonts w:cs="Segoe UI"/>
                <w:b/>
                <w:color w:val="000000"/>
                <w:sz w:val="16"/>
                <w:szCs w:val="16"/>
              </w:rPr>
            </w:pPr>
            <w:r w:rsidRPr="00CE60B2">
              <w:rPr>
                <w:rFonts w:cs="Segoe UI"/>
                <w:b/>
                <w:color w:val="000000"/>
                <w:sz w:val="16"/>
                <w:szCs w:val="16"/>
              </w:rPr>
              <w:t>Forest type</w:t>
            </w:r>
          </w:p>
        </w:tc>
        <w:tc>
          <w:tcPr>
            <w:tcW w:w="0" w:type="auto"/>
            <w:shd w:val="clear" w:color="auto" w:fill="DFEFE1" w:themeFill="accent3" w:themeFillTint="66"/>
            <w:noWrap/>
            <w:vAlign w:val="bottom"/>
          </w:tcPr>
          <w:p w14:paraId="26ABD2F6" w14:textId="77777777" w:rsidR="00E40B48" w:rsidRPr="00CE60B2" w:rsidRDefault="00E40B48" w:rsidP="00C423D1">
            <w:pPr>
              <w:rPr>
                <w:rFonts w:cs="Segoe UI"/>
                <w:b/>
                <w:lang w:eastAsia="ja-JP"/>
              </w:rPr>
            </w:pPr>
            <w:r w:rsidRPr="00CE60B2">
              <w:rPr>
                <w:rFonts w:cs="Segoe UI"/>
                <w:b/>
                <w:bCs/>
                <w:color w:val="000000"/>
                <w:sz w:val="16"/>
                <w:szCs w:val="16"/>
              </w:rPr>
              <w:t>2006–07</w:t>
            </w:r>
          </w:p>
        </w:tc>
        <w:tc>
          <w:tcPr>
            <w:tcW w:w="0" w:type="auto"/>
            <w:shd w:val="clear" w:color="auto" w:fill="DFEFE1" w:themeFill="accent3" w:themeFillTint="66"/>
            <w:noWrap/>
            <w:vAlign w:val="bottom"/>
          </w:tcPr>
          <w:p w14:paraId="26ABD2F7" w14:textId="77777777" w:rsidR="00E40B48" w:rsidRPr="00CE60B2" w:rsidRDefault="00E40B48" w:rsidP="00C423D1">
            <w:pPr>
              <w:rPr>
                <w:rFonts w:cs="Segoe UI"/>
                <w:b/>
                <w:lang w:eastAsia="ja-JP"/>
              </w:rPr>
            </w:pPr>
            <w:r w:rsidRPr="00CE60B2">
              <w:rPr>
                <w:rFonts w:cs="Segoe UI"/>
                <w:b/>
                <w:bCs/>
                <w:color w:val="000000"/>
                <w:sz w:val="16"/>
                <w:szCs w:val="16"/>
              </w:rPr>
              <w:t>2007–08</w:t>
            </w:r>
          </w:p>
        </w:tc>
        <w:tc>
          <w:tcPr>
            <w:tcW w:w="0" w:type="auto"/>
            <w:shd w:val="clear" w:color="auto" w:fill="DFEFE1" w:themeFill="accent3" w:themeFillTint="66"/>
            <w:noWrap/>
            <w:vAlign w:val="bottom"/>
          </w:tcPr>
          <w:p w14:paraId="26ABD2F8" w14:textId="77777777" w:rsidR="00E40B48" w:rsidRPr="00CE60B2" w:rsidRDefault="00E40B48" w:rsidP="00C423D1">
            <w:pPr>
              <w:rPr>
                <w:rFonts w:cs="Segoe UI"/>
                <w:b/>
                <w:lang w:eastAsia="ja-JP"/>
              </w:rPr>
            </w:pPr>
            <w:r w:rsidRPr="00CE60B2">
              <w:rPr>
                <w:rFonts w:cs="Segoe UI"/>
                <w:b/>
                <w:bCs/>
                <w:color w:val="000000"/>
                <w:sz w:val="16"/>
                <w:szCs w:val="16"/>
              </w:rPr>
              <w:t>2008–09</w:t>
            </w:r>
          </w:p>
        </w:tc>
        <w:tc>
          <w:tcPr>
            <w:tcW w:w="0" w:type="auto"/>
            <w:shd w:val="clear" w:color="auto" w:fill="DFEFE1" w:themeFill="accent3" w:themeFillTint="66"/>
            <w:noWrap/>
            <w:vAlign w:val="bottom"/>
          </w:tcPr>
          <w:p w14:paraId="26ABD2F9" w14:textId="77777777" w:rsidR="00E40B48" w:rsidRPr="00CE60B2" w:rsidRDefault="00E40B48" w:rsidP="00C423D1">
            <w:pPr>
              <w:rPr>
                <w:rFonts w:cs="Segoe UI"/>
                <w:b/>
                <w:lang w:eastAsia="ja-JP"/>
              </w:rPr>
            </w:pPr>
            <w:r w:rsidRPr="00CE60B2">
              <w:rPr>
                <w:rFonts w:cs="Segoe UI"/>
                <w:b/>
                <w:bCs/>
                <w:color w:val="000000"/>
                <w:sz w:val="16"/>
                <w:szCs w:val="16"/>
              </w:rPr>
              <w:t>2009–10</w:t>
            </w:r>
          </w:p>
        </w:tc>
        <w:tc>
          <w:tcPr>
            <w:tcW w:w="0" w:type="auto"/>
            <w:shd w:val="clear" w:color="auto" w:fill="DFEFE1" w:themeFill="accent3" w:themeFillTint="66"/>
            <w:noWrap/>
            <w:vAlign w:val="bottom"/>
          </w:tcPr>
          <w:p w14:paraId="26ABD2FA" w14:textId="77777777" w:rsidR="00E40B48" w:rsidRPr="00CE60B2" w:rsidRDefault="00E40B48" w:rsidP="00C423D1">
            <w:pPr>
              <w:rPr>
                <w:rFonts w:cs="Segoe UI"/>
                <w:b/>
                <w:lang w:eastAsia="ja-JP"/>
              </w:rPr>
            </w:pPr>
            <w:r w:rsidRPr="00CE60B2">
              <w:rPr>
                <w:rFonts w:cs="Segoe UI"/>
                <w:b/>
                <w:bCs/>
                <w:color w:val="000000"/>
                <w:sz w:val="16"/>
                <w:szCs w:val="16"/>
              </w:rPr>
              <w:t>2010–11</w:t>
            </w:r>
          </w:p>
        </w:tc>
        <w:tc>
          <w:tcPr>
            <w:tcW w:w="0" w:type="auto"/>
            <w:shd w:val="clear" w:color="auto" w:fill="DFEFE1" w:themeFill="accent3" w:themeFillTint="66"/>
            <w:noWrap/>
            <w:vAlign w:val="bottom"/>
          </w:tcPr>
          <w:p w14:paraId="26ABD2FB" w14:textId="77777777" w:rsidR="00E40B48" w:rsidRPr="00CE60B2" w:rsidRDefault="00E40B48" w:rsidP="00C423D1">
            <w:pPr>
              <w:rPr>
                <w:rFonts w:cs="Segoe UI"/>
                <w:b/>
                <w:lang w:eastAsia="ja-JP"/>
              </w:rPr>
            </w:pPr>
            <w:r w:rsidRPr="00CE60B2">
              <w:rPr>
                <w:rFonts w:cs="Segoe UI"/>
                <w:b/>
                <w:bCs/>
                <w:color w:val="000000"/>
                <w:sz w:val="16"/>
                <w:szCs w:val="16"/>
              </w:rPr>
              <w:t>2011–12</w:t>
            </w:r>
          </w:p>
        </w:tc>
        <w:tc>
          <w:tcPr>
            <w:tcW w:w="0" w:type="auto"/>
            <w:shd w:val="clear" w:color="auto" w:fill="DFEFE1" w:themeFill="accent3" w:themeFillTint="66"/>
            <w:noWrap/>
            <w:vAlign w:val="bottom"/>
          </w:tcPr>
          <w:p w14:paraId="26ABD2FC" w14:textId="77777777" w:rsidR="00E40B48" w:rsidRPr="00CE60B2" w:rsidRDefault="00E40B48" w:rsidP="00C423D1">
            <w:pPr>
              <w:rPr>
                <w:rFonts w:cs="Segoe UI"/>
                <w:b/>
                <w:lang w:eastAsia="ja-JP"/>
              </w:rPr>
            </w:pPr>
            <w:r w:rsidRPr="00CE60B2">
              <w:rPr>
                <w:rFonts w:cs="Segoe UI"/>
                <w:b/>
                <w:bCs/>
                <w:color w:val="000000"/>
                <w:sz w:val="16"/>
                <w:szCs w:val="16"/>
              </w:rPr>
              <w:t>2012–13</w:t>
            </w:r>
          </w:p>
        </w:tc>
        <w:tc>
          <w:tcPr>
            <w:tcW w:w="0" w:type="auto"/>
            <w:shd w:val="clear" w:color="auto" w:fill="DFEFE1" w:themeFill="accent3" w:themeFillTint="66"/>
            <w:noWrap/>
            <w:vAlign w:val="bottom"/>
          </w:tcPr>
          <w:p w14:paraId="26ABD2FD" w14:textId="77777777" w:rsidR="00E40B48" w:rsidRPr="00CE60B2" w:rsidRDefault="00E40B48" w:rsidP="00C423D1">
            <w:pPr>
              <w:rPr>
                <w:rFonts w:cs="Segoe UI"/>
                <w:b/>
                <w:lang w:eastAsia="ja-JP"/>
              </w:rPr>
            </w:pPr>
            <w:r w:rsidRPr="00CE60B2">
              <w:rPr>
                <w:rFonts w:cs="Segoe UI"/>
                <w:b/>
                <w:bCs/>
                <w:color w:val="000000"/>
                <w:sz w:val="16"/>
                <w:szCs w:val="16"/>
              </w:rPr>
              <w:t>2013–14</w:t>
            </w:r>
          </w:p>
        </w:tc>
        <w:tc>
          <w:tcPr>
            <w:tcW w:w="0" w:type="auto"/>
            <w:shd w:val="clear" w:color="auto" w:fill="DFEFE1" w:themeFill="accent3" w:themeFillTint="66"/>
            <w:noWrap/>
            <w:vAlign w:val="bottom"/>
          </w:tcPr>
          <w:p w14:paraId="26ABD2FE" w14:textId="77777777" w:rsidR="00E40B48" w:rsidRPr="00CE60B2" w:rsidRDefault="00E40B48" w:rsidP="00C423D1">
            <w:pPr>
              <w:rPr>
                <w:rFonts w:cs="Segoe UI"/>
                <w:b/>
                <w:lang w:eastAsia="ja-JP"/>
              </w:rPr>
            </w:pPr>
            <w:r w:rsidRPr="00CE60B2">
              <w:rPr>
                <w:rFonts w:cs="Segoe UI"/>
                <w:b/>
                <w:bCs/>
                <w:color w:val="000000"/>
                <w:sz w:val="16"/>
                <w:szCs w:val="16"/>
              </w:rPr>
              <w:t>2014–15</w:t>
            </w:r>
          </w:p>
        </w:tc>
        <w:tc>
          <w:tcPr>
            <w:tcW w:w="0" w:type="auto"/>
            <w:shd w:val="clear" w:color="auto" w:fill="DFEFE1" w:themeFill="accent3" w:themeFillTint="66"/>
            <w:noWrap/>
            <w:vAlign w:val="bottom"/>
          </w:tcPr>
          <w:p w14:paraId="26ABD2FF" w14:textId="77777777" w:rsidR="00E40B48" w:rsidRPr="00CE60B2" w:rsidRDefault="00E40B48" w:rsidP="00C423D1">
            <w:pPr>
              <w:rPr>
                <w:rFonts w:cs="Segoe UI"/>
                <w:b/>
                <w:lang w:eastAsia="ja-JP"/>
              </w:rPr>
            </w:pPr>
            <w:r w:rsidRPr="00CE60B2">
              <w:rPr>
                <w:rFonts w:cs="Segoe UI"/>
                <w:b/>
                <w:bCs/>
                <w:color w:val="000000"/>
                <w:sz w:val="16"/>
                <w:szCs w:val="16"/>
              </w:rPr>
              <w:t>2015–16</w:t>
            </w:r>
          </w:p>
        </w:tc>
        <w:tc>
          <w:tcPr>
            <w:tcW w:w="0" w:type="auto"/>
            <w:shd w:val="clear" w:color="auto" w:fill="DFEFE1" w:themeFill="accent3" w:themeFillTint="66"/>
            <w:noWrap/>
            <w:vAlign w:val="bottom"/>
          </w:tcPr>
          <w:p w14:paraId="26ABD300" w14:textId="77777777" w:rsidR="00E40B48" w:rsidRPr="00CE60B2" w:rsidRDefault="00E40B48" w:rsidP="00C423D1">
            <w:pPr>
              <w:rPr>
                <w:rFonts w:cs="Segoe UI"/>
                <w:b/>
                <w:lang w:eastAsia="ja-JP"/>
              </w:rPr>
            </w:pPr>
            <w:r w:rsidRPr="00CE60B2">
              <w:rPr>
                <w:rFonts w:cs="Segoe UI"/>
                <w:b/>
                <w:bCs/>
                <w:color w:val="000000"/>
                <w:sz w:val="16"/>
                <w:szCs w:val="16"/>
              </w:rPr>
              <w:t>2016–17</w:t>
            </w:r>
          </w:p>
        </w:tc>
      </w:tr>
      <w:tr w:rsidR="00E40B48" w:rsidRPr="00CE60B2" w14:paraId="26ABD30E" w14:textId="77777777" w:rsidTr="00C423D1">
        <w:trPr>
          <w:trHeight w:val="225"/>
        </w:trPr>
        <w:tc>
          <w:tcPr>
            <w:tcW w:w="0" w:type="auto"/>
            <w:shd w:val="clear" w:color="auto" w:fill="auto"/>
            <w:noWrap/>
            <w:vAlign w:val="bottom"/>
            <w:hideMark/>
          </w:tcPr>
          <w:p w14:paraId="26ABD302" w14:textId="77777777" w:rsidR="00E40B48" w:rsidRPr="00CE60B2" w:rsidRDefault="00E40B48" w:rsidP="00C423D1">
            <w:pPr>
              <w:rPr>
                <w:rFonts w:cs="Segoe UI"/>
                <w:b/>
                <w:color w:val="000000"/>
                <w:sz w:val="16"/>
                <w:szCs w:val="16"/>
              </w:rPr>
            </w:pPr>
            <w:r w:rsidRPr="00CE60B2">
              <w:rPr>
                <w:rFonts w:cs="Segoe UI"/>
                <w:b/>
                <w:color w:val="000000"/>
                <w:sz w:val="16"/>
                <w:szCs w:val="16"/>
              </w:rPr>
              <w:t>Hardwood native</w:t>
            </w:r>
          </w:p>
        </w:tc>
        <w:tc>
          <w:tcPr>
            <w:tcW w:w="0" w:type="auto"/>
            <w:shd w:val="clear" w:color="auto" w:fill="auto"/>
            <w:noWrap/>
            <w:vAlign w:val="bottom"/>
            <w:hideMark/>
          </w:tcPr>
          <w:p w14:paraId="26ABD303" w14:textId="77777777" w:rsidR="00E40B48" w:rsidRPr="00CE60B2" w:rsidRDefault="00E40B48" w:rsidP="00C423D1">
            <w:pPr>
              <w:rPr>
                <w:rFonts w:cs="Segoe UI"/>
                <w:lang w:eastAsia="ja-JP"/>
              </w:rPr>
            </w:pPr>
            <w:r w:rsidRPr="00CE60B2">
              <w:rPr>
                <w:rFonts w:cs="Segoe UI"/>
                <w:color w:val="000000"/>
                <w:sz w:val="16"/>
                <w:szCs w:val="16"/>
              </w:rPr>
              <w:t>46</w:t>
            </w:r>
          </w:p>
        </w:tc>
        <w:tc>
          <w:tcPr>
            <w:tcW w:w="0" w:type="auto"/>
            <w:shd w:val="clear" w:color="auto" w:fill="auto"/>
            <w:noWrap/>
            <w:vAlign w:val="bottom"/>
            <w:hideMark/>
          </w:tcPr>
          <w:p w14:paraId="26ABD304" w14:textId="77777777" w:rsidR="00E40B48" w:rsidRPr="00CE60B2" w:rsidRDefault="00E40B48" w:rsidP="00C423D1">
            <w:pPr>
              <w:rPr>
                <w:rFonts w:cs="Segoe UI"/>
                <w:lang w:eastAsia="ja-JP"/>
              </w:rPr>
            </w:pPr>
            <w:r w:rsidRPr="00CE60B2">
              <w:rPr>
                <w:rFonts w:cs="Segoe UI"/>
                <w:color w:val="000000"/>
                <w:sz w:val="16"/>
                <w:szCs w:val="16"/>
              </w:rPr>
              <w:t>49</w:t>
            </w:r>
          </w:p>
        </w:tc>
        <w:tc>
          <w:tcPr>
            <w:tcW w:w="0" w:type="auto"/>
            <w:shd w:val="clear" w:color="auto" w:fill="auto"/>
            <w:noWrap/>
            <w:vAlign w:val="bottom"/>
            <w:hideMark/>
          </w:tcPr>
          <w:p w14:paraId="26ABD305" w14:textId="77777777" w:rsidR="00E40B48" w:rsidRPr="00CE60B2" w:rsidRDefault="00E40B48" w:rsidP="00C423D1">
            <w:pPr>
              <w:rPr>
                <w:rFonts w:cs="Segoe UI"/>
                <w:lang w:eastAsia="ja-JP"/>
              </w:rPr>
            </w:pPr>
            <w:r w:rsidRPr="00CE60B2">
              <w:rPr>
                <w:rFonts w:cs="Segoe UI"/>
                <w:color w:val="000000"/>
                <w:sz w:val="16"/>
                <w:szCs w:val="16"/>
              </w:rPr>
              <w:t>48</w:t>
            </w:r>
          </w:p>
        </w:tc>
        <w:tc>
          <w:tcPr>
            <w:tcW w:w="0" w:type="auto"/>
            <w:shd w:val="clear" w:color="auto" w:fill="auto"/>
            <w:noWrap/>
            <w:vAlign w:val="bottom"/>
            <w:hideMark/>
          </w:tcPr>
          <w:p w14:paraId="26ABD306" w14:textId="77777777" w:rsidR="00E40B48" w:rsidRPr="00CE60B2" w:rsidRDefault="00E40B48" w:rsidP="00C423D1">
            <w:pPr>
              <w:rPr>
                <w:rFonts w:cs="Segoe UI"/>
                <w:lang w:eastAsia="ja-JP"/>
              </w:rPr>
            </w:pPr>
            <w:r w:rsidRPr="00CE60B2">
              <w:rPr>
                <w:rFonts w:cs="Segoe UI"/>
                <w:color w:val="000000"/>
                <w:sz w:val="16"/>
                <w:szCs w:val="16"/>
              </w:rPr>
              <w:t>40</w:t>
            </w:r>
          </w:p>
        </w:tc>
        <w:tc>
          <w:tcPr>
            <w:tcW w:w="0" w:type="auto"/>
            <w:shd w:val="clear" w:color="auto" w:fill="auto"/>
            <w:noWrap/>
            <w:vAlign w:val="bottom"/>
            <w:hideMark/>
          </w:tcPr>
          <w:p w14:paraId="26ABD307" w14:textId="77777777" w:rsidR="00E40B48" w:rsidRPr="00CE60B2" w:rsidRDefault="00E40B48" w:rsidP="00C423D1">
            <w:pPr>
              <w:rPr>
                <w:rFonts w:cs="Segoe UI"/>
                <w:lang w:eastAsia="ja-JP"/>
              </w:rPr>
            </w:pPr>
            <w:r w:rsidRPr="00CE60B2">
              <w:rPr>
                <w:rFonts w:cs="Segoe UI"/>
                <w:color w:val="000000"/>
                <w:sz w:val="16"/>
                <w:szCs w:val="16"/>
              </w:rPr>
              <w:t>40</w:t>
            </w:r>
          </w:p>
        </w:tc>
        <w:tc>
          <w:tcPr>
            <w:tcW w:w="0" w:type="auto"/>
            <w:shd w:val="clear" w:color="auto" w:fill="auto"/>
            <w:noWrap/>
            <w:vAlign w:val="bottom"/>
            <w:hideMark/>
          </w:tcPr>
          <w:p w14:paraId="26ABD308" w14:textId="77777777" w:rsidR="00E40B48" w:rsidRPr="00CE60B2" w:rsidRDefault="00E40B48" w:rsidP="00C423D1">
            <w:pPr>
              <w:rPr>
                <w:rFonts w:cs="Segoe UI"/>
                <w:lang w:eastAsia="ja-JP"/>
              </w:rPr>
            </w:pPr>
            <w:r w:rsidRPr="00CE60B2">
              <w:rPr>
                <w:rFonts w:cs="Segoe UI"/>
                <w:color w:val="000000"/>
                <w:sz w:val="16"/>
                <w:szCs w:val="16"/>
              </w:rPr>
              <w:t>43</w:t>
            </w:r>
          </w:p>
        </w:tc>
        <w:tc>
          <w:tcPr>
            <w:tcW w:w="0" w:type="auto"/>
            <w:shd w:val="clear" w:color="auto" w:fill="auto"/>
            <w:noWrap/>
            <w:vAlign w:val="bottom"/>
            <w:hideMark/>
          </w:tcPr>
          <w:p w14:paraId="26ABD309" w14:textId="77777777" w:rsidR="00E40B48" w:rsidRPr="00CE60B2" w:rsidRDefault="00E40B48" w:rsidP="00C423D1">
            <w:pPr>
              <w:rPr>
                <w:rFonts w:cs="Segoe UI"/>
                <w:lang w:eastAsia="ja-JP"/>
              </w:rPr>
            </w:pPr>
            <w:r w:rsidRPr="00CE60B2">
              <w:rPr>
                <w:rFonts w:cs="Segoe UI"/>
                <w:color w:val="000000"/>
                <w:sz w:val="16"/>
                <w:szCs w:val="16"/>
              </w:rPr>
              <w:t>37</w:t>
            </w:r>
          </w:p>
        </w:tc>
        <w:tc>
          <w:tcPr>
            <w:tcW w:w="0" w:type="auto"/>
            <w:shd w:val="clear" w:color="auto" w:fill="auto"/>
            <w:noWrap/>
            <w:vAlign w:val="bottom"/>
            <w:hideMark/>
          </w:tcPr>
          <w:p w14:paraId="26ABD30A" w14:textId="77777777" w:rsidR="00E40B48" w:rsidRPr="00CE60B2" w:rsidRDefault="00E40B48" w:rsidP="00C423D1">
            <w:pPr>
              <w:rPr>
                <w:rFonts w:cs="Segoe UI"/>
                <w:lang w:eastAsia="ja-JP"/>
              </w:rPr>
            </w:pPr>
            <w:r w:rsidRPr="00CE60B2">
              <w:rPr>
                <w:rFonts w:cs="Segoe UI"/>
                <w:color w:val="000000"/>
                <w:sz w:val="16"/>
                <w:szCs w:val="16"/>
              </w:rPr>
              <w:t>28</w:t>
            </w:r>
          </w:p>
        </w:tc>
        <w:tc>
          <w:tcPr>
            <w:tcW w:w="0" w:type="auto"/>
            <w:shd w:val="clear" w:color="auto" w:fill="auto"/>
            <w:noWrap/>
            <w:vAlign w:val="bottom"/>
            <w:hideMark/>
          </w:tcPr>
          <w:p w14:paraId="26ABD30B" w14:textId="77777777" w:rsidR="00E40B48" w:rsidRPr="00CE60B2" w:rsidRDefault="00E40B48" w:rsidP="00C423D1">
            <w:pPr>
              <w:rPr>
                <w:rFonts w:cs="Segoe UI"/>
                <w:lang w:eastAsia="ja-JP"/>
              </w:rPr>
            </w:pPr>
            <w:r w:rsidRPr="00CE60B2">
              <w:rPr>
                <w:rFonts w:cs="Segoe UI"/>
                <w:color w:val="000000"/>
                <w:sz w:val="16"/>
                <w:szCs w:val="16"/>
              </w:rPr>
              <w:t>26</w:t>
            </w:r>
          </w:p>
        </w:tc>
        <w:tc>
          <w:tcPr>
            <w:tcW w:w="0" w:type="auto"/>
            <w:shd w:val="clear" w:color="auto" w:fill="auto"/>
            <w:noWrap/>
            <w:vAlign w:val="bottom"/>
            <w:hideMark/>
          </w:tcPr>
          <w:p w14:paraId="26ABD30C" w14:textId="77777777" w:rsidR="00E40B48" w:rsidRPr="00CE60B2" w:rsidRDefault="00E40B48" w:rsidP="00C423D1">
            <w:pPr>
              <w:rPr>
                <w:rFonts w:cs="Segoe UI"/>
                <w:lang w:eastAsia="ja-JP"/>
              </w:rPr>
            </w:pPr>
            <w:r w:rsidRPr="00CE60B2">
              <w:rPr>
                <w:rFonts w:cs="Segoe UI"/>
                <w:color w:val="000000"/>
                <w:sz w:val="16"/>
                <w:szCs w:val="16"/>
              </w:rPr>
              <w:t>28</w:t>
            </w:r>
          </w:p>
        </w:tc>
        <w:tc>
          <w:tcPr>
            <w:tcW w:w="0" w:type="auto"/>
            <w:shd w:val="clear" w:color="auto" w:fill="auto"/>
            <w:noWrap/>
            <w:vAlign w:val="bottom"/>
            <w:hideMark/>
          </w:tcPr>
          <w:p w14:paraId="26ABD30D" w14:textId="77777777" w:rsidR="00E40B48" w:rsidRPr="00CE60B2" w:rsidRDefault="00E40B48" w:rsidP="00C423D1">
            <w:pPr>
              <w:rPr>
                <w:rFonts w:cs="Segoe UI"/>
                <w:lang w:eastAsia="ja-JP"/>
              </w:rPr>
            </w:pPr>
            <w:r w:rsidRPr="00CE60B2">
              <w:rPr>
                <w:rFonts w:cs="Segoe UI"/>
                <w:color w:val="000000"/>
                <w:sz w:val="16"/>
                <w:szCs w:val="16"/>
              </w:rPr>
              <w:t>31</w:t>
            </w:r>
          </w:p>
        </w:tc>
      </w:tr>
      <w:tr w:rsidR="00E40B48" w:rsidRPr="00CE60B2" w14:paraId="26ABD31B" w14:textId="77777777" w:rsidTr="00C423D1">
        <w:trPr>
          <w:trHeight w:val="225"/>
        </w:trPr>
        <w:tc>
          <w:tcPr>
            <w:tcW w:w="0" w:type="auto"/>
            <w:shd w:val="clear" w:color="auto" w:fill="auto"/>
            <w:noWrap/>
            <w:vAlign w:val="bottom"/>
            <w:hideMark/>
          </w:tcPr>
          <w:p w14:paraId="26ABD30F" w14:textId="77777777" w:rsidR="00E40B48" w:rsidRPr="00CE60B2" w:rsidRDefault="00E40B48" w:rsidP="00C423D1">
            <w:pPr>
              <w:rPr>
                <w:rFonts w:cs="Segoe UI"/>
                <w:b/>
                <w:color w:val="000000"/>
                <w:sz w:val="16"/>
                <w:szCs w:val="16"/>
              </w:rPr>
            </w:pPr>
            <w:r w:rsidRPr="00CE60B2">
              <w:rPr>
                <w:rFonts w:cs="Segoe UI"/>
                <w:b/>
                <w:color w:val="000000"/>
                <w:sz w:val="16"/>
                <w:szCs w:val="16"/>
              </w:rPr>
              <w:t>Hardwood plantation</w:t>
            </w:r>
          </w:p>
        </w:tc>
        <w:tc>
          <w:tcPr>
            <w:tcW w:w="0" w:type="auto"/>
            <w:shd w:val="clear" w:color="auto" w:fill="auto"/>
            <w:noWrap/>
            <w:vAlign w:val="bottom"/>
            <w:hideMark/>
          </w:tcPr>
          <w:p w14:paraId="26ABD310" w14:textId="77777777" w:rsidR="00E40B48" w:rsidRPr="00CE60B2" w:rsidRDefault="00E40B48" w:rsidP="00C423D1">
            <w:pPr>
              <w:rPr>
                <w:rFonts w:cs="Segoe UI"/>
                <w:lang w:eastAsia="ja-JP"/>
              </w:rPr>
            </w:pPr>
            <w:r w:rsidRPr="00CE60B2">
              <w:rPr>
                <w:rFonts w:cs="Segoe UI"/>
                <w:color w:val="000000"/>
                <w:sz w:val="16"/>
                <w:szCs w:val="16"/>
              </w:rPr>
              <w:t>179</w:t>
            </w:r>
          </w:p>
        </w:tc>
        <w:tc>
          <w:tcPr>
            <w:tcW w:w="0" w:type="auto"/>
            <w:shd w:val="clear" w:color="auto" w:fill="auto"/>
            <w:noWrap/>
            <w:vAlign w:val="bottom"/>
            <w:hideMark/>
          </w:tcPr>
          <w:p w14:paraId="26ABD311" w14:textId="77777777" w:rsidR="00E40B48" w:rsidRPr="00CE60B2" w:rsidRDefault="00E40B48" w:rsidP="00C423D1">
            <w:pPr>
              <w:rPr>
                <w:rFonts w:cs="Segoe UI"/>
                <w:lang w:eastAsia="ja-JP"/>
              </w:rPr>
            </w:pPr>
            <w:r w:rsidRPr="00CE60B2">
              <w:rPr>
                <w:rFonts w:cs="Segoe UI"/>
                <w:color w:val="000000"/>
                <w:sz w:val="16"/>
                <w:szCs w:val="16"/>
              </w:rPr>
              <w:t>183</w:t>
            </w:r>
          </w:p>
        </w:tc>
        <w:tc>
          <w:tcPr>
            <w:tcW w:w="0" w:type="auto"/>
            <w:shd w:val="clear" w:color="auto" w:fill="auto"/>
            <w:noWrap/>
            <w:vAlign w:val="bottom"/>
            <w:hideMark/>
          </w:tcPr>
          <w:p w14:paraId="26ABD312" w14:textId="77777777" w:rsidR="00E40B48" w:rsidRPr="00CE60B2" w:rsidRDefault="00E40B48" w:rsidP="00C423D1">
            <w:pPr>
              <w:rPr>
                <w:rFonts w:cs="Segoe UI"/>
                <w:lang w:eastAsia="ja-JP"/>
              </w:rPr>
            </w:pPr>
            <w:r w:rsidRPr="00CE60B2">
              <w:rPr>
                <w:rFonts w:cs="Segoe UI"/>
                <w:color w:val="000000"/>
                <w:sz w:val="16"/>
                <w:szCs w:val="16"/>
              </w:rPr>
              <w:t>215</w:t>
            </w:r>
          </w:p>
        </w:tc>
        <w:tc>
          <w:tcPr>
            <w:tcW w:w="0" w:type="auto"/>
            <w:shd w:val="clear" w:color="auto" w:fill="auto"/>
            <w:noWrap/>
            <w:vAlign w:val="bottom"/>
            <w:hideMark/>
          </w:tcPr>
          <w:p w14:paraId="26ABD313" w14:textId="77777777" w:rsidR="00E40B48" w:rsidRPr="00CE60B2" w:rsidRDefault="00E40B48" w:rsidP="00C423D1">
            <w:pPr>
              <w:rPr>
                <w:rFonts w:cs="Segoe UI"/>
                <w:lang w:eastAsia="ja-JP"/>
              </w:rPr>
            </w:pPr>
            <w:r w:rsidRPr="00CE60B2">
              <w:rPr>
                <w:rFonts w:cs="Segoe UI"/>
                <w:color w:val="000000"/>
                <w:sz w:val="16"/>
                <w:szCs w:val="16"/>
              </w:rPr>
              <w:t>219</w:t>
            </w:r>
          </w:p>
        </w:tc>
        <w:tc>
          <w:tcPr>
            <w:tcW w:w="0" w:type="auto"/>
            <w:shd w:val="clear" w:color="auto" w:fill="auto"/>
            <w:noWrap/>
            <w:vAlign w:val="bottom"/>
            <w:hideMark/>
          </w:tcPr>
          <w:p w14:paraId="26ABD314" w14:textId="77777777" w:rsidR="00E40B48" w:rsidRPr="00CE60B2" w:rsidRDefault="00E40B48" w:rsidP="00C423D1">
            <w:pPr>
              <w:rPr>
                <w:rFonts w:cs="Segoe UI"/>
                <w:lang w:eastAsia="ja-JP"/>
              </w:rPr>
            </w:pPr>
            <w:r w:rsidRPr="00CE60B2">
              <w:rPr>
                <w:rFonts w:cs="Segoe UI"/>
                <w:color w:val="000000"/>
                <w:sz w:val="16"/>
                <w:szCs w:val="16"/>
              </w:rPr>
              <w:t>255</w:t>
            </w:r>
          </w:p>
        </w:tc>
        <w:tc>
          <w:tcPr>
            <w:tcW w:w="0" w:type="auto"/>
            <w:shd w:val="clear" w:color="auto" w:fill="auto"/>
            <w:noWrap/>
            <w:vAlign w:val="bottom"/>
            <w:hideMark/>
          </w:tcPr>
          <w:p w14:paraId="26ABD315" w14:textId="77777777" w:rsidR="00E40B48" w:rsidRPr="00CE60B2" w:rsidRDefault="00E40B48" w:rsidP="00C423D1">
            <w:pPr>
              <w:rPr>
                <w:rFonts w:cs="Segoe UI"/>
                <w:lang w:eastAsia="ja-JP"/>
              </w:rPr>
            </w:pPr>
            <w:r w:rsidRPr="00CE60B2">
              <w:rPr>
                <w:rFonts w:cs="Segoe UI"/>
                <w:color w:val="000000"/>
                <w:sz w:val="16"/>
                <w:szCs w:val="16"/>
              </w:rPr>
              <w:t>188</w:t>
            </w:r>
          </w:p>
        </w:tc>
        <w:tc>
          <w:tcPr>
            <w:tcW w:w="0" w:type="auto"/>
            <w:shd w:val="clear" w:color="auto" w:fill="auto"/>
            <w:noWrap/>
            <w:vAlign w:val="bottom"/>
            <w:hideMark/>
          </w:tcPr>
          <w:p w14:paraId="26ABD316" w14:textId="77777777" w:rsidR="00E40B48" w:rsidRPr="00CE60B2" w:rsidRDefault="00E40B48" w:rsidP="00C423D1">
            <w:pPr>
              <w:rPr>
                <w:rFonts w:cs="Segoe UI"/>
                <w:lang w:eastAsia="ja-JP"/>
              </w:rPr>
            </w:pPr>
            <w:r w:rsidRPr="00CE60B2">
              <w:rPr>
                <w:rFonts w:cs="Segoe UI"/>
                <w:color w:val="000000"/>
                <w:sz w:val="16"/>
                <w:szCs w:val="16"/>
              </w:rPr>
              <w:t>183</w:t>
            </w:r>
          </w:p>
        </w:tc>
        <w:tc>
          <w:tcPr>
            <w:tcW w:w="0" w:type="auto"/>
            <w:shd w:val="clear" w:color="auto" w:fill="auto"/>
            <w:noWrap/>
            <w:vAlign w:val="bottom"/>
            <w:hideMark/>
          </w:tcPr>
          <w:p w14:paraId="26ABD317" w14:textId="77777777" w:rsidR="00E40B48" w:rsidRPr="00CE60B2" w:rsidRDefault="00E40B48" w:rsidP="00C423D1">
            <w:pPr>
              <w:rPr>
                <w:rFonts w:cs="Segoe UI"/>
                <w:lang w:eastAsia="ja-JP"/>
              </w:rPr>
            </w:pPr>
            <w:r w:rsidRPr="00CE60B2">
              <w:rPr>
                <w:rFonts w:cs="Segoe UI"/>
                <w:color w:val="000000"/>
                <w:sz w:val="16"/>
                <w:szCs w:val="16"/>
              </w:rPr>
              <w:t>195</w:t>
            </w:r>
          </w:p>
        </w:tc>
        <w:tc>
          <w:tcPr>
            <w:tcW w:w="0" w:type="auto"/>
            <w:shd w:val="clear" w:color="auto" w:fill="auto"/>
            <w:noWrap/>
            <w:vAlign w:val="bottom"/>
            <w:hideMark/>
          </w:tcPr>
          <w:p w14:paraId="26ABD318" w14:textId="77777777" w:rsidR="00E40B48" w:rsidRPr="00CE60B2" w:rsidRDefault="00E40B48" w:rsidP="00C423D1">
            <w:pPr>
              <w:rPr>
                <w:rFonts w:cs="Segoe UI"/>
                <w:lang w:eastAsia="ja-JP"/>
              </w:rPr>
            </w:pPr>
            <w:r w:rsidRPr="00CE60B2">
              <w:rPr>
                <w:rFonts w:cs="Segoe UI"/>
                <w:color w:val="000000"/>
                <w:sz w:val="16"/>
                <w:szCs w:val="16"/>
              </w:rPr>
              <w:t>240</w:t>
            </w:r>
          </w:p>
        </w:tc>
        <w:tc>
          <w:tcPr>
            <w:tcW w:w="0" w:type="auto"/>
            <w:shd w:val="clear" w:color="auto" w:fill="auto"/>
            <w:noWrap/>
            <w:vAlign w:val="bottom"/>
            <w:hideMark/>
          </w:tcPr>
          <w:p w14:paraId="26ABD319" w14:textId="77777777" w:rsidR="00E40B48" w:rsidRPr="00CE60B2" w:rsidRDefault="00E40B48" w:rsidP="00C423D1">
            <w:pPr>
              <w:rPr>
                <w:rFonts w:cs="Segoe UI"/>
                <w:lang w:eastAsia="ja-JP"/>
              </w:rPr>
            </w:pPr>
            <w:r w:rsidRPr="00CE60B2">
              <w:rPr>
                <w:rFonts w:cs="Segoe UI"/>
                <w:color w:val="000000"/>
                <w:sz w:val="16"/>
                <w:szCs w:val="16"/>
              </w:rPr>
              <w:t>262</w:t>
            </w:r>
          </w:p>
        </w:tc>
        <w:tc>
          <w:tcPr>
            <w:tcW w:w="0" w:type="auto"/>
            <w:shd w:val="clear" w:color="auto" w:fill="auto"/>
            <w:noWrap/>
            <w:vAlign w:val="bottom"/>
            <w:hideMark/>
          </w:tcPr>
          <w:p w14:paraId="26ABD31A" w14:textId="77777777" w:rsidR="00E40B48" w:rsidRPr="00CE60B2" w:rsidRDefault="00E40B48" w:rsidP="00C423D1">
            <w:pPr>
              <w:rPr>
                <w:rFonts w:cs="Segoe UI"/>
                <w:lang w:eastAsia="ja-JP"/>
              </w:rPr>
            </w:pPr>
            <w:r w:rsidRPr="00CE60B2">
              <w:rPr>
                <w:rFonts w:cs="Segoe UI"/>
                <w:color w:val="000000"/>
                <w:sz w:val="16"/>
                <w:szCs w:val="16"/>
              </w:rPr>
              <w:t>248</w:t>
            </w:r>
          </w:p>
        </w:tc>
      </w:tr>
      <w:tr w:rsidR="00E40B48" w:rsidRPr="00CE60B2" w14:paraId="26ABD328" w14:textId="77777777" w:rsidTr="00C423D1">
        <w:trPr>
          <w:trHeight w:val="225"/>
        </w:trPr>
        <w:tc>
          <w:tcPr>
            <w:tcW w:w="0" w:type="auto"/>
            <w:shd w:val="clear" w:color="auto" w:fill="auto"/>
            <w:noWrap/>
            <w:vAlign w:val="bottom"/>
            <w:hideMark/>
          </w:tcPr>
          <w:p w14:paraId="26ABD31C" w14:textId="77777777" w:rsidR="00E40B48" w:rsidRPr="00CE60B2" w:rsidRDefault="00E40B48" w:rsidP="00C423D1">
            <w:pPr>
              <w:rPr>
                <w:rFonts w:cs="Segoe UI"/>
                <w:b/>
                <w:color w:val="000000"/>
                <w:sz w:val="16"/>
                <w:szCs w:val="16"/>
              </w:rPr>
            </w:pPr>
            <w:r w:rsidRPr="00CE60B2">
              <w:rPr>
                <w:rFonts w:cs="Segoe UI"/>
                <w:b/>
                <w:color w:val="000000"/>
                <w:sz w:val="16"/>
                <w:szCs w:val="16"/>
              </w:rPr>
              <w:t>Softwood</w:t>
            </w:r>
          </w:p>
        </w:tc>
        <w:tc>
          <w:tcPr>
            <w:tcW w:w="0" w:type="auto"/>
            <w:shd w:val="clear" w:color="auto" w:fill="auto"/>
            <w:noWrap/>
            <w:vAlign w:val="bottom"/>
            <w:hideMark/>
          </w:tcPr>
          <w:p w14:paraId="26ABD31D" w14:textId="77777777" w:rsidR="00E40B48" w:rsidRPr="00CE60B2" w:rsidRDefault="00E40B48" w:rsidP="00C423D1">
            <w:pPr>
              <w:rPr>
                <w:rFonts w:cs="Segoe UI"/>
                <w:lang w:eastAsia="ja-JP"/>
              </w:rPr>
            </w:pPr>
            <w:r w:rsidRPr="00CE60B2">
              <w:rPr>
                <w:rFonts w:cs="Segoe UI"/>
                <w:color w:val="000000"/>
                <w:sz w:val="16"/>
                <w:szCs w:val="16"/>
              </w:rPr>
              <w:t>58</w:t>
            </w:r>
          </w:p>
        </w:tc>
        <w:tc>
          <w:tcPr>
            <w:tcW w:w="0" w:type="auto"/>
            <w:shd w:val="clear" w:color="auto" w:fill="auto"/>
            <w:noWrap/>
            <w:vAlign w:val="bottom"/>
            <w:hideMark/>
          </w:tcPr>
          <w:p w14:paraId="26ABD31E" w14:textId="77777777" w:rsidR="00E40B48" w:rsidRPr="00CE60B2" w:rsidRDefault="00E40B48" w:rsidP="00C423D1">
            <w:pPr>
              <w:rPr>
                <w:rFonts w:cs="Segoe UI"/>
                <w:lang w:eastAsia="ja-JP"/>
              </w:rPr>
            </w:pPr>
            <w:r w:rsidRPr="00CE60B2">
              <w:rPr>
                <w:rFonts w:cs="Segoe UI"/>
                <w:color w:val="000000"/>
                <w:sz w:val="16"/>
                <w:szCs w:val="16"/>
              </w:rPr>
              <w:t>59</w:t>
            </w:r>
          </w:p>
        </w:tc>
        <w:tc>
          <w:tcPr>
            <w:tcW w:w="0" w:type="auto"/>
            <w:shd w:val="clear" w:color="auto" w:fill="auto"/>
            <w:noWrap/>
            <w:vAlign w:val="bottom"/>
            <w:hideMark/>
          </w:tcPr>
          <w:p w14:paraId="26ABD31F" w14:textId="77777777" w:rsidR="00E40B48" w:rsidRPr="00CE60B2" w:rsidRDefault="00E40B48" w:rsidP="00C423D1">
            <w:pPr>
              <w:rPr>
                <w:rFonts w:cs="Segoe UI"/>
                <w:lang w:eastAsia="ja-JP"/>
              </w:rPr>
            </w:pPr>
            <w:r w:rsidRPr="00CE60B2">
              <w:rPr>
                <w:rFonts w:cs="Segoe UI"/>
                <w:color w:val="000000"/>
                <w:sz w:val="16"/>
                <w:szCs w:val="16"/>
              </w:rPr>
              <w:t>51</w:t>
            </w:r>
          </w:p>
        </w:tc>
        <w:tc>
          <w:tcPr>
            <w:tcW w:w="0" w:type="auto"/>
            <w:shd w:val="clear" w:color="auto" w:fill="auto"/>
            <w:noWrap/>
            <w:vAlign w:val="bottom"/>
            <w:hideMark/>
          </w:tcPr>
          <w:p w14:paraId="26ABD320" w14:textId="77777777" w:rsidR="00E40B48" w:rsidRPr="00CE60B2" w:rsidRDefault="00E40B48" w:rsidP="00C423D1">
            <w:pPr>
              <w:rPr>
                <w:rFonts w:cs="Segoe UI"/>
                <w:lang w:eastAsia="ja-JP"/>
              </w:rPr>
            </w:pPr>
            <w:r w:rsidRPr="00CE60B2">
              <w:rPr>
                <w:rFonts w:cs="Segoe UI"/>
                <w:color w:val="000000"/>
                <w:sz w:val="16"/>
                <w:szCs w:val="16"/>
              </w:rPr>
              <w:t>52</w:t>
            </w:r>
          </w:p>
        </w:tc>
        <w:tc>
          <w:tcPr>
            <w:tcW w:w="0" w:type="auto"/>
            <w:shd w:val="clear" w:color="auto" w:fill="auto"/>
            <w:noWrap/>
            <w:vAlign w:val="bottom"/>
            <w:hideMark/>
          </w:tcPr>
          <w:p w14:paraId="26ABD321" w14:textId="77777777" w:rsidR="00E40B48" w:rsidRPr="00CE60B2" w:rsidRDefault="00E40B48" w:rsidP="00C423D1">
            <w:pPr>
              <w:rPr>
                <w:rFonts w:cs="Segoe UI"/>
                <w:lang w:eastAsia="ja-JP"/>
              </w:rPr>
            </w:pPr>
            <w:r w:rsidRPr="00CE60B2">
              <w:rPr>
                <w:rFonts w:cs="Segoe UI"/>
                <w:color w:val="000000"/>
                <w:sz w:val="16"/>
                <w:szCs w:val="16"/>
              </w:rPr>
              <w:t>54</w:t>
            </w:r>
          </w:p>
        </w:tc>
        <w:tc>
          <w:tcPr>
            <w:tcW w:w="0" w:type="auto"/>
            <w:shd w:val="clear" w:color="auto" w:fill="auto"/>
            <w:noWrap/>
            <w:vAlign w:val="bottom"/>
            <w:hideMark/>
          </w:tcPr>
          <w:p w14:paraId="26ABD322" w14:textId="77777777" w:rsidR="00E40B48" w:rsidRPr="00CE60B2" w:rsidRDefault="00E40B48" w:rsidP="00C423D1">
            <w:pPr>
              <w:rPr>
                <w:rFonts w:cs="Segoe UI"/>
                <w:lang w:eastAsia="ja-JP"/>
              </w:rPr>
            </w:pPr>
            <w:r w:rsidRPr="00CE60B2">
              <w:rPr>
                <w:rFonts w:cs="Segoe UI"/>
                <w:color w:val="000000"/>
                <w:sz w:val="16"/>
                <w:szCs w:val="16"/>
              </w:rPr>
              <w:t>51</w:t>
            </w:r>
          </w:p>
        </w:tc>
        <w:tc>
          <w:tcPr>
            <w:tcW w:w="0" w:type="auto"/>
            <w:shd w:val="clear" w:color="auto" w:fill="auto"/>
            <w:noWrap/>
            <w:vAlign w:val="bottom"/>
            <w:hideMark/>
          </w:tcPr>
          <w:p w14:paraId="26ABD323" w14:textId="77777777" w:rsidR="00E40B48" w:rsidRPr="00CE60B2" w:rsidRDefault="00E40B48" w:rsidP="00C423D1">
            <w:pPr>
              <w:rPr>
                <w:rFonts w:cs="Segoe UI"/>
                <w:lang w:eastAsia="ja-JP"/>
              </w:rPr>
            </w:pPr>
            <w:r w:rsidRPr="00CE60B2">
              <w:rPr>
                <w:rFonts w:cs="Segoe UI"/>
                <w:color w:val="000000"/>
                <w:sz w:val="16"/>
                <w:szCs w:val="16"/>
              </w:rPr>
              <w:t>50</w:t>
            </w:r>
          </w:p>
        </w:tc>
        <w:tc>
          <w:tcPr>
            <w:tcW w:w="0" w:type="auto"/>
            <w:shd w:val="clear" w:color="auto" w:fill="auto"/>
            <w:noWrap/>
            <w:vAlign w:val="bottom"/>
            <w:hideMark/>
          </w:tcPr>
          <w:p w14:paraId="26ABD324" w14:textId="77777777" w:rsidR="00E40B48" w:rsidRPr="00CE60B2" w:rsidRDefault="00E40B48" w:rsidP="00C423D1">
            <w:pPr>
              <w:rPr>
                <w:rFonts w:cs="Segoe UI"/>
                <w:lang w:eastAsia="ja-JP"/>
              </w:rPr>
            </w:pPr>
            <w:r w:rsidRPr="00CE60B2">
              <w:rPr>
                <w:rFonts w:cs="Segoe UI"/>
                <w:color w:val="000000"/>
                <w:sz w:val="16"/>
                <w:szCs w:val="16"/>
              </w:rPr>
              <w:t>54</w:t>
            </w:r>
          </w:p>
        </w:tc>
        <w:tc>
          <w:tcPr>
            <w:tcW w:w="0" w:type="auto"/>
            <w:shd w:val="clear" w:color="auto" w:fill="auto"/>
            <w:noWrap/>
            <w:vAlign w:val="bottom"/>
            <w:hideMark/>
          </w:tcPr>
          <w:p w14:paraId="26ABD325" w14:textId="77777777" w:rsidR="00E40B48" w:rsidRPr="00CE60B2" w:rsidRDefault="00E40B48" w:rsidP="00C423D1">
            <w:pPr>
              <w:rPr>
                <w:rFonts w:cs="Segoe UI"/>
                <w:lang w:eastAsia="ja-JP"/>
              </w:rPr>
            </w:pPr>
            <w:r w:rsidRPr="00CE60B2">
              <w:rPr>
                <w:rFonts w:cs="Segoe UI"/>
                <w:color w:val="000000"/>
                <w:sz w:val="16"/>
                <w:szCs w:val="16"/>
              </w:rPr>
              <w:t>61</w:t>
            </w:r>
          </w:p>
        </w:tc>
        <w:tc>
          <w:tcPr>
            <w:tcW w:w="0" w:type="auto"/>
            <w:shd w:val="clear" w:color="auto" w:fill="auto"/>
            <w:noWrap/>
            <w:vAlign w:val="bottom"/>
            <w:hideMark/>
          </w:tcPr>
          <w:p w14:paraId="26ABD326" w14:textId="77777777" w:rsidR="00E40B48" w:rsidRPr="00CE60B2" w:rsidRDefault="00E40B48" w:rsidP="00C423D1">
            <w:pPr>
              <w:rPr>
                <w:rFonts w:cs="Segoe UI"/>
                <w:lang w:eastAsia="ja-JP"/>
              </w:rPr>
            </w:pPr>
            <w:r w:rsidRPr="00CE60B2">
              <w:rPr>
                <w:rFonts w:cs="Segoe UI"/>
                <w:color w:val="000000"/>
                <w:sz w:val="16"/>
                <w:szCs w:val="16"/>
              </w:rPr>
              <w:t>59</w:t>
            </w:r>
          </w:p>
        </w:tc>
        <w:tc>
          <w:tcPr>
            <w:tcW w:w="0" w:type="auto"/>
            <w:shd w:val="clear" w:color="auto" w:fill="auto"/>
            <w:noWrap/>
            <w:vAlign w:val="bottom"/>
            <w:hideMark/>
          </w:tcPr>
          <w:p w14:paraId="26ABD327" w14:textId="77777777" w:rsidR="00E40B48" w:rsidRPr="00CE60B2" w:rsidRDefault="00E40B48" w:rsidP="00C423D1">
            <w:pPr>
              <w:rPr>
                <w:rFonts w:cs="Segoe UI"/>
                <w:lang w:eastAsia="ja-JP"/>
              </w:rPr>
            </w:pPr>
            <w:r w:rsidRPr="00CE60B2">
              <w:rPr>
                <w:rFonts w:cs="Segoe UI"/>
                <w:color w:val="000000"/>
                <w:sz w:val="16"/>
                <w:szCs w:val="16"/>
              </w:rPr>
              <w:t>58</w:t>
            </w:r>
          </w:p>
        </w:tc>
      </w:tr>
      <w:tr w:rsidR="00E40B48" w:rsidRPr="00CE60B2" w14:paraId="26ABD335" w14:textId="77777777" w:rsidTr="00C423D1">
        <w:trPr>
          <w:trHeight w:val="225"/>
        </w:trPr>
        <w:tc>
          <w:tcPr>
            <w:tcW w:w="0" w:type="auto"/>
            <w:shd w:val="clear" w:color="auto" w:fill="auto"/>
            <w:noWrap/>
            <w:vAlign w:val="bottom"/>
            <w:hideMark/>
          </w:tcPr>
          <w:p w14:paraId="26ABD329" w14:textId="77777777" w:rsidR="00E40B48" w:rsidRPr="00CE60B2" w:rsidRDefault="00E40B48" w:rsidP="00C423D1">
            <w:pPr>
              <w:rPr>
                <w:rFonts w:cs="Segoe UI"/>
                <w:b/>
                <w:color w:val="000000"/>
                <w:sz w:val="16"/>
                <w:szCs w:val="16"/>
              </w:rPr>
            </w:pPr>
            <w:r w:rsidRPr="00CE60B2">
              <w:rPr>
                <w:rFonts w:cs="Segoe UI"/>
                <w:b/>
                <w:color w:val="000000"/>
                <w:sz w:val="16"/>
                <w:szCs w:val="16"/>
              </w:rPr>
              <w:t>Total</w:t>
            </w:r>
          </w:p>
        </w:tc>
        <w:tc>
          <w:tcPr>
            <w:tcW w:w="0" w:type="auto"/>
            <w:shd w:val="clear" w:color="auto" w:fill="auto"/>
            <w:noWrap/>
            <w:vAlign w:val="bottom"/>
            <w:hideMark/>
          </w:tcPr>
          <w:p w14:paraId="26ABD32A" w14:textId="77777777" w:rsidR="00E40B48" w:rsidRPr="00CE60B2" w:rsidRDefault="00E40B48" w:rsidP="00C423D1">
            <w:pPr>
              <w:rPr>
                <w:rFonts w:cs="Segoe UI"/>
                <w:lang w:eastAsia="ja-JP"/>
              </w:rPr>
            </w:pPr>
            <w:r w:rsidRPr="00CE60B2">
              <w:rPr>
                <w:rFonts w:cs="Segoe UI"/>
                <w:color w:val="000000"/>
                <w:sz w:val="16"/>
                <w:szCs w:val="16"/>
              </w:rPr>
              <w:t>284</w:t>
            </w:r>
          </w:p>
        </w:tc>
        <w:tc>
          <w:tcPr>
            <w:tcW w:w="0" w:type="auto"/>
            <w:shd w:val="clear" w:color="auto" w:fill="auto"/>
            <w:noWrap/>
            <w:vAlign w:val="bottom"/>
            <w:hideMark/>
          </w:tcPr>
          <w:p w14:paraId="26ABD32B" w14:textId="77777777" w:rsidR="00E40B48" w:rsidRPr="00CE60B2" w:rsidRDefault="00E40B48" w:rsidP="00C423D1">
            <w:pPr>
              <w:rPr>
                <w:rFonts w:cs="Segoe UI"/>
                <w:lang w:eastAsia="ja-JP"/>
              </w:rPr>
            </w:pPr>
            <w:r w:rsidRPr="00CE60B2">
              <w:rPr>
                <w:rFonts w:cs="Segoe UI"/>
                <w:color w:val="000000"/>
                <w:sz w:val="16"/>
                <w:szCs w:val="16"/>
              </w:rPr>
              <w:t>291</w:t>
            </w:r>
          </w:p>
        </w:tc>
        <w:tc>
          <w:tcPr>
            <w:tcW w:w="0" w:type="auto"/>
            <w:shd w:val="clear" w:color="auto" w:fill="auto"/>
            <w:noWrap/>
            <w:vAlign w:val="bottom"/>
            <w:hideMark/>
          </w:tcPr>
          <w:p w14:paraId="26ABD32C" w14:textId="77777777" w:rsidR="00E40B48" w:rsidRPr="00CE60B2" w:rsidRDefault="00E40B48" w:rsidP="00C423D1">
            <w:pPr>
              <w:rPr>
                <w:rFonts w:cs="Segoe UI"/>
                <w:lang w:eastAsia="ja-JP"/>
              </w:rPr>
            </w:pPr>
            <w:r w:rsidRPr="00CE60B2">
              <w:rPr>
                <w:rFonts w:cs="Segoe UI"/>
                <w:color w:val="000000"/>
                <w:sz w:val="16"/>
                <w:szCs w:val="16"/>
              </w:rPr>
              <w:t>314</w:t>
            </w:r>
          </w:p>
        </w:tc>
        <w:tc>
          <w:tcPr>
            <w:tcW w:w="0" w:type="auto"/>
            <w:shd w:val="clear" w:color="auto" w:fill="auto"/>
            <w:noWrap/>
            <w:vAlign w:val="bottom"/>
            <w:hideMark/>
          </w:tcPr>
          <w:p w14:paraId="26ABD32D" w14:textId="77777777" w:rsidR="00E40B48" w:rsidRPr="00CE60B2" w:rsidRDefault="00E40B48" w:rsidP="00C423D1">
            <w:pPr>
              <w:rPr>
                <w:rFonts w:cs="Segoe UI"/>
                <w:lang w:eastAsia="ja-JP"/>
              </w:rPr>
            </w:pPr>
            <w:r w:rsidRPr="00CE60B2">
              <w:rPr>
                <w:rFonts w:cs="Segoe UI"/>
                <w:color w:val="000000"/>
                <w:sz w:val="16"/>
                <w:szCs w:val="16"/>
              </w:rPr>
              <w:t>310</w:t>
            </w:r>
          </w:p>
        </w:tc>
        <w:tc>
          <w:tcPr>
            <w:tcW w:w="0" w:type="auto"/>
            <w:shd w:val="clear" w:color="auto" w:fill="auto"/>
            <w:noWrap/>
            <w:vAlign w:val="bottom"/>
            <w:hideMark/>
          </w:tcPr>
          <w:p w14:paraId="26ABD32E" w14:textId="77777777" w:rsidR="00E40B48" w:rsidRPr="00CE60B2" w:rsidRDefault="00E40B48" w:rsidP="00C423D1">
            <w:pPr>
              <w:rPr>
                <w:rFonts w:cs="Segoe UI"/>
                <w:lang w:eastAsia="ja-JP"/>
              </w:rPr>
            </w:pPr>
            <w:r w:rsidRPr="00CE60B2">
              <w:rPr>
                <w:rFonts w:cs="Segoe UI"/>
                <w:color w:val="000000"/>
                <w:sz w:val="16"/>
                <w:szCs w:val="16"/>
              </w:rPr>
              <w:t>348</w:t>
            </w:r>
          </w:p>
        </w:tc>
        <w:tc>
          <w:tcPr>
            <w:tcW w:w="0" w:type="auto"/>
            <w:shd w:val="clear" w:color="auto" w:fill="auto"/>
            <w:noWrap/>
            <w:vAlign w:val="bottom"/>
            <w:hideMark/>
          </w:tcPr>
          <w:p w14:paraId="26ABD32F" w14:textId="77777777" w:rsidR="00E40B48" w:rsidRPr="00CE60B2" w:rsidRDefault="00E40B48" w:rsidP="00C423D1">
            <w:pPr>
              <w:rPr>
                <w:rFonts w:cs="Segoe UI"/>
                <w:lang w:eastAsia="ja-JP"/>
              </w:rPr>
            </w:pPr>
            <w:r w:rsidRPr="00CE60B2">
              <w:rPr>
                <w:rFonts w:cs="Segoe UI"/>
                <w:color w:val="000000"/>
                <w:sz w:val="16"/>
                <w:szCs w:val="16"/>
              </w:rPr>
              <w:t>282</w:t>
            </w:r>
          </w:p>
        </w:tc>
        <w:tc>
          <w:tcPr>
            <w:tcW w:w="0" w:type="auto"/>
            <w:shd w:val="clear" w:color="auto" w:fill="auto"/>
            <w:noWrap/>
            <w:vAlign w:val="bottom"/>
            <w:hideMark/>
          </w:tcPr>
          <w:p w14:paraId="26ABD330" w14:textId="77777777" w:rsidR="00E40B48" w:rsidRPr="00CE60B2" w:rsidRDefault="00E40B48" w:rsidP="00C423D1">
            <w:pPr>
              <w:rPr>
                <w:rFonts w:cs="Segoe UI"/>
                <w:lang w:eastAsia="ja-JP"/>
              </w:rPr>
            </w:pPr>
            <w:r w:rsidRPr="00CE60B2">
              <w:rPr>
                <w:rFonts w:cs="Segoe UI"/>
                <w:color w:val="000000"/>
                <w:sz w:val="16"/>
                <w:szCs w:val="16"/>
              </w:rPr>
              <w:t>270</w:t>
            </w:r>
          </w:p>
        </w:tc>
        <w:tc>
          <w:tcPr>
            <w:tcW w:w="0" w:type="auto"/>
            <w:shd w:val="clear" w:color="auto" w:fill="auto"/>
            <w:noWrap/>
            <w:vAlign w:val="bottom"/>
            <w:hideMark/>
          </w:tcPr>
          <w:p w14:paraId="26ABD331" w14:textId="77777777" w:rsidR="00E40B48" w:rsidRPr="00CE60B2" w:rsidRDefault="00E40B48" w:rsidP="00C423D1">
            <w:pPr>
              <w:rPr>
                <w:rFonts w:cs="Segoe UI"/>
                <w:lang w:eastAsia="ja-JP"/>
              </w:rPr>
            </w:pPr>
            <w:r w:rsidRPr="00CE60B2">
              <w:rPr>
                <w:rFonts w:cs="Segoe UI"/>
                <w:color w:val="000000"/>
                <w:sz w:val="16"/>
                <w:szCs w:val="16"/>
              </w:rPr>
              <w:t>277</w:t>
            </w:r>
          </w:p>
        </w:tc>
        <w:tc>
          <w:tcPr>
            <w:tcW w:w="0" w:type="auto"/>
            <w:shd w:val="clear" w:color="auto" w:fill="auto"/>
            <w:noWrap/>
            <w:vAlign w:val="bottom"/>
            <w:hideMark/>
          </w:tcPr>
          <w:p w14:paraId="26ABD332" w14:textId="77777777" w:rsidR="00E40B48" w:rsidRPr="00CE60B2" w:rsidRDefault="00E40B48" w:rsidP="00C423D1">
            <w:pPr>
              <w:rPr>
                <w:rFonts w:cs="Segoe UI"/>
                <w:lang w:eastAsia="ja-JP"/>
              </w:rPr>
            </w:pPr>
            <w:r w:rsidRPr="00CE60B2">
              <w:rPr>
                <w:rFonts w:cs="Segoe UI"/>
                <w:color w:val="000000"/>
                <w:sz w:val="16"/>
                <w:szCs w:val="16"/>
              </w:rPr>
              <w:t>327</w:t>
            </w:r>
          </w:p>
        </w:tc>
        <w:tc>
          <w:tcPr>
            <w:tcW w:w="0" w:type="auto"/>
            <w:shd w:val="clear" w:color="auto" w:fill="auto"/>
            <w:noWrap/>
            <w:vAlign w:val="bottom"/>
            <w:hideMark/>
          </w:tcPr>
          <w:p w14:paraId="26ABD333" w14:textId="77777777" w:rsidR="00E40B48" w:rsidRPr="00CE60B2" w:rsidRDefault="00E40B48" w:rsidP="00C423D1">
            <w:pPr>
              <w:rPr>
                <w:rFonts w:cs="Segoe UI"/>
                <w:lang w:eastAsia="ja-JP"/>
              </w:rPr>
            </w:pPr>
            <w:r w:rsidRPr="00CE60B2">
              <w:rPr>
                <w:rFonts w:cs="Segoe UI"/>
                <w:color w:val="000000"/>
                <w:sz w:val="16"/>
                <w:szCs w:val="16"/>
              </w:rPr>
              <w:t>350</w:t>
            </w:r>
          </w:p>
        </w:tc>
        <w:tc>
          <w:tcPr>
            <w:tcW w:w="0" w:type="auto"/>
            <w:shd w:val="clear" w:color="auto" w:fill="auto"/>
            <w:noWrap/>
            <w:vAlign w:val="bottom"/>
            <w:hideMark/>
          </w:tcPr>
          <w:p w14:paraId="26ABD334" w14:textId="77777777" w:rsidR="00E40B48" w:rsidRPr="00CE60B2" w:rsidRDefault="00E40B48" w:rsidP="00C423D1">
            <w:pPr>
              <w:rPr>
                <w:rFonts w:cs="Segoe UI"/>
                <w:lang w:eastAsia="ja-JP"/>
              </w:rPr>
            </w:pPr>
            <w:r w:rsidRPr="00CE60B2">
              <w:rPr>
                <w:rFonts w:cs="Segoe UI"/>
                <w:color w:val="000000"/>
                <w:sz w:val="16"/>
                <w:szCs w:val="16"/>
              </w:rPr>
              <w:t>336</w:t>
            </w:r>
          </w:p>
        </w:tc>
      </w:tr>
    </w:tbl>
    <w:p w14:paraId="26ABD337" w14:textId="77777777" w:rsidR="00DB510B" w:rsidRPr="00CE60B2" w:rsidRDefault="00DB510B" w:rsidP="008A4979">
      <w:pPr>
        <w:pStyle w:val="Heading3"/>
        <w:rPr>
          <w:lang w:eastAsia="en-AU"/>
        </w:rPr>
      </w:pPr>
      <w:bookmarkStart w:id="137" w:name="_Toc524952813"/>
      <w:bookmarkStart w:id="138" w:name="_Toc2776056"/>
      <w:r w:rsidRPr="00CE60B2">
        <w:rPr>
          <w:lang w:eastAsia="en-AU"/>
        </w:rPr>
        <w:lastRenderedPageBreak/>
        <w:t>Indicator 6.1b</w:t>
      </w:r>
      <w:r w:rsidRPr="00CE60B2">
        <w:rPr>
          <w:lang w:eastAsia="en-AU"/>
        </w:rPr>
        <w:tab/>
        <w:t>Values, quantities and use of non-wood forest products</w:t>
      </w:r>
      <w:bookmarkEnd w:id="137"/>
      <w:bookmarkEnd w:id="138"/>
    </w:p>
    <w:p w14:paraId="26ABD338" w14:textId="77777777" w:rsidR="00E40B48" w:rsidRPr="00CE60B2" w:rsidRDefault="00E40B48" w:rsidP="00E40B48">
      <w:pPr>
        <w:rPr>
          <w:rFonts w:cs="Segoe UI"/>
          <w:lang w:eastAsia="ja-JP"/>
        </w:rPr>
      </w:pPr>
      <w:bookmarkStart w:id="139" w:name="_Toc524952814"/>
      <w:r w:rsidRPr="00CE60B2">
        <w:rPr>
          <w:rFonts w:cs="Segoe UI"/>
          <w:lang w:eastAsia="ja-JP"/>
        </w:rPr>
        <w:t>This indicator enables socio-economic benefits to be monitored by ascertaining trends in quantities, values and usage of non-wood forest products against management objectives.</w:t>
      </w:r>
    </w:p>
    <w:p w14:paraId="26ABD339" w14:textId="77777777" w:rsidR="00E40B48" w:rsidRPr="00CE60B2" w:rsidRDefault="00E40B48" w:rsidP="00E40B48">
      <w:pPr>
        <w:rPr>
          <w:rFonts w:cs="Segoe UI"/>
          <w:lang w:eastAsia="ja-JP"/>
        </w:rPr>
      </w:pPr>
      <w:r w:rsidRPr="00CE60B2">
        <w:rPr>
          <w:rFonts w:cs="Segoe UI"/>
          <w:lang w:eastAsia="ja-JP"/>
        </w:rPr>
        <w:t>Monitoring the supply and sale of specific non-wood forest products from forests helps forest managers understand the extent to which forests remain an important multiple-use resource, supplying products sought by the community.</w:t>
      </w:r>
    </w:p>
    <w:p w14:paraId="26ABD33A" w14:textId="77777777" w:rsidR="00E40B48" w:rsidRPr="00CE60B2" w:rsidRDefault="00E40B48" w:rsidP="008A4979">
      <w:pPr>
        <w:pStyle w:val="Heading4"/>
        <w:rPr>
          <w:rFonts w:cs="Segoe UI"/>
        </w:rPr>
      </w:pPr>
      <w:r w:rsidRPr="00CE60B2">
        <w:rPr>
          <w:rFonts w:cs="Segoe UI"/>
        </w:rPr>
        <w:t>Discussion</w:t>
      </w:r>
    </w:p>
    <w:p w14:paraId="26ABD33B" w14:textId="77777777" w:rsidR="00E40B48" w:rsidRPr="00CE60B2" w:rsidRDefault="00E40B48" w:rsidP="00E40B48">
      <w:pPr>
        <w:autoSpaceDE w:val="0"/>
        <w:autoSpaceDN w:val="0"/>
        <w:adjustRightInd w:val="0"/>
        <w:spacing w:before="0" w:after="0"/>
        <w:rPr>
          <w:rFonts w:cs="Segoe UI"/>
          <w:lang w:eastAsia="ja-JP"/>
        </w:rPr>
      </w:pPr>
      <w:r w:rsidRPr="00CE60B2">
        <w:rPr>
          <w:rFonts w:cs="Segoe UI"/>
          <w:lang w:eastAsia="ja-JP"/>
        </w:rPr>
        <w:t>For the purpose of measurement against this indicator, non-wood forest products in State forests have been determined to be those products that are not supplied to sawmills or wood-based processing plants. Non-wood forest products may be for personal use or as part of a commercial enterprise.</w:t>
      </w:r>
    </w:p>
    <w:p w14:paraId="26ABD33C" w14:textId="77777777" w:rsidR="00E40B48" w:rsidRPr="00CE60B2" w:rsidRDefault="00865EFE" w:rsidP="00E40B48">
      <w:pPr>
        <w:rPr>
          <w:rFonts w:cs="Segoe UI"/>
          <w:lang w:eastAsia="ja-JP"/>
        </w:rPr>
      </w:pPr>
      <w:r>
        <w:rPr>
          <w:rFonts w:cs="Segoe UI"/>
          <w:lang w:eastAsia="ja-JP"/>
        </w:rPr>
        <w:t xml:space="preserve">Within the WA RFA region </w:t>
      </w:r>
      <w:r w:rsidR="00C921AB">
        <w:rPr>
          <w:rFonts w:cs="Segoe UI"/>
          <w:lang w:eastAsia="ja-JP"/>
        </w:rPr>
        <w:t>the major non-wood product from the native forests is potable water from managed catchments. Other important</w:t>
      </w:r>
      <w:r w:rsidR="00E40B48" w:rsidRPr="00CE60B2">
        <w:rPr>
          <w:rFonts w:cs="Segoe UI"/>
          <w:lang w:eastAsia="ja-JP"/>
        </w:rPr>
        <w:t xml:space="preserve"> products </w:t>
      </w:r>
      <w:r w:rsidR="005409DB">
        <w:rPr>
          <w:rFonts w:cs="Segoe UI"/>
          <w:lang w:eastAsia="ja-JP"/>
        </w:rPr>
        <w:t>are mining enterprises, apiculture, floriculture (seed)</w:t>
      </w:r>
      <w:r w:rsidR="00E40B48" w:rsidRPr="00CE60B2">
        <w:rPr>
          <w:rFonts w:cs="Segoe UI"/>
          <w:lang w:eastAsia="ja-JP"/>
        </w:rPr>
        <w:t>, gravel, sand and rock</w:t>
      </w:r>
      <w:r w:rsidR="006912BD">
        <w:rPr>
          <w:rFonts w:cs="Segoe UI"/>
          <w:lang w:eastAsia="ja-JP"/>
        </w:rPr>
        <w:t>.</w:t>
      </w:r>
      <w:r w:rsidR="00E40B48" w:rsidRPr="00CE60B2">
        <w:rPr>
          <w:rFonts w:cs="Segoe UI"/>
          <w:lang w:eastAsia="ja-JP"/>
        </w:rPr>
        <w:t xml:space="preserve"> </w:t>
      </w:r>
      <w:r w:rsidR="006912BD">
        <w:rPr>
          <w:rFonts w:cs="Segoe UI"/>
          <w:lang w:eastAsia="ja-JP"/>
        </w:rPr>
        <w:t>Other</w:t>
      </w:r>
      <w:r w:rsidR="00E40B48" w:rsidRPr="00CE60B2">
        <w:rPr>
          <w:rFonts w:cs="Segoe UI"/>
          <w:lang w:eastAsia="ja-JP"/>
        </w:rPr>
        <w:t xml:space="preserve"> activities and infrastructure </w:t>
      </w:r>
      <w:r w:rsidR="006912BD">
        <w:rPr>
          <w:rFonts w:cs="Segoe UI"/>
          <w:lang w:eastAsia="ja-JP"/>
        </w:rPr>
        <w:t xml:space="preserve">within the RFA region </w:t>
      </w:r>
      <w:r w:rsidR="00E40B48" w:rsidRPr="00CE60B2">
        <w:rPr>
          <w:rFonts w:cs="Segoe UI"/>
          <w:lang w:eastAsia="ja-JP"/>
        </w:rPr>
        <w:t>includ</w:t>
      </w:r>
      <w:r w:rsidR="006912BD">
        <w:rPr>
          <w:rFonts w:cs="Segoe UI"/>
          <w:lang w:eastAsia="ja-JP"/>
        </w:rPr>
        <w:t>e</w:t>
      </w:r>
      <w:r w:rsidR="00E40B48" w:rsidRPr="00CE60B2">
        <w:rPr>
          <w:rFonts w:cs="Segoe UI"/>
          <w:lang w:eastAsia="ja-JP"/>
        </w:rPr>
        <w:t xml:space="preserve">, communication sites, powerlines/pipelines/cables and other infrastructure sites. </w:t>
      </w:r>
      <w:r w:rsidR="006912BD">
        <w:rPr>
          <w:rFonts w:cs="Segoe UI"/>
          <w:lang w:eastAsia="ja-JP"/>
        </w:rPr>
        <w:t>L</w:t>
      </w:r>
      <w:r w:rsidR="00E40B48" w:rsidRPr="00CE60B2">
        <w:rPr>
          <w:rFonts w:cs="Segoe UI"/>
          <w:lang w:eastAsia="ja-JP"/>
        </w:rPr>
        <w:t xml:space="preserve">ess common non-wood forest products which are utilised for specific commercial purposes include eucalypt leaf/oil, bark and native (protected) plants and wildflowers. There are other non-wood forest products that are collected for personal use and usually without cost e.g. wild berries and mushrooms, with no statistics maintained </w:t>
      </w:r>
      <w:r w:rsidR="005409DB">
        <w:rPr>
          <w:rFonts w:cs="Segoe UI"/>
          <w:lang w:eastAsia="ja-JP"/>
        </w:rPr>
        <w:t>of these</w:t>
      </w:r>
      <w:r w:rsidR="00E40B48" w:rsidRPr="00CE60B2">
        <w:rPr>
          <w:rFonts w:cs="Segoe UI"/>
          <w:lang w:eastAsia="ja-JP"/>
        </w:rPr>
        <w:t xml:space="preserve"> collections.</w:t>
      </w:r>
    </w:p>
    <w:p w14:paraId="26ABD33D" w14:textId="77777777" w:rsidR="00E40B48" w:rsidRPr="00CE60B2" w:rsidRDefault="00E40B48" w:rsidP="000F6020">
      <w:pPr>
        <w:pStyle w:val="Heading4"/>
        <w:rPr>
          <w:rFonts w:cs="Segoe UI"/>
          <w:lang w:eastAsia="ja-JP"/>
        </w:rPr>
      </w:pPr>
      <w:r w:rsidRPr="00CE60B2">
        <w:rPr>
          <w:rFonts w:cs="Segoe UI"/>
          <w:lang w:eastAsia="ja-JP"/>
        </w:rPr>
        <w:t>Mining</w:t>
      </w:r>
    </w:p>
    <w:p w14:paraId="26ABD33E" w14:textId="77777777" w:rsidR="00E40B48" w:rsidRDefault="00E40B48" w:rsidP="00E40B48">
      <w:pPr>
        <w:rPr>
          <w:rFonts w:cs="Segoe UI"/>
          <w:lang w:eastAsia="ja-JP"/>
        </w:rPr>
      </w:pPr>
      <w:r w:rsidRPr="00CE60B2">
        <w:rPr>
          <w:rFonts w:cs="Segoe UI"/>
          <w:lang w:eastAsia="ja-JP"/>
        </w:rPr>
        <w:t>Within the RFA region there are substantial mining enterprises operating in forest areas, including mining for bauxite (Darling Range), gold (Boddington), lithium / tantalum (Greenbushes) and coal (Collie). Aside from the direct economic contribution the industry underpins employment for many regional communities within the RFA region.</w:t>
      </w:r>
      <w:r w:rsidR="00104E87">
        <w:rPr>
          <w:rFonts w:cs="Segoe UI"/>
          <w:lang w:eastAsia="ja-JP"/>
        </w:rPr>
        <w:t xml:space="preserve"> The WA Department of Jobs, Tourism, Science and Innovation </w:t>
      </w:r>
      <w:r w:rsidR="00105EA1">
        <w:rPr>
          <w:rFonts w:cs="Segoe UI"/>
          <w:lang w:eastAsia="ja-JP"/>
        </w:rPr>
        <w:t>report</w:t>
      </w:r>
      <w:r w:rsidR="00104E87">
        <w:rPr>
          <w:rFonts w:cs="Segoe UI"/>
          <w:lang w:eastAsia="ja-JP"/>
        </w:rPr>
        <w:t>ed the following information:</w:t>
      </w:r>
    </w:p>
    <w:p w14:paraId="26ABD33F" w14:textId="77777777" w:rsidR="0050535A" w:rsidRDefault="0050535A" w:rsidP="00C903EE">
      <w:pPr>
        <w:pStyle w:val="ListParagraph"/>
        <w:numPr>
          <w:ilvl w:val="0"/>
          <w:numId w:val="54"/>
        </w:numPr>
      </w:pPr>
      <w:r>
        <w:t xml:space="preserve">Alcoa of Australia Limited (Alcoa) owns two mines and three refineries operating within the WA RFA area under three State Agreements - </w:t>
      </w:r>
      <w:r w:rsidRPr="00176847">
        <w:rPr>
          <w:i/>
        </w:rPr>
        <w:t>Alumina Refinery Agreement Act 1961, Alumina Refinery (Pinjarra) Agreement Act 1969</w:t>
      </w:r>
      <w:r>
        <w:t xml:space="preserve"> &amp; </w:t>
      </w:r>
      <w:r w:rsidRPr="00176847">
        <w:rPr>
          <w:i/>
        </w:rPr>
        <w:t>Alumina Refinery (Wagerup) Agreement and Acts Amendment Act 1978</w:t>
      </w:r>
      <w:r>
        <w:t>. The</w:t>
      </w:r>
      <w:r w:rsidR="00F26DBE">
        <w:t>se operations produce almost 45 per cent</w:t>
      </w:r>
      <w:r>
        <w:t xml:space="preserve"> of Australia’s alumina. Alcoa mines approximately 35 million tonnes per annum of bauxite and produces approximately 9 million tonnes per annum of alumina from the refineries. Alcoa employs more </w:t>
      </w:r>
      <w:r w:rsidR="006C03A0">
        <w:t>than</w:t>
      </w:r>
      <w:r>
        <w:t xml:space="preserve"> 3, 730 people in WA, and spends $654 million annually in wages and benefits in WA whilst investing $1.39 billion in operating and capital expenditure annually in WA. Alcoa pays $400 million in State and Federal taxes annually. More than 75 per cent of Alcoa’s total revenue stays in Australia through wages, local purchasing, taxes, royalties, capital investment and dividends to Australian shareholders.</w:t>
      </w:r>
    </w:p>
    <w:p w14:paraId="26ABD340" w14:textId="77777777" w:rsidR="0050535A" w:rsidRDefault="0050535A" w:rsidP="00C903EE">
      <w:pPr>
        <w:pStyle w:val="ListParagraph"/>
        <w:numPr>
          <w:ilvl w:val="0"/>
          <w:numId w:val="54"/>
        </w:numPr>
      </w:pPr>
      <w:r>
        <w:t xml:space="preserve">South32 is the major shareholder and operates Worsley Alumina, a bauxite mine and a refinery within the WA RFA area under the </w:t>
      </w:r>
      <w:r w:rsidRPr="00176847">
        <w:rPr>
          <w:i/>
        </w:rPr>
        <w:t>Alumina Refinery (Worsley) Agreement Act 1973.</w:t>
      </w:r>
      <w:r>
        <w:t xml:space="preserve"> Worsley Alumina mines approximately 16-17 million tonnes per annum of bauxite and the refinery has the capacity to produce 4.7 million tonnes per a</w:t>
      </w:r>
      <w:r w:rsidR="00F26DBE">
        <w:t xml:space="preserve">nnum of </w:t>
      </w:r>
      <w:r w:rsidR="00F26DBE">
        <w:lastRenderedPageBreak/>
        <w:t>alumina. In the 2017</w:t>
      </w:r>
      <w:r w:rsidR="00F26DBE">
        <w:noBreakHyphen/>
        <w:t>18 </w:t>
      </w:r>
      <w:r>
        <w:t xml:space="preserve">financial year, Worsley Alumina recorded revenue of $1.4 billion and capital </w:t>
      </w:r>
      <w:r w:rsidR="00F26DBE">
        <w:t>expenditure of over $50 </w:t>
      </w:r>
      <w:r>
        <w:t>million.</w:t>
      </w:r>
      <w:r w:rsidR="00F26DBE">
        <w:t xml:space="preserve"> The company employs over 2,000 </w:t>
      </w:r>
      <w:r>
        <w:t xml:space="preserve">employees and contractors in WA, and has an annual </w:t>
      </w:r>
      <w:r w:rsidR="00F26DBE">
        <w:t>procurement expenditure of $500 </w:t>
      </w:r>
      <w:r>
        <w:t>million in WA.</w:t>
      </w:r>
    </w:p>
    <w:p w14:paraId="26ABD341" w14:textId="77777777" w:rsidR="00E40B48" w:rsidRPr="00CE60B2" w:rsidRDefault="00E40B48" w:rsidP="000F6020">
      <w:pPr>
        <w:pStyle w:val="Heading4"/>
        <w:rPr>
          <w:rFonts w:cs="Segoe UI"/>
        </w:rPr>
      </w:pPr>
      <w:r w:rsidRPr="00CE60B2">
        <w:rPr>
          <w:rFonts w:cs="Segoe UI"/>
        </w:rPr>
        <w:t xml:space="preserve">Honey and other bee products </w:t>
      </w:r>
    </w:p>
    <w:p w14:paraId="26ABD342" w14:textId="77777777" w:rsidR="005409DB" w:rsidRDefault="00E40B48" w:rsidP="00B537EA">
      <w:pPr>
        <w:rPr>
          <w:color w:val="000000"/>
        </w:rPr>
      </w:pPr>
      <w:r w:rsidRPr="00C07225">
        <w:rPr>
          <w:color w:val="000000"/>
        </w:rPr>
        <w:t>As at June 2018 there were 1,585 apiary sites located within the RFA area, of which 539 are located within the CAR reserve system, 981 are located within the area available for timber harvesting and 65 are on lands not managed by the D</w:t>
      </w:r>
      <w:r w:rsidR="008F4B4E">
        <w:rPr>
          <w:color w:val="000000"/>
        </w:rPr>
        <w:t>BCA</w:t>
      </w:r>
      <w:r w:rsidRPr="00C07225">
        <w:rPr>
          <w:color w:val="000000"/>
        </w:rPr>
        <w:t xml:space="preserve">. Sites are occupied seasonally following the flowering of selected species. </w:t>
      </w:r>
    </w:p>
    <w:p w14:paraId="26ABD343" w14:textId="77777777" w:rsidR="008B2771" w:rsidRDefault="00E40B48" w:rsidP="00B537EA">
      <w:r w:rsidRPr="00C07225">
        <w:rPr>
          <w:color w:val="000000"/>
        </w:rPr>
        <w:t xml:space="preserve">Honey is the major commercial </w:t>
      </w:r>
      <w:r w:rsidR="006912BD">
        <w:rPr>
          <w:color w:val="000000"/>
        </w:rPr>
        <w:t>product</w:t>
      </w:r>
      <w:r w:rsidRPr="00C07225">
        <w:rPr>
          <w:color w:val="000000"/>
        </w:rPr>
        <w:t xml:space="preserve"> of the honey bee industry. There are </w:t>
      </w:r>
      <w:r w:rsidR="006912BD">
        <w:rPr>
          <w:color w:val="000000"/>
        </w:rPr>
        <w:t>several</w:t>
      </w:r>
      <w:r w:rsidRPr="00C07225">
        <w:rPr>
          <w:color w:val="000000"/>
        </w:rPr>
        <w:t xml:space="preserve"> other products which </w:t>
      </w:r>
      <w:r w:rsidR="006912BD">
        <w:rPr>
          <w:color w:val="000000"/>
        </w:rPr>
        <w:t xml:space="preserve">can </w:t>
      </w:r>
      <w:r w:rsidRPr="00C07225">
        <w:rPr>
          <w:color w:val="000000"/>
        </w:rPr>
        <w:t>add to the income of honey bee businesses, includ</w:t>
      </w:r>
      <w:r w:rsidR="006912BD">
        <w:rPr>
          <w:color w:val="000000"/>
        </w:rPr>
        <w:t>ing</w:t>
      </w:r>
      <w:r w:rsidRPr="00C07225">
        <w:rPr>
          <w:color w:val="000000"/>
        </w:rPr>
        <w:t xml:space="preserve"> paid pollination services, beeswax production, queen bee and packaged bee sales.</w:t>
      </w:r>
    </w:p>
    <w:p w14:paraId="26ABD344" w14:textId="77777777" w:rsidR="005409DB" w:rsidRDefault="00E40B48" w:rsidP="00C07225">
      <w:r w:rsidRPr="00C07225">
        <w:rPr>
          <w:color w:val="000000"/>
        </w:rPr>
        <w:t xml:space="preserve">Western Australian honey is </w:t>
      </w:r>
      <w:r w:rsidR="006912BD">
        <w:rPr>
          <w:color w:val="000000"/>
        </w:rPr>
        <w:t xml:space="preserve">reputed to be </w:t>
      </w:r>
      <w:r w:rsidRPr="00C07225">
        <w:rPr>
          <w:color w:val="000000"/>
        </w:rPr>
        <w:t xml:space="preserve">amongst the best in the world. The industry is notable for the absence of bee diseases, and it exports bees to other countries each year. The only European honey bee available in Western Australia is </w:t>
      </w:r>
      <w:r w:rsidRPr="00C07225">
        <w:rPr>
          <w:i/>
          <w:color w:val="000000"/>
        </w:rPr>
        <w:t xml:space="preserve">Apis mellifera </w:t>
      </w:r>
      <w:r w:rsidRPr="00C07225">
        <w:rPr>
          <w:color w:val="000000"/>
        </w:rPr>
        <w:t>(European honey bee).</w:t>
      </w:r>
      <w:r w:rsidR="008B2771">
        <w:t xml:space="preserve"> </w:t>
      </w:r>
    </w:p>
    <w:p w14:paraId="26ABD345" w14:textId="77777777" w:rsidR="00E40B48" w:rsidRPr="00C07225" w:rsidRDefault="00E40B48" w:rsidP="00C07225">
      <w:pPr>
        <w:rPr>
          <w:color w:val="000000"/>
        </w:rPr>
      </w:pPr>
      <w:r w:rsidRPr="00C07225">
        <w:rPr>
          <w:color w:val="000000"/>
        </w:rPr>
        <w:t>Jarrah honey has one of the highest levels of anti-microbial activity of any honey, similar to Manuka honey from New Zealand, but using a different mechanism.</w:t>
      </w:r>
    </w:p>
    <w:p w14:paraId="26ABD346" w14:textId="77777777" w:rsidR="00E40B48" w:rsidRPr="00C07225" w:rsidRDefault="00E40B48" w:rsidP="00C07225">
      <w:pPr>
        <w:rPr>
          <w:color w:val="000000"/>
        </w:rPr>
      </w:pPr>
      <w:r w:rsidRPr="00C07225">
        <w:rPr>
          <w:color w:val="000000"/>
        </w:rPr>
        <w:t>Recent increases in the export price of honey, driven by strong demand from China, has increased the value of sites and led to a consolidation and further professionalisation of the industry in Western Australia. Competition for sites among apiarist</w:t>
      </w:r>
      <w:r w:rsidR="006912BD">
        <w:rPr>
          <w:color w:val="000000"/>
        </w:rPr>
        <w:t>s</w:t>
      </w:r>
      <w:r w:rsidRPr="00C07225">
        <w:rPr>
          <w:color w:val="000000"/>
        </w:rPr>
        <w:t xml:space="preserve"> has intensified during the term of the RFA. The finalisation of management plans in reserves with high biodiversity has required the cancellation of some sites in the south coast and other south west forest locations. These planning decisions have </w:t>
      </w:r>
      <w:r w:rsidR="004D1E59" w:rsidRPr="00C07225">
        <w:rPr>
          <w:color w:val="000000"/>
        </w:rPr>
        <w:t>in turn</w:t>
      </w:r>
      <w:r w:rsidRPr="00C07225">
        <w:rPr>
          <w:color w:val="000000"/>
        </w:rPr>
        <w:t xml:space="preserve"> improved site efficiency and use and helped addressed site latency issues.</w:t>
      </w:r>
    </w:p>
    <w:p w14:paraId="26ABD347" w14:textId="77777777" w:rsidR="00C05C5E" w:rsidRPr="00CE60B2" w:rsidRDefault="00233A53" w:rsidP="00B537EA">
      <w:r>
        <w:t xml:space="preserve">DPIRD reported that in the 2016-17 </w:t>
      </w:r>
      <w:r w:rsidR="008A4C96">
        <w:t>financial</w:t>
      </w:r>
      <w:r>
        <w:t xml:space="preserve"> year the </w:t>
      </w:r>
      <w:r w:rsidR="00F26DBE">
        <w:t>bee product value in WA was $11 </w:t>
      </w:r>
      <w:r>
        <w:t>mi</w:t>
      </w:r>
      <w:r w:rsidR="006C2233">
        <w:t>l</w:t>
      </w:r>
      <w:r>
        <w:t>lion, coming from 2,664 registered beekeepers within t</w:t>
      </w:r>
      <w:r w:rsidR="00F26DBE">
        <w:t>he state (152 commercial, 2,512 non</w:t>
      </w:r>
      <w:r w:rsidR="00F26DBE">
        <w:noBreakHyphen/>
      </w:r>
      <w:r>
        <w:t xml:space="preserve">commercial). The Bee Industry Council of Western Australia (BICWA) </w:t>
      </w:r>
      <w:r w:rsidR="009C7113">
        <w:t>estimates</w:t>
      </w:r>
      <w:r>
        <w:t xml:space="preserve"> the value of bees and beekeeping to th</w:t>
      </w:r>
      <w:r w:rsidR="00F26DBE">
        <w:t>e WA economy is as much as $1.2 </w:t>
      </w:r>
      <w:r>
        <w:t>billion for pollination and $30-50 million for honey and associated products.</w:t>
      </w:r>
      <w:r w:rsidR="00C05C5E">
        <w:t xml:space="preserve"> BICWA also </w:t>
      </w:r>
      <w:r w:rsidR="009C7113">
        <w:t>estimates</w:t>
      </w:r>
      <w:r w:rsidR="00F26DBE">
        <w:t xml:space="preserve"> there are 1,500 </w:t>
      </w:r>
      <w:r w:rsidR="00C05C5E">
        <w:t>people directly employed in the industry, as well as another 2,000 in associated pollination services. BICWA’s strategi</w:t>
      </w:r>
      <w:r w:rsidR="00A629BD">
        <w:t>c</w:t>
      </w:r>
      <w:r w:rsidR="00C05C5E">
        <w:t xml:space="preserve"> plan fo</w:t>
      </w:r>
      <w:r w:rsidR="00DD7455">
        <w:t>r</w:t>
      </w:r>
      <w:r w:rsidR="00C05C5E">
        <w:t xml:space="preserve">ecasts that </w:t>
      </w:r>
      <w:r w:rsidR="00DD7455">
        <w:t xml:space="preserve">during the next </w:t>
      </w:r>
      <w:r w:rsidR="00F26DBE">
        <w:t>10 </w:t>
      </w:r>
      <w:r w:rsidR="00C05C5E">
        <w:t xml:space="preserve">years the industry will </w:t>
      </w:r>
      <w:r w:rsidR="00D94900">
        <w:t>continue to expand</w:t>
      </w:r>
      <w:r w:rsidR="00C05C5E">
        <w:t>.</w:t>
      </w:r>
      <w:r w:rsidR="00521C6E">
        <w:t xml:space="preserve"> It is not known what proportion of the above figures are relevant to the WA RFA region as this level of reporting is not available.</w:t>
      </w:r>
    </w:p>
    <w:p w14:paraId="26ABD348" w14:textId="77777777" w:rsidR="00DE672A" w:rsidRDefault="00DE672A" w:rsidP="000F6020">
      <w:pPr>
        <w:pStyle w:val="Heading4"/>
        <w:rPr>
          <w:rFonts w:cs="Segoe UI"/>
        </w:rPr>
      </w:pPr>
      <w:r>
        <w:rPr>
          <w:rFonts w:cs="Segoe UI"/>
        </w:rPr>
        <w:t>Floriculture</w:t>
      </w:r>
    </w:p>
    <w:p w14:paraId="26ABD349" w14:textId="77777777" w:rsidR="00DE672A" w:rsidRDefault="00194B30" w:rsidP="00474549">
      <w:r>
        <w:t xml:space="preserve">DBCA manages </w:t>
      </w:r>
      <w:r w:rsidR="00474549">
        <w:t>seed collection and flower harvesting operations within the WA RFA region though provisions in the W</w:t>
      </w:r>
      <w:r w:rsidR="00E35BDD">
        <w:t>C</w:t>
      </w:r>
      <w:r w:rsidR="00474549">
        <w:t xml:space="preserve"> Act (BC Act</w:t>
      </w:r>
      <w:r w:rsidR="006912BD">
        <w:t xml:space="preserve"> from January 2019</w:t>
      </w:r>
      <w:r w:rsidR="00474549">
        <w:t>).</w:t>
      </w:r>
      <w:r w:rsidR="006F015B">
        <w:t xml:space="preserve"> </w:t>
      </w:r>
      <w:r w:rsidR="00774B09">
        <w:t xml:space="preserve">The commercial </w:t>
      </w:r>
      <w:r w:rsidR="00BD2758">
        <w:t>harvesting of flora is conducted in accordance with the department</w:t>
      </w:r>
      <w:r w:rsidR="004A63CE">
        <w:t>’</w:t>
      </w:r>
      <w:r w:rsidR="00BD2758">
        <w:t xml:space="preserve">s </w:t>
      </w:r>
      <w:r w:rsidR="00BD2758" w:rsidRPr="00C07225">
        <w:rPr>
          <w:i/>
        </w:rPr>
        <w:t xml:space="preserve">Management of Commercial Harvesting of </w:t>
      </w:r>
      <w:r w:rsidR="008A4C96" w:rsidRPr="00C07225">
        <w:rPr>
          <w:i/>
        </w:rPr>
        <w:t>Protected</w:t>
      </w:r>
      <w:r w:rsidR="00BD2758" w:rsidRPr="00C07225">
        <w:rPr>
          <w:i/>
        </w:rPr>
        <w:t xml:space="preserve"> Flora in Western Australia</w:t>
      </w:r>
      <w:r w:rsidR="00FD2439">
        <w:rPr>
          <w:i/>
        </w:rPr>
        <w:t xml:space="preserve"> 1 July 2018 – 30 June 2023</w:t>
      </w:r>
      <w:r w:rsidR="00BD2758">
        <w:t xml:space="preserve">. </w:t>
      </w:r>
      <w:r w:rsidR="006912BD">
        <w:t>A</w:t>
      </w:r>
      <w:r w:rsidR="00813EB0">
        <w:t xml:space="preserve"> system of licensing, area and species-specific management and monitoring has been developed to ensure the conservation of </w:t>
      </w:r>
      <w:r w:rsidR="006912BD">
        <w:t xml:space="preserve">the target </w:t>
      </w:r>
      <w:r w:rsidR="00813EB0">
        <w:t xml:space="preserve">flora. Figures </w:t>
      </w:r>
      <w:r w:rsidR="00D03BC0">
        <w:t>9</w:t>
      </w:r>
      <w:r w:rsidR="00813EB0">
        <w:t xml:space="preserve"> and </w:t>
      </w:r>
      <w:r w:rsidR="00D03BC0">
        <w:t>10</w:t>
      </w:r>
      <w:r w:rsidR="00813EB0">
        <w:t xml:space="preserve"> below show the trends in harvesting </w:t>
      </w:r>
      <w:r w:rsidR="0034403E">
        <w:t xml:space="preserve">within the WA RFA area over the period of the WA RFA for native flowers and </w:t>
      </w:r>
      <w:r w:rsidR="0034403E">
        <w:lastRenderedPageBreak/>
        <w:t>seed.</w:t>
      </w:r>
      <w:r w:rsidR="00FD2439">
        <w:t xml:space="preserve"> The number of native wildflowers has declined during the period of the WA RFA as the consumer demand for dried native plants has contracted.</w:t>
      </w:r>
    </w:p>
    <w:p w14:paraId="26ABD34A" w14:textId="77777777" w:rsidR="0003287C" w:rsidRDefault="0034403E" w:rsidP="0003287C">
      <w:pPr>
        <w:keepNext/>
        <w:ind w:left="1276"/>
      </w:pPr>
      <w:r>
        <w:rPr>
          <w:noProof/>
          <w:lang w:eastAsia="en-AU"/>
        </w:rPr>
        <w:drawing>
          <wp:inline distT="0" distB="0" distL="0" distR="0" wp14:anchorId="26ABE262" wp14:editId="26ABE263">
            <wp:extent cx="3390900" cy="2247900"/>
            <wp:effectExtent l="0" t="0" r="0" b="0"/>
            <wp:docPr id="1" name="Picture 1" descr="cid:image002.png@01D46B7E.DB4C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2.png@01D46B7E.DB4C509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26ABD34B" w14:textId="68FFE47E" w:rsidR="0034403E" w:rsidRDefault="0003287C" w:rsidP="0003287C">
      <w:pPr>
        <w:pStyle w:val="Caption"/>
      </w:pPr>
      <w:bookmarkStart w:id="140" w:name="_Toc2776010"/>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9</w:t>
      </w:r>
      <w:r w:rsidR="0002253A">
        <w:rPr>
          <w:noProof/>
        </w:rPr>
        <w:fldChar w:fldCharType="end"/>
      </w:r>
      <w:r>
        <w:t xml:space="preserve">: </w:t>
      </w:r>
      <w:r w:rsidRPr="00087701">
        <w:t>Trend in number of native plants harvested 2000-2015 within the WA RFA area</w:t>
      </w:r>
      <w:bookmarkEnd w:id="140"/>
    </w:p>
    <w:p w14:paraId="26ABD34C" w14:textId="77777777" w:rsidR="00D934F4" w:rsidRDefault="00FD2439" w:rsidP="007056C4">
      <w:r>
        <w:t xml:space="preserve">The </w:t>
      </w:r>
      <w:r w:rsidR="007056C4">
        <w:t xml:space="preserve">amount of seed harvested during the period of the WA RFA has increased substantially, largely as a result of the requirements for revegetation and rehabilitation works, particularly in the mining sector. </w:t>
      </w:r>
    </w:p>
    <w:p w14:paraId="26ABD34D" w14:textId="77777777" w:rsidR="0003287C" w:rsidRDefault="0034403E" w:rsidP="0003287C">
      <w:pPr>
        <w:keepNext/>
        <w:ind w:left="1276"/>
      </w:pPr>
      <w:r>
        <w:rPr>
          <w:noProof/>
          <w:lang w:eastAsia="en-AU"/>
        </w:rPr>
        <w:drawing>
          <wp:inline distT="0" distB="0" distL="0" distR="0" wp14:anchorId="26ABE264" wp14:editId="26ABE265">
            <wp:extent cx="3604260" cy="2232660"/>
            <wp:effectExtent l="0" t="0" r="0" b="0"/>
            <wp:docPr id="2" name="Picture 2" descr="cid:image003.png@01D46B7E.DB4C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46B7E.DB4C509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604260" cy="2232660"/>
                    </a:xfrm>
                    <a:prstGeom prst="rect">
                      <a:avLst/>
                    </a:prstGeom>
                    <a:noFill/>
                    <a:ln>
                      <a:noFill/>
                    </a:ln>
                  </pic:spPr>
                </pic:pic>
              </a:graphicData>
            </a:graphic>
          </wp:inline>
        </w:drawing>
      </w:r>
    </w:p>
    <w:p w14:paraId="26ABD34E" w14:textId="6C6AE193" w:rsidR="0034403E" w:rsidRDefault="0003287C" w:rsidP="0003287C">
      <w:pPr>
        <w:pStyle w:val="Caption"/>
      </w:pPr>
      <w:bookmarkStart w:id="141" w:name="_Toc2776011"/>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10</w:t>
      </w:r>
      <w:r w:rsidR="0002253A">
        <w:rPr>
          <w:noProof/>
        </w:rPr>
        <w:fldChar w:fldCharType="end"/>
      </w:r>
      <w:r>
        <w:t xml:space="preserve">: </w:t>
      </w:r>
      <w:r w:rsidRPr="00D726FB">
        <w:t>Trend in the amount of seed harvested 2000-2015 from native plants within the WA RFA area.</w:t>
      </w:r>
      <w:bookmarkEnd w:id="141"/>
    </w:p>
    <w:p w14:paraId="26ABD34F" w14:textId="77777777" w:rsidR="00E40B48" w:rsidRPr="00CE60B2" w:rsidRDefault="00E40B48" w:rsidP="000F6020">
      <w:pPr>
        <w:pStyle w:val="Heading4"/>
        <w:rPr>
          <w:rFonts w:cs="Segoe UI"/>
        </w:rPr>
      </w:pPr>
      <w:r w:rsidRPr="00CE60B2">
        <w:rPr>
          <w:rFonts w:cs="Segoe UI"/>
        </w:rPr>
        <w:t xml:space="preserve">Telecommunication </w:t>
      </w:r>
      <w:r w:rsidR="004D1E59" w:rsidRPr="00CE60B2">
        <w:rPr>
          <w:rFonts w:cs="Segoe UI"/>
        </w:rPr>
        <w:t>facilities</w:t>
      </w:r>
    </w:p>
    <w:p w14:paraId="26ABD350" w14:textId="4CCF0FAA" w:rsidR="00E40B48" w:rsidRDefault="00E40B48" w:rsidP="00E40B48">
      <w:pPr>
        <w:rPr>
          <w:rFonts w:cs="Segoe UI"/>
          <w:lang w:eastAsia="en-AU"/>
        </w:rPr>
      </w:pPr>
      <w:r w:rsidRPr="00CE60B2">
        <w:rPr>
          <w:rFonts w:cs="Segoe UI"/>
          <w:lang w:eastAsia="en-AU"/>
        </w:rPr>
        <w:t>The</w:t>
      </w:r>
      <w:r w:rsidR="001405FC">
        <w:rPr>
          <w:rFonts w:cs="Segoe UI"/>
          <w:lang w:eastAsia="en-AU"/>
        </w:rPr>
        <w:t>re are</w:t>
      </w:r>
      <w:r w:rsidRPr="00CE60B2">
        <w:rPr>
          <w:rFonts w:cs="Segoe UI"/>
          <w:lang w:eastAsia="en-AU"/>
        </w:rPr>
        <w:t xml:space="preserve"> over 40 leases and licences for telecommunication facilities</w:t>
      </w:r>
      <w:r w:rsidR="009C7113">
        <w:rPr>
          <w:rFonts w:cs="Segoe UI"/>
          <w:lang w:eastAsia="en-AU"/>
        </w:rPr>
        <w:t xml:space="preserve"> within the RFA region</w:t>
      </w:r>
      <w:r w:rsidR="00CF7871">
        <w:rPr>
          <w:rFonts w:cs="Segoe UI"/>
          <w:lang w:eastAsia="en-AU"/>
        </w:rPr>
        <w:t>. These</w:t>
      </w:r>
      <w:r w:rsidRPr="00CE60B2">
        <w:rPr>
          <w:rFonts w:cs="Segoe UI"/>
          <w:lang w:eastAsia="en-AU"/>
        </w:rPr>
        <w:t xml:space="preserve"> enable access, use and maintenance of </w:t>
      </w:r>
      <w:r w:rsidR="00CF7871">
        <w:rPr>
          <w:rFonts w:cs="Segoe UI"/>
          <w:lang w:eastAsia="en-AU"/>
        </w:rPr>
        <w:t xml:space="preserve">key </w:t>
      </w:r>
      <w:r w:rsidRPr="00CE60B2">
        <w:rPr>
          <w:rFonts w:cs="Segoe UI"/>
          <w:lang w:eastAsia="en-AU"/>
        </w:rPr>
        <w:t>infrastructure. DBCA administers the licences and leases in accordance with the</w:t>
      </w:r>
      <w:r w:rsidR="00BF1D2B">
        <w:rPr>
          <w:rFonts w:cs="Segoe UI"/>
          <w:lang w:eastAsia="en-AU"/>
        </w:rPr>
        <w:t xml:space="preserve"> </w:t>
      </w:r>
      <w:r w:rsidRPr="00CE60B2">
        <w:rPr>
          <w:rFonts w:cs="Segoe UI"/>
          <w:lang w:eastAsia="en-AU"/>
        </w:rPr>
        <w:t>CALM</w:t>
      </w:r>
      <w:r w:rsidR="00BF1D2B">
        <w:rPr>
          <w:rFonts w:cs="Segoe UI"/>
          <w:lang w:eastAsia="en-AU"/>
        </w:rPr>
        <w:t> </w:t>
      </w:r>
      <w:r w:rsidRPr="00CE60B2">
        <w:rPr>
          <w:rFonts w:cs="Segoe UI"/>
          <w:lang w:eastAsia="en-AU"/>
        </w:rPr>
        <w:t xml:space="preserve">Act. </w:t>
      </w:r>
      <w:r w:rsidR="009C7113">
        <w:rPr>
          <w:rFonts w:cs="Segoe UI"/>
          <w:lang w:eastAsia="en-AU"/>
        </w:rPr>
        <w:t>Most</w:t>
      </w:r>
      <w:r w:rsidRPr="00CE60B2">
        <w:rPr>
          <w:rFonts w:cs="Segoe UI"/>
          <w:lang w:eastAsia="en-AU"/>
        </w:rPr>
        <w:t xml:space="preserve"> of these facilities are owned by the major telecommunication carriers while others include broadcasters, local government, community groups and government agencies, including those providing fire and emergency services.</w:t>
      </w:r>
    </w:p>
    <w:p w14:paraId="3E98D0DD" w14:textId="3E0904AF" w:rsidR="00176847" w:rsidRDefault="00176847" w:rsidP="00E40B48">
      <w:pPr>
        <w:rPr>
          <w:rFonts w:cs="Segoe UI"/>
          <w:lang w:eastAsia="en-AU"/>
        </w:rPr>
      </w:pPr>
    </w:p>
    <w:p w14:paraId="7B058995" w14:textId="1381BA15" w:rsidR="00176847" w:rsidRDefault="00176847" w:rsidP="00E40B48">
      <w:pPr>
        <w:rPr>
          <w:rFonts w:cs="Segoe UI"/>
          <w:lang w:eastAsia="en-AU"/>
        </w:rPr>
      </w:pPr>
    </w:p>
    <w:p w14:paraId="72CC730B" w14:textId="77777777" w:rsidR="00176847" w:rsidRPr="00CE60B2" w:rsidRDefault="00176847" w:rsidP="00E40B48">
      <w:pPr>
        <w:rPr>
          <w:rFonts w:cs="Segoe UI"/>
          <w:lang w:eastAsia="en-AU"/>
        </w:rPr>
      </w:pPr>
    </w:p>
    <w:p w14:paraId="26ABD351" w14:textId="77777777" w:rsidR="00E40B48" w:rsidRPr="00CE60B2" w:rsidRDefault="00E40B48" w:rsidP="000F6020">
      <w:pPr>
        <w:pStyle w:val="Heading4"/>
        <w:rPr>
          <w:rFonts w:cs="Segoe UI"/>
        </w:rPr>
      </w:pPr>
      <w:r w:rsidRPr="00CE60B2">
        <w:rPr>
          <w:rFonts w:cs="Segoe UI"/>
        </w:rPr>
        <w:lastRenderedPageBreak/>
        <w:t>General Leases</w:t>
      </w:r>
    </w:p>
    <w:p w14:paraId="26ABD352" w14:textId="77777777" w:rsidR="00E40B48" w:rsidRPr="00CE60B2" w:rsidRDefault="00E40B48" w:rsidP="00E40B48">
      <w:pPr>
        <w:rPr>
          <w:rFonts w:cs="Segoe UI"/>
          <w:lang w:eastAsia="en-AU"/>
        </w:rPr>
      </w:pPr>
      <w:r w:rsidRPr="00CE60B2">
        <w:rPr>
          <w:rFonts w:cs="Segoe UI"/>
          <w:lang w:eastAsia="en-AU"/>
        </w:rPr>
        <w:t>The RFA area accommodates 216 general leases and nine licences for land access for a range of purposes including grazing, recreation, tourism, dam sites, rubbish disposal, sawmills and basic raw materials.</w:t>
      </w:r>
    </w:p>
    <w:p w14:paraId="26ABD353" w14:textId="77777777" w:rsidR="00DB510B" w:rsidRPr="00CE60B2" w:rsidRDefault="00DB510B" w:rsidP="000F6020">
      <w:pPr>
        <w:pStyle w:val="Heading3"/>
        <w:rPr>
          <w:lang w:eastAsia="en-AU"/>
        </w:rPr>
      </w:pPr>
      <w:bookmarkStart w:id="142" w:name="_Toc2776057"/>
      <w:r w:rsidRPr="00CE60B2">
        <w:rPr>
          <w:lang w:eastAsia="en-AU"/>
        </w:rPr>
        <w:t>Indicator 6.1c</w:t>
      </w:r>
      <w:r w:rsidRPr="00CE60B2">
        <w:rPr>
          <w:lang w:eastAsia="en-AU"/>
        </w:rPr>
        <w:tab/>
        <w:t>Value of forest based services</w:t>
      </w:r>
      <w:bookmarkEnd w:id="139"/>
      <w:bookmarkEnd w:id="142"/>
    </w:p>
    <w:p w14:paraId="26ABD354" w14:textId="77777777" w:rsidR="00B261D4" w:rsidRPr="00CE60B2" w:rsidRDefault="00B261D4" w:rsidP="00CA1A42">
      <w:pPr>
        <w:rPr>
          <w:rFonts w:cs="Segoe UI"/>
          <w:color w:val="000000"/>
          <w:sz w:val="23"/>
          <w:szCs w:val="23"/>
        </w:rPr>
      </w:pPr>
      <w:r w:rsidRPr="00CE60B2">
        <w:rPr>
          <w:rFonts w:cs="Segoe UI"/>
          <w:color w:val="000000"/>
          <w:sz w:val="23"/>
          <w:szCs w:val="23"/>
        </w:rPr>
        <w:t>T</w:t>
      </w:r>
      <w:r w:rsidR="00CA1A42" w:rsidRPr="00CE60B2">
        <w:rPr>
          <w:rFonts w:cs="Segoe UI"/>
          <w:color w:val="000000"/>
          <w:sz w:val="23"/>
          <w:szCs w:val="23"/>
        </w:rPr>
        <w:t>his indicator measures forest-based services such as ecosystem services, carbon credits, salinity mitigation and ecotourism. Forest-based services provide economic values and contribute to the sustainability of forests by providing significant social and environ</w:t>
      </w:r>
      <w:r w:rsidR="00932738" w:rsidRPr="00CE60B2">
        <w:rPr>
          <w:rFonts w:cs="Segoe UI"/>
          <w:color w:val="000000"/>
          <w:sz w:val="23"/>
          <w:szCs w:val="23"/>
        </w:rPr>
        <w:t>mental benefits</w:t>
      </w:r>
      <w:r w:rsidR="00CA1A42" w:rsidRPr="00CE60B2">
        <w:rPr>
          <w:rFonts w:cs="Segoe UI"/>
          <w:color w:val="000000"/>
          <w:sz w:val="23"/>
          <w:szCs w:val="23"/>
        </w:rPr>
        <w:t xml:space="preserve">. </w:t>
      </w:r>
    </w:p>
    <w:p w14:paraId="26ABD355" w14:textId="77777777" w:rsidR="00CA1A42" w:rsidRPr="00CE60B2" w:rsidRDefault="00CA1A42" w:rsidP="00CA1A42">
      <w:pPr>
        <w:rPr>
          <w:rFonts w:cs="Segoe UI"/>
          <w:color w:val="000000"/>
          <w:sz w:val="23"/>
          <w:szCs w:val="23"/>
        </w:rPr>
      </w:pPr>
      <w:r w:rsidRPr="00CE60B2">
        <w:rPr>
          <w:rFonts w:cs="Segoe UI"/>
          <w:color w:val="000000"/>
          <w:sz w:val="23"/>
          <w:szCs w:val="23"/>
        </w:rPr>
        <w:t>In general, there is limited data on the value of forest</w:t>
      </w:r>
      <w:r w:rsidR="00B537EA">
        <w:rPr>
          <w:rFonts w:cs="Segoe UI"/>
          <w:color w:val="000000"/>
          <w:sz w:val="23"/>
          <w:szCs w:val="23"/>
        </w:rPr>
        <w:t>-</w:t>
      </w:r>
      <w:r w:rsidRPr="00CE60B2">
        <w:rPr>
          <w:rFonts w:cs="Segoe UI"/>
          <w:color w:val="000000"/>
          <w:sz w:val="23"/>
          <w:szCs w:val="23"/>
        </w:rPr>
        <w:t xml:space="preserve">based services (ABARES, 2013). </w:t>
      </w:r>
      <w:r w:rsidR="002D3DB0">
        <w:rPr>
          <w:rFonts w:cs="Segoe UI"/>
          <w:color w:val="000000"/>
          <w:sz w:val="23"/>
          <w:szCs w:val="23"/>
        </w:rPr>
        <w:t>Section 4</w:t>
      </w:r>
      <w:r w:rsidR="007C7F2C">
        <w:rPr>
          <w:rFonts w:cs="Segoe UI"/>
          <w:color w:val="000000"/>
          <w:sz w:val="23"/>
          <w:szCs w:val="23"/>
        </w:rPr>
        <w:t>: Social Values</w:t>
      </w:r>
      <w:r w:rsidR="002D3DB0">
        <w:rPr>
          <w:rFonts w:cs="Segoe UI"/>
          <w:color w:val="000000"/>
          <w:sz w:val="23"/>
          <w:szCs w:val="23"/>
        </w:rPr>
        <w:t xml:space="preserve"> </w:t>
      </w:r>
      <w:r w:rsidR="007C7F2C">
        <w:rPr>
          <w:rFonts w:cs="Segoe UI"/>
          <w:color w:val="000000"/>
          <w:sz w:val="23"/>
          <w:szCs w:val="23"/>
        </w:rPr>
        <w:t>contains further information on this Indicator.</w:t>
      </w:r>
    </w:p>
    <w:p w14:paraId="26ABD356" w14:textId="77777777" w:rsidR="00DB510B" w:rsidRPr="00CE60B2" w:rsidRDefault="00DB510B" w:rsidP="000F6020">
      <w:pPr>
        <w:pStyle w:val="Heading3"/>
        <w:rPr>
          <w:lang w:eastAsia="en-AU"/>
        </w:rPr>
      </w:pPr>
      <w:bookmarkStart w:id="143" w:name="how"/>
      <w:bookmarkStart w:id="144" w:name="_Toc524952815"/>
      <w:bookmarkStart w:id="145" w:name="_Toc2776058"/>
      <w:bookmarkEnd w:id="143"/>
      <w:r w:rsidRPr="00CE60B2">
        <w:rPr>
          <w:lang w:eastAsia="en-AU"/>
        </w:rPr>
        <w:t>Indicator 6.1d</w:t>
      </w:r>
      <w:r w:rsidRPr="00CE60B2">
        <w:rPr>
          <w:lang w:eastAsia="en-AU"/>
        </w:rPr>
        <w:tab/>
        <w:t>Production and consumption and import/export of wood, wood products and non-wood products</w:t>
      </w:r>
      <w:bookmarkEnd w:id="144"/>
      <w:bookmarkEnd w:id="145"/>
    </w:p>
    <w:p w14:paraId="26ABD357" w14:textId="77777777" w:rsidR="00AB2C4B" w:rsidRPr="00CE60B2" w:rsidRDefault="00AB2C4B" w:rsidP="00AB2C4B">
      <w:pPr>
        <w:autoSpaceDE w:val="0"/>
        <w:autoSpaceDN w:val="0"/>
        <w:adjustRightInd w:val="0"/>
        <w:spacing w:before="0" w:after="0"/>
        <w:rPr>
          <w:rFonts w:cs="Segoe UI"/>
          <w:color w:val="000000" w:themeColor="text1"/>
        </w:rPr>
      </w:pPr>
      <w:r w:rsidRPr="00CE60B2">
        <w:rPr>
          <w:rFonts w:cs="Segoe UI"/>
          <w:color w:val="000000" w:themeColor="text1"/>
        </w:rPr>
        <w:t>This indicator measures the consumption of forest-based products in Australia. Consumption trends over time provide a measure of the ability of Australian forest and timber industries, through both domestic production and importation, to meet Australian society’s demand for forest-based products and the industries contribution to the economy.</w:t>
      </w:r>
    </w:p>
    <w:p w14:paraId="26ABD358" w14:textId="77777777" w:rsidR="00227C72" w:rsidRPr="00CE60B2" w:rsidRDefault="00227C72" w:rsidP="00227C72">
      <w:pPr>
        <w:rPr>
          <w:rFonts w:cs="Segoe UI"/>
          <w:color w:val="000000" w:themeColor="text1"/>
        </w:rPr>
      </w:pPr>
      <w:r w:rsidRPr="00CE60B2">
        <w:rPr>
          <w:rFonts w:cs="Segoe UI"/>
          <w:color w:val="000000" w:themeColor="text1"/>
        </w:rPr>
        <w:t>This indicator provides a measure of the trends in the production and consumption of wood and wood related products in Australia</w:t>
      </w:r>
      <w:r w:rsidR="001E0390" w:rsidRPr="00CE60B2">
        <w:rPr>
          <w:rFonts w:cs="Segoe UI"/>
          <w:color w:val="000000" w:themeColor="text1"/>
        </w:rPr>
        <w:t xml:space="preserve"> (including imports)</w:t>
      </w:r>
      <w:r w:rsidRPr="00CE60B2">
        <w:rPr>
          <w:rFonts w:cs="Segoe UI"/>
          <w:color w:val="000000" w:themeColor="text1"/>
        </w:rPr>
        <w:t>, and the export of those products from Australia</w:t>
      </w:r>
      <w:r w:rsidR="00AC11AF" w:rsidRPr="00CE60B2">
        <w:rPr>
          <w:rFonts w:cs="Segoe UI"/>
          <w:color w:val="000000" w:themeColor="text1"/>
        </w:rPr>
        <w:t>. Within WA</w:t>
      </w:r>
      <w:r w:rsidR="00C63244" w:rsidRPr="00CE60B2">
        <w:rPr>
          <w:rFonts w:cs="Segoe UI"/>
          <w:color w:val="000000" w:themeColor="text1"/>
        </w:rPr>
        <w:t>, o</w:t>
      </w:r>
      <w:r w:rsidRPr="00CE60B2">
        <w:rPr>
          <w:rFonts w:cs="Segoe UI"/>
          <w:color w:val="000000" w:themeColor="text1"/>
        </w:rPr>
        <w:t xml:space="preserve">ngoing access to interstate and international markets is fundamental in ensuring the viability of the forestry </w:t>
      </w:r>
      <w:r w:rsidR="00AB2C4B" w:rsidRPr="00CE60B2">
        <w:rPr>
          <w:rFonts w:cs="Segoe UI"/>
          <w:color w:val="000000" w:themeColor="text1"/>
        </w:rPr>
        <w:t xml:space="preserve">and forest-based industries </w:t>
      </w:r>
      <w:r w:rsidRPr="00CE60B2">
        <w:rPr>
          <w:rFonts w:cs="Segoe UI"/>
          <w:color w:val="000000" w:themeColor="text1"/>
        </w:rPr>
        <w:t>sector.</w:t>
      </w:r>
    </w:p>
    <w:p w14:paraId="26ABD359" w14:textId="77777777" w:rsidR="00227C72" w:rsidRPr="00CE60B2" w:rsidRDefault="00227C72" w:rsidP="00227C72">
      <w:pPr>
        <w:rPr>
          <w:rFonts w:cs="Segoe UI"/>
          <w:color w:val="000000" w:themeColor="text1"/>
        </w:rPr>
      </w:pPr>
      <w:r w:rsidRPr="00CE60B2">
        <w:rPr>
          <w:rFonts w:cs="Segoe UI"/>
          <w:color w:val="000000" w:themeColor="text1"/>
        </w:rPr>
        <w:t xml:space="preserve">Information on the production, consumption and trade of non-wood forest products is often difficult to obtain because of the generally small size of industries based on these products and their dispersed nature. Non-wood forest products can include honey, flowers, water, minerals </w:t>
      </w:r>
      <w:r w:rsidR="00C63244" w:rsidRPr="00CE60B2">
        <w:rPr>
          <w:rFonts w:cs="Segoe UI"/>
          <w:color w:val="000000" w:themeColor="text1"/>
        </w:rPr>
        <w:t>and bark</w:t>
      </w:r>
      <w:r w:rsidRPr="00CE60B2">
        <w:rPr>
          <w:rFonts w:cs="Segoe UI"/>
          <w:color w:val="000000" w:themeColor="text1"/>
        </w:rPr>
        <w:t xml:space="preserve">. </w:t>
      </w:r>
    </w:p>
    <w:p w14:paraId="26ABD35A" w14:textId="77777777" w:rsidR="00227C72" w:rsidRPr="00CE60B2" w:rsidRDefault="00227C72" w:rsidP="000F6020">
      <w:pPr>
        <w:pStyle w:val="Heading4"/>
        <w:rPr>
          <w:rFonts w:cs="Segoe UI"/>
        </w:rPr>
      </w:pPr>
      <w:r w:rsidRPr="00CE60B2">
        <w:rPr>
          <w:rFonts w:cs="Segoe UI"/>
        </w:rPr>
        <w:t xml:space="preserve">Australian consumption data </w:t>
      </w:r>
    </w:p>
    <w:p w14:paraId="26ABD35B" w14:textId="77777777" w:rsidR="00227C72" w:rsidRPr="00CE60B2" w:rsidRDefault="00AB2C4B" w:rsidP="00227C72">
      <w:pPr>
        <w:rPr>
          <w:rFonts w:cs="Segoe UI"/>
        </w:rPr>
      </w:pPr>
      <w:r w:rsidRPr="00CE60B2">
        <w:rPr>
          <w:rFonts w:cs="Segoe UI"/>
        </w:rPr>
        <w:t>SOFR</w:t>
      </w:r>
      <w:r w:rsidR="00AD23B1">
        <w:rPr>
          <w:rFonts w:cs="Segoe UI"/>
        </w:rPr>
        <w:t> </w:t>
      </w:r>
      <w:r w:rsidR="00227C72" w:rsidRPr="00CE60B2">
        <w:rPr>
          <w:rFonts w:cs="Segoe UI"/>
        </w:rPr>
        <w:t xml:space="preserve">2013 states that Australia is a net importer of wood </w:t>
      </w:r>
      <w:r w:rsidR="000D3B36" w:rsidRPr="00CE60B2">
        <w:rPr>
          <w:rFonts w:cs="Segoe UI"/>
        </w:rPr>
        <w:t>and wood products</w:t>
      </w:r>
      <w:r w:rsidR="00227C72" w:rsidRPr="00CE60B2">
        <w:rPr>
          <w:rFonts w:cs="Segoe UI"/>
        </w:rPr>
        <w:t>. The trade deficit in wood products increased slightly from $1.91</w:t>
      </w:r>
      <w:r w:rsidR="00AD23B1">
        <w:rPr>
          <w:rFonts w:cs="Segoe UI"/>
        </w:rPr>
        <w:t> </w:t>
      </w:r>
      <w:r w:rsidR="00227C72" w:rsidRPr="00CE60B2">
        <w:rPr>
          <w:rFonts w:cs="Segoe UI"/>
        </w:rPr>
        <w:t>billion in 2006</w:t>
      </w:r>
      <w:r w:rsidR="00AD23B1">
        <w:rPr>
          <w:rFonts w:cs="Segoe UI"/>
        </w:rPr>
        <w:noBreakHyphen/>
      </w:r>
      <w:r w:rsidR="00227C72" w:rsidRPr="00CE60B2">
        <w:rPr>
          <w:rFonts w:cs="Segoe UI"/>
        </w:rPr>
        <w:t>07 to $1.93</w:t>
      </w:r>
      <w:r w:rsidR="00AD23B1">
        <w:rPr>
          <w:rFonts w:cs="Segoe UI"/>
        </w:rPr>
        <w:t> </w:t>
      </w:r>
      <w:r w:rsidR="00227C72" w:rsidRPr="00CE60B2">
        <w:rPr>
          <w:rFonts w:cs="Segoe UI"/>
        </w:rPr>
        <w:t>billion in 2010</w:t>
      </w:r>
      <w:r w:rsidR="00CF7871">
        <w:rPr>
          <w:rFonts w:cs="Segoe UI"/>
        </w:rPr>
        <w:t>-</w:t>
      </w:r>
      <w:r w:rsidR="00227C72" w:rsidRPr="00CE60B2">
        <w:rPr>
          <w:rFonts w:cs="Segoe UI"/>
        </w:rPr>
        <w:t>11. This was attributed to an increase in sawn wood and wood-based panel imports, linked to the strong Australian dollar, and an international oversupply of wood products, because of a slowdown in the United Stat</w:t>
      </w:r>
      <w:r w:rsidR="000D3B36" w:rsidRPr="00CE60B2">
        <w:rPr>
          <w:rFonts w:cs="Segoe UI"/>
        </w:rPr>
        <w:t>es housing market</w:t>
      </w:r>
      <w:r w:rsidR="00227C72" w:rsidRPr="00CE60B2">
        <w:rPr>
          <w:rFonts w:cs="Segoe UI"/>
        </w:rPr>
        <w:t xml:space="preserve">. </w:t>
      </w:r>
    </w:p>
    <w:p w14:paraId="26ABD35C" w14:textId="77777777" w:rsidR="00227C72" w:rsidRPr="00CE60B2" w:rsidRDefault="00227C72" w:rsidP="00227C72">
      <w:pPr>
        <w:rPr>
          <w:rFonts w:cs="Segoe UI"/>
          <w:color w:val="000000" w:themeColor="text1"/>
        </w:rPr>
      </w:pPr>
      <w:r w:rsidRPr="00CE60B2">
        <w:rPr>
          <w:rFonts w:cs="Segoe UI"/>
          <w:color w:val="000000" w:themeColor="text1"/>
        </w:rPr>
        <w:t>In 2010</w:t>
      </w:r>
      <w:r w:rsidR="00CF7871">
        <w:rPr>
          <w:rFonts w:cs="Segoe UI"/>
          <w:color w:val="000000" w:themeColor="text1"/>
        </w:rPr>
        <w:t>-</w:t>
      </w:r>
      <w:r w:rsidRPr="00CE60B2">
        <w:rPr>
          <w:rFonts w:cs="Segoe UI"/>
          <w:color w:val="000000" w:themeColor="text1"/>
        </w:rPr>
        <w:t>11</w:t>
      </w:r>
      <w:r w:rsidR="00AB2C4B" w:rsidRPr="00CE60B2">
        <w:rPr>
          <w:rFonts w:cs="Segoe UI"/>
          <w:color w:val="000000" w:themeColor="text1"/>
        </w:rPr>
        <w:t>,</w:t>
      </w:r>
      <w:r w:rsidRPr="00CE60B2">
        <w:rPr>
          <w:rFonts w:cs="Segoe UI"/>
          <w:color w:val="000000" w:themeColor="text1"/>
        </w:rPr>
        <w:t xml:space="preserve"> the highest proportion of imported wood products into Australia, by value, was printing and writi</w:t>
      </w:r>
      <w:r w:rsidR="000D3B36" w:rsidRPr="00CE60B2">
        <w:rPr>
          <w:rFonts w:cs="Segoe UI"/>
          <w:color w:val="000000" w:themeColor="text1"/>
        </w:rPr>
        <w:t>ng paper at 30.6</w:t>
      </w:r>
      <w:r w:rsidR="00AD23B1">
        <w:rPr>
          <w:rFonts w:cs="Segoe UI"/>
          <w:color w:val="000000" w:themeColor="text1"/>
        </w:rPr>
        <w:t> per cent</w:t>
      </w:r>
      <w:r w:rsidRPr="00CE60B2">
        <w:rPr>
          <w:rFonts w:cs="Segoe UI"/>
          <w:color w:val="000000" w:themeColor="text1"/>
        </w:rPr>
        <w:t>. The production of paper products in Australia declined in 2010</w:t>
      </w:r>
      <w:r w:rsidR="00CF7871">
        <w:rPr>
          <w:rFonts w:cs="Segoe UI"/>
          <w:color w:val="000000" w:themeColor="text1"/>
        </w:rPr>
        <w:t>-</w:t>
      </w:r>
      <w:r w:rsidRPr="00CE60B2">
        <w:rPr>
          <w:rFonts w:cs="Segoe UI"/>
          <w:color w:val="000000" w:themeColor="text1"/>
        </w:rPr>
        <w:t>11 by 1.4</w:t>
      </w:r>
      <w:r w:rsidR="00AD23B1">
        <w:rPr>
          <w:rFonts w:cs="Segoe UI"/>
          <w:color w:val="000000" w:themeColor="text1"/>
        </w:rPr>
        <w:t> per cent</w:t>
      </w:r>
      <w:r w:rsidRPr="00CE60B2">
        <w:rPr>
          <w:rFonts w:cs="Segoe UI"/>
          <w:color w:val="000000" w:themeColor="text1"/>
        </w:rPr>
        <w:t xml:space="preserve"> compared to 2006</w:t>
      </w:r>
      <w:r w:rsidR="00AD23B1">
        <w:rPr>
          <w:rFonts w:cs="Segoe UI"/>
          <w:color w:val="000000" w:themeColor="text1"/>
        </w:rPr>
        <w:noBreakHyphen/>
      </w:r>
      <w:r w:rsidRPr="00CE60B2">
        <w:rPr>
          <w:rFonts w:cs="Segoe UI"/>
          <w:color w:val="000000" w:themeColor="text1"/>
        </w:rPr>
        <w:t>07 production. The consumption of paper products still exceeded Australia’s production of paper products, despite this consumption declining by 4.3</w:t>
      </w:r>
      <w:r w:rsidR="00AD23B1">
        <w:rPr>
          <w:rFonts w:cs="Segoe UI"/>
          <w:color w:val="000000" w:themeColor="text1"/>
        </w:rPr>
        <w:t> per cent</w:t>
      </w:r>
      <w:r w:rsidRPr="00CE60B2">
        <w:rPr>
          <w:rFonts w:cs="Segoe UI"/>
          <w:color w:val="000000" w:themeColor="text1"/>
        </w:rPr>
        <w:t xml:space="preserve"> over</w:t>
      </w:r>
      <w:r w:rsidR="000D3B36" w:rsidRPr="00CE60B2">
        <w:rPr>
          <w:rFonts w:cs="Segoe UI"/>
          <w:color w:val="000000" w:themeColor="text1"/>
        </w:rPr>
        <w:t xml:space="preserve"> the 2006</w:t>
      </w:r>
      <w:r w:rsidR="00CF7871">
        <w:rPr>
          <w:rFonts w:cs="Segoe UI"/>
          <w:color w:val="000000" w:themeColor="text1"/>
        </w:rPr>
        <w:t>-</w:t>
      </w:r>
      <w:r w:rsidR="000D3B36" w:rsidRPr="00CE60B2">
        <w:rPr>
          <w:rFonts w:cs="Segoe UI"/>
          <w:color w:val="000000" w:themeColor="text1"/>
        </w:rPr>
        <w:t>07 to 2010-11 period.</w:t>
      </w:r>
    </w:p>
    <w:p w14:paraId="26ABD35D" w14:textId="103A1EAC" w:rsidR="00227C72" w:rsidRPr="00CE60B2" w:rsidRDefault="00227C72" w:rsidP="00227C72">
      <w:pPr>
        <w:rPr>
          <w:rFonts w:cs="Segoe UI"/>
          <w:color w:val="000000" w:themeColor="text1"/>
        </w:rPr>
      </w:pPr>
      <w:r w:rsidRPr="00CE60B2">
        <w:rPr>
          <w:rFonts w:cs="Segoe UI"/>
          <w:color w:val="000000" w:themeColor="text1"/>
        </w:rPr>
        <w:t>Woodchips were the highest value export category for wood products in 2010</w:t>
      </w:r>
      <w:r w:rsidR="00AD23B1">
        <w:rPr>
          <w:rFonts w:cs="Segoe UI"/>
          <w:color w:val="000000" w:themeColor="text1"/>
        </w:rPr>
        <w:t> </w:t>
      </w:r>
      <w:r w:rsidRPr="00CE60B2">
        <w:rPr>
          <w:rFonts w:cs="Segoe UI"/>
          <w:color w:val="000000" w:themeColor="text1"/>
        </w:rPr>
        <w:t xml:space="preserve">11, at $884.4 million. </w:t>
      </w:r>
      <w:r w:rsidR="001B2208" w:rsidRPr="00CE60B2">
        <w:rPr>
          <w:rFonts w:cs="Segoe UI"/>
          <w:color w:val="000000" w:themeColor="text1"/>
        </w:rPr>
        <w:t>Most</w:t>
      </w:r>
      <w:r w:rsidRPr="00CE60B2">
        <w:rPr>
          <w:rFonts w:cs="Segoe UI"/>
          <w:color w:val="000000" w:themeColor="text1"/>
        </w:rPr>
        <w:t xml:space="preserve"> export woodchips went to Japan over the 2006</w:t>
      </w:r>
      <w:r w:rsidR="00AD23B1">
        <w:rPr>
          <w:rFonts w:cs="Segoe UI"/>
          <w:color w:val="000000" w:themeColor="text1"/>
        </w:rPr>
        <w:noBreakHyphen/>
      </w:r>
      <w:r w:rsidRPr="00CE60B2">
        <w:rPr>
          <w:rFonts w:cs="Segoe UI"/>
          <w:color w:val="000000" w:themeColor="text1"/>
        </w:rPr>
        <w:t>07 to 2010</w:t>
      </w:r>
      <w:r w:rsidR="00AD23B1">
        <w:rPr>
          <w:rFonts w:cs="Segoe UI"/>
          <w:color w:val="000000" w:themeColor="text1"/>
        </w:rPr>
        <w:noBreakHyphen/>
      </w:r>
      <w:r w:rsidRPr="00CE60B2">
        <w:rPr>
          <w:rFonts w:cs="Segoe UI"/>
          <w:color w:val="000000" w:themeColor="text1"/>
        </w:rPr>
        <w:t>11</w:t>
      </w:r>
      <w:r w:rsidR="00AD23B1">
        <w:rPr>
          <w:rFonts w:cs="Segoe UI"/>
          <w:color w:val="000000" w:themeColor="text1"/>
        </w:rPr>
        <w:t> </w:t>
      </w:r>
      <w:r w:rsidRPr="00CE60B2">
        <w:rPr>
          <w:rFonts w:cs="Segoe UI"/>
          <w:color w:val="000000" w:themeColor="text1"/>
        </w:rPr>
        <w:t xml:space="preserve">period, but in recent years </w:t>
      </w:r>
      <w:r w:rsidR="00AB2C4B" w:rsidRPr="00CE60B2">
        <w:rPr>
          <w:rFonts w:cs="Segoe UI"/>
          <w:color w:val="000000" w:themeColor="text1"/>
        </w:rPr>
        <w:t>e</w:t>
      </w:r>
      <w:r w:rsidRPr="00CE60B2">
        <w:rPr>
          <w:rFonts w:cs="Segoe UI"/>
          <w:color w:val="000000" w:themeColor="text1"/>
        </w:rPr>
        <w:t>xports to Chi</w:t>
      </w:r>
      <w:r w:rsidR="000D3B36" w:rsidRPr="00CE60B2">
        <w:rPr>
          <w:rFonts w:cs="Segoe UI"/>
          <w:color w:val="000000" w:themeColor="text1"/>
        </w:rPr>
        <w:t>na have increased</w:t>
      </w:r>
      <w:r w:rsidRPr="00CE60B2">
        <w:rPr>
          <w:rFonts w:cs="Segoe UI"/>
          <w:color w:val="000000" w:themeColor="text1"/>
        </w:rPr>
        <w:t xml:space="preserve">. </w:t>
      </w:r>
    </w:p>
    <w:p w14:paraId="26ABD35E" w14:textId="77777777" w:rsidR="00227C72" w:rsidRPr="00CE60B2" w:rsidRDefault="00227C72" w:rsidP="00227C72">
      <w:pPr>
        <w:rPr>
          <w:rFonts w:cs="Segoe UI"/>
          <w:color w:val="000000" w:themeColor="text1"/>
        </w:rPr>
      </w:pPr>
      <w:r w:rsidRPr="00CE60B2">
        <w:rPr>
          <w:rFonts w:cs="Segoe UI"/>
          <w:color w:val="000000" w:themeColor="text1"/>
        </w:rPr>
        <w:lastRenderedPageBreak/>
        <w:t>Sawn wood consumption in Australia decreased by 6</w:t>
      </w:r>
      <w:r w:rsidR="00AD23B1">
        <w:rPr>
          <w:rFonts w:cs="Segoe UI"/>
          <w:color w:val="000000" w:themeColor="text1"/>
        </w:rPr>
        <w:t> per cent</w:t>
      </w:r>
      <w:r w:rsidRPr="00CE60B2">
        <w:rPr>
          <w:rFonts w:cs="Segoe UI"/>
          <w:color w:val="000000" w:themeColor="text1"/>
        </w:rPr>
        <w:t xml:space="preserve"> from 5.3</w:t>
      </w:r>
      <w:r w:rsidR="00AD23B1">
        <w:rPr>
          <w:rFonts w:cs="Segoe UI"/>
          <w:color w:val="000000" w:themeColor="text1"/>
        </w:rPr>
        <w:t> </w:t>
      </w:r>
      <w:r w:rsidRPr="00CE60B2">
        <w:rPr>
          <w:rFonts w:cs="Segoe UI"/>
          <w:color w:val="000000" w:themeColor="text1"/>
        </w:rPr>
        <w:t>million</w:t>
      </w:r>
      <w:r w:rsidR="00AD23B1">
        <w:rPr>
          <w:rFonts w:cs="Segoe UI"/>
          <w:color w:val="000000" w:themeColor="text1"/>
        </w:rPr>
        <w:t> </w:t>
      </w:r>
      <w:r w:rsidRPr="00CE60B2">
        <w:rPr>
          <w:rFonts w:cs="Segoe UI"/>
          <w:color w:val="000000" w:themeColor="text1"/>
        </w:rPr>
        <w:t>cubic metres in 2006-07 to 5.0 million cubic metres in 2010-11. This was due to a downturn in hardwood sawn wood consumption from 1.23</w:t>
      </w:r>
      <w:r w:rsidR="00AD23B1">
        <w:rPr>
          <w:rFonts w:cs="Segoe UI"/>
          <w:color w:val="000000" w:themeColor="text1"/>
        </w:rPr>
        <w:t> </w:t>
      </w:r>
      <w:r w:rsidRPr="00CE60B2">
        <w:rPr>
          <w:rFonts w:cs="Segoe UI"/>
          <w:color w:val="000000" w:themeColor="text1"/>
        </w:rPr>
        <w:t>million cubic metres to 748</w:t>
      </w:r>
      <w:r w:rsidR="00AD23B1">
        <w:rPr>
          <w:rFonts w:cs="Segoe UI"/>
          <w:color w:val="000000" w:themeColor="text1"/>
        </w:rPr>
        <w:t> </w:t>
      </w:r>
      <w:r w:rsidRPr="00CE60B2">
        <w:rPr>
          <w:rFonts w:cs="Segoe UI"/>
          <w:color w:val="000000" w:themeColor="text1"/>
        </w:rPr>
        <w:t>thousand</w:t>
      </w:r>
      <w:r w:rsidR="00AD23B1">
        <w:rPr>
          <w:rFonts w:cs="Segoe UI"/>
          <w:color w:val="000000" w:themeColor="text1"/>
        </w:rPr>
        <w:t> </w:t>
      </w:r>
      <w:r w:rsidRPr="00CE60B2">
        <w:rPr>
          <w:rFonts w:cs="Segoe UI"/>
          <w:color w:val="000000" w:themeColor="text1"/>
        </w:rPr>
        <w:t>cubic</w:t>
      </w:r>
      <w:r w:rsidR="00AD23B1">
        <w:rPr>
          <w:rFonts w:cs="Segoe UI"/>
          <w:color w:val="000000" w:themeColor="text1"/>
        </w:rPr>
        <w:t> </w:t>
      </w:r>
      <w:r w:rsidRPr="00CE60B2">
        <w:rPr>
          <w:rFonts w:cs="Segoe UI"/>
          <w:color w:val="000000" w:themeColor="text1"/>
        </w:rPr>
        <w:t>metres over the period. Consumption of softwood sawn wood increased, from 4.1</w:t>
      </w:r>
      <w:r w:rsidR="00AD23B1">
        <w:rPr>
          <w:rFonts w:cs="Segoe UI"/>
          <w:color w:val="000000" w:themeColor="text1"/>
        </w:rPr>
        <w:t> </w:t>
      </w:r>
      <w:r w:rsidRPr="00CE60B2">
        <w:rPr>
          <w:rFonts w:cs="Segoe UI"/>
          <w:color w:val="000000" w:themeColor="text1"/>
        </w:rPr>
        <w:t>million</w:t>
      </w:r>
      <w:r w:rsidR="00AD23B1">
        <w:rPr>
          <w:rFonts w:cs="Segoe UI"/>
          <w:color w:val="000000" w:themeColor="text1"/>
        </w:rPr>
        <w:t> </w:t>
      </w:r>
      <w:r w:rsidRPr="00CE60B2">
        <w:rPr>
          <w:rFonts w:cs="Segoe UI"/>
          <w:color w:val="000000" w:themeColor="text1"/>
        </w:rPr>
        <w:t>cubic</w:t>
      </w:r>
      <w:r w:rsidR="00AD23B1">
        <w:rPr>
          <w:rFonts w:cs="Segoe UI"/>
          <w:color w:val="000000" w:themeColor="text1"/>
        </w:rPr>
        <w:t> </w:t>
      </w:r>
      <w:r w:rsidRPr="00CE60B2">
        <w:rPr>
          <w:rFonts w:cs="Segoe UI"/>
          <w:color w:val="000000" w:themeColor="text1"/>
        </w:rPr>
        <w:t>metres to 4.3</w:t>
      </w:r>
      <w:r w:rsidR="00AD23B1">
        <w:rPr>
          <w:rFonts w:cs="Segoe UI"/>
          <w:color w:val="000000" w:themeColor="text1"/>
        </w:rPr>
        <w:t> </w:t>
      </w:r>
      <w:r w:rsidRPr="00CE60B2">
        <w:rPr>
          <w:rFonts w:cs="Segoe UI"/>
          <w:color w:val="000000" w:themeColor="text1"/>
        </w:rPr>
        <w:t>mi</w:t>
      </w:r>
      <w:r w:rsidR="000D3B36" w:rsidRPr="00CE60B2">
        <w:rPr>
          <w:rFonts w:cs="Segoe UI"/>
          <w:color w:val="000000" w:themeColor="text1"/>
        </w:rPr>
        <w:t>llion</w:t>
      </w:r>
      <w:r w:rsidR="00AD23B1">
        <w:rPr>
          <w:rFonts w:cs="Segoe UI"/>
          <w:color w:val="000000" w:themeColor="text1"/>
        </w:rPr>
        <w:t> </w:t>
      </w:r>
      <w:r w:rsidR="000D3B36" w:rsidRPr="00CE60B2">
        <w:rPr>
          <w:rFonts w:cs="Segoe UI"/>
          <w:color w:val="000000" w:themeColor="text1"/>
        </w:rPr>
        <w:t>cubic</w:t>
      </w:r>
      <w:r w:rsidR="00AD23B1">
        <w:rPr>
          <w:rFonts w:cs="Segoe UI"/>
          <w:color w:val="000000" w:themeColor="text1"/>
        </w:rPr>
        <w:t> </w:t>
      </w:r>
      <w:r w:rsidR="000D3B36" w:rsidRPr="00CE60B2">
        <w:rPr>
          <w:rFonts w:cs="Segoe UI"/>
          <w:color w:val="000000" w:themeColor="text1"/>
        </w:rPr>
        <w:t>metres.</w:t>
      </w:r>
      <w:r w:rsidR="000D3B36" w:rsidRPr="00CE60B2">
        <w:rPr>
          <w:rStyle w:val="FootnoteReference"/>
          <w:rFonts w:cs="Segoe UI"/>
          <w:color w:val="000000" w:themeColor="text1"/>
        </w:rPr>
        <w:footnoteReference w:id="8"/>
      </w:r>
    </w:p>
    <w:p w14:paraId="26ABD35F" w14:textId="77777777" w:rsidR="00227C72" w:rsidRPr="00CE60B2" w:rsidRDefault="00227C72" w:rsidP="000F6020">
      <w:pPr>
        <w:pStyle w:val="Heading4"/>
        <w:rPr>
          <w:rFonts w:cs="Segoe UI"/>
        </w:rPr>
      </w:pPr>
      <w:r w:rsidRPr="00CE60B2">
        <w:rPr>
          <w:rFonts w:cs="Segoe UI"/>
        </w:rPr>
        <w:t xml:space="preserve">Uses of </w:t>
      </w:r>
      <w:r w:rsidR="00AC11AF" w:rsidRPr="00CE60B2">
        <w:rPr>
          <w:rFonts w:cs="Segoe UI"/>
        </w:rPr>
        <w:t>Western Australian</w:t>
      </w:r>
      <w:r w:rsidRPr="00CE60B2">
        <w:rPr>
          <w:rFonts w:cs="Segoe UI"/>
        </w:rPr>
        <w:t xml:space="preserve"> forest products</w:t>
      </w:r>
    </w:p>
    <w:p w14:paraId="26ABD360" w14:textId="4BCF1554" w:rsidR="00583289" w:rsidRDefault="00CD64E5" w:rsidP="00E40B48">
      <w:pPr>
        <w:rPr>
          <w:rFonts w:cs="Segoe UI"/>
          <w:color w:val="000000" w:themeColor="text1"/>
        </w:rPr>
      </w:pPr>
      <w:r>
        <w:rPr>
          <w:rFonts w:cs="Segoe UI"/>
          <w:color w:val="000000" w:themeColor="text1"/>
        </w:rPr>
        <w:t>Native forest t</w:t>
      </w:r>
      <w:r w:rsidR="00E40B48" w:rsidRPr="00CE60B2">
        <w:rPr>
          <w:rFonts w:cs="Segoe UI"/>
          <w:color w:val="000000" w:themeColor="text1"/>
        </w:rPr>
        <w:t>imber</w:t>
      </w:r>
      <w:r>
        <w:rPr>
          <w:rFonts w:cs="Segoe UI"/>
          <w:color w:val="000000" w:themeColor="text1"/>
        </w:rPr>
        <w:t>s</w:t>
      </w:r>
      <w:r w:rsidR="00E40B48" w:rsidRPr="00CE60B2">
        <w:rPr>
          <w:rFonts w:cs="Segoe UI"/>
          <w:color w:val="000000" w:themeColor="text1"/>
        </w:rPr>
        <w:t xml:space="preserve"> from WA</w:t>
      </w:r>
      <w:r w:rsidR="009A4973">
        <w:rPr>
          <w:rFonts w:cs="Segoe UI"/>
          <w:color w:val="000000" w:themeColor="text1"/>
        </w:rPr>
        <w:t>’</w:t>
      </w:r>
      <w:r w:rsidR="00E40B48" w:rsidRPr="00CE60B2">
        <w:rPr>
          <w:rFonts w:cs="Segoe UI"/>
          <w:color w:val="000000" w:themeColor="text1"/>
        </w:rPr>
        <w:t xml:space="preserve">s forests </w:t>
      </w:r>
      <w:r>
        <w:rPr>
          <w:rFonts w:cs="Segoe UI"/>
          <w:color w:val="000000" w:themeColor="text1"/>
        </w:rPr>
        <w:t>are</w:t>
      </w:r>
      <w:r w:rsidR="00E40B48" w:rsidRPr="00CE60B2">
        <w:rPr>
          <w:rFonts w:cs="Segoe UI"/>
          <w:color w:val="000000" w:themeColor="text1"/>
        </w:rPr>
        <w:t xml:space="preserve"> used for a variety of applications</w:t>
      </w:r>
      <w:r w:rsidR="00583289">
        <w:rPr>
          <w:rFonts w:cs="Segoe UI"/>
          <w:color w:val="000000" w:themeColor="text1"/>
        </w:rPr>
        <w:t xml:space="preserve">. A survey of forest industry businesses in 2017 showed that </w:t>
      </w:r>
      <w:r>
        <w:rPr>
          <w:rFonts w:cs="Segoe UI"/>
          <w:color w:val="000000" w:themeColor="text1"/>
        </w:rPr>
        <w:t xml:space="preserve">the </w:t>
      </w:r>
      <w:r w:rsidR="00583289">
        <w:rPr>
          <w:rFonts w:cs="Segoe UI"/>
          <w:color w:val="000000" w:themeColor="text1"/>
        </w:rPr>
        <w:t>primary processors, such as sawmills and woodchip mills produce green and dry sawn</w:t>
      </w:r>
      <w:r>
        <w:rPr>
          <w:rFonts w:cs="Segoe UI"/>
          <w:color w:val="000000" w:themeColor="text1"/>
        </w:rPr>
        <w:t xml:space="preserve"> </w:t>
      </w:r>
      <w:r w:rsidR="00583289">
        <w:rPr>
          <w:rFonts w:cs="Segoe UI"/>
          <w:color w:val="000000" w:themeColor="text1"/>
        </w:rPr>
        <w:t xml:space="preserve">timber, </w:t>
      </w:r>
      <w:r>
        <w:rPr>
          <w:rFonts w:cs="Segoe UI"/>
          <w:color w:val="000000" w:themeColor="text1"/>
        </w:rPr>
        <w:t xml:space="preserve">veneers, poles, piles and posts, and </w:t>
      </w:r>
      <w:r w:rsidR="00583289">
        <w:rPr>
          <w:rFonts w:cs="Segoe UI"/>
          <w:color w:val="000000" w:themeColor="text1"/>
        </w:rPr>
        <w:t>woodchips. The non-</w:t>
      </w:r>
      <w:r w:rsidR="002D56EB">
        <w:rPr>
          <w:rFonts w:cs="Segoe UI"/>
          <w:color w:val="000000" w:themeColor="text1"/>
        </w:rPr>
        <w:t>sawlog products</w:t>
      </w:r>
      <w:r>
        <w:rPr>
          <w:rFonts w:cs="Segoe UI"/>
          <w:color w:val="000000" w:themeColor="text1"/>
        </w:rPr>
        <w:t xml:space="preserve"> </w:t>
      </w:r>
      <w:r w:rsidR="00583289">
        <w:rPr>
          <w:rFonts w:cs="Segoe UI"/>
          <w:color w:val="000000" w:themeColor="text1"/>
        </w:rPr>
        <w:t>includ</w:t>
      </w:r>
      <w:r>
        <w:rPr>
          <w:rFonts w:cs="Segoe UI"/>
          <w:color w:val="000000" w:themeColor="text1"/>
        </w:rPr>
        <w:t>e</w:t>
      </w:r>
      <w:r w:rsidR="00583289">
        <w:rPr>
          <w:rFonts w:cs="Segoe UI"/>
          <w:color w:val="000000" w:themeColor="text1"/>
        </w:rPr>
        <w:t xml:space="preserve"> charcoal</w:t>
      </w:r>
      <w:r>
        <w:rPr>
          <w:rFonts w:cs="Segoe UI"/>
          <w:color w:val="000000" w:themeColor="text1"/>
        </w:rPr>
        <w:t xml:space="preserve"> for high quality silicon</w:t>
      </w:r>
      <w:r w:rsidR="00583289">
        <w:rPr>
          <w:rFonts w:cs="Segoe UI"/>
          <w:color w:val="000000" w:themeColor="text1"/>
        </w:rPr>
        <w:t xml:space="preserve"> production, </w:t>
      </w:r>
      <w:r>
        <w:rPr>
          <w:rFonts w:cs="Segoe UI"/>
          <w:color w:val="000000" w:themeColor="text1"/>
        </w:rPr>
        <w:t xml:space="preserve">commercial firewood, </w:t>
      </w:r>
      <w:r w:rsidR="00583289">
        <w:rPr>
          <w:rFonts w:cs="Segoe UI"/>
          <w:color w:val="000000" w:themeColor="text1"/>
        </w:rPr>
        <w:t>woodchips for export</w:t>
      </w:r>
      <w:r>
        <w:rPr>
          <w:rFonts w:cs="Segoe UI"/>
          <w:color w:val="000000" w:themeColor="text1"/>
        </w:rPr>
        <w:t>,</w:t>
      </w:r>
      <w:r w:rsidR="00583289">
        <w:rPr>
          <w:rFonts w:cs="Segoe UI"/>
          <w:color w:val="000000" w:themeColor="text1"/>
        </w:rPr>
        <w:t xml:space="preserve"> and sawdust and bark </w:t>
      </w:r>
      <w:r>
        <w:rPr>
          <w:rFonts w:cs="Segoe UI"/>
          <w:color w:val="000000" w:themeColor="text1"/>
        </w:rPr>
        <w:t xml:space="preserve">residues </w:t>
      </w:r>
      <w:r w:rsidR="00583289">
        <w:rPr>
          <w:rFonts w:cs="Segoe UI"/>
          <w:color w:val="000000" w:themeColor="text1"/>
        </w:rPr>
        <w:t xml:space="preserve">for garden and agricultural purposes. Secondary processors </w:t>
      </w:r>
      <w:r>
        <w:rPr>
          <w:rFonts w:cs="Segoe UI"/>
          <w:color w:val="000000" w:themeColor="text1"/>
        </w:rPr>
        <w:t>produce</w:t>
      </w:r>
      <w:r w:rsidR="00583289">
        <w:rPr>
          <w:rFonts w:cs="Segoe UI"/>
          <w:color w:val="000000" w:themeColor="text1"/>
        </w:rPr>
        <w:t xml:space="preserve"> flooring and decking, wooden furniture</w:t>
      </w:r>
      <w:r>
        <w:rPr>
          <w:rFonts w:cs="Segoe UI"/>
          <w:color w:val="000000" w:themeColor="text1"/>
        </w:rPr>
        <w:t>,</w:t>
      </w:r>
      <w:r w:rsidR="00583289">
        <w:rPr>
          <w:rFonts w:cs="Segoe UI"/>
          <w:color w:val="000000" w:themeColor="text1"/>
        </w:rPr>
        <w:t xml:space="preserve"> joinery, pallet and container</w:t>
      </w:r>
      <w:r>
        <w:rPr>
          <w:rFonts w:cs="Segoe UI"/>
          <w:color w:val="000000" w:themeColor="text1"/>
        </w:rPr>
        <w:t>s</w:t>
      </w:r>
      <w:r w:rsidR="00583289">
        <w:rPr>
          <w:rFonts w:cs="Segoe UI"/>
          <w:color w:val="000000" w:themeColor="text1"/>
        </w:rPr>
        <w:t>, laminates, recycled timber and truss and frame</w:t>
      </w:r>
      <w:r>
        <w:rPr>
          <w:rFonts w:cs="Segoe UI"/>
          <w:color w:val="000000" w:themeColor="text1"/>
        </w:rPr>
        <w:t>s</w:t>
      </w:r>
      <w:r w:rsidR="00583289">
        <w:rPr>
          <w:rFonts w:cs="Segoe UI"/>
          <w:color w:val="000000" w:themeColor="text1"/>
        </w:rPr>
        <w:t>.</w:t>
      </w:r>
    </w:p>
    <w:p w14:paraId="26ABD361" w14:textId="77777777" w:rsidR="00E40B48" w:rsidRPr="00CE60B2" w:rsidRDefault="004733FA" w:rsidP="00E40B48">
      <w:pPr>
        <w:rPr>
          <w:rFonts w:cs="Segoe UI"/>
        </w:rPr>
      </w:pPr>
      <w:r>
        <w:rPr>
          <w:rFonts w:cs="Segoe UI"/>
        </w:rPr>
        <w:t xml:space="preserve">Non-wood forest products sourced from WA State forest include seeds, flowers, and honey. </w:t>
      </w:r>
      <w:r w:rsidR="00E40B48" w:rsidRPr="00CE60B2">
        <w:rPr>
          <w:rFonts w:cs="Segoe UI"/>
        </w:rPr>
        <w:t xml:space="preserve">The values and quantities of these non-wood forest products are reported in Indicator 6.1b. </w:t>
      </w:r>
    </w:p>
    <w:p w14:paraId="26ABD362" w14:textId="77777777" w:rsidR="00DB510B" w:rsidRPr="00CE60B2" w:rsidRDefault="00DB510B" w:rsidP="000F6020">
      <w:pPr>
        <w:pStyle w:val="Heading3"/>
        <w:rPr>
          <w:lang w:eastAsia="en-AU"/>
        </w:rPr>
      </w:pPr>
      <w:bookmarkStart w:id="146" w:name="_Toc524952816"/>
      <w:bookmarkStart w:id="147" w:name="_Toc2776059"/>
      <w:r w:rsidRPr="00CE60B2">
        <w:rPr>
          <w:lang w:eastAsia="en-AU"/>
        </w:rPr>
        <w:t>Indicator 6.1e</w:t>
      </w:r>
      <w:r w:rsidRPr="00CE60B2">
        <w:rPr>
          <w:lang w:eastAsia="en-AU"/>
        </w:rPr>
        <w:tab/>
        <w:t>Degree of recycling of forest products</w:t>
      </w:r>
      <w:bookmarkEnd w:id="146"/>
      <w:bookmarkEnd w:id="147"/>
    </w:p>
    <w:p w14:paraId="26ABD363" w14:textId="77777777" w:rsidR="00BD02F5" w:rsidRDefault="007D117A" w:rsidP="00BD02F5">
      <w:pPr>
        <w:autoSpaceDE w:val="0"/>
        <w:autoSpaceDN w:val="0"/>
        <w:adjustRightInd w:val="0"/>
        <w:spacing w:before="0" w:after="0"/>
        <w:rPr>
          <w:rFonts w:cs="Segoe UI"/>
        </w:rPr>
      </w:pPr>
      <w:r>
        <w:rPr>
          <w:rFonts w:cs="Segoe UI"/>
        </w:rPr>
        <w:t>T</w:t>
      </w:r>
      <w:r w:rsidR="001A2662" w:rsidRPr="00CE60B2">
        <w:rPr>
          <w:rFonts w:cs="Segoe UI"/>
        </w:rPr>
        <w:t xml:space="preserve">his indicator measures the extent to which recycling or reuse of forest products occurs. </w:t>
      </w:r>
      <w:r w:rsidR="00BD02F5" w:rsidRPr="00CE60B2">
        <w:rPr>
          <w:rFonts w:cs="Segoe UI"/>
        </w:rPr>
        <w:t>As global demand for forest products increase, there is a growing need to meet societal demands for recycling of forest products.</w:t>
      </w:r>
    </w:p>
    <w:p w14:paraId="26ABD364" w14:textId="77777777" w:rsidR="00BD02F5" w:rsidRPr="00CE60B2" w:rsidRDefault="00BD02F5" w:rsidP="000F6020">
      <w:pPr>
        <w:pStyle w:val="Heading4"/>
        <w:rPr>
          <w:rFonts w:cs="Segoe UI"/>
          <w:lang w:eastAsia="ja-JP"/>
        </w:rPr>
      </w:pPr>
      <w:r w:rsidRPr="00CE60B2">
        <w:rPr>
          <w:rFonts w:cs="Segoe UI"/>
          <w:lang w:eastAsia="ja-JP"/>
        </w:rPr>
        <w:t>Background</w:t>
      </w:r>
    </w:p>
    <w:p w14:paraId="26ABD365" w14:textId="125BCEE9" w:rsidR="001A2662" w:rsidRPr="00CE60B2" w:rsidRDefault="001A2662" w:rsidP="001A2662">
      <w:pPr>
        <w:pStyle w:val="Text"/>
        <w:ind w:left="0"/>
        <w:rPr>
          <w:rFonts w:ascii="Segoe UI" w:hAnsi="Segoe UI" w:cs="Segoe UI"/>
        </w:rPr>
      </w:pPr>
      <w:r w:rsidRPr="00CE60B2">
        <w:rPr>
          <w:rFonts w:ascii="Segoe UI" w:hAnsi="Segoe UI" w:cs="Segoe UI"/>
        </w:rPr>
        <w:t>Information o</w:t>
      </w:r>
      <w:r w:rsidR="00CF7871">
        <w:rPr>
          <w:rFonts w:ascii="Segoe UI" w:hAnsi="Segoe UI" w:cs="Segoe UI"/>
        </w:rPr>
        <w:t>n</w:t>
      </w:r>
      <w:r w:rsidRPr="00CE60B2">
        <w:rPr>
          <w:rFonts w:ascii="Segoe UI" w:hAnsi="Segoe UI" w:cs="Segoe UI"/>
        </w:rPr>
        <w:t xml:space="preserve"> the levels of recycling or reuse of forest products in Australia and in </w:t>
      </w:r>
      <w:r w:rsidR="00AC11AF" w:rsidRPr="00CE60B2">
        <w:rPr>
          <w:rFonts w:ascii="Segoe UI" w:hAnsi="Segoe UI" w:cs="Segoe UI"/>
        </w:rPr>
        <w:t>WA</w:t>
      </w:r>
      <w:r w:rsidRPr="00CE60B2">
        <w:rPr>
          <w:rFonts w:ascii="Segoe UI" w:hAnsi="Segoe UI" w:cs="Segoe UI"/>
        </w:rPr>
        <w:t xml:space="preserve"> is limited</w:t>
      </w:r>
      <w:r w:rsidR="00CF7871">
        <w:rPr>
          <w:rFonts w:ascii="Segoe UI" w:hAnsi="Segoe UI" w:cs="Segoe UI"/>
        </w:rPr>
        <w:t>,</w:t>
      </w:r>
      <w:r w:rsidRPr="00CE60B2">
        <w:rPr>
          <w:rFonts w:ascii="Segoe UI" w:hAnsi="Segoe UI" w:cs="Segoe UI"/>
        </w:rPr>
        <w:t xml:space="preserve"> and depend</w:t>
      </w:r>
      <w:r w:rsidR="00CF7871">
        <w:rPr>
          <w:rFonts w:ascii="Segoe UI" w:hAnsi="Segoe UI" w:cs="Segoe UI"/>
        </w:rPr>
        <w:t>s</w:t>
      </w:r>
      <w:r w:rsidRPr="00CE60B2">
        <w:rPr>
          <w:rFonts w:ascii="Segoe UI" w:hAnsi="Segoe UI" w:cs="Segoe UI"/>
        </w:rPr>
        <w:t xml:space="preserve"> on the type of product </w:t>
      </w:r>
      <w:r w:rsidR="00EF1393" w:rsidRPr="00CE60B2">
        <w:rPr>
          <w:rFonts w:ascii="Segoe UI" w:hAnsi="Segoe UI" w:cs="Segoe UI"/>
        </w:rPr>
        <w:t>i.e.</w:t>
      </w:r>
      <w:r w:rsidR="00BD02F5" w:rsidRPr="00CE60B2">
        <w:rPr>
          <w:rFonts w:ascii="Segoe UI" w:hAnsi="Segoe UI" w:cs="Segoe UI"/>
        </w:rPr>
        <w:t xml:space="preserve"> solid, processed or paper/paperboard</w:t>
      </w:r>
      <w:r w:rsidRPr="00CE60B2">
        <w:rPr>
          <w:rFonts w:ascii="Segoe UI" w:hAnsi="Segoe UI" w:cs="Segoe UI"/>
        </w:rPr>
        <w:t xml:space="preserve">. </w:t>
      </w:r>
      <w:r w:rsidR="00CF7871">
        <w:rPr>
          <w:rFonts w:ascii="Segoe UI" w:hAnsi="Segoe UI" w:cs="Segoe UI"/>
        </w:rPr>
        <w:t>D</w:t>
      </w:r>
      <w:r w:rsidRPr="00CE60B2">
        <w:rPr>
          <w:rFonts w:ascii="Segoe UI" w:hAnsi="Segoe UI" w:cs="Segoe UI"/>
        </w:rPr>
        <w:t xml:space="preserve">ata is not available for the </w:t>
      </w:r>
      <w:r w:rsidR="00AC11AF" w:rsidRPr="00CE60B2">
        <w:rPr>
          <w:rFonts w:ascii="Segoe UI" w:hAnsi="Segoe UI" w:cs="Segoe UI"/>
        </w:rPr>
        <w:t>WA</w:t>
      </w:r>
      <w:r w:rsidRPr="00CE60B2">
        <w:rPr>
          <w:rFonts w:ascii="Segoe UI" w:hAnsi="Segoe UI" w:cs="Segoe UI"/>
        </w:rPr>
        <w:t xml:space="preserve"> RFA region, and therefore the data quoted in this report is for the whole of </w:t>
      </w:r>
      <w:r w:rsidR="00143EA9" w:rsidRPr="00CE60B2">
        <w:rPr>
          <w:rFonts w:ascii="Segoe UI" w:hAnsi="Segoe UI" w:cs="Segoe UI"/>
        </w:rPr>
        <w:t>WA</w:t>
      </w:r>
      <w:r w:rsidRPr="00CE60B2">
        <w:rPr>
          <w:rFonts w:ascii="Segoe UI" w:hAnsi="Segoe UI" w:cs="Segoe UI"/>
        </w:rPr>
        <w:t>. A</w:t>
      </w:r>
      <w:r w:rsidR="00CF7871" w:rsidRPr="00CE60B2">
        <w:rPr>
          <w:rFonts w:ascii="Segoe UI" w:hAnsi="Segoe UI" w:cs="Segoe UI"/>
        </w:rPr>
        <w:t xml:space="preserve">ssigning recycling levels to one region is problematic </w:t>
      </w:r>
      <w:r w:rsidR="00CF7871">
        <w:rPr>
          <w:rFonts w:ascii="Segoe UI" w:hAnsi="Segoe UI" w:cs="Segoe UI"/>
        </w:rPr>
        <w:t>becau</w:t>
      </w:r>
      <w:r w:rsidRPr="00CE60B2">
        <w:rPr>
          <w:rFonts w:ascii="Segoe UI" w:hAnsi="Segoe UI" w:cs="Segoe UI"/>
        </w:rPr>
        <w:t>s</w:t>
      </w:r>
      <w:r w:rsidR="00CF7871">
        <w:rPr>
          <w:rFonts w:ascii="Segoe UI" w:hAnsi="Segoe UI" w:cs="Segoe UI"/>
        </w:rPr>
        <w:t>e</w:t>
      </w:r>
      <w:r w:rsidRPr="00CE60B2">
        <w:rPr>
          <w:rFonts w:ascii="Segoe UI" w:hAnsi="Segoe UI" w:cs="Segoe UI"/>
        </w:rPr>
        <w:t xml:space="preserve"> forest products produced in one</w:t>
      </w:r>
      <w:r w:rsidR="007D37C0" w:rsidRPr="00CE60B2">
        <w:rPr>
          <w:rFonts w:ascii="Segoe UI" w:hAnsi="Segoe UI" w:cs="Segoe UI"/>
        </w:rPr>
        <w:t xml:space="preserve"> </w:t>
      </w:r>
      <w:r w:rsidRPr="00CE60B2">
        <w:rPr>
          <w:rFonts w:ascii="Segoe UI" w:hAnsi="Segoe UI" w:cs="Segoe UI"/>
        </w:rPr>
        <w:t xml:space="preserve">region often end up in many different areas of the State, interstate </w:t>
      </w:r>
      <w:r w:rsidR="00CF7871">
        <w:rPr>
          <w:rFonts w:ascii="Segoe UI" w:hAnsi="Segoe UI" w:cs="Segoe UI"/>
        </w:rPr>
        <w:t>or</w:t>
      </w:r>
      <w:r w:rsidRPr="00CE60B2">
        <w:rPr>
          <w:rFonts w:ascii="Segoe UI" w:hAnsi="Segoe UI" w:cs="Segoe UI"/>
        </w:rPr>
        <w:t xml:space="preserve"> exported to other </w:t>
      </w:r>
      <w:r w:rsidR="001B2208" w:rsidRPr="00CE60B2">
        <w:rPr>
          <w:rFonts w:ascii="Segoe UI" w:hAnsi="Segoe UI" w:cs="Segoe UI"/>
        </w:rPr>
        <w:t>countries</w:t>
      </w:r>
      <w:r w:rsidR="001B2208">
        <w:rPr>
          <w:rFonts w:ascii="Segoe UI" w:hAnsi="Segoe UI" w:cs="Segoe UI"/>
        </w:rPr>
        <w:t>.</w:t>
      </w:r>
      <w:r w:rsidRPr="00CE60B2">
        <w:rPr>
          <w:rFonts w:ascii="Segoe UI" w:hAnsi="Segoe UI" w:cs="Segoe UI"/>
        </w:rPr>
        <w:t xml:space="preserve"> Recovery options include direct recycling into other wood products, indirect recycling into non-wood products (e.g. mulch), re</w:t>
      </w:r>
      <w:r w:rsidR="006001A8">
        <w:rPr>
          <w:rFonts w:ascii="Segoe UI" w:hAnsi="Segoe UI" w:cs="Segoe UI"/>
        </w:rPr>
        <w:t>use and energy generation (FWPA </w:t>
      </w:r>
      <w:r w:rsidRPr="00CE60B2">
        <w:rPr>
          <w:rFonts w:ascii="Segoe UI" w:hAnsi="Segoe UI" w:cs="Segoe UI"/>
        </w:rPr>
        <w:t xml:space="preserve">2008). In this section “wood” includes wood and wood products </w:t>
      </w:r>
      <w:r w:rsidR="00CF7871">
        <w:rPr>
          <w:rFonts w:ascii="Segoe UI" w:hAnsi="Segoe UI" w:cs="Segoe UI"/>
        </w:rPr>
        <w:t>such as</w:t>
      </w:r>
      <w:r w:rsidRPr="00CE60B2">
        <w:rPr>
          <w:rFonts w:ascii="Segoe UI" w:hAnsi="Segoe UI" w:cs="Segoe UI"/>
        </w:rPr>
        <w:t xml:space="preserve"> engineered wood products.</w:t>
      </w:r>
    </w:p>
    <w:p w14:paraId="26ABD366" w14:textId="77777777" w:rsidR="00EC2623" w:rsidRPr="00EC2623" w:rsidRDefault="00CF7871" w:rsidP="00EC2623">
      <w:pPr>
        <w:pStyle w:val="Text"/>
        <w:ind w:left="0"/>
        <w:rPr>
          <w:rFonts w:ascii="Segoe UI" w:hAnsi="Segoe UI" w:cs="Segoe UI"/>
        </w:rPr>
      </w:pPr>
      <w:r>
        <w:rPr>
          <w:rFonts w:ascii="Segoe UI" w:hAnsi="Segoe UI" w:cs="Segoe UI"/>
        </w:rPr>
        <w:t>T</w:t>
      </w:r>
      <w:r w:rsidRPr="00EC2623">
        <w:rPr>
          <w:rFonts w:ascii="Segoe UI" w:hAnsi="Segoe UI" w:cs="Segoe UI"/>
        </w:rPr>
        <w:t xml:space="preserve">he Hazelmere Recycling Centre </w:t>
      </w:r>
      <w:r>
        <w:rPr>
          <w:rFonts w:ascii="Segoe UI" w:hAnsi="Segoe UI" w:cs="Segoe UI"/>
        </w:rPr>
        <w:t>(</w:t>
      </w:r>
      <w:r w:rsidRPr="00EC2623">
        <w:rPr>
          <w:rFonts w:ascii="Segoe UI" w:hAnsi="Segoe UI" w:cs="Segoe UI"/>
        </w:rPr>
        <w:t>managed by the Eastern Metropolitan Regional Council</w:t>
      </w:r>
      <w:r>
        <w:rPr>
          <w:rFonts w:ascii="Segoe UI" w:hAnsi="Segoe UI" w:cs="Segoe UI"/>
        </w:rPr>
        <w:t>)</w:t>
      </w:r>
      <w:r w:rsidRPr="00EC2623">
        <w:rPr>
          <w:rFonts w:ascii="Segoe UI" w:hAnsi="Segoe UI" w:cs="Segoe UI"/>
        </w:rPr>
        <w:t xml:space="preserve"> is the major timber recycling facility in the Perth and Peel regions</w:t>
      </w:r>
      <w:r w:rsidR="002D56EB">
        <w:rPr>
          <w:rFonts w:ascii="Segoe UI" w:hAnsi="Segoe UI" w:cs="Segoe UI"/>
        </w:rPr>
        <w:t xml:space="preserve"> </w:t>
      </w:r>
      <w:r>
        <w:rPr>
          <w:rFonts w:ascii="Segoe UI" w:hAnsi="Segoe UI" w:cs="Segoe UI"/>
        </w:rPr>
        <w:t>(</w:t>
      </w:r>
      <w:r w:rsidR="006221F7">
        <w:rPr>
          <w:rFonts w:ascii="Segoe UI" w:hAnsi="Segoe UI" w:cs="Segoe UI"/>
        </w:rPr>
        <w:t>Figure 11</w:t>
      </w:r>
      <w:r>
        <w:rPr>
          <w:rFonts w:ascii="Segoe UI" w:hAnsi="Segoe UI" w:cs="Segoe UI"/>
        </w:rPr>
        <w:t>)</w:t>
      </w:r>
      <w:r w:rsidR="00EC2623" w:rsidRPr="00EC2623">
        <w:rPr>
          <w:rFonts w:ascii="Segoe UI" w:hAnsi="Segoe UI" w:cs="Segoe UI"/>
        </w:rPr>
        <w:t>. The centre accepts untreated timbers which are sorted, ground and screened to produce bedding for the poultry industry, particle board, compost, wood chips and mulch. There are also smaller-scale businesses that salvage and reuse timber (e.g. reclaiming timber for floor boards and decking, reuse of wooden pallets) (WAWA 2014).</w:t>
      </w:r>
    </w:p>
    <w:p w14:paraId="26ABD367" w14:textId="77777777" w:rsidR="00F56F46" w:rsidRDefault="006A700F" w:rsidP="006A700F">
      <w:pPr>
        <w:pStyle w:val="Text"/>
        <w:keepNext/>
        <w:ind w:left="284"/>
      </w:pPr>
      <w:r w:rsidRPr="00AC76DE">
        <w:rPr>
          <w:noProof/>
          <w:lang w:eastAsia="en-AU"/>
        </w:rPr>
        <w:lastRenderedPageBreak/>
        <w:drawing>
          <wp:inline distT="0" distB="0" distL="0" distR="0" wp14:anchorId="26ABE266" wp14:editId="26ABE267">
            <wp:extent cx="5805182" cy="842413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7982" cy="8428202"/>
                    </a:xfrm>
                    <a:prstGeom prst="rect">
                      <a:avLst/>
                    </a:prstGeom>
                    <a:noFill/>
                    <a:ln>
                      <a:noFill/>
                    </a:ln>
                  </pic:spPr>
                </pic:pic>
              </a:graphicData>
            </a:graphic>
          </wp:inline>
        </w:drawing>
      </w:r>
    </w:p>
    <w:p w14:paraId="26ABD368" w14:textId="0BE11C4C" w:rsidR="00EC2623" w:rsidRPr="00D934F4" w:rsidRDefault="00F56F46" w:rsidP="00F56F46">
      <w:pPr>
        <w:pStyle w:val="Caption"/>
      </w:pPr>
      <w:bookmarkStart w:id="148" w:name="_Toc2776012"/>
      <w:r>
        <w:t xml:space="preserve">Figure </w:t>
      </w:r>
      <w:r w:rsidR="006A6356">
        <w:rPr>
          <w:noProof/>
        </w:rPr>
        <w:fldChar w:fldCharType="begin"/>
      </w:r>
      <w:r w:rsidR="006A6356">
        <w:rPr>
          <w:noProof/>
        </w:rPr>
        <w:instrText xml:space="preserve"> SEQ Figure \* ARABIC </w:instrText>
      </w:r>
      <w:r w:rsidR="006A6356">
        <w:rPr>
          <w:noProof/>
        </w:rPr>
        <w:fldChar w:fldCharType="separate"/>
      </w:r>
      <w:r w:rsidR="003C7091">
        <w:rPr>
          <w:noProof/>
        </w:rPr>
        <w:t>11</w:t>
      </w:r>
      <w:r w:rsidR="006A6356">
        <w:rPr>
          <w:noProof/>
        </w:rPr>
        <w:fldChar w:fldCharType="end"/>
      </w:r>
      <w:r>
        <w:t xml:space="preserve">: </w:t>
      </w:r>
      <w:r w:rsidRPr="00B20E53">
        <w:t>Major construction and demolition materials recyclers, timber recyclers and organic waste recyclers in the Perth metropolitan regions (WAWA 2014)</w:t>
      </w:r>
      <w:bookmarkEnd w:id="148"/>
    </w:p>
    <w:p w14:paraId="26ABD369" w14:textId="77777777" w:rsidR="00EC2623" w:rsidRPr="00EC2623" w:rsidRDefault="00EC2623" w:rsidP="00EC2623">
      <w:pPr>
        <w:pStyle w:val="Heading4"/>
        <w:rPr>
          <w:rFonts w:cs="Segoe UI"/>
        </w:rPr>
      </w:pPr>
      <w:r w:rsidRPr="00EC2623">
        <w:rPr>
          <w:rFonts w:cs="Segoe UI"/>
        </w:rPr>
        <w:lastRenderedPageBreak/>
        <w:t>Statistics on recycling of wood in WA</w:t>
      </w:r>
    </w:p>
    <w:p w14:paraId="26ABD36A" w14:textId="77777777" w:rsidR="00EC2623" w:rsidRPr="00EC2623" w:rsidRDefault="00EC2623" w:rsidP="00EC2623">
      <w:pPr>
        <w:rPr>
          <w:lang w:eastAsia="ja-JP"/>
        </w:rPr>
      </w:pPr>
      <w:r w:rsidRPr="00EC2623">
        <w:rPr>
          <w:lang w:eastAsia="ja-JP"/>
        </w:rPr>
        <w:t>In 2006</w:t>
      </w:r>
      <w:r w:rsidRPr="00EC2623">
        <w:rPr>
          <w:lang w:eastAsia="ja-JP"/>
        </w:rPr>
        <w:noBreakHyphen/>
        <w:t>07 it was estimated that approximately 10,000 tonnes of construction and demolition (C&amp;D) wood was recycled in WA (NTPSG 2008). C&amp;D waste makes up around half the total waste stream in WA and improving landfill diversion rates for this waste stream is a focus of the WA Government</w:t>
      </w:r>
      <w:r w:rsidR="00CF7871">
        <w:rPr>
          <w:lang w:eastAsia="ja-JP"/>
        </w:rPr>
        <w:t>.</w:t>
      </w:r>
      <w:r w:rsidRPr="00EC2623">
        <w:rPr>
          <w:lang w:eastAsia="ja-JP"/>
        </w:rPr>
        <w:t xml:space="preserve"> </w:t>
      </w:r>
      <w:r w:rsidR="00CF7871">
        <w:rPr>
          <w:lang w:eastAsia="ja-JP"/>
        </w:rPr>
        <w:t>L</w:t>
      </w:r>
      <w:r w:rsidRPr="00EC2623">
        <w:rPr>
          <w:lang w:eastAsia="ja-JP"/>
        </w:rPr>
        <w:t>ocal markets for recycled C&amp;D products are still in development (ANWR 2016).</w:t>
      </w:r>
    </w:p>
    <w:p w14:paraId="26ABD36B" w14:textId="7F64A301" w:rsidR="0003287C" w:rsidRDefault="00EC2623" w:rsidP="001405FC">
      <w:r w:rsidRPr="00EC2623">
        <w:rPr>
          <w:lang w:eastAsia="ja-JP"/>
        </w:rPr>
        <w:t>Wood/timber waste is a significant contributor to the total organic waste for WA, contributing to 14.9 per cent of total recovered organics</w:t>
      </w:r>
      <w:r w:rsidR="00CF7871">
        <w:rPr>
          <w:lang w:eastAsia="ja-JP"/>
        </w:rPr>
        <w:t xml:space="preserve"> (</w:t>
      </w:r>
      <w:r w:rsidR="001405FC" w:rsidRPr="00B978C3">
        <w:rPr>
          <w:lang w:eastAsia="ja-JP"/>
        </w:rPr>
        <w:fldChar w:fldCharType="begin"/>
      </w:r>
      <w:r w:rsidR="001405FC" w:rsidRPr="00B978C3">
        <w:rPr>
          <w:lang w:eastAsia="ja-JP"/>
        </w:rPr>
        <w:instrText xml:space="preserve"> REF _Ref530999289 \h  \* MERGEFORMAT </w:instrText>
      </w:r>
      <w:r w:rsidR="001405FC" w:rsidRPr="00B978C3">
        <w:rPr>
          <w:lang w:eastAsia="ja-JP"/>
        </w:rPr>
      </w:r>
      <w:r w:rsidR="001405FC" w:rsidRPr="00B978C3">
        <w:rPr>
          <w:lang w:eastAsia="ja-JP"/>
        </w:rPr>
        <w:fldChar w:fldCharType="separate"/>
      </w:r>
      <w:r w:rsidR="003C7091">
        <w:t xml:space="preserve">Figure </w:t>
      </w:r>
      <w:r w:rsidR="003C7091">
        <w:rPr>
          <w:noProof/>
        </w:rPr>
        <w:t>12</w:t>
      </w:r>
      <w:r w:rsidR="001405FC" w:rsidRPr="00B978C3">
        <w:rPr>
          <w:lang w:eastAsia="ja-JP"/>
        </w:rPr>
        <w:fldChar w:fldCharType="end"/>
      </w:r>
      <w:r w:rsidR="001405FC">
        <w:rPr>
          <w:lang w:eastAsia="ja-JP"/>
        </w:rPr>
        <w:t>).</w:t>
      </w:r>
      <w:r w:rsidRPr="00EC2623">
        <w:rPr>
          <w:noProof/>
          <w:lang w:eastAsia="en-AU"/>
        </w:rPr>
        <w:drawing>
          <wp:inline distT="0" distB="0" distL="0" distR="0" wp14:anchorId="26ABE268" wp14:editId="26ABE269">
            <wp:extent cx="5731510" cy="3024505"/>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024505"/>
                    </a:xfrm>
                    <a:prstGeom prst="rect">
                      <a:avLst/>
                    </a:prstGeom>
                  </pic:spPr>
                </pic:pic>
              </a:graphicData>
            </a:graphic>
          </wp:inline>
        </w:drawing>
      </w:r>
    </w:p>
    <w:p w14:paraId="26ABD36C" w14:textId="6F131D8A" w:rsidR="00EC2623" w:rsidRDefault="0003287C" w:rsidP="0003287C">
      <w:pPr>
        <w:pStyle w:val="Caption"/>
      </w:pPr>
      <w:bookmarkStart w:id="149" w:name="_Ref530999289"/>
      <w:bookmarkStart w:id="150" w:name="_Toc2776013"/>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12</w:t>
      </w:r>
      <w:r w:rsidR="0002253A">
        <w:rPr>
          <w:noProof/>
        </w:rPr>
        <w:fldChar w:fldCharType="end"/>
      </w:r>
      <w:bookmarkEnd w:id="149"/>
      <w:r>
        <w:t xml:space="preserve">: </w:t>
      </w:r>
      <w:r w:rsidRPr="00D9101C">
        <w:t>Western Australian 2014-15 composition of recycled organics, by weight (WAWA 2016)</w:t>
      </w:r>
      <w:bookmarkEnd w:id="150"/>
    </w:p>
    <w:p w14:paraId="26ABD36D" w14:textId="77777777" w:rsidR="00EC2623" w:rsidRPr="00EC2623" w:rsidRDefault="00EC2623" w:rsidP="00EC2623">
      <w:pPr>
        <w:pStyle w:val="Heading4"/>
        <w:rPr>
          <w:rFonts w:cs="Segoe UI"/>
        </w:rPr>
      </w:pPr>
      <w:r w:rsidRPr="00EC2623">
        <w:rPr>
          <w:rFonts w:cs="Segoe UI"/>
        </w:rPr>
        <w:t>Challenges in increasing recycling levels of wood in WA</w:t>
      </w:r>
    </w:p>
    <w:p w14:paraId="26ABD36E" w14:textId="77777777" w:rsidR="00EC2623" w:rsidRDefault="00CF7871" w:rsidP="00EC2623">
      <w:pPr>
        <w:rPr>
          <w:lang w:eastAsia="ja-JP"/>
        </w:rPr>
      </w:pPr>
      <w:r>
        <w:rPr>
          <w:lang w:eastAsia="ja-JP"/>
        </w:rPr>
        <w:t>F</w:t>
      </w:r>
      <w:r w:rsidR="00EC2623" w:rsidRPr="00EC2623">
        <w:rPr>
          <w:lang w:eastAsia="ja-JP"/>
        </w:rPr>
        <w:t>igures on wood recycling</w:t>
      </w:r>
      <w:r>
        <w:rPr>
          <w:lang w:eastAsia="ja-JP"/>
        </w:rPr>
        <w:t xml:space="preserve"> levels in WA are difficult to produce, and</w:t>
      </w:r>
      <w:r w:rsidR="00EC2623" w:rsidRPr="00EC2623">
        <w:rPr>
          <w:lang w:eastAsia="ja-JP"/>
        </w:rPr>
        <w:t xml:space="preserve"> for reporting purposes wood is categorised as an organic material in WA. </w:t>
      </w:r>
      <w:r w:rsidR="00EC2623">
        <w:rPr>
          <w:lang w:eastAsia="ja-JP"/>
        </w:rPr>
        <w:t xml:space="preserve">Wood and </w:t>
      </w:r>
      <w:r w:rsidR="00EC2623" w:rsidRPr="00EC2623">
        <w:rPr>
          <w:lang w:eastAsia="ja-JP"/>
        </w:rPr>
        <w:t>timber mak</w:t>
      </w:r>
      <w:r w:rsidR="00EC2623">
        <w:rPr>
          <w:lang w:eastAsia="ja-JP"/>
        </w:rPr>
        <w:t>e</w:t>
      </w:r>
      <w:r w:rsidR="00EC2623" w:rsidRPr="00EC2623">
        <w:rPr>
          <w:lang w:eastAsia="ja-JP"/>
        </w:rPr>
        <w:t xml:space="preserve"> up 57,830 tonnes</w:t>
      </w:r>
      <w:r w:rsidR="00EC2623">
        <w:rPr>
          <w:lang w:eastAsia="ja-JP"/>
        </w:rPr>
        <w:t xml:space="preserve"> or 15</w:t>
      </w:r>
      <w:r w:rsidR="002370FB">
        <w:rPr>
          <w:lang w:eastAsia="ja-JP"/>
        </w:rPr>
        <w:t> </w:t>
      </w:r>
      <w:r w:rsidR="00EC2623">
        <w:rPr>
          <w:lang w:eastAsia="ja-JP"/>
        </w:rPr>
        <w:t>per</w:t>
      </w:r>
      <w:r w:rsidR="002370FB">
        <w:rPr>
          <w:lang w:eastAsia="ja-JP"/>
        </w:rPr>
        <w:t> </w:t>
      </w:r>
      <w:r w:rsidR="00EC2623">
        <w:rPr>
          <w:lang w:eastAsia="ja-JP"/>
        </w:rPr>
        <w:t>cent of total organic waste recycled</w:t>
      </w:r>
      <w:r w:rsidR="00EC2623" w:rsidRPr="00EC2623">
        <w:rPr>
          <w:lang w:eastAsia="ja-JP"/>
        </w:rPr>
        <w:t xml:space="preserve"> in 2014</w:t>
      </w:r>
      <w:r w:rsidR="00EC2623" w:rsidRPr="00EC2623">
        <w:rPr>
          <w:lang w:eastAsia="ja-JP"/>
        </w:rPr>
        <w:noBreakHyphen/>
        <w:t>15</w:t>
      </w:r>
      <w:r w:rsidR="00EC2623">
        <w:rPr>
          <w:lang w:eastAsia="ja-JP"/>
        </w:rPr>
        <w:t xml:space="preserve"> (WAWA</w:t>
      </w:r>
      <w:r w:rsidR="002370FB">
        <w:rPr>
          <w:lang w:eastAsia="ja-JP"/>
        </w:rPr>
        <w:t> </w:t>
      </w:r>
      <w:r w:rsidR="00EC2623">
        <w:rPr>
          <w:lang w:eastAsia="ja-JP"/>
        </w:rPr>
        <w:t>2016)</w:t>
      </w:r>
      <w:r w:rsidR="00EC2623" w:rsidRPr="00EC2623">
        <w:rPr>
          <w:lang w:eastAsia="ja-JP"/>
        </w:rPr>
        <w:t>.</w:t>
      </w:r>
    </w:p>
    <w:p w14:paraId="26ABD36F" w14:textId="77777777" w:rsidR="00EC2623" w:rsidRPr="00EC2623" w:rsidRDefault="00EC2623" w:rsidP="00EC2623">
      <w:pPr>
        <w:rPr>
          <w:lang w:eastAsia="ja-JP"/>
        </w:rPr>
      </w:pPr>
      <w:r w:rsidRPr="00EC2623">
        <w:rPr>
          <w:lang w:eastAsia="ja-JP"/>
        </w:rPr>
        <w:t xml:space="preserve">The main barrier to organics recycling according to processors </w:t>
      </w:r>
      <w:r w:rsidR="00CF7871">
        <w:rPr>
          <w:lang w:eastAsia="ja-JP"/>
        </w:rPr>
        <w:t>is</w:t>
      </w:r>
      <w:r w:rsidRPr="00EC2623">
        <w:rPr>
          <w:lang w:eastAsia="ja-JP"/>
        </w:rPr>
        <w:t xml:space="preserve"> local government regulation of composting facilities. </w:t>
      </w:r>
      <w:r w:rsidR="00CF7871">
        <w:rPr>
          <w:lang w:eastAsia="ja-JP"/>
        </w:rPr>
        <w:t>I</w:t>
      </w:r>
      <w:r w:rsidRPr="00EC2623">
        <w:rPr>
          <w:lang w:eastAsia="ja-JP"/>
        </w:rPr>
        <w:t>ssues raised by the organics sector include:</w:t>
      </w:r>
    </w:p>
    <w:p w14:paraId="26ABD370" w14:textId="3E453B72" w:rsidR="00EC2623" w:rsidRPr="00EC2623" w:rsidRDefault="00EC2623" w:rsidP="00C903EE">
      <w:pPr>
        <w:pStyle w:val="ListParagraph"/>
        <w:numPr>
          <w:ilvl w:val="0"/>
          <w:numId w:val="32"/>
        </w:numPr>
        <w:rPr>
          <w:lang w:eastAsia="ja-JP"/>
        </w:rPr>
      </w:pPr>
      <w:r w:rsidRPr="00EC2623">
        <w:rPr>
          <w:lang w:eastAsia="ja-JP"/>
        </w:rPr>
        <w:t>A perception that a standardised regulatory approach was not being applied across the sector</w:t>
      </w:r>
      <w:r w:rsidR="00BA5A4A">
        <w:rPr>
          <w:lang w:eastAsia="ja-JP"/>
        </w:rPr>
        <w:t>.</w:t>
      </w:r>
    </w:p>
    <w:p w14:paraId="26ABD371" w14:textId="4CA047C0" w:rsidR="00EC2623" w:rsidRPr="00EC2623" w:rsidRDefault="00EC2623" w:rsidP="00C903EE">
      <w:pPr>
        <w:pStyle w:val="ListParagraph"/>
        <w:numPr>
          <w:ilvl w:val="0"/>
          <w:numId w:val="32"/>
        </w:numPr>
        <w:rPr>
          <w:lang w:eastAsia="ja-JP"/>
        </w:rPr>
      </w:pPr>
      <w:r w:rsidRPr="00EC2623">
        <w:rPr>
          <w:lang w:eastAsia="ja-JP"/>
        </w:rPr>
        <w:t>An overly complicated planning and environmental approvals process</w:t>
      </w:r>
      <w:r w:rsidR="00BA5A4A">
        <w:rPr>
          <w:lang w:eastAsia="ja-JP"/>
        </w:rPr>
        <w:t>.</w:t>
      </w:r>
    </w:p>
    <w:p w14:paraId="26ABD372" w14:textId="776FA202" w:rsidR="00EC2623" w:rsidRPr="00EC2623" w:rsidRDefault="00EC2623" w:rsidP="00C903EE">
      <w:pPr>
        <w:pStyle w:val="ListParagraph"/>
        <w:numPr>
          <w:ilvl w:val="0"/>
          <w:numId w:val="32"/>
        </w:numPr>
        <w:rPr>
          <w:lang w:eastAsia="ja-JP"/>
        </w:rPr>
      </w:pPr>
      <w:r w:rsidRPr="00EC2623">
        <w:rPr>
          <w:lang w:eastAsia="ja-JP"/>
        </w:rPr>
        <w:t>Prescriptive regulations and conditions that require significant capital investment</w:t>
      </w:r>
      <w:r w:rsidR="00BA5A4A">
        <w:rPr>
          <w:lang w:eastAsia="ja-JP"/>
        </w:rPr>
        <w:t>.</w:t>
      </w:r>
    </w:p>
    <w:p w14:paraId="26ABD373" w14:textId="77777777" w:rsidR="00EC2623" w:rsidRPr="00EC2623" w:rsidRDefault="00EC2623" w:rsidP="00C903EE">
      <w:pPr>
        <w:pStyle w:val="ListParagraph"/>
        <w:numPr>
          <w:ilvl w:val="0"/>
          <w:numId w:val="32"/>
        </w:numPr>
        <w:rPr>
          <w:lang w:eastAsia="ja-JP"/>
        </w:rPr>
      </w:pPr>
      <w:r w:rsidRPr="00EC2623">
        <w:rPr>
          <w:lang w:eastAsia="ja-JP"/>
        </w:rPr>
        <w:t>Underdeveloped markets for recycled organics and a lack of customer awareness of the benefits of utilisi</w:t>
      </w:r>
      <w:r>
        <w:rPr>
          <w:lang w:eastAsia="ja-JP"/>
        </w:rPr>
        <w:t>ng recycled organics</w:t>
      </w:r>
      <w:r w:rsidRPr="00EC2623">
        <w:rPr>
          <w:lang w:eastAsia="ja-JP"/>
        </w:rPr>
        <w:t>.</w:t>
      </w:r>
    </w:p>
    <w:p w14:paraId="26ABD374" w14:textId="77777777" w:rsidR="00EC2623" w:rsidRPr="00EC2623" w:rsidRDefault="00EC2623" w:rsidP="00EC2623">
      <w:pPr>
        <w:rPr>
          <w:lang w:eastAsia="ja-JP"/>
        </w:rPr>
      </w:pPr>
      <w:r w:rsidRPr="00EC2623">
        <w:rPr>
          <w:lang w:eastAsia="ja-JP"/>
        </w:rPr>
        <w:t>The reported strength of the recycled organics market varie</w:t>
      </w:r>
      <w:r w:rsidR="004A3DD7">
        <w:rPr>
          <w:lang w:eastAsia="ja-JP"/>
        </w:rPr>
        <w:t>s</w:t>
      </w:r>
      <w:r w:rsidRPr="00EC2623">
        <w:rPr>
          <w:lang w:eastAsia="ja-JP"/>
        </w:rPr>
        <w:t xml:space="preserve"> across the sector</w:t>
      </w:r>
      <w:r w:rsidR="004A3DD7">
        <w:rPr>
          <w:lang w:eastAsia="ja-JP"/>
        </w:rPr>
        <w:t>,</w:t>
      </w:r>
      <w:r w:rsidRPr="00EC2623">
        <w:rPr>
          <w:lang w:eastAsia="ja-JP"/>
        </w:rPr>
        <w:t xml:space="preserve"> but there </w:t>
      </w:r>
      <w:r w:rsidR="004A3DD7">
        <w:rPr>
          <w:lang w:eastAsia="ja-JP"/>
        </w:rPr>
        <w:t>i</w:t>
      </w:r>
      <w:r w:rsidRPr="00EC2623">
        <w:rPr>
          <w:lang w:eastAsia="ja-JP"/>
        </w:rPr>
        <w:t>s wide recognition that the industry needs to work collaboratively on market development and customer education to realise its full potential (WAWA 2016).</w:t>
      </w:r>
    </w:p>
    <w:p w14:paraId="26ABD375" w14:textId="77777777" w:rsidR="00EC2623" w:rsidRPr="00EC2623" w:rsidRDefault="00EC2623" w:rsidP="00EC2623">
      <w:pPr>
        <w:rPr>
          <w:lang w:eastAsia="ja-JP"/>
        </w:rPr>
      </w:pPr>
    </w:p>
    <w:p w14:paraId="26ABD376" w14:textId="77777777" w:rsidR="00EC2623" w:rsidRPr="00EC2623" w:rsidRDefault="00EC2623" w:rsidP="00EC2623">
      <w:pPr>
        <w:pStyle w:val="Heading4"/>
        <w:rPr>
          <w:rFonts w:cs="Segoe UI"/>
        </w:rPr>
      </w:pPr>
      <w:r w:rsidRPr="00EC2623">
        <w:rPr>
          <w:rFonts w:cs="Segoe UI"/>
        </w:rPr>
        <w:lastRenderedPageBreak/>
        <w:t>Statistics on recycling of paper and paper products in WA</w:t>
      </w:r>
    </w:p>
    <w:p w14:paraId="26ABD377" w14:textId="3CC48864" w:rsidR="00EC2623" w:rsidRPr="00EC2623" w:rsidRDefault="004A3DD7" w:rsidP="00EC2623">
      <w:pPr>
        <w:rPr>
          <w:lang w:eastAsia="ja-JP"/>
        </w:rPr>
      </w:pPr>
      <w:r>
        <w:rPr>
          <w:lang w:eastAsia="ja-JP"/>
        </w:rPr>
        <w:t>Over</w:t>
      </w:r>
      <w:r w:rsidR="00EC2623" w:rsidRPr="00EC2623">
        <w:rPr>
          <w:lang w:eastAsia="ja-JP"/>
        </w:rPr>
        <w:t xml:space="preserve"> 225,000 tonnes of paper and cardboard was recovered in during 2014</w:t>
      </w:r>
      <w:r w:rsidR="00EC2623" w:rsidRPr="00EC2623">
        <w:rPr>
          <w:lang w:eastAsia="ja-JP"/>
        </w:rPr>
        <w:noBreakHyphen/>
        <w:t>15</w:t>
      </w:r>
      <w:r>
        <w:rPr>
          <w:lang w:eastAsia="ja-JP"/>
        </w:rPr>
        <w:t xml:space="preserve"> (</w:t>
      </w:r>
      <w:r w:rsidR="00515647">
        <w:rPr>
          <w:lang w:eastAsia="ja-JP"/>
        </w:rPr>
        <w:t>Figure</w:t>
      </w:r>
      <w:r w:rsidR="001B2208">
        <w:rPr>
          <w:lang w:eastAsia="ja-JP"/>
        </w:rPr>
        <w:t> </w:t>
      </w:r>
      <w:r w:rsidR="00515647">
        <w:rPr>
          <w:lang w:eastAsia="ja-JP"/>
        </w:rPr>
        <w:t>13</w:t>
      </w:r>
      <w:r>
        <w:rPr>
          <w:lang w:eastAsia="ja-JP"/>
        </w:rPr>
        <w:t>)</w:t>
      </w:r>
      <w:r w:rsidR="001B2208">
        <w:rPr>
          <w:lang w:eastAsia="ja-JP"/>
        </w:rPr>
        <w:t>.</w:t>
      </w:r>
      <w:r w:rsidR="00EC2623" w:rsidRPr="00EC2623">
        <w:rPr>
          <w:lang w:eastAsia="ja-JP"/>
        </w:rPr>
        <w:t xml:space="preserve"> </w:t>
      </w:r>
      <w:r>
        <w:rPr>
          <w:lang w:eastAsia="ja-JP"/>
        </w:rPr>
        <w:t>T</w:t>
      </w:r>
      <w:r w:rsidR="00EC2623" w:rsidRPr="00EC2623">
        <w:rPr>
          <w:lang w:eastAsia="ja-JP"/>
        </w:rPr>
        <w:t xml:space="preserve">his comprised cardboard and paper packaging (76 per cent or 171,290t), old newsprint (20 per cent or 44,990t) and white office paper (4 per cent or 8,640t) (WAWA 2016). </w:t>
      </w:r>
    </w:p>
    <w:p w14:paraId="26ABD378" w14:textId="77777777" w:rsidR="0003287C" w:rsidRDefault="00EC2623" w:rsidP="0003287C">
      <w:pPr>
        <w:keepNext/>
      </w:pPr>
      <w:r w:rsidRPr="00EC2623">
        <w:rPr>
          <w:noProof/>
          <w:lang w:eastAsia="en-AU"/>
        </w:rPr>
        <w:drawing>
          <wp:inline distT="0" distB="0" distL="0" distR="0" wp14:anchorId="26ABE26A" wp14:editId="26ABE26B">
            <wp:extent cx="5731510" cy="271716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717165"/>
                    </a:xfrm>
                    <a:prstGeom prst="rect">
                      <a:avLst/>
                    </a:prstGeom>
                  </pic:spPr>
                </pic:pic>
              </a:graphicData>
            </a:graphic>
          </wp:inline>
        </w:drawing>
      </w:r>
    </w:p>
    <w:p w14:paraId="26ABD379" w14:textId="22E7F26F" w:rsidR="00EC2623" w:rsidRPr="00EC2623" w:rsidRDefault="0003287C" w:rsidP="0003287C">
      <w:pPr>
        <w:pStyle w:val="Caption"/>
      </w:pPr>
      <w:bookmarkStart w:id="151" w:name="_Toc2776014"/>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13</w:t>
      </w:r>
      <w:r w:rsidR="0002253A">
        <w:rPr>
          <w:noProof/>
        </w:rPr>
        <w:fldChar w:fldCharType="end"/>
      </w:r>
      <w:r>
        <w:t xml:space="preserve">: </w:t>
      </w:r>
      <w:r w:rsidRPr="00C81A37">
        <w:t>Western Australian 2014-15 composition of recycled paper and cardboard, by weight (WAWA 2016)</w:t>
      </w:r>
      <w:bookmarkEnd w:id="151"/>
    </w:p>
    <w:p w14:paraId="26ABD37A" w14:textId="77777777" w:rsidR="00EC2623" w:rsidRPr="00EC2623" w:rsidRDefault="00EC2623" w:rsidP="00EC2623">
      <w:pPr>
        <w:rPr>
          <w:lang w:eastAsia="ja-JP"/>
        </w:rPr>
      </w:pPr>
      <w:r w:rsidRPr="00EC2623">
        <w:rPr>
          <w:lang w:eastAsia="ja-JP"/>
        </w:rPr>
        <w:t>The paper and cardboard recycling industry report poor separation of materials</w:t>
      </w:r>
      <w:r w:rsidR="004A3DD7">
        <w:rPr>
          <w:lang w:eastAsia="ja-JP"/>
        </w:rPr>
        <w:t>,</w:t>
      </w:r>
      <w:r w:rsidRPr="00EC2623">
        <w:rPr>
          <w:lang w:eastAsia="ja-JP"/>
        </w:rPr>
        <w:t xml:space="preserve"> contamination</w:t>
      </w:r>
      <w:r w:rsidR="004A3DD7">
        <w:rPr>
          <w:lang w:eastAsia="ja-JP"/>
        </w:rPr>
        <w:t xml:space="preserve"> and</w:t>
      </w:r>
      <w:r w:rsidRPr="00EC2623">
        <w:rPr>
          <w:lang w:eastAsia="ja-JP"/>
        </w:rPr>
        <w:t xml:space="preserve"> relatively high transport costs </w:t>
      </w:r>
      <w:r w:rsidR="004A3DD7">
        <w:rPr>
          <w:lang w:eastAsia="ja-JP"/>
        </w:rPr>
        <w:t>(particularly outside the metropolitan area) are</w:t>
      </w:r>
      <w:r w:rsidRPr="00EC2623">
        <w:rPr>
          <w:lang w:eastAsia="ja-JP"/>
        </w:rPr>
        <w:t xml:space="preserve"> barrier</w:t>
      </w:r>
      <w:r w:rsidR="004A3DD7">
        <w:rPr>
          <w:lang w:eastAsia="ja-JP"/>
        </w:rPr>
        <w:t>s</w:t>
      </w:r>
      <w:r w:rsidRPr="00EC2623">
        <w:rPr>
          <w:lang w:eastAsia="ja-JP"/>
        </w:rPr>
        <w:t xml:space="preserve"> to increased recycling (WAWA 2016).</w:t>
      </w:r>
    </w:p>
    <w:p w14:paraId="26ABD37B" w14:textId="77777777" w:rsidR="00EC2623" w:rsidRPr="00EC2623" w:rsidRDefault="00EC2623" w:rsidP="00EC2623">
      <w:pPr>
        <w:pStyle w:val="Heading4"/>
        <w:rPr>
          <w:rFonts w:cs="Segoe UI"/>
        </w:rPr>
      </w:pPr>
      <w:r w:rsidRPr="00EC2623">
        <w:rPr>
          <w:rFonts w:cs="Segoe UI"/>
        </w:rPr>
        <w:t>Challenges in increasing recycling levels for paper in WA</w:t>
      </w:r>
    </w:p>
    <w:p w14:paraId="26ABD37C" w14:textId="77777777" w:rsidR="00EC2623" w:rsidRPr="00EC2623" w:rsidRDefault="0007130B" w:rsidP="00EC2623">
      <w:pPr>
        <w:rPr>
          <w:rFonts w:cs="Segoe UI"/>
          <w:lang w:eastAsia="ja-JP"/>
        </w:rPr>
      </w:pPr>
      <w:r>
        <w:rPr>
          <w:rFonts w:cs="Segoe UI"/>
          <w:lang w:eastAsia="ja-JP"/>
        </w:rPr>
        <w:t>The</w:t>
      </w:r>
      <w:r w:rsidR="00EC2623" w:rsidRPr="00EC2623">
        <w:rPr>
          <w:rFonts w:cs="Segoe UI"/>
          <w:lang w:eastAsia="ja-JP"/>
        </w:rPr>
        <w:t xml:space="preserve"> proportion of paper recovered in Australia and in WA</w:t>
      </w:r>
      <w:r>
        <w:rPr>
          <w:rFonts w:cs="Segoe UI"/>
          <w:lang w:eastAsia="ja-JP"/>
        </w:rPr>
        <w:t xml:space="preserve"> that</w:t>
      </w:r>
      <w:r w:rsidR="00EC2623" w:rsidRPr="00EC2623">
        <w:rPr>
          <w:rFonts w:cs="Segoe UI"/>
          <w:lang w:eastAsia="ja-JP"/>
        </w:rPr>
        <w:t xml:space="preserve"> has been exported to Chinahas grown substantially in the last ten years (ABS, 2013). Approximately 1.5</w:t>
      </w:r>
      <w:r w:rsidR="00AD23B1">
        <w:rPr>
          <w:rFonts w:cs="Segoe UI"/>
          <w:lang w:eastAsia="ja-JP"/>
        </w:rPr>
        <w:t> </w:t>
      </w:r>
      <w:r w:rsidR="00EC2623" w:rsidRPr="00EC2623">
        <w:rPr>
          <w:rFonts w:cs="Segoe UI"/>
          <w:lang w:eastAsia="ja-JP"/>
        </w:rPr>
        <w:t>million</w:t>
      </w:r>
      <w:r w:rsidR="00AD23B1">
        <w:rPr>
          <w:rFonts w:cs="Segoe UI"/>
          <w:lang w:eastAsia="ja-JP"/>
        </w:rPr>
        <w:t> </w:t>
      </w:r>
      <w:r w:rsidR="00EC2623" w:rsidRPr="00EC2623">
        <w:rPr>
          <w:rFonts w:cs="Segoe UI"/>
          <w:lang w:eastAsia="ja-JP"/>
        </w:rPr>
        <w:t xml:space="preserve">tonnes of scrap paper and paperboard were exported </w:t>
      </w:r>
      <w:r>
        <w:rPr>
          <w:rFonts w:cs="Segoe UI"/>
          <w:lang w:eastAsia="ja-JP"/>
        </w:rPr>
        <w:t>in</w:t>
      </w:r>
      <w:r w:rsidR="00EC2623" w:rsidRPr="00EC2623">
        <w:rPr>
          <w:rFonts w:cs="Segoe UI"/>
          <w:lang w:eastAsia="ja-JP"/>
        </w:rPr>
        <w:t xml:space="preserve"> the 2017 calendar year (Australian Packaging Covenant Organisation, 2018). However, a recent ban by China on imports of low-grade waste has had an impact on export volumes to that country – during the first half of 2017, China and Hong Kong were the dominant markets for Australian exports of paper or paperboard (62.8</w:t>
      </w:r>
      <w:r w:rsidR="00AD23B1">
        <w:rPr>
          <w:rFonts w:cs="Segoe UI"/>
          <w:lang w:eastAsia="ja-JP"/>
        </w:rPr>
        <w:t> per cent</w:t>
      </w:r>
      <w:r w:rsidR="00EC2623" w:rsidRPr="00EC2623">
        <w:rPr>
          <w:rFonts w:cs="Segoe UI"/>
          <w:lang w:eastAsia="ja-JP"/>
        </w:rPr>
        <w:t xml:space="preserve"> by weight); during the second half of 2017 this fell to 45.3</w:t>
      </w:r>
      <w:r w:rsidR="00AD23B1">
        <w:rPr>
          <w:rFonts w:cs="Segoe UI"/>
          <w:lang w:eastAsia="ja-JP"/>
        </w:rPr>
        <w:t> per cent</w:t>
      </w:r>
      <w:r w:rsidR="00EC2623" w:rsidRPr="00EC2623">
        <w:rPr>
          <w:rFonts w:cs="Segoe UI"/>
          <w:lang w:eastAsia="ja-JP"/>
        </w:rPr>
        <w:t xml:space="preserve"> of paper or paperboard. This shortfall has been largely absorbed by other countries, though with substantial drop</w:t>
      </w:r>
      <w:r>
        <w:rPr>
          <w:rFonts w:cs="Segoe UI"/>
          <w:lang w:eastAsia="ja-JP"/>
        </w:rPr>
        <w:t>s</w:t>
      </w:r>
      <w:r w:rsidR="00EC2623" w:rsidRPr="00EC2623">
        <w:rPr>
          <w:rFonts w:cs="Segoe UI"/>
          <w:lang w:eastAsia="ja-JP"/>
        </w:rPr>
        <w:t xml:space="preserve"> in prices (Australian Packaging Covenant Organisation, 2018). In the long-term industry analysts </w:t>
      </w:r>
      <w:r>
        <w:rPr>
          <w:rFonts w:cs="Segoe UI"/>
          <w:lang w:eastAsia="ja-JP"/>
        </w:rPr>
        <w:t>forecast</w:t>
      </w:r>
      <w:r w:rsidR="00EC2623" w:rsidRPr="00EC2623">
        <w:rPr>
          <w:rFonts w:cs="Segoe UI"/>
          <w:lang w:eastAsia="ja-JP"/>
        </w:rPr>
        <w:t xml:space="preserve"> that waste paper exports will </w:t>
      </w:r>
      <w:r>
        <w:rPr>
          <w:rFonts w:cs="Segoe UI"/>
          <w:lang w:eastAsia="ja-JP"/>
        </w:rPr>
        <w:t xml:space="preserve">again </w:t>
      </w:r>
      <w:r w:rsidR="00EC2623" w:rsidRPr="00EC2623">
        <w:rPr>
          <w:rFonts w:cs="Segoe UI"/>
          <w:lang w:eastAsia="ja-JP"/>
        </w:rPr>
        <w:t>trend upward as more processing is undertaken in Australia before export (Pash, C. 2018).</w:t>
      </w:r>
    </w:p>
    <w:p w14:paraId="26ABD37D" w14:textId="77777777" w:rsidR="00EC2623" w:rsidRPr="00EC2623" w:rsidRDefault="00EC2623" w:rsidP="00EC2623">
      <w:pPr>
        <w:pStyle w:val="Heading4"/>
        <w:rPr>
          <w:rFonts w:cs="Segoe UI"/>
        </w:rPr>
      </w:pPr>
      <w:r w:rsidRPr="00EC2623">
        <w:rPr>
          <w:rFonts w:cs="Segoe UI"/>
        </w:rPr>
        <w:t>WA recycling strategy</w:t>
      </w:r>
    </w:p>
    <w:p w14:paraId="26ABD37E" w14:textId="77777777" w:rsidR="00EC2623" w:rsidRPr="00EC2623" w:rsidRDefault="00EC2623" w:rsidP="00EC2623">
      <w:pPr>
        <w:rPr>
          <w:rFonts w:cs="Segoe UI"/>
        </w:rPr>
      </w:pPr>
      <w:r w:rsidRPr="00EC2623">
        <w:rPr>
          <w:rFonts w:cs="Segoe UI"/>
        </w:rPr>
        <w:t>In November 2009, the environment ministers of the Australian, state and territory governments endorsed the National Waste Policy (Department of the Environment and Energy,</w:t>
      </w:r>
      <w:r w:rsidR="00AD23B1">
        <w:rPr>
          <w:rFonts w:cs="Segoe UI"/>
        </w:rPr>
        <w:t> </w:t>
      </w:r>
      <w:r w:rsidRPr="00EC2623">
        <w:rPr>
          <w:rFonts w:cs="Segoe UI"/>
        </w:rPr>
        <w:t xml:space="preserve">2010), which aims to reduce the amount of waste that is generated and disposed of </w:t>
      </w:r>
      <w:r w:rsidRPr="00EC2623">
        <w:rPr>
          <w:rFonts w:cs="Segoe UI"/>
        </w:rPr>
        <w:lastRenderedPageBreak/>
        <w:t>by industry and households. The policy includes strategies to increase the recycling of waste products.</w:t>
      </w:r>
    </w:p>
    <w:p w14:paraId="26ABD37F" w14:textId="77777777" w:rsidR="00EC2623" w:rsidRPr="00EC2623" w:rsidRDefault="00EC2623" w:rsidP="00EC2623">
      <w:pPr>
        <w:rPr>
          <w:lang w:eastAsia="ja-JP"/>
        </w:rPr>
      </w:pPr>
      <w:r w:rsidRPr="00EC2623">
        <w:rPr>
          <w:lang w:eastAsia="ja-JP"/>
        </w:rPr>
        <w:t xml:space="preserve">The WA </w:t>
      </w:r>
      <w:r w:rsidRPr="00EC2623">
        <w:rPr>
          <w:i/>
          <w:lang w:eastAsia="ja-JP"/>
        </w:rPr>
        <w:t>Waste Strategy</w:t>
      </w:r>
      <w:r w:rsidRPr="00EC2623">
        <w:rPr>
          <w:lang w:eastAsia="ja-JP"/>
        </w:rPr>
        <w:t xml:space="preserve"> contains five strategic objectives, one of which identifies a need to initiate and maintain long</w:t>
      </w:r>
      <w:r w:rsidRPr="00EC2623">
        <w:rPr>
          <w:lang w:eastAsia="ja-JP"/>
        </w:rPr>
        <w:noBreakHyphen/>
        <w:t xml:space="preserve">term planning for recycling processing (WAWA 2018). </w:t>
      </w:r>
    </w:p>
    <w:p w14:paraId="26ABD380" w14:textId="77777777" w:rsidR="00DB510B" w:rsidRPr="00CE60B2" w:rsidRDefault="00DB510B" w:rsidP="000F6020">
      <w:pPr>
        <w:pStyle w:val="Heading3"/>
        <w:rPr>
          <w:lang w:eastAsia="en-AU"/>
        </w:rPr>
      </w:pPr>
      <w:bookmarkStart w:id="152" w:name="_Toc524952817"/>
      <w:bookmarkStart w:id="153" w:name="_Toc2776060"/>
      <w:r w:rsidRPr="00CE60B2">
        <w:rPr>
          <w:lang w:eastAsia="en-AU"/>
        </w:rPr>
        <w:t>Indicator 6.2a</w:t>
      </w:r>
      <w:r w:rsidRPr="00CE60B2">
        <w:rPr>
          <w:lang w:eastAsia="en-AU"/>
        </w:rPr>
        <w:tab/>
        <w:t>Investment and expenditure in forest management</w:t>
      </w:r>
      <w:bookmarkEnd w:id="152"/>
      <w:bookmarkEnd w:id="153"/>
    </w:p>
    <w:p w14:paraId="26ABD381" w14:textId="77777777" w:rsidR="00E40B48" w:rsidRPr="00CE60B2" w:rsidRDefault="00E40B48" w:rsidP="00E40B48">
      <w:pPr>
        <w:spacing w:before="0" w:after="0"/>
        <w:rPr>
          <w:rFonts w:cs="Segoe UI"/>
          <w:lang w:eastAsia="ja-JP"/>
        </w:rPr>
      </w:pPr>
      <w:bookmarkStart w:id="154" w:name="_Toc524952818"/>
      <w:r w:rsidRPr="00CE60B2">
        <w:rPr>
          <w:rFonts w:cs="Segoe UI"/>
          <w:lang w:eastAsia="ja-JP"/>
        </w:rPr>
        <w:t>This indicator quantifies investment and expenditure in developing, maintaining, and obtaining goods and services from forests. It provides an indication of the long-term and short-term commitment to forest management, further processing and other forest uses.</w:t>
      </w:r>
    </w:p>
    <w:p w14:paraId="26ABD382" w14:textId="77777777" w:rsidR="00E40B48" w:rsidRPr="00CE60B2" w:rsidRDefault="00E40B48" w:rsidP="00E40B48">
      <w:pPr>
        <w:rPr>
          <w:rFonts w:cs="Segoe UI"/>
          <w:lang w:eastAsia="ja-JP"/>
        </w:rPr>
      </w:pPr>
      <w:r w:rsidRPr="00CE60B2">
        <w:rPr>
          <w:rFonts w:cs="Segoe UI"/>
          <w:lang w:eastAsia="ja-JP"/>
        </w:rPr>
        <w:t>Sustainable forest management is an evolving process and the manner in which it is conducted changes over time based on scientific information</w:t>
      </w:r>
      <w:r w:rsidR="0007130B">
        <w:rPr>
          <w:rFonts w:cs="Segoe UI"/>
          <w:lang w:eastAsia="ja-JP"/>
        </w:rPr>
        <w:t>, policy</w:t>
      </w:r>
      <w:r w:rsidRPr="00CE60B2">
        <w:rPr>
          <w:rFonts w:cs="Segoe UI"/>
          <w:lang w:eastAsia="ja-JP"/>
        </w:rPr>
        <w:t xml:space="preserve"> and the needs and aspirations of the community. The NFPS provided a framework that integrated environmental, social and commercial objectives to </w:t>
      </w:r>
      <w:r w:rsidR="0007130B">
        <w:rPr>
          <w:rFonts w:cs="Segoe UI"/>
          <w:lang w:eastAsia="ja-JP"/>
        </w:rPr>
        <w:t>seek</w:t>
      </w:r>
      <w:r w:rsidRPr="00CE60B2">
        <w:rPr>
          <w:rFonts w:cs="Segoe UI"/>
          <w:lang w:eastAsia="ja-JP"/>
        </w:rPr>
        <w:t xml:space="preserve"> a balanced </w:t>
      </w:r>
      <w:r w:rsidR="0007130B">
        <w:rPr>
          <w:rFonts w:cs="Segoe UI"/>
          <w:lang w:eastAsia="ja-JP"/>
        </w:rPr>
        <w:t>outcome</w:t>
      </w:r>
      <w:r w:rsidRPr="00CE60B2">
        <w:rPr>
          <w:rFonts w:cs="Segoe UI"/>
          <w:lang w:eastAsia="ja-JP"/>
        </w:rPr>
        <w:t xml:space="preserve"> </w:t>
      </w:r>
      <w:r w:rsidR="0007130B">
        <w:rPr>
          <w:rFonts w:cs="Segoe UI"/>
          <w:lang w:eastAsia="ja-JP"/>
        </w:rPr>
        <w:t xml:space="preserve">for </w:t>
      </w:r>
      <w:r w:rsidRPr="00CE60B2">
        <w:rPr>
          <w:rFonts w:cs="Segoe UI"/>
          <w:lang w:eastAsia="ja-JP"/>
        </w:rPr>
        <w:t xml:space="preserve">all forest uses. This </w:t>
      </w:r>
      <w:r w:rsidR="0007130B">
        <w:rPr>
          <w:rFonts w:cs="Segoe UI"/>
          <w:lang w:eastAsia="ja-JP"/>
        </w:rPr>
        <w:t>facilitates a</w:t>
      </w:r>
      <w:r w:rsidRPr="00CE60B2">
        <w:rPr>
          <w:rFonts w:cs="Segoe UI"/>
          <w:lang w:eastAsia="ja-JP"/>
        </w:rPr>
        <w:t xml:space="preserve"> cooperative vision for sustainable management of Australia's forests</w:t>
      </w:r>
      <w:r w:rsidRPr="00CE60B2">
        <w:rPr>
          <w:rFonts w:cs="Segoe UI"/>
          <w:color w:val="000000"/>
          <w:sz w:val="21"/>
          <w:szCs w:val="21"/>
          <w:lang w:val="en"/>
        </w:rPr>
        <w:t>.</w:t>
      </w:r>
      <w:r w:rsidRPr="00CE60B2">
        <w:rPr>
          <w:rFonts w:cs="Segoe UI"/>
          <w:lang w:eastAsia="ja-JP"/>
        </w:rPr>
        <w:t xml:space="preserve"> The NFPS laid the foundation for the creation of the RFAs. The CRA</w:t>
      </w:r>
      <w:r w:rsidRPr="00CE60B2">
        <w:rPr>
          <w:rFonts w:cs="Segoe UI"/>
          <w:color w:val="000000"/>
          <w:sz w:val="21"/>
          <w:szCs w:val="21"/>
          <w:lang w:val="en"/>
        </w:rPr>
        <w:t xml:space="preserve"> </w:t>
      </w:r>
      <w:r w:rsidRPr="00CE60B2">
        <w:rPr>
          <w:rFonts w:cs="Segoe UI"/>
          <w:lang w:val="en" w:eastAsia="ja-JP"/>
        </w:rPr>
        <w:t>of the environment, heritage, social and economic uses and values of the forests</w:t>
      </w:r>
      <w:r w:rsidRPr="00CE60B2">
        <w:rPr>
          <w:rFonts w:cs="Segoe UI"/>
          <w:lang w:eastAsia="ja-JP"/>
        </w:rPr>
        <w:t xml:space="preserve"> </w:t>
      </w:r>
      <w:r w:rsidR="0007130B">
        <w:rPr>
          <w:rFonts w:cs="Segoe UI"/>
          <w:lang w:eastAsia="ja-JP"/>
        </w:rPr>
        <w:t>informed</w:t>
      </w:r>
      <w:r w:rsidRPr="00CE60B2">
        <w:rPr>
          <w:rFonts w:cs="Segoe UI"/>
          <w:lang w:eastAsia="ja-JP"/>
        </w:rPr>
        <w:t xml:space="preserve"> how the forests were to be managed</w:t>
      </w:r>
      <w:r w:rsidR="0007130B">
        <w:rPr>
          <w:rFonts w:cs="Segoe UI"/>
          <w:lang w:eastAsia="ja-JP"/>
        </w:rPr>
        <w:t>,</w:t>
      </w:r>
      <w:r w:rsidRPr="00CE60B2">
        <w:rPr>
          <w:rFonts w:cs="Segoe UI"/>
          <w:lang w:eastAsia="ja-JP"/>
        </w:rPr>
        <w:t xml:space="preserve"> based on their </w:t>
      </w:r>
      <w:r w:rsidR="0007130B">
        <w:rPr>
          <w:rFonts w:cs="Segoe UI"/>
          <w:lang w:eastAsia="ja-JP"/>
        </w:rPr>
        <w:t xml:space="preserve">respective </w:t>
      </w:r>
      <w:r w:rsidRPr="00CE60B2">
        <w:rPr>
          <w:rFonts w:cs="Segoe UI"/>
          <w:lang w:eastAsia="ja-JP"/>
        </w:rPr>
        <w:t>values within the RFA region.</w:t>
      </w:r>
    </w:p>
    <w:p w14:paraId="26ABD383" w14:textId="77777777" w:rsidR="00E40B48" w:rsidRPr="00CE60B2" w:rsidRDefault="0003287C" w:rsidP="00E40B48">
      <w:pPr>
        <w:rPr>
          <w:rFonts w:cs="Segoe UI"/>
          <w:lang w:eastAsia="ja-JP"/>
        </w:rPr>
      </w:pPr>
      <w:r>
        <w:rPr>
          <w:rFonts w:cs="Segoe UI"/>
          <w:lang w:eastAsia="ja-JP"/>
        </w:rPr>
        <w:t xml:space="preserve">Ecologically sustainable forest management in WA seeks to provide social and economic benefits to the community from the use of forests, including recreation, while considering the impact on the biological diversity and health of these forests. </w:t>
      </w:r>
      <w:r w:rsidR="00E40B48" w:rsidRPr="00CE60B2">
        <w:rPr>
          <w:rFonts w:cs="Segoe UI"/>
          <w:lang w:eastAsia="ja-JP"/>
        </w:rPr>
        <w:t xml:space="preserve">For the purposes of this indicator the description of forest management will be largely confined to the public forest estate. </w:t>
      </w:r>
    </w:p>
    <w:p w14:paraId="26ABD384" w14:textId="77777777" w:rsidR="00D161CA" w:rsidRPr="00CE60B2" w:rsidRDefault="00D161CA" w:rsidP="00D161CA">
      <w:pPr>
        <w:pStyle w:val="Heading4"/>
        <w:rPr>
          <w:rFonts w:cs="Segoe UI"/>
          <w:lang w:eastAsia="ja-JP"/>
        </w:rPr>
      </w:pPr>
      <w:r w:rsidRPr="00CE60B2">
        <w:rPr>
          <w:rFonts w:cs="Segoe UI"/>
          <w:lang w:eastAsia="ja-JP"/>
        </w:rPr>
        <w:t>Expenditure in forest management</w:t>
      </w:r>
    </w:p>
    <w:p w14:paraId="26ABD385" w14:textId="77777777" w:rsidR="00B1496B" w:rsidRDefault="00B1496B" w:rsidP="00B1496B">
      <w:pPr>
        <w:rPr>
          <w:rFonts w:cs="Segoe UI"/>
        </w:rPr>
      </w:pPr>
      <w:r>
        <w:rPr>
          <w:rFonts w:cs="Segoe UI"/>
        </w:rPr>
        <w:t>Expenditure in forest management is predominantly undertaken by two state government agencies.</w:t>
      </w:r>
    </w:p>
    <w:p w14:paraId="26ABD386" w14:textId="77777777" w:rsidR="00E40B48" w:rsidRPr="00CE60B2" w:rsidRDefault="00E40B48" w:rsidP="00E40B48">
      <w:pPr>
        <w:rPr>
          <w:rFonts w:cs="Segoe UI"/>
        </w:rPr>
      </w:pPr>
      <w:r w:rsidRPr="00CE60B2">
        <w:rPr>
          <w:rFonts w:cs="Segoe UI"/>
        </w:rPr>
        <w:t xml:space="preserve">The </w:t>
      </w:r>
      <w:r w:rsidR="00070F91">
        <w:rPr>
          <w:rFonts w:cs="Segoe UI"/>
        </w:rPr>
        <w:t>DBCA</w:t>
      </w:r>
      <w:r w:rsidRPr="00CE60B2">
        <w:rPr>
          <w:rFonts w:cs="Segoe UI"/>
          <w:vertAlign w:val="superscript"/>
        </w:rPr>
        <w:footnoteReference w:id="9"/>
      </w:r>
      <w:r w:rsidRPr="00CE60B2">
        <w:rPr>
          <w:rFonts w:cs="Segoe UI"/>
        </w:rPr>
        <w:t xml:space="preserve"> works to ensure that WA’s plants and animals and the lands (including </w:t>
      </w:r>
      <w:r w:rsidR="00100605">
        <w:rPr>
          <w:rFonts w:cs="Segoe UI"/>
        </w:rPr>
        <w:t>S</w:t>
      </w:r>
      <w:r w:rsidRPr="00CE60B2">
        <w:rPr>
          <w:rFonts w:cs="Segoe UI"/>
        </w:rPr>
        <w:t xml:space="preserve">tate forests, conservation parks and nature reserves) and water under its care are managed appropriately for </w:t>
      </w:r>
      <w:r w:rsidR="0007130B">
        <w:rPr>
          <w:rFonts w:cs="Segoe UI"/>
        </w:rPr>
        <w:t xml:space="preserve">a range of environmental and economic values, including those derived from recreation, </w:t>
      </w:r>
      <w:r w:rsidRPr="00CE60B2">
        <w:rPr>
          <w:rFonts w:cs="Segoe UI"/>
        </w:rPr>
        <w:t xml:space="preserve">tourism, water and wood production. </w:t>
      </w:r>
    </w:p>
    <w:p w14:paraId="26ABD387" w14:textId="77777777" w:rsidR="00E40B48" w:rsidRPr="00CE60B2" w:rsidRDefault="00E40B48" w:rsidP="00E40B48">
      <w:pPr>
        <w:rPr>
          <w:rFonts w:cs="Segoe UI"/>
        </w:rPr>
      </w:pPr>
      <w:r w:rsidRPr="00CE60B2">
        <w:rPr>
          <w:rFonts w:cs="Segoe UI"/>
        </w:rPr>
        <w:t>The FPC</w:t>
      </w:r>
      <w:r w:rsidR="00151FD4">
        <w:rPr>
          <w:rFonts w:cs="Segoe UI"/>
        </w:rPr>
        <w:t xml:space="preserve"> is the government trading enterprise</w:t>
      </w:r>
      <w:r w:rsidRPr="00CE60B2">
        <w:rPr>
          <w:rFonts w:cs="Segoe UI"/>
        </w:rPr>
        <w:t xml:space="preserve"> responsible for the </w:t>
      </w:r>
      <w:r w:rsidR="00151FD4">
        <w:rPr>
          <w:rFonts w:cs="Segoe UI"/>
        </w:rPr>
        <w:t>sale of forest products and d</w:t>
      </w:r>
      <w:r w:rsidRPr="00CE60B2">
        <w:rPr>
          <w:rFonts w:cs="Segoe UI"/>
        </w:rPr>
        <w:t>evelopment of Western Australia’s forest products industry</w:t>
      </w:r>
      <w:r w:rsidR="00151FD4">
        <w:rPr>
          <w:rFonts w:cs="Segoe UI"/>
        </w:rPr>
        <w:t>, derived from</w:t>
      </w:r>
      <w:r w:rsidRPr="00CE60B2">
        <w:rPr>
          <w:rFonts w:cs="Segoe UI"/>
        </w:rPr>
        <w:t xml:space="preserve"> native forest, plantation and sandalwood products on land owned or leased by the state. </w:t>
      </w:r>
    </w:p>
    <w:p w14:paraId="26ABD388" w14:textId="7A7B6815" w:rsidR="00E40B48" w:rsidRPr="00CE60B2" w:rsidRDefault="00D161CA" w:rsidP="00E40B48">
      <w:pPr>
        <w:pStyle w:val="FootnoteText"/>
        <w:rPr>
          <w:rFonts w:ascii="Segoe UI" w:eastAsiaTheme="minorHAnsi" w:hAnsi="Segoe UI" w:cs="Segoe UI"/>
          <w:sz w:val="22"/>
          <w:szCs w:val="22"/>
          <w:lang w:val="en-AU"/>
        </w:rPr>
      </w:pPr>
      <w:r w:rsidRPr="007902D9">
        <w:rPr>
          <w:rFonts w:ascii="Segoe UI" w:eastAsiaTheme="minorHAnsi" w:hAnsi="Segoe UI" w:cs="Segoe UI"/>
          <w:sz w:val="22"/>
          <w:szCs w:val="22"/>
          <w:lang w:val="en-AU"/>
        </w:rPr>
        <w:fldChar w:fldCharType="begin"/>
      </w:r>
      <w:r w:rsidRPr="007902D9">
        <w:rPr>
          <w:rFonts w:ascii="Segoe UI" w:eastAsiaTheme="minorHAnsi" w:hAnsi="Segoe UI" w:cs="Segoe UI"/>
          <w:sz w:val="22"/>
          <w:szCs w:val="22"/>
          <w:lang w:val="en-AU"/>
        </w:rPr>
        <w:instrText xml:space="preserve"> REF _Ref530133838 \h  \* MERGEFORMAT </w:instrText>
      </w:r>
      <w:r w:rsidRPr="007902D9">
        <w:rPr>
          <w:rFonts w:ascii="Segoe UI" w:eastAsiaTheme="minorHAnsi" w:hAnsi="Segoe UI" w:cs="Segoe UI"/>
          <w:sz w:val="22"/>
          <w:szCs w:val="22"/>
          <w:lang w:val="en-AU"/>
        </w:rPr>
      </w:r>
      <w:r w:rsidRPr="007902D9">
        <w:rPr>
          <w:rFonts w:ascii="Segoe UI" w:eastAsiaTheme="minorHAnsi" w:hAnsi="Segoe UI" w:cs="Segoe UI"/>
          <w:sz w:val="22"/>
          <w:szCs w:val="22"/>
          <w:lang w:val="en-AU"/>
        </w:rPr>
        <w:fldChar w:fldCharType="separate"/>
      </w:r>
      <w:r w:rsidR="003C7091" w:rsidRPr="003C7091">
        <w:rPr>
          <w:rFonts w:ascii="Segoe UI" w:eastAsiaTheme="minorHAnsi" w:hAnsi="Segoe UI" w:cs="Segoe UI"/>
          <w:sz w:val="22"/>
          <w:szCs w:val="22"/>
          <w:lang w:val="en-AU"/>
        </w:rPr>
        <w:t>Table 29</w:t>
      </w:r>
      <w:r w:rsidR="003C7091" w:rsidRPr="003C7091">
        <w:rPr>
          <w:rFonts w:ascii="Segoe UI" w:hAnsi="Segoe UI" w:cs="Segoe UI"/>
          <w:sz w:val="22"/>
          <w:szCs w:val="22"/>
        </w:rPr>
        <w:t>: Expenditure on forest management, Western Australia, 2011-12 to 2015-16 ($ million)</w:t>
      </w:r>
      <w:r w:rsidRPr="007902D9">
        <w:rPr>
          <w:rFonts w:ascii="Segoe UI" w:eastAsiaTheme="minorHAnsi" w:hAnsi="Segoe UI" w:cs="Segoe UI"/>
          <w:sz w:val="22"/>
          <w:szCs w:val="22"/>
          <w:lang w:val="en-AU"/>
        </w:rPr>
        <w:fldChar w:fldCharType="end"/>
      </w:r>
      <w:r w:rsidR="00955546" w:rsidRPr="007902D9">
        <w:rPr>
          <w:rFonts w:ascii="Segoe UI" w:eastAsiaTheme="minorHAnsi" w:hAnsi="Segoe UI" w:cs="Segoe UI"/>
          <w:sz w:val="22"/>
          <w:szCs w:val="22"/>
          <w:lang w:val="en-AU"/>
        </w:rPr>
        <w:t xml:space="preserve"> </w:t>
      </w:r>
      <w:r w:rsidR="00E40B48" w:rsidRPr="007902D9">
        <w:rPr>
          <w:rFonts w:ascii="Segoe UI" w:eastAsiaTheme="minorHAnsi" w:hAnsi="Segoe UI" w:cs="Segoe UI"/>
          <w:sz w:val="22"/>
          <w:szCs w:val="22"/>
          <w:lang w:val="en-AU"/>
        </w:rPr>
        <w:t xml:space="preserve">provides an indication of the annual expenditure </w:t>
      </w:r>
      <w:r w:rsidR="00151FD4" w:rsidRPr="007902D9">
        <w:rPr>
          <w:rFonts w:ascii="Segoe UI" w:eastAsiaTheme="minorHAnsi" w:hAnsi="Segoe UI" w:cs="Segoe UI"/>
          <w:sz w:val="22"/>
          <w:szCs w:val="22"/>
          <w:lang w:val="en-AU"/>
        </w:rPr>
        <w:t xml:space="preserve">on forest management </w:t>
      </w:r>
      <w:r w:rsidR="00E40B48" w:rsidRPr="007902D9">
        <w:rPr>
          <w:rFonts w:ascii="Segoe UI" w:eastAsiaTheme="minorHAnsi" w:hAnsi="Segoe UI" w:cs="Segoe UI"/>
          <w:sz w:val="22"/>
          <w:szCs w:val="22"/>
          <w:lang w:val="en-AU"/>
        </w:rPr>
        <w:t>for a recent five-year period,</w:t>
      </w:r>
      <w:r w:rsidR="00E40B48" w:rsidRPr="00CE60B2">
        <w:rPr>
          <w:rFonts w:ascii="Segoe UI" w:eastAsiaTheme="minorHAnsi" w:hAnsi="Segoe UI" w:cs="Segoe UI"/>
          <w:sz w:val="22"/>
          <w:szCs w:val="22"/>
          <w:lang w:val="en-AU"/>
        </w:rPr>
        <w:t xml:space="preserve"> by DEC, DPaW and the FPC. Total expenditure by DEC increased to $56</w:t>
      </w:r>
      <w:r w:rsidR="00006939">
        <w:rPr>
          <w:rFonts w:ascii="Segoe UI" w:eastAsiaTheme="minorHAnsi" w:hAnsi="Segoe UI" w:cs="Segoe UI"/>
          <w:sz w:val="22"/>
          <w:szCs w:val="22"/>
          <w:lang w:val="en-AU"/>
        </w:rPr>
        <w:t> </w:t>
      </w:r>
      <w:r w:rsidR="00E40B48" w:rsidRPr="00CE60B2">
        <w:rPr>
          <w:rFonts w:ascii="Segoe UI" w:eastAsiaTheme="minorHAnsi" w:hAnsi="Segoe UI" w:cs="Segoe UI"/>
          <w:sz w:val="22"/>
          <w:szCs w:val="22"/>
          <w:lang w:val="en-AU"/>
        </w:rPr>
        <w:t>million in 2012–13, and by DPaW increased to $62.7</w:t>
      </w:r>
      <w:r w:rsidR="00006939">
        <w:rPr>
          <w:rFonts w:ascii="Segoe UI" w:eastAsiaTheme="minorHAnsi" w:hAnsi="Segoe UI" w:cs="Segoe UI"/>
          <w:sz w:val="22"/>
          <w:szCs w:val="22"/>
          <w:lang w:val="en-AU"/>
        </w:rPr>
        <w:t> </w:t>
      </w:r>
      <w:r w:rsidR="00E40B48" w:rsidRPr="00CE60B2">
        <w:rPr>
          <w:rFonts w:ascii="Segoe UI" w:eastAsiaTheme="minorHAnsi" w:hAnsi="Segoe UI" w:cs="Segoe UI"/>
          <w:sz w:val="22"/>
          <w:szCs w:val="22"/>
          <w:lang w:val="en-AU"/>
        </w:rPr>
        <w:t>million in 2014–15. The total expenditure on forest management by FPC, including the sustainable management of timber resources, was about $73 million annually over this five-year period.</w:t>
      </w:r>
    </w:p>
    <w:p w14:paraId="26ABD389" w14:textId="0B733604" w:rsidR="005C2908" w:rsidRDefault="005C2908" w:rsidP="005C2908">
      <w:pPr>
        <w:pStyle w:val="Caption"/>
        <w:keepNext/>
      </w:pPr>
      <w:bookmarkStart w:id="155" w:name="_Ref527461540"/>
      <w:bookmarkStart w:id="156" w:name="_Ref530133838"/>
      <w:bookmarkStart w:id="157" w:name="_Toc531002190"/>
      <w:r>
        <w:lastRenderedPageBreak/>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29</w:t>
      </w:r>
      <w:r w:rsidR="005C10D4">
        <w:rPr>
          <w:noProof/>
        </w:rPr>
        <w:fldChar w:fldCharType="end"/>
      </w:r>
      <w:bookmarkEnd w:id="155"/>
      <w:r>
        <w:t xml:space="preserve">: </w:t>
      </w:r>
      <w:r w:rsidRPr="000C74F0">
        <w:t>Expenditure on forest management, Western Australia, 2011-12 to 2015-16 ($ million)</w:t>
      </w:r>
      <w:bookmarkEnd w:id="156"/>
      <w:bookmarkEnd w:id="157"/>
    </w:p>
    <w:tbl>
      <w:tblPr>
        <w:tblW w:w="8902" w:type="dxa"/>
        <w:tblLook w:val="04A0" w:firstRow="1" w:lastRow="0" w:firstColumn="1" w:lastColumn="0" w:noHBand="0" w:noVBand="1"/>
      </w:tblPr>
      <w:tblGrid>
        <w:gridCol w:w="3119"/>
        <w:gridCol w:w="1134"/>
        <w:gridCol w:w="1134"/>
        <w:gridCol w:w="1134"/>
        <w:gridCol w:w="1134"/>
        <w:gridCol w:w="1247"/>
      </w:tblGrid>
      <w:tr w:rsidR="00E40B48" w:rsidRPr="00CE60B2" w14:paraId="26ABD390" w14:textId="77777777" w:rsidTr="00EC2623">
        <w:trPr>
          <w:trHeight w:val="315"/>
        </w:trPr>
        <w:tc>
          <w:tcPr>
            <w:tcW w:w="3119" w:type="dxa"/>
            <w:tcBorders>
              <w:top w:val="single" w:sz="4" w:space="0" w:color="auto"/>
              <w:left w:val="single" w:sz="4" w:space="0" w:color="auto"/>
              <w:bottom w:val="single" w:sz="4" w:space="0" w:color="auto"/>
              <w:right w:val="single" w:sz="4" w:space="0" w:color="auto"/>
            </w:tcBorders>
            <w:shd w:val="clear" w:color="auto" w:fill="DFEFE1" w:themeFill="accent3" w:themeFillTint="66"/>
            <w:noWrap/>
            <w:vAlign w:val="center"/>
            <w:hideMark/>
          </w:tcPr>
          <w:p w14:paraId="26ABD38A" w14:textId="77777777" w:rsidR="00E40B48" w:rsidRPr="00CE60B2" w:rsidRDefault="00E40B48" w:rsidP="00C423D1">
            <w:pPr>
              <w:spacing w:before="0"/>
              <w:rPr>
                <w:rFonts w:cs="Segoe UI"/>
                <w:b/>
                <w:bCs/>
                <w:color w:val="000000"/>
                <w:sz w:val="20"/>
              </w:rPr>
            </w:pPr>
            <w:r w:rsidRPr="00CE60B2">
              <w:rPr>
                <w:rFonts w:cs="Segoe UI"/>
                <w:b/>
                <w:bCs/>
                <w:color w:val="000000"/>
              </w:rPr>
              <w:t>Activity</w:t>
            </w:r>
          </w:p>
        </w:tc>
        <w:tc>
          <w:tcPr>
            <w:tcW w:w="1134" w:type="dxa"/>
            <w:tcBorders>
              <w:top w:val="single" w:sz="4" w:space="0" w:color="auto"/>
              <w:left w:val="single" w:sz="4" w:space="0" w:color="auto"/>
              <w:bottom w:val="single" w:sz="4" w:space="0" w:color="auto"/>
              <w:right w:val="single" w:sz="4" w:space="0" w:color="auto"/>
            </w:tcBorders>
            <w:shd w:val="clear" w:color="auto" w:fill="DFEFE1" w:themeFill="accent3" w:themeFillTint="66"/>
            <w:noWrap/>
            <w:vAlign w:val="center"/>
            <w:hideMark/>
          </w:tcPr>
          <w:p w14:paraId="26ABD38B" w14:textId="77777777" w:rsidR="00E40B48" w:rsidRPr="00CE60B2" w:rsidRDefault="00E40B48" w:rsidP="00C423D1">
            <w:pPr>
              <w:spacing w:before="0"/>
              <w:jc w:val="right"/>
              <w:rPr>
                <w:rFonts w:cs="Segoe UI"/>
                <w:b/>
                <w:bCs/>
                <w:color w:val="000000"/>
                <w:szCs w:val="20"/>
              </w:rPr>
            </w:pPr>
            <w:r w:rsidRPr="00CE60B2">
              <w:rPr>
                <w:rFonts w:cs="Segoe UI"/>
                <w:b/>
                <w:bCs/>
                <w:color w:val="000000"/>
                <w:szCs w:val="20"/>
              </w:rPr>
              <w:t>2011–12</w:t>
            </w:r>
          </w:p>
        </w:tc>
        <w:tc>
          <w:tcPr>
            <w:tcW w:w="1134" w:type="dxa"/>
            <w:tcBorders>
              <w:top w:val="single" w:sz="4" w:space="0" w:color="auto"/>
              <w:left w:val="single" w:sz="4" w:space="0" w:color="auto"/>
              <w:bottom w:val="single" w:sz="4" w:space="0" w:color="auto"/>
              <w:right w:val="single" w:sz="4" w:space="0" w:color="auto"/>
            </w:tcBorders>
            <w:shd w:val="clear" w:color="auto" w:fill="DFEFE1" w:themeFill="accent3" w:themeFillTint="66"/>
            <w:noWrap/>
            <w:vAlign w:val="center"/>
            <w:hideMark/>
          </w:tcPr>
          <w:p w14:paraId="26ABD38C" w14:textId="77777777" w:rsidR="00E40B48" w:rsidRPr="00CE60B2" w:rsidRDefault="00E40B48" w:rsidP="00C423D1">
            <w:pPr>
              <w:spacing w:before="0"/>
              <w:jc w:val="right"/>
              <w:rPr>
                <w:rFonts w:cs="Segoe UI"/>
                <w:b/>
                <w:bCs/>
                <w:color w:val="000000"/>
                <w:szCs w:val="20"/>
              </w:rPr>
            </w:pPr>
            <w:r w:rsidRPr="00CE60B2">
              <w:rPr>
                <w:rFonts w:cs="Segoe UI"/>
                <w:b/>
                <w:bCs/>
                <w:color w:val="000000"/>
                <w:szCs w:val="20"/>
              </w:rPr>
              <w:t>2012–13</w:t>
            </w:r>
          </w:p>
        </w:tc>
        <w:tc>
          <w:tcPr>
            <w:tcW w:w="1134" w:type="dxa"/>
            <w:tcBorders>
              <w:top w:val="single" w:sz="4" w:space="0" w:color="auto"/>
              <w:left w:val="single" w:sz="4" w:space="0" w:color="auto"/>
              <w:bottom w:val="single" w:sz="4" w:space="0" w:color="auto"/>
              <w:right w:val="single" w:sz="4" w:space="0" w:color="auto"/>
            </w:tcBorders>
            <w:shd w:val="clear" w:color="auto" w:fill="DFEFE1" w:themeFill="accent3" w:themeFillTint="66"/>
            <w:noWrap/>
            <w:vAlign w:val="center"/>
            <w:hideMark/>
          </w:tcPr>
          <w:p w14:paraId="26ABD38D" w14:textId="77777777" w:rsidR="00E40B48" w:rsidRPr="00CE60B2" w:rsidRDefault="00E40B48" w:rsidP="00C423D1">
            <w:pPr>
              <w:spacing w:before="0"/>
              <w:jc w:val="right"/>
              <w:rPr>
                <w:rFonts w:cs="Segoe UI"/>
                <w:b/>
                <w:bCs/>
                <w:color w:val="000000"/>
                <w:szCs w:val="20"/>
              </w:rPr>
            </w:pPr>
            <w:r w:rsidRPr="00CE60B2">
              <w:rPr>
                <w:rFonts w:cs="Segoe UI"/>
                <w:b/>
                <w:bCs/>
                <w:color w:val="000000"/>
                <w:szCs w:val="20"/>
              </w:rPr>
              <w:t>2013–14</w:t>
            </w:r>
          </w:p>
        </w:tc>
        <w:tc>
          <w:tcPr>
            <w:tcW w:w="1134" w:type="dxa"/>
            <w:tcBorders>
              <w:top w:val="single" w:sz="4" w:space="0" w:color="auto"/>
              <w:left w:val="single" w:sz="4" w:space="0" w:color="auto"/>
              <w:bottom w:val="single" w:sz="4" w:space="0" w:color="auto"/>
              <w:right w:val="single" w:sz="4" w:space="0" w:color="auto"/>
            </w:tcBorders>
            <w:shd w:val="clear" w:color="auto" w:fill="DFEFE1" w:themeFill="accent3" w:themeFillTint="66"/>
            <w:noWrap/>
            <w:vAlign w:val="center"/>
            <w:hideMark/>
          </w:tcPr>
          <w:p w14:paraId="26ABD38E" w14:textId="77777777" w:rsidR="00E40B48" w:rsidRPr="00CE60B2" w:rsidRDefault="00E40B48" w:rsidP="00C423D1">
            <w:pPr>
              <w:spacing w:before="0"/>
              <w:jc w:val="right"/>
              <w:rPr>
                <w:rFonts w:cs="Segoe UI"/>
                <w:b/>
                <w:bCs/>
                <w:color w:val="000000"/>
                <w:szCs w:val="20"/>
              </w:rPr>
            </w:pPr>
            <w:r w:rsidRPr="00CE60B2">
              <w:rPr>
                <w:rFonts w:cs="Segoe UI"/>
                <w:b/>
                <w:bCs/>
                <w:color w:val="000000"/>
                <w:szCs w:val="20"/>
              </w:rPr>
              <w:t>2014–15</w:t>
            </w:r>
          </w:p>
        </w:tc>
        <w:tc>
          <w:tcPr>
            <w:tcW w:w="1247" w:type="dxa"/>
            <w:tcBorders>
              <w:top w:val="single" w:sz="4" w:space="0" w:color="auto"/>
              <w:left w:val="single" w:sz="4" w:space="0" w:color="auto"/>
              <w:bottom w:val="single" w:sz="4" w:space="0" w:color="auto"/>
              <w:right w:val="single" w:sz="4" w:space="0" w:color="auto"/>
            </w:tcBorders>
            <w:shd w:val="clear" w:color="auto" w:fill="DFEFE1" w:themeFill="accent3" w:themeFillTint="66"/>
            <w:noWrap/>
            <w:vAlign w:val="center"/>
            <w:hideMark/>
          </w:tcPr>
          <w:p w14:paraId="26ABD38F" w14:textId="77777777" w:rsidR="00E40B48" w:rsidRPr="00CE60B2" w:rsidRDefault="00E40B48" w:rsidP="00C423D1">
            <w:pPr>
              <w:spacing w:before="0"/>
              <w:jc w:val="right"/>
              <w:rPr>
                <w:rFonts w:cs="Segoe UI"/>
                <w:b/>
                <w:bCs/>
                <w:color w:val="000000"/>
                <w:szCs w:val="20"/>
              </w:rPr>
            </w:pPr>
            <w:r w:rsidRPr="00CE60B2">
              <w:rPr>
                <w:rFonts w:cs="Segoe UI"/>
                <w:b/>
                <w:bCs/>
                <w:color w:val="000000"/>
                <w:szCs w:val="20"/>
              </w:rPr>
              <w:t>2015–16</w:t>
            </w:r>
          </w:p>
        </w:tc>
      </w:tr>
      <w:tr w:rsidR="00E40B48" w:rsidRPr="00CE60B2" w14:paraId="26ABD397" w14:textId="77777777" w:rsidTr="00EC2623">
        <w:trPr>
          <w:trHeight w:val="340"/>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6ABD391" w14:textId="77777777" w:rsidR="00E40B48" w:rsidRPr="00CE60B2" w:rsidRDefault="00E40B48" w:rsidP="00C423D1">
            <w:pPr>
              <w:spacing w:before="0"/>
              <w:rPr>
                <w:rFonts w:cs="Segoe UI"/>
                <w:lang w:eastAsia="ja-JP"/>
              </w:rPr>
            </w:pPr>
            <w:r w:rsidRPr="00CE60B2">
              <w:rPr>
                <w:rFonts w:cs="Segoe UI"/>
                <w:lang w:eastAsia="ja-JP"/>
              </w:rPr>
              <w:t>Forest management (DEC)</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92" w14:textId="77777777" w:rsidR="00E40B48" w:rsidRPr="00CE60B2" w:rsidRDefault="00E40B48" w:rsidP="00C423D1">
            <w:pPr>
              <w:spacing w:before="0"/>
              <w:jc w:val="right"/>
              <w:rPr>
                <w:rFonts w:cs="Segoe UI"/>
                <w:lang w:eastAsia="ja-JP"/>
              </w:rPr>
            </w:pPr>
            <w:r w:rsidRPr="00CE60B2">
              <w:rPr>
                <w:rFonts w:cs="Segoe UI"/>
                <w:lang w:eastAsia="ja-JP"/>
              </w:rPr>
              <w:t xml:space="preserve">53.6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93" w14:textId="77777777" w:rsidR="00E40B48" w:rsidRPr="00CE60B2" w:rsidRDefault="00E40B48" w:rsidP="00C423D1">
            <w:pPr>
              <w:spacing w:before="0"/>
              <w:jc w:val="right"/>
              <w:rPr>
                <w:rFonts w:cs="Segoe UI"/>
                <w:lang w:eastAsia="ja-JP"/>
              </w:rPr>
            </w:pPr>
            <w:r w:rsidRPr="00CE60B2">
              <w:rPr>
                <w:rFonts w:cs="Segoe UI"/>
                <w:lang w:eastAsia="ja-JP"/>
              </w:rPr>
              <w:t xml:space="preserve">55.9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94" w14:textId="77777777" w:rsidR="00E40B48" w:rsidRPr="00CE60B2" w:rsidRDefault="00E40B48" w:rsidP="00C423D1">
            <w:pPr>
              <w:spacing w:before="0"/>
              <w:jc w:val="right"/>
              <w:rPr>
                <w:rFonts w:cs="Segoe UI"/>
                <w:lang w:eastAsia="ja-JP"/>
              </w:rPr>
            </w:pPr>
            <w:r w:rsidRPr="00CE60B2">
              <w:rPr>
                <w:rFonts w:cs="Segoe UI"/>
                <w:lang w:eastAsia="ja-JP"/>
              </w:rPr>
              <w:t>n.a.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95" w14:textId="77777777" w:rsidR="00E40B48" w:rsidRPr="00CE60B2" w:rsidRDefault="00E40B48" w:rsidP="00C423D1">
            <w:pPr>
              <w:spacing w:before="0"/>
              <w:jc w:val="right"/>
              <w:rPr>
                <w:rFonts w:cs="Segoe UI"/>
                <w:lang w:eastAsia="ja-JP"/>
              </w:rPr>
            </w:pPr>
            <w:r w:rsidRPr="00CE60B2">
              <w:rPr>
                <w:rFonts w:cs="Segoe UI"/>
                <w:lang w:eastAsia="ja-JP"/>
              </w:rPr>
              <w:t>n.a.</w:t>
            </w:r>
          </w:p>
        </w:tc>
        <w:tc>
          <w:tcPr>
            <w:tcW w:w="1247" w:type="dxa"/>
            <w:tcBorders>
              <w:top w:val="single" w:sz="4" w:space="0" w:color="auto"/>
              <w:left w:val="single" w:sz="4" w:space="0" w:color="auto"/>
              <w:bottom w:val="single" w:sz="4" w:space="0" w:color="auto"/>
              <w:right w:val="single" w:sz="4" w:space="0" w:color="auto"/>
            </w:tcBorders>
            <w:noWrap/>
            <w:vAlign w:val="center"/>
            <w:hideMark/>
          </w:tcPr>
          <w:p w14:paraId="26ABD396" w14:textId="77777777" w:rsidR="00E40B48" w:rsidRPr="00CE60B2" w:rsidRDefault="00E40B48" w:rsidP="00C423D1">
            <w:pPr>
              <w:spacing w:before="0"/>
              <w:jc w:val="right"/>
              <w:rPr>
                <w:rFonts w:cs="Segoe UI"/>
                <w:lang w:eastAsia="ja-JP"/>
              </w:rPr>
            </w:pPr>
            <w:r w:rsidRPr="00CE60B2">
              <w:rPr>
                <w:rFonts w:cs="Segoe UI"/>
                <w:lang w:eastAsia="ja-JP"/>
              </w:rPr>
              <w:t>n.a.</w:t>
            </w:r>
          </w:p>
        </w:tc>
      </w:tr>
      <w:tr w:rsidR="00E40B48" w:rsidRPr="00CE60B2" w14:paraId="26ABD39E" w14:textId="77777777" w:rsidTr="00EC2623">
        <w:trPr>
          <w:trHeight w:val="340"/>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6ABD398" w14:textId="77777777" w:rsidR="00E40B48" w:rsidRPr="00CE60B2" w:rsidRDefault="00E40B48" w:rsidP="00C423D1">
            <w:pPr>
              <w:spacing w:before="0"/>
              <w:rPr>
                <w:rFonts w:cs="Segoe UI"/>
                <w:lang w:eastAsia="ja-JP"/>
              </w:rPr>
            </w:pPr>
            <w:r w:rsidRPr="00CE60B2">
              <w:rPr>
                <w:rFonts w:cs="Segoe UI"/>
                <w:lang w:eastAsia="ja-JP"/>
              </w:rPr>
              <w:t>Forest management (DPaW)</w:t>
            </w:r>
            <w:r w:rsidRPr="00CE60B2">
              <w:rPr>
                <w:rFonts w:cs="Segoe UI"/>
                <w:vertAlign w:val="superscript"/>
                <w:lang w:eastAsia="ja-JP"/>
              </w:rPr>
              <w:t>a</w:t>
            </w:r>
            <w:r w:rsidRPr="00CE60B2">
              <w:rPr>
                <w:rFonts w:cs="Segoe UI"/>
                <w:lang w:eastAsia="ja-JP"/>
              </w:rPr>
              <w:t xml:space="preserve">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99" w14:textId="77777777" w:rsidR="00E40B48" w:rsidRPr="00CE60B2" w:rsidRDefault="00E40B48" w:rsidP="00C423D1">
            <w:pPr>
              <w:spacing w:before="0"/>
              <w:jc w:val="right"/>
              <w:rPr>
                <w:rFonts w:cs="Segoe UI"/>
                <w:lang w:eastAsia="ja-JP"/>
              </w:rPr>
            </w:pPr>
            <w:r w:rsidRPr="00CE60B2">
              <w:rPr>
                <w:rFonts w:cs="Segoe UI"/>
                <w:lang w:eastAsia="ja-JP"/>
              </w:rPr>
              <w:t>n.a.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9A" w14:textId="77777777" w:rsidR="00E40B48" w:rsidRPr="00CE60B2" w:rsidRDefault="00E40B48" w:rsidP="00C423D1">
            <w:pPr>
              <w:spacing w:before="0"/>
              <w:jc w:val="right"/>
              <w:rPr>
                <w:rFonts w:cs="Segoe UI"/>
                <w:lang w:eastAsia="ja-JP"/>
              </w:rPr>
            </w:pPr>
            <w:r w:rsidRPr="00CE60B2">
              <w:rPr>
                <w:rFonts w:cs="Segoe UI"/>
                <w:lang w:eastAsia="ja-JP"/>
              </w:rPr>
              <w:t>n.a.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9B" w14:textId="77777777" w:rsidR="00E40B48" w:rsidRPr="00CE60B2" w:rsidRDefault="00E40B48" w:rsidP="00C423D1">
            <w:pPr>
              <w:spacing w:before="0"/>
              <w:jc w:val="right"/>
              <w:rPr>
                <w:rFonts w:cs="Segoe UI"/>
                <w:lang w:eastAsia="ja-JP"/>
              </w:rPr>
            </w:pPr>
            <w:r w:rsidRPr="00CE60B2">
              <w:rPr>
                <w:rFonts w:cs="Segoe UI"/>
                <w:lang w:eastAsia="ja-JP"/>
              </w:rPr>
              <w:t xml:space="preserve">58.2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9C" w14:textId="77777777" w:rsidR="00E40B48" w:rsidRPr="00CE60B2" w:rsidRDefault="00E40B48" w:rsidP="00C423D1">
            <w:pPr>
              <w:spacing w:before="0"/>
              <w:jc w:val="right"/>
              <w:rPr>
                <w:rFonts w:cs="Segoe UI"/>
                <w:lang w:eastAsia="ja-JP"/>
              </w:rPr>
            </w:pPr>
            <w:r w:rsidRPr="00CE60B2">
              <w:rPr>
                <w:rFonts w:cs="Segoe UI"/>
                <w:lang w:eastAsia="ja-JP"/>
              </w:rPr>
              <w:t xml:space="preserve">62.7 </w:t>
            </w:r>
          </w:p>
        </w:tc>
        <w:tc>
          <w:tcPr>
            <w:tcW w:w="1247" w:type="dxa"/>
            <w:tcBorders>
              <w:top w:val="single" w:sz="4" w:space="0" w:color="auto"/>
              <w:left w:val="single" w:sz="4" w:space="0" w:color="auto"/>
              <w:bottom w:val="single" w:sz="4" w:space="0" w:color="auto"/>
              <w:right w:val="single" w:sz="4" w:space="0" w:color="auto"/>
            </w:tcBorders>
            <w:noWrap/>
            <w:vAlign w:val="center"/>
            <w:hideMark/>
          </w:tcPr>
          <w:p w14:paraId="26ABD39D" w14:textId="77777777" w:rsidR="00E40B48" w:rsidRPr="00CE60B2" w:rsidRDefault="00E40B48" w:rsidP="00C423D1">
            <w:pPr>
              <w:spacing w:before="0"/>
              <w:jc w:val="right"/>
              <w:rPr>
                <w:rFonts w:cs="Segoe UI"/>
                <w:lang w:eastAsia="ja-JP"/>
              </w:rPr>
            </w:pPr>
            <w:r w:rsidRPr="00CE60B2">
              <w:rPr>
                <w:rFonts w:cs="Segoe UI"/>
                <w:lang w:eastAsia="ja-JP"/>
              </w:rPr>
              <w:t xml:space="preserve">8.9 </w:t>
            </w:r>
          </w:p>
        </w:tc>
      </w:tr>
      <w:tr w:rsidR="00E40B48" w:rsidRPr="00CE60B2" w14:paraId="26ABD3A5" w14:textId="77777777" w:rsidTr="00EC2623">
        <w:trPr>
          <w:trHeight w:val="340"/>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6ABD39F" w14:textId="77777777" w:rsidR="00E40B48" w:rsidRPr="00CE60B2" w:rsidRDefault="00E40B48" w:rsidP="00C423D1">
            <w:pPr>
              <w:spacing w:before="0"/>
              <w:rPr>
                <w:rFonts w:cs="Segoe UI"/>
                <w:lang w:eastAsia="ja-JP"/>
              </w:rPr>
            </w:pPr>
            <w:r w:rsidRPr="00CE60B2">
              <w:rPr>
                <w:rFonts w:cs="Segoe UI"/>
                <w:lang w:eastAsia="ja-JP"/>
              </w:rPr>
              <w:t>Forest management (FPC)</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A0" w14:textId="77777777" w:rsidR="00E40B48" w:rsidRPr="00CE60B2" w:rsidRDefault="00E40B48" w:rsidP="00C423D1">
            <w:pPr>
              <w:spacing w:before="0"/>
              <w:jc w:val="right"/>
              <w:rPr>
                <w:rFonts w:cs="Segoe UI"/>
                <w:lang w:eastAsia="ja-JP"/>
              </w:rPr>
            </w:pPr>
            <w:r w:rsidRPr="00CE60B2">
              <w:rPr>
                <w:rFonts w:cs="Segoe UI"/>
                <w:lang w:eastAsia="ja-JP"/>
              </w:rPr>
              <w:t xml:space="preserve">73.9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A1" w14:textId="77777777" w:rsidR="00E40B48" w:rsidRPr="00CE60B2" w:rsidRDefault="00E40B48" w:rsidP="00C423D1">
            <w:pPr>
              <w:spacing w:before="0"/>
              <w:jc w:val="right"/>
              <w:rPr>
                <w:rFonts w:cs="Segoe UI"/>
                <w:lang w:eastAsia="ja-JP"/>
              </w:rPr>
            </w:pPr>
            <w:r w:rsidRPr="00CE60B2">
              <w:rPr>
                <w:rFonts w:cs="Segoe UI"/>
                <w:lang w:eastAsia="ja-JP"/>
              </w:rPr>
              <w:t xml:space="preserve">74.0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A2" w14:textId="77777777" w:rsidR="00E40B48" w:rsidRPr="00CE60B2" w:rsidRDefault="00E40B48" w:rsidP="00C423D1">
            <w:pPr>
              <w:spacing w:before="0"/>
              <w:jc w:val="right"/>
              <w:rPr>
                <w:rFonts w:cs="Segoe UI"/>
                <w:lang w:eastAsia="ja-JP"/>
              </w:rPr>
            </w:pPr>
            <w:r w:rsidRPr="00CE60B2">
              <w:rPr>
                <w:rFonts w:cs="Segoe UI"/>
                <w:lang w:eastAsia="ja-JP"/>
              </w:rPr>
              <w:t xml:space="preserve">70.9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ABD3A3" w14:textId="77777777" w:rsidR="00E40B48" w:rsidRPr="00CE60B2" w:rsidRDefault="00E40B48" w:rsidP="00C423D1">
            <w:pPr>
              <w:spacing w:before="0"/>
              <w:jc w:val="right"/>
              <w:rPr>
                <w:rFonts w:cs="Segoe UI"/>
                <w:lang w:eastAsia="ja-JP"/>
              </w:rPr>
            </w:pPr>
            <w:r w:rsidRPr="00CE60B2">
              <w:rPr>
                <w:rFonts w:cs="Segoe UI"/>
                <w:lang w:eastAsia="ja-JP"/>
              </w:rPr>
              <w:t xml:space="preserve">72.2 </w:t>
            </w:r>
          </w:p>
        </w:tc>
        <w:tc>
          <w:tcPr>
            <w:tcW w:w="1247" w:type="dxa"/>
            <w:tcBorders>
              <w:top w:val="single" w:sz="4" w:space="0" w:color="auto"/>
              <w:left w:val="single" w:sz="4" w:space="0" w:color="auto"/>
              <w:bottom w:val="single" w:sz="4" w:space="0" w:color="auto"/>
              <w:right w:val="single" w:sz="4" w:space="0" w:color="auto"/>
            </w:tcBorders>
            <w:noWrap/>
            <w:vAlign w:val="center"/>
            <w:hideMark/>
          </w:tcPr>
          <w:p w14:paraId="26ABD3A4" w14:textId="77777777" w:rsidR="00E40B48" w:rsidRPr="00CE60B2" w:rsidRDefault="00E40B48" w:rsidP="00C423D1">
            <w:pPr>
              <w:spacing w:before="0"/>
              <w:jc w:val="right"/>
              <w:rPr>
                <w:rFonts w:cs="Segoe UI"/>
                <w:lang w:eastAsia="ja-JP"/>
              </w:rPr>
            </w:pPr>
            <w:r w:rsidRPr="00CE60B2">
              <w:rPr>
                <w:rFonts w:cs="Segoe UI"/>
                <w:lang w:eastAsia="ja-JP"/>
              </w:rPr>
              <w:t xml:space="preserve">73.1 </w:t>
            </w:r>
          </w:p>
        </w:tc>
      </w:tr>
    </w:tbl>
    <w:p w14:paraId="26ABD3A6" w14:textId="77777777" w:rsidR="00E40B48" w:rsidRPr="00CE60B2" w:rsidRDefault="00E40B48" w:rsidP="000F6020">
      <w:pPr>
        <w:rPr>
          <w:rFonts w:cs="Segoe UI"/>
          <w:sz w:val="16"/>
          <w:lang w:eastAsia="ja-JP"/>
        </w:rPr>
      </w:pPr>
      <w:r w:rsidRPr="00CE60B2">
        <w:rPr>
          <w:rFonts w:cs="Segoe UI"/>
          <w:sz w:val="16"/>
          <w:lang w:eastAsia="ja-JP"/>
        </w:rPr>
        <w:t>n.a., not applicable</w:t>
      </w:r>
    </w:p>
    <w:p w14:paraId="26ABD3A7" w14:textId="77777777" w:rsidR="00E40B48" w:rsidRPr="00CE60B2" w:rsidRDefault="00E40B48" w:rsidP="000F6020">
      <w:pPr>
        <w:rPr>
          <w:rFonts w:cs="Segoe UI"/>
          <w:sz w:val="16"/>
          <w:lang w:eastAsia="ja-JP"/>
        </w:rPr>
      </w:pPr>
      <w:r w:rsidRPr="00CE60B2">
        <w:rPr>
          <w:rFonts w:cs="Segoe UI"/>
          <w:sz w:val="16"/>
          <w:vertAlign w:val="superscript"/>
          <w:lang w:eastAsia="ja-JP"/>
        </w:rPr>
        <w:t>a</w:t>
      </w:r>
      <w:r w:rsidRPr="00CE60B2">
        <w:rPr>
          <w:rFonts w:cs="Segoe UI"/>
          <w:sz w:val="16"/>
          <w:lang w:eastAsia="ja-JP"/>
        </w:rPr>
        <w:t xml:space="preserve"> Values for 2013-14 and 2014-15 relate to expenditure by the agency’s ‘Forest Management Service’. The value for 2015-16 relates only to expenditure by the agency’s 'Forest Management Plan Implementation Service' and cannot be compared with previous years.</w:t>
      </w:r>
    </w:p>
    <w:p w14:paraId="26ABD3A8" w14:textId="77777777" w:rsidR="00E40B48" w:rsidRPr="00CE60B2" w:rsidRDefault="00E40B48" w:rsidP="000F6020">
      <w:pPr>
        <w:rPr>
          <w:rFonts w:cs="Segoe UI"/>
          <w:sz w:val="16"/>
          <w:lang w:eastAsia="ja-JP"/>
        </w:rPr>
      </w:pPr>
      <w:r w:rsidRPr="00CE60B2">
        <w:rPr>
          <w:rFonts w:cs="Segoe UI"/>
          <w:sz w:val="16"/>
          <w:lang w:eastAsia="ja-JP"/>
        </w:rPr>
        <w:t xml:space="preserve">Note: Changes in operational service areas between 2012–13 (DEC) and 2013-14 (DPaW) means that forest management expenditure between these agencies may not be comparable. </w:t>
      </w:r>
    </w:p>
    <w:p w14:paraId="26ABD3A9" w14:textId="77777777" w:rsidR="00E40B48" w:rsidRPr="001405FC" w:rsidRDefault="00E40B48" w:rsidP="000F6020">
      <w:pPr>
        <w:rPr>
          <w:rFonts w:cs="Segoe UI"/>
          <w:sz w:val="16"/>
          <w:lang w:eastAsia="ja-JP"/>
        </w:rPr>
      </w:pPr>
      <w:r w:rsidRPr="00CE60B2">
        <w:rPr>
          <w:rFonts w:cs="Segoe UI"/>
          <w:sz w:val="16"/>
          <w:lang w:eastAsia="ja-JP"/>
        </w:rPr>
        <w:t>Source: DEC 2012, 2013; DPaW 2014, 2015, 2016; FPC 2012, 2013, 2014,</w:t>
      </w:r>
      <w:r w:rsidRPr="00CE60B2">
        <w:rPr>
          <w:rFonts w:cs="Segoe UI"/>
          <w:b/>
          <w:sz w:val="16"/>
          <w:lang w:eastAsia="ja-JP"/>
        </w:rPr>
        <w:t xml:space="preserve"> </w:t>
      </w:r>
      <w:r w:rsidRPr="001405FC">
        <w:rPr>
          <w:rFonts w:cs="Segoe UI"/>
          <w:sz w:val="16"/>
          <w:lang w:eastAsia="ja-JP"/>
        </w:rPr>
        <w:t>2015, 2016.</w:t>
      </w:r>
    </w:p>
    <w:p w14:paraId="26ABD3AA" w14:textId="77777777" w:rsidR="00DB510B" w:rsidRPr="00CE60B2" w:rsidRDefault="00DB510B" w:rsidP="000F6020">
      <w:pPr>
        <w:pStyle w:val="Heading3"/>
        <w:rPr>
          <w:lang w:eastAsia="en-AU"/>
        </w:rPr>
      </w:pPr>
      <w:bookmarkStart w:id="158" w:name="_Toc2776061"/>
      <w:r w:rsidRPr="00CE60B2">
        <w:rPr>
          <w:lang w:eastAsia="en-AU"/>
        </w:rPr>
        <w:t>Indicator 6.2b</w:t>
      </w:r>
      <w:r w:rsidRPr="00CE60B2">
        <w:rPr>
          <w:lang w:eastAsia="en-AU"/>
        </w:rPr>
        <w:tab/>
        <w:t>Investment in research, development, extension and use of new and improved technologies</w:t>
      </w:r>
      <w:bookmarkEnd w:id="154"/>
      <w:bookmarkEnd w:id="158"/>
    </w:p>
    <w:p w14:paraId="26ABD3AB" w14:textId="423A4C06" w:rsidR="005C2908" w:rsidRDefault="005C2908" w:rsidP="005C2908">
      <w:pPr>
        <w:pStyle w:val="Caption"/>
        <w:keepNext/>
      </w:pPr>
      <w:bookmarkStart w:id="159" w:name="_Toc531002191"/>
      <w:bookmarkStart w:id="160" w:name="_Toc524952819"/>
      <w:r>
        <w:t xml:space="preserve">Table </w:t>
      </w:r>
      <w:r w:rsidR="005C10D4">
        <w:rPr>
          <w:noProof/>
        </w:rPr>
        <w:fldChar w:fldCharType="begin"/>
      </w:r>
      <w:r w:rsidR="005C10D4">
        <w:rPr>
          <w:noProof/>
        </w:rPr>
        <w:instrText xml:space="preserve"> SEQ Table \* ARABIC </w:instrText>
      </w:r>
      <w:r w:rsidR="005C10D4">
        <w:rPr>
          <w:noProof/>
        </w:rPr>
        <w:fldChar w:fldCharType="separate"/>
      </w:r>
      <w:r w:rsidR="003C7091">
        <w:rPr>
          <w:noProof/>
        </w:rPr>
        <w:t>30</w:t>
      </w:r>
      <w:r w:rsidR="005C10D4">
        <w:rPr>
          <w:noProof/>
        </w:rPr>
        <w:fldChar w:fldCharType="end"/>
      </w:r>
      <w:r>
        <w:t xml:space="preserve">: </w:t>
      </w:r>
      <w:r w:rsidRPr="0089734F">
        <w:t>Business R&amp;D expenditure in the forest and wood products sector, and proportion of total business R&amp;D expenditure, 2005-06 to 2010-11</w:t>
      </w:r>
      <w:bookmarkEnd w:id="159"/>
    </w:p>
    <w:tbl>
      <w:tblPr>
        <w:tblW w:w="102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828"/>
        <w:gridCol w:w="709"/>
        <w:gridCol w:w="708"/>
        <w:gridCol w:w="708"/>
        <w:gridCol w:w="708"/>
        <w:gridCol w:w="708"/>
        <w:gridCol w:w="708"/>
        <w:gridCol w:w="708"/>
        <w:gridCol w:w="708"/>
        <w:gridCol w:w="708"/>
      </w:tblGrid>
      <w:tr w:rsidR="008B7DE8" w:rsidRPr="00CE60B2" w14:paraId="26ABD3B6" w14:textId="77777777" w:rsidTr="00176847">
        <w:trPr>
          <w:cantSplit/>
          <w:tblHeader/>
          <w:jc w:val="center"/>
        </w:trPr>
        <w:tc>
          <w:tcPr>
            <w:tcW w:w="3828" w:type="dxa"/>
            <w:tcBorders>
              <w:bottom w:val="single" w:sz="4" w:space="0" w:color="auto"/>
            </w:tcBorders>
            <w:shd w:val="clear" w:color="auto" w:fill="DFEFE1" w:themeFill="accent3" w:themeFillTint="66"/>
          </w:tcPr>
          <w:p w14:paraId="26ABD3AC" w14:textId="77777777" w:rsidR="008B7DE8" w:rsidRPr="00CE60B2" w:rsidRDefault="00151FD4" w:rsidP="008B7DE8">
            <w:pPr>
              <w:rPr>
                <w:rFonts w:cs="Segoe UI"/>
                <w:b/>
              </w:rPr>
            </w:pPr>
            <w:r>
              <w:rPr>
                <w:rFonts w:cs="Segoe UI"/>
                <w:b/>
              </w:rPr>
              <w:t xml:space="preserve">Sector / </w:t>
            </w:r>
            <w:r w:rsidR="008B7DE8" w:rsidRPr="00CE60B2">
              <w:rPr>
                <w:rFonts w:cs="Segoe UI"/>
                <w:b/>
              </w:rPr>
              <w:t>Parameter</w:t>
            </w:r>
          </w:p>
        </w:tc>
        <w:tc>
          <w:tcPr>
            <w:tcW w:w="709" w:type="dxa"/>
            <w:shd w:val="clear" w:color="auto" w:fill="DFEFE1" w:themeFill="accent3" w:themeFillTint="66"/>
          </w:tcPr>
          <w:p w14:paraId="26ABD3AD" w14:textId="77777777" w:rsidR="008B7DE8" w:rsidRPr="00CE60B2" w:rsidRDefault="008B7DE8" w:rsidP="008B7DE8">
            <w:pPr>
              <w:rPr>
                <w:rFonts w:cs="Segoe UI"/>
                <w:b/>
              </w:rPr>
            </w:pPr>
            <w:r w:rsidRPr="00CE60B2">
              <w:rPr>
                <w:rFonts w:cs="Segoe UI"/>
                <w:b/>
              </w:rPr>
              <w:t>2005-06</w:t>
            </w:r>
          </w:p>
        </w:tc>
        <w:tc>
          <w:tcPr>
            <w:tcW w:w="708" w:type="dxa"/>
            <w:shd w:val="clear" w:color="auto" w:fill="DFEFE1" w:themeFill="accent3" w:themeFillTint="66"/>
          </w:tcPr>
          <w:p w14:paraId="26ABD3AE" w14:textId="77777777" w:rsidR="008B7DE8" w:rsidRPr="00CE60B2" w:rsidRDefault="008B7DE8" w:rsidP="008B7DE8">
            <w:pPr>
              <w:rPr>
                <w:rFonts w:cs="Segoe UI"/>
                <w:b/>
              </w:rPr>
            </w:pPr>
            <w:r w:rsidRPr="00CE60B2">
              <w:rPr>
                <w:rFonts w:cs="Segoe UI"/>
                <w:b/>
              </w:rPr>
              <w:t>2006-07</w:t>
            </w:r>
          </w:p>
        </w:tc>
        <w:tc>
          <w:tcPr>
            <w:tcW w:w="708" w:type="dxa"/>
            <w:shd w:val="clear" w:color="auto" w:fill="DFEFE1" w:themeFill="accent3" w:themeFillTint="66"/>
          </w:tcPr>
          <w:p w14:paraId="26ABD3AF" w14:textId="77777777" w:rsidR="008B7DE8" w:rsidRPr="00CE60B2" w:rsidRDefault="008B7DE8" w:rsidP="008B7DE8">
            <w:pPr>
              <w:rPr>
                <w:rFonts w:cs="Segoe UI"/>
                <w:b/>
              </w:rPr>
            </w:pPr>
            <w:r w:rsidRPr="00CE60B2">
              <w:rPr>
                <w:rFonts w:cs="Segoe UI"/>
                <w:b/>
              </w:rPr>
              <w:t>2007-08</w:t>
            </w:r>
          </w:p>
        </w:tc>
        <w:tc>
          <w:tcPr>
            <w:tcW w:w="708" w:type="dxa"/>
            <w:shd w:val="clear" w:color="auto" w:fill="DFEFE1" w:themeFill="accent3" w:themeFillTint="66"/>
          </w:tcPr>
          <w:p w14:paraId="26ABD3B0" w14:textId="77777777" w:rsidR="008B7DE8" w:rsidRPr="00CE60B2" w:rsidRDefault="008B7DE8" w:rsidP="008B7DE8">
            <w:pPr>
              <w:rPr>
                <w:rFonts w:cs="Segoe UI"/>
                <w:b/>
              </w:rPr>
            </w:pPr>
            <w:r w:rsidRPr="00CE60B2">
              <w:rPr>
                <w:rFonts w:cs="Segoe UI"/>
                <w:b/>
              </w:rPr>
              <w:t>2008-09</w:t>
            </w:r>
          </w:p>
        </w:tc>
        <w:tc>
          <w:tcPr>
            <w:tcW w:w="708" w:type="dxa"/>
            <w:shd w:val="clear" w:color="auto" w:fill="DFEFE1" w:themeFill="accent3" w:themeFillTint="66"/>
          </w:tcPr>
          <w:p w14:paraId="26ABD3B1" w14:textId="77777777" w:rsidR="008B7DE8" w:rsidRPr="00CE60B2" w:rsidRDefault="008B7DE8" w:rsidP="008B7DE8">
            <w:pPr>
              <w:rPr>
                <w:rFonts w:cs="Segoe UI"/>
                <w:b/>
              </w:rPr>
            </w:pPr>
            <w:r w:rsidRPr="00CE60B2">
              <w:rPr>
                <w:rFonts w:cs="Segoe UI"/>
                <w:b/>
              </w:rPr>
              <w:t>2009-10</w:t>
            </w:r>
          </w:p>
        </w:tc>
        <w:tc>
          <w:tcPr>
            <w:tcW w:w="708" w:type="dxa"/>
            <w:shd w:val="clear" w:color="auto" w:fill="DFEFE1" w:themeFill="accent3" w:themeFillTint="66"/>
          </w:tcPr>
          <w:p w14:paraId="26ABD3B2" w14:textId="77777777" w:rsidR="008B7DE8" w:rsidRDefault="008B7DE8" w:rsidP="008B7DE8">
            <w:pPr>
              <w:rPr>
                <w:rFonts w:cs="Segoe UI"/>
                <w:b/>
              </w:rPr>
            </w:pPr>
            <w:r w:rsidRPr="00CE60B2">
              <w:rPr>
                <w:rFonts w:cs="Segoe UI"/>
                <w:b/>
              </w:rPr>
              <w:t>2010-11</w:t>
            </w:r>
          </w:p>
        </w:tc>
        <w:tc>
          <w:tcPr>
            <w:tcW w:w="708" w:type="dxa"/>
            <w:shd w:val="clear" w:color="auto" w:fill="DFEFE1" w:themeFill="accent3" w:themeFillTint="66"/>
          </w:tcPr>
          <w:p w14:paraId="26ABD3B3" w14:textId="77777777" w:rsidR="008B7DE8" w:rsidRPr="00CE60B2" w:rsidRDefault="008B7DE8" w:rsidP="008B7DE8">
            <w:pPr>
              <w:rPr>
                <w:rFonts w:cs="Segoe UI"/>
                <w:b/>
              </w:rPr>
            </w:pPr>
            <w:r>
              <w:rPr>
                <w:rFonts w:cs="Segoe UI"/>
                <w:b/>
              </w:rPr>
              <w:t>2011-12</w:t>
            </w:r>
          </w:p>
        </w:tc>
        <w:tc>
          <w:tcPr>
            <w:tcW w:w="708" w:type="dxa"/>
            <w:shd w:val="clear" w:color="auto" w:fill="DFEFE1" w:themeFill="accent3" w:themeFillTint="66"/>
          </w:tcPr>
          <w:p w14:paraId="26ABD3B4" w14:textId="77777777" w:rsidR="008B7DE8" w:rsidRPr="00CE60B2" w:rsidRDefault="008B7DE8" w:rsidP="008B7DE8">
            <w:pPr>
              <w:rPr>
                <w:rFonts w:cs="Segoe UI"/>
                <w:b/>
              </w:rPr>
            </w:pPr>
            <w:r>
              <w:rPr>
                <w:rFonts w:cs="Segoe UI"/>
                <w:b/>
              </w:rPr>
              <w:t>2013-14</w:t>
            </w:r>
          </w:p>
        </w:tc>
        <w:tc>
          <w:tcPr>
            <w:tcW w:w="708" w:type="dxa"/>
            <w:shd w:val="clear" w:color="auto" w:fill="DFEFE1" w:themeFill="accent3" w:themeFillTint="66"/>
          </w:tcPr>
          <w:p w14:paraId="26ABD3B5" w14:textId="77777777" w:rsidR="008B7DE8" w:rsidRPr="00CE60B2" w:rsidRDefault="008B7DE8" w:rsidP="008B7DE8">
            <w:pPr>
              <w:rPr>
                <w:rFonts w:cs="Segoe UI"/>
                <w:b/>
              </w:rPr>
            </w:pPr>
            <w:r>
              <w:rPr>
                <w:rFonts w:cs="Segoe UI"/>
                <w:b/>
              </w:rPr>
              <w:t>2015-16</w:t>
            </w:r>
          </w:p>
        </w:tc>
      </w:tr>
      <w:tr w:rsidR="008B7DE8" w:rsidRPr="00CE60B2" w14:paraId="26ABD3C1" w14:textId="77777777" w:rsidTr="00176847">
        <w:trPr>
          <w:cantSplit/>
          <w:jc w:val="center"/>
        </w:trPr>
        <w:tc>
          <w:tcPr>
            <w:tcW w:w="3828" w:type="dxa"/>
            <w:tcBorders>
              <w:top w:val="single" w:sz="4" w:space="0" w:color="auto"/>
            </w:tcBorders>
          </w:tcPr>
          <w:p w14:paraId="26ABD3B7" w14:textId="77777777" w:rsidR="008B7DE8" w:rsidRPr="00CE60B2" w:rsidRDefault="008B7DE8" w:rsidP="008B7DE8">
            <w:pPr>
              <w:rPr>
                <w:rFonts w:cs="Segoe UI"/>
              </w:rPr>
            </w:pPr>
            <w:r w:rsidRPr="00CE60B2">
              <w:rPr>
                <w:rFonts w:cs="Segoe UI"/>
              </w:rPr>
              <w:t>Forestry and logging ($ million)</w:t>
            </w:r>
          </w:p>
        </w:tc>
        <w:tc>
          <w:tcPr>
            <w:tcW w:w="709" w:type="dxa"/>
          </w:tcPr>
          <w:p w14:paraId="26ABD3B8" w14:textId="77777777" w:rsidR="008B7DE8" w:rsidRPr="00CE60B2" w:rsidRDefault="008B7DE8" w:rsidP="008B7DE8">
            <w:pPr>
              <w:rPr>
                <w:rFonts w:cs="Segoe UI"/>
              </w:rPr>
            </w:pPr>
            <w:r w:rsidRPr="00CE60B2">
              <w:rPr>
                <w:rFonts w:cs="Segoe UI"/>
              </w:rPr>
              <w:t>15.6</w:t>
            </w:r>
          </w:p>
        </w:tc>
        <w:tc>
          <w:tcPr>
            <w:tcW w:w="708" w:type="dxa"/>
          </w:tcPr>
          <w:p w14:paraId="26ABD3B9" w14:textId="77777777" w:rsidR="008B7DE8" w:rsidRPr="00CE60B2" w:rsidRDefault="008B7DE8" w:rsidP="008B7DE8">
            <w:pPr>
              <w:rPr>
                <w:rFonts w:cs="Segoe UI"/>
              </w:rPr>
            </w:pPr>
            <w:r w:rsidRPr="00CE60B2">
              <w:rPr>
                <w:rFonts w:cs="Segoe UI"/>
              </w:rPr>
              <w:t>20.1</w:t>
            </w:r>
          </w:p>
        </w:tc>
        <w:tc>
          <w:tcPr>
            <w:tcW w:w="708" w:type="dxa"/>
          </w:tcPr>
          <w:p w14:paraId="26ABD3BA" w14:textId="77777777" w:rsidR="008B7DE8" w:rsidRPr="00CE60B2" w:rsidRDefault="008B7DE8" w:rsidP="008B7DE8">
            <w:pPr>
              <w:rPr>
                <w:rFonts w:cs="Segoe UI"/>
              </w:rPr>
            </w:pPr>
            <w:r w:rsidRPr="00CE60B2">
              <w:rPr>
                <w:rFonts w:cs="Segoe UI"/>
              </w:rPr>
              <w:t>22.0</w:t>
            </w:r>
          </w:p>
        </w:tc>
        <w:tc>
          <w:tcPr>
            <w:tcW w:w="708" w:type="dxa"/>
          </w:tcPr>
          <w:p w14:paraId="26ABD3BB" w14:textId="77777777" w:rsidR="008B7DE8" w:rsidRPr="00CE60B2" w:rsidRDefault="008B7DE8" w:rsidP="008B7DE8">
            <w:pPr>
              <w:rPr>
                <w:rFonts w:cs="Segoe UI"/>
              </w:rPr>
            </w:pPr>
            <w:r w:rsidRPr="00CE60B2">
              <w:rPr>
                <w:rFonts w:cs="Segoe UI"/>
              </w:rPr>
              <w:t>26.0</w:t>
            </w:r>
          </w:p>
        </w:tc>
        <w:tc>
          <w:tcPr>
            <w:tcW w:w="708" w:type="dxa"/>
          </w:tcPr>
          <w:p w14:paraId="26ABD3BC" w14:textId="77777777" w:rsidR="008B7DE8" w:rsidRPr="00CE60B2" w:rsidRDefault="008B7DE8" w:rsidP="008B7DE8">
            <w:pPr>
              <w:rPr>
                <w:rFonts w:cs="Segoe UI"/>
              </w:rPr>
            </w:pPr>
            <w:r w:rsidRPr="00CE60B2">
              <w:rPr>
                <w:rFonts w:cs="Segoe UI"/>
              </w:rPr>
              <w:t>37.6</w:t>
            </w:r>
          </w:p>
        </w:tc>
        <w:tc>
          <w:tcPr>
            <w:tcW w:w="708" w:type="dxa"/>
          </w:tcPr>
          <w:p w14:paraId="26ABD3BD" w14:textId="77777777" w:rsidR="008B7DE8" w:rsidRDefault="008B7DE8" w:rsidP="008B7DE8">
            <w:pPr>
              <w:rPr>
                <w:rFonts w:cs="Segoe UI"/>
              </w:rPr>
            </w:pPr>
            <w:r w:rsidRPr="00CE60B2">
              <w:rPr>
                <w:rFonts w:cs="Segoe UI"/>
              </w:rPr>
              <w:t>33.2</w:t>
            </w:r>
          </w:p>
        </w:tc>
        <w:tc>
          <w:tcPr>
            <w:tcW w:w="708" w:type="dxa"/>
          </w:tcPr>
          <w:p w14:paraId="26ABD3BE" w14:textId="77777777" w:rsidR="008B7DE8" w:rsidRPr="00CE60B2" w:rsidRDefault="008B7DE8" w:rsidP="008B7DE8">
            <w:pPr>
              <w:rPr>
                <w:rFonts w:cs="Segoe UI"/>
              </w:rPr>
            </w:pPr>
            <w:r>
              <w:rPr>
                <w:rFonts w:cs="Segoe UI"/>
              </w:rPr>
              <w:t>25.8</w:t>
            </w:r>
          </w:p>
        </w:tc>
        <w:tc>
          <w:tcPr>
            <w:tcW w:w="708" w:type="dxa"/>
          </w:tcPr>
          <w:p w14:paraId="26ABD3BF" w14:textId="77777777" w:rsidR="008B7DE8" w:rsidRPr="00CE60B2" w:rsidRDefault="008B7DE8" w:rsidP="008B7DE8">
            <w:pPr>
              <w:rPr>
                <w:rFonts w:cs="Segoe UI"/>
              </w:rPr>
            </w:pPr>
            <w:r>
              <w:rPr>
                <w:rFonts w:cs="Segoe UI"/>
              </w:rPr>
              <w:t>21.8</w:t>
            </w:r>
          </w:p>
        </w:tc>
        <w:tc>
          <w:tcPr>
            <w:tcW w:w="708" w:type="dxa"/>
          </w:tcPr>
          <w:p w14:paraId="26ABD3C0" w14:textId="77777777" w:rsidR="008B7DE8" w:rsidRPr="00CE60B2" w:rsidRDefault="008B7DE8" w:rsidP="008B7DE8">
            <w:pPr>
              <w:rPr>
                <w:rFonts w:cs="Segoe UI"/>
              </w:rPr>
            </w:pPr>
            <w:r>
              <w:rPr>
                <w:rFonts w:cs="Segoe UI"/>
              </w:rPr>
              <w:t>12.9</w:t>
            </w:r>
          </w:p>
        </w:tc>
      </w:tr>
      <w:tr w:rsidR="008B7DE8" w:rsidRPr="00CE60B2" w14:paraId="26ABD3CC" w14:textId="77777777" w:rsidTr="00176847">
        <w:trPr>
          <w:cantSplit/>
          <w:jc w:val="center"/>
        </w:trPr>
        <w:tc>
          <w:tcPr>
            <w:tcW w:w="3828" w:type="dxa"/>
          </w:tcPr>
          <w:p w14:paraId="26ABD3C2" w14:textId="77777777" w:rsidR="008B7DE8" w:rsidRPr="00CE60B2" w:rsidRDefault="008B7DE8" w:rsidP="008B7DE8">
            <w:pPr>
              <w:rPr>
                <w:rFonts w:cs="Segoe UI"/>
              </w:rPr>
            </w:pPr>
            <w:r>
              <w:rPr>
                <w:rFonts w:cs="Segoe UI"/>
              </w:rPr>
              <w:t>Wood product manufacturing ($ </w:t>
            </w:r>
            <w:r w:rsidRPr="00CE60B2">
              <w:rPr>
                <w:rFonts w:cs="Segoe UI"/>
              </w:rPr>
              <w:t>million)</w:t>
            </w:r>
          </w:p>
        </w:tc>
        <w:tc>
          <w:tcPr>
            <w:tcW w:w="709" w:type="dxa"/>
          </w:tcPr>
          <w:p w14:paraId="26ABD3C3" w14:textId="77777777" w:rsidR="008B7DE8" w:rsidRPr="00CE60B2" w:rsidRDefault="008B7DE8" w:rsidP="008B7DE8">
            <w:pPr>
              <w:rPr>
                <w:rFonts w:cs="Segoe UI"/>
              </w:rPr>
            </w:pPr>
            <w:r w:rsidRPr="00CE60B2">
              <w:rPr>
                <w:rFonts w:cs="Segoe UI"/>
              </w:rPr>
              <w:t>76.3</w:t>
            </w:r>
          </w:p>
        </w:tc>
        <w:tc>
          <w:tcPr>
            <w:tcW w:w="708" w:type="dxa"/>
          </w:tcPr>
          <w:p w14:paraId="26ABD3C4" w14:textId="77777777" w:rsidR="008B7DE8" w:rsidRPr="00CE60B2" w:rsidRDefault="008B7DE8" w:rsidP="008B7DE8">
            <w:pPr>
              <w:rPr>
                <w:rFonts w:cs="Segoe UI"/>
              </w:rPr>
            </w:pPr>
            <w:r w:rsidRPr="00CE60B2">
              <w:rPr>
                <w:rFonts w:cs="Segoe UI"/>
              </w:rPr>
              <w:t>55.2</w:t>
            </w:r>
          </w:p>
        </w:tc>
        <w:tc>
          <w:tcPr>
            <w:tcW w:w="708" w:type="dxa"/>
          </w:tcPr>
          <w:p w14:paraId="26ABD3C5" w14:textId="77777777" w:rsidR="008B7DE8" w:rsidRPr="00CE60B2" w:rsidRDefault="008B7DE8" w:rsidP="008B7DE8">
            <w:pPr>
              <w:rPr>
                <w:rFonts w:cs="Segoe UI"/>
              </w:rPr>
            </w:pPr>
            <w:r w:rsidRPr="00CE60B2">
              <w:rPr>
                <w:rFonts w:cs="Segoe UI"/>
              </w:rPr>
              <w:t>51.3</w:t>
            </w:r>
          </w:p>
        </w:tc>
        <w:tc>
          <w:tcPr>
            <w:tcW w:w="708" w:type="dxa"/>
          </w:tcPr>
          <w:p w14:paraId="26ABD3C6" w14:textId="77777777" w:rsidR="008B7DE8" w:rsidRPr="00CE60B2" w:rsidRDefault="008B7DE8" w:rsidP="008B7DE8">
            <w:pPr>
              <w:rPr>
                <w:rFonts w:cs="Segoe UI"/>
              </w:rPr>
            </w:pPr>
            <w:r w:rsidRPr="00CE60B2">
              <w:rPr>
                <w:rFonts w:cs="Segoe UI"/>
              </w:rPr>
              <w:t>57.1</w:t>
            </w:r>
          </w:p>
        </w:tc>
        <w:tc>
          <w:tcPr>
            <w:tcW w:w="708" w:type="dxa"/>
          </w:tcPr>
          <w:p w14:paraId="26ABD3C7" w14:textId="77777777" w:rsidR="008B7DE8" w:rsidRPr="00CE60B2" w:rsidRDefault="008B7DE8" w:rsidP="008B7DE8">
            <w:pPr>
              <w:rPr>
                <w:rFonts w:cs="Segoe UI"/>
              </w:rPr>
            </w:pPr>
            <w:r w:rsidRPr="00CE60B2">
              <w:rPr>
                <w:rFonts w:cs="Segoe UI"/>
              </w:rPr>
              <w:t>57.5</w:t>
            </w:r>
          </w:p>
        </w:tc>
        <w:tc>
          <w:tcPr>
            <w:tcW w:w="708" w:type="dxa"/>
          </w:tcPr>
          <w:p w14:paraId="26ABD3C8" w14:textId="77777777" w:rsidR="008B7DE8" w:rsidRDefault="008B7DE8" w:rsidP="008B7DE8">
            <w:pPr>
              <w:rPr>
                <w:rFonts w:cs="Segoe UI"/>
              </w:rPr>
            </w:pPr>
            <w:r w:rsidRPr="00CE60B2">
              <w:rPr>
                <w:rFonts w:cs="Segoe UI"/>
              </w:rPr>
              <w:t>62.4</w:t>
            </w:r>
          </w:p>
        </w:tc>
        <w:tc>
          <w:tcPr>
            <w:tcW w:w="708" w:type="dxa"/>
          </w:tcPr>
          <w:p w14:paraId="26ABD3C9" w14:textId="77777777" w:rsidR="008B7DE8" w:rsidRPr="00CE60B2" w:rsidRDefault="008B7DE8" w:rsidP="008B7DE8">
            <w:pPr>
              <w:rPr>
                <w:rFonts w:cs="Segoe UI"/>
              </w:rPr>
            </w:pPr>
            <w:r>
              <w:rPr>
                <w:rFonts w:cs="Segoe UI"/>
              </w:rPr>
              <w:t>38.2</w:t>
            </w:r>
          </w:p>
        </w:tc>
        <w:tc>
          <w:tcPr>
            <w:tcW w:w="708" w:type="dxa"/>
          </w:tcPr>
          <w:p w14:paraId="26ABD3CA" w14:textId="77777777" w:rsidR="008B7DE8" w:rsidRPr="00CE60B2" w:rsidRDefault="008B7DE8" w:rsidP="008B7DE8">
            <w:pPr>
              <w:rPr>
                <w:rFonts w:cs="Segoe UI"/>
              </w:rPr>
            </w:pPr>
            <w:r>
              <w:rPr>
                <w:rFonts w:cs="Segoe UI"/>
              </w:rPr>
              <w:t>20.8</w:t>
            </w:r>
            <w:r>
              <w:rPr>
                <w:rFonts w:cs="Segoe UI"/>
                <w:vertAlign w:val="superscript"/>
              </w:rPr>
              <w:t>a</w:t>
            </w:r>
          </w:p>
        </w:tc>
        <w:tc>
          <w:tcPr>
            <w:tcW w:w="708" w:type="dxa"/>
          </w:tcPr>
          <w:p w14:paraId="26ABD3CB" w14:textId="77777777" w:rsidR="008B7DE8" w:rsidRPr="00CE60B2" w:rsidRDefault="008B7DE8" w:rsidP="008B7DE8">
            <w:pPr>
              <w:rPr>
                <w:rFonts w:cs="Segoe UI"/>
              </w:rPr>
            </w:pPr>
            <w:r w:rsidRPr="00CE60B2">
              <w:rPr>
                <w:rFonts w:cs="Segoe UI"/>
              </w:rPr>
              <w:t>—</w:t>
            </w:r>
          </w:p>
        </w:tc>
      </w:tr>
      <w:tr w:rsidR="008B7DE8" w:rsidRPr="00CE60B2" w14:paraId="26ABD3D7" w14:textId="77777777" w:rsidTr="00176847">
        <w:trPr>
          <w:cantSplit/>
          <w:jc w:val="center"/>
        </w:trPr>
        <w:tc>
          <w:tcPr>
            <w:tcW w:w="3828" w:type="dxa"/>
          </w:tcPr>
          <w:p w14:paraId="26ABD3CD" w14:textId="77777777" w:rsidR="008B7DE8" w:rsidRPr="00CE60B2" w:rsidRDefault="008B7DE8" w:rsidP="008B7DE8">
            <w:pPr>
              <w:rPr>
                <w:rFonts w:cs="Segoe UI"/>
              </w:rPr>
            </w:pPr>
            <w:r w:rsidRPr="00CE60B2">
              <w:rPr>
                <w:rFonts w:cs="Segoe UI"/>
              </w:rPr>
              <w:t>Pulp, paper and converted paper product manufacturing ($ million)</w:t>
            </w:r>
          </w:p>
        </w:tc>
        <w:tc>
          <w:tcPr>
            <w:tcW w:w="709" w:type="dxa"/>
          </w:tcPr>
          <w:p w14:paraId="26ABD3CE" w14:textId="77777777" w:rsidR="008B7DE8" w:rsidRPr="00CE60B2" w:rsidRDefault="008B7DE8" w:rsidP="008B7DE8">
            <w:pPr>
              <w:rPr>
                <w:rFonts w:cs="Segoe UI"/>
              </w:rPr>
            </w:pPr>
            <w:r w:rsidRPr="00CE60B2">
              <w:rPr>
                <w:rFonts w:cs="Segoe UI"/>
              </w:rPr>
              <w:t>72.2</w:t>
            </w:r>
          </w:p>
        </w:tc>
        <w:tc>
          <w:tcPr>
            <w:tcW w:w="708" w:type="dxa"/>
          </w:tcPr>
          <w:p w14:paraId="26ABD3CF" w14:textId="77777777" w:rsidR="008B7DE8" w:rsidRPr="00CE60B2" w:rsidRDefault="008B7DE8" w:rsidP="008B7DE8">
            <w:pPr>
              <w:rPr>
                <w:rFonts w:cs="Segoe UI"/>
              </w:rPr>
            </w:pPr>
            <w:r w:rsidRPr="00CE60B2">
              <w:rPr>
                <w:rFonts w:cs="Segoe UI"/>
              </w:rPr>
              <w:t>70.7</w:t>
            </w:r>
          </w:p>
        </w:tc>
        <w:tc>
          <w:tcPr>
            <w:tcW w:w="708" w:type="dxa"/>
          </w:tcPr>
          <w:p w14:paraId="26ABD3D0" w14:textId="77777777" w:rsidR="008B7DE8" w:rsidRPr="00CE60B2" w:rsidRDefault="008B7DE8" w:rsidP="008B7DE8">
            <w:pPr>
              <w:rPr>
                <w:rFonts w:cs="Segoe UI"/>
              </w:rPr>
            </w:pPr>
            <w:r w:rsidRPr="00CE60B2">
              <w:rPr>
                <w:rFonts w:cs="Segoe UI"/>
              </w:rPr>
              <w:t>71.1</w:t>
            </w:r>
          </w:p>
        </w:tc>
        <w:tc>
          <w:tcPr>
            <w:tcW w:w="708" w:type="dxa"/>
          </w:tcPr>
          <w:p w14:paraId="26ABD3D1" w14:textId="77777777" w:rsidR="008B7DE8" w:rsidRPr="00CE60B2" w:rsidRDefault="008B7DE8" w:rsidP="008B7DE8">
            <w:pPr>
              <w:rPr>
                <w:rFonts w:cs="Segoe UI"/>
              </w:rPr>
            </w:pPr>
            <w:r w:rsidRPr="00CE60B2">
              <w:rPr>
                <w:rFonts w:cs="Segoe UI"/>
              </w:rPr>
              <w:t>53.8</w:t>
            </w:r>
          </w:p>
        </w:tc>
        <w:tc>
          <w:tcPr>
            <w:tcW w:w="708" w:type="dxa"/>
          </w:tcPr>
          <w:p w14:paraId="26ABD3D2" w14:textId="77777777" w:rsidR="008B7DE8" w:rsidRPr="00CE60B2" w:rsidRDefault="008B7DE8" w:rsidP="008B7DE8">
            <w:pPr>
              <w:rPr>
                <w:rFonts w:cs="Segoe UI"/>
              </w:rPr>
            </w:pPr>
            <w:r w:rsidRPr="00CE60B2">
              <w:rPr>
                <w:rFonts w:cs="Segoe UI"/>
              </w:rPr>
              <w:t>—</w:t>
            </w:r>
          </w:p>
        </w:tc>
        <w:tc>
          <w:tcPr>
            <w:tcW w:w="708" w:type="dxa"/>
          </w:tcPr>
          <w:p w14:paraId="26ABD3D3" w14:textId="77777777" w:rsidR="008B7DE8" w:rsidRDefault="008B7DE8" w:rsidP="008B7DE8">
            <w:pPr>
              <w:rPr>
                <w:rFonts w:cs="Segoe UI"/>
              </w:rPr>
            </w:pPr>
            <w:r w:rsidRPr="00CE60B2">
              <w:rPr>
                <w:rFonts w:cs="Segoe UI"/>
              </w:rPr>
              <w:t>—</w:t>
            </w:r>
          </w:p>
        </w:tc>
        <w:tc>
          <w:tcPr>
            <w:tcW w:w="708" w:type="dxa"/>
          </w:tcPr>
          <w:p w14:paraId="26ABD3D4" w14:textId="77777777" w:rsidR="008B7DE8" w:rsidRPr="00CE60B2" w:rsidRDefault="008B7DE8" w:rsidP="008B7DE8">
            <w:pPr>
              <w:rPr>
                <w:rFonts w:cs="Segoe UI"/>
              </w:rPr>
            </w:pPr>
            <w:r>
              <w:rPr>
                <w:rFonts w:cs="Segoe UI"/>
              </w:rPr>
              <w:t>48.3</w:t>
            </w:r>
          </w:p>
        </w:tc>
        <w:tc>
          <w:tcPr>
            <w:tcW w:w="708" w:type="dxa"/>
          </w:tcPr>
          <w:p w14:paraId="26ABD3D5" w14:textId="77777777" w:rsidR="008B7DE8" w:rsidRPr="00CE60B2" w:rsidRDefault="008B7DE8" w:rsidP="008B7DE8">
            <w:pPr>
              <w:rPr>
                <w:rFonts w:cs="Segoe UI"/>
              </w:rPr>
            </w:pPr>
            <w:r>
              <w:rPr>
                <w:rFonts w:cs="Segoe UI"/>
              </w:rPr>
              <w:t>43.3</w:t>
            </w:r>
          </w:p>
        </w:tc>
        <w:tc>
          <w:tcPr>
            <w:tcW w:w="708" w:type="dxa"/>
          </w:tcPr>
          <w:p w14:paraId="26ABD3D6" w14:textId="77777777" w:rsidR="008B7DE8" w:rsidRPr="00CE60B2" w:rsidRDefault="008B7DE8" w:rsidP="008B7DE8">
            <w:pPr>
              <w:rPr>
                <w:rFonts w:cs="Segoe UI"/>
              </w:rPr>
            </w:pPr>
            <w:r>
              <w:rPr>
                <w:rFonts w:cs="Segoe UI"/>
              </w:rPr>
              <w:t>70.1</w:t>
            </w:r>
          </w:p>
        </w:tc>
      </w:tr>
      <w:tr w:rsidR="008B7DE8" w:rsidRPr="00CE60B2" w14:paraId="26ABD3E2" w14:textId="77777777" w:rsidTr="00176847">
        <w:trPr>
          <w:cantSplit/>
          <w:jc w:val="center"/>
        </w:trPr>
        <w:tc>
          <w:tcPr>
            <w:tcW w:w="3828" w:type="dxa"/>
          </w:tcPr>
          <w:p w14:paraId="26ABD3D8" w14:textId="77777777" w:rsidR="008B7DE8" w:rsidRPr="00CE60B2" w:rsidRDefault="008B7DE8" w:rsidP="008B7DE8">
            <w:pPr>
              <w:rPr>
                <w:rFonts w:cs="Segoe UI"/>
              </w:rPr>
            </w:pPr>
            <w:r w:rsidRPr="00CE60B2">
              <w:rPr>
                <w:rFonts w:cs="Segoe UI"/>
              </w:rPr>
              <w:t>Total research expenditure in forestry ($ million)</w:t>
            </w:r>
          </w:p>
        </w:tc>
        <w:tc>
          <w:tcPr>
            <w:tcW w:w="709" w:type="dxa"/>
          </w:tcPr>
          <w:p w14:paraId="26ABD3D9" w14:textId="77777777" w:rsidR="008B7DE8" w:rsidRPr="00CE60B2" w:rsidRDefault="008B7DE8" w:rsidP="008B7DE8">
            <w:pPr>
              <w:rPr>
                <w:rFonts w:cs="Segoe UI"/>
              </w:rPr>
            </w:pPr>
            <w:r w:rsidRPr="00CE60B2">
              <w:rPr>
                <w:rFonts w:cs="Segoe UI"/>
              </w:rPr>
              <w:t>164</w:t>
            </w:r>
          </w:p>
        </w:tc>
        <w:tc>
          <w:tcPr>
            <w:tcW w:w="708" w:type="dxa"/>
          </w:tcPr>
          <w:p w14:paraId="26ABD3DA" w14:textId="77777777" w:rsidR="008B7DE8" w:rsidRPr="00CE60B2" w:rsidRDefault="008B7DE8" w:rsidP="008B7DE8">
            <w:pPr>
              <w:rPr>
                <w:rFonts w:cs="Segoe UI"/>
              </w:rPr>
            </w:pPr>
            <w:r w:rsidRPr="00CE60B2">
              <w:rPr>
                <w:rFonts w:cs="Segoe UI"/>
              </w:rPr>
              <w:t>146</w:t>
            </w:r>
          </w:p>
        </w:tc>
        <w:tc>
          <w:tcPr>
            <w:tcW w:w="708" w:type="dxa"/>
          </w:tcPr>
          <w:p w14:paraId="26ABD3DB" w14:textId="77777777" w:rsidR="008B7DE8" w:rsidRPr="00CE60B2" w:rsidRDefault="008B7DE8" w:rsidP="008B7DE8">
            <w:pPr>
              <w:rPr>
                <w:rFonts w:cs="Segoe UI"/>
              </w:rPr>
            </w:pPr>
            <w:r w:rsidRPr="00CE60B2">
              <w:rPr>
                <w:rFonts w:cs="Segoe UI"/>
              </w:rPr>
              <w:t>144</w:t>
            </w:r>
          </w:p>
        </w:tc>
        <w:tc>
          <w:tcPr>
            <w:tcW w:w="708" w:type="dxa"/>
          </w:tcPr>
          <w:p w14:paraId="26ABD3DC" w14:textId="77777777" w:rsidR="008B7DE8" w:rsidRPr="00CE60B2" w:rsidRDefault="008B7DE8" w:rsidP="008B7DE8">
            <w:pPr>
              <w:rPr>
                <w:rFonts w:cs="Segoe UI"/>
              </w:rPr>
            </w:pPr>
            <w:r w:rsidRPr="00CE60B2">
              <w:rPr>
                <w:rFonts w:cs="Segoe UI"/>
              </w:rPr>
              <w:t>137</w:t>
            </w:r>
          </w:p>
        </w:tc>
        <w:tc>
          <w:tcPr>
            <w:tcW w:w="708" w:type="dxa"/>
          </w:tcPr>
          <w:p w14:paraId="26ABD3DD" w14:textId="77777777" w:rsidR="008B7DE8" w:rsidRPr="00CE60B2" w:rsidRDefault="008B7DE8" w:rsidP="008B7DE8">
            <w:pPr>
              <w:rPr>
                <w:rFonts w:cs="Segoe UI"/>
              </w:rPr>
            </w:pPr>
            <w:r w:rsidRPr="00CE60B2">
              <w:rPr>
                <w:rFonts w:cs="Segoe UI"/>
              </w:rPr>
              <w:t>—</w:t>
            </w:r>
          </w:p>
        </w:tc>
        <w:tc>
          <w:tcPr>
            <w:tcW w:w="708" w:type="dxa"/>
          </w:tcPr>
          <w:p w14:paraId="26ABD3DE" w14:textId="77777777" w:rsidR="008B7DE8" w:rsidRDefault="008B7DE8" w:rsidP="008B7DE8">
            <w:pPr>
              <w:rPr>
                <w:rFonts w:cs="Segoe UI"/>
              </w:rPr>
            </w:pPr>
            <w:r w:rsidRPr="00CE60B2">
              <w:rPr>
                <w:rFonts w:cs="Segoe UI"/>
              </w:rPr>
              <w:t>—</w:t>
            </w:r>
          </w:p>
        </w:tc>
        <w:tc>
          <w:tcPr>
            <w:tcW w:w="708" w:type="dxa"/>
          </w:tcPr>
          <w:p w14:paraId="26ABD3DF" w14:textId="77777777" w:rsidR="008B7DE8" w:rsidRPr="00CE60B2" w:rsidRDefault="008B7DE8" w:rsidP="008B7DE8">
            <w:pPr>
              <w:rPr>
                <w:rFonts w:cs="Segoe UI"/>
              </w:rPr>
            </w:pPr>
            <w:r>
              <w:rPr>
                <w:rFonts w:cs="Segoe UI"/>
              </w:rPr>
              <w:t>112.3</w:t>
            </w:r>
          </w:p>
        </w:tc>
        <w:tc>
          <w:tcPr>
            <w:tcW w:w="708" w:type="dxa"/>
          </w:tcPr>
          <w:p w14:paraId="26ABD3E0" w14:textId="77777777" w:rsidR="008B7DE8" w:rsidRPr="00CE60B2" w:rsidRDefault="008B7DE8" w:rsidP="008B7DE8">
            <w:pPr>
              <w:rPr>
                <w:rFonts w:cs="Segoe UI"/>
              </w:rPr>
            </w:pPr>
            <w:r>
              <w:rPr>
                <w:rFonts w:cs="Segoe UI"/>
              </w:rPr>
              <w:t>85.9</w:t>
            </w:r>
          </w:p>
        </w:tc>
        <w:tc>
          <w:tcPr>
            <w:tcW w:w="708" w:type="dxa"/>
          </w:tcPr>
          <w:p w14:paraId="26ABD3E1" w14:textId="77777777" w:rsidR="008B7DE8" w:rsidRPr="00CE60B2" w:rsidRDefault="008B7DE8" w:rsidP="008B7DE8">
            <w:pPr>
              <w:rPr>
                <w:rFonts w:cs="Segoe UI"/>
              </w:rPr>
            </w:pPr>
            <w:r w:rsidRPr="00CE60B2">
              <w:rPr>
                <w:rFonts w:cs="Segoe UI"/>
              </w:rPr>
              <w:t>—</w:t>
            </w:r>
          </w:p>
        </w:tc>
      </w:tr>
      <w:tr w:rsidR="008B7DE8" w:rsidRPr="00CE60B2" w14:paraId="26ABD3ED" w14:textId="77777777" w:rsidTr="00176847">
        <w:trPr>
          <w:cantSplit/>
          <w:jc w:val="center"/>
        </w:trPr>
        <w:tc>
          <w:tcPr>
            <w:tcW w:w="3828" w:type="dxa"/>
          </w:tcPr>
          <w:p w14:paraId="26ABD3E3" w14:textId="77777777" w:rsidR="008B7DE8" w:rsidRPr="00CE60B2" w:rsidRDefault="008B7DE8" w:rsidP="008B7DE8">
            <w:pPr>
              <w:rPr>
                <w:rFonts w:cs="Segoe UI"/>
              </w:rPr>
            </w:pPr>
            <w:r w:rsidRPr="00CE60B2">
              <w:rPr>
                <w:rFonts w:cs="Segoe UI"/>
              </w:rPr>
              <w:t>Total business expenditure in Australia ($ million)</w:t>
            </w:r>
          </w:p>
        </w:tc>
        <w:tc>
          <w:tcPr>
            <w:tcW w:w="709" w:type="dxa"/>
          </w:tcPr>
          <w:p w14:paraId="26ABD3E4" w14:textId="77777777" w:rsidR="008B7DE8" w:rsidRPr="00CE60B2" w:rsidRDefault="008B7DE8" w:rsidP="008B7DE8">
            <w:pPr>
              <w:rPr>
                <w:rFonts w:cs="Segoe UI"/>
              </w:rPr>
            </w:pPr>
            <w:r w:rsidRPr="00CE60B2">
              <w:rPr>
                <w:rFonts w:cs="Segoe UI"/>
              </w:rPr>
              <w:t>10,434</w:t>
            </w:r>
          </w:p>
        </w:tc>
        <w:tc>
          <w:tcPr>
            <w:tcW w:w="708" w:type="dxa"/>
          </w:tcPr>
          <w:p w14:paraId="26ABD3E5" w14:textId="77777777" w:rsidR="008B7DE8" w:rsidRPr="00CE60B2" w:rsidRDefault="008B7DE8" w:rsidP="008B7DE8">
            <w:pPr>
              <w:rPr>
                <w:rFonts w:cs="Segoe UI"/>
              </w:rPr>
            </w:pPr>
            <w:r w:rsidRPr="00CE60B2">
              <w:rPr>
                <w:rFonts w:cs="Segoe UI"/>
              </w:rPr>
              <w:t>12,639</w:t>
            </w:r>
          </w:p>
        </w:tc>
        <w:tc>
          <w:tcPr>
            <w:tcW w:w="708" w:type="dxa"/>
          </w:tcPr>
          <w:p w14:paraId="26ABD3E6" w14:textId="77777777" w:rsidR="008B7DE8" w:rsidRPr="00CE60B2" w:rsidRDefault="008B7DE8" w:rsidP="008B7DE8">
            <w:pPr>
              <w:rPr>
                <w:rFonts w:cs="Segoe UI"/>
              </w:rPr>
            </w:pPr>
            <w:r w:rsidRPr="00CE60B2">
              <w:rPr>
                <w:rFonts w:cs="Segoe UI"/>
              </w:rPr>
              <w:t>15,047</w:t>
            </w:r>
          </w:p>
        </w:tc>
        <w:tc>
          <w:tcPr>
            <w:tcW w:w="708" w:type="dxa"/>
          </w:tcPr>
          <w:p w14:paraId="26ABD3E7" w14:textId="77777777" w:rsidR="008B7DE8" w:rsidRPr="00CE60B2" w:rsidRDefault="008B7DE8" w:rsidP="008B7DE8">
            <w:pPr>
              <w:rPr>
                <w:rFonts w:cs="Segoe UI"/>
              </w:rPr>
            </w:pPr>
            <w:r w:rsidRPr="00CE60B2">
              <w:rPr>
                <w:rFonts w:cs="Segoe UI"/>
              </w:rPr>
              <w:t>17,264</w:t>
            </w:r>
          </w:p>
        </w:tc>
        <w:tc>
          <w:tcPr>
            <w:tcW w:w="708" w:type="dxa"/>
          </w:tcPr>
          <w:p w14:paraId="26ABD3E8" w14:textId="77777777" w:rsidR="008B7DE8" w:rsidRPr="00CE60B2" w:rsidRDefault="008B7DE8" w:rsidP="008B7DE8">
            <w:pPr>
              <w:rPr>
                <w:rFonts w:cs="Segoe UI"/>
              </w:rPr>
            </w:pPr>
            <w:r w:rsidRPr="00CE60B2">
              <w:rPr>
                <w:rFonts w:cs="Segoe UI"/>
              </w:rPr>
              <w:t>16,685</w:t>
            </w:r>
          </w:p>
        </w:tc>
        <w:tc>
          <w:tcPr>
            <w:tcW w:w="708" w:type="dxa"/>
          </w:tcPr>
          <w:p w14:paraId="26ABD3E9" w14:textId="77777777" w:rsidR="008B7DE8" w:rsidRPr="00CE60B2" w:rsidRDefault="008B7DE8" w:rsidP="008B7DE8">
            <w:pPr>
              <w:rPr>
                <w:rFonts w:cs="Segoe UI"/>
              </w:rPr>
            </w:pPr>
            <w:r w:rsidRPr="00CE60B2">
              <w:rPr>
                <w:rFonts w:cs="Segoe UI"/>
              </w:rPr>
              <w:t>17,880</w:t>
            </w:r>
          </w:p>
        </w:tc>
        <w:tc>
          <w:tcPr>
            <w:tcW w:w="708" w:type="dxa"/>
          </w:tcPr>
          <w:p w14:paraId="26ABD3EA" w14:textId="77777777" w:rsidR="008B7DE8" w:rsidRPr="00CE60B2" w:rsidRDefault="008B7DE8" w:rsidP="008B7DE8">
            <w:pPr>
              <w:rPr>
                <w:rFonts w:cs="Segoe UI"/>
              </w:rPr>
            </w:pPr>
            <w:r w:rsidRPr="00CE60B2">
              <w:rPr>
                <w:rFonts w:cs="Segoe UI"/>
              </w:rPr>
              <w:t>—</w:t>
            </w:r>
          </w:p>
        </w:tc>
        <w:tc>
          <w:tcPr>
            <w:tcW w:w="708" w:type="dxa"/>
          </w:tcPr>
          <w:p w14:paraId="26ABD3EB" w14:textId="77777777" w:rsidR="008B7DE8" w:rsidRPr="00CE60B2" w:rsidRDefault="008B7DE8" w:rsidP="008B7DE8">
            <w:pPr>
              <w:rPr>
                <w:rFonts w:cs="Segoe UI"/>
              </w:rPr>
            </w:pPr>
            <w:r w:rsidRPr="00CE60B2">
              <w:rPr>
                <w:rFonts w:cs="Segoe UI"/>
              </w:rPr>
              <w:t>—</w:t>
            </w:r>
          </w:p>
        </w:tc>
        <w:tc>
          <w:tcPr>
            <w:tcW w:w="708" w:type="dxa"/>
          </w:tcPr>
          <w:p w14:paraId="26ABD3EC" w14:textId="77777777" w:rsidR="008B7DE8" w:rsidRPr="00CE60B2" w:rsidRDefault="008B7DE8" w:rsidP="008B7DE8">
            <w:pPr>
              <w:rPr>
                <w:rFonts w:cs="Segoe UI"/>
              </w:rPr>
            </w:pPr>
            <w:r w:rsidRPr="00CE60B2">
              <w:rPr>
                <w:rFonts w:cs="Segoe UI"/>
              </w:rPr>
              <w:t>—</w:t>
            </w:r>
          </w:p>
        </w:tc>
      </w:tr>
      <w:tr w:rsidR="008B7DE8" w:rsidRPr="00CE60B2" w14:paraId="26ABD3F8" w14:textId="77777777" w:rsidTr="00176847">
        <w:trPr>
          <w:cantSplit/>
          <w:jc w:val="center"/>
        </w:trPr>
        <w:tc>
          <w:tcPr>
            <w:tcW w:w="3828" w:type="dxa"/>
          </w:tcPr>
          <w:p w14:paraId="26ABD3EE" w14:textId="77777777" w:rsidR="008B7DE8" w:rsidRPr="00CE60B2" w:rsidRDefault="008B7DE8" w:rsidP="008B7DE8">
            <w:pPr>
              <w:rPr>
                <w:rFonts w:cs="Segoe UI"/>
              </w:rPr>
            </w:pPr>
            <w:r w:rsidRPr="00CE60B2">
              <w:rPr>
                <w:rFonts w:cs="Segoe UI"/>
              </w:rPr>
              <w:t>Proportion of expenditure that is forestry expenditure (%)</w:t>
            </w:r>
          </w:p>
        </w:tc>
        <w:tc>
          <w:tcPr>
            <w:tcW w:w="709" w:type="dxa"/>
          </w:tcPr>
          <w:p w14:paraId="26ABD3EF" w14:textId="77777777" w:rsidR="008B7DE8" w:rsidRPr="00CE60B2" w:rsidRDefault="008B7DE8" w:rsidP="008B7DE8">
            <w:pPr>
              <w:rPr>
                <w:rFonts w:cs="Segoe UI"/>
              </w:rPr>
            </w:pPr>
            <w:r w:rsidRPr="00CE60B2">
              <w:rPr>
                <w:rFonts w:cs="Segoe UI"/>
              </w:rPr>
              <w:t>1.6</w:t>
            </w:r>
          </w:p>
        </w:tc>
        <w:tc>
          <w:tcPr>
            <w:tcW w:w="708" w:type="dxa"/>
          </w:tcPr>
          <w:p w14:paraId="26ABD3F0" w14:textId="77777777" w:rsidR="008B7DE8" w:rsidRPr="00CE60B2" w:rsidRDefault="008B7DE8" w:rsidP="008B7DE8">
            <w:pPr>
              <w:rPr>
                <w:rFonts w:cs="Segoe UI"/>
              </w:rPr>
            </w:pPr>
            <w:r w:rsidRPr="00CE60B2">
              <w:rPr>
                <w:rFonts w:cs="Segoe UI"/>
              </w:rPr>
              <w:t>1.2</w:t>
            </w:r>
          </w:p>
        </w:tc>
        <w:tc>
          <w:tcPr>
            <w:tcW w:w="708" w:type="dxa"/>
          </w:tcPr>
          <w:p w14:paraId="26ABD3F1" w14:textId="77777777" w:rsidR="008B7DE8" w:rsidRPr="00CE60B2" w:rsidRDefault="008B7DE8" w:rsidP="008B7DE8">
            <w:pPr>
              <w:rPr>
                <w:rFonts w:cs="Segoe UI"/>
              </w:rPr>
            </w:pPr>
            <w:r w:rsidRPr="00CE60B2">
              <w:rPr>
                <w:rFonts w:cs="Segoe UI"/>
              </w:rPr>
              <w:t>1.0</w:t>
            </w:r>
          </w:p>
        </w:tc>
        <w:tc>
          <w:tcPr>
            <w:tcW w:w="708" w:type="dxa"/>
          </w:tcPr>
          <w:p w14:paraId="26ABD3F2" w14:textId="77777777" w:rsidR="008B7DE8" w:rsidRPr="00CE60B2" w:rsidRDefault="008B7DE8" w:rsidP="008B7DE8">
            <w:pPr>
              <w:rPr>
                <w:rFonts w:cs="Segoe UI"/>
              </w:rPr>
            </w:pPr>
            <w:r w:rsidRPr="00CE60B2">
              <w:rPr>
                <w:rFonts w:cs="Segoe UI"/>
              </w:rPr>
              <w:t>0.8</w:t>
            </w:r>
          </w:p>
        </w:tc>
        <w:tc>
          <w:tcPr>
            <w:tcW w:w="708" w:type="dxa"/>
          </w:tcPr>
          <w:p w14:paraId="26ABD3F3" w14:textId="77777777" w:rsidR="008B7DE8" w:rsidRPr="00CE60B2" w:rsidRDefault="008B7DE8" w:rsidP="008B7DE8">
            <w:pPr>
              <w:rPr>
                <w:rFonts w:cs="Segoe UI"/>
              </w:rPr>
            </w:pPr>
            <w:r w:rsidRPr="00CE60B2">
              <w:rPr>
                <w:rFonts w:cs="Segoe UI"/>
              </w:rPr>
              <w:t>—</w:t>
            </w:r>
          </w:p>
        </w:tc>
        <w:tc>
          <w:tcPr>
            <w:tcW w:w="708" w:type="dxa"/>
          </w:tcPr>
          <w:p w14:paraId="26ABD3F4" w14:textId="77777777" w:rsidR="008B7DE8" w:rsidRPr="00CE60B2" w:rsidRDefault="008B7DE8" w:rsidP="008B7DE8">
            <w:pPr>
              <w:rPr>
                <w:rFonts w:cs="Segoe UI"/>
              </w:rPr>
            </w:pPr>
            <w:r w:rsidRPr="00CE60B2">
              <w:rPr>
                <w:rFonts w:cs="Segoe UI"/>
              </w:rPr>
              <w:t>—</w:t>
            </w:r>
          </w:p>
        </w:tc>
        <w:tc>
          <w:tcPr>
            <w:tcW w:w="708" w:type="dxa"/>
          </w:tcPr>
          <w:p w14:paraId="26ABD3F5" w14:textId="77777777" w:rsidR="008B7DE8" w:rsidRPr="00CE60B2" w:rsidRDefault="008B7DE8" w:rsidP="008B7DE8">
            <w:pPr>
              <w:rPr>
                <w:rFonts w:cs="Segoe UI"/>
              </w:rPr>
            </w:pPr>
            <w:r w:rsidRPr="00CE60B2">
              <w:rPr>
                <w:rFonts w:cs="Segoe UI"/>
              </w:rPr>
              <w:t>—</w:t>
            </w:r>
          </w:p>
        </w:tc>
        <w:tc>
          <w:tcPr>
            <w:tcW w:w="708" w:type="dxa"/>
          </w:tcPr>
          <w:p w14:paraId="26ABD3F6" w14:textId="77777777" w:rsidR="008B7DE8" w:rsidRPr="00CE60B2" w:rsidRDefault="008B7DE8" w:rsidP="008B7DE8">
            <w:pPr>
              <w:rPr>
                <w:rFonts w:cs="Segoe UI"/>
              </w:rPr>
            </w:pPr>
            <w:r w:rsidRPr="00CE60B2">
              <w:rPr>
                <w:rFonts w:cs="Segoe UI"/>
              </w:rPr>
              <w:t>—</w:t>
            </w:r>
          </w:p>
        </w:tc>
        <w:tc>
          <w:tcPr>
            <w:tcW w:w="708" w:type="dxa"/>
          </w:tcPr>
          <w:p w14:paraId="26ABD3F7" w14:textId="77777777" w:rsidR="008B7DE8" w:rsidRPr="00CE60B2" w:rsidRDefault="008B7DE8" w:rsidP="008B7DE8">
            <w:pPr>
              <w:rPr>
                <w:rFonts w:cs="Segoe UI"/>
              </w:rPr>
            </w:pPr>
            <w:r w:rsidRPr="00CE60B2">
              <w:rPr>
                <w:rFonts w:cs="Segoe UI"/>
              </w:rPr>
              <w:t>—</w:t>
            </w:r>
          </w:p>
        </w:tc>
      </w:tr>
    </w:tbl>
    <w:p w14:paraId="26ABD3F9" w14:textId="77777777" w:rsidR="00E40B48" w:rsidRPr="00CE60B2" w:rsidRDefault="00E40B48" w:rsidP="00E40B48">
      <w:pPr>
        <w:pStyle w:val="Footnote"/>
        <w:rPr>
          <w:rFonts w:ascii="Segoe UI" w:hAnsi="Segoe UI" w:cs="Segoe UI"/>
        </w:rPr>
      </w:pPr>
      <w:r w:rsidRPr="00CE60B2">
        <w:rPr>
          <w:rFonts w:ascii="Segoe UI" w:hAnsi="Segoe UI" w:cs="Segoe UI"/>
        </w:rPr>
        <w:t>— = not available</w:t>
      </w:r>
    </w:p>
    <w:p w14:paraId="26ABD3FA" w14:textId="77777777" w:rsidR="00E40B48" w:rsidRDefault="00E40B48" w:rsidP="00E40B48">
      <w:pPr>
        <w:pStyle w:val="Footnote"/>
        <w:rPr>
          <w:rFonts w:ascii="Segoe UI" w:hAnsi="Segoe UI" w:cs="Segoe UI"/>
        </w:rPr>
      </w:pPr>
      <w:r w:rsidRPr="00CE60B2">
        <w:rPr>
          <w:rFonts w:ascii="Segoe UI" w:hAnsi="Segoe UI" w:cs="Segoe UI"/>
        </w:rPr>
        <w:t>Note: Totals may not tally due to rounding.</w:t>
      </w:r>
    </w:p>
    <w:p w14:paraId="26ABD3FB" w14:textId="77777777" w:rsidR="008B7DE8" w:rsidRPr="008B7DE8" w:rsidRDefault="008B7DE8" w:rsidP="008B7DE8">
      <w:pPr>
        <w:pStyle w:val="Footnote"/>
        <w:rPr>
          <w:rFonts w:ascii="Segoe UI" w:hAnsi="Segoe UI" w:cs="Segoe UI"/>
        </w:rPr>
      </w:pPr>
      <w:r w:rsidRPr="008B7DE8">
        <w:rPr>
          <w:rFonts w:ascii="Segoe UI" w:hAnsi="Segoe UI" w:cs="Segoe UI"/>
        </w:rPr>
        <w:t xml:space="preserve">Data from the ABS ‘Survey of R&amp;D, Businesses’ as compiled for </w:t>
      </w:r>
      <w:r w:rsidRPr="008B7DE8">
        <w:rPr>
          <w:rFonts w:ascii="Segoe UI" w:hAnsi="Segoe UI" w:cs="Segoe UI"/>
          <w:i/>
          <w:iCs/>
        </w:rPr>
        <w:t xml:space="preserve">Australia’s State of the Forests Report 2018 </w:t>
      </w:r>
      <w:r w:rsidRPr="008B7DE8">
        <w:rPr>
          <w:rFonts w:ascii="Segoe UI" w:hAnsi="Segoe UI" w:cs="Segoe UI"/>
        </w:rPr>
        <w:t>(in preparation).and ABARES, 2013</w:t>
      </w:r>
    </w:p>
    <w:p w14:paraId="26ABD3FC" w14:textId="77777777" w:rsidR="008B7DE8" w:rsidRPr="008B7DE8" w:rsidRDefault="008B7DE8" w:rsidP="008B7DE8">
      <w:pPr>
        <w:pStyle w:val="Footnote"/>
        <w:rPr>
          <w:rFonts w:ascii="Segoe UI" w:hAnsi="Segoe UI" w:cs="Segoe UI"/>
        </w:rPr>
      </w:pPr>
      <w:r w:rsidRPr="008B7DE8">
        <w:rPr>
          <w:rFonts w:ascii="Segoe UI" w:hAnsi="Segoe UI" w:cs="Segoe UI"/>
        </w:rPr>
        <w:t>The ABS survey is a biennial survey, with the change to the collection frequency from annual to biennial being made after the 2011–12 survey. Data on research and development on wood product manufacturing is not requested in every survey, and only partial data on R&amp;D expenditure are available from the ABS for some years.</w:t>
      </w:r>
    </w:p>
    <w:p w14:paraId="26ABD3FD" w14:textId="77777777" w:rsidR="008B7DE8" w:rsidRPr="008B7DE8" w:rsidRDefault="008B7DE8" w:rsidP="008B7DE8">
      <w:pPr>
        <w:pStyle w:val="Footnote"/>
        <w:rPr>
          <w:rFonts w:ascii="Segoe UI" w:hAnsi="Segoe UI" w:cs="Segoe UI"/>
        </w:rPr>
      </w:pPr>
      <w:r w:rsidRPr="008B7DE8">
        <w:rPr>
          <w:rFonts w:ascii="Segoe UI" w:hAnsi="Segoe UI" w:cs="Segoe UI"/>
          <w:vertAlign w:val="superscript"/>
        </w:rPr>
        <w:t>a</w:t>
      </w:r>
      <w:r w:rsidRPr="008B7DE8">
        <w:rPr>
          <w:rFonts w:ascii="Segoe UI" w:hAnsi="Segoe UI" w:cs="Segoe UI"/>
        </w:rPr>
        <w:t xml:space="preserve"> This value is reported by ABS to have a relative standard error of 25–50% and thus to be used with caution.</w:t>
      </w:r>
    </w:p>
    <w:p w14:paraId="26ABD3FE" w14:textId="77777777" w:rsidR="00E40B48" w:rsidRPr="00CE60B2" w:rsidRDefault="00151FD4" w:rsidP="00E40B48">
      <w:pPr>
        <w:rPr>
          <w:rFonts w:cs="Segoe UI"/>
          <w:highlight w:val="yellow"/>
        </w:rPr>
      </w:pPr>
      <w:r>
        <w:rPr>
          <w:rFonts w:cs="Segoe UI"/>
        </w:rPr>
        <w:lastRenderedPageBreak/>
        <w:t xml:space="preserve">National trends in research and development expenditure for the forest and wood product sectors are presented in Table 30. </w:t>
      </w:r>
      <w:r w:rsidR="00E40B48" w:rsidRPr="00CE60B2">
        <w:rPr>
          <w:rFonts w:cs="Segoe UI"/>
        </w:rPr>
        <w:t xml:space="preserve">The FPC continues to seek investment and access to markets for other bole volume, new technologies and processes to reduce production costs, and undertake trials of suitability for various engineered wood products. </w:t>
      </w:r>
    </w:p>
    <w:p w14:paraId="26ABD3FF" w14:textId="77777777" w:rsidR="00E40B48" w:rsidRPr="00CE60B2" w:rsidRDefault="00151FD4" w:rsidP="00E40B48">
      <w:pPr>
        <w:rPr>
          <w:rFonts w:cs="Segoe UI"/>
        </w:rPr>
      </w:pPr>
      <w:r>
        <w:rPr>
          <w:rFonts w:cs="Segoe UI"/>
        </w:rPr>
        <w:t>In recent years there has been</w:t>
      </w:r>
      <w:r w:rsidR="00E40B48" w:rsidRPr="00CE60B2">
        <w:rPr>
          <w:rFonts w:cs="Segoe UI"/>
        </w:rPr>
        <w:t xml:space="preserve"> significant local industry investment </w:t>
      </w:r>
      <w:r>
        <w:rPr>
          <w:rFonts w:cs="Segoe UI"/>
        </w:rPr>
        <w:t>to</w:t>
      </w:r>
      <w:r w:rsidR="00E40B48" w:rsidRPr="00CE60B2">
        <w:rPr>
          <w:rFonts w:cs="Segoe UI"/>
        </w:rPr>
        <w:t xml:space="preserve"> improv</w:t>
      </w:r>
      <w:r>
        <w:rPr>
          <w:rFonts w:cs="Segoe UI"/>
        </w:rPr>
        <w:t>e</w:t>
      </w:r>
      <w:r w:rsidR="00E40B48" w:rsidRPr="00CE60B2">
        <w:rPr>
          <w:rFonts w:cs="Segoe UI"/>
        </w:rPr>
        <w:t xml:space="preserve"> efficiency and </w:t>
      </w:r>
      <w:r>
        <w:rPr>
          <w:rFonts w:cs="Segoe UI"/>
        </w:rPr>
        <w:t xml:space="preserve">introduce </w:t>
      </w:r>
      <w:r w:rsidR="00E40B48" w:rsidRPr="00CE60B2">
        <w:rPr>
          <w:rFonts w:cs="Segoe UI"/>
        </w:rPr>
        <w:t>new technologies, including the 2016 consolidation of Auswest’s sawmills at the Greenbushes site. Auswest recommiss</w:t>
      </w:r>
      <w:r>
        <w:rPr>
          <w:rFonts w:cs="Segoe UI"/>
        </w:rPr>
        <w:t>ed</w:t>
      </w:r>
      <w:r w:rsidR="00E40B48" w:rsidRPr="00CE60B2">
        <w:rPr>
          <w:rFonts w:cs="Segoe UI"/>
        </w:rPr>
        <w:t xml:space="preserve"> the small log line, buil</w:t>
      </w:r>
      <w:r w:rsidR="0037763B">
        <w:rPr>
          <w:rFonts w:cs="Segoe UI"/>
        </w:rPr>
        <w:t>t</w:t>
      </w:r>
      <w:r w:rsidR="00E40B48" w:rsidRPr="00CE60B2">
        <w:rPr>
          <w:rFonts w:cs="Segoe UI"/>
        </w:rPr>
        <w:t xml:space="preserve"> a new large log line and install</w:t>
      </w:r>
      <w:r w:rsidR="0037763B">
        <w:rPr>
          <w:rFonts w:cs="Segoe UI"/>
        </w:rPr>
        <w:t>ed</w:t>
      </w:r>
      <w:r w:rsidR="00E40B48" w:rsidRPr="00CE60B2">
        <w:rPr>
          <w:rFonts w:cs="Segoe UI"/>
        </w:rPr>
        <w:t xml:space="preserve"> a multi-sensor </w:t>
      </w:r>
      <w:r w:rsidR="0037763B">
        <w:rPr>
          <w:rFonts w:cs="Segoe UI"/>
        </w:rPr>
        <w:t xml:space="preserve">log </w:t>
      </w:r>
      <w:r w:rsidR="00E40B48" w:rsidRPr="00CE60B2">
        <w:rPr>
          <w:rFonts w:cs="Segoe UI"/>
        </w:rPr>
        <w:t xml:space="preserve">scanner to improve </w:t>
      </w:r>
      <w:r w:rsidR="0037763B">
        <w:rPr>
          <w:rFonts w:cs="Segoe UI"/>
        </w:rPr>
        <w:t xml:space="preserve">sawn </w:t>
      </w:r>
      <w:r w:rsidR="00E40B48" w:rsidRPr="00CE60B2">
        <w:rPr>
          <w:rFonts w:cs="Segoe UI"/>
        </w:rPr>
        <w:t>recovery rates, processing speed and value. This technology, while commonplace in the softwood industry, is reported to be the first of its kind to be used in native forest timber mills in Australia.</w:t>
      </w:r>
    </w:p>
    <w:p w14:paraId="26ABD400" w14:textId="77777777" w:rsidR="00E40B48" w:rsidRPr="00CE60B2" w:rsidRDefault="00E40B48" w:rsidP="00E40B48">
      <w:pPr>
        <w:rPr>
          <w:rFonts w:cs="Segoe UI"/>
        </w:rPr>
      </w:pPr>
      <w:r w:rsidRPr="00CE60B2">
        <w:rPr>
          <w:rFonts w:cs="Segoe UI"/>
        </w:rPr>
        <w:t>Harvesting contractors continued to invest by updating harvesting and transport equipment to ensure efficiency and state</w:t>
      </w:r>
      <w:r w:rsidR="0037763B">
        <w:rPr>
          <w:rFonts w:cs="Segoe UI"/>
        </w:rPr>
        <w:t>-</w:t>
      </w:r>
      <w:r w:rsidRPr="00CE60B2">
        <w:rPr>
          <w:rFonts w:cs="Segoe UI"/>
        </w:rPr>
        <w:t>of</w:t>
      </w:r>
      <w:r w:rsidR="0037763B">
        <w:rPr>
          <w:rFonts w:cs="Segoe UI"/>
        </w:rPr>
        <w:t>-</w:t>
      </w:r>
      <w:r w:rsidRPr="00CE60B2">
        <w:rPr>
          <w:rFonts w:cs="Segoe UI"/>
        </w:rPr>
        <w:t>the</w:t>
      </w:r>
      <w:r w:rsidR="0037763B">
        <w:rPr>
          <w:rFonts w:cs="Segoe UI"/>
        </w:rPr>
        <w:t>-</w:t>
      </w:r>
      <w:r w:rsidRPr="00CE60B2">
        <w:rPr>
          <w:rFonts w:cs="Segoe UI"/>
        </w:rPr>
        <w:t>art optimising technology. With each piece of equipment estimated to cost on average $5</w:t>
      </w:r>
      <w:r w:rsidR="00D161CA">
        <w:rPr>
          <w:rFonts w:cs="Segoe UI"/>
        </w:rPr>
        <w:t>00,000</w:t>
      </w:r>
      <w:r w:rsidR="006001A8">
        <w:rPr>
          <w:rFonts w:cs="Segoe UI"/>
        </w:rPr>
        <w:noBreakHyphen/>
      </w:r>
      <w:r w:rsidR="00D161CA">
        <w:rPr>
          <w:rFonts w:cs="Segoe UI"/>
        </w:rPr>
        <w:t>$</w:t>
      </w:r>
      <w:r w:rsidRPr="00CE60B2">
        <w:rPr>
          <w:rFonts w:cs="Segoe UI"/>
        </w:rPr>
        <w:t>600,000 the industry annually spends ~$3</w:t>
      </w:r>
      <w:r w:rsidR="00C024C3">
        <w:rPr>
          <w:rFonts w:cs="Segoe UI"/>
        </w:rPr>
        <w:noBreakHyphen/>
      </w:r>
      <w:r w:rsidRPr="00CE60B2">
        <w:rPr>
          <w:rFonts w:cs="Segoe UI"/>
        </w:rPr>
        <w:t>4</w:t>
      </w:r>
      <w:r w:rsidR="00C024C3">
        <w:rPr>
          <w:rFonts w:cs="Segoe UI"/>
        </w:rPr>
        <w:t> </w:t>
      </w:r>
      <w:r w:rsidRPr="00CE60B2">
        <w:rPr>
          <w:rFonts w:cs="Segoe UI"/>
        </w:rPr>
        <w:t>million on equipment purchases and maintenance.</w:t>
      </w:r>
    </w:p>
    <w:p w14:paraId="26ABD401" w14:textId="77777777" w:rsidR="00E40B48" w:rsidRPr="00CE60B2" w:rsidRDefault="00E40B48" w:rsidP="00E40B48">
      <w:pPr>
        <w:rPr>
          <w:rFonts w:cs="Segoe UI"/>
        </w:rPr>
      </w:pPr>
      <w:r w:rsidRPr="00CE60B2">
        <w:rPr>
          <w:rFonts w:cs="Segoe UI"/>
        </w:rPr>
        <w:t>The FPC and DBCA continue to support and encourage private forestry initiatives through participation in workshops and field days, and providing information and practical, on-ground assistance to farmers on integrated farm planning, species selection, plantation establishment and silviculture.</w:t>
      </w:r>
    </w:p>
    <w:p w14:paraId="26ABD402" w14:textId="77777777" w:rsidR="00E40B48" w:rsidRPr="00CE60B2" w:rsidRDefault="002E191A" w:rsidP="000F6020">
      <w:pPr>
        <w:pStyle w:val="Heading4"/>
        <w:rPr>
          <w:rFonts w:cs="Segoe UI"/>
        </w:rPr>
      </w:pPr>
      <w:r>
        <w:rPr>
          <w:rFonts w:cs="Segoe UI"/>
        </w:rPr>
        <w:t>Trends in Research and Development</w:t>
      </w:r>
    </w:p>
    <w:p w14:paraId="26ABD403" w14:textId="77777777" w:rsidR="00E40B48" w:rsidRPr="00CE60B2" w:rsidRDefault="00E40B48" w:rsidP="00E40B48">
      <w:pPr>
        <w:spacing w:before="0" w:after="0"/>
        <w:rPr>
          <w:rFonts w:cs="Segoe UI"/>
        </w:rPr>
      </w:pPr>
      <w:r w:rsidRPr="00CE60B2">
        <w:rPr>
          <w:rFonts w:cs="Segoe UI"/>
        </w:rPr>
        <w:t xml:space="preserve">A significant amount of forest ecology research was undertaken prior to the signing of the WA RFA as part of the CRA process, covering specific forest flora, fauna and impacts on forest </w:t>
      </w:r>
      <w:r w:rsidR="004021CB">
        <w:rPr>
          <w:rFonts w:cs="Segoe UI"/>
        </w:rPr>
        <w:t>condition of</w:t>
      </w:r>
      <w:r w:rsidRPr="00CE60B2">
        <w:rPr>
          <w:rFonts w:cs="Segoe UI"/>
        </w:rPr>
        <w:t xml:space="preserve"> fire and climate change. </w:t>
      </w:r>
    </w:p>
    <w:p w14:paraId="26ABD404" w14:textId="77777777" w:rsidR="00E40B48" w:rsidRPr="00CE60B2" w:rsidRDefault="00E40B48" w:rsidP="00E40B48">
      <w:pPr>
        <w:rPr>
          <w:rFonts w:cs="Segoe UI"/>
        </w:rPr>
      </w:pPr>
      <w:r w:rsidRPr="00CE60B2">
        <w:rPr>
          <w:rFonts w:cs="Segoe UI"/>
        </w:rPr>
        <w:t xml:space="preserve">The </w:t>
      </w:r>
      <w:r w:rsidR="004B7E24">
        <w:rPr>
          <w:rFonts w:cs="Segoe UI"/>
        </w:rPr>
        <w:t>WA </w:t>
      </w:r>
      <w:r w:rsidRPr="00CE60B2">
        <w:rPr>
          <w:rFonts w:cs="Segoe UI"/>
        </w:rPr>
        <w:t>RFA (Appendix 11) identified that the major priorit</w:t>
      </w:r>
      <w:r w:rsidR="004021CB">
        <w:rPr>
          <w:rFonts w:cs="Segoe UI"/>
        </w:rPr>
        <w:t>ies at that time for</w:t>
      </w:r>
      <w:r w:rsidRPr="00CE60B2">
        <w:rPr>
          <w:rFonts w:cs="Segoe UI"/>
        </w:rPr>
        <w:t xml:space="preserve"> future research in WA would be:</w:t>
      </w:r>
    </w:p>
    <w:p w14:paraId="26ABD405" w14:textId="3912B349" w:rsidR="00E40B48" w:rsidRPr="00CE60B2" w:rsidRDefault="00E40B48" w:rsidP="00C903EE">
      <w:pPr>
        <w:pStyle w:val="ListParagraph"/>
        <w:numPr>
          <w:ilvl w:val="0"/>
          <w:numId w:val="31"/>
        </w:numPr>
        <w:ind w:left="567"/>
        <w:rPr>
          <w:rFonts w:cs="Segoe UI"/>
        </w:rPr>
      </w:pPr>
      <w:bookmarkStart w:id="161" w:name="_Hlk525290285"/>
      <w:r w:rsidRPr="00CE60B2">
        <w:rPr>
          <w:rFonts w:cs="Segoe UI"/>
        </w:rPr>
        <w:t>description and documentation of biological diversity</w:t>
      </w:r>
      <w:bookmarkEnd w:id="161"/>
    </w:p>
    <w:p w14:paraId="26ABD406" w14:textId="4CC645E0" w:rsidR="00E40B48" w:rsidRPr="00CE60B2" w:rsidRDefault="00E40B48" w:rsidP="00C903EE">
      <w:pPr>
        <w:pStyle w:val="ListParagraph"/>
        <w:numPr>
          <w:ilvl w:val="0"/>
          <w:numId w:val="31"/>
        </w:numPr>
        <w:ind w:left="567"/>
        <w:rPr>
          <w:rFonts w:cs="Segoe UI"/>
        </w:rPr>
      </w:pPr>
      <w:r w:rsidRPr="00CE60B2">
        <w:rPr>
          <w:rFonts w:cs="Segoe UI"/>
        </w:rPr>
        <w:t>protection and conservation of biodiversity</w:t>
      </w:r>
    </w:p>
    <w:p w14:paraId="26ABD407" w14:textId="627A8D32" w:rsidR="00E40B48" w:rsidRPr="00CE60B2" w:rsidRDefault="00E40B48" w:rsidP="00C903EE">
      <w:pPr>
        <w:pStyle w:val="ListParagraph"/>
        <w:numPr>
          <w:ilvl w:val="0"/>
          <w:numId w:val="31"/>
        </w:numPr>
        <w:ind w:left="567"/>
        <w:rPr>
          <w:rFonts w:cs="Segoe UI"/>
        </w:rPr>
      </w:pPr>
      <w:r w:rsidRPr="00CE60B2">
        <w:rPr>
          <w:rFonts w:cs="Segoe UI"/>
        </w:rPr>
        <w:t>sustainable utilisation of natural resources</w:t>
      </w:r>
    </w:p>
    <w:p w14:paraId="26ABD408" w14:textId="77777777" w:rsidR="00E40B48" w:rsidRPr="00CE60B2" w:rsidRDefault="00E40B48" w:rsidP="00C903EE">
      <w:pPr>
        <w:pStyle w:val="ListParagraph"/>
        <w:numPr>
          <w:ilvl w:val="0"/>
          <w:numId w:val="31"/>
        </w:numPr>
        <w:ind w:left="567"/>
        <w:rPr>
          <w:rFonts w:cs="Segoe UI"/>
        </w:rPr>
      </w:pPr>
      <w:r w:rsidRPr="00CE60B2">
        <w:rPr>
          <w:rFonts w:cs="Segoe UI"/>
        </w:rPr>
        <w:t>the development of tree crops as integral, multiple purpose components of sustainable land management systems.</w:t>
      </w:r>
    </w:p>
    <w:p w14:paraId="26ABD409" w14:textId="77777777" w:rsidR="00E40B48" w:rsidRPr="00CE60B2" w:rsidRDefault="00E40B48" w:rsidP="00E40B48">
      <w:pPr>
        <w:rPr>
          <w:rFonts w:cs="Segoe UI"/>
        </w:rPr>
      </w:pPr>
      <w:r w:rsidRPr="00CE60B2">
        <w:rPr>
          <w:rFonts w:cs="Segoe UI"/>
        </w:rPr>
        <w:t>Research priorit</w:t>
      </w:r>
      <w:r w:rsidR="006001A8">
        <w:rPr>
          <w:rFonts w:cs="Segoe UI"/>
        </w:rPr>
        <w:t>ies since the signing of the WA </w:t>
      </w:r>
      <w:r w:rsidRPr="00CE60B2">
        <w:rPr>
          <w:rFonts w:cs="Segoe UI"/>
        </w:rPr>
        <w:t xml:space="preserve">RFA have been articulated for native forests in </w:t>
      </w:r>
      <w:r w:rsidR="0070699E">
        <w:rPr>
          <w:rFonts w:cs="Segoe UI"/>
        </w:rPr>
        <w:t>FMP</w:t>
      </w:r>
      <w:r w:rsidRPr="00CE60B2">
        <w:rPr>
          <w:rFonts w:cs="Segoe UI"/>
        </w:rPr>
        <w:t>s</w:t>
      </w:r>
      <w:r w:rsidR="0070699E">
        <w:rPr>
          <w:rFonts w:cs="Segoe UI"/>
        </w:rPr>
        <w:t> </w:t>
      </w:r>
      <w:r w:rsidRPr="00CE60B2">
        <w:rPr>
          <w:rFonts w:cs="Segoe UI"/>
        </w:rPr>
        <w:t>2004-13 and 2014-23, and have remained broadly consistent with the priorities identified in the RFA. Priority research areas have included monitoring of the effects of timber harvesting and silvicultural treatments on fauna and flora, description and documentation of biological diversity through survey and monitoring programs, research into the behaviour and ecological effects of fire, and hydrological studies to quantify changes in streamflow and groundwater associated with timber harvesting and a drying climate.</w:t>
      </w:r>
    </w:p>
    <w:p w14:paraId="26ABD40A" w14:textId="77777777" w:rsidR="00E40B48" w:rsidRPr="00CE60B2" w:rsidRDefault="00E40B48" w:rsidP="00E40B48">
      <w:pPr>
        <w:rPr>
          <w:rFonts w:cs="Segoe UI"/>
        </w:rPr>
      </w:pPr>
      <w:r w:rsidRPr="00CE60B2">
        <w:rPr>
          <w:rFonts w:cs="Segoe UI"/>
        </w:rPr>
        <w:t xml:space="preserve">Research has been managed through a series of science strategic plans that have been updated periodically to reflect changes in agency structural arrangements and resourcing levels. Accountability is provided through annual reporting of activities and outcomes at the </w:t>
      </w:r>
      <w:r w:rsidRPr="00CE60B2">
        <w:rPr>
          <w:rFonts w:cs="Segoe UI"/>
        </w:rPr>
        <w:lastRenderedPageBreak/>
        <w:t>individual project level</w:t>
      </w:r>
      <w:r w:rsidR="00D161CA">
        <w:rPr>
          <w:rStyle w:val="FootnoteReference"/>
          <w:rFonts w:cs="Segoe UI"/>
        </w:rPr>
        <w:footnoteReference w:id="10"/>
      </w:r>
      <w:r w:rsidRPr="00CE60B2">
        <w:rPr>
          <w:rFonts w:cs="Segoe UI"/>
        </w:rPr>
        <w:t xml:space="preserve">. Incorporation of tree crops as integral, multiple purpose components of sustainable land management systems was addressed through the WA Government State Salinity Strategy (2000) which directed research and management actions in targeted natural diversity recovery </w:t>
      </w:r>
      <w:r w:rsidR="004D1E59" w:rsidRPr="00CE60B2">
        <w:rPr>
          <w:rFonts w:cs="Segoe UI"/>
        </w:rPr>
        <w:t>catchments</w:t>
      </w:r>
      <w:r w:rsidRPr="00CE60B2">
        <w:rPr>
          <w:rFonts w:cs="Segoe UI"/>
        </w:rPr>
        <w:t xml:space="preserve"> and water resource recovery catchments. </w:t>
      </w:r>
    </w:p>
    <w:p w14:paraId="26ABD40B" w14:textId="77777777" w:rsidR="00E40B48" w:rsidRPr="00CE60B2" w:rsidRDefault="00E40B48" w:rsidP="00E40B48">
      <w:pPr>
        <w:rPr>
          <w:rFonts w:cs="Segoe UI"/>
        </w:rPr>
      </w:pPr>
      <w:r w:rsidRPr="00CE60B2">
        <w:rPr>
          <w:rFonts w:cs="Segoe UI"/>
        </w:rPr>
        <w:t xml:space="preserve">Forest and Wood Products Australia (FWPA) was established in 2007 as </w:t>
      </w:r>
      <w:r w:rsidR="00B1496B" w:rsidRPr="00D17F63">
        <w:rPr>
          <w:rFonts w:cs="Segoe UI"/>
        </w:rPr>
        <w:t xml:space="preserve">a not-for-profit </w:t>
      </w:r>
      <w:r w:rsidR="00B00709">
        <w:rPr>
          <w:rFonts w:cs="Segoe UI"/>
        </w:rPr>
        <w:t xml:space="preserve">industry services </w:t>
      </w:r>
      <w:r w:rsidR="00B1496B" w:rsidRPr="00D17F63">
        <w:rPr>
          <w:rFonts w:cs="Segoe UI"/>
        </w:rPr>
        <w:t>company</w:t>
      </w:r>
      <w:r w:rsidR="00B00709">
        <w:rPr>
          <w:rFonts w:cs="Segoe UI"/>
        </w:rPr>
        <w:t xml:space="preserve"> (rural development company)</w:t>
      </w:r>
      <w:r w:rsidR="00B1496B" w:rsidRPr="00D17F63">
        <w:rPr>
          <w:rFonts w:cs="Segoe UI"/>
        </w:rPr>
        <w:t xml:space="preserve"> that provides national, integrated research and development services to the Australian forest and wood products industry</w:t>
      </w:r>
      <w:r w:rsidR="00B1496B">
        <w:rPr>
          <w:rFonts w:cs="Segoe UI"/>
        </w:rPr>
        <w:t xml:space="preserve">. </w:t>
      </w:r>
      <w:r w:rsidRPr="00CE60B2">
        <w:rPr>
          <w:rFonts w:cs="Segoe UI"/>
        </w:rPr>
        <w:t xml:space="preserve"> </w:t>
      </w:r>
      <w:r w:rsidR="00B1496B">
        <w:rPr>
          <w:rFonts w:cs="Segoe UI"/>
        </w:rPr>
        <w:t xml:space="preserve">It replaced </w:t>
      </w:r>
      <w:r w:rsidRPr="00CE60B2">
        <w:rPr>
          <w:rFonts w:cs="Segoe UI"/>
        </w:rPr>
        <w:t>the Forest and Wood Products Research and Development Corporation. FWPA promotes joint</w:t>
      </w:r>
      <w:r w:rsidR="0001141B">
        <w:rPr>
          <w:rFonts w:cs="Segoe UI"/>
        </w:rPr>
        <w:t xml:space="preserve"> research and development</w:t>
      </w:r>
      <w:r w:rsidRPr="00CE60B2">
        <w:rPr>
          <w:rFonts w:cs="Segoe UI"/>
        </w:rPr>
        <w:t xml:space="preserve"> </w:t>
      </w:r>
      <w:r w:rsidR="0001141B">
        <w:rPr>
          <w:rFonts w:cs="Segoe UI"/>
        </w:rPr>
        <w:t>(</w:t>
      </w:r>
      <w:r w:rsidRPr="00CE60B2">
        <w:rPr>
          <w:rFonts w:cs="Segoe UI"/>
        </w:rPr>
        <w:t>R&amp;D</w:t>
      </w:r>
      <w:r w:rsidR="0001141B">
        <w:rPr>
          <w:rFonts w:cs="Segoe UI"/>
        </w:rPr>
        <w:t>)</w:t>
      </w:r>
      <w:r w:rsidRPr="00CE60B2">
        <w:rPr>
          <w:rFonts w:cs="Segoe UI"/>
        </w:rPr>
        <w:t xml:space="preserve"> projects, which continue to be a feature of R&amp;D activity. The forest and wood products forum in 2014–15 initiated a process of strategy development designed to ensure that R&amp;</w:t>
      </w:r>
      <w:r w:rsidR="00C8078D">
        <w:rPr>
          <w:rFonts w:cs="Segoe UI"/>
        </w:rPr>
        <w:t>D</w:t>
      </w:r>
      <w:r w:rsidRPr="00CE60B2">
        <w:rPr>
          <w:rFonts w:cs="Segoe UI"/>
        </w:rPr>
        <w:t xml:space="preserve"> meets the future needs of the forest and wood products sector and the Australian public. WA was a core partner in the development of many of these strategies. They were compiled on the basis of extensive stakeholder consultation with representatives of the forest and wood products sector, government, and the providers and funders of forest and wood product R&amp;D. Industry levies are matched by a Commonwealth contribution and are allocated by FWPA to R&amp;D priorities for industry development. </w:t>
      </w:r>
    </w:p>
    <w:p w14:paraId="26ABD40C" w14:textId="77777777" w:rsidR="00E40B48" w:rsidRPr="00CE60B2" w:rsidRDefault="00E40B48" w:rsidP="00E40B48">
      <w:pPr>
        <w:rPr>
          <w:rFonts w:cs="Segoe UI"/>
        </w:rPr>
      </w:pPr>
      <w:r w:rsidRPr="00CE60B2">
        <w:rPr>
          <w:rFonts w:cs="Segoe UI"/>
        </w:rPr>
        <w:t xml:space="preserve">In addition to these developments, the </w:t>
      </w:r>
      <w:r w:rsidR="00C02DFA">
        <w:rPr>
          <w:rFonts w:cs="Segoe UI"/>
        </w:rPr>
        <w:t>Cooperative Research Centres (</w:t>
      </w:r>
      <w:r w:rsidRPr="00CE60B2">
        <w:rPr>
          <w:rFonts w:cs="Segoe UI"/>
        </w:rPr>
        <w:t>CRC</w:t>
      </w:r>
      <w:r w:rsidR="00C02DFA">
        <w:rPr>
          <w:rFonts w:cs="Segoe UI"/>
        </w:rPr>
        <w:t>)</w:t>
      </w:r>
      <w:r w:rsidRPr="00CE60B2">
        <w:rPr>
          <w:rFonts w:cs="Segoe UI"/>
        </w:rPr>
        <w:t xml:space="preserve"> for Forestry began operating in late 2005, following the conclusion of operations of the CRC for Sustainable Production Forestry (1997</w:t>
      </w:r>
      <w:r w:rsidR="00F27B4D">
        <w:rPr>
          <w:rFonts w:cs="Segoe UI"/>
        </w:rPr>
        <w:noBreakHyphen/>
      </w:r>
      <w:r w:rsidRPr="00CE60B2">
        <w:rPr>
          <w:rFonts w:cs="Segoe UI"/>
        </w:rPr>
        <w:t xml:space="preserve">2005). </w:t>
      </w:r>
    </w:p>
    <w:p w14:paraId="26ABD40D" w14:textId="77777777" w:rsidR="00E40B48" w:rsidRPr="00CE60B2" w:rsidRDefault="00E40B48" w:rsidP="00E40B48">
      <w:pPr>
        <w:rPr>
          <w:rFonts w:cs="Segoe UI"/>
        </w:rPr>
      </w:pPr>
      <w:r w:rsidRPr="00CE60B2">
        <w:rPr>
          <w:rFonts w:cs="Segoe UI"/>
        </w:rPr>
        <w:t>Resource allocation for conservation forest science research priorities is generally funded by state-based agencies with specific and targeted interests</w:t>
      </w:r>
    </w:p>
    <w:p w14:paraId="26ABD40E" w14:textId="77777777" w:rsidR="00E40B48" w:rsidRPr="00CE60B2" w:rsidRDefault="00E40B48" w:rsidP="00E40B48">
      <w:pPr>
        <w:rPr>
          <w:rFonts w:cs="Segoe UI"/>
        </w:rPr>
      </w:pPr>
      <w:r w:rsidRPr="00CE60B2">
        <w:rPr>
          <w:rFonts w:cs="Segoe UI"/>
        </w:rPr>
        <w:t xml:space="preserve">There were investments in new processing technologies and consolidation of operations to improve operational efficiencies of the wood products industry, and employment and social benefits that flow from this. </w:t>
      </w:r>
    </w:p>
    <w:p w14:paraId="26ABD40F" w14:textId="77777777" w:rsidR="00E40B48" w:rsidRPr="00CE60B2" w:rsidRDefault="00E40B48" w:rsidP="00E40B48">
      <w:pPr>
        <w:rPr>
          <w:rFonts w:cs="Segoe UI"/>
        </w:rPr>
      </w:pPr>
      <w:r w:rsidRPr="00CE60B2">
        <w:rPr>
          <w:rFonts w:cs="Segoe UI"/>
        </w:rPr>
        <w:t>The genetics program undertaken by the FPC, in collaboration with the Southern Tree Breeding Association, is the major breeding program for radiata pine (</w:t>
      </w:r>
      <w:r w:rsidRPr="00B00709">
        <w:rPr>
          <w:rFonts w:cs="Segoe UI"/>
          <w:i/>
        </w:rPr>
        <w:t>Pinus</w:t>
      </w:r>
      <w:r w:rsidR="006001A8">
        <w:rPr>
          <w:rFonts w:cs="Segoe UI"/>
          <w:i/>
        </w:rPr>
        <w:t> </w:t>
      </w:r>
      <w:r w:rsidRPr="00B00709">
        <w:rPr>
          <w:rFonts w:cs="Segoe UI"/>
          <w:i/>
        </w:rPr>
        <w:t>radiata</w:t>
      </w:r>
      <w:r w:rsidRPr="00CE60B2">
        <w:rPr>
          <w:rFonts w:cs="Segoe UI"/>
        </w:rPr>
        <w:t>). The FPC’s commercial nursery at Manjimup comprises 226</w:t>
      </w:r>
      <w:r w:rsidR="006001A8">
        <w:rPr>
          <w:rFonts w:cs="Segoe UI"/>
        </w:rPr>
        <w:t> </w:t>
      </w:r>
      <w:r w:rsidRPr="00CE60B2">
        <w:rPr>
          <w:rFonts w:cs="Segoe UI"/>
        </w:rPr>
        <w:t>h</w:t>
      </w:r>
      <w:r w:rsidR="004021CB">
        <w:rPr>
          <w:rFonts w:cs="Segoe UI"/>
        </w:rPr>
        <w:t>ectares</w:t>
      </w:r>
      <w:r w:rsidRPr="00CE60B2">
        <w:rPr>
          <w:rFonts w:cs="Segoe UI"/>
        </w:rPr>
        <w:t xml:space="preserve"> and is capabl</w:t>
      </w:r>
      <w:r w:rsidR="006001A8">
        <w:rPr>
          <w:rFonts w:cs="Segoe UI"/>
        </w:rPr>
        <w:t>e of producing approximately 45 </w:t>
      </w:r>
      <w:r w:rsidRPr="00CE60B2">
        <w:rPr>
          <w:rFonts w:cs="Segoe UI"/>
        </w:rPr>
        <w:t>million seedlings and cuttings each year. The nursery manages the:</w:t>
      </w:r>
    </w:p>
    <w:p w14:paraId="26ABD410" w14:textId="1E34C458" w:rsidR="00E40B48" w:rsidRPr="00CE60B2" w:rsidRDefault="00E40B48" w:rsidP="00C903EE">
      <w:pPr>
        <w:numPr>
          <w:ilvl w:val="1"/>
          <w:numId w:val="49"/>
        </w:numPr>
        <w:spacing w:before="0" w:after="0"/>
        <w:ind w:left="567" w:hanging="357"/>
        <w:rPr>
          <w:rFonts w:cs="Segoe UI"/>
        </w:rPr>
      </w:pPr>
      <w:r w:rsidRPr="00CE60B2">
        <w:rPr>
          <w:rFonts w:cs="Segoe UI"/>
        </w:rPr>
        <w:t>genetic improvement program for radiata pine</w:t>
      </w:r>
    </w:p>
    <w:p w14:paraId="26ABD411" w14:textId="6B47665E" w:rsidR="00E40B48" w:rsidRPr="00CE60B2" w:rsidRDefault="00E40B48" w:rsidP="00C903EE">
      <w:pPr>
        <w:numPr>
          <w:ilvl w:val="1"/>
          <w:numId w:val="49"/>
        </w:numPr>
        <w:spacing w:before="0" w:after="0"/>
        <w:ind w:left="567" w:hanging="357"/>
        <w:rPr>
          <w:rFonts w:cs="Segoe UI"/>
        </w:rPr>
      </w:pPr>
      <w:r w:rsidRPr="00CE60B2">
        <w:rPr>
          <w:rFonts w:cs="Segoe UI"/>
        </w:rPr>
        <w:t>deployment of improved genetics for the FPC’s plantations program</w:t>
      </w:r>
    </w:p>
    <w:p w14:paraId="26ABD412" w14:textId="351EAE34" w:rsidR="00E40B48" w:rsidRPr="00CE60B2" w:rsidRDefault="00E40B48" w:rsidP="00C903EE">
      <w:pPr>
        <w:numPr>
          <w:ilvl w:val="1"/>
          <w:numId w:val="49"/>
        </w:numPr>
        <w:spacing w:before="0" w:after="0"/>
        <w:ind w:left="567" w:hanging="357"/>
        <w:rPr>
          <w:rFonts w:cs="Segoe UI"/>
        </w:rPr>
      </w:pPr>
      <w:r w:rsidRPr="00CE60B2">
        <w:rPr>
          <w:rFonts w:cs="Segoe UI"/>
        </w:rPr>
        <w:t>commercial production and sale of tree seedlings for native and plantation forests</w:t>
      </w:r>
    </w:p>
    <w:p w14:paraId="26ABD413" w14:textId="77777777" w:rsidR="00E40B48" w:rsidRPr="00CE60B2" w:rsidRDefault="00E40B48" w:rsidP="00C903EE">
      <w:pPr>
        <w:numPr>
          <w:ilvl w:val="1"/>
          <w:numId w:val="49"/>
        </w:numPr>
        <w:spacing w:before="0" w:after="0"/>
        <w:ind w:left="567" w:hanging="357"/>
        <w:rPr>
          <w:rFonts w:cs="Segoe UI"/>
        </w:rPr>
      </w:pPr>
      <w:r w:rsidRPr="00CE60B2">
        <w:rPr>
          <w:rFonts w:cs="Segoe UI"/>
        </w:rPr>
        <w:t>sale and deployment of native and genetically improved seed (dieback resistant, salt tolerant, low rainfall dependency).</w:t>
      </w:r>
    </w:p>
    <w:p w14:paraId="26ABD414" w14:textId="77777777" w:rsidR="00E40B48" w:rsidRPr="00CE60B2" w:rsidRDefault="00E40B48" w:rsidP="00E40B48">
      <w:pPr>
        <w:rPr>
          <w:rFonts w:cs="Segoe UI"/>
          <w:b/>
          <w:lang w:eastAsia="ja-JP"/>
        </w:rPr>
      </w:pPr>
      <w:r w:rsidRPr="00CE60B2">
        <w:rPr>
          <w:rFonts w:cs="Segoe UI"/>
          <w:b/>
          <w:lang w:eastAsia="ja-JP"/>
        </w:rPr>
        <w:t>Investment by the FPC and industry</w:t>
      </w:r>
    </w:p>
    <w:p w14:paraId="26ABD415" w14:textId="77777777" w:rsidR="00E40B48" w:rsidRPr="00CE60B2" w:rsidRDefault="00E40B48" w:rsidP="00E40B48">
      <w:pPr>
        <w:rPr>
          <w:rFonts w:cs="Segoe UI"/>
        </w:rPr>
      </w:pPr>
      <w:r w:rsidRPr="00CE60B2">
        <w:rPr>
          <w:rFonts w:cs="Segoe UI"/>
        </w:rPr>
        <w:t>Existing businesses have invested in upgrading facilities to improve operational efficiencies. This includes investment in chipping technology to recover lower grade timber and improve sawing technology for logs with sweep. Trials into peeling of regrowth karri and jarrah have also been conducted, resulting in one customer routinely using karri in laminated veneer lumber.</w:t>
      </w:r>
    </w:p>
    <w:p w14:paraId="26ABD416" w14:textId="77777777" w:rsidR="00E40B48" w:rsidRPr="00CE60B2" w:rsidRDefault="00E40B48" w:rsidP="00E40B48">
      <w:pPr>
        <w:rPr>
          <w:rFonts w:cs="Segoe UI"/>
        </w:rPr>
      </w:pPr>
      <w:r w:rsidRPr="00CE60B2">
        <w:rPr>
          <w:rFonts w:cs="Segoe UI"/>
        </w:rPr>
        <w:lastRenderedPageBreak/>
        <w:t xml:space="preserve">The FPC continues to work on enhancing opportunities for further growth and development of wood-based industries and regional communities. The focus with industry groups is </w:t>
      </w:r>
      <w:r w:rsidR="004D1E59" w:rsidRPr="00CE60B2">
        <w:rPr>
          <w:rFonts w:cs="Segoe UI"/>
        </w:rPr>
        <w:t>to achieve</w:t>
      </w:r>
      <w:r w:rsidRPr="00CE60B2">
        <w:rPr>
          <w:rFonts w:cs="Segoe UI"/>
        </w:rPr>
        <w:t xml:space="preserve"> greater value from the wood available through optimising harvesting and primary conversion processes. A reduction in the size and quality of logs sourced from some native forest areas has stimulated work on maximising the recovery of products within logs through improved selection and segregation in the field, distribution logistics and enhancements to harvest planning processes.</w:t>
      </w:r>
    </w:p>
    <w:p w14:paraId="26ABD417" w14:textId="77777777" w:rsidR="00E40B48" w:rsidRPr="00CE60B2" w:rsidRDefault="00E40B48" w:rsidP="00E40B48">
      <w:pPr>
        <w:rPr>
          <w:rFonts w:cs="Segoe UI"/>
        </w:rPr>
      </w:pPr>
      <w:r w:rsidRPr="00CE60B2">
        <w:rPr>
          <w:rFonts w:cs="Segoe UI"/>
        </w:rPr>
        <w:t xml:space="preserve">The FPC has also contributed to associations involved with research across Australia such as </w:t>
      </w:r>
      <w:r w:rsidR="00F27B4D">
        <w:rPr>
          <w:rFonts w:cs="Segoe UI"/>
        </w:rPr>
        <w:t>FWPA</w:t>
      </w:r>
      <w:r w:rsidRPr="00CE60B2">
        <w:rPr>
          <w:rFonts w:cs="Segoe UI"/>
        </w:rPr>
        <w:t xml:space="preserve"> including programs to optimise transport, assess wood quality and utilise lower grade resource. The FPC is also a member of the Forest Industry Federation of Western Australia, </w:t>
      </w:r>
      <w:r w:rsidR="00F27B4D">
        <w:rPr>
          <w:rFonts w:cs="Segoe UI"/>
        </w:rPr>
        <w:t>FWPA</w:t>
      </w:r>
      <w:r w:rsidRPr="00CE60B2">
        <w:rPr>
          <w:rFonts w:cs="Segoe UI"/>
        </w:rPr>
        <w:t xml:space="preserve"> and the Australian Forest Products Association.</w:t>
      </w:r>
    </w:p>
    <w:p w14:paraId="26ABD418" w14:textId="77777777" w:rsidR="00DB510B" w:rsidRPr="00CE60B2" w:rsidRDefault="00DB510B" w:rsidP="000F6020">
      <w:pPr>
        <w:pStyle w:val="Heading3"/>
        <w:rPr>
          <w:lang w:eastAsia="en-AU"/>
        </w:rPr>
      </w:pPr>
      <w:bookmarkStart w:id="162" w:name="_Toc2776062"/>
      <w:r w:rsidRPr="00CE60B2">
        <w:rPr>
          <w:lang w:eastAsia="en-AU"/>
        </w:rPr>
        <w:t xml:space="preserve">Summary </w:t>
      </w:r>
      <w:r w:rsidR="00DB1016" w:rsidRPr="00CE60B2">
        <w:rPr>
          <w:lang w:eastAsia="en-AU"/>
        </w:rPr>
        <w:t>and</w:t>
      </w:r>
      <w:r w:rsidRPr="00CE60B2">
        <w:rPr>
          <w:lang w:eastAsia="en-AU"/>
        </w:rPr>
        <w:t xml:space="preserve"> future management of economic values</w:t>
      </w:r>
      <w:bookmarkEnd w:id="160"/>
      <w:bookmarkEnd w:id="162"/>
    </w:p>
    <w:p w14:paraId="26ABD419" w14:textId="77777777" w:rsidR="009C117A" w:rsidRDefault="009C117A" w:rsidP="009C117A">
      <w:pPr>
        <w:rPr>
          <w:lang w:eastAsia="ja-JP"/>
        </w:rPr>
      </w:pPr>
      <w:r w:rsidRPr="00B864BC">
        <w:rPr>
          <w:rFonts w:eastAsia="SimSun" w:cs="Majalla UI"/>
        </w:rPr>
        <w:t xml:space="preserve">The </w:t>
      </w:r>
      <w:r>
        <w:rPr>
          <w:rFonts w:eastAsia="SimSun" w:cs="Majalla UI"/>
        </w:rPr>
        <w:t>WA RFA has and will continue</w:t>
      </w:r>
      <w:r w:rsidRPr="00B864BC">
        <w:rPr>
          <w:rFonts w:eastAsia="SimSun" w:cs="Majalla UI"/>
        </w:rPr>
        <w:t xml:space="preserve"> to support the </w:t>
      </w:r>
      <w:r>
        <w:rPr>
          <w:rFonts w:eastAsia="SimSun" w:cs="Majalla UI"/>
        </w:rPr>
        <w:t xml:space="preserve">WA </w:t>
      </w:r>
      <w:r w:rsidRPr="00B864BC">
        <w:rPr>
          <w:rFonts w:eastAsia="SimSun" w:cs="Majalla UI"/>
        </w:rPr>
        <w:t xml:space="preserve">forest industry so that it has a strong and sustainable future and to provide additional certainty to industry and the community into the future. The </w:t>
      </w:r>
      <w:r>
        <w:rPr>
          <w:rFonts w:eastAsia="SimSun" w:cs="Majalla UI"/>
        </w:rPr>
        <w:t>WA RFA</w:t>
      </w:r>
      <w:r w:rsidRPr="00B864BC">
        <w:rPr>
          <w:rFonts w:eastAsia="SimSun" w:cs="Majalla UI"/>
        </w:rPr>
        <w:t xml:space="preserve"> seek</w:t>
      </w:r>
      <w:r>
        <w:rPr>
          <w:rFonts w:eastAsia="SimSun" w:cs="Majalla UI"/>
        </w:rPr>
        <w:t>s</w:t>
      </w:r>
      <w:r w:rsidRPr="00B864BC">
        <w:rPr>
          <w:rFonts w:eastAsia="SimSun" w:cs="Majalla UI"/>
        </w:rPr>
        <w:t xml:space="preserve"> to maintain a stable regulatory and investment environment, </w:t>
      </w:r>
      <w:r w:rsidR="009E397C">
        <w:rPr>
          <w:rFonts w:eastAsia="SimSun" w:cs="Majalla UI"/>
        </w:rPr>
        <w:t>that</w:t>
      </w:r>
      <w:r w:rsidRPr="00B864BC">
        <w:rPr>
          <w:rFonts w:eastAsia="SimSun" w:cs="Majalla UI"/>
        </w:rPr>
        <w:t xml:space="preserve"> will assist in providing for socio-economic stability and opportunities for additional competition, productivity increase and market growth.</w:t>
      </w:r>
    </w:p>
    <w:p w14:paraId="26ABD41A" w14:textId="77777777" w:rsidR="009C117A" w:rsidRPr="00711A1A" w:rsidRDefault="009C117A" w:rsidP="009C117A">
      <w:pPr>
        <w:rPr>
          <w:rFonts w:cs="Segoe UI"/>
          <w:i/>
        </w:rPr>
      </w:pPr>
      <w:r w:rsidRPr="00711A1A">
        <w:rPr>
          <w:rFonts w:cs="Segoe UI"/>
          <w:i/>
        </w:rPr>
        <w:t>Native forest available for wood production</w:t>
      </w:r>
    </w:p>
    <w:p w14:paraId="26ABD41B" w14:textId="77777777" w:rsidR="009C117A" w:rsidRDefault="009C117A" w:rsidP="009C117A">
      <w:pPr>
        <w:rPr>
          <w:rFonts w:cs="Segoe UI"/>
        </w:rPr>
      </w:pPr>
      <w:r>
        <w:rPr>
          <w:rFonts w:cs="Segoe UI"/>
        </w:rPr>
        <w:t xml:space="preserve">The net area available for harvesting has decreased by </w:t>
      </w:r>
      <w:r w:rsidR="00FD3455">
        <w:rPr>
          <w:rFonts w:cs="Segoe UI"/>
        </w:rPr>
        <w:t>243,770</w:t>
      </w:r>
      <w:r>
        <w:rPr>
          <w:rFonts w:cs="Segoe UI"/>
        </w:rPr>
        <w:t xml:space="preserve"> hectares since the commencement of the WA RFA (from 27 to 22 percent of the RFA area). A large part of this reduction was a result of the </w:t>
      </w:r>
      <w:r w:rsidR="00437177">
        <w:rPr>
          <w:rFonts w:cs="Segoe UI"/>
          <w:i/>
        </w:rPr>
        <w:t>P</w:t>
      </w:r>
      <w:r w:rsidRPr="00C84DB2">
        <w:rPr>
          <w:rFonts w:cs="Segoe UI"/>
          <w:i/>
        </w:rPr>
        <w:t xml:space="preserve">rotecting our </w:t>
      </w:r>
      <w:r w:rsidR="00437177">
        <w:rPr>
          <w:rFonts w:cs="Segoe UI"/>
          <w:i/>
        </w:rPr>
        <w:t>O</w:t>
      </w:r>
      <w:r w:rsidR="00B40201">
        <w:rPr>
          <w:rFonts w:cs="Segoe UI"/>
          <w:i/>
        </w:rPr>
        <w:t>ld-growth</w:t>
      </w:r>
      <w:r w:rsidRPr="00C84DB2">
        <w:rPr>
          <w:rFonts w:cs="Segoe UI"/>
          <w:i/>
        </w:rPr>
        <w:t xml:space="preserve"> </w:t>
      </w:r>
      <w:r w:rsidR="00437177">
        <w:rPr>
          <w:rFonts w:cs="Segoe UI"/>
          <w:i/>
        </w:rPr>
        <w:t>F</w:t>
      </w:r>
      <w:r w:rsidRPr="00C84DB2">
        <w:rPr>
          <w:rFonts w:cs="Segoe UI"/>
          <w:i/>
        </w:rPr>
        <w:t>orest</w:t>
      </w:r>
      <w:r w:rsidR="00D5614E">
        <w:rPr>
          <w:rFonts w:cs="Segoe UI"/>
          <w:i/>
        </w:rPr>
        <w:t>s</w:t>
      </w:r>
      <w:r>
        <w:rPr>
          <w:rFonts w:cs="Segoe UI"/>
        </w:rPr>
        <w:t xml:space="preserve"> policy and the introduction of </w:t>
      </w:r>
      <w:r w:rsidR="00FA7A2E">
        <w:rPr>
          <w:rFonts w:cs="Segoe UI"/>
        </w:rPr>
        <w:t xml:space="preserve">further informal reserves and </w:t>
      </w:r>
      <w:r w:rsidR="00883751">
        <w:rPr>
          <w:rFonts w:cs="Segoe UI"/>
        </w:rPr>
        <w:t>FHZ</w:t>
      </w:r>
      <w:r>
        <w:rPr>
          <w:rFonts w:cs="Segoe UI"/>
        </w:rPr>
        <w:t xml:space="preserve">s. The area of native forest harvested each year has also been declining since the establishment of the RFA due to changing policy settings </w:t>
      </w:r>
      <w:r w:rsidR="00FA7A2E">
        <w:rPr>
          <w:rFonts w:cs="Segoe UI"/>
        </w:rPr>
        <w:t>and the</w:t>
      </w:r>
      <w:r>
        <w:rPr>
          <w:rFonts w:cs="Segoe UI"/>
        </w:rPr>
        <w:t xml:space="preserve"> contraction of the net available area </w:t>
      </w:r>
      <w:r w:rsidR="00FA7A2E">
        <w:rPr>
          <w:rFonts w:cs="Segoe UI"/>
        </w:rPr>
        <w:t xml:space="preserve">(which </w:t>
      </w:r>
      <w:r>
        <w:rPr>
          <w:rFonts w:cs="Segoe UI"/>
        </w:rPr>
        <w:t xml:space="preserve">has </w:t>
      </w:r>
      <w:r w:rsidR="00FA7A2E">
        <w:rPr>
          <w:rFonts w:cs="Segoe UI"/>
        </w:rPr>
        <w:t>contributed to</w:t>
      </w:r>
      <w:r>
        <w:rPr>
          <w:rFonts w:cs="Segoe UI"/>
        </w:rPr>
        <w:t xml:space="preserve"> lower sustain</w:t>
      </w:r>
      <w:r w:rsidR="00FA7A2E">
        <w:rPr>
          <w:rFonts w:cs="Segoe UI"/>
        </w:rPr>
        <w:t>ed</w:t>
      </w:r>
      <w:r>
        <w:rPr>
          <w:rFonts w:cs="Segoe UI"/>
        </w:rPr>
        <w:t xml:space="preserve"> yields</w:t>
      </w:r>
      <w:r w:rsidR="00FA7A2E">
        <w:rPr>
          <w:rFonts w:cs="Segoe UI"/>
        </w:rPr>
        <w:t>)</w:t>
      </w:r>
      <w:r>
        <w:rPr>
          <w:rFonts w:cs="Segoe UI"/>
        </w:rPr>
        <w:t xml:space="preserve">. For the duration of the WA RFA </w:t>
      </w:r>
      <w:r w:rsidR="00FA7A2E">
        <w:rPr>
          <w:rFonts w:cs="Segoe UI"/>
        </w:rPr>
        <w:t xml:space="preserve">the annual area </w:t>
      </w:r>
      <w:r>
        <w:rPr>
          <w:rFonts w:cs="Segoe UI"/>
        </w:rPr>
        <w:t xml:space="preserve">harvested has always remained below 1.5 per cent of the area available for wood production. </w:t>
      </w:r>
    </w:p>
    <w:p w14:paraId="26ABD41C" w14:textId="77777777" w:rsidR="00CE7E81" w:rsidRDefault="00FA7A2E" w:rsidP="00CE7E81">
      <w:pPr>
        <w:autoSpaceDE w:val="0"/>
        <w:autoSpaceDN w:val="0"/>
        <w:adjustRightInd w:val="0"/>
        <w:spacing w:before="0" w:after="0"/>
        <w:rPr>
          <w:rFonts w:cs="Segoe UI"/>
        </w:rPr>
      </w:pPr>
      <w:r>
        <w:rPr>
          <w:rFonts w:cs="Segoe UI"/>
        </w:rPr>
        <w:t>While the sustained yield of sawlogs has remained comparatively stable for e</w:t>
      </w:r>
      <w:r w:rsidR="00D25592">
        <w:rPr>
          <w:rFonts w:cs="Segoe UI"/>
        </w:rPr>
        <w:t>a</w:t>
      </w:r>
      <w:r w:rsidR="00B00709">
        <w:rPr>
          <w:rFonts w:cs="Segoe UI"/>
        </w:rPr>
        <w:t xml:space="preserve">ch </w:t>
      </w:r>
      <w:r>
        <w:rPr>
          <w:rFonts w:cs="Segoe UI"/>
        </w:rPr>
        <w:t>o</w:t>
      </w:r>
      <w:r w:rsidR="00B00709">
        <w:rPr>
          <w:rFonts w:cs="Segoe UI"/>
        </w:rPr>
        <w:t>f</w:t>
      </w:r>
      <w:r>
        <w:rPr>
          <w:rFonts w:cs="Segoe UI"/>
        </w:rPr>
        <w:t xml:space="preserve"> the FMPs (2004-2013; 2014-2023) there has been a progressive reduction in the availability of larger log sizes and an increase in the proportion of </w:t>
      </w:r>
      <w:r w:rsidR="00D25592">
        <w:rPr>
          <w:rFonts w:cs="Segoe UI"/>
        </w:rPr>
        <w:t xml:space="preserve">regrowth </w:t>
      </w:r>
      <w:r>
        <w:rPr>
          <w:rFonts w:cs="Segoe UI"/>
        </w:rPr>
        <w:t>forests</w:t>
      </w:r>
      <w:r w:rsidR="00D25592">
        <w:rPr>
          <w:rFonts w:cs="Segoe UI"/>
        </w:rPr>
        <w:t xml:space="preserve"> contributing to supply.</w:t>
      </w:r>
      <w:r>
        <w:rPr>
          <w:rFonts w:cs="Segoe UI"/>
        </w:rPr>
        <w:t xml:space="preserve"> </w:t>
      </w:r>
      <w:r w:rsidR="00D25592">
        <w:rPr>
          <w:rFonts w:cs="Segoe UI"/>
        </w:rPr>
        <w:t xml:space="preserve">These factors have impacted on the annual area cutover and the costs of production, with corresponding adjustments by industry during the period of the RFA. </w:t>
      </w:r>
    </w:p>
    <w:p w14:paraId="26ABD41E" w14:textId="77777777" w:rsidR="009C117A" w:rsidRPr="00711A1A" w:rsidRDefault="009C117A" w:rsidP="009C117A">
      <w:pPr>
        <w:rPr>
          <w:rFonts w:cs="Segoe UI"/>
          <w:i/>
        </w:rPr>
      </w:pPr>
      <w:r w:rsidRPr="00711A1A">
        <w:rPr>
          <w:rFonts w:cs="Segoe UI"/>
          <w:i/>
        </w:rPr>
        <w:t>Age class and growing stock of plantations</w:t>
      </w:r>
    </w:p>
    <w:p w14:paraId="26ABD41F" w14:textId="77777777" w:rsidR="009C117A" w:rsidRDefault="009C117A" w:rsidP="009C117A">
      <w:pPr>
        <w:rPr>
          <w:rFonts w:cs="Segoe UI"/>
        </w:rPr>
      </w:pPr>
      <w:r>
        <w:rPr>
          <w:rFonts w:cs="Segoe UI"/>
        </w:rPr>
        <w:t>Since 1999, significant areas of plantation have been replaced with other land uses</w:t>
      </w:r>
      <w:r w:rsidR="00D25592">
        <w:rPr>
          <w:rFonts w:cs="Segoe UI"/>
        </w:rPr>
        <w:t xml:space="preserve"> such as</w:t>
      </w:r>
      <w:r>
        <w:rPr>
          <w:rFonts w:cs="Segoe UI"/>
        </w:rPr>
        <w:t xml:space="preserve"> basic raw material quarries and roads. Bushfires have also impacted plantations. The WA Government has made recent significant investment in softwood plantations on public and private lands </w:t>
      </w:r>
      <w:r w:rsidR="00D25592">
        <w:rPr>
          <w:rFonts w:cs="Segoe UI"/>
        </w:rPr>
        <w:t>to support regional development</w:t>
      </w:r>
      <w:r>
        <w:rPr>
          <w:rFonts w:cs="Segoe UI"/>
        </w:rPr>
        <w:t xml:space="preserve"> and </w:t>
      </w:r>
      <w:r w:rsidR="00D25592">
        <w:rPr>
          <w:rFonts w:cs="Segoe UI"/>
        </w:rPr>
        <w:t>consolidate future resource security</w:t>
      </w:r>
      <w:r>
        <w:rPr>
          <w:rFonts w:cs="Segoe UI"/>
        </w:rPr>
        <w:t>.</w:t>
      </w:r>
    </w:p>
    <w:p w14:paraId="26ABD420" w14:textId="77777777" w:rsidR="009C117A" w:rsidRPr="00711A1A" w:rsidRDefault="009C117A" w:rsidP="009C117A">
      <w:pPr>
        <w:rPr>
          <w:rFonts w:cs="Segoe UI"/>
          <w:i/>
        </w:rPr>
      </w:pPr>
      <w:r>
        <w:rPr>
          <w:rFonts w:cs="Segoe UI"/>
          <w:i/>
        </w:rPr>
        <w:t xml:space="preserve">Annual removal of </w:t>
      </w:r>
      <w:r w:rsidRPr="00711A1A">
        <w:rPr>
          <w:rFonts w:cs="Segoe UI"/>
          <w:i/>
        </w:rPr>
        <w:t>wood products compared to the level determined to be sustainable</w:t>
      </w:r>
    </w:p>
    <w:p w14:paraId="26ABD421" w14:textId="77777777" w:rsidR="009C117A" w:rsidRDefault="009C117A" w:rsidP="009C117A">
      <w:pPr>
        <w:rPr>
          <w:rFonts w:cs="Segoe UI"/>
        </w:rPr>
      </w:pPr>
      <w:r>
        <w:rPr>
          <w:rFonts w:cs="Segoe UI"/>
        </w:rPr>
        <w:t>The sustain</w:t>
      </w:r>
      <w:r w:rsidR="00D25592">
        <w:rPr>
          <w:rFonts w:cs="Segoe UI"/>
        </w:rPr>
        <w:t>ed</w:t>
      </w:r>
      <w:r>
        <w:rPr>
          <w:rFonts w:cs="Segoe UI"/>
        </w:rPr>
        <w:t xml:space="preserve"> yield is the estimated volume of wood that can be removed each year while ensuring </w:t>
      </w:r>
      <w:r w:rsidR="00D25592">
        <w:rPr>
          <w:rFonts w:cs="Segoe UI"/>
        </w:rPr>
        <w:t xml:space="preserve">the overall </w:t>
      </w:r>
      <w:r>
        <w:rPr>
          <w:rFonts w:cs="Segoe UI"/>
        </w:rPr>
        <w:t>maintenance of functions within native forest systems</w:t>
      </w:r>
      <w:r w:rsidR="00D25592">
        <w:rPr>
          <w:rFonts w:cs="Segoe UI"/>
        </w:rPr>
        <w:t>.</w:t>
      </w:r>
      <w:r>
        <w:rPr>
          <w:rFonts w:cs="Segoe UI"/>
        </w:rPr>
        <w:t xml:space="preserve"> The sustained yield in the WA</w:t>
      </w:r>
      <w:r w:rsidR="00C8292D">
        <w:rPr>
          <w:rFonts w:cs="Segoe UI"/>
        </w:rPr>
        <w:t> </w:t>
      </w:r>
      <w:r>
        <w:rPr>
          <w:rFonts w:cs="Segoe UI"/>
        </w:rPr>
        <w:t>RFA region has declined from 704,000</w:t>
      </w:r>
      <w:r w:rsidR="00C8292D">
        <w:rPr>
          <w:rFonts w:cs="Segoe UI"/>
        </w:rPr>
        <w:t> </w:t>
      </w:r>
      <w:r>
        <w:rPr>
          <w:rFonts w:cs="Segoe UI"/>
        </w:rPr>
        <w:t>cubic</w:t>
      </w:r>
      <w:r w:rsidR="00C8292D">
        <w:rPr>
          <w:rFonts w:cs="Segoe UI"/>
        </w:rPr>
        <w:t> </w:t>
      </w:r>
      <w:r>
        <w:rPr>
          <w:rFonts w:cs="Segoe UI"/>
        </w:rPr>
        <w:t>metres per</w:t>
      </w:r>
      <w:r w:rsidR="00C8292D">
        <w:rPr>
          <w:rFonts w:cs="Segoe UI"/>
        </w:rPr>
        <w:t> </w:t>
      </w:r>
      <w:r>
        <w:rPr>
          <w:rFonts w:cs="Segoe UI"/>
        </w:rPr>
        <w:t>year prior to the RFA, to 510,000 cubic metres per year at the time of the RFA and 185,000</w:t>
      </w:r>
      <w:r w:rsidR="00C8292D">
        <w:rPr>
          <w:rFonts w:cs="Segoe UI"/>
        </w:rPr>
        <w:t> </w:t>
      </w:r>
      <w:r>
        <w:rPr>
          <w:rFonts w:cs="Segoe UI"/>
        </w:rPr>
        <w:t>cubic</w:t>
      </w:r>
      <w:r w:rsidR="00C8292D">
        <w:rPr>
          <w:rFonts w:cs="Segoe UI"/>
        </w:rPr>
        <w:t> </w:t>
      </w:r>
      <w:r>
        <w:rPr>
          <w:rFonts w:cs="Segoe UI"/>
        </w:rPr>
        <w:t xml:space="preserve">metres in 2004. </w:t>
      </w:r>
      <w:r w:rsidR="00D25592">
        <w:rPr>
          <w:rFonts w:cs="Segoe UI"/>
        </w:rPr>
        <w:t>R</w:t>
      </w:r>
      <w:r>
        <w:rPr>
          <w:rFonts w:cs="Segoe UI"/>
        </w:rPr>
        <w:t>eduction</w:t>
      </w:r>
      <w:r w:rsidR="00D25592">
        <w:rPr>
          <w:rFonts w:cs="Segoe UI"/>
        </w:rPr>
        <w:t>s since the RFA was established</w:t>
      </w:r>
      <w:r w:rsidR="00B00709">
        <w:rPr>
          <w:rFonts w:cs="Segoe UI"/>
        </w:rPr>
        <w:t xml:space="preserve"> </w:t>
      </w:r>
      <w:r w:rsidR="00D25592">
        <w:rPr>
          <w:rFonts w:cs="Segoe UI"/>
        </w:rPr>
        <w:t>were</w:t>
      </w:r>
      <w:r>
        <w:rPr>
          <w:rFonts w:cs="Segoe UI"/>
        </w:rPr>
        <w:t xml:space="preserve"> largely due to the implementation of the </w:t>
      </w:r>
      <w:r w:rsidR="00D5614E">
        <w:rPr>
          <w:rFonts w:cs="Segoe UI"/>
          <w:i/>
        </w:rPr>
        <w:lastRenderedPageBreak/>
        <w:t>P</w:t>
      </w:r>
      <w:r w:rsidRPr="00C84DB2">
        <w:rPr>
          <w:rFonts w:cs="Segoe UI"/>
          <w:i/>
        </w:rPr>
        <w:t xml:space="preserve">rotecting our </w:t>
      </w:r>
      <w:r w:rsidR="00D5614E">
        <w:rPr>
          <w:rFonts w:cs="Segoe UI"/>
          <w:i/>
        </w:rPr>
        <w:t>O</w:t>
      </w:r>
      <w:r w:rsidR="00B40201">
        <w:rPr>
          <w:rFonts w:cs="Segoe UI"/>
          <w:i/>
        </w:rPr>
        <w:t>ld-growth</w:t>
      </w:r>
      <w:r w:rsidRPr="00C84DB2">
        <w:rPr>
          <w:rFonts w:cs="Segoe UI"/>
          <w:i/>
        </w:rPr>
        <w:t xml:space="preserve"> </w:t>
      </w:r>
      <w:r w:rsidR="00D5614E">
        <w:rPr>
          <w:rFonts w:cs="Segoe UI"/>
          <w:i/>
        </w:rPr>
        <w:t>F</w:t>
      </w:r>
      <w:r w:rsidRPr="00C84DB2">
        <w:rPr>
          <w:rFonts w:cs="Segoe UI"/>
          <w:i/>
        </w:rPr>
        <w:t>orests</w:t>
      </w:r>
      <w:r>
        <w:rPr>
          <w:rFonts w:cs="Segoe UI"/>
        </w:rPr>
        <w:t xml:space="preserve"> policy and the consequent reduction in </w:t>
      </w:r>
      <w:r w:rsidR="00254BEF">
        <w:rPr>
          <w:rFonts w:cs="Segoe UI"/>
        </w:rPr>
        <w:t xml:space="preserve">high yielding </w:t>
      </w:r>
      <w:r>
        <w:rPr>
          <w:rFonts w:cs="Segoe UI"/>
        </w:rPr>
        <w:t>forest area</w:t>
      </w:r>
      <w:r w:rsidR="00254BEF">
        <w:rPr>
          <w:rFonts w:cs="Segoe UI"/>
        </w:rPr>
        <w:t>s</w:t>
      </w:r>
      <w:r>
        <w:rPr>
          <w:rFonts w:cs="Segoe UI"/>
        </w:rPr>
        <w:t xml:space="preserve"> available for timber production. WA will continue to review and determine sustain</w:t>
      </w:r>
      <w:r w:rsidR="00254BEF">
        <w:rPr>
          <w:rFonts w:cs="Segoe UI"/>
        </w:rPr>
        <w:t>ed</w:t>
      </w:r>
      <w:r>
        <w:rPr>
          <w:rFonts w:cs="Segoe UI"/>
        </w:rPr>
        <w:t xml:space="preserve"> yield</w:t>
      </w:r>
      <w:r w:rsidR="00254BEF">
        <w:rPr>
          <w:rFonts w:cs="Segoe UI"/>
        </w:rPr>
        <w:t>s</w:t>
      </w:r>
      <w:r>
        <w:rPr>
          <w:rFonts w:cs="Segoe UI"/>
        </w:rPr>
        <w:t>, and will report on harvest levels against the determined sustain</w:t>
      </w:r>
      <w:r w:rsidR="00254BEF">
        <w:rPr>
          <w:rFonts w:cs="Segoe UI"/>
        </w:rPr>
        <w:t>ed</w:t>
      </w:r>
      <w:r>
        <w:rPr>
          <w:rFonts w:cs="Segoe UI"/>
        </w:rPr>
        <w:t xml:space="preserve"> yield</w:t>
      </w:r>
      <w:r w:rsidR="00254BEF">
        <w:rPr>
          <w:rFonts w:cs="Segoe UI"/>
        </w:rPr>
        <w:t>s</w:t>
      </w:r>
      <w:r>
        <w:rPr>
          <w:rFonts w:cs="Segoe UI"/>
        </w:rPr>
        <w:t xml:space="preserve"> through </w:t>
      </w:r>
      <w:r w:rsidR="00254BEF">
        <w:rPr>
          <w:rFonts w:cs="Segoe UI"/>
        </w:rPr>
        <w:t xml:space="preserve">agency Annual Reports, </w:t>
      </w:r>
      <w:r>
        <w:rPr>
          <w:rFonts w:cs="Segoe UI"/>
        </w:rPr>
        <w:t>the FMP and five</w:t>
      </w:r>
      <w:r>
        <w:rPr>
          <w:rFonts w:cs="Segoe UI"/>
        </w:rPr>
        <w:noBreakHyphen/>
        <w:t>yearly RFA reviews.</w:t>
      </w:r>
    </w:p>
    <w:p w14:paraId="26ABD422" w14:textId="7C0CB53D" w:rsidR="009C117A" w:rsidRDefault="009C117A" w:rsidP="009C117A">
      <w:pPr>
        <w:rPr>
          <w:rFonts w:cs="Segoe UI"/>
        </w:rPr>
      </w:pPr>
      <w:r>
        <w:rPr>
          <w:rFonts w:cs="Segoe UI"/>
        </w:rPr>
        <w:t xml:space="preserve">The supply of plantation wood fluctuates due to a range of supply and demand issues. These fluctuations can be due to customers requesting lower amounts than contracted, market cycles, the need to respond to salvage areas after storms or bushfires, export market demand and even machinery breakdowns. WA will continue to implement measures to </w:t>
      </w:r>
      <w:r w:rsidR="00254BEF">
        <w:rPr>
          <w:rFonts w:cs="Segoe UI"/>
        </w:rPr>
        <w:t>expand</w:t>
      </w:r>
      <w:r>
        <w:rPr>
          <w:rFonts w:cs="Segoe UI"/>
        </w:rPr>
        <w:t xml:space="preserve"> the plantation estate to ensure stable </w:t>
      </w:r>
      <w:r w:rsidR="00176847">
        <w:rPr>
          <w:rFonts w:cs="Segoe UI"/>
        </w:rPr>
        <w:t>long-term</w:t>
      </w:r>
      <w:r>
        <w:rPr>
          <w:rFonts w:cs="Segoe UI"/>
        </w:rPr>
        <w:t xml:space="preserve"> supply of products. </w:t>
      </w:r>
    </w:p>
    <w:p w14:paraId="26ABD423" w14:textId="77777777" w:rsidR="009C117A" w:rsidRPr="00711A1A" w:rsidRDefault="009C117A" w:rsidP="009C117A">
      <w:pPr>
        <w:rPr>
          <w:rFonts w:cs="Segoe UI"/>
          <w:i/>
        </w:rPr>
      </w:pPr>
      <w:r w:rsidRPr="00711A1A">
        <w:rPr>
          <w:rFonts w:cs="Segoe UI"/>
          <w:i/>
        </w:rPr>
        <w:t>Annual removal of non-wood products compared to the level determined to be sustainable</w:t>
      </w:r>
    </w:p>
    <w:p w14:paraId="26ABD424" w14:textId="77777777" w:rsidR="009C117A" w:rsidRDefault="009C117A" w:rsidP="009C117A">
      <w:pPr>
        <w:rPr>
          <w:rFonts w:cs="Segoe UI"/>
        </w:rPr>
      </w:pPr>
      <w:r>
        <w:rPr>
          <w:rFonts w:cs="Segoe UI"/>
        </w:rPr>
        <w:t>There is limited data on the production of non-wood forest products. One of the important non</w:t>
      </w:r>
      <w:r w:rsidR="00B537EA">
        <w:rPr>
          <w:rFonts w:cs="Segoe UI"/>
        </w:rPr>
        <w:t>-</w:t>
      </w:r>
      <w:r>
        <w:rPr>
          <w:rFonts w:cs="Segoe UI"/>
        </w:rPr>
        <w:t xml:space="preserve">wood products </w:t>
      </w:r>
      <w:r w:rsidR="00254BEF">
        <w:rPr>
          <w:rFonts w:cs="Segoe UI"/>
        </w:rPr>
        <w:t xml:space="preserve">fromnative </w:t>
      </w:r>
      <w:r>
        <w:rPr>
          <w:rFonts w:cs="Segoe UI"/>
        </w:rPr>
        <w:t>forest</w:t>
      </w:r>
      <w:r w:rsidR="00254BEF">
        <w:rPr>
          <w:rFonts w:cs="Segoe UI"/>
        </w:rPr>
        <w:t xml:space="preserve"> areas in the RFA region is honey, and continued availability of apiary sites (in line with DBCA policies) is considered in the proposed extension of the WA RFA. </w:t>
      </w:r>
      <w:r>
        <w:rPr>
          <w:rFonts w:cs="Segoe UI"/>
        </w:rPr>
        <w:t xml:space="preserve">  The </w:t>
      </w:r>
      <w:r w:rsidR="00254BEF">
        <w:rPr>
          <w:rFonts w:cs="Segoe UI"/>
        </w:rPr>
        <w:t xml:space="preserve">bauxite </w:t>
      </w:r>
      <w:r>
        <w:rPr>
          <w:rFonts w:cs="Segoe UI"/>
        </w:rPr>
        <w:t xml:space="preserve">mining industry </w:t>
      </w:r>
      <w:r w:rsidR="00254BEF">
        <w:rPr>
          <w:rFonts w:cs="Segoe UI"/>
        </w:rPr>
        <w:t xml:space="preserve">is </w:t>
      </w:r>
      <w:r>
        <w:rPr>
          <w:rFonts w:cs="Segoe UI"/>
        </w:rPr>
        <w:t xml:space="preserve">also heavily </w:t>
      </w:r>
      <w:r w:rsidR="00254BEF">
        <w:rPr>
          <w:rFonts w:cs="Segoe UI"/>
        </w:rPr>
        <w:t xml:space="preserve">reliant </w:t>
      </w:r>
      <w:r>
        <w:rPr>
          <w:rFonts w:cs="Segoe UI"/>
        </w:rPr>
        <w:t xml:space="preserve">on </w:t>
      </w:r>
      <w:r w:rsidR="00254BEF">
        <w:rPr>
          <w:rFonts w:cs="Segoe UI"/>
        </w:rPr>
        <w:t xml:space="preserve">access to forest </w:t>
      </w:r>
      <w:r>
        <w:rPr>
          <w:rFonts w:cs="Segoe UI"/>
        </w:rPr>
        <w:t xml:space="preserve">areas within the RFA region for mining of bauxite and other </w:t>
      </w:r>
      <w:r w:rsidR="00254BEF">
        <w:rPr>
          <w:rFonts w:cs="Segoe UI"/>
        </w:rPr>
        <w:t>minerals,</w:t>
      </w:r>
      <w:r w:rsidR="00C10562">
        <w:rPr>
          <w:rFonts w:cs="Segoe UI"/>
        </w:rPr>
        <w:t xml:space="preserve"> </w:t>
      </w:r>
      <w:r w:rsidR="00254BEF">
        <w:rPr>
          <w:rFonts w:cs="Segoe UI"/>
        </w:rPr>
        <w:t>and leases under State Agreement Acts ensure access will be maintained</w:t>
      </w:r>
      <w:r>
        <w:rPr>
          <w:rFonts w:cs="Segoe UI"/>
        </w:rPr>
        <w:t xml:space="preserve">. The </w:t>
      </w:r>
      <w:r w:rsidR="00C8292D">
        <w:rPr>
          <w:rFonts w:cs="Segoe UI"/>
        </w:rPr>
        <w:t>WA </w:t>
      </w:r>
      <w:r>
        <w:rPr>
          <w:rFonts w:cs="Segoe UI"/>
        </w:rPr>
        <w:t xml:space="preserve">Government will continue to </w:t>
      </w:r>
      <w:r w:rsidR="00254BEF">
        <w:rPr>
          <w:rFonts w:cs="Segoe UI"/>
        </w:rPr>
        <w:t>facilitate access to forests for non-wood products, where these are compatible with the FMP and RFA framework.</w:t>
      </w:r>
      <w:r>
        <w:rPr>
          <w:rFonts w:cs="Segoe UI"/>
        </w:rPr>
        <w:t xml:space="preserve"> </w:t>
      </w:r>
    </w:p>
    <w:p w14:paraId="26ABD425" w14:textId="77777777" w:rsidR="009C117A" w:rsidRDefault="009C117A" w:rsidP="009C117A">
      <w:pPr>
        <w:rPr>
          <w:rFonts w:cs="Segoe UI"/>
          <w:i/>
        </w:rPr>
      </w:pPr>
      <w:r w:rsidRPr="00711A1A">
        <w:rPr>
          <w:rFonts w:cs="Segoe UI"/>
          <w:i/>
        </w:rPr>
        <w:t>The area of native forest and plantation harvested and regenerated</w:t>
      </w:r>
    </w:p>
    <w:p w14:paraId="26ABD426" w14:textId="77777777" w:rsidR="009C117A" w:rsidRPr="005E1F09" w:rsidRDefault="009C117A" w:rsidP="009C117A">
      <w:pPr>
        <w:rPr>
          <w:rFonts w:cs="Segoe UI"/>
        </w:rPr>
      </w:pPr>
      <w:r>
        <w:rPr>
          <w:rFonts w:cs="Segoe UI"/>
        </w:rPr>
        <w:t>Effective regeneration of harvested native forest is an essential element of sustainable forest management. The FMP requires proponents harvesting</w:t>
      </w:r>
      <w:r w:rsidR="001E47D4">
        <w:rPr>
          <w:rFonts w:cs="Segoe UI"/>
        </w:rPr>
        <w:t xml:space="preserve"> </w:t>
      </w:r>
      <w:r>
        <w:rPr>
          <w:rFonts w:cs="Segoe UI"/>
        </w:rPr>
        <w:t xml:space="preserve">native forest to undertake regeneration operations </w:t>
      </w:r>
      <w:r w:rsidR="00BF0801">
        <w:rPr>
          <w:rFonts w:cs="Segoe UI"/>
        </w:rPr>
        <w:t xml:space="preserve">(where regeneration is the silvicultural objective) </w:t>
      </w:r>
      <w:r>
        <w:rPr>
          <w:rFonts w:cs="Segoe UI"/>
        </w:rPr>
        <w:t>and sets timelines and targets for regeneration</w:t>
      </w:r>
      <w:r w:rsidR="00B00709">
        <w:rPr>
          <w:rFonts w:cs="Segoe UI"/>
        </w:rPr>
        <w:t xml:space="preserve"> eff</w:t>
      </w:r>
      <w:r w:rsidR="001E47D4">
        <w:rPr>
          <w:rFonts w:cs="Segoe UI"/>
        </w:rPr>
        <w:t>e</w:t>
      </w:r>
      <w:r w:rsidR="00B00709">
        <w:rPr>
          <w:rFonts w:cs="Segoe UI"/>
        </w:rPr>
        <w:t>c</w:t>
      </w:r>
      <w:r w:rsidR="001E47D4">
        <w:rPr>
          <w:rFonts w:cs="Segoe UI"/>
        </w:rPr>
        <w:t>tiveness</w:t>
      </w:r>
      <w:r>
        <w:rPr>
          <w:rFonts w:cs="Segoe UI"/>
        </w:rPr>
        <w:t xml:space="preserve">. Since 2001, </w:t>
      </w:r>
      <w:r w:rsidR="001E47D4">
        <w:rPr>
          <w:rFonts w:cs="Segoe UI"/>
        </w:rPr>
        <w:t>virtually all</w:t>
      </w:r>
      <w:r>
        <w:rPr>
          <w:rFonts w:cs="Segoe UI"/>
        </w:rPr>
        <w:t xml:space="preserve">native forests have been successfully regenerated. </w:t>
      </w:r>
      <w:r w:rsidR="001E47D4">
        <w:rPr>
          <w:rFonts w:cs="Segoe UI"/>
        </w:rPr>
        <w:t>However, delays in the scheduled silvicultural burning program have meant that s</w:t>
      </w:r>
      <w:r>
        <w:rPr>
          <w:rFonts w:cs="Segoe UI"/>
        </w:rPr>
        <w:t xml:space="preserve">ome areas of jarrah forest </w:t>
      </w:r>
      <w:r w:rsidR="001E47D4">
        <w:rPr>
          <w:rFonts w:cs="Segoe UI"/>
        </w:rPr>
        <w:t>were</w:t>
      </w:r>
      <w:r>
        <w:rPr>
          <w:rFonts w:cs="Segoe UI"/>
        </w:rPr>
        <w:t xml:space="preserve"> not treated within </w:t>
      </w:r>
      <w:r w:rsidR="001E47D4">
        <w:rPr>
          <w:rFonts w:cs="Segoe UI"/>
        </w:rPr>
        <w:t>target</w:t>
      </w:r>
      <w:r>
        <w:rPr>
          <w:rFonts w:cs="Segoe UI"/>
        </w:rPr>
        <w:t xml:space="preserve"> timeframes. </w:t>
      </w:r>
      <w:r w:rsidR="001E47D4">
        <w:rPr>
          <w:rFonts w:cs="Segoe UI"/>
        </w:rPr>
        <w:t>The</w:t>
      </w:r>
      <w:r>
        <w:rPr>
          <w:rFonts w:cs="Segoe UI"/>
        </w:rPr>
        <w:t xml:space="preserve"> ‘Enhanced Prescribed Burning Program’ </w:t>
      </w:r>
      <w:r w:rsidR="001E47D4">
        <w:rPr>
          <w:rFonts w:cs="Segoe UI"/>
        </w:rPr>
        <w:t xml:space="preserve">commenced by DBCA </w:t>
      </w:r>
      <w:r>
        <w:rPr>
          <w:rFonts w:cs="Segoe UI"/>
        </w:rPr>
        <w:t>in 2015</w:t>
      </w:r>
      <w:r w:rsidR="00C8292D">
        <w:rPr>
          <w:rFonts w:cs="Segoe UI"/>
        </w:rPr>
        <w:noBreakHyphen/>
      </w:r>
      <w:r>
        <w:rPr>
          <w:rFonts w:cs="Segoe UI"/>
        </w:rPr>
        <w:t xml:space="preserve">16 has substantially reduced the backlog of areas requiring regeneration. Western Australia will continue to monitor and report on </w:t>
      </w:r>
      <w:r w:rsidR="001E47D4">
        <w:rPr>
          <w:rFonts w:cs="Segoe UI"/>
        </w:rPr>
        <w:t xml:space="preserve">the </w:t>
      </w:r>
      <w:r>
        <w:rPr>
          <w:rFonts w:cs="Segoe UI"/>
        </w:rPr>
        <w:t>success</w:t>
      </w:r>
      <w:r w:rsidR="001E47D4">
        <w:rPr>
          <w:rFonts w:cs="Segoe UI"/>
        </w:rPr>
        <w:t xml:space="preserve"> of</w:t>
      </w:r>
      <w:r>
        <w:rPr>
          <w:rFonts w:cs="Segoe UI"/>
        </w:rPr>
        <w:t xml:space="preserve"> regeneration </w:t>
      </w:r>
      <w:r w:rsidR="001E47D4">
        <w:rPr>
          <w:rFonts w:cs="Segoe UI"/>
        </w:rPr>
        <w:t>in</w:t>
      </w:r>
      <w:r>
        <w:rPr>
          <w:rFonts w:cs="Segoe UI"/>
        </w:rPr>
        <w:t xml:space="preserve"> native forests on public land, and take remedial action where deficiencies are identified in line with </w:t>
      </w:r>
      <w:r w:rsidR="001E47D4">
        <w:rPr>
          <w:rFonts w:cs="Segoe UI"/>
        </w:rPr>
        <w:t xml:space="preserve">the silviculture guidelines and </w:t>
      </w:r>
      <w:r>
        <w:rPr>
          <w:rFonts w:cs="Segoe UI"/>
        </w:rPr>
        <w:t xml:space="preserve">procedures. </w:t>
      </w:r>
    </w:p>
    <w:p w14:paraId="26ABD427" w14:textId="77777777" w:rsidR="009C117A" w:rsidRPr="00391A64" w:rsidRDefault="009C117A" w:rsidP="009C117A">
      <w:pPr>
        <w:rPr>
          <w:rFonts w:cs="Segoe UI"/>
        </w:rPr>
      </w:pPr>
      <w:r>
        <w:rPr>
          <w:rFonts w:cs="Segoe UI"/>
        </w:rPr>
        <w:t>Re</w:t>
      </w:r>
      <w:r w:rsidR="001E47D4">
        <w:rPr>
          <w:rFonts w:cs="Segoe UI"/>
        </w:rPr>
        <w:t>-establishment of</w:t>
      </w:r>
      <w:r>
        <w:rPr>
          <w:rFonts w:cs="Segoe UI"/>
        </w:rPr>
        <w:t xml:space="preserve"> plantation forests </w:t>
      </w:r>
      <w:r w:rsidR="001E47D4">
        <w:rPr>
          <w:rFonts w:cs="Segoe UI"/>
        </w:rPr>
        <w:t>following final harvest is</w:t>
      </w:r>
      <w:r>
        <w:rPr>
          <w:rFonts w:cs="Segoe UI"/>
        </w:rPr>
        <w:t xml:space="preserve"> important to ensure </w:t>
      </w:r>
      <w:r w:rsidR="008B64FE">
        <w:rPr>
          <w:rFonts w:cs="Segoe UI"/>
        </w:rPr>
        <w:t xml:space="preserve">an </w:t>
      </w:r>
      <w:r>
        <w:rPr>
          <w:rFonts w:cs="Segoe UI"/>
        </w:rPr>
        <w:t xml:space="preserve">ongoing supply of plantation wood. </w:t>
      </w:r>
      <w:r w:rsidR="001E47D4">
        <w:rPr>
          <w:rFonts w:cs="Segoe UI"/>
        </w:rPr>
        <w:t>Replanting and expansion of plantation areas within the RFA region will continue, with routine monitoring of e</w:t>
      </w:r>
      <w:r>
        <w:rPr>
          <w:rFonts w:cs="Segoe UI"/>
        </w:rPr>
        <w:t xml:space="preserve">stablishment </w:t>
      </w:r>
      <w:r w:rsidR="001E47D4">
        <w:rPr>
          <w:rFonts w:cs="Segoe UI"/>
        </w:rPr>
        <w:t>success</w:t>
      </w:r>
      <w:r>
        <w:rPr>
          <w:rFonts w:cs="Segoe UI"/>
        </w:rPr>
        <w:t xml:space="preserve"> one year after planting</w:t>
      </w:r>
      <w:r w:rsidR="001E47D4">
        <w:rPr>
          <w:rFonts w:cs="Segoe UI"/>
        </w:rPr>
        <w:t>. I</w:t>
      </w:r>
      <w:r>
        <w:rPr>
          <w:rFonts w:cs="Segoe UI"/>
        </w:rPr>
        <w:t xml:space="preserve">f survival rates are low, failed areas </w:t>
      </w:r>
      <w:r w:rsidR="001E47D4">
        <w:rPr>
          <w:rFonts w:cs="Segoe UI"/>
        </w:rPr>
        <w:t>will be</w:t>
      </w:r>
      <w:r>
        <w:rPr>
          <w:rFonts w:cs="Segoe UI"/>
        </w:rPr>
        <w:t xml:space="preserve"> replanted to ensure the site is fully stocked. </w:t>
      </w:r>
    </w:p>
    <w:p w14:paraId="26ABD428" w14:textId="77777777" w:rsidR="009C117A" w:rsidRDefault="009C117A" w:rsidP="009C117A">
      <w:pPr>
        <w:rPr>
          <w:rFonts w:cs="Segoe UI"/>
          <w:i/>
        </w:rPr>
      </w:pPr>
      <w:r w:rsidRPr="00B11CAC">
        <w:rPr>
          <w:rFonts w:cs="Segoe UI"/>
          <w:i/>
        </w:rPr>
        <w:t>Value and volume of wood and wood products</w:t>
      </w:r>
    </w:p>
    <w:p w14:paraId="26ABD429" w14:textId="77777777" w:rsidR="008B7DE8" w:rsidRDefault="008B7DE8" w:rsidP="008B7DE8">
      <w:pPr>
        <w:rPr>
          <w:rFonts w:cs="Segoe UI"/>
        </w:rPr>
      </w:pPr>
      <w:r>
        <w:rPr>
          <w:rFonts w:cs="Segoe UI"/>
        </w:rPr>
        <w:t xml:space="preserve">In 1998 the </w:t>
      </w:r>
      <w:r w:rsidRPr="00CF5CFE">
        <w:rPr>
          <w:rFonts w:cs="Segoe UI"/>
        </w:rPr>
        <w:t>estimated annual gross value of production of the combined hardwood</w:t>
      </w:r>
      <w:r>
        <w:rPr>
          <w:rFonts w:cs="Segoe UI"/>
        </w:rPr>
        <w:t xml:space="preserve"> </w:t>
      </w:r>
      <w:r w:rsidRPr="00CF5CFE">
        <w:rPr>
          <w:rFonts w:cs="Segoe UI"/>
        </w:rPr>
        <w:t>and softwood sectors of timber and wood based pro</w:t>
      </w:r>
      <w:r>
        <w:rPr>
          <w:rFonts w:cs="Segoe UI"/>
        </w:rPr>
        <w:t xml:space="preserve">ducts valued up to the point of </w:t>
      </w:r>
      <w:r w:rsidRPr="00CF5CFE">
        <w:rPr>
          <w:rFonts w:cs="Segoe UI"/>
        </w:rPr>
        <w:t xml:space="preserve">first sale </w:t>
      </w:r>
      <w:r w:rsidR="001E47D4">
        <w:rPr>
          <w:rFonts w:cs="Segoe UI"/>
        </w:rPr>
        <w:t>wa</w:t>
      </w:r>
      <w:r w:rsidRPr="00CF5CFE">
        <w:rPr>
          <w:rFonts w:cs="Segoe UI"/>
        </w:rPr>
        <w:t>s estimated to be around $400 million</w:t>
      </w:r>
      <w:r>
        <w:rPr>
          <w:rFonts w:cs="Segoe UI"/>
        </w:rPr>
        <w:t xml:space="preserve"> (Commonwealth of </w:t>
      </w:r>
      <w:r w:rsidR="008A4C96">
        <w:rPr>
          <w:rFonts w:cs="Segoe UI"/>
        </w:rPr>
        <w:t>Australia</w:t>
      </w:r>
      <w:r>
        <w:rPr>
          <w:rFonts w:cs="Segoe UI"/>
        </w:rPr>
        <w:t xml:space="preserve"> and the State of Western Australia, 1998a)</w:t>
      </w:r>
      <w:r w:rsidRPr="00CF5CFE">
        <w:rPr>
          <w:rFonts w:cs="Segoe UI"/>
        </w:rPr>
        <w:t>.</w:t>
      </w:r>
      <w:r>
        <w:rPr>
          <w:rFonts w:cs="Segoe UI"/>
        </w:rPr>
        <w:t xml:space="preserve"> </w:t>
      </w:r>
      <w:r w:rsidR="003A63B1">
        <w:rPr>
          <w:rFonts w:cs="Segoe UI"/>
        </w:rPr>
        <w:t xml:space="preserve">The </w:t>
      </w:r>
      <w:r w:rsidR="001E47D4">
        <w:rPr>
          <w:rFonts w:cs="Segoe UI"/>
        </w:rPr>
        <w:t xml:space="preserve">total </w:t>
      </w:r>
      <w:r w:rsidR="003A63B1">
        <w:rPr>
          <w:rFonts w:cs="Segoe UI"/>
        </w:rPr>
        <w:t>value of logs harvested from native forests has decreased over time, primarily due to decreased volumes being harvested, while the value of logs from hardwood plantation has increased in line with harvest volume increases. The value of logs harvested from softwood plantation has remained relatively stable.</w:t>
      </w:r>
      <w:r w:rsidR="003D6181">
        <w:rPr>
          <w:rFonts w:cs="Segoe UI"/>
        </w:rPr>
        <w:t xml:space="preserve"> Th</w:t>
      </w:r>
      <w:r w:rsidR="003F27DC">
        <w:rPr>
          <w:rFonts w:cs="Segoe UI"/>
        </w:rPr>
        <w:t xml:space="preserve">e value and volume of </w:t>
      </w:r>
      <w:r w:rsidR="003F27DC">
        <w:rPr>
          <w:rFonts w:cs="Segoe UI"/>
        </w:rPr>
        <w:lastRenderedPageBreak/>
        <w:t xml:space="preserve">native forest production </w:t>
      </w:r>
      <w:r w:rsidR="003D6181">
        <w:rPr>
          <w:rFonts w:cs="Segoe UI"/>
        </w:rPr>
        <w:t xml:space="preserve">is </w:t>
      </w:r>
      <w:r w:rsidR="003F27DC">
        <w:rPr>
          <w:rFonts w:cs="Segoe UI"/>
        </w:rPr>
        <w:t xml:space="preserve">likely to continue as larger volumes of regrowth karri become available over time, and the softwood plantation estate expands. </w:t>
      </w:r>
    </w:p>
    <w:p w14:paraId="26ABD42A" w14:textId="77777777" w:rsidR="009C117A" w:rsidRDefault="009C117A" w:rsidP="009C117A">
      <w:pPr>
        <w:rPr>
          <w:rFonts w:cs="Segoe UI"/>
        </w:rPr>
      </w:pPr>
      <w:r w:rsidRPr="00CE60B2">
        <w:rPr>
          <w:rFonts w:cs="Segoe UI"/>
        </w:rPr>
        <w:t xml:space="preserve">A detailed study of the socio-economic impacts of the forestry industry (Schirmer </w:t>
      </w:r>
      <w:r w:rsidRPr="00CE60B2">
        <w:rPr>
          <w:rFonts w:cs="Segoe UI"/>
          <w:i/>
        </w:rPr>
        <w:t>et al.</w:t>
      </w:r>
      <w:r w:rsidRPr="00CE60B2">
        <w:rPr>
          <w:rFonts w:cs="Segoe UI"/>
        </w:rPr>
        <w:t xml:space="preserve"> 2017) found that in 2015</w:t>
      </w:r>
      <w:r w:rsidR="00C8292D">
        <w:rPr>
          <w:rFonts w:cs="Segoe UI"/>
        </w:rPr>
        <w:noBreakHyphen/>
      </w:r>
      <w:r w:rsidRPr="00CE60B2">
        <w:rPr>
          <w:rFonts w:cs="Segoe UI"/>
        </w:rPr>
        <w:t>16, the direct value of output</w:t>
      </w:r>
      <w:r w:rsidR="003F27DC">
        <w:rPr>
          <w:rFonts w:cs="Segoe UI"/>
        </w:rPr>
        <w:t>s</w:t>
      </w:r>
      <w:r w:rsidRPr="00CE60B2">
        <w:rPr>
          <w:rFonts w:cs="Segoe UI"/>
        </w:rPr>
        <w:t xml:space="preserve"> generated by the WA forestry industry at the point of sale of primary processed products was</w:t>
      </w:r>
      <w:r>
        <w:rPr>
          <w:rFonts w:cs="Segoe UI"/>
        </w:rPr>
        <w:t xml:space="preserve"> $649</w:t>
      </w:r>
      <w:r w:rsidR="00C8292D">
        <w:rPr>
          <w:rFonts w:cs="Segoe UI"/>
        </w:rPr>
        <w:t> </w:t>
      </w:r>
      <w:r>
        <w:rPr>
          <w:rFonts w:cs="Segoe UI"/>
        </w:rPr>
        <w:t>million, increasing to $1.</w:t>
      </w:r>
      <w:r w:rsidRPr="00CE60B2">
        <w:rPr>
          <w:rFonts w:cs="Segoe UI"/>
        </w:rPr>
        <w:t>4</w:t>
      </w:r>
      <w:r w:rsidR="00B00709">
        <w:rPr>
          <w:rFonts w:cs="Segoe UI"/>
        </w:rPr>
        <w:t xml:space="preserve"> b</w:t>
      </w:r>
      <w:r w:rsidRPr="00CE60B2">
        <w:rPr>
          <w:rFonts w:cs="Segoe UI"/>
        </w:rPr>
        <w:t>illion when flow-on effects generated in other industries is included</w:t>
      </w:r>
    </w:p>
    <w:p w14:paraId="26ABD42B" w14:textId="77777777" w:rsidR="009C117A" w:rsidRDefault="009C117A" w:rsidP="009C117A">
      <w:pPr>
        <w:rPr>
          <w:rFonts w:cs="Segoe UI"/>
        </w:rPr>
      </w:pPr>
      <w:r w:rsidRPr="00CE60B2">
        <w:rPr>
          <w:rFonts w:cs="Segoe UI"/>
        </w:rPr>
        <w:t>This total included $220</w:t>
      </w:r>
      <w:r>
        <w:rPr>
          <w:rFonts w:cs="Segoe UI"/>
        </w:rPr>
        <w:t> </w:t>
      </w:r>
      <w:r w:rsidRPr="00CE60B2">
        <w:rPr>
          <w:rFonts w:cs="Segoe UI"/>
        </w:rPr>
        <w:t>million dependent on native forests, $617</w:t>
      </w:r>
      <w:r>
        <w:rPr>
          <w:rFonts w:cs="Segoe UI"/>
        </w:rPr>
        <w:t> </w:t>
      </w:r>
      <w:r w:rsidRPr="00CE60B2">
        <w:rPr>
          <w:rFonts w:cs="Segoe UI"/>
        </w:rPr>
        <w:t>million dependent on softwood plantation and $568</w:t>
      </w:r>
      <w:r>
        <w:rPr>
          <w:rFonts w:cs="Segoe UI"/>
        </w:rPr>
        <w:t> </w:t>
      </w:r>
      <w:r w:rsidRPr="00CE60B2">
        <w:rPr>
          <w:rFonts w:cs="Segoe UI"/>
        </w:rPr>
        <w:t>million dependent on hardwood plantations. In 2015-16, the forest</w:t>
      </w:r>
      <w:r w:rsidR="003F27DC">
        <w:rPr>
          <w:rFonts w:cs="Segoe UI"/>
        </w:rPr>
        <w:t>ry</w:t>
      </w:r>
      <w:r w:rsidRPr="00CE60B2">
        <w:rPr>
          <w:rFonts w:cs="Segoe UI"/>
        </w:rPr>
        <w:t xml:space="preserve"> industry directly contributed around $257</w:t>
      </w:r>
      <w:r w:rsidR="00C8292D">
        <w:rPr>
          <w:rFonts w:cs="Segoe UI"/>
        </w:rPr>
        <w:t> </w:t>
      </w:r>
      <w:r w:rsidRPr="00CE60B2">
        <w:rPr>
          <w:rFonts w:cs="Segoe UI"/>
        </w:rPr>
        <w:t xml:space="preserve">million to </w:t>
      </w:r>
      <w:r>
        <w:rPr>
          <w:rFonts w:cs="Segoe UI"/>
        </w:rPr>
        <w:t>Gross Regional Product (</w:t>
      </w:r>
      <w:r w:rsidRPr="00CE60B2">
        <w:rPr>
          <w:rFonts w:cs="Segoe UI"/>
        </w:rPr>
        <w:t>GRP</w:t>
      </w:r>
      <w:r>
        <w:rPr>
          <w:rFonts w:cs="Segoe UI"/>
        </w:rPr>
        <w:t>)</w:t>
      </w:r>
      <w:r w:rsidRPr="00CE60B2">
        <w:rPr>
          <w:rFonts w:cs="Segoe UI"/>
        </w:rPr>
        <w:t xml:space="preserve"> in WA, and a total of $643</w:t>
      </w:r>
      <w:r w:rsidR="00C8292D">
        <w:rPr>
          <w:rFonts w:cs="Segoe UI"/>
        </w:rPr>
        <w:t> </w:t>
      </w:r>
      <w:r w:rsidRPr="00CE60B2">
        <w:rPr>
          <w:rFonts w:cs="Segoe UI"/>
        </w:rPr>
        <w:t>million once flow-on effects through the entire economy were included. This total included $104</w:t>
      </w:r>
      <w:r w:rsidR="00C8292D">
        <w:rPr>
          <w:rFonts w:cs="Segoe UI"/>
        </w:rPr>
        <w:t> </w:t>
      </w:r>
      <w:r w:rsidRPr="00CE60B2">
        <w:rPr>
          <w:rFonts w:cs="Segoe UI"/>
        </w:rPr>
        <w:t>million dependent on native forests, $274</w:t>
      </w:r>
      <w:r w:rsidR="00C8292D">
        <w:rPr>
          <w:rFonts w:cs="Segoe UI"/>
        </w:rPr>
        <w:t> </w:t>
      </w:r>
      <w:r w:rsidRPr="00CE60B2">
        <w:rPr>
          <w:rFonts w:cs="Segoe UI"/>
        </w:rPr>
        <w:t>million dependent on softwood plantation and $265</w:t>
      </w:r>
      <w:r w:rsidR="00C8292D">
        <w:rPr>
          <w:rFonts w:cs="Segoe UI"/>
        </w:rPr>
        <w:t> </w:t>
      </w:r>
      <w:r w:rsidRPr="00CE60B2">
        <w:rPr>
          <w:rFonts w:cs="Segoe UI"/>
        </w:rPr>
        <w:t>million dependent on hardwood plantations. The contributions to total GRP by region were $162</w:t>
      </w:r>
      <w:r w:rsidR="00C8292D">
        <w:rPr>
          <w:rFonts w:cs="Segoe UI"/>
        </w:rPr>
        <w:t> </w:t>
      </w:r>
      <w:r w:rsidRPr="00CE60B2">
        <w:rPr>
          <w:rFonts w:cs="Segoe UI"/>
        </w:rPr>
        <w:t>million in the Great Southern and Esperance, $327</w:t>
      </w:r>
      <w:r w:rsidR="00C8292D">
        <w:rPr>
          <w:rFonts w:cs="Segoe UI"/>
        </w:rPr>
        <w:t> </w:t>
      </w:r>
      <w:r w:rsidRPr="00CE60B2">
        <w:rPr>
          <w:rFonts w:cs="Segoe UI"/>
        </w:rPr>
        <w:t>million in the South West and $26</w:t>
      </w:r>
      <w:r w:rsidR="00C8292D">
        <w:rPr>
          <w:rFonts w:cs="Segoe UI"/>
        </w:rPr>
        <w:t> </w:t>
      </w:r>
      <w:r w:rsidRPr="00CE60B2">
        <w:rPr>
          <w:rFonts w:cs="Segoe UI"/>
        </w:rPr>
        <w:t xml:space="preserve">million in the Wheatbelt, with the remainder in Perth or other parts of WA. (Schirmer </w:t>
      </w:r>
      <w:r w:rsidRPr="00431BB3">
        <w:rPr>
          <w:rFonts w:cs="Segoe UI"/>
          <w:i/>
        </w:rPr>
        <w:t>et al.</w:t>
      </w:r>
      <w:r>
        <w:rPr>
          <w:rFonts w:cs="Segoe UI"/>
        </w:rPr>
        <w:t xml:space="preserve"> 2017</w:t>
      </w:r>
      <w:r w:rsidRPr="00CE60B2">
        <w:rPr>
          <w:rFonts w:cs="Segoe UI"/>
        </w:rPr>
        <w:t>)</w:t>
      </w:r>
      <w:r>
        <w:rPr>
          <w:rFonts w:cs="Segoe UI"/>
        </w:rPr>
        <w:t>.</w:t>
      </w:r>
    </w:p>
    <w:p w14:paraId="26ABD42C" w14:textId="77777777" w:rsidR="005D0055" w:rsidRDefault="005D0055" w:rsidP="009C117A">
      <w:pPr>
        <w:rPr>
          <w:rFonts w:cs="Segoe UI"/>
        </w:rPr>
      </w:pPr>
      <w:r>
        <w:rPr>
          <w:rFonts w:cs="Segoe UI"/>
        </w:rPr>
        <w:t xml:space="preserve">The volume of wood products harvested </w:t>
      </w:r>
      <w:r w:rsidR="003F27DC">
        <w:rPr>
          <w:rFonts w:cs="Segoe UI"/>
        </w:rPr>
        <w:t xml:space="preserve">from native forests </w:t>
      </w:r>
      <w:r>
        <w:rPr>
          <w:rFonts w:cs="Segoe UI"/>
        </w:rPr>
        <w:t>in Western Australia has decreased significantly since the signing of the WA RFA. Between 1999 and 2009, additions to the reserve system re</w:t>
      </w:r>
      <w:r w:rsidR="002E2C21">
        <w:rPr>
          <w:rFonts w:cs="Segoe UI"/>
        </w:rPr>
        <w:t>duc</w:t>
      </w:r>
      <w:r>
        <w:rPr>
          <w:rFonts w:cs="Segoe UI"/>
        </w:rPr>
        <w:t>ed th</w:t>
      </w:r>
      <w:r w:rsidR="00D97CBC">
        <w:rPr>
          <w:rFonts w:cs="Segoe UI"/>
        </w:rPr>
        <w:t>e available sawlog volume by 54 </w:t>
      </w:r>
      <w:r>
        <w:rPr>
          <w:rFonts w:cs="Segoe UI"/>
        </w:rPr>
        <w:t>per</w:t>
      </w:r>
      <w:r w:rsidR="00D97CBC">
        <w:rPr>
          <w:rFonts w:cs="Segoe UI"/>
        </w:rPr>
        <w:t> cent for jarrah and 70 </w:t>
      </w:r>
      <w:r>
        <w:rPr>
          <w:rFonts w:cs="Segoe UI"/>
        </w:rPr>
        <w:t>per</w:t>
      </w:r>
      <w:r w:rsidR="00D97CBC">
        <w:rPr>
          <w:rFonts w:cs="Segoe UI"/>
        </w:rPr>
        <w:t> </w:t>
      </w:r>
      <w:r>
        <w:rPr>
          <w:rFonts w:cs="Segoe UI"/>
        </w:rPr>
        <w:t>cent for karri relative to the original agreed</w:t>
      </w:r>
      <w:r w:rsidR="00D97CBC">
        <w:rPr>
          <w:rFonts w:cs="Segoe UI"/>
        </w:rPr>
        <w:t xml:space="preserve"> figures in Clause 75 of the WA </w:t>
      </w:r>
      <w:r>
        <w:rPr>
          <w:rFonts w:cs="Segoe UI"/>
        </w:rPr>
        <w:t xml:space="preserve">RFA. Between </w:t>
      </w:r>
      <w:r w:rsidR="007C1E10">
        <w:rPr>
          <w:rFonts w:cs="Segoe UI"/>
        </w:rPr>
        <w:t xml:space="preserve">2006 and 2016, </w:t>
      </w:r>
      <w:r w:rsidR="002D56EB">
        <w:rPr>
          <w:rFonts w:cs="Segoe UI"/>
        </w:rPr>
        <w:t>volumes</w:t>
      </w:r>
      <w:r w:rsidR="007C1E10">
        <w:rPr>
          <w:rFonts w:cs="Segoe UI"/>
        </w:rPr>
        <w:t xml:space="preserve"> of logs harvested remained relatively stable, however the log volumes produced from native forest has decreased while production from hardwood plantations has increased. Wood production from softwood plantations has remained stable.</w:t>
      </w:r>
    </w:p>
    <w:p w14:paraId="26ABD42D" w14:textId="77777777" w:rsidR="002E2C21" w:rsidRDefault="002E2C21" w:rsidP="009C117A">
      <w:pPr>
        <w:rPr>
          <w:rFonts w:cs="Segoe UI"/>
        </w:rPr>
      </w:pPr>
      <w:r>
        <w:rPr>
          <w:rFonts w:cs="Segoe UI"/>
        </w:rPr>
        <w:t xml:space="preserve">The volume of sawlog products extracted is anticipated to remain relatively constant into the future. The volume of other bole volume is expected to increase, as higher value markets are found for this material. Removal of other bole volume will enhance regeneration and provide forest health </w:t>
      </w:r>
      <w:r w:rsidR="002D56EB">
        <w:rPr>
          <w:rFonts w:cs="Segoe UI"/>
        </w:rPr>
        <w:t>benefits</w:t>
      </w:r>
      <w:r>
        <w:rPr>
          <w:rFonts w:cs="Segoe UI"/>
        </w:rPr>
        <w:t xml:space="preserve">. Greater removal of other bole volume is a key recommendation of the draft </w:t>
      </w:r>
      <w:r w:rsidR="00D97CBC">
        <w:rPr>
          <w:rFonts w:cs="Segoe UI"/>
        </w:rPr>
        <w:t>FMP 2014</w:t>
      </w:r>
      <w:r w:rsidR="00D97CBC">
        <w:rPr>
          <w:rFonts w:cs="Segoe UI"/>
        </w:rPr>
        <w:noBreakHyphen/>
      </w:r>
      <w:r w:rsidR="000D7979">
        <w:rPr>
          <w:rFonts w:cs="Segoe UI"/>
        </w:rPr>
        <w:t>2023</w:t>
      </w:r>
      <w:r w:rsidR="00D97CBC">
        <w:rPr>
          <w:rFonts w:cs="Segoe UI"/>
        </w:rPr>
        <w:t xml:space="preserve"> mid</w:t>
      </w:r>
      <w:r w:rsidR="00D97CBC">
        <w:rPr>
          <w:rFonts w:cs="Segoe UI"/>
        </w:rPr>
        <w:noBreakHyphen/>
      </w:r>
      <w:r>
        <w:rPr>
          <w:rFonts w:cs="Segoe UI"/>
        </w:rPr>
        <w:t>term review.</w:t>
      </w:r>
    </w:p>
    <w:p w14:paraId="26ABD42E" w14:textId="77777777" w:rsidR="005A3165" w:rsidRPr="00CE60B2" w:rsidRDefault="005A3165" w:rsidP="005A3165">
      <w:pPr>
        <w:rPr>
          <w:rFonts w:cs="Segoe UI"/>
          <w:color w:val="000000" w:themeColor="text1"/>
        </w:rPr>
      </w:pPr>
      <w:r>
        <w:rPr>
          <w:rFonts w:cs="Segoe UI"/>
          <w:color w:val="000000" w:themeColor="text1"/>
        </w:rPr>
        <w:t xml:space="preserve">It is expected that the long-term productive capacity of the forests in the RFA region will be affected by higher atmospheric carbon dioxide concentrations and associated drier and warmer conditions as a result of climate change. DBCA have incorporated consideration of climate change into sustained yield calculations by modelling a high severity climate change scenario in calculations. WA </w:t>
      </w:r>
      <w:r w:rsidR="003F27DC">
        <w:rPr>
          <w:rFonts w:cs="Segoe UI"/>
          <w:color w:val="000000" w:themeColor="text1"/>
        </w:rPr>
        <w:t xml:space="preserve">will </w:t>
      </w:r>
      <w:r>
        <w:rPr>
          <w:rFonts w:cs="Segoe UI"/>
          <w:color w:val="000000" w:themeColor="text1"/>
        </w:rPr>
        <w:t xml:space="preserve">seek to sustain the productive capacity of forest ecosystems and plantations as they adapt to climate change. </w:t>
      </w:r>
    </w:p>
    <w:p w14:paraId="26ABD42F" w14:textId="77777777" w:rsidR="009C117A" w:rsidRDefault="009C117A" w:rsidP="009C117A">
      <w:pPr>
        <w:rPr>
          <w:rFonts w:cs="Segoe UI"/>
          <w:i/>
        </w:rPr>
      </w:pPr>
      <w:r>
        <w:rPr>
          <w:rFonts w:cs="Segoe UI"/>
          <w:i/>
        </w:rPr>
        <w:t>Values, quantities and use of non-wood forest products</w:t>
      </w:r>
    </w:p>
    <w:p w14:paraId="26ABD430" w14:textId="77777777" w:rsidR="009C117A" w:rsidRDefault="009C117A" w:rsidP="009C117A">
      <w:pPr>
        <w:rPr>
          <w:rFonts w:cs="Segoe UI"/>
          <w:lang w:eastAsia="ja-JP"/>
        </w:rPr>
      </w:pPr>
      <w:r w:rsidRPr="00CE60B2">
        <w:rPr>
          <w:rFonts w:cs="Segoe UI"/>
          <w:lang w:eastAsia="ja-JP"/>
        </w:rPr>
        <w:t>Monitoring the supply and sale of non-wood products from forests helps forest managers understand the extent to which forests remain an important multiple-use resource, supplying products sought by the community</w:t>
      </w:r>
      <w:r>
        <w:rPr>
          <w:rFonts w:cs="Segoe UI"/>
          <w:lang w:eastAsia="ja-JP"/>
        </w:rPr>
        <w:t xml:space="preserve">. </w:t>
      </w:r>
    </w:p>
    <w:p w14:paraId="26ABD431" w14:textId="77B411EC" w:rsidR="009C117A" w:rsidRDefault="009C117A" w:rsidP="009C117A">
      <w:pPr>
        <w:rPr>
          <w:rFonts w:cs="Segoe UI"/>
          <w:lang w:eastAsia="ja-JP"/>
        </w:rPr>
      </w:pPr>
      <w:r>
        <w:rPr>
          <w:rFonts w:cs="Segoe UI"/>
          <w:lang w:eastAsia="ja-JP"/>
        </w:rPr>
        <w:t xml:space="preserve">Within the RFA region </w:t>
      </w:r>
      <w:r w:rsidR="00C921AB">
        <w:rPr>
          <w:rFonts w:cs="Segoe UI"/>
          <w:lang w:eastAsia="ja-JP"/>
        </w:rPr>
        <w:t>potable water from managed catchments, and water supplies for irrigation and industrial uses are a major product from the native forests. T</w:t>
      </w:r>
      <w:r>
        <w:rPr>
          <w:rFonts w:cs="Segoe UI"/>
          <w:lang w:eastAsia="ja-JP"/>
        </w:rPr>
        <w:t xml:space="preserve">here are </w:t>
      </w:r>
      <w:r w:rsidR="00C921AB">
        <w:rPr>
          <w:rFonts w:cs="Segoe UI"/>
          <w:lang w:eastAsia="ja-JP"/>
        </w:rPr>
        <w:t xml:space="preserve">also </w:t>
      </w:r>
      <w:r>
        <w:rPr>
          <w:rFonts w:cs="Segoe UI"/>
          <w:lang w:eastAsia="ja-JP"/>
        </w:rPr>
        <w:t xml:space="preserve">substantial mining enterprises operating in </w:t>
      </w:r>
      <w:r w:rsidR="00C921AB">
        <w:rPr>
          <w:rFonts w:cs="Segoe UI"/>
          <w:lang w:eastAsia="ja-JP"/>
        </w:rPr>
        <w:t xml:space="preserve">the </w:t>
      </w:r>
      <w:r>
        <w:rPr>
          <w:rFonts w:cs="Segoe UI"/>
          <w:lang w:eastAsia="ja-JP"/>
        </w:rPr>
        <w:t>forest areas, including mining for bauxite, gold, lithium/ tantalum and coal. Th</w:t>
      </w:r>
      <w:r w:rsidR="00C921AB">
        <w:rPr>
          <w:rFonts w:cs="Segoe UI"/>
          <w:lang w:eastAsia="ja-JP"/>
        </w:rPr>
        <w:t>roughout the period of the RFA th</w:t>
      </w:r>
      <w:r>
        <w:rPr>
          <w:rFonts w:cs="Segoe UI"/>
          <w:lang w:eastAsia="ja-JP"/>
        </w:rPr>
        <w:t xml:space="preserve">e mining industry </w:t>
      </w:r>
      <w:r w:rsidR="00C921AB">
        <w:rPr>
          <w:rFonts w:cs="Segoe UI"/>
          <w:lang w:eastAsia="ja-JP"/>
        </w:rPr>
        <w:t xml:space="preserve">has been a major </w:t>
      </w:r>
      <w:r>
        <w:rPr>
          <w:rFonts w:cs="Segoe UI"/>
          <w:lang w:eastAsia="ja-JP"/>
        </w:rPr>
        <w:t>contribut</w:t>
      </w:r>
      <w:r w:rsidR="00C921AB">
        <w:rPr>
          <w:rFonts w:cs="Segoe UI"/>
          <w:lang w:eastAsia="ja-JP"/>
        </w:rPr>
        <w:t>or to the economic wealth and prosperity of the south-west, and this</w:t>
      </w:r>
      <w:r>
        <w:rPr>
          <w:rFonts w:cs="Segoe UI"/>
          <w:lang w:eastAsia="ja-JP"/>
        </w:rPr>
        <w:t xml:space="preserve"> is expected to continue, </w:t>
      </w:r>
      <w:r w:rsidR="00C921AB">
        <w:rPr>
          <w:rFonts w:cs="Segoe UI"/>
          <w:lang w:eastAsia="ja-JP"/>
        </w:rPr>
        <w:t>due to the range and high demand for minerals</w:t>
      </w:r>
      <w:r>
        <w:rPr>
          <w:rFonts w:cs="Segoe UI"/>
          <w:lang w:eastAsia="ja-JP"/>
        </w:rPr>
        <w:t xml:space="preserve"> extract</w:t>
      </w:r>
      <w:r w:rsidR="00C921AB">
        <w:rPr>
          <w:rFonts w:cs="Segoe UI"/>
          <w:lang w:eastAsia="ja-JP"/>
        </w:rPr>
        <w:t>ed</w:t>
      </w:r>
      <w:r>
        <w:rPr>
          <w:rFonts w:cs="Segoe UI"/>
          <w:lang w:eastAsia="ja-JP"/>
        </w:rPr>
        <w:t xml:space="preserve"> in the region</w:t>
      </w:r>
      <w:r w:rsidR="00C921AB">
        <w:rPr>
          <w:rFonts w:cs="Segoe UI"/>
          <w:lang w:eastAsia="ja-JP"/>
        </w:rPr>
        <w:t>.</w:t>
      </w:r>
    </w:p>
    <w:p w14:paraId="26ABD432" w14:textId="77777777" w:rsidR="009C117A" w:rsidRDefault="009C117A" w:rsidP="009C117A">
      <w:pPr>
        <w:rPr>
          <w:rFonts w:cs="Segoe UI"/>
          <w:lang w:eastAsia="ja-JP"/>
        </w:rPr>
      </w:pPr>
      <w:r>
        <w:rPr>
          <w:rFonts w:cs="Segoe UI"/>
          <w:lang w:eastAsia="ja-JP"/>
        </w:rPr>
        <w:lastRenderedPageBreak/>
        <w:t>Honey and bee products are an e</w:t>
      </w:r>
      <w:r w:rsidR="00C921AB">
        <w:rPr>
          <w:rFonts w:cs="Segoe UI"/>
          <w:lang w:eastAsia="ja-JP"/>
        </w:rPr>
        <w:t>xpanding</w:t>
      </w:r>
      <w:r>
        <w:rPr>
          <w:rFonts w:cs="Segoe UI"/>
          <w:lang w:eastAsia="ja-JP"/>
        </w:rPr>
        <w:t xml:space="preserve"> industry in WA. Bee products from the region are </w:t>
      </w:r>
      <w:r w:rsidR="00C921AB">
        <w:rPr>
          <w:rFonts w:cs="Segoe UI"/>
          <w:lang w:eastAsia="ja-JP"/>
        </w:rPr>
        <w:t xml:space="preserve">reputed to be </w:t>
      </w:r>
      <w:r>
        <w:rPr>
          <w:rFonts w:cs="Segoe UI"/>
          <w:lang w:eastAsia="ja-JP"/>
        </w:rPr>
        <w:t>among the best in the world</w:t>
      </w:r>
      <w:r w:rsidR="00C921AB">
        <w:rPr>
          <w:rFonts w:cs="Segoe UI"/>
          <w:lang w:eastAsia="ja-JP"/>
        </w:rPr>
        <w:t xml:space="preserve">, with the RFA region noted for </w:t>
      </w:r>
      <w:r>
        <w:rPr>
          <w:rFonts w:cs="Segoe UI"/>
          <w:lang w:eastAsia="ja-JP"/>
        </w:rPr>
        <w:t>the absence of bee diseases. Jarrah honey also has one of the highest levels of anti-microbial activit</w:t>
      </w:r>
      <w:r w:rsidR="00C921AB">
        <w:rPr>
          <w:rFonts w:cs="Segoe UI"/>
          <w:lang w:eastAsia="ja-JP"/>
        </w:rPr>
        <w:t>y, and r</w:t>
      </w:r>
      <w:r>
        <w:rPr>
          <w:rFonts w:cs="Segoe UI"/>
          <w:lang w:eastAsia="ja-JP"/>
        </w:rPr>
        <w:t>ecent increases in the export price of honey has increased the value of apiary sites</w:t>
      </w:r>
      <w:r w:rsidR="00C921AB">
        <w:rPr>
          <w:rFonts w:cs="Segoe UI"/>
          <w:lang w:eastAsia="ja-JP"/>
        </w:rPr>
        <w:t>.</w:t>
      </w:r>
      <w:r>
        <w:rPr>
          <w:rFonts w:cs="Segoe UI"/>
          <w:lang w:eastAsia="ja-JP"/>
        </w:rPr>
        <w:t xml:space="preserve"> </w:t>
      </w:r>
      <w:r w:rsidR="00C921AB">
        <w:rPr>
          <w:rFonts w:cs="Segoe UI"/>
          <w:lang w:eastAsia="ja-JP"/>
        </w:rPr>
        <w:t>The high level of e</w:t>
      </w:r>
      <w:r>
        <w:rPr>
          <w:rFonts w:cs="Segoe UI"/>
          <w:lang w:eastAsia="ja-JP"/>
        </w:rPr>
        <w:t xml:space="preserve">xport demand is expected to continue in the future. </w:t>
      </w:r>
    </w:p>
    <w:p w14:paraId="26ABD433" w14:textId="77777777" w:rsidR="009C117A" w:rsidRDefault="00C921AB" w:rsidP="009C117A">
      <w:pPr>
        <w:rPr>
          <w:rFonts w:cs="Segoe UI"/>
          <w:lang w:eastAsia="ja-JP"/>
        </w:rPr>
      </w:pPr>
      <w:r>
        <w:rPr>
          <w:rFonts w:cs="Segoe UI"/>
          <w:lang w:eastAsia="ja-JP"/>
        </w:rPr>
        <w:t>T</w:t>
      </w:r>
      <w:r w:rsidR="009C117A">
        <w:rPr>
          <w:rFonts w:cs="Segoe UI"/>
          <w:lang w:eastAsia="ja-JP"/>
        </w:rPr>
        <w:t xml:space="preserve">he RFA area </w:t>
      </w:r>
      <w:r>
        <w:rPr>
          <w:rFonts w:cs="Segoe UI"/>
          <w:lang w:eastAsia="ja-JP"/>
        </w:rPr>
        <w:t xml:space="preserve">also </w:t>
      </w:r>
      <w:r w:rsidR="009C117A">
        <w:rPr>
          <w:rFonts w:cs="Segoe UI"/>
          <w:lang w:eastAsia="ja-JP"/>
        </w:rPr>
        <w:t xml:space="preserve">accommodates over 40 leases and licences for telecommunication facilities, plus 216 general leases and licences for purposes including grazing, recreation, tourism, dam sites, rubbish disposal, sawmills and basic raw materials. </w:t>
      </w:r>
      <w:r w:rsidR="009F4FB8">
        <w:rPr>
          <w:rFonts w:cs="Segoe UI"/>
          <w:lang w:eastAsia="ja-JP"/>
        </w:rPr>
        <w:t xml:space="preserve">The issuing of </w:t>
      </w:r>
      <w:r w:rsidR="009C117A">
        <w:rPr>
          <w:rFonts w:cs="Segoe UI"/>
          <w:lang w:eastAsia="ja-JP"/>
        </w:rPr>
        <w:t>licences will continue to be considered on a case by case basis and assessed in line with relevant legislation, policies and agreements, including the WA</w:t>
      </w:r>
      <w:r w:rsidR="00C8292D">
        <w:rPr>
          <w:rFonts w:cs="Segoe UI"/>
          <w:lang w:eastAsia="ja-JP"/>
        </w:rPr>
        <w:t> </w:t>
      </w:r>
      <w:r w:rsidR="009C117A">
        <w:rPr>
          <w:rFonts w:cs="Segoe UI"/>
          <w:lang w:eastAsia="ja-JP"/>
        </w:rPr>
        <w:t>RFA.</w:t>
      </w:r>
    </w:p>
    <w:p w14:paraId="26ABD434" w14:textId="77777777" w:rsidR="009C117A" w:rsidRDefault="009C117A" w:rsidP="009C117A">
      <w:pPr>
        <w:rPr>
          <w:rFonts w:cs="Segoe UI"/>
          <w:i/>
        </w:rPr>
      </w:pPr>
      <w:r w:rsidRPr="00163B0A">
        <w:rPr>
          <w:rFonts w:cs="Segoe UI"/>
          <w:i/>
        </w:rPr>
        <w:t>Value of forest based services</w:t>
      </w:r>
    </w:p>
    <w:p w14:paraId="26ABD435" w14:textId="77777777" w:rsidR="00163B0A" w:rsidRDefault="00163B0A" w:rsidP="00163B0A">
      <w:pPr>
        <w:rPr>
          <w:rFonts w:cs="Segoe UI"/>
        </w:rPr>
      </w:pPr>
      <w:r>
        <w:rPr>
          <w:rFonts w:cs="Segoe UI"/>
        </w:rPr>
        <w:t xml:space="preserve">Forest based services include ecosystem services, carbon credits, salinity mitigation and ecotourism. Forest based services provide economic value and contribute to forest sustainability by providing social and environmental benefit. </w:t>
      </w:r>
    </w:p>
    <w:p w14:paraId="26ABD436" w14:textId="77777777" w:rsidR="00163B0A" w:rsidRPr="004F028E" w:rsidRDefault="00163B0A" w:rsidP="00163B0A">
      <w:pPr>
        <w:rPr>
          <w:rFonts w:cs="Segoe UI"/>
        </w:rPr>
      </w:pPr>
      <w:r>
        <w:rPr>
          <w:rFonts w:cs="Segoe UI"/>
        </w:rPr>
        <w:t>The level of understanding about the role of forests in carbon storage is high and increasing, with</w:t>
      </w:r>
      <w:r w:rsidR="00FA4769">
        <w:rPr>
          <w:rFonts w:cs="Segoe UI"/>
        </w:rPr>
        <w:t xml:space="preserve"> surveys indicating</w:t>
      </w:r>
      <w:r w:rsidR="00D97CBC">
        <w:rPr>
          <w:rFonts w:cs="Segoe UI"/>
        </w:rPr>
        <w:t xml:space="preserve"> 71 per </w:t>
      </w:r>
      <w:r>
        <w:rPr>
          <w:rFonts w:cs="Segoe UI"/>
        </w:rPr>
        <w:t>cent of people acknowledg</w:t>
      </w:r>
      <w:r w:rsidR="00FA4769">
        <w:rPr>
          <w:rFonts w:cs="Segoe UI"/>
        </w:rPr>
        <w:t>e</w:t>
      </w:r>
      <w:r>
        <w:rPr>
          <w:rFonts w:cs="Segoe UI"/>
        </w:rPr>
        <w:t xml:space="preserve"> that carbon is stored in wood even after the tree is harvested. The provision and importance of forest based services is expected to grow as these benefits become better measured and more highly valued.</w:t>
      </w:r>
    </w:p>
    <w:p w14:paraId="26ABD437" w14:textId="77777777" w:rsidR="009C117A" w:rsidRDefault="009C117A" w:rsidP="009C117A">
      <w:pPr>
        <w:rPr>
          <w:rFonts w:cs="Segoe UI"/>
          <w:i/>
        </w:rPr>
      </w:pPr>
      <w:r>
        <w:rPr>
          <w:rFonts w:cs="Segoe UI"/>
          <w:i/>
        </w:rPr>
        <w:t>Production and consumption and import/export of wood, wood products and non-wood products</w:t>
      </w:r>
    </w:p>
    <w:p w14:paraId="26ABD438" w14:textId="77777777" w:rsidR="009C117A" w:rsidRDefault="009C117A" w:rsidP="009C117A">
      <w:pPr>
        <w:rPr>
          <w:rFonts w:cs="Segoe UI"/>
        </w:rPr>
      </w:pPr>
      <w:r>
        <w:rPr>
          <w:rFonts w:cs="Segoe UI"/>
        </w:rPr>
        <w:t>Australia is a net importer of wood and wood products</w:t>
      </w:r>
      <w:r w:rsidR="004414DF" w:rsidRPr="004414DF">
        <w:rPr>
          <w:rFonts w:cs="Segoe UI"/>
        </w:rPr>
        <w:t>, and is expected to remain so under current policy and market conditions. Changes in the future to export markets may change the value and volume of wood exported or imported from overseas</w:t>
      </w:r>
      <w:r w:rsidR="001A05D3">
        <w:rPr>
          <w:rFonts w:cs="Segoe UI"/>
        </w:rPr>
        <w:t>. The expansion of the plantation estate is planned to ensure that there is a continuing softwood resource and that industries dependent on this resource are not solely exposed to imports and market fluctuations.</w:t>
      </w:r>
    </w:p>
    <w:p w14:paraId="26ABD439" w14:textId="77777777" w:rsidR="009C117A" w:rsidRDefault="009C117A" w:rsidP="009C117A">
      <w:pPr>
        <w:rPr>
          <w:rFonts w:cs="Segoe UI"/>
          <w:color w:val="000000" w:themeColor="text1"/>
        </w:rPr>
      </w:pPr>
      <w:r w:rsidRPr="00CE60B2">
        <w:rPr>
          <w:rFonts w:cs="Segoe UI"/>
          <w:color w:val="000000" w:themeColor="text1"/>
        </w:rPr>
        <w:t>Information on the production, consumption and trade of non-wood forest products is often difficult to obtain because of the generally small size of industries based on these products and their dispersed nature. Non-wood forest produc</w:t>
      </w:r>
      <w:r w:rsidR="00C10562">
        <w:rPr>
          <w:rFonts w:cs="Segoe UI"/>
          <w:color w:val="000000" w:themeColor="text1"/>
        </w:rPr>
        <w:t>ts can include honey, flowers,</w:t>
      </w:r>
      <w:r w:rsidRPr="00CE60B2">
        <w:rPr>
          <w:rFonts w:cs="Segoe UI"/>
          <w:color w:val="000000" w:themeColor="text1"/>
        </w:rPr>
        <w:t xml:space="preserve"> minerals, and bark. </w:t>
      </w:r>
    </w:p>
    <w:p w14:paraId="26ABD43A" w14:textId="77777777" w:rsidR="005774C8" w:rsidRDefault="009C117A" w:rsidP="009C117A">
      <w:pPr>
        <w:rPr>
          <w:rFonts w:cs="Segoe UI"/>
          <w:color w:val="000000" w:themeColor="text1"/>
        </w:rPr>
      </w:pPr>
      <w:r>
        <w:rPr>
          <w:rFonts w:cs="Segoe UI"/>
          <w:color w:val="000000" w:themeColor="text1"/>
        </w:rPr>
        <w:t>It is expected that the long-term productive capacity of the forests in the RFA region will be affected by higher atmospheric carbon dioxide concentrations and associated drier and warmer conditions as a result of climate change. DBCA have incorporated consideration of climate change into sustain</w:t>
      </w:r>
      <w:r w:rsidR="006C4F37">
        <w:rPr>
          <w:rFonts w:cs="Segoe UI"/>
          <w:color w:val="000000" w:themeColor="text1"/>
        </w:rPr>
        <w:t>ed</w:t>
      </w:r>
      <w:r>
        <w:rPr>
          <w:rFonts w:cs="Segoe UI"/>
          <w:color w:val="000000" w:themeColor="text1"/>
        </w:rPr>
        <w:t xml:space="preserve"> yield calculations by modelling a high severity climate change scenario in calculations. Western Australia seek to sustain the productive capacity of forest ecosystems and plantations as they adapt to climate change. </w:t>
      </w:r>
    </w:p>
    <w:p w14:paraId="26ABD43B" w14:textId="77777777" w:rsidR="009C117A" w:rsidRDefault="009C117A" w:rsidP="009C117A">
      <w:pPr>
        <w:rPr>
          <w:rFonts w:cs="Segoe UI"/>
          <w:color w:val="000000" w:themeColor="text1"/>
        </w:rPr>
      </w:pPr>
      <w:r>
        <w:rPr>
          <w:rFonts w:cs="Segoe UI"/>
          <w:color w:val="000000" w:themeColor="text1"/>
        </w:rPr>
        <w:t xml:space="preserve">The projected increase in bushfire frequency, intensity and scale and prolonged droughts will also influence the productive capacity of forests into the future. It is likely that the </w:t>
      </w:r>
      <w:r w:rsidR="00FA4769">
        <w:rPr>
          <w:rFonts w:cs="Segoe UI"/>
          <w:color w:val="000000" w:themeColor="text1"/>
        </w:rPr>
        <w:t xml:space="preserve">comparative mix of </w:t>
      </w:r>
      <w:r>
        <w:rPr>
          <w:rFonts w:cs="Segoe UI"/>
          <w:color w:val="000000" w:themeColor="text1"/>
        </w:rPr>
        <w:t>product</w:t>
      </w:r>
      <w:r w:rsidR="00FA4769">
        <w:rPr>
          <w:rFonts w:cs="Segoe UI"/>
          <w:color w:val="000000" w:themeColor="text1"/>
        </w:rPr>
        <w:t>s</w:t>
      </w:r>
      <w:r>
        <w:rPr>
          <w:rFonts w:cs="Segoe UI"/>
          <w:color w:val="000000" w:themeColor="text1"/>
        </w:rPr>
        <w:t xml:space="preserve"> from forests in the WA</w:t>
      </w:r>
      <w:r w:rsidR="00C8292D">
        <w:rPr>
          <w:rFonts w:cs="Segoe UI"/>
          <w:color w:val="000000" w:themeColor="text1"/>
        </w:rPr>
        <w:t> </w:t>
      </w:r>
      <w:r>
        <w:rPr>
          <w:rFonts w:cs="Segoe UI"/>
          <w:color w:val="000000" w:themeColor="text1"/>
        </w:rPr>
        <w:t xml:space="preserve">RFA region will also change overtime. The size and quality of sawlogs produced has already changed significantly as a result of the level of reservation introduced since 1999, with a greater and ongoing shift to reliance on regrowth forests and a higher proportion of smaller, lower quality stems. </w:t>
      </w:r>
    </w:p>
    <w:p w14:paraId="1C7DA17E" w14:textId="77777777" w:rsidR="007902D9" w:rsidRDefault="007902D9">
      <w:pPr>
        <w:spacing w:before="0" w:after="480" w:line="276" w:lineRule="auto"/>
        <w:rPr>
          <w:rFonts w:cs="Segoe UI"/>
          <w:i/>
        </w:rPr>
      </w:pPr>
      <w:r>
        <w:rPr>
          <w:rFonts w:cs="Segoe UI"/>
          <w:i/>
        </w:rPr>
        <w:br w:type="page"/>
      </w:r>
    </w:p>
    <w:p w14:paraId="26ABD43C" w14:textId="3D2701D2" w:rsidR="009C117A" w:rsidRDefault="009C117A" w:rsidP="009C117A">
      <w:pPr>
        <w:rPr>
          <w:rFonts w:cs="Segoe UI"/>
          <w:i/>
        </w:rPr>
      </w:pPr>
      <w:r>
        <w:rPr>
          <w:rFonts w:cs="Segoe UI"/>
          <w:i/>
        </w:rPr>
        <w:lastRenderedPageBreak/>
        <w:t>Degree of recycling of forest products</w:t>
      </w:r>
    </w:p>
    <w:p w14:paraId="26ABD43D" w14:textId="77777777" w:rsidR="009C117A" w:rsidRDefault="009C117A" w:rsidP="009C117A">
      <w:pPr>
        <w:rPr>
          <w:rFonts w:cs="Segoe UI"/>
        </w:rPr>
      </w:pPr>
      <w:r w:rsidRPr="00CE60B2">
        <w:rPr>
          <w:rFonts w:cs="Segoe UI"/>
        </w:rPr>
        <w:t>As global demand for forest products increase, there is a growing need to meet societal demands for recycling of forest products.</w:t>
      </w:r>
      <w:r w:rsidRPr="00623D6F">
        <w:rPr>
          <w:rFonts w:cs="Segoe UI"/>
        </w:rPr>
        <w:t xml:space="preserve"> </w:t>
      </w:r>
      <w:r>
        <w:rPr>
          <w:rFonts w:cs="Segoe UI"/>
        </w:rPr>
        <w:t>T</w:t>
      </w:r>
      <w:r w:rsidRPr="00EC2623">
        <w:rPr>
          <w:rFonts w:cs="Segoe UI"/>
        </w:rPr>
        <w:t>he Hazelmere Recycling Centre which is managed by the Eastern Metropolitan Regional Council is the major timber recycling facility in the Perth and Peel regions. The centre accepts untreated timbers which are sorted, ground and screened to produce bedding for the poultry industry, particle board, compost, wood chips and mulch. There are also smaller-scale businesses that salvage and reuse timber (e</w:t>
      </w:r>
      <w:r w:rsidR="00D97CBC">
        <w:rPr>
          <w:rFonts w:cs="Segoe UI"/>
        </w:rPr>
        <w:t>.g. </w:t>
      </w:r>
      <w:r w:rsidRPr="00EC2623">
        <w:rPr>
          <w:rFonts w:cs="Segoe UI"/>
        </w:rPr>
        <w:t>reclaiming timber for floor boards and decking, reuse of wooden pallets)</w:t>
      </w:r>
      <w:r>
        <w:rPr>
          <w:rFonts w:cs="Segoe UI"/>
        </w:rPr>
        <w:t xml:space="preserve">. </w:t>
      </w:r>
      <w:r w:rsidRPr="00EC2623">
        <w:rPr>
          <w:lang w:eastAsia="ja-JP"/>
        </w:rPr>
        <w:t>Wood/timber waste is a significant contributor to the total organic waste for Western Australia, contributing to 14.9 per cent of total recovered organics</w:t>
      </w:r>
      <w:r>
        <w:rPr>
          <w:lang w:eastAsia="ja-JP"/>
        </w:rPr>
        <w:t xml:space="preserve">. </w:t>
      </w:r>
      <w:r w:rsidRPr="00EC2623">
        <w:rPr>
          <w:lang w:eastAsia="ja-JP"/>
        </w:rPr>
        <w:t>In excess of 225,000 tonnes of paper and cardboard was recovered in Western Australia during 2014</w:t>
      </w:r>
      <w:r w:rsidRPr="00EC2623">
        <w:rPr>
          <w:lang w:eastAsia="ja-JP"/>
        </w:rPr>
        <w:noBreakHyphen/>
        <w:t>15</w:t>
      </w:r>
      <w:r>
        <w:rPr>
          <w:lang w:eastAsia="ja-JP"/>
        </w:rPr>
        <w:t>. There are opportunities for recycling of forest products to play a large role in the future of waste and forest management in the state, including in energy generated from biomass. Western Australia have endorsed the National Waste Policy to increase the recycling of waste products.</w:t>
      </w:r>
    </w:p>
    <w:p w14:paraId="26ABD43E" w14:textId="77777777" w:rsidR="009C117A" w:rsidRDefault="009C117A" w:rsidP="009C117A">
      <w:pPr>
        <w:rPr>
          <w:rFonts w:cs="Segoe UI"/>
          <w:i/>
        </w:rPr>
      </w:pPr>
      <w:r>
        <w:rPr>
          <w:rFonts w:cs="Segoe UI"/>
          <w:i/>
        </w:rPr>
        <w:t>Investment and expenditure in forest management</w:t>
      </w:r>
    </w:p>
    <w:p w14:paraId="26ABD43F" w14:textId="77777777" w:rsidR="009C117A" w:rsidRPr="00B7194F" w:rsidRDefault="009C117A" w:rsidP="009C117A">
      <w:pPr>
        <w:rPr>
          <w:rFonts w:cs="Segoe UI"/>
        </w:rPr>
      </w:pPr>
      <w:r>
        <w:rPr>
          <w:rFonts w:cs="Segoe UI"/>
        </w:rPr>
        <w:t xml:space="preserve">DBCA works to ensure that Western Australia’s plants and animals and the lands and water under its care are managed appropriately for tourism, water and wood production. FPC is a statutory authority responsible for the sustainable management and development of Western Australia’s forest products industry, using native forest, plantation and sandalwood products on land owned or leased by the state. </w:t>
      </w:r>
    </w:p>
    <w:p w14:paraId="26ABD440" w14:textId="77777777" w:rsidR="009C117A" w:rsidRPr="00711A1A" w:rsidRDefault="009C117A" w:rsidP="009C117A">
      <w:pPr>
        <w:rPr>
          <w:rFonts w:cs="Segoe UI"/>
          <w:i/>
        </w:rPr>
      </w:pPr>
      <w:r>
        <w:rPr>
          <w:rFonts w:cs="Segoe UI"/>
          <w:i/>
        </w:rPr>
        <w:t>Investment in research, development, extension and use of new and improved technologies</w:t>
      </w:r>
    </w:p>
    <w:p w14:paraId="26ABD441" w14:textId="77777777" w:rsidR="009C117A" w:rsidRPr="00CE60B2" w:rsidRDefault="009C117A" w:rsidP="009C117A">
      <w:pPr>
        <w:spacing w:before="0" w:after="0"/>
        <w:rPr>
          <w:rFonts w:cs="Segoe UI"/>
        </w:rPr>
      </w:pPr>
      <w:r w:rsidRPr="00CE60B2">
        <w:rPr>
          <w:rFonts w:cs="Segoe UI"/>
        </w:rPr>
        <w:t>A significant amount of forest ecology research was undertaken prior to the signing of the WA</w:t>
      </w:r>
      <w:r w:rsidR="00AB6AC2">
        <w:rPr>
          <w:rFonts w:cs="Segoe UI"/>
        </w:rPr>
        <w:t> </w:t>
      </w:r>
      <w:r w:rsidRPr="00CE60B2">
        <w:rPr>
          <w:rFonts w:cs="Segoe UI"/>
        </w:rPr>
        <w:t xml:space="preserve">RFA as part of the CRA process, covering specific forest flora, fauna and impacts on forest ecology such as fire and climate change. </w:t>
      </w:r>
      <w:r>
        <w:rPr>
          <w:rFonts w:cs="Segoe UI"/>
        </w:rPr>
        <w:t>Research priorities since the signing of the WA</w:t>
      </w:r>
      <w:r w:rsidR="00AB6AC2">
        <w:rPr>
          <w:rFonts w:cs="Segoe UI"/>
        </w:rPr>
        <w:t> </w:t>
      </w:r>
      <w:r>
        <w:rPr>
          <w:rFonts w:cs="Segoe UI"/>
        </w:rPr>
        <w:t xml:space="preserve">RFA have been articulated in the FMP and remained broadly consistent with the priorities identified in the RFA. </w:t>
      </w:r>
    </w:p>
    <w:p w14:paraId="26ABD443" w14:textId="08409DF5" w:rsidR="0047115D" w:rsidRPr="0047115D" w:rsidRDefault="009C117A" w:rsidP="0047115D">
      <w:pPr>
        <w:rPr>
          <w:rFonts w:cs="Segoe UI"/>
        </w:rPr>
      </w:pPr>
      <w:r>
        <w:rPr>
          <w:rFonts w:cs="Segoe UI"/>
        </w:rPr>
        <w:t xml:space="preserve">DBCA priority research areas include </w:t>
      </w:r>
      <w:r w:rsidRPr="00CE60B2">
        <w:rPr>
          <w:rFonts w:cs="Segoe UI"/>
        </w:rPr>
        <w:t>monitoring of the effects of timber harvesting and silvicultural treatments on fauna and flora, description and documentation of biological diversity through survey and monitoring programs, research into the behaviour and ecological effects of fire, and hydrological studies to quantify changes in streamflow and groundwater associated with timber harvesting and a drying climate.</w:t>
      </w:r>
      <w:r>
        <w:rPr>
          <w:rFonts w:cs="Segoe UI"/>
        </w:rPr>
        <w:t xml:space="preserve"> FPC focus on seeking investment and access to markets for other bole volume, new technologies and processes to reduce production costs, and undertake trials of suitability for various engineered wood products. Industry have invested in improving efficiency and new technology to improve recovery rates, processing speed and value. FPC and DBCA support and encourage private forestry initiatives through a range of measures. Western Australia has also partnered in research conducted by FWPA and the CRC for Forestry.</w:t>
      </w:r>
    </w:p>
    <w:p w14:paraId="26ABD444" w14:textId="77777777" w:rsidR="00B978C3" w:rsidRDefault="00B978C3">
      <w:pPr>
        <w:spacing w:before="0" w:after="480" w:line="276" w:lineRule="auto"/>
        <w:rPr>
          <w:rFonts w:cs="Segoe UI"/>
          <w:b/>
          <w:color w:val="0074A1"/>
          <w:sz w:val="28"/>
          <w:szCs w:val="28"/>
        </w:rPr>
      </w:pPr>
      <w:bookmarkStart w:id="163" w:name="_Toc524952820"/>
      <w:r>
        <w:br w:type="page"/>
      </w:r>
    </w:p>
    <w:p w14:paraId="26ABD445" w14:textId="77777777" w:rsidR="00261F4B" w:rsidRPr="00CE60B2" w:rsidRDefault="000F6020" w:rsidP="00B978C3">
      <w:pPr>
        <w:pStyle w:val="Heading2"/>
      </w:pPr>
      <w:bookmarkStart w:id="164" w:name="_Toc2776063"/>
      <w:r w:rsidRPr="00CE60B2">
        <w:lastRenderedPageBreak/>
        <w:t xml:space="preserve">Section </w:t>
      </w:r>
      <w:r w:rsidR="002C517A">
        <w:t>4</w:t>
      </w:r>
      <w:r w:rsidRPr="00CE60B2">
        <w:t xml:space="preserve">: </w:t>
      </w:r>
      <w:r w:rsidR="00261F4B" w:rsidRPr="00CE60B2">
        <w:t>Social Values</w:t>
      </w:r>
      <w:bookmarkEnd w:id="163"/>
      <w:bookmarkEnd w:id="164"/>
    </w:p>
    <w:p w14:paraId="26ABD446" w14:textId="77777777" w:rsidR="00962D96" w:rsidRPr="00CE60B2" w:rsidRDefault="00D834F8" w:rsidP="00962D96">
      <w:pPr>
        <w:rPr>
          <w:rFonts w:cs="Segoe UI"/>
        </w:rPr>
      </w:pPr>
      <w:r w:rsidRPr="00CE60B2">
        <w:rPr>
          <w:rFonts w:cs="Segoe UI"/>
        </w:rPr>
        <w:t xml:space="preserve">Indicators in this section </w:t>
      </w:r>
      <w:r w:rsidR="00962D96" w:rsidRPr="00CE60B2">
        <w:rPr>
          <w:rFonts w:cs="Segoe UI"/>
        </w:rPr>
        <w:t xml:space="preserve">illustrate the extent to which </w:t>
      </w:r>
      <w:r w:rsidR="004A08C9" w:rsidRPr="00CE60B2">
        <w:rPr>
          <w:rFonts w:cs="Segoe UI"/>
        </w:rPr>
        <w:t>Western Australian</w:t>
      </w:r>
      <w:r w:rsidR="00962D96" w:rsidRPr="00CE60B2">
        <w:rPr>
          <w:rFonts w:cs="Segoe UI"/>
        </w:rPr>
        <w:t xml:space="preserve"> forests contribute to local and state economies, benefit personal and community wellbeing, and support cultural values. Socio-economic data are important measures of the monetary and non-monetary value and benefits of forests to society. In addition, local communities, especially Indigenous communities, have strong social, spiritual and cultural attachments to forests, whether for traditional needs, provision of wood and non-wood forest products and other benefits, direct and indirect employment, or active and passive recreation.</w:t>
      </w:r>
    </w:p>
    <w:p w14:paraId="26ABD447" w14:textId="77777777" w:rsidR="00962D96" w:rsidRPr="00CE60B2" w:rsidRDefault="00962D96" w:rsidP="00962D96">
      <w:pPr>
        <w:rPr>
          <w:rFonts w:cs="Segoe UI"/>
        </w:rPr>
      </w:pPr>
      <w:r w:rsidRPr="00CE60B2">
        <w:rPr>
          <w:rFonts w:cs="Segoe UI"/>
        </w:rPr>
        <w:t>Social values include:</w:t>
      </w:r>
    </w:p>
    <w:p w14:paraId="26ABD448" w14:textId="77777777" w:rsidR="00962D96" w:rsidRPr="00CE60B2" w:rsidRDefault="00962D96" w:rsidP="00C903EE">
      <w:pPr>
        <w:pStyle w:val="bullet"/>
        <w:numPr>
          <w:ilvl w:val="1"/>
          <w:numId w:val="55"/>
        </w:numPr>
        <w:spacing w:before="0" w:after="0"/>
        <w:ind w:left="1134" w:hanging="414"/>
        <w:rPr>
          <w:rFonts w:cs="Segoe UI"/>
        </w:rPr>
      </w:pPr>
      <w:r w:rsidRPr="00CE60B2">
        <w:rPr>
          <w:rFonts w:cs="Segoe UI"/>
        </w:rPr>
        <w:t>Production and consumption</w:t>
      </w:r>
    </w:p>
    <w:p w14:paraId="26ABD449" w14:textId="77777777" w:rsidR="00962D96" w:rsidRPr="00CE60B2" w:rsidRDefault="00962D96" w:rsidP="00C903EE">
      <w:pPr>
        <w:pStyle w:val="bullet"/>
        <w:numPr>
          <w:ilvl w:val="1"/>
          <w:numId w:val="55"/>
        </w:numPr>
        <w:spacing w:before="0" w:after="0"/>
        <w:ind w:left="1134" w:hanging="414"/>
        <w:rPr>
          <w:rFonts w:cs="Segoe UI"/>
        </w:rPr>
      </w:pPr>
      <w:r w:rsidRPr="00CE60B2">
        <w:rPr>
          <w:rFonts w:cs="Segoe UI"/>
        </w:rPr>
        <w:t>Investment</w:t>
      </w:r>
    </w:p>
    <w:p w14:paraId="26ABD44A" w14:textId="77777777" w:rsidR="00962D96" w:rsidRPr="00CE60B2" w:rsidRDefault="00962D96" w:rsidP="00C903EE">
      <w:pPr>
        <w:pStyle w:val="bullet"/>
        <w:numPr>
          <w:ilvl w:val="1"/>
          <w:numId w:val="55"/>
        </w:numPr>
        <w:spacing w:before="0" w:after="0"/>
        <w:ind w:left="1134" w:hanging="414"/>
        <w:rPr>
          <w:rFonts w:cs="Segoe UI"/>
        </w:rPr>
      </w:pPr>
      <w:r w:rsidRPr="00CE60B2">
        <w:rPr>
          <w:rFonts w:cs="Segoe UI"/>
        </w:rPr>
        <w:t>Tourism and recreation</w:t>
      </w:r>
    </w:p>
    <w:p w14:paraId="26ABD44B" w14:textId="77777777" w:rsidR="00962D96" w:rsidRPr="00CE60B2" w:rsidRDefault="00962D96" w:rsidP="00C903EE">
      <w:pPr>
        <w:pStyle w:val="bullet"/>
        <w:numPr>
          <w:ilvl w:val="1"/>
          <w:numId w:val="55"/>
        </w:numPr>
        <w:spacing w:before="0" w:after="0"/>
        <w:ind w:left="1134" w:hanging="414"/>
        <w:rPr>
          <w:rFonts w:cs="Segoe UI"/>
        </w:rPr>
      </w:pPr>
      <w:r w:rsidRPr="00CE60B2">
        <w:rPr>
          <w:rFonts w:cs="Segoe UI"/>
        </w:rPr>
        <w:t>Cultural, spiritual and social values</w:t>
      </w:r>
    </w:p>
    <w:p w14:paraId="26ABD44C" w14:textId="77777777" w:rsidR="00962D96" w:rsidRPr="00CE60B2" w:rsidRDefault="00962D96" w:rsidP="00C903EE">
      <w:pPr>
        <w:pStyle w:val="bullet"/>
        <w:numPr>
          <w:ilvl w:val="1"/>
          <w:numId w:val="55"/>
        </w:numPr>
        <w:spacing w:before="0" w:after="0"/>
        <w:ind w:left="1134" w:hanging="414"/>
        <w:rPr>
          <w:rFonts w:cs="Segoe UI"/>
        </w:rPr>
      </w:pPr>
      <w:r w:rsidRPr="00CE60B2">
        <w:rPr>
          <w:rFonts w:cs="Segoe UI"/>
        </w:rPr>
        <w:t>Employment, worker welfare, and community resilience.</w:t>
      </w:r>
    </w:p>
    <w:p w14:paraId="26ABD44E" w14:textId="77777777" w:rsidR="00B07560" w:rsidRPr="00CE60B2" w:rsidRDefault="00B07560" w:rsidP="00B07560">
      <w:pPr>
        <w:pStyle w:val="bullet"/>
        <w:numPr>
          <w:ilvl w:val="0"/>
          <w:numId w:val="0"/>
        </w:numPr>
        <w:ind w:left="360" w:hanging="360"/>
        <w:rPr>
          <w:rFonts w:cs="Segoe UI"/>
        </w:rPr>
      </w:pPr>
      <w:r w:rsidRPr="00CE60B2">
        <w:rPr>
          <w:rFonts w:cs="Segoe UI"/>
        </w:rPr>
        <w:t xml:space="preserve">This section includes analysis of the following </w:t>
      </w:r>
      <w:r w:rsidR="00F73C3B" w:rsidRPr="00CE60B2">
        <w:rPr>
          <w:rFonts w:cs="Segoe UI"/>
        </w:rPr>
        <w:t>Montréal</w:t>
      </w:r>
      <w:r w:rsidRPr="00CE60B2">
        <w:rPr>
          <w:rFonts w:cs="Segoe UI"/>
        </w:rPr>
        <w:t xml:space="preserve"> Indicators:</w:t>
      </w:r>
    </w:p>
    <w:p w14:paraId="26ABD44F" w14:textId="77777777" w:rsidR="00B07560" w:rsidRPr="00CE60B2" w:rsidRDefault="00B07560" w:rsidP="00C903EE">
      <w:pPr>
        <w:pStyle w:val="ListParagraph"/>
        <w:numPr>
          <w:ilvl w:val="0"/>
          <w:numId w:val="22"/>
        </w:numPr>
        <w:spacing w:before="0" w:after="0"/>
        <w:ind w:left="1077" w:hanging="357"/>
        <w:contextualSpacing w:val="0"/>
        <w:rPr>
          <w:rFonts w:cs="Segoe UI"/>
          <w:bCs/>
        </w:rPr>
      </w:pPr>
      <w:r w:rsidRPr="00CE60B2">
        <w:rPr>
          <w:rFonts w:cs="Segoe UI"/>
          <w:bCs/>
        </w:rPr>
        <w:t xml:space="preserve">Indicator 6.3.a – Area of forest available for general recreation/tourism </w:t>
      </w:r>
    </w:p>
    <w:p w14:paraId="26ABD450" w14:textId="77777777" w:rsidR="00B07560" w:rsidRPr="00CE60B2" w:rsidRDefault="00B07560" w:rsidP="00C903EE">
      <w:pPr>
        <w:pStyle w:val="ListParagraph"/>
        <w:numPr>
          <w:ilvl w:val="0"/>
          <w:numId w:val="22"/>
        </w:numPr>
        <w:spacing w:before="0" w:after="0"/>
        <w:ind w:left="1077" w:hanging="357"/>
        <w:contextualSpacing w:val="0"/>
        <w:rPr>
          <w:rFonts w:cs="Segoe UI"/>
          <w:bCs/>
        </w:rPr>
      </w:pPr>
      <w:r w:rsidRPr="00CE60B2">
        <w:rPr>
          <w:rFonts w:cs="Segoe UI"/>
          <w:bCs/>
        </w:rPr>
        <w:t xml:space="preserve">Indicator 6.3.b – Range and use of recreational/tourism activities available </w:t>
      </w:r>
    </w:p>
    <w:p w14:paraId="26ABD451" w14:textId="77777777" w:rsidR="00B07560" w:rsidRPr="00CE60B2" w:rsidRDefault="00B07560" w:rsidP="00C903EE">
      <w:pPr>
        <w:pStyle w:val="ListParagraph"/>
        <w:numPr>
          <w:ilvl w:val="0"/>
          <w:numId w:val="22"/>
        </w:numPr>
        <w:spacing w:before="0" w:after="0"/>
        <w:ind w:left="1077" w:hanging="357"/>
        <w:contextualSpacing w:val="0"/>
        <w:rPr>
          <w:rFonts w:cs="Segoe UI"/>
          <w:bCs/>
        </w:rPr>
      </w:pPr>
      <w:r w:rsidRPr="00CE60B2">
        <w:rPr>
          <w:rFonts w:cs="Segoe UI"/>
          <w:bCs/>
        </w:rPr>
        <w:t xml:space="preserve">Indicator 6.4.b – Registered places of non-indigenous cultural values in forests that are formally managed to protect those values </w:t>
      </w:r>
    </w:p>
    <w:p w14:paraId="26ABD452" w14:textId="77777777" w:rsidR="00B07560" w:rsidRPr="00CE60B2" w:rsidRDefault="00B07560" w:rsidP="00C903EE">
      <w:pPr>
        <w:pStyle w:val="ListParagraph"/>
        <w:numPr>
          <w:ilvl w:val="0"/>
          <w:numId w:val="22"/>
        </w:numPr>
        <w:spacing w:before="0" w:after="0"/>
        <w:ind w:left="1077" w:hanging="357"/>
        <w:contextualSpacing w:val="0"/>
        <w:rPr>
          <w:rFonts w:cs="Segoe UI"/>
          <w:bCs/>
        </w:rPr>
      </w:pPr>
      <w:r w:rsidRPr="00CE60B2">
        <w:rPr>
          <w:rFonts w:cs="Segoe UI"/>
          <w:bCs/>
        </w:rPr>
        <w:t xml:space="preserve">Indicator 6.4.d – The importance of forests to people </w:t>
      </w:r>
    </w:p>
    <w:p w14:paraId="26ABD453" w14:textId="77777777" w:rsidR="00B07560" w:rsidRPr="00CE60B2" w:rsidRDefault="00B07560" w:rsidP="00C903EE">
      <w:pPr>
        <w:pStyle w:val="ListParagraph"/>
        <w:numPr>
          <w:ilvl w:val="0"/>
          <w:numId w:val="22"/>
        </w:numPr>
        <w:spacing w:before="0" w:after="0"/>
        <w:ind w:left="1077" w:hanging="357"/>
        <w:contextualSpacing w:val="0"/>
        <w:rPr>
          <w:rFonts w:cs="Segoe UI"/>
          <w:bCs/>
        </w:rPr>
      </w:pPr>
      <w:r w:rsidRPr="00CE60B2">
        <w:rPr>
          <w:rFonts w:cs="Segoe UI"/>
          <w:bCs/>
        </w:rPr>
        <w:t xml:space="preserve">Indicator 6.5.a – Direct and indirect employment in the forest sector </w:t>
      </w:r>
    </w:p>
    <w:p w14:paraId="26ABD454" w14:textId="77777777" w:rsidR="00B07560" w:rsidRPr="00CE60B2" w:rsidRDefault="00B07560" w:rsidP="00C903EE">
      <w:pPr>
        <w:pStyle w:val="ListParagraph"/>
        <w:numPr>
          <w:ilvl w:val="0"/>
          <w:numId w:val="22"/>
        </w:numPr>
        <w:spacing w:before="0" w:after="0"/>
        <w:ind w:left="1077" w:hanging="357"/>
        <w:contextualSpacing w:val="0"/>
        <w:rPr>
          <w:rFonts w:cs="Segoe UI"/>
          <w:bCs/>
        </w:rPr>
      </w:pPr>
      <w:r w:rsidRPr="00CE60B2">
        <w:rPr>
          <w:rFonts w:cs="Segoe UI"/>
          <w:bCs/>
        </w:rPr>
        <w:t xml:space="preserve">Indicator 6.5.b – Wage rates and injury rates within the forest sector </w:t>
      </w:r>
    </w:p>
    <w:p w14:paraId="26ABD455" w14:textId="39B36829" w:rsidR="00B07560" w:rsidRPr="00CE60B2" w:rsidRDefault="00B07560" w:rsidP="00C903EE">
      <w:pPr>
        <w:pStyle w:val="ListParagraph"/>
        <w:numPr>
          <w:ilvl w:val="0"/>
          <w:numId w:val="22"/>
        </w:numPr>
        <w:spacing w:before="0" w:after="0"/>
        <w:ind w:left="1077" w:hanging="357"/>
        <w:contextualSpacing w:val="0"/>
        <w:rPr>
          <w:rFonts w:cs="Segoe UI"/>
          <w:bCs/>
        </w:rPr>
      </w:pPr>
      <w:r w:rsidRPr="00CE60B2">
        <w:rPr>
          <w:rFonts w:cs="Segoe UI"/>
          <w:bCs/>
        </w:rPr>
        <w:t>Indicator 6.5.c – Resilience of forest dependent communities to changing social and economic conditions</w:t>
      </w:r>
      <w:r w:rsidR="00433E93">
        <w:rPr>
          <w:rFonts w:cs="Segoe UI"/>
          <w:bCs/>
        </w:rPr>
        <w:t>.</w:t>
      </w:r>
    </w:p>
    <w:p w14:paraId="26ABD456" w14:textId="77777777" w:rsidR="00DB510B" w:rsidRPr="00CE60B2" w:rsidRDefault="00DB510B" w:rsidP="000F6020">
      <w:pPr>
        <w:pStyle w:val="Heading3"/>
        <w:rPr>
          <w:lang w:eastAsia="en-AU"/>
        </w:rPr>
      </w:pPr>
      <w:bookmarkStart w:id="165" w:name="_Toc524952821"/>
      <w:bookmarkStart w:id="166" w:name="_Toc2776064"/>
      <w:r w:rsidRPr="00CE60B2">
        <w:rPr>
          <w:lang w:eastAsia="en-AU"/>
        </w:rPr>
        <w:t>Indicator 6.3a</w:t>
      </w:r>
      <w:r w:rsidRPr="00CE60B2">
        <w:rPr>
          <w:lang w:eastAsia="en-AU"/>
        </w:rPr>
        <w:tab/>
        <w:t>Area of forest available for public recreation</w:t>
      </w:r>
      <w:r w:rsidR="00962D96" w:rsidRPr="00CE60B2">
        <w:rPr>
          <w:lang w:eastAsia="en-AU"/>
        </w:rPr>
        <w:t xml:space="preserve"> and</w:t>
      </w:r>
      <w:r w:rsidRPr="00CE60B2">
        <w:rPr>
          <w:lang w:eastAsia="en-AU"/>
        </w:rPr>
        <w:t xml:space="preserve"> tourism</w:t>
      </w:r>
      <w:bookmarkEnd w:id="165"/>
      <w:bookmarkEnd w:id="166"/>
    </w:p>
    <w:p w14:paraId="26ABD457" w14:textId="77777777" w:rsidR="009D5F04" w:rsidRPr="00CE60B2" w:rsidRDefault="009D5F04" w:rsidP="009D5F04">
      <w:pPr>
        <w:autoSpaceDE w:val="0"/>
        <w:autoSpaceDN w:val="0"/>
        <w:adjustRightInd w:val="0"/>
        <w:spacing w:before="0" w:after="0"/>
        <w:rPr>
          <w:rFonts w:cs="Segoe UI"/>
          <w:lang w:eastAsia="ja-JP"/>
        </w:rPr>
      </w:pPr>
      <w:r w:rsidRPr="00CE60B2">
        <w:rPr>
          <w:rFonts w:cs="Segoe UI"/>
          <w:lang w:eastAsia="ja-JP"/>
        </w:rPr>
        <w:t>This indicator measures the area of forest available for use by the community for recreation and tourism purposes. This provides an indication of the emphasis placed by society on the management of forest for recreation and tourism.</w:t>
      </w:r>
    </w:p>
    <w:p w14:paraId="26ABD458" w14:textId="77777777" w:rsidR="006F03CA" w:rsidRPr="00CE60B2" w:rsidRDefault="0021172C" w:rsidP="006F03CA">
      <w:pPr>
        <w:rPr>
          <w:rFonts w:cs="Segoe UI"/>
          <w:lang w:eastAsia="ja-JP"/>
        </w:rPr>
      </w:pPr>
      <w:r w:rsidRPr="00CE60B2">
        <w:rPr>
          <w:rFonts w:cs="Segoe UI"/>
          <w:lang w:eastAsia="ja-JP"/>
        </w:rPr>
        <w:t>Analysing the area</w:t>
      </w:r>
      <w:r w:rsidR="006F03CA" w:rsidRPr="00CE60B2">
        <w:rPr>
          <w:rFonts w:cs="Segoe UI"/>
          <w:lang w:eastAsia="ja-JP"/>
        </w:rPr>
        <w:t xml:space="preserve"> and proportion of forests available for recreation and tourism assists in understanding the emphasis placed by society on managing forests for recreation and tourism uses, and the extent to which forest management is providing for the recreational needs of </w:t>
      </w:r>
      <w:r w:rsidR="009D5F04" w:rsidRPr="00CE60B2">
        <w:rPr>
          <w:rFonts w:cs="Segoe UI"/>
          <w:lang w:eastAsia="ja-JP"/>
        </w:rPr>
        <w:t>local and regional communities</w:t>
      </w:r>
      <w:r w:rsidR="006F03CA" w:rsidRPr="00CE60B2">
        <w:rPr>
          <w:rFonts w:cs="Segoe UI"/>
          <w:lang w:eastAsia="ja-JP"/>
        </w:rPr>
        <w:t xml:space="preserve">. </w:t>
      </w:r>
      <w:r w:rsidR="006F03CA" w:rsidRPr="00CE60B2">
        <w:rPr>
          <w:rFonts w:cs="Segoe UI"/>
          <w:caps/>
          <w:lang w:eastAsia="ja-JP"/>
        </w:rPr>
        <w:t>A</w:t>
      </w:r>
      <w:r w:rsidR="006F03CA" w:rsidRPr="00CE60B2">
        <w:rPr>
          <w:rFonts w:cs="Segoe UI"/>
          <w:lang w:eastAsia="ja-JP"/>
        </w:rPr>
        <w:t>n area of forest is considered to be available for recreation and tourism if there is no formal prohibition on access for recreation and tourism activities.</w:t>
      </w:r>
    </w:p>
    <w:p w14:paraId="26ABD459" w14:textId="77777777" w:rsidR="00E40B48" w:rsidRPr="00BB0B2A" w:rsidRDefault="00E40B48" w:rsidP="00E40B48">
      <w:pPr>
        <w:rPr>
          <w:rFonts w:cs="Segoe UI"/>
          <w:szCs w:val="20"/>
        </w:rPr>
      </w:pPr>
      <w:r w:rsidRPr="00CE60B2">
        <w:rPr>
          <w:rFonts w:cs="Segoe UI"/>
          <w:szCs w:val="20"/>
        </w:rPr>
        <w:t>At June</w:t>
      </w:r>
      <w:r w:rsidR="00AB6AC2">
        <w:rPr>
          <w:rFonts w:cs="Segoe UI"/>
          <w:szCs w:val="20"/>
        </w:rPr>
        <w:t> </w:t>
      </w:r>
      <w:r w:rsidRPr="00CE60B2">
        <w:rPr>
          <w:rFonts w:cs="Segoe UI"/>
          <w:szCs w:val="20"/>
        </w:rPr>
        <w:t>2018, a total of 1.39</w:t>
      </w:r>
      <w:r w:rsidR="00BB0B2A">
        <w:rPr>
          <w:rFonts w:cs="Segoe UI"/>
          <w:szCs w:val="20"/>
        </w:rPr>
        <w:t> </w:t>
      </w:r>
      <w:r w:rsidRPr="00CE60B2">
        <w:rPr>
          <w:rFonts w:cs="Segoe UI"/>
          <w:szCs w:val="20"/>
        </w:rPr>
        <w:t>million hectares of forested ecosystems in multiple-use forest</w:t>
      </w:r>
      <w:r w:rsidR="00BB0B2A">
        <w:rPr>
          <w:rFonts w:cs="Segoe UI"/>
          <w:szCs w:val="20"/>
        </w:rPr>
        <w:t xml:space="preserve"> (State forests)</w:t>
      </w:r>
      <w:r w:rsidRPr="00CE60B2">
        <w:rPr>
          <w:rFonts w:cs="Segoe UI"/>
          <w:szCs w:val="20"/>
        </w:rPr>
        <w:t xml:space="preserve"> and conservation reserves were available for recreation and tourism within the RFA region. This is an increase of approximately 56,900</w:t>
      </w:r>
      <w:r w:rsidR="00BB0B2A">
        <w:rPr>
          <w:rFonts w:cs="Segoe UI"/>
          <w:szCs w:val="20"/>
        </w:rPr>
        <w:t> </w:t>
      </w:r>
      <w:r w:rsidRPr="00CE60B2">
        <w:rPr>
          <w:rFonts w:cs="Segoe UI"/>
          <w:szCs w:val="20"/>
        </w:rPr>
        <w:t xml:space="preserve">hectares since the signing of the </w:t>
      </w:r>
      <w:r w:rsidR="00D97CBC">
        <w:rPr>
          <w:rFonts w:cs="Segoe UI"/>
          <w:szCs w:val="20"/>
        </w:rPr>
        <w:t>WA </w:t>
      </w:r>
      <w:r w:rsidRPr="00CE60B2">
        <w:rPr>
          <w:rFonts w:cs="Segoe UI"/>
          <w:szCs w:val="20"/>
        </w:rPr>
        <w:t>RFA in 1999.</w:t>
      </w:r>
      <w:r w:rsidR="00BB0B2A">
        <w:rPr>
          <w:rFonts w:cs="Segoe UI"/>
          <w:szCs w:val="20"/>
        </w:rPr>
        <w:t xml:space="preserve"> </w:t>
      </w:r>
      <w:r w:rsidR="00BB0B2A" w:rsidRPr="00BB0B2A">
        <w:rPr>
          <w:rFonts w:cs="Segoe UI"/>
          <w:szCs w:val="20"/>
          <w:lang w:val="x-none"/>
        </w:rPr>
        <w:t>There is a perception among some stakeholders that State forests do not provide adequate support for recreation</w:t>
      </w:r>
      <w:r w:rsidR="00BB0B2A">
        <w:rPr>
          <w:rFonts w:cs="Segoe UI"/>
          <w:szCs w:val="20"/>
        </w:rPr>
        <w:t xml:space="preserve"> (Wilkinson 2017).</w:t>
      </w:r>
    </w:p>
    <w:p w14:paraId="1A979C68" w14:textId="77777777" w:rsidR="007902D9" w:rsidRDefault="007902D9">
      <w:pPr>
        <w:spacing w:before="0" w:after="480" w:line="276" w:lineRule="auto"/>
        <w:rPr>
          <w:rFonts w:cs="Segoe UI"/>
          <w:b/>
          <w:color w:val="000000" w:themeColor="text1"/>
          <w:sz w:val="24"/>
          <w:szCs w:val="24"/>
          <w:lang w:eastAsia="en-AU"/>
        </w:rPr>
      </w:pPr>
      <w:bookmarkStart w:id="167" w:name="_Toc524952822"/>
      <w:r>
        <w:rPr>
          <w:lang w:eastAsia="en-AU"/>
        </w:rPr>
        <w:br w:type="page"/>
      </w:r>
    </w:p>
    <w:p w14:paraId="26ABD45A" w14:textId="4C66B0C0" w:rsidR="00DB510B" w:rsidRPr="00CE60B2" w:rsidRDefault="00DB510B" w:rsidP="000F6020">
      <w:pPr>
        <w:pStyle w:val="Heading3"/>
        <w:rPr>
          <w:lang w:eastAsia="en-AU"/>
        </w:rPr>
      </w:pPr>
      <w:bookmarkStart w:id="168" w:name="_Toc2776065"/>
      <w:r w:rsidRPr="00CE60B2">
        <w:rPr>
          <w:lang w:eastAsia="en-AU"/>
        </w:rPr>
        <w:lastRenderedPageBreak/>
        <w:t>Indicator 6.3b</w:t>
      </w:r>
      <w:r w:rsidRPr="00CE60B2">
        <w:rPr>
          <w:lang w:eastAsia="en-AU"/>
        </w:rPr>
        <w:tab/>
        <w:t>Range and use of recreation/ tourism activities available</w:t>
      </w:r>
      <w:bookmarkEnd w:id="167"/>
      <w:bookmarkEnd w:id="168"/>
    </w:p>
    <w:p w14:paraId="26ABD45B" w14:textId="77777777" w:rsidR="00707249" w:rsidRPr="00CE60B2" w:rsidRDefault="00707249" w:rsidP="00F34A55">
      <w:pPr>
        <w:autoSpaceDE w:val="0"/>
        <w:autoSpaceDN w:val="0"/>
        <w:adjustRightInd w:val="0"/>
        <w:spacing w:before="0"/>
        <w:rPr>
          <w:rFonts w:cs="Segoe UI"/>
          <w:lang w:eastAsia="ja-JP"/>
        </w:rPr>
      </w:pPr>
      <w:r w:rsidRPr="00CE60B2">
        <w:rPr>
          <w:rFonts w:cs="Segoe UI"/>
          <w:lang w:eastAsia="ja-JP"/>
        </w:rPr>
        <w:t>This indicator assesses the range and number of recreation and tourism facilities provided in forests, their level of use and their contribution to the broader tourism sector. Appropriate and well managed facilities help to optimise visitor satisfaction as well as minimising environmental impacts associated with recreation and tourism.</w:t>
      </w:r>
    </w:p>
    <w:p w14:paraId="26ABD45C" w14:textId="77777777" w:rsidR="00E40B48" w:rsidRPr="00CE60B2" w:rsidRDefault="0021172C" w:rsidP="00D705BC">
      <w:pPr>
        <w:rPr>
          <w:rFonts w:cs="Segoe UI"/>
          <w:lang w:eastAsia="ja-JP"/>
        </w:rPr>
      </w:pPr>
      <w:r w:rsidRPr="00CE60B2">
        <w:rPr>
          <w:rFonts w:cs="Segoe UI"/>
          <w:lang w:eastAsia="ja-JP"/>
        </w:rPr>
        <w:t xml:space="preserve">A </w:t>
      </w:r>
      <w:r w:rsidR="006F03CA" w:rsidRPr="00CE60B2">
        <w:rPr>
          <w:rFonts w:cs="Segoe UI"/>
          <w:lang w:eastAsia="ja-JP"/>
        </w:rPr>
        <w:t xml:space="preserve">range of recreation and tourism activities and facilities </w:t>
      </w:r>
      <w:r w:rsidRPr="00CE60B2">
        <w:rPr>
          <w:rFonts w:cs="Segoe UI"/>
          <w:lang w:eastAsia="ja-JP"/>
        </w:rPr>
        <w:t xml:space="preserve">may be made </w:t>
      </w:r>
      <w:r w:rsidR="006F03CA" w:rsidRPr="00CE60B2">
        <w:rPr>
          <w:rFonts w:cs="Segoe UI"/>
          <w:lang w:eastAsia="ja-JP"/>
        </w:rPr>
        <w:t>available in public forests</w:t>
      </w:r>
      <w:r w:rsidRPr="00CE60B2">
        <w:rPr>
          <w:rFonts w:cs="Segoe UI"/>
          <w:lang w:eastAsia="ja-JP"/>
        </w:rPr>
        <w:t>,</w:t>
      </w:r>
      <w:r w:rsidR="006F03CA" w:rsidRPr="00CE60B2">
        <w:rPr>
          <w:rFonts w:cs="Segoe UI"/>
          <w:lang w:eastAsia="ja-JP"/>
        </w:rPr>
        <w:t xml:space="preserve"> and </w:t>
      </w:r>
      <w:r w:rsidRPr="00CE60B2">
        <w:rPr>
          <w:rFonts w:cs="Segoe UI"/>
          <w:lang w:eastAsia="ja-JP"/>
        </w:rPr>
        <w:t>the frequency of their use</w:t>
      </w:r>
      <w:r w:rsidR="006F03CA" w:rsidRPr="00CE60B2">
        <w:rPr>
          <w:rFonts w:cs="Segoe UI"/>
          <w:lang w:eastAsia="ja-JP"/>
        </w:rPr>
        <w:t xml:space="preserve"> </w:t>
      </w:r>
      <w:r w:rsidRPr="00CE60B2">
        <w:rPr>
          <w:rFonts w:cs="Segoe UI"/>
          <w:lang w:eastAsia="ja-JP"/>
        </w:rPr>
        <w:t xml:space="preserve">may vary </w:t>
      </w:r>
      <w:r w:rsidR="00707249" w:rsidRPr="00CE60B2">
        <w:rPr>
          <w:rFonts w:cs="Segoe UI"/>
          <w:lang w:eastAsia="ja-JP"/>
        </w:rPr>
        <w:t>widely</w:t>
      </w:r>
      <w:r w:rsidR="006F03CA" w:rsidRPr="00CE60B2">
        <w:rPr>
          <w:rFonts w:cs="Segoe UI"/>
          <w:lang w:eastAsia="ja-JP"/>
        </w:rPr>
        <w:t>. Activities may be provided for at a specific location</w:t>
      </w:r>
      <w:r w:rsidR="00707249" w:rsidRPr="00CE60B2">
        <w:rPr>
          <w:rFonts w:cs="Segoe UI"/>
          <w:lang w:eastAsia="ja-JP"/>
        </w:rPr>
        <w:t xml:space="preserve"> or localities</w:t>
      </w:r>
      <w:r w:rsidR="006F03CA" w:rsidRPr="00CE60B2">
        <w:rPr>
          <w:rFonts w:cs="Segoe UI"/>
          <w:lang w:eastAsia="ja-JP"/>
        </w:rPr>
        <w:t>, such as campgrounds</w:t>
      </w:r>
      <w:r w:rsidR="00707249" w:rsidRPr="00CE60B2">
        <w:rPr>
          <w:rFonts w:cs="Segoe UI"/>
          <w:lang w:eastAsia="ja-JP"/>
        </w:rPr>
        <w:t xml:space="preserve"> or self-guided forest drives</w:t>
      </w:r>
      <w:r w:rsidR="006F03CA" w:rsidRPr="00CE60B2">
        <w:rPr>
          <w:rFonts w:cs="Segoe UI"/>
          <w:lang w:eastAsia="ja-JP"/>
        </w:rPr>
        <w:t xml:space="preserve">, or be generally allowed without being related to a specific site, including scenic </w:t>
      </w:r>
      <w:r w:rsidR="00624FBC" w:rsidRPr="00CE60B2">
        <w:rPr>
          <w:rFonts w:cs="Segoe UI"/>
          <w:lang w:eastAsia="ja-JP"/>
        </w:rPr>
        <w:t>touring</w:t>
      </w:r>
      <w:r w:rsidR="006F03CA" w:rsidRPr="00CE60B2">
        <w:rPr>
          <w:rFonts w:cs="Segoe UI"/>
          <w:lang w:eastAsia="ja-JP"/>
        </w:rPr>
        <w:t xml:space="preserve"> and swimming. Likewise, facilities may be provided to directly meet the needs of tourists and visitors (i.e. </w:t>
      </w:r>
      <w:r w:rsidR="006B458E" w:rsidRPr="00CE60B2">
        <w:rPr>
          <w:rFonts w:cs="Segoe UI"/>
          <w:lang w:eastAsia="ja-JP"/>
        </w:rPr>
        <w:t>picnic facilities</w:t>
      </w:r>
      <w:r w:rsidR="00EF1393" w:rsidRPr="00CE60B2">
        <w:rPr>
          <w:rFonts w:cs="Segoe UI"/>
          <w:lang w:eastAsia="ja-JP"/>
        </w:rPr>
        <w:t xml:space="preserve">, </w:t>
      </w:r>
      <w:r w:rsidR="00707249" w:rsidRPr="00CE60B2">
        <w:rPr>
          <w:rFonts w:cs="Segoe UI"/>
          <w:lang w:eastAsia="ja-JP"/>
        </w:rPr>
        <w:t xml:space="preserve">toilets, BBQs, </w:t>
      </w:r>
      <w:r w:rsidR="006F03CA" w:rsidRPr="00CE60B2">
        <w:rPr>
          <w:rFonts w:cs="Segoe UI"/>
          <w:lang w:eastAsia="ja-JP"/>
        </w:rPr>
        <w:t xml:space="preserve">walking and riding tracks), or indirectly support recreational uses alongside </w:t>
      </w:r>
      <w:r w:rsidR="00207247" w:rsidRPr="00CE60B2">
        <w:rPr>
          <w:rFonts w:cs="Segoe UI"/>
          <w:lang w:eastAsia="ja-JP"/>
        </w:rPr>
        <w:t>other</w:t>
      </w:r>
      <w:r w:rsidR="006F03CA" w:rsidRPr="00CE60B2">
        <w:rPr>
          <w:rFonts w:cs="Segoe UI"/>
          <w:lang w:eastAsia="ja-JP"/>
        </w:rPr>
        <w:t xml:space="preserve"> management value (i.e. roads).</w:t>
      </w:r>
    </w:p>
    <w:p w14:paraId="26ABD45D" w14:textId="01A7501A" w:rsidR="00E40B48" w:rsidRPr="00CE60B2" w:rsidRDefault="00264AAB" w:rsidP="00E40B48">
      <w:pPr>
        <w:rPr>
          <w:rFonts w:cs="Segoe UI"/>
        </w:rPr>
      </w:pPr>
      <w:r w:rsidRPr="00BB0B2A">
        <w:rPr>
          <w:rFonts w:cs="Segoe UI"/>
          <w:szCs w:val="20"/>
          <w:lang w:val="x-none"/>
        </w:rPr>
        <w:t>WA continues to provide significant funding for tourism and recreation, much of which has been invested in programs and facilities to support the use of national parks created under the FMP 2004–2013</w:t>
      </w:r>
      <w:r>
        <w:rPr>
          <w:rFonts w:cs="Segoe UI"/>
          <w:szCs w:val="20"/>
        </w:rPr>
        <w:t xml:space="preserve"> (Wilkinson</w:t>
      </w:r>
      <w:r w:rsidR="00550357">
        <w:rPr>
          <w:rFonts w:cs="Segoe UI"/>
          <w:szCs w:val="20"/>
        </w:rPr>
        <w:t>,</w:t>
      </w:r>
      <w:r>
        <w:rPr>
          <w:rFonts w:cs="Segoe UI"/>
          <w:szCs w:val="20"/>
        </w:rPr>
        <w:t> 2017)</w:t>
      </w:r>
      <w:r w:rsidR="00373F23">
        <w:rPr>
          <w:rFonts w:cs="Segoe UI"/>
          <w:szCs w:val="20"/>
        </w:rPr>
        <w:t xml:space="preserve">. </w:t>
      </w:r>
      <w:r w:rsidR="00E40B48" w:rsidRPr="00CE60B2">
        <w:rPr>
          <w:rFonts w:cs="Segoe UI"/>
        </w:rPr>
        <w:t>There has been $53</w:t>
      </w:r>
      <w:r w:rsidR="00C024C3">
        <w:rPr>
          <w:rFonts w:cs="Segoe UI"/>
        </w:rPr>
        <w:t> million</w:t>
      </w:r>
      <w:r w:rsidR="00E40B48" w:rsidRPr="00CE60B2">
        <w:rPr>
          <w:rFonts w:cs="Segoe UI"/>
        </w:rPr>
        <w:t xml:space="preserve"> capi</w:t>
      </w:r>
      <w:r w:rsidR="00D97CBC">
        <w:rPr>
          <w:rFonts w:cs="Segoe UI"/>
        </w:rPr>
        <w:t>tal investment over the past 10 </w:t>
      </w:r>
      <w:r w:rsidR="00E40B48" w:rsidRPr="00CE60B2">
        <w:rPr>
          <w:rFonts w:cs="Segoe UI"/>
        </w:rPr>
        <w:t xml:space="preserve">years in visitor experiences and recreation assets. Working closely with Aboriginal partners and stakeholders, </w:t>
      </w:r>
      <w:r w:rsidR="009C117A">
        <w:rPr>
          <w:rFonts w:cs="Segoe UI"/>
        </w:rPr>
        <w:t>DBCA</w:t>
      </w:r>
      <w:r w:rsidR="00E40B48" w:rsidRPr="00CE60B2">
        <w:rPr>
          <w:rFonts w:cs="Segoe UI"/>
        </w:rPr>
        <w:t xml:space="preserve"> has ensured that visitors and local community enjoy parks safely whilst protecting conservation and heritage values. New and improved recreation facilities have included campgrounds, day-use areas, walking trails and mountain bike trail networks. Investment in these facilities to a high quality enables </w:t>
      </w:r>
      <w:r w:rsidR="009C117A">
        <w:rPr>
          <w:rFonts w:cs="Segoe UI"/>
        </w:rPr>
        <w:t>DBCA</w:t>
      </w:r>
      <w:r w:rsidR="00E40B48" w:rsidRPr="00CE60B2">
        <w:rPr>
          <w:rFonts w:cs="Segoe UI"/>
        </w:rPr>
        <w:t xml:space="preserve"> to protect the environment and enrich visitor experiences by providing opportunities to learn, explore and interact with the natural and cultural environment. There has been a </w:t>
      </w:r>
      <w:r w:rsidR="00433E93" w:rsidRPr="00CE60B2">
        <w:rPr>
          <w:rFonts w:cs="Segoe UI"/>
        </w:rPr>
        <w:t>focus</w:t>
      </w:r>
      <w:r w:rsidR="00E40B48" w:rsidRPr="00CE60B2">
        <w:rPr>
          <w:rFonts w:cs="Segoe UI"/>
        </w:rPr>
        <w:t xml:space="preserve"> on carava</w:t>
      </w:r>
      <w:r w:rsidR="00D97CBC">
        <w:rPr>
          <w:rFonts w:cs="Segoe UI"/>
        </w:rPr>
        <w:t>n and camping over the past 5 </w:t>
      </w:r>
      <w:r w:rsidR="00E40B48" w:rsidRPr="00CE60B2">
        <w:rPr>
          <w:rFonts w:cs="Segoe UI"/>
        </w:rPr>
        <w:t xml:space="preserve">years which has significantly improved visitor experience in forest areas. This included major new and improved campgrounds at Jarrahdene near Margaret River, Potters Gorge near Collie and Shannon near Pemberton. </w:t>
      </w:r>
    </w:p>
    <w:p w14:paraId="26ABD45E" w14:textId="77777777" w:rsidR="00D161CA" w:rsidRDefault="00E40B48" w:rsidP="00D161CA">
      <w:pPr>
        <w:keepNext/>
      </w:pPr>
      <w:r w:rsidRPr="00CE60B2">
        <w:rPr>
          <w:rFonts w:cs="Segoe UI"/>
          <w:noProof/>
          <w:lang w:eastAsia="en-AU"/>
        </w:rPr>
        <w:drawing>
          <wp:inline distT="0" distB="0" distL="0" distR="0" wp14:anchorId="26ABE26C" wp14:editId="26ABE26D">
            <wp:extent cx="5731510" cy="2541214"/>
            <wp:effectExtent l="0" t="0" r="254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ABD45F" w14:textId="1020E7A4" w:rsidR="005C10D4" w:rsidRDefault="00D161CA" w:rsidP="00D161CA">
      <w:pPr>
        <w:pStyle w:val="Caption"/>
      </w:pPr>
      <w:bookmarkStart w:id="169" w:name="_Toc2776015"/>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14</w:t>
      </w:r>
      <w:r w:rsidR="0002253A">
        <w:rPr>
          <w:noProof/>
        </w:rPr>
        <w:fldChar w:fldCharType="end"/>
      </w:r>
      <w:r>
        <w:t xml:space="preserve">: </w:t>
      </w:r>
      <w:r w:rsidR="00A02758">
        <w:t>R</w:t>
      </w:r>
      <w:r w:rsidRPr="00A90E4B">
        <w:t>ecreational visitation to WA RFA recreation areas, 2008-2018</w:t>
      </w:r>
      <w:bookmarkEnd w:id="169"/>
    </w:p>
    <w:p w14:paraId="26ABD460" w14:textId="77777777" w:rsidR="00ED3B60" w:rsidRPr="00CE60B2" w:rsidRDefault="00E40B48" w:rsidP="00ED3B60">
      <w:pPr>
        <w:rPr>
          <w:rFonts w:cs="Segoe UI"/>
          <w:lang w:eastAsia="ja-JP"/>
        </w:rPr>
      </w:pPr>
      <w:r w:rsidRPr="00CE60B2">
        <w:rPr>
          <w:rFonts w:cs="Segoe UI"/>
          <w:lang w:eastAsia="ja-JP"/>
        </w:rPr>
        <w:t>Recreational visitation to the managed area has increased on a trend similar to population growth over the last 10</w:t>
      </w:r>
      <w:r w:rsidR="00AB6AC2">
        <w:rPr>
          <w:rFonts w:cs="Segoe UI"/>
          <w:lang w:eastAsia="ja-JP"/>
        </w:rPr>
        <w:t> </w:t>
      </w:r>
      <w:r w:rsidRPr="00CE60B2">
        <w:rPr>
          <w:rFonts w:cs="Segoe UI"/>
          <w:lang w:eastAsia="ja-JP"/>
        </w:rPr>
        <w:t>years from 5.1</w:t>
      </w:r>
      <w:r w:rsidR="00AB6AC2">
        <w:rPr>
          <w:rFonts w:cs="Segoe UI"/>
          <w:lang w:eastAsia="ja-JP"/>
        </w:rPr>
        <w:t> </w:t>
      </w:r>
      <w:r w:rsidRPr="00CE60B2">
        <w:rPr>
          <w:rFonts w:cs="Segoe UI"/>
          <w:lang w:eastAsia="ja-JP"/>
        </w:rPr>
        <w:t xml:space="preserve">million visits </w:t>
      </w:r>
      <w:r w:rsidR="00ED3B60">
        <w:rPr>
          <w:rFonts w:cs="Segoe UI"/>
          <w:lang w:eastAsia="ja-JP"/>
        </w:rPr>
        <w:t xml:space="preserve">in 2008 </w:t>
      </w:r>
      <w:r w:rsidRPr="00CE60B2">
        <w:rPr>
          <w:rFonts w:cs="Segoe UI"/>
          <w:lang w:eastAsia="ja-JP"/>
        </w:rPr>
        <w:t>to 7.6</w:t>
      </w:r>
      <w:r w:rsidR="00DD4C10">
        <w:rPr>
          <w:rFonts w:cs="Segoe UI"/>
          <w:lang w:eastAsia="ja-JP"/>
        </w:rPr>
        <w:t>7</w:t>
      </w:r>
      <w:r w:rsidR="00AB6AC2">
        <w:rPr>
          <w:rFonts w:cs="Segoe UI"/>
          <w:lang w:eastAsia="ja-JP"/>
        </w:rPr>
        <w:t> </w:t>
      </w:r>
      <w:r w:rsidRPr="00CE60B2">
        <w:rPr>
          <w:rFonts w:cs="Segoe UI"/>
          <w:lang w:eastAsia="ja-JP"/>
        </w:rPr>
        <w:t>million</w:t>
      </w:r>
      <w:r w:rsidR="00ED3B60">
        <w:rPr>
          <w:rFonts w:cs="Segoe UI"/>
          <w:lang w:eastAsia="ja-JP"/>
        </w:rPr>
        <w:t xml:space="preserve"> in 2018</w:t>
      </w:r>
      <w:r w:rsidR="00550357">
        <w:rPr>
          <w:rFonts w:cs="Segoe UI"/>
          <w:lang w:eastAsia="ja-JP"/>
        </w:rPr>
        <w:t xml:space="preserve"> </w:t>
      </w:r>
      <w:r w:rsidR="00550357" w:rsidRPr="004414DF">
        <w:rPr>
          <w:rFonts w:cs="Segoe UI"/>
          <w:lang w:eastAsia="ja-JP"/>
        </w:rPr>
        <w:t>(</w:t>
      </w:r>
      <w:r w:rsidR="00DD4C10" w:rsidRPr="004414DF">
        <w:rPr>
          <w:rFonts w:cs="Segoe UI"/>
          <w:lang w:eastAsia="ja-JP"/>
        </w:rPr>
        <w:t>Figure 14</w:t>
      </w:r>
      <w:r w:rsidR="00550357">
        <w:rPr>
          <w:rFonts w:cs="Segoe UI"/>
          <w:lang w:eastAsia="ja-JP"/>
        </w:rPr>
        <w:t>)</w:t>
      </w:r>
      <w:r w:rsidRPr="00CE60B2">
        <w:rPr>
          <w:rFonts w:cs="Segoe UI"/>
          <w:lang w:eastAsia="ja-JP"/>
        </w:rPr>
        <w:t>. However, a proportion of the change demonstrated has been due to improvements in monitoring over time and cannot be solely attributed to actual visitation change.</w:t>
      </w:r>
      <w:r w:rsidR="00ED3B60">
        <w:rPr>
          <w:rFonts w:cs="Segoe UI"/>
          <w:lang w:eastAsia="ja-JP"/>
        </w:rPr>
        <w:t xml:space="preserve"> </w:t>
      </w:r>
      <w:r w:rsidR="00ED3B60" w:rsidRPr="00CE60B2">
        <w:rPr>
          <w:rFonts w:cs="Segoe UI"/>
          <w:lang w:eastAsia="ja-JP"/>
        </w:rPr>
        <w:t xml:space="preserve">Demand for </w:t>
      </w:r>
      <w:r w:rsidR="00ED3B60" w:rsidRPr="00CE60B2">
        <w:rPr>
          <w:rFonts w:cs="Segoe UI"/>
          <w:lang w:eastAsia="ja-JP"/>
        </w:rPr>
        <w:lastRenderedPageBreak/>
        <w:t>the use of land for recreation and tourism is expected to grow in line with population growth in the south-west and the need to balance enjoyable visitor experience with conservation and other values will remain an important management challenge.</w:t>
      </w:r>
    </w:p>
    <w:p w14:paraId="26ABD462" w14:textId="77777777" w:rsidR="00D161CA" w:rsidRDefault="00E40B48" w:rsidP="00D161CA">
      <w:pPr>
        <w:keepNext/>
      </w:pPr>
      <w:r w:rsidRPr="00CE60B2">
        <w:rPr>
          <w:rFonts w:cs="Segoe UI"/>
          <w:noProof/>
          <w:lang w:eastAsia="en-AU"/>
        </w:rPr>
        <w:drawing>
          <wp:inline distT="0" distB="0" distL="0" distR="0" wp14:anchorId="26ABE26E" wp14:editId="26ABE26F">
            <wp:extent cx="5731510" cy="2541214"/>
            <wp:effectExtent l="0" t="0" r="254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ABD463" w14:textId="349C959A" w:rsidR="005C10D4" w:rsidRDefault="00D161CA" w:rsidP="00D161CA">
      <w:pPr>
        <w:pStyle w:val="Caption"/>
      </w:pPr>
      <w:bookmarkStart w:id="170" w:name="_Ref530567350"/>
      <w:bookmarkStart w:id="171" w:name="_Ref530470393"/>
      <w:bookmarkStart w:id="172" w:name="_Toc2776016"/>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15</w:t>
      </w:r>
      <w:r w:rsidR="0002253A">
        <w:rPr>
          <w:noProof/>
        </w:rPr>
        <w:fldChar w:fldCharType="end"/>
      </w:r>
      <w:bookmarkEnd w:id="170"/>
      <w:r>
        <w:t xml:space="preserve">: </w:t>
      </w:r>
      <w:r w:rsidR="00A02758">
        <w:t>A</w:t>
      </w:r>
      <w:r w:rsidRPr="00E36DFA">
        <w:t>verage visitor satisfaction in WA RFA recreation areas 2013-2018</w:t>
      </w:r>
      <w:bookmarkEnd w:id="171"/>
      <w:bookmarkEnd w:id="172"/>
    </w:p>
    <w:p w14:paraId="26ABD464" w14:textId="3ABF2A51" w:rsidR="00E40B48" w:rsidRPr="00CE60B2" w:rsidRDefault="00E40B48" w:rsidP="00E40B48">
      <w:pPr>
        <w:rPr>
          <w:rFonts w:cs="Segoe UI"/>
          <w:lang w:eastAsia="ja-JP"/>
        </w:rPr>
      </w:pPr>
      <w:r w:rsidRPr="00CE60B2">
        <w:rPr>
          <w:rFonts w:cs="Segoe UI"/>
          <w:lang w:eastAsia="ja-JP"/>
        </w:rPr>
        <w:t>Average visitor satisfaction has experienced a significant improvement over the last five years</w:t>
      </w:r>
      <w:r w:rsidR="00380665">
        <w:rPr>
          <w:rFonts w:cs="Segoe UI"/>
          <w:lang w:eastAsia="ja-JP"/>
        </w:rPr>
        <w:t xml:space="preserve"> </w:t>
      </w:r>
      <w:r w:rsidR="00380665" w:rsidRPr="004414DF">
        <w:rPr>
          <w:rFonts w:cs="Segoe UI"/>
          <w:lang w:eastAsia="ja-JP"/>
        </w:rPr>
        <w:t>(</w:t>
      </w:r>
      <w:r w:rsidR="005D0055" w:rsidRPr="004414DF">
        <w:rPr>
          <w:rFonts w:cs="Segoe UI"/>
          <w:lang w:eastAsia="ja-JP"/>
        </w:rPr>
        <w:fldChar w:fldCharType="begin"/>
      </w:r>
      <w:r w:rsidR="005D0055" w:rsidRPr="004414DF">
        <w:rPr>
          <w:rFonts w:cs="Segoe UI"/>
          <w:lang w:eastAsia="ja-JP"/>
        </w:rPr>
        <w:instrText xml:space="preserve"> REF _Ref530567350 \h  \* MERGEFORMAT </w:instrText>
      </w:r>
      <w:r w:rsidR="005D0055" w:rsidRPr="004414DF">
        <w:rPr>
          <w:rFonts w:cs="Segoe UI"/>
          <w:lang w:eastAsia="ja-JP"/>
        </w:rPr>
      </w:r>
      <w:r w:rsidR="005D0055" w:rsidRPr="004414DF">
        <w:rPr>
          <w:rFonts w:cs="Segoe UI"/>
          <w:lang w:eastAsia="ja-JP"/>
        </w:rPr>
        <w:fldChar w:fldCharType="separate"/>
      </w:r>
      <w:r w:rsidR="003C7091">
        <w:t xml:space="preserve">Figure </w:t>
      </w:r>
      <w:r w:rsidR="003C7091">
        <w:rPr>
          <w:noProof/>
        </w:rPr>
        <w:t>15</w:t>
      </w:r>
      <w:r w:rsidR="005D0055" w:rsidRPr="004414DF">
        <w:rPr>
          <w:rFonts w:cs="Segoe UI"/>
          <w:lang w:eastAsia="ja-JP"/>
        </w:rPr>
        <w:fldChar w:fldCharType="end"/>
      </w:r>
      <w:r w:rsidR="00380665" w:rsidRPr="004414DF">
        <w:rPr>
          <w:rFonts w:cs="Segoe UI"/>
          <w:lang w:eastAsia="ja-JP"/>
        </w:rPr>
        <w:t>)</w:t>
      </w:r>
      <w:r w:rsidRPr="00D4374D">
        <w:rPr>
          <w:rFonts w:cs="Segoe UI"/>
          <w:lang w:eastAsia="ja-JP"/>
        </w:rPr>
        <w:t>.</w:t>
      </w:r>
      <w:r w:rsidRPr="00CE60B2">
        <w:rPr>
          <w:rFonts w:cs="Segoe UI"/>
          <w:lang w:eastAsia="ja-JP"/>
        </w:rPr>
        <w:t xml:space="preserve"> The timing appears to coincide with the completion of a suite of recreational infrastructure improvements</w:t>
      </w:r>
      <w:r w:rsidR="00E900DD">
        <w:rPr>
          <w:rFonts w:cs="Segoe UI"/>
          <w:lang w:eastAsia="ja-JP"/>
        </w:rPr>
        <w:t xml:space="preserve"> (Figures 16-18)</w:t>
      </w:r>
      <w:r w:rsidRPr="00CE60B2">
        <w:rPr>
          <w:rFonts w:cs="Segoe UI"/>
          <w:lang w:eastAsia="ja-JP"/>
        </w:rPr>
        <w:t>.</w:t>
      </w:r>
    </w:p>
    <w:p w14:paraId="26ABD465" w14:textId="77777777" w:rsidR="00E40B48" w:rsidRPr="00CE60B2" w:rsidRDefault="00E40B48" w:rsidP="00E40B48">
      <w:pPr>
        <w:rPr>
          <w:rFonts w:cs="Segoe UI"/>
          <w:lang w:eastAsia="ja-JP"/>
        </w:rPr>
      </w:pPr>
    </w:p>
    <w:p w14:paraId="26ABD466" w14:textId="77777777" w:rsidR="00D161CA" w:rsidRDefault="00E40B48" w:rsidP="00D161CA">
      <w:pPr>
        <w:keepNext/>
      </w:pPr>
      <w:r w:rsidRPr="00CE60B2">
        <w:rPr>
          <w:rFonts w:cs="Segoe UI"/>
          <w:noProof/>
          <w:lang w:eastAsia="en-AU"/>
        </w:rPr>
        <w:drawing>
          <wp:inline distT="0" distB="0" distL="0" distR="0" wp14:anchorId="26ABE270" wp14:editId="26ABE271">
            <wp:extent cx="5562600" cy="3473450"/>
            <wp:effectExtent l="0" t="0" r="0" b="12700"/>
            <wp:docPr id="15" name="Chart 15">
              <a:extLst xmlns:a="http://schemas.openxmlformats.org/drawingml/2006/main">
                <a:ext uri="{FF2B5EF4-FFF2-40B4-BE49-F238E27FC236}">
                  <a16:creationId xmlns:a16="http://schemas.microsoft.com/office/drawing/2014/main" id="{3C11A3BD-E6CD-264E-A7A1-102D7894F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ABD467" w14:textId="6C922F6E" w:rsidR="00E40B48" w:rsidRPr="00380665" w:rsidRDefault="00D161CA" w:rsidP="00D161CA">
      <w:pPr>
        <w:pStyle w:val="Caption"/>
      </w:pPr>
      <w:bookmarkStart w:id="173" w:name="_Toc2776017"/>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16</w:t>
      </w:r>
      <w:r w:rsidR="0002253A">
        <w:rPr>
          <w:noProof/>
        </w:rPr>
        <w:fldChar w:fldCharType="end"/>
      </w:r>
      <w:r>
        <w:t xml:space="preserve">: </w:t>
      </w:r>
      <w:r w:rsidRPr="009C67FA">
        <w:t>Number of recreation facilities 2014-2018</w:t>
      </w:r>
      <w:bookmarkEnd w:id="173"/>
    </w:p>
    <w:p w14:paraId="26ABD468" w14:textId="77777777" w:rsidR="00E40B48" w:rsidRPr="00CE60B2" w:rsidRDefault="00E40B48" w:rsidP="00E40B48">
      <w:pPr>
        <w:rPr>
          <w:rFonts w:cs="Segoe UI"/>
          <w:lang w:eastAsia="ja-JP"/>
        </w:rPr>
      </w:pPr>
    </w:p>
    <w:p w14:paraId="26ABD469" w14:textId="77777777" w:rsidR="00D161CA" w:rsidRDefault="00E40B48" w:rsidP="00D161CA">
      <w:pPr>
        <w:keepNext/>
      </w:pPr>
      <w:r w:rsidRPr="00CE60B2">
        <w:rPr>
          <w:rFonts w:cs="Segoe UI"/>
          <w:noProof/>
          <w:lang w:eastAsia="en-AU"/>
        </w:rPr>
        <w:lastRenderedPageBreak/>
        <w:drawing>
          <wp:inline distT="0" distB="0" distL="0" distR="0" wp14:anchorId="26ABE272" wp14:editId="26ABE273">
            <wp:extent cx="5530850" cy="3473450"/>
            <wp:effectExtent l="0" t="0" r="6350" b="6350"/>
            <wp:docPr id="16" name="Chart 16">
              <a:extLst xmlns:a="http://schemas.openxmlformats.org/drawingml/2006/main">
                <a:ext uri="{FF2B5EF4-FFF2-40B4-BE49-F238E27FC236}">
                  <a16:creationId xmlns:a16="http://schemas.microsoft.com/office/drawing/2014/main" id="{0754472E-D342-F941-B4CB-E56568558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ABD46A" w14:textId="30368FC1" w:rsidR="005C10D4" w:rsidRDefault="00D161CA" w:rsidP="00D161CA">
      <w:pPr>
        <w:pStyle w:val="Caption"/>
      </w:pPr>
      <w:bookmarkStart w:id="174" w:name="_Toc2776018"/>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17</w:t>
      </w:r>
      <w:r w:rsidR="0002253A">
        <w:rPr>
          <w:noProof/>
        </w:rPr>
        <w:fldChar w:fldCharType="end"/>
      </w:r>
      <w:r>
        <w:t xml:space="preserve">: </w:t>
      </w:r>
      <w:r w:rsidR="00114EB6">
        <w:t>N</w:t>
      </w:r>
      <w:r w:rsidRPr="00725127">
        <w:t>umber of recreation site types 2014-2018</w:t>
      </w:r>
      <w:bookmarkEnd w:id="174"/>
    </w:p>
    <w:p w14:paraId="26ABD46B" w14:textId="77777777" w:rsidR="00E40B48" w:rsidRPr="00CE60B2" w:rsidRDefault="00E40B48" w:rsidP="00E40B48">
      <w:pPr>
        <w:rPr>
          <w:rFonts w:cs="Segoe UI"/>
          <w:lang w:eastAsia="ja-JP"/>
        </w:rPr>
      </w:pPr>
    </w:p>
    <w:p w14:paraId="26ABD46C" w14:textId="77777777" w:rsidR="00D161CA" w:rsidRDefault="00E40B48" w:rsidP="00D161CA">
      <w:pPr>
        <w:keepNext/>
      </w:pPr>
      <w:r w:rsidRPr="00CE60B2">
        <w:rPr>
          <w:rFonts w:cs="Segoe UI"/>
          <w:noProof/>
          <w:lang w:eastAsia="en-AU"/>
        </w:rPr>
        <w:lastRenderedPageBreak/>
        <w:drawing>
          <wp:inline distT="0" distB="0" distL="0" distR="0" wp14:anchorId="26ABE274" wp14:editId="26ABE275">
            <wp:extent cx="5052561" cy="8383113"/>
            <wp:effectExtent l="0" t="0" r="15240" b="18415"/>
            <wp:docPr id="17" name="Chart 17">
              <a:extLst xmlns:a="http://schemas.openxmlformats.org/drawingml/2006/main">
                <a:ext uri="{FF2B5EF4-FFF2-40B4-BE49-F238E27FC236}">
                  <a16:creationId xmlns:a16="http://schemas.microsoft.com/office/drawing/2014/main" id="{2D627FE1-03DD-324D-B703-F683E47BA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ABD46D" w14:textId="466D6B4D" w:rsidR="005C10D4" w:rsidRDefault="00D161CA" w:rsidP="00D161CA">
      <w:pPr>
        <w:pStyle w:val="Caption"/>
      </w:pPr>
      <w:bookmarkStart w:id="175" w:name="_Toc2776019"/>
      <w:r>
        <w:t xml:space="preserve">Figure </w:t>
      </w:r>
      <w:r w:rsidR="0002253A">
        <w:rPr>
          <w:noProof/>
        </w:rPr>
        <w:fldChar w:fldCharType="begin"/>
      </w:r>
      <w:r w:rsidR="0002253A">
        <w:rPr>
          <w:noProof/>
        </w:rPr>
        <w:instrText xml:space="preserve"> SEQ Figure \* ARABIC </w:instrText>
      </w:r>
      <w:r w:rsidR="0002253A">
        <w:rPr>
          <w:noProof/>
        </w:rPr>
        <w:fldChar w:fldCharType="separate"/>
      </w:r>
      <w:r w:rsidR="003C7091">
        <w:rPr>
          <w:noProof/>
        </w:rPr>
        <w:t>18</w:t>
      </w:r>
      <w:r w:rsidR="0002253A">
        <w:rPr>
          <w:noProof/>
        </w:rPr>
        <w:fldChar w:fldCharType="end"/>
      </w:r>
      <w:r>
        <w:t xml:space="preserve">: </w:t>
      </w:r>
      <w:r w:rsidR="00114EB6">
        <w:t>N</w:t>
      </w:r>
      <w:r w:rsidRPr="006C3F6E">
        <w:t>umber of sites with a range of recreational activities 2014-2018</w:t>
      </w:r>
      <w:bookmarkEnd w:id="175"/>
    </w:p>
    <w:p w14:paraId="26ABD46E" w14:textId="77777777" w:rsidR="00E40B48" w:rsidRPr="00CE60B2" w:rsidRDefault="00E40B48" w:rsidP="00E40B48">
      <w:pPr>
        <w:rPr>
          <w:rFonts w:cs="Segoe UI"/>
          <w:lang w:eastAsia="ja-JP"/>
        </w:rPr>
      </w:pPr>
      <w:r w:rsidRPr="00CE60B2">
        <w:rPr>
          <w:rFonts w:cs="Segoe UI"/>
          <w:lang w:eastAsia="ja-JP"/>
        </w:rPr>
        <w:lastRenderedPageBreak/>
        <w:t xml:space="preserve">Reporting methodologies used for recreation infrastructure have changed over the last few years. For small items such as park furniture, signs and miscellaneous assets, the quantity of assets are now reported rather than the numbers of rows in the database table which previously grouped these items. Assets considered to be non-recreation assets, such as </w:t>
      </w:r>
      <w:r w:rsidR="004D1E59" w:rsidRPr="00CE60B2">
        <w:rPr>
          <w:rFonts w:cs="Segoe UI"/>
          <w:lang w:eastAsia="ja-JP"/>
        </w:rPr>
        <w:t>work sheds</w:t>
      </w:r>
      <w:r w:rsidRPr="00CE60B2">
        <w:rPr>
          <w:rFonts w:cs="Segoe UI"/>
          <w:lang w:eastAsia="ja-JP"/>
        </w:rPr>
        <w:t xml:space="preserve">, residences and other management utilities, have been excluded from the report. </w:t>
      </w:r>
    </w:p>
    <w:p w14:paraId="26ABD46F" w14:textId="77777777" w:rsidR="00E40B48" w:rsidRDefault="00E40B48" w:rsidP="00E40B48">
      <w:pPr>
        <w:rPr>
          <w:rFonts w:cs="Segoe UI"/>
          <w:lang w:eastAsia="ja-JP"/>
        </w:rPr>
      </w:pPr>
      <w:r w:rsidRPr="00CE60B2">
        <w:rPr>
          <w:rFonts w:cs="Segoe UI"/>
          <w:lang w:eastAsia="ja-JP"/>
        </w:rPr>
        <w:t>The data presented above are for recreation sites within the forest regions, including regional parks in the Perth Hills.</w:t>
      </w:r>
    </w:p>
    <w:p w14:paraId="26ABD470" w14:textId="77777777" w:rsidR="00ED3B60" w:rsidRPr="00CE60B2" w:rsidRDefault="00ED3B60" w:rsidP="00ED3B60">
      <w:pPr>
        <w:rPr>
          <w:rFonts w:cs="Segoe UI"/>
          <w:lang w:eastAsia="ja-JP"/>
        </w:rPr>
      </w:pPr>
      <w:r w:rsidRPr="00CE60B2">
        <w:rPr>
          <w:rFonts w:cs="Segoe UI"/>
          <w:lang w:eastAsia="ja-JP"/>
        </w:rPr>
        <w:t>Western Australia is seeking to protect and maintain the range and quality of recreation and nature based tourism opportunities and experiences</w:t>
      </w:r>
      <w:r>
        <w:rPr>
          <w:rFonts w:cs="Segoe UI"/>
          <w:lang w:eastAsia="ja-JP"/>
        </w:rPr>
        <w:t xml:space="preserve"> over time</w:t>
      </w:r>
      <w:r w:rsidRPr="00CE60B2">
        <w:rPr>
          <w:rFonts w:cs="Segoe UI"/>
          <w:lang w:eastAsia="ja-JP"/>
        </w:rPr>
        <w:t>, and the associated physical and mental health benefits. Threats to these values include:</w:t>
      </w:r>
    </w:p>
    <w:p w14:paraId="26ABD471" w14:textId="77777777" w:rsidR="00ED3B60" w:rsidRPr="00CE60B2" w:rsidRDefault="00ED3B60" w:rsidP="00C903EE">
      <w:pPr>
        <w:numPr>
          <w:ilvl w:val="0"/>
          <w:numId w:val="27"/>
        </w:numPr>
        <w:spacing w:before="0" w:after="0"/>
        <w:ind w:left="714" w:hanging="357"/>
        <w:rPr>
          <w:rFonts w:cs="Segoe UI"/>
          <w:lang w:eastAsia="ja-JP"/>
        </w:rPr>
      </w:pPr>
      <w:r w:rsidRPr="00CE60B2">
        <w:rPr>
          <w:rFonts w:cs="Segoe UI"/>
          <w:lang w:eastAsia="ja-JP"/>
        </w:rPr>
        <w:t>Degradation of natural areas, assets and facilities that support recreation and tourism</w:t>
      </w:r>
    </w:p>
    <w:p w14:paraId="26ABD472" w14:textId="1B79FCDD" w:rsidR="00ED3B60" w:rsidRPr="00CE60B2" w:rsidRDefault="00ED3B60" w:rsidP="00C903EE">
      <w:pPr>
        <w:numPr>
          <w:ilvl w:val="0"/>
          <w:numId w:val="27"/>
        </w:numPr>
        <w:spacing w:before="0" w:after="0"/>
        <w:ind w:left="714" w:hanging="357"/>
        <w:rPr>
          <w:rFonts w:cs="Segoe UI"/>
          <w:lang w:eastAsia="ja-JP"/>
        </w:rPr>
      </w:pPr>
      <w:r w:rsidRPr="00CE60B2">
        <w:rPr>
          <w:rFonts w:cs="Segoe UI"/>
          <w:lang w:eastAsia="ja-JP"/>
        </w:rPr>
        <w:t>Inadequate planning, leading to conflicts with other land uses or activities and/or recreation and tourism opportunities not matched to community demand</w:t>
      </w:r>
      <w:r w:rsidR="00BA5A4A">
        <w:rPr>
          <w:rFonts w:cs="Segoe UI"/>
          <w:lang w:eastAsia="ja-JP"/>
        </w:rPr>
        <w:t>.</w:t>
      </w:r>
    </w:p>
    <w:p w14:paraId="26ABD473" w14:textId="50A7E903" w:rsidR="00ED3B60" w:rsidRPr="00CE60B2" w:rsidRDefault="00ED3B60" w:rsidP="00C903EE">
      <w:pPr>
        <w:numPr>
          <w:ilvl w:val="0"/>
          <w:numId w:val="27"/>
        </w:numPr>
        <w:spacing w:before="0" w:after="0"/>
        <w:ind w:left="714" w:hanging="357"/>
        <w:rPr>
          <w:rFonts w:cs="Segoe UI"/>
          <w:lang w:eastAsia="ja-JP"/>
        </w:rPr>
      </w:pPr>
      <w:r w:rsidRPr="00CE60B2">
        <w:rPr>
          <w:rFonts w:cs="Segoe UI"/>
          <w:lang w:eastAsia="ja-JP"/>
        </w:rPr>
        <w:t>Poor design of assets and facilities leading to user dissatisfaction or safety risks</w:t>
      </w:r>
      <w:r w:rsidR="00BA5A4A">
        <w:rPr>
          <w:rFonts w:cs="Segoe UI"/>
          <w:lang w:eastAsia="ja-JP"/>
        </w:rPr>
        <w:t>.</w:t>
      </w:r>
    </w:p>
    <w:p w14:paraId="26ABD474" w14:textId="75695200" w:rsidR="00ED3B60" w:rsidRPr="00CE60B2" w:rsidRDefault="00ED3B60" w:rsidP="00C903EE">
      <w:pPr>
        <w:numPr>
          <w:ilvl w:val="0"/>
          <w:numId w:val="27"/>
        </w:numPr>
        <w:spacing w:before="0" w:after="0"/>
        <w:ind w:left="714" w:hanging="357"/>
        <w:rPr>
          <w:rFonts w:cs="Segoe UI"/>
          <w:lang w:eastAsia="ja-JP"/>
        </w:rPr>
      </w:pPr>
      <w:r w:rsidRPr="00CE60B2">
        <w:rPr>
          <w:rFonts w:cs="Segoe UI"/>
          <w:lang w:eastAsia="ja-JP"/>
        </w:rPr>
        <w:t>Inappropriate behaviour affecting the enjoyment of others, and inappropriate use of and/or wilful damage to facilities provided</w:t>
      </w:r>
      <w:r w:rsidR="00BA5A4A">
        <w:rPr>
          <w:rFonts w:cs="Segoe UI"/>
          <w:lang w:eastAsia="ja-JP"/>
        </w:rPr>
        <w:t>.</w:t>
      </w:r>
    </w:p>
    <w:p w14:paraId="26ABD475" w14:textId="77777777" w:rsidR="00ED3B60" w:rsidRPr="00CE60B2" w:rsidRDefault="00ED3B60" w:rsidP="00C903EE">
      <w:pPr>
        <w:numPr>
          <w:ilvl w:val="0"/>
          <w:numId w:val="27"/>
        </w:numPr>
        <w:spacing w:before="0" w:after="0"/>
        <w:ind w:left="714" w:hanging="357"/>
        <w:rPr>
          <w:rFonts w:cs="Segoe UI"/>
          <w:lang w:eastAsia="ja-JP"/>
        </w:rPr>
      </w:pPr>
      <w:r w:rsidRPr="00CE60B2">
        <w:rPr>
          <w:rFonts w:cs="Segoe UI"/>
          <w:lang w:eastAsia="ja-JP"/>
        </w:rPr>
        <w:t>Inappropriate fire regimes, including uncontrolled bushfires (Conservation Commission of Western Australia 2013).</w:t>
      </w:r>
    </w:p>
    <w:p w14:paraId="26ABD476" w14:textId="77777777" w:rsidR="00ED3B60" w:rsidRPr="00CE60B2" w:rsidRDefault="00ED3B60" w:rsidP="00ED3B60">
      <w:pPr>
        <w:rPr>
          <w:rFonts w:cs="Segoe UI"/>
          <w:lang w:eastAsia="ja-JP"/>
        </w:rPr>
      </w:pPr>
      <w:r w:rsidRPr="00CE60B2">
        <w:rPr>
          <w:rFonts w:cs="Segoe UI"/>
          <w:lang w:eastAsia="ja-JP"/>
        </w:rPr>
        <w:t xml:space="preserve">DBCA manages the increasing demand for recreational activities on land managed by the Department through the issuing of leases, licences and permits for commercial tourism uses. </w:t>
      </w:r>
    </w:p>
    <w:p w14:paraId="26ABD477" w14:textId="77777777" w:rsidR="00AC046D" w:rsidRPr="00CE60B2" w:rsidRDefault="00AC046D" w:rsidP="00AC046D">
      <w:pPr>
        <w:rPr>
          <w:rFonts w:cs="Segoe UI"/>
          <w:lang w:eastAsia="ja-JP"/>
        </w:rPr>
      </w:pPr>
      <w:r>
        <w:rPr>
          <w:rFonts w:cs="Segoe UI"/>
          <w:lang w:eastAsia="ja-JP"/>
        </w:rPr>
        <w:t xml:space="preserve">Studies of tourism </w:t>
      </w:r>
      <w:r w:rsidRPr="00CE60B2">
        <w:rPr>
          <w:rFonts w:cs="Segoe UI"/>
          <w:lang w:eastAsia="ja-JP"/>
        </w:rPr>
        <w:t>activity in the south west indicates that there is no direct relationship between forest harvesting activities and to</w:t>
      </w:r>
      <w:r w:rsidR="008117E8">
        <w:rPr>
          <w:rFonts w:cs="Segoe UI"/>
          <w:lang w:eastAsia="ja-JP"/>
        </w:rPr>
        <w:t>u</w:t>
      </w:r>
      <w:r w:rsidRPr="00CE60B2">
        <w:rPr>
          <w:rFonts w:cs="Segoe UI"/>
          <w:lang w:eastAsia="ja-JP"/>
        </w:rPr>
        <w:t>rism use. Recreation is not necessarily incompatible with timber harvesting, and in some cases facilitates it (</w:t>
      </w:r>
      <w:r w:rsidR="004D1E59" w:rsidRPr="00CE60B2">
        <w:rPr>
          <w:rFonts w:cs="Segoe UI"/>
          <w:lang w:eastAsia="ja-JP"/>
        </w:rPr>
        <w:t>e.g.</w:t>
      </w:r>
      <w:r w:rsidR="00D97CBC">
        <w:rPr>
          <w:rFonts w:cs="Segoe UI"/>
          <w:lang w:eastAsia="ja-JP"/>
        </w:rPr>
        <w:t> </w:t>
      </w:r>
      <w:r w:rsidRPr="00CE60B2">
        <w:rPr>
          <w:rFonts w:cs="Segoe UI"/>
          <w:lang w:eastAsia="ja-JP"/>
        </w:rPr>
        <w:t>firewood collection, 4</w:t>
      </w:r>
      <w:r w:rsidR="007D7B83">
        <w:rPr>
          <w:rFonts w:cs="Segoe UI"/>
          <w:lang w:eastAsia="ja-JP"/>
        </w:rPr>
        <w:t>WD</w:t>
      </w:r>
      <w:r w:rsidRPr="00CE60B2">
        <w:rPr>
          <w:rFonts w:cs="Segoe UI"/>
          <w:lang w:eastAsia="ja-JP"/>
        </w:rPr>
        <w:t xml:space="preserve"> use). The main impact of forestry activities</w:t>
      </w:r>
      <w:r>
        <w:rPr>
          <w:rFonts w:cs="Segoe UI"/>
          <w:lang w:eastAsia="ja-JP"/>
        </w:rPr>
        <w:t xml:space="preserve"> is</w:t>
      </w:r>
      <w:r w:rsidRPr="00CE60B2">
        <w:rPr>
          <w:rFonts w:cs="Segoe UI"/>
          <w:lang w:eastAsia="ja-JP"/>
        </w:rPr>
        <w:t xml:space="preserve"> on tourism operators</w:t>
      </w:r>
      <w:r w:rsidR="008117E8">
        <w:rPr>
          <w:rFonts w:cs="Segoe UI"/>
          <w:lang w:eastAsia="ja-JP"/>
        </w:rPr>
        <w:t xml:space="preserve"> who access specific areas of forest on a regular basis</w:t>
      </w:r>
      <w:r>
        <w:rPr>
          <w:rFonts w:cs="Segoe UI"/>
          <w:lang w:eastAsia="ja-JP"/>
        </w:rPr>
        <w:t>.</w:t>
      </w:r>
    </w:p>
    <w:p w14:paraId="26ABD478" w14:textId="3917AE78" w:rsidR="00ED3B60" w:rsidRPr="00CE60B2" w:rsidRDefault="00ED3B60" w:rsidP="00ED3B60">
      <w:pPr>
        <w:rPr>
          <w:rFonts w:cs="Segoe UI"/>
          <w:lang w:eastAsia="ja-JP"/>
        </w:rPr>
      </w:pPr>
      <w:r w:rsidRPr="00CE60B2">
        <w:rPr>
          <w:rFonts w:cs="Segoe UI"/>
          <w:lang w:eastAsia="ja-JP"/>
        </w:rPr>
        <w:t>On 7</w:t>
      </w:r>
      <w:r w:rsidR="00AB6AC2">
        <w:rPr>
          <w:rFonts w:cs="Segoe UI"/>
          <w:lang w:eastAsia="ja-JP"/>
        </w:rPr>
        <w:t> </w:t>
      </w:r>
      <w:r w:rsidRPr="00CE60B2">
        <w:rPr>
          <w:rFonts w:cs="Segoe UI"/>
          <w:lang w:eastAsia="ja-JP"/>
        </w:rPr>
        <w:t>December</w:t>
      </w:r>
      <w:r w:rsidR="00AB6AC2">
        <w:rPr>
          <w:rFonts w:cs="Segoe UI"/>
          <w:lang w:eastAsia="ja-JP"/>
        </w:rPr>
        <w:t> </w:t>
      </w:r>
      <w:r w:rsidRPr="00CE60B2">
        <w:rPr>
          <w:rFonts w:cs="Segoe UI"/>
          <w:lang w:eastAsia="ja-JP"/>
        </w:rPr>
        <w:t>2011 the WA ministers for Environment and Tourism announced the implementation of recommendations from a Nature Based Tourism Review. Outcomes include longer term leases and tourism licences in addition to communication, education and marketing initiatives with changes designed to provide greater certainty and flexibility while increasing accountability and delivering conservation and tourism outcomes (Tourism Western Australia, 2011).</w:t>
      </w:r>
    </w:p>
    <w:p w14:paraId="26ABD479" w14:textId="2A967BBF" w:rsidR="00ED3B60" w:rsidRPr="00CE60B2" w:rsidRDefault="00ED3B60" w:rsidP="00ED3B60">
      <w:pPr>
        <w:rPr>
          <w:rFonts w:cs="Segoe UI"/>
          <w:lang w:eastAsia="ja-JP"/>
        </w:rPr>
      </w:pPr>
      <w:r w:rsidRPr="00CE60B2">
        <w:rPr>
          <w:rFonts w:cs="Segoe UI"/>
          <w:lang w:eastAsia="ja-JP"/>
        </w:rPr>
        <w:t xml:space="preserve">Increasing populations in Perth and Bunbury are likely to increase demand for nature-based recreation in the RFA area. The </w:t>
      </w:r>
      <w:r w:rsidR="00C15167">
        <w:rPr>
          <w:rFonts w:cs="Segoe UI"/>
          <w:lang w:eastAsia="ja-JP"/>
        </w:rPr>
        <w:t>WA </w:t>
      </w:r>
      <w:r w:rsidRPr="00CE60B2">
        <w:rPr>
          <w:rFonts w:cs="Segoe UI"/>
          <w:lang w:eastAsia="ja-JP"/>
        </w:rPr>
        <w:t>Government continues to upgrade recreation facilities, including walking tracks, camp grounds and off</w:t>
      </w:r>
      <w:r w:rsidR="00B537EA">
        <w:rPr>
          <w:rFonts w:cs="Segoe UI"/>
          <w:lang w:eastAsia="ja-JP"/>
        </w:rPr>
        <w:t>-</w:t>
      </w:r>
      <w:r w:rsidRPr="00CE60B2">
        <w:rPr>
          <w:rFonts w:cs="Segoe UI"/>
          <w:lang w:eastAsia="ja-JP"/>
        </w:rPr>
        <w:t>road vehicle areas. The government will also develop new and innovative ways to manage increases in visitation and meet the expectations of forest users.</w:t>
      </w:r>
    </w:p>
    <w:p w14:paraId="26ABD47A" w14:textId="77777777" w:rsidR="00DB510B" w:rsidRPr="00CE60B2" w:rsidRDefault="00DB510B" w:rsidP="000F6020">
      <w:pPr>
        <w:pStyle w:val="Heading3"/>
        <w:rPr>
          <w:lang w:eastAsia="en-AU"/>
        </w:rPr>
      </w:pPr>
      <w:bookmarkStart w:id="176" w:name="_Toc524952823"/>
      <w:bookmarkStart w:id="177" w:name="_Toc2776066"/>
      <w:r w:rsidRPr="00CE60B2">
        <w:rPr>
          <w:lang w:eastAsia="en-AU"/>
        </w:rPr>
        <w:t>Indicator 6.4d</w:t>
      </w:r>
      <w:r w:rsidRPr="00CE60B2">
        <w:rPr>
          <w:lang w:eastAsia="en-AU"/>
        </w:rPr>
        <w:tab/>
        <w:t>The importance of forests to people</w:t>
      </w:r>
      <w:bookmarkEnd w:id="176"/>
      <w:bookmarkEnd w:id="177"/>
    </w:p>
    <w:p w14:paraId="26ABD47B" w14:textId="77777777" w:rsidR="00EC2CC3" w:rsidRPr="00CE60B2" w:rsidRDefault="001A05D3" w:rsidP="00EC2CC3">
      <w:pPr>
        <w:autoSpaceDE w:val="0"/>
        <w:autoSpaceDN w:val="0"/>
        <w:adjustRightInd w:val="0"/>
        <w:spacing w:before="0" w:after="0"/>
        <w:rPr>
          <w:rFonts w:cs="Segoe UI"/>
          <w:color w:val="000000" w:themeColor="text1"/>
        </w:rPr>
      </w:pPr>
      <w:r>
        <w:rPr>
          <w:rFonts w:cs="Segoe UI"/>
          <w:color w:val="000000" w:themeColor="text1"/>
        </w:rPr>
        <w:t>Communities value the forests</w:t>
      </w:r>
      <w:r w:rsidR="00151CC9" w:rsidRPr="00151CC9">
        <w:rPr>
          <w:rFonts w:cs="Segoe UI"/>
          <w:color w:val="000000" w:themeColor="text1"/>
        </w:rPr>
        <w:t xml:space="preserve"> we depend on </w:t>
      </w:r>
      <w:r>
        <w:rPr>
          <w:rFonts w:cs="Segoe UI"/>
          <w:color w:val="000000" w:themeColor="text1"/>
        </w:rPr>
        <w:t>for</w:t>
      </w:r>
      <w:r w:rsidR="00151CC9" w:rsidRPr="00151CC9">
        <w:rPr>
          <w:rFonts w:cs="Segoe UI"/>
          <w:color w:val="000000" w:themeColor="text1"/>
        </w:rPr>
        <w:t xml:space="preserve"> the air we breathe and wood that we use in </w:t>
      </w:r>
      <w:r>
        <w:rPr>
          <w:rFonts w:cs="Segoe UI"/>
          <w:color w:val="000000" w:themeColor="text1"/>
        </w:rPr>
        <w:t>e</w:t>
      </w:r>
      <w:r w:rsidR="00151CC9" w:rsidRPr="00151CC9">
        <w:rPr>
          <w:rFonts w:cs="Segoe UI"/>
          <w:color w:val="000000" w:themeColor="text1"/>
        </w:rPr>
        <w:t xml:space="preserve">very day life. </w:t>
      </w:r>
      <w:r w:rsidR="00EC2CC3" w:rsidRPr="00CE60B2">
        <w:rPr>
          <w:rFonts w:cs="Segoe UI"/>
          <w:color w:val="000000" w:themeColor="text1"/>
        </w:rPr>
        <w:t>This indicator measures the range of attitudinal values that communities and individuals place on their forests. The importance of forests to society is exemplified through the value that people place on biodiversity, clean air and water, social equity or simply the knowledge that Australia’s forests exist.</w:t>
      </w:r>
    </w:p>
    <w:p w14:paraId="26ABD47C" w14:textId="77777777" w:rsidR="006F03CA" w:rsidRPr="00CE60B2" w:rsidRDefault="006F03CA" w:rsidP="006F03CA">
      <w:pPr>
        <w:spacing w:before="240"/>
        <w:rPr>
          <w:rFonts w:cs="Segoe UI"/>
          <w:color w:val="000000" w:themeColor="text1"/>
        </w:rPr>
      </w:pPr>
      <w:r w:rsidRPr="00CE60B2">
        <w:rPr>
          <w:rFonts w:cs="Segoe UI"/>
          <w:color w:val="000000" w:themeColor="text1"/>
        </w:rPr>
        <w:lastRenderedPageBreak/>
        <w:t xml:space="preserve">Management of </w:t>
      </w:r>
      <w:r w:rsidR="00EA79B0" w:rsidRPr="00CE60B2">
        <w:rPr>
          <w:rFonts w:cs="Segoe UI"/>
          <w:color w:val="000000" w:themeColor="text1"/>
        </w:rPr>
        <w:t>WA’s</w:t>
      </w:r>
      <w:r w:rsidRPr="00CE60B2">
        <w:rPr>
          <w:rFonts w:cs="Segoe UI"/>
          <w:color w:val="000000" w:themeColor="text1"/>
        </w:rPr>
        <w:t xml:space="preserve"> forest estate provides a range of benefits to society, </w:t>
      </w:r>
      <w:r w:rsidR="00EC2CC3" w:rsidRPr="00CE60B2">
        <w:rPr>
          <w:rFonts w:cs="Segoe UI"/>
          <w:color w:val="000000" w:themeColor="text1"/>
        </w:rPr>
        <w:t>based on the</w:t>
      </w:r>
      <w:r w:rsidRPr="00CE60B2">
        <w:rPr>
          <w:rFonts w:cs="Segoe UI"/>
          <w:color w:val="000000" w:themeColor="text1"/>
        </w:rPr>
        <w:t xml:space="preserve"> environmental, social and economic </w:t>
      </w:r>
      <w:r w:rsidR="00EC2CC3" w:rsidRPr="00CE60B2">
        <w:rPr>
          <w:rFonts w:cs="Segoe UI"/>
          <w:color w:val="000000" w:themeColor="text1"/>
        </w:rPr>
        <w:t>values within the forest estate</w:t>
      </w:r>
      <w:r w:rsidRPr="00CE60B2">
        <w:rPr>
          <w:rFonts w:cs="Segoe UI"/>
          <w:color w:val="000000" w:themeColor="text1"/>
        </w:rPr>
        <w:t xml:space="preserve">. The </w:t>
      </w:r>
      <w:r w:rsidR="00EC2CC3" w:rsidRPr="00CE60B2">
        <w:rPr>
          <w:rFonts w:cs="Segoe UI"/>
          <w:color w:val="000000" w:themeColor="text1"/>
        </w:rPr>
        <w:t>current</w:t>
      </w:r>
      <w:r w:rsidRPr="00CE60B2">
        <w:rPr>
          <w:rFonts w:cs="Segoe UI"/>
          <w:color w:val="000000" w:themeColor="text1"/>
        </w:rPr>
        <w:t xml:space="preserve"> management approach reflects changes in community priorities and values over time, including a greater emphasis on conservation, while also developing a robust forest practices system to </w:t>
      </w:r>
      <w:r w:rsidR="00B0253A" w:rsidRPr="00CE60B2">
        <w:rPr>
          <w:rFonts w:cs="Segoe UI"/>
          <w:color w:val="000000" w:themeColor="text1"/>
        </w:rPr>
        <w:t>ensure sustainable</w:t>
      </w:r>
      <w:r w:rsidRPr="00CE60B2">
        <w:rPr>
          <w:rFonts w:cs="Segoe UI"/>
          <w:color w:val="000000" w:themeColor="text1"/>
        </w:rPr>
        <w:t xml:space="preserve"> supply </w:t>
      </w:r>
      <w:r w:rsidR="00B0253A" w:rsidRPr="00CE60B2">
        <w:rPr>
          <w:rFonts w:cs="Segoe UI"/>
          <w:color w:val="000000" w:themeColor="text1"/>
        </w:rPr>
        <w:t xml:space="preserve">of </w:t>
      </w:r>
      <w:r w:rsidR="005F30AA" w:rsidRPr="00CE60B2">
        <w:rPr>
          <w:rFonts w:cs="Segoe UI"/>
          <w:color w:val="000000" w:themeColor="text1"/>
        </w:rPr>
        <w:t>wood</w:t>
      </w:r>
      <w:r w:rsidR="00233D03" w:rsidRPr="00CE60B2">
        <w:rPr>
          <w:rFonts w:cs="Segoe UI"/>
          <w:color w:val="000000" w:themeColor="text1"/>
        </w:rPr>
        <w:t xml:space="preserve"> </w:t>
      </w:r>
      <w:r w:rsidR="005F30AA" w:rsidRPr="00CE60B2">
        <w:rPr>
          <w:rFonts w:cs="Segoe UI"/>
          <w:color w:val="000000" w:themeColor="text1"/>
        </w:rPr>
        <w:t>and</w:t>
      </w:r>
      <w:r w:rsidR="00EC2CC3" w:rsidRPr="00CE60B2">
        <w:rPr>
          <w:rFonts w:cs="Segoe UI"/>
          <w:color w:val="000000" w:themeColor="text1"/>
        </w:rPr>
        <w:t xml:space="preserve"> non-wood forest </w:t>
      </w:r>
      <w:r w:rsidRPr="00CE60B2">
        <w:rPr>
          <w:rFonts w:cs="Segoe UI"/>
          <w:color w:val="000000" w:themeColor="text1"/>
        </w:rPr>
        <w:t>products.</w:t>
      </w:r>
    </w:p>
    <w:p w14:paraId="26ABD47D" w14:textId="77777777" w:rsidR="006F03CA" w:rsidRPr="00CE60B2" w:rsidRDefault="006F03CA" w:rsidP="006F03CA">
      <w:pPr>
        <w:spacing w:before="240"/>
        <w:rPr>
          <w:rFonts w:cs="Segoe UI"/>
          <w:color w:val="000000" w:themeColor="text1"/>
        </w:rPr>
      </w:pPr>
      <w:r w:rsidRPr="00CE60B2">
        <w:rPr>
          <w:rFonts w:cs="Segoe UI"/>
          <w:color w:val="000000" w:themeColor="text1"/>
        </w:rPr>
        <w:t xml:space="preserve">Forests are valued in the community for a range of attributes, from a source of </w:t>
      </w:r>
      <w:r w:rsidR="00EC2CC3" w:rsidRPr="00CE60B2">
        <w:rPr>
          <w:rFonts w:cs="Segoe UI"/>
          <w:color w:val="000000" w:themeColor="text1"/>
        </w:rPr>
        <w:t>inputs to processing facilities</w:t>
      </w:r>
      <w:r w:rsidRPr="00CE60B2">
        <w:rPr>
          <w:rFonts w:cs="Segoe UI"/>
          <w:color w:val="000000" w:themeColor="text1"/>
        </w:rPr>
        <w:t xml:space="preserve"> income and job security to broader values encompassing renewable resources, biodiversity, climate change mitigation, clean air and water. </w:t>
      </w:r>
    </w:p>
    <w:p w14:paraId="26ABD47E" w14:textId="77777777" w:rsidR="006F03CA" w:rsidRPr="00CE60B2" w:rsidRDefault="006F03CA" w:rsidP="006F03CA">
      <w:pPr>
        <w:rPr>
          <w:rFonts w:cs="Segoe UI"/>
        </w:rPr>
      </w:pPr>
      <w:r w:rsidRPr="00CE60B2">
        <w:rPr>
          <w:rFonts w:cs="Segoe UI"/>
          <w:lang w:eastAsia="ja-JP"/>
        </w:rPr>
        <w:t>In the wider Australian community, m</w:t>
      </w:r>
      <w:r w:rsidRPr="00CE60B2">
        <w:rPr>
          <w:rFonts w:cs="Segoe UI"/>
        </w:rPr>
        <w:t>ore than 40</w:t>
      </w:r>
      <w:r w:rsidR="00AB6AC2">
        <w:rPr>
          <w:rFonts w:cs="Segoe UI"/>
        </w:rPr>
        <w:t> per cent</w:t>
      </w:r>
      <w:r w:rsidRPr="00CE60B2">
        <w:rPr>
          <w:rFonts w:cs="Segoe UI"/>
        </w:rPr>
        <w:t xml:space="preserve"> of the respondents to an Australia-wide series of surveys agreed with a survey statement that Australia’s native forests were being managed sustainably</w:t>
      </w:r>
      <w:r w:rsidR="00B11767" w:rsidRPr="00CE60B2">
        <w:rPr>
          <w:rFonts w:cs="Segoe UI"/>
        </w:rPr>
        <w:t xml:space="preserve"> (Montreal Process Implementation Group for Australia and National Forest Inventory Steering Committee, 2013)</w:t>
      </w:r>
      <w:r w:rsidRPr="00CE60B2">
        <w:rPr>
          <w:rFonts w:cs="Segoe UI"/>
        </w:rPr>
        <w:t>. The proportion of respondents who agreed that ‘we should not be cutting down any trees for wood products’ decreased between 2009 and 2012, and the proportion of respondents who agreed that ‘we should use more wood because it is more environmentally friendly than alternative materials’ increased.</w:t>
      </w:r>
    </w:p>
    <w:p w14:paraId="26ABD47F" w14:textId="77777777" w:rsidR="006F03CA" w:rsidRPr="00CE60B2" w:rsidRDefault="006F03CA" w:rsidP="006F03CA">
      <w:pPr>
        <w:rPr>
          <w:rFonts w:cs="Segoe UI"/>
        </w:rPr>
      </w:pPr>
      <w:r w:rsidRPr="00CE60B2">
        <w:rPr>
          <w:rFonts w:cs="Segoe UI"/>
        </w:rPr>
        <w:t>The level of understanding about the role of forests in carbon storage is high and increasing. In 2012, more than 90</w:t>
      </w:r>
      <w:r w:rsidR="00AB6AC2">
        <w:rPr>
          <w:rFonts w:cs="Segoe UI"/>
        </w:rPr>
        <w:t> per cent</w:t>
      </w:r>
      <w:r w:rsidRPr="00CE60B2">
        <w:rPr>
          <w:rFonts w:cs="Segoe UI"/>
        </w:rPr>
        <w:t xml:space="preserve"> of respondents to the same series of Australia-wide surveys agreed that trees absorb carbon dioxide</w:t>
      </w:r>
      <w:r w:rsidR="00BD6925">
        <w:rPr>
          <w:rFonts w:cs="Segoe UI"/>
        </w:rPr>
        <w:t xml:space="preserve"> </w:t>
      </w:r>
      <w:r w:rsidR="00090565">
        <w:rPr>
          <w:rFonts w:cs="Segoe UI"/>
        </w:rPr>
        <w:t>(</w:t>
      </w:r>
      <w:r w:rsidR="00BD6925" w:rsidRPr="00CE60B2">
        <w:rPr>
          <w:rFonts w:cs="Segoe UI"/>
        </w:rPr>
        <w:t>CO</w:t>
      </w:r>
      <w:r w:rsidR="00BD6925" w:rsidRPr="00CE60B2">
        <w:rPr>
          <w:rFonts w:cs="Segoe UI"/>
          <w:vertAlign w:val="subscript"/>
        </w:rPr>
        <w:t>2</w:t>
      </w:r>
      <w:r w:rsidR="00090565">
        <w:rPr>
          <w:rFonts w:cs="Segoe UI"/>
        </w:rPr>
        <w:t>)</w:t>
      </w:r>
      <w:r w:rsidRPr="00CE60B2">
        <w:rPr>
          <w:rFonts w:cs="Segoe UI"/>
        </w:rPr>
        <w:t>, and 71</w:t>
      </w:r>
      <w:r w:rsidR="00AB6AC2">
        <w:rPr>
          <w:rFonts w:cs="Segoe UI"/>
        </w:rPr>
        <w:t> per cent</w:t>
      </w:r>
      <w:r w:rsidRPr="00CE60B2">
        <w:rPr>
          <w:rFonts w:cs="Segoe UI"/>
        </w:rPr>
        <w:t xml:space="preserve"> (up from 52</w:t>
      </w:r>
      <w:r w:rsidR="00AB6AC2">
        <w:rPr>
          <w:rFonts w:cs="Segoe UI"/>
        </w:rPr>
        <w:t> per cent</w:t>
      </w:r>
      <w:r w:rsidRPr="00CE60B2">
        <w:rPr>
          <w:rFonts w:cs="Segoe UI"/>
        </w:rPr>
        <w:t xml:space="preserve"> in 2008) agreed that ‘carbon is stored in wood, even after the tree is harvested’.</w:t>
      </w:r>
    </w:p>
    <w:p w14:paraId="26ABD480" w14:textId="77777777" w:rsidR="000C044D" w:rsidRPr="00E5119D" w:rsidRDefault="000C044D" w:rsidP="006F03CA">
      <w:pPr>
        <w:rPr>
          <w:rFonts w:cs="Segoe UI"/>
        </w:rPr>
      </w:pPr>
      <w:r w:rsidRPr="00E5119D">
        <w:rPr>
          <w:rFonts w:cs="Segoe UI"/>
        </w:rPr>
        <w:t xml:space="preserve">Volunteers make a strong </w:t>
      </w:r>
      <w:r w:rsidR="00E5119D" w:rsidRPr="00E5119D">
        <w:rPr>
          <w:rFonts w:cs="Segoe UI"/>
        </w:rPr>
        <w:t xml:space="preserve">connection and </w:t>
      </w:r>
      <w:r w:rsidRPr="00E5119D">
        <w:rPr>
          <w:rFonts w:cs="Segoe UI"/>
        </w:rPr>
        <w:t>contribution to projects in the RFA area, providing 40,000</w:t>
      </w:r>
      <w:r w:rsidR="00AB6AC2">
        <w:rPr>
          <w:rFonts w:cs="Segoe UI"/>
        </w:rPr>
        <w:t> </w:t>
      </w:r>
      <w:r w:rsidRPr="00E5119D">
        <w:rPr>
          <w:rFonts w:cs="Segoe UI"/>
        </w:rPr>
        <w:t xml:space="preserve">hours of work per year. Additionally, </w:t>
      </w:r>
      <w:r w:rsidR="004D1E59" w:rsidRPr="00E5119D">
        <w:rPr>
          <w:rFonts w:cs="Segoe UI"/>
        </w:rPr>
        <w:t>Eco Education</w:t>
      </w:r>
      <w:r w:rsidRPr="00E5119D">
        <w:rPr>
          <w:rFonts w:cs="Segoe UI"/>
        </w:rPr>
        <w:t xml:space="preserve"> opportunities attract 10,000</w:t>
      </w:r>
      <w:r w:rsidR="00AB6AC2">
        <w:rPr>
          <w:rFonts w:cs="Segoe UI"/>
        </w:rPr>
        <w:noBreakHyphen/>
      </w:r>
      <w:r w:rsidRPr="00E5119D">
        <w:rPr>
          <w:rFonts w:cs="Segoe UI"/>
        </w:rPr>
        <w:t>15,000</w:t>
      </w:r>
      <w:r w:rsidR="00AB6AC2">
        <w:rPr>
          <w:rFonts w:cs="Segoe UI"/>
        </w:rPr>
        <w:t> </w:t>
      </w:r>
      <w:r w:rsidRPr="00E5119D">
        <w:rPr>
          <w:rFonts w:cs="Segoe UI"/>
        </w:rPr>
        <w:t>participants each year</w:t>
      </w:r>
      <w:r w:rsidR="001612DB" w:rsidRPr="00E5119D">
        <w:rPr>
          <w:rFonts w:cs="Segoe UI"/>
        </w:rPr>
        <w:t xml:space="preserve"> (Conservation Commission of Western Australia, 2012).</w:t>
      </w:r>
    </w:p>
    <w:p w14:paraId="26ABD481" w14:textId="77777777" w:rsidR="006F03CA" w:rsidRPr="00CE60B2" w:rsidRDefault="000D3B36" w:rsidP="000F6020">
      <w:pPr>
        <w:pStyle w:val="Heading4"/>
        <w:rPr>
          <w:rFonts w:cs="Segoe UI"/>
        </w:rPr>
      </w:pPr>
      <w:r w:rsidRPr="00CE60B2">
        <w:rPr>
          <w:rFonts w:cs="Segoe UI"/>
        </w:rPr>
        <w:t xml:space="preserve">Studies </w:t>
      </w:r>
      <w:r w:rsidR="00B62D7E" w:rsidRPr="00CE60B2">
        <w:rPr>
          <w:rFonts w:cs="Segoe UI"/>
        </w:rPr>
        <w:t xml:space="preserve">on </w:t>
      </w:r>
      <w:r w:rsidR="006F03CA" w:rsidRPr="00CE60B2">
        <w:rPr>
          <w:rFonts w:cs="Segoe UI"/>
        </w:rPr>
        <w:t xml:space="preserve">Social attitudes to forests </w:t>
      </w:r>
    </w:p>
    <w:p w14:paraId="26ABD482" w14:textId="77777777" w:rsidR="00B83558" w:rsidRDefault="00151CC9" w:rsidP="00151CC9">
      <w:pPr>
        <w:rPr>
          <w:rFonts w:cs="Segoe UI"/>
        </w:rPr>
      </w:pPr>
      <w:r w:rsidRPr="00151CC9">
        <w:rPr>
          <w:rFonts w:cs="Segoe UI"/>
        </w:rPr>
        <w:t>With</w:t>
      </w:r>
      <w:r w:rsidR="00D142FF">
        <w:rPr>
          <w:rFonts w:cs="Segoe UI"/>
        </w:rPr>
        <w:t>in</w:t>
      </w:r>
      <w:r w:rsidRPr="00151CC9">
        <w:rPr>
          <w:rFonts w:cs="Segoe UI"/>
        </w:rPr>
        <w:t xml:space="preserve"> the WA</w:t>
      </w:r>
      <w:r w:rsidR="000868C9">
        <w:rPr>
          <w:rFonts w:cs="Segoe UI"/>
        </w:rPr>
        <w:t> </w:t>
      </w:r>
      <w:r w:rsidRPr="00151CC9">
        <w:rPr>
          <w:rFonts w:cs="Segoe UI"/>
        </w:rPr>
        <w:t>RFA region there is a comprehensive system in place to take account of the competing demands on the forest estate. In particular, the planning process goes to considerable effort to ensure that timber harvesting operations are conducted in a manner that contributes to the maintenance of biodiversity values; both at the individual coupe scale and at the landscape level (as part of the mosaic of structural diversity, created by both anthropogenic impacts and natural disturbance regimes/ ecological processes) (Wilkinson</w:t>
      </w:r>
      <w:r w:rsidR="000868C9">
        <w:rPr>
          <w:rFonts w:cs="Segoe UI"/>
        </w:rPr>
        <w:t> </w:t>
      </w:r>
      <w:r w:rsidRPr="00151CC9">
        <w:rPr>
          <w:rFonts w:cs="Segoe UI"/>
        </w:rPr>
        <w:t xml:space="preserve">2017). </w:t>
      </w:r>
    </w:p>
    <w:p w14:paraId="26ABD483" w14:textId="77777777" w:rsidR="008A3B11" w:rsidRDefault="00145479" w:rsidP="00145479">
      <w:r>
        <w:t>A detailed study of the socio-economic impacts of the forestry industry (Schirmer</w:t>
      </w:r>
      <w:r w:rsidR="000868C9">
        <w:t> </w:t>
      </w:r>
      <w:r w:rsidRPr="00A75124">
        <w:rPr>
          <w:i/>
        </w:rPr>
        <w:t>et</w:t>
      </w:r>
      <w:r w:rsidR="000868C9">
        <w:rPr>
          <w:i/>
        </w:rPr>
        <w:t> </w:t>
      </w:r>
      <w:r w:rsidRPr="00A75124">
        <w:rPr>
          <w:i/>
        </w:rPr>
        <w:t>al.</w:t>
      </w:r>
      <w:r w:rsidR="000868C9">
        <w:t> </w:t>
      </w:r>
      <w:r>
        <w:t xml:space="preserve">2017), published by </w:t>
      </w:r>
      <w:r w:rsidR="00A25EDE">
        <w:t xml:space="preserve">the </w:t>
      </w:r>
      <w:r w:rsidR="00F27B4D">
        <w:t>FWPA</w:t>
      </w:r>
      <w:r>
        <w:t>, was conducted by a team from the University of Canberra and Econsearch and provides evidence of the importance of the forest industry to the WA economy and regional communities. As well as research into the economic value, employment, workforce diversity and industry diversity and sustainability, the report addressed broader socio-economic effects of the forest industry in the communities in which it operates.</w:t>
      </w:r>
    </w:p>
    <w:p w14:paraId="26ABD484" w14:textId="77777777" w:rsidR="00145479" w:rsidRDefault="00145479" w:rsidP="00145479">
      <w:r>
        <w:t>As part of the 2016 Regional Wellbeing Survey</w:t>
      </w:r>
      <w:r w:rsidR="00D97CBC">
        <w:t xml:space="preserve"> (University of Canberra </w:t>
      </w:r>
      <w:r w:rsidR="005F48AA">
        <w:t>2017)</w:t>
      </w:r>
      <w:r>
        <w:t xml:space="preserve">, residents living in communities across WA, including the South West, Great Southern and Esperance, and Wheatbelt regions, were asked about (i) their overall views about quality of life and liveability of their community, and (ii) the extent to which they felt the different industries that operated in their region affected different social and economic aspects of their lives. The report identified that that those living in regions with higher dependence on the forest industry are </w:t>
      </w:r>
      <w:r>
        <w:lastRenderedPageBreak/>
        <w:t>just as or more likely to rate their community as highly liveable, friendly, safe and aesthetically pleasant as those living in nearby communities with less dependence on the forest industry.</w:t>
      </w:r>
    </w:p>
    <w:p w14:paraId="26ABD485" w14:textId="77777777" w:rsidR="00145479" w:rsidRDefault="00145479" w:rsidP="00145479">
      <w:r>
        <w:t>The report (p9) also identified that plantations and native forests provide a base for other socio-economic activities that are valued by forest users including:</w:t>
      </w:r>
    </w:p>
    <w:p w14:paraId="26ABD486" w14:textId="77777777" w:rsidR="00145479" w:rsidRDefault="00145479" w:rsidP="00C903EE">
      <w:pPr>
        <w:pStyle w:val="ListParagraph"/>
        <w:numPr>
          <w:ilvl w:val="0"/>
          <w:numId w:val="35"/>
        </w:numPr>
        <w:spacing w:before="0" w:after="0"/>
        <w:contextualSpacing w:val="0"/>
        <w:rPr>
          <w:rFonts w:eastAsia="Times New Roman"/>
        </w:rPr>
      </w:pPr>
      <w:r>
        <w:rPr>
          <w:rFonts w:eastAsia="Times New Roman"/>
        </w:rPr>
        <w:t xml:space="preserve">bee keeping. </w:t>
      </w:r>
    </w:p>
    <w:p w14:paraId="26ABD487" w14:textId="77777777" w:rsidR="00145479" w:rsidRDefault="00145479" w:rsidP="00C903EE">
      <w:pPr>
        <w:pStyle w:val="ListParagraph"/>
        <w:numPr>
          <w:ilvl w:val="0"/>
          <w:numId w:val="35"/>
        </w:numPr>
        <w:spacing w:before="0" w:after="0"/>
        <w:contextualSpacing w:val="0"/>
        <w:rPr>
          <w:rFonts w:eastAsia="Times New Roman"/>
        </w:rPr>
      </w:pPr>
      <w:r>
        <w:rPr>
          <w:rFonts w:eastAsia="Times New Roman"/>
        </w:rPr>
        <w:t xml:space="preserve">livestock grazing, </w:t>
      </w:r>
    </w:p>
    <w:p w14:paraId="26ABD488" w14:textId="77777777" w:rsidR="00145479" w:rsidRDefault="00145479" w:rsidP="00C903EE">
      <w:pPr>
        <w:pStyle w:val="ListParagraph"/>
        <w:numPr>
          <w:ilvl w:val="0"/>
          <w:numId w:val="35"/>
        </w:numPr>
        <w:spacing w:before="0" w:after="0"/>
        <w:contextualSpacing w:val="0"/>
        <w:rPr>
          <w:rFonts w:eastAsia="Times New Roman"/>
        </w:rPr>
      </w:pPr>
      <w:r>
        <w:rPr>
          <w:rFonts w:eastAsia="Times New Roman"/>
        </w:rPr>
        <w:t>mountain biking</w:t>
      </w:r>
    </w:p>
    <w:p w14:paraId="26ABD489" w14:textId="77777777" w:rsidR="00145479" w:rsidRDefault="00145479" w:rsidP="00C903EE">
      <w:pPr>
        <w:pStyle w:val="ListParagraph"/>
        <w:numPr>
          <w:ilvl w:val="0"/>
          <w:numId w:val="35"/>
        </w:numPr>
        <w:spacing w:before="0" w:after="0"/>
        <w:contextualSpacing w:val="0"/>
        <w:rPr>
          <w:rFonts w:eastAsia="Times New Roman"/>
        </w:rPr>
      </w:pPr>
      <w:r>
        <w:rPr>
          <w:rFonts w:eastAsia="Times New Roman"/>
        </w:rPr>
        <w:t xml:space="preserve">bush walking </w:t>
      </w:r>
    </w:p>
    <w:p w14:paraId="26ABD48A" w14:textId="77777777" w:rsidR="00145479" w:rsidRDefault="00145479" w:rsidP="00C903EE">
      <w:pPr>
        <w:pStyle w:val="ListParagraph"/>
        <w:numPr>
          <w:ilvl w:val="0"/>
          <w:numId w:val="35"/>
        </w:numPr>
        <w:spacing w:before="0" w:after="0"/>
        <w:contextualSpacing w:val="0"/>
        <w:rPr>
          <w:rFonts w:eastAsia="Times New Roman"/>
        </w:rPr>
      </w:pPr>
      <w:r>
        <w:rPr>
          <w:rFonts w:eastAsia="Times New Roman"/>
        </w:rPr>
        <w:t>four-wheel driving and dirt bike riding</w:t>
      </w:r>
    </w:p>
    <w:p w14:paraId="26ABD48B" w14:textId="77777777" w:rsidR="00145479" w:rsidRDefault="00145479" w:rsidP="00C903EE">
      <w:pPr>
        <w:pStyle w:val="ListParagraph"/>
        <w:numPr>
          <w:ilvl w:val="0"/>
          <w:numId w:val="35"/>
        </w:numPr>
        <w:spacing w:before="0" w:after="0"/>
        <w:contextualSpacing w:val="0"/>
        <w:rPr>
          <w:rFonts w:eastAsia="Times New Roman"/>
        </w:rPr>
      </w:pPr>
      <w:r>
        <w:rPr>
          <w:rFonts w:eastAsia="Times New Roman"/>
        </w:rPr>
        <w:t>horse riding</w:t>
      </w:r>
    </w:p>
    <w:p w14:paraId="26ABD48C" w14:textId="7399F5E3" w:rsidR="00145479" w:rsidRDefault="00145479" w:rsidP="00C903EE">
      <w:pPr>
        <w:pStyle w:val="ListParagraph"/>
        <w:numPr>
          <w:ilvl w:val="0"/>
          <w:numId w:val="35"/>
        </w:numPr>
        <w:spacing w:before="0" w:after="0"/>
        <w:contextualSpacing w:val="0"/>
        <w:rPr>
          <w:rFonts w:eastAsia="Times New Roman"/>
        </w:rPr>
      </w:pPr>
      <w:r>
        <w:rPr>
          <w:rFonts w:eastAsia="Times New Roman"/>
        </w:rPr>
        <w:t>hunting</w:t>
      </w:r>
    </w:p>
    <w:p w14:paraId="26ABD48D" w14:textId="091A2655" w:rsidR="00145479" w:rsidRDefault="00145479" w:rsidP="00C903EE">
      <w:pPr>
        <w:pStyle w:val="ListParagraph"/>
        <w:numPr>
          <w:ilvl w:val="0"/>
          <w:numId w:val="35"/>
        </w:numPr>
        <w:spacing w:before="0" w:after="0"/>
        <w:contextualSpacing w:val="0"/>
        <w:rPr>
          <w:rFonts w:eastAsia="Times New Roman"/>
        </w:rPr>
      </w:pPr>
      <w:r>
        <w:rPr>
          <w:rFonts w:eastAsia="Times New Roman"/>
        </w:rPr>
        <w:t>conservation</w:t>
      </w:r>
      <w:r w:rsidR="00BA5A4A">
        <w:rPr>
          <w:rFonts w:eastAsia="Times New Roman"/>
        </w:rPr>
        <w:t>.</w:t>
      </w:r>
    </w:p>
    <w:p w14:paraId="26ABD48E" w14:textId="77777777" w:rsidR="00145479" w:rsidRDefault="00145479" w:rsidP="00145479">
      <w:pPr>
        <w:pStyle w:val="Default"/>
      </w:pPr>
    </w:p>
    <w:p w14:paraId="26ABD48F" w14:textId="77777777" w:rsidR="00DF62CD" w:rsidRPr="005F48AA" w:rsidRDefault="00145479" w:rsidP="00DF62CD">
      <w:pPr>
        <w:pStyle w:val="Default"/>
        <w:rPr>
          <w:rFonts w:ascii="Segoe UI" w:hAnsi="Segoe UI" w:cstheme="minorBidi"/>
          <w:color w:val="auto"/>
          <w:sz w:val="22"/>
          <w:szCs w:val="22"/>
        </w:rPr>
      </w:pPr>
      <w:r w:rsidRPr="005F48AA">
        <w:rPr>
          <w:rFonts w:ascii="Segoe UI" w:hAnsi="Segoe UI" w:cstheme="minorBidi"/>
          <w:color w:val="auto"/>
          <w:sz w:val="22"/>
          <w:szCs w:val="22"/>
        </w:rPr>
        <w:t>The report recognises that these activities generate important social and economic benefits, however does not attem</w:t>
      </w:r>
      <w:r w:rsidR="005F48AA">
        <w:rPr>
          <w:rFonts w:ascii="Segoe UI" w:hAnsi="Segoe UI" w:cstheme="minorBidi"/>
          <w:color w:val="auto"/>
          <w:sz w:val="22"/>
          <w:szCs w:val="22"/>
        </w:rPr>
        <w:t xml:space="preserve">pt to quantify these benefits. </w:t>
      </w:r>
    </w:p>
    <w:p w14:paraId="26ABD490" w14:textId="77777777" w:rsidR="006F03CA" w:rsidRDefault="006F03CA" w:rsidP="000F6020">
      <w:pPr>
        <w:pStyle w:val="Heading4"/>
        <w:rPr>
          <w:rFonts w:cs="Segoe UI"/>
        </w:rPr>
      </w:pPr>
      <w:r w:rsidRPr="00CE60B2">
        <w:rPr>
          <w:rFonts w:cs="Segoe UI"/>
        </w:rPr>
        <w:t xml:space="preserve">Public </w:t>
      </w:r>
      <w:r w:rsidR="00B62D7E" w:rsidRPr="00CE60B2">
        <w:rPr>
          <w:rFonts w:cs="Segoe UI"/>
        </w:rPr>
        <w:t>consultation</w:t>
      </w:r>
    </w:p>
    <w:p w14:paraId="26ABD491" w14:textId="77777777" w:rsidR="00060239" w:rsidRPr="00FF0D54" w:rsidRDefault="00060239" w:rsidP="00060239">
      <w:pPr>
        <w:rPr>
          <w:rFonts w:cs="Segoe UI"/>
        </w:rPr>
      </w:pPr>
      <w:r w:rsidRPr="00FF0D54">
        <w:rPr>
          <w:rFonts w:cs="Segoe UI"/>
        </w:rPr>
        <w:t xml:space="preserve">DBCA works with, and on behalf of, the people of Western Australia to protect and conserve the state’s parks, wildlife, forests and other natural assets. </w:t>
      </w:r>
      <w:r w:rsidRPr="0097123B">
        <w:rPr>
          <w:rFonts w:cs="Segoe UI"/>
        </w:rPr>
        <w:t xml:space="preserve">Community participation is an important to the work and </w:t>
      </w:r>
      <w:r w:rsidR="00FD4352" w:rsidRPr="00FF0D54">
        <w:rPr>
          <w:rFonts w:cs="Segoe UI"/>
        </w:rPr>
        <w:t>DBCA</w:t>
      </w:r>
      <w:r w:rsidRPr="00FF0D54">
        <w:rPr>
          <w:rFonts w:cs="Segoe UI"/>
        </w:rPr>
        <w:t xml:space="preserve"> offers the public the chance to give feedback on many conservation and management issues. This feedback </w:t>
      </w:r>
      <w:r w:rsidRPr="0097123B">
        <w:rPr>
          <w:rFonts w:cs="Segoe UI"/>
        </w:rPr>
        <w:t xml:space="preserve">ensures that the </w:t>
      </w:r>
      <w:r w:rsidR="00FD4352">
        <w:rPr>
          <w:rFonts w:cs="Segoe UI"/>
        </w:rPr>
        <w:t>DBCA</w:t>
      </w:r>
      <w:r w:rsidRPr="0097123B">
        <w:rPr>
          <w:rFonts w:cs="Segoe UI"/>
        </w:rPr>
        <w:t xml:space="preserve"> is </w:t>
      </w:r>
      <w:r w:rsidRPr="00FF0D54">
        <w:rPr>
          <w:rFonts w:cs="Segoe UI"/>
        </w:rPr>
        <w:t>aware of community expectations and reflects and respond appropriately to this where</w:t>
      </w:r>
      <w:r w:rsidRPr="0097123B">
        <w:rPr>
          <w:rFonts w:cs="Segoe UI"/>
          <w:color w:val="333333"/>
          <w:shd w:val="clear" w:color="auto" w:fill="FFFFFF"/>
        </w:rPr>
        <w:t xml:space="preserve"> </w:t>
      </w:r>
      <w:r w:rsidRPr="00FF0D54">
        <w:rPr>
          <w:rFonts w:cs="Segoe UI"/>
        </w:rPr>
        <w:t xml:space="preserve">it is consistent with desired </w:t>
      </w:r>
      <w:r w:rsidRPr="0097123B">
        <w:rPr>
          <w:rFonts w:cs="Segoe UI"/>
        </w:rPr>
        <w:t>management directions and outcomes.</w:t>
      </w:r>
    </w:p>
    <w:p w14:paraId="26ABD492" w14:textId="77777777" w:rsidR="00060239" w:rsidRPr="0097123B" w:rsidRDefault="00060239" w:rsidP="00060239">
      <w:pPr>
        <w:rPr>
          <w:rFonts w:cs="Segoe UI"/>
        </w:rPr>
      </w:pPr>
      <w:r w:rsidRPr="0097123B">
        <w:rPr>
          <w:rFonts w:cs="Segoe UI"/>
        </w:rPr>
        <w:t>Community participation and feedback is accepted through a range of opportunities, including formal legislated processes or liaising and partnering at regional and local levels.</w:t>
      </w:r>
    </w:p>
    <w:p w14:paraId="26ABD493" w14:textId="77777777" w:rsidR="00060239" w:rsidRDefault="00060239" w:rsidP="00060239">
      <w:pPr>
        <w:rPr>
          <w:rFonts w:cs="Segoe UI"/>
        </w:rPr>
      </w:pPr>
      <w:r w:rsidRPr="0097123B">
        <w:rPr>
          <w:rFonts w:cs="Segoe UI"/>
        </w:rPr>
        <w:t>In context of the WA</w:t>
      </w:r>
      <w:r w:rsidR="000868C9">
        <w:rPr>
          <w:rFonts w:cs="Segoe UI"/>
        </w:rPr>
        <w:t> </w:t>
      </w:r>
      <w:r w:rsidRPr="0097123B">
        <w:rPr>
          <w:rFonts w:cs="Segoe UI"/>
        </w:rPr>
        <w:t>RFA, the five-yearly reporting process involves public consultation on the implementation of the WA</w:t>
      </w:r>
      <w:r w:rsidR="000868C9">
        <w:rPr>
          <w:rFonts w:cs="Segoe UI"/>
        </w:rPr>
        <w:t> </w:t>
      </w:r>
      <w:r w:rsidRPr="0097123B">
        <w:rPr>
          <w:rFonts w:cs="Segoe UI"/>
        </w:rPr>
        <w:t>RFA. The public consultation provides an opportunity for the public to have their say and ask questions on the implementation of the WA</w:t>
      </w:r>
      <w:r w:rsidR="000868C9">
        <w:rPr>
          <w:rFonts w:cs="Segoe UI"/>
        </w:rPr>
        <w:t> </w:t>
      </w:r>
      <w:r w:rsidRPr="0097123B">
        <w:rPr>
          <w:rFonts w:cs="Segoe UI"/>
        </w:rPr>
        <w:t>RFA, and to liaise directly with government offici</w:t>
      </w:r>
      <w:r w:rsidR="00E4036F">
        <w:rPr>
          <w:rFonts w:cs="Segoe UI"/>
        </w:rPr>
        <w:t>als from the Australian and WA g</w:t>
      </w:r>
      <w:r w:rsidRPr="0097123B">
        <w:rPr>
          <w:rFonts w:cs="Segoe UI"/>
        </w:rPr>
        <w:t>overnments.</w:t>
      </w:r>
    </w:p>
    <w:p w14:paraId="26ABD494" w14:textId="77777777" w:rsidR="00060239" w:rsidRDefault="00060239" w:rsidP="00060239">
      <w:pPr>
        <w:rPr>
          <w:rFonts w:cs="Segoe UI"/>
        </w:rPr>
      </w:pPr>
      <w:r>
        <w:rPr>
          <w:rFonts w:cs="Segoe UI"/>
        </w:rPr>
        <w:t>The CALM</w:t>
      </w:r>
      <w:r w:rsidR="000868C9">
        <w:rPr>
          <w:rFonts w:cs="Segoe UI"/>
        </w:rPr>
        <w:t> </w:t>
      </w:r>
      <w:r>
        <w:rPr>
          <w:rFonts w:cs="Segoe UI"/>
        </w:rPr>
        <w:t xml:space="preserve">Act requires preparation of area management plans for conservation reserves, including the development of a </w:t>
      </w:r>
      <w:r w:rsidR="00C06FC1">
        <w:rPr>
          <w:rFonts w:cs="Segoe UI"/>
        </w:rPr>
        <w:t>FMP</w:t>
      </w:r>
      <w:r>
        <w:rPr>
          <w:rFonts w:cs="Segoe UI"/>
        </w:rPr>
        <w:t xml:space="preserve"> covering State forest and timber reserves. A crucial part of the preparation process for area management plans is the statutory public comment phase, which is set at a minimum of 2 months.</w:t>
      </w:r>
    </w:p>
    <w:p w14:paraId="26ABD495" w14:textId="77777777" w:rsidR="00060239" w:rsidRPr="00695A81" w:rsidRDefault="00060239" w:rsidP="00060239">
      <w:pPr>
        <w:rPr>
          <w:rFonts w:cs="Segoe UI"/>
        </w:rPr>
      </w:pPr>
      <w:r w:rsidRPr="00695A81">
        <w:rPr>
          <w:rFonts w:cs="Segoe UI"/>
        </w:rPr>
        <w:t xml:space="preserve">Preparation of </w:t>
      </w:r>
      <w:r w:rsidR="00C06FC1">
        <w:rPr>
          <w:rFonts w:cs="Segoe UI"/>
        </w:rPr>
        <w:t>FMP</w:t>
      </w:r>
      <w:r w:rsidRPr="00695A81">
        <w:rPr>
          <w:rFonts w:cs="Segoe UI"/>
        </w:rPr>
        <w:t>s involves wide-ranging public consultation. For example, the FMP 2014</w:t>
      </w:r>
      <w:r w:rsidR="000868C9">
        <w:rPr>
          <w:rFonts w:cs="Segoe UI"/>
        </w:rPr>
        <w:noBreakHyphen/>
      </w:r>
      <w:r w:rsidRPr="00695A81">
        <w:rPr>
          <w:rFonts w:cs="Segoe UI"/>
        </w:rPr>
        <w:t>2023 including consulting within government and across industry, conservation groups, local government and with Noongar representatives. The community could comment on the plan during a 12</w:t>
      </w:r>
      <w:r w:rsidR="000868C9">
        <w:rPr>
          <w:rFonts w:cs="Segoe UI"/>
        </w:rPr>
        <w:noBreakHyphen/>
      </w:r>
      <w:r w:rsidRPr="00695A81">
        <w:rPr>
          <w:rFonts w:cs="Segoe UI"/>
        </w:rPr>
        <w:t>week review period in accordance with the CALM</w:t>
      </w:r>
      <w:r w:rsidR="00A27392">
        <w:rPr>
          <w:rFonts w:cs="Segoe UI"/>
        </w:rPr>
        <w:t> </w:t>
      </w:r>
      <w:r w:rsidRPr="00695A81">
        <w:rPr>
          <w:rFonts w:cs="Segoe UI"/>
        </w:rPr>
        <w:t xml:space="preserve">Act and the </w:t>
      </w:r>
      <w:r w:rsidR="00A27392" w:rsidRPr="002D6E85">
        <w:rPr>
          <w:rFonts w:cs="Segoe UI"/>
        </w:rPr>
        <w:t>EP Act</w:t>
      </w:r>
      <w:r w:rsidRPr="00695A81">
        <w:rPr>
          <w:rFonts w:cs="Segoe UI"/>
        </w:rPr>
        <w:t xml:space="preserve">. </w:t>
      </w:r>
      <w:r>
        <w:rPr>
          <w:rFonts w:cs="Segoe UI"/>
        </w:rPr>
        <w:t>The</w:t>
      </w:r>
      <w:r w:rsidRPr="00695A81">
        <w:rPr>
          <w:rFonts w:cs="Segoe UI"/>
        </w:rPr>
        <w:t xml:space="preserve"> environmental impact </w:t>
      </w:r>
      <w:r>
        <w:rPr>
          <w:rFonts w:cs="Segoe UI"/>
        </w:rPr>
        <w:t xml:space="preserve">assessment of the plan also included an </w:t>
      </w:r>
      <w:r w:rsidRPr="00695A81">
        <w:rPr>
          <w:rFonts w:cs="Segoe UI"/>
        </w:rPr>
        <w:t>appeals process. Key milestones in the preparation of the plan were:</w:t>
      </w:r>
    </w:p>
    <w:p w14:paraId="26ABD496" w14:textId="7A45F4CE" w:rsidR="00060239" w:rsidRPr="00695A81" w:rsidRDefault="00BA5A4A" w:rsidP="00C903EE">
      <w:pPr>
        <w:pStyle w:val="ListParagraph"/>
        <w:widowControl w:val="0"/>
        <w:numPr>
          <w:ilvl w:val="0"/>
          <w:numId w:val="50"/>
        </w:numPr>
        <w:tabs>
          <w:tab w:val="clear" w:pos="-208"/>
          <w:tab w:val="num" w:pos="709"/>
        </w:tabs>
        <w:spacing w:before="0" w:after="0"/>
        <w:ind w:left="709"/>
        <w:contextualSpacing w:val="0"/>
        <w:rPr>
          <w:rFonts w:cs="Segoe UI"/>
        </w:rPr>
      </w:pPr>
      <w:r>
        <w:rPr>
          <w:rFonts w:cs="Segoe UI"/>
        </w:rPr>
        <w:t>A</w:t>
      </w:r>
      <w:r w:rsidR="00060239" w:rsidRPr="00695A81">
        <w:rPr>
          <w:rFonts w:cs="Segoe UI"/>
        </w:rPr>
        <w:t>n Environmental Scoping Document released as a part of the Environmental Protection Authority</w:t>
      </w:r>
      <w:r w:rsidR="00A27392">
        <w:rPr>
          <w:rFonts w:cs="Segoe UI"/>
        </w:rPr>
        <w:t> </w:t>
      </w:r>
      <w:r w:rsidR="00060239" w:rsidRPr="00695A81">
        <w:rPr>
          <w:rFonts w:cs="Segoe UI"/>
        </w:rPr>
        <w:t>(EPA) environmental impact assessment process. The scoping document provided the community with an opportunity to comment on the key environmental issues that should be addressed in the plan</w:t>
      </w:r>
      <w:r>
        <w:rPr>
          <w:rFonts w:cs="Segoe UI"/>
        </w:rPr>
        <w:t>.</w:t>
      </w:r>
    </w:p>
    <w:p w14:paraId="26ABD497" w14:textId="46F6AE4E" w:rsidR="00060239" w:rsidRPr="00695A81" w:rsidRDefault="00BA5A4A" w:rsidP="00C903EE">
      <w:pPr>
        <w:pStyle w:val="ListParagraph"/>
        <w:widowControl w:val="0"/>
        <w:numPr>
          <w:ilvl w:val="0"/>
          <w:numId w:val="50"/>
        </w:numPr>
        <w:tabs>
          <w:tab w:val="clear" w:pos="-208"/>
          <w:tab w:val="num" w:pos="709"/>
        </w:tabs>
        <w:spacing w:before="0" w:after="0"/>
        <w:ind w:left="709"/>
        <w:contextualSpacing w:val="0"/>
        <w:rPr>
          <w:rFonts w:cs="Segoe UI"/>
        </w:rPr>
      </w:pPr>
      <w:r>
        <w:rPr>
          <w:rFonts w:cs="Segoe UI"/>
        </w:rPr>
        <w:lastRenderedPageBreak/>
        <w:t>A</w:t>
      </w:r>
      <w:r w:rsidR="00060239" w:rsidRPr="00695A81">
        <w:rPr>
          <w:rFonts w:cs="Segoe UI"/>
        </w:rPr>
        <w:t xml:space="preserve"> 12</w:t>
      </w:r>
      <w:r w:rsidR="000868C9">
        <w:rPr>
          <w:rFonts w:cs="Segoe UI"/>
          <w:lang w:val="en-US"/>
        </w:rPr>
        <w:noBreakHyphen/>
      </w:r>
      <w:r w:rsidR="00060239" w:rsidRPr="00695A81">
        <w:rPr>
          <w:rFonts w:cs="Segoe UI"/>
          <w:lang w:val="en-US"/>
        </w:rPr>
        <w:t xml:space="preserve">week statutory public comment period on the </w:t>
      </w:r>
      <w:r w:rsidR="00060239" w:rsidRPr="00695A81">
        <w:rPr>
          <w:rFonts w:cs="Segoe UI"/>
          <w:i/>
          <w:lang w:val="en-US"/>
        </w:rPr>
        <w:t>Draft Forest Management Plan 2014</w:t>
      </w:r>
      <w:r w:rsidR="000868C9">
        <w:rPr>
          <w:rFonts w:cs="Segoe UI"/>
          <w:i/>
          <w:lang w:val="en-US"/>
        </w:rPr>
        <w:noBreakHyphen/>
      </w:r>
      <w:r w:rsidR="00060239" w:rsidRPr="00695A81">
        <w:rPr>
          <w:rFonts w:cs="Segoe UI"/>
          <w:i/>
          <w:lang w:val="en-US"/>
        </w:rPr>
        <w:t>2023</w:t>
      </w:r>
      <w:r w:rsidR="00060239" w:rsidRPr="00695A81">
        <w:rPr>
          <w:rFonts w:cs="Segoe UI"/>
          <w:lang w:val="en-US"/>
        </w:rPr>
        <w:t>, d</w:t>
      </w:r>
      <w:r w:rsidR="00E4036F">
        <w:rPr>
          <w:rFonts w:cs="Segoe UI"/>
          <w:lang w:val="en-US"/>
        </w:rPr>
        <w:t>uring which approximately 5,100 </w:t>
      </w:r>
      <w:r w:rsidR="00060239" w:rsidRPr="00695A81">
        <w:rPr>
          <w:rFonts w:cs="Segoe UI"/>
          <w:lang w:val="en-US"/>
        </w:rPr>
        <w:t>submissions were received</w:t>
      </w:r>
      <w:r>
        <w:rPr>
          <w:rFonts w:cs="Segoe UI"/>
          <w:lang w:val="en-US"/>
        </w:rPr>
        <w:t>.</w:t>
      </w:r>
    </w:p>
    <w:p w14:paraId="26ABD498" w14:textId="39B76231" w:rsidR="00060239" w:rsidRPr="00695A81" w:rsidRDefault="00BA5A4A" w:rsidP="00C903EE">
      <w:pPr>
        <w:pStyle w:val="ListParagraph"/>
        <w:numPr>
          <w:ilvl w:val="0"/>
          <w:numId w:val="50"/>
        </w:numPr>
        <w:tabs>
          <w:tab w:val="clear" w:pos="-208"/>
          <w:tab w:val="num" w:pos="709"/>
          <w:tab w:val="left" w:pos="993"/>
        </w:tabs>
        <w:spacing w:before="0" w:after="0"/>
        <w:ind w:left="709"/>
        <w:contextualSpacing w:val="0"/>
        <w:rPr>
          <w:rFonts w:cs="Segoe UI"/>
        </w:rPr>
      </w:pPr>
      <w:r>
        <w:rPr>
          <w:rFonts w:cs="Segoe UI"/>
        </w:rPr>
        <w:t>C</w:t>
      </w:r>
      <w:r w:rsidR="00060239" w:rsidRPr="00695A81">
        <w:rPr>
          <w:rFonts w:cs="Segoe UI"/>
        </w:rPr>
        <w:t>onsultation with Noongar people, which included: D</w:t>
      </w:r>
      <w:r w:rsidR="000D72DF">
        <w:rPr>
          <w:rFonts w:cs="Segoe UI"/>
        </w:rPr>
        <w:t>BCA</w:t>
      </w:r>
      <w:r w:rsidR="00060239" w:rsidRPr="00695A81">
        <w:rPr>
          <w:rFonts w:cs="Segoe UI"/>
        </w:rPr>
        <w:t xml:space="preserve"> representatives attending meetings of the native title working parties representing the registered native title claim groups in the area of the plan; an intensive workshop for representatives of the native title groups to discuss the content of the </w:t>
      </w:r>
      <w:r w:rsidR="00060239" w:rsidRPr="00695A81">
        <w:rPr>
          <w:rFonts w:cs="Segoe UI"/>
          <w:i/>
        </w:rPr>
        <w:t>Draft Forest Management Plan 2014</w:t>
      </w:r>
      <w:r w:rsidR="000868C9">
        <w:rPr>
          <w:rFonts w:cs="Segoe UI"/>
          <w:i/>
        </w:rPr>
        <w:noBreakHyphen/>
      </w:r>
      <w:r w:rsidR="00060239" w:rsidRPr="00695A81">
        <w:rPr>
          <w:rFonts w:cs="Segoe UI"/>
          <w:i/>
        </w:rPr>
        <w:t>2023</w:t>
      </w:r>
      <w:r w:rsidR="00060239" w:rsidRPr="00695A81">
        <w:rPr>
          <w:rFonts w:cs="Segoe UI"/>
        </w:rPr>
        <w:t xml:space="preserve"> and prepare a submission; and a meeting to discuss appropriate mechanisms for ongoing consultation to conserve and protect Noongar cultural and heritage value</w:t>
      </w:r>
      <w:r>
        <w:rPr>
          <w:rFonts w:cs="Segoe UI"/>
        </w:rPr>
        <w:t>.</w:t>
      </w:r>
    </w:p>
    <w:p w14:paraId="26ABD499" w14:textId="1E9FDDD4" w:rsidR="00060239" w:rsidRPr="00695A81" w:rsidRDefault="00BA5A4A" w:rsidP="00C903EE">
      <w:pPr>
        <w:pStyle w:val="ListParagraph"/>
        <w:numPr>
          <w:ilvl w:val="0"/>
          <w:numId w:val="50"/>
        </w:numPr>
        <w:tabs>
          <w:tab w:val="clear" w:pos="-208"/>
          <w:tab w:val="num" w:pos="709"/>
        </w:tabs>
        <w:spacing w:before="0" w:after="0"/>
        <w:ind w:left="709"/>
        <w:contextualSpacing w:val="0"/>
        <w:rPr>
          <w:rFonts w:cs="Segoe UI"/>
        </w:rPr>
      </w:pPr>
      <w:r>
        <w:rPr>
          <w:rFonts w:cs="Segoe UI"/>
        </w:rPr>
        <w:t>A</w:t>
      </w:r>
      <w:r w:rsidR="00060239" w:rsidRPr="00695A81">
        <w:rPr>
          <w:rFonts w:cs="Segoe UI"/>
        </w:rPr>
        <w:t xml:space="preserve">ssessment of the </w:t>
      </w:r>
      <w:r w:rsidR="00060239" w:rsidRPr="00695A81">
        <w:rPr>
          <w:rFonts w:cs="Segoe UI"/>
          <w:i/>
        </w:rPr>
        <w:t>Proposed Forest Management Plan 2014</w:t>
      </w:r>
      <w:r w:rsidR="000868C9">
        <w:rPr>
          <w:rFonts w:cs="Segoe UI"/>
          <w:i/>
        </w:rPr>
        <w:noBreakHyphen/>
      </w:r>
      <w:r w:rsidR="00060239" w:rsidRPr="00695A81">
        <w:rPr>
          <w:rFonts w:cs="Segoe UI"/>
          <w:i/>
        </w:rPr>
        <w:t>2023</w:t>
      </w:r>
      <w:r w:rsidR="00060239" w:rsidRPr="00695A81">
        <w:rPr>
          <w:rFonts w:cs="Segoe UI"/>
        </w:rPr>
        <w:t xml:space="preserve"> by the EPA.</w:t>
      </w:r>
    </w:p>
    <w:p w14:paraId="26ABD49A" w14:textId="77777777" w:rsidR="00060239" w:rsidRPr="00695A81" w:rsidRDefault="00E4036F" w:rsidP="00060239">
      <w:pPr>
        <w:rPr>
          <w:rFonts w:cs="Segoe UI"/>
        </w:rPr>
      </w:pPr>
      <w:r>
        <w:rPr>
          <w:rFonts w:cs="Segoe UI"/>
        </w:rPr>
        <w:t>The FMP </w:t>
      </w:r>
      <w:r w:rsidR="00060239">
        <w:rPr>
          <w:rFonts w:cs="Segoe UI"/>
        </w:rPr>
        <w:t>2014</w:t>
      </w:r>
      <w:r w:rsidR="000868C9">
        <w:rPr>
          <w:rFonts w:cs="Segoe UI"/>
        </w:rPr>
        <w:noBreakHyphen/>
      </w:r>
      <w:r w:rsidR="00060239">
        <w:rPr>
          <w:rFonts w:cs="Segoe UI"/>
        </w:rPr>
        <w:t xml:space="preserve">2023 also required preparation of a mid-term performance review which was released by the </w:t>
      </w:r>
      <w:r w:rsidR="00FC41D8">
        <w:rPr>
          <w:rFonts w:cs="Segoe UI"/>
        </w:rPr>
        <w:t>CPC</w:t>
      </w:r>
      <w:r w:rsidR="00060239">
        <w:rPr>
          <w:rFonts w:cs="Segoe UI"/>
        </w:rPr>
        <w:t xml:space="preserve"> for a 6</w:t>
      </w:r>
      <w:r w:rsidR="000868C9">
        <w:rPr>
          <w:rFonts w:cs="Segoe UI"/>
        </w:rPr>
        <w:noBreakHyphen/>
      </w:r>
      <w:r w:rsidR="00060239">
        <w:rPr>
          <w:rFonts w:cs="Segoe UI"/>
        </w:rPr>
        <w:t>week public comment period.</w:t>
      </w:r>
    </w:p>
    <w:p w14:paraId="26ABD49B" w14:textId="1971D53E" w:rsidR="00060239" w:rsidRDefault="00060239" w:rsidP="00060239">
      <w:r w:rsidRPr="00E61F13">
        <w:rPr>
          <w:rFonts w:cs="Segoe UI"/>
        </w:rPr>
        <w:t>Input on species recovery plans is sought from key stakeholders who will be involved in implementing these plans, and the public is able to nominate species to be considered for protection. The new BC</w:t>
      </w:r>
      <w:r w:rsidR="000868C9">
        <w:rPr>
          <w:rFonts w:cs="Segoe UI"/>
        </w:rPr>
        <w:t> </w:t>
      </w:r>
      <w:r w:rsidRPr="00E61F13">
        <w:rPr>
          <w:rFonts w:cs="Segoe UI"/>
        </w:rPr>
        <w:t>Act introduces a broader consultation process for species recovery plans, which will complement the process outlined in the EPBC</w:t>
      </w:r>
      <w:r w:rsidR="000868C9">
        <w:rPr>
          <w:rFonts w:cs="Segoe UI"/>
        </w:rPr>
        <w:t> </w:t>
      </w:r>
      <w:r w:rsidRPr="00E61F13">
        <w:rPr>
          <w:rFonts w:cs="Segoe UI"/>
        </w:rPr>
        <w:t xml:space="preserve">Act. The Act also introduced biodiversity management programmes meant to </w:t>
      </w:r>
      <w:r w:rsidRPr="00E61F13">
        <w:t>provide a strategic framework, linking legislated and policy instruments to best achieve the desired outcome of conservation or sustainable use of biodiversity. While preparing a BMP consult</w:t>
      </w:r>
      <w:r w:rsidR="00DB5309">
        <w:t>ation</w:t>
      </w:r>
      <w:r w:rsidRPr="00E61F13">
        <w:t xml:space="preserve"> may be carried out with any other person or organisation likely to be affected in a material way by the programme.</w:t>
      </w:r>
    </w:p>
    <w:p w14:paraId="26ABD49C" w14:textId="77777777" w:rsidR="00060239" w:rsidRDefault="00060239" w:rsidP="00060239">
      <w:pPr>
        <w:rPr>
          <w:rFonts w:cs="Segoe UI"/>
        </w:rPr>
      </w:pPr>
      <w:r>
        <w:rPr>
          <w:rFonts w:cs="Segoe UI"/>
        </w:rPr>
        <w:t>In undertaking it management responsibilities in invasive species control or prescribed burning DBCA will carry out work with consideration to its Good Neighbour policy. Also, acknowledging that the conduct of prescribing burning can have a material effect on the lucrative wine industry in the State’s south-west, DBCA consults with WA wine growers in planning the prescribed burn plan. This consultation will be extended to the bee industry.</w:t>
      </w:r>
    </w:p>
    <w:p w14:paraId="26ABD49D" w14:textId="77777777" w:rsidR="00060239" w:rsidRPr="0097123B" w:rsidRDefault="00060239" w:rsidP="000868C9">
      <w:pPr>
        <w:rPr>
          <w:rFonts w:cs="Segoe UI"/>
        </w:rPr>
      </w:pPr>
      <w:r w:rsidRPr="0097123B">
        <w:rPr>
          <w:rFonts w:cs="Segoe UI"/>
        </w:rPr>
        <w:t xml:space="preserve">The </w:t>
      </w:r>
      <w:r w:rsidR="000868C9">
        <w:rPr>
          <w:rFonts w:cs="Segoe UI"/>
        </w:rPr>
        <w:t>FPC</w:t>
      </w:r>
      <w:r w:rsidRPr="0097123B">
        <w:rPr>
          <w:rFonts w:cs="Segoe UI"/>
        </w:rPr>
        <w:t xml:space="preserve"> releases </w:t>
      </w:r>
      <w:r>
        <w:rPr>
          <w:rFonts w:cs="Segoe UI"/>
        </w:rPr>
        <w:t xml:space="preserve">the annual timber harvest plan for six-week public comment. </w:t>
      </w:r>
      <w:r w:rsidRPr="0097123B">
        <w:rPr>
          <w:rFonts w:cs="Segoe UI"/>
        </w:rPr>
        <w:t xml:space="preserve">As part of coupe level planning, the </w:t>
      </w:r>
      <w:r w:rsidR="000868C9">
        <w:rPr>
          <w:rFonts w:cs="Segoe UI"/>
        </w:rPr>
        <w:t>FPC</w:t>
      </w:r>
      <w:r w:rsidRPr="0097123B">
        <w:rPr>
          <w:rFonts w:cs="Segoe UI"/>
        </w:rPr>
        <w:t xml:space="preserve"> carries out consultation with neighbouring land manager neighbouring proposed harvest operations.</w:t>
      </w:r>
    </w:p>
    <w:p w14:paraId="26ABD49E" w14:textId="77777777" w:rsidR="00060239" w:rsidRDefault="00060239" w:rsidP="00060239">
      <w:r>
        <w:t>Western Australia intends to maintain this degree of public consultation and participation, either through formal legislation/statutory requirements, policy initiative or in response to community expectations.</w:t>
      </w:r>
    </w:p>
    <w:p w14:paraId="26ABD49F" w14:textId="77777777" w:rsidR="00DB510B" w:rsidRPr="00CE60B2" w:rsidRDefault="00DB510B" w:rsidP="000F6020">
      <w:pPr>
        <w:pStyle w:val="Heading3"/>
        <w:rPr>
          <w:lang w:eastAsia="en-AU"/>
        </w:rPr>
      </w:pPr>
      <w:bookmarkStart w:id="178" w:name="_Toc524952825"/>
      <w:bookmarkStart w:id="179" w:name="_Toc2776067"/>
      <w:r w:rsidRPr="00CE60B2">
        <w:rPr>
          <w:lang w:eastAsia="en-AU"/>
        </w:rPr>
        <w:t>Indicator 6.5b</w:t>
      </w:r>
      <w:r w:rsidRPr="00CE60B2">
        <w:rPr>
          <w:lang w:eastAsia="en-AU"/>
        </w:rPr>
        <w:tab/>
        <w:t>Wage rates and injury rates within the forest sector</w:t>
      </w:r>
      <w:bookmarkEnd w:id="178"/>
      <w:bookmarkEnd w:id="179"/>
    </w:p>
    <w:p w14:paraId="26ABD4A0" w14:textId="77777777" w:rsidR="00E5124C" w:rsidRPr="00CE60B2" w:rsidRDefault="00E5124C" w:rsidP="00E5124C">
      <w:pPr>
        <w:autoSpaceDE w:val="0"/>
        <w:autoSpaceDN w:val="0"/>
        <w:adjustRightInd w:val="0"/>
        <w:spacing w:before="0" w:after="0"/>
        <w:rPr>
          <w:rFonts w:cs="Segoe UI"/>
          <w:shd w:val="clear" w:color="auto" w:fill="FFFFFF"/>
        </w:rPr>
      </w:pPr>
      <w:r w:rsidRPr="00CE60B2">
        <w:rPr>
          <w:rFonts w:cs="Segoe UI"/>
          <w:shd w:val="clear" w:color="auto" w:fill="FFFFFF"/>
        </w:rPr>
        <w:t>This indicator measures the level of wage and injury rates in the forest sector. A sustainable industry will ensure high levels of workforce health and welfare and wage rates comparable with national averages for other occupations.</w:t>
      </w:r>
    </w:p>
    <w:p w14:paraId="26ABD4A1" w14:textId="77777777" w:rsidR="00C62AD1" w:rsidRPr="00CE60B2" w:rsidRDefault="00C62AD1" w:rsidP="000F6020">
      <w:pPr>
        <w:pStyle w:val="Heading4"/>
        <w:rPr>
          <w:rFonts w:cs="Segoe UI"/>
        </w:rPr>
      </w:pPr>
      <w:r w:rsidRPr="00CE60B2">
        <w:rPr>
          <w:rFonts w:cs="Segoe UI"/>
        </w:rPr>
        <w:t>Wage rates</w:t>
      </w:r>
    </w:p>
    <w:p w14:paraId="26ABD4A2" w14:textId="77777777" w:rsidR="005C2908" w:rsidRPr="005C2908" w:rsidRDefault="005C2908" w:rsidP="005C2908">
      <w:pPr>
        <w:pStyle w:val="Heading4"/>
        <w:rPr>
          <w:rFonts w:cs="Segoe UI"/>
          <w:b w:val="0"/>
          <w:i w:val="0"/>
          <w:shd w:val="clear" w:color="auto" w:fill="FFFFFF"/>
        </w:rPr>
      </w:pPr>
      <w:r w:rsidRPr="005C2908">
        <w:rPr>
          <w:rFonts w:cs="Segoe UI"/>
          <w:b w:val="0"/>
          <w:i w:val="0"/>
          <w:shd w:val="clear" w:color="auto" w:fill="FFFFFF"/>
        </w:rPr>
        <w:t xml:space="preserve">Individuals aged 65 and under typically receive the majority of their income from a salary or wages earned from a job. Information on wage rates in the forest sector contributes to an understanding of employment opportunities in the sector and the contribution it makes to the economy. </w:t>
      </w:r>
    </w:p>
    <w:p w14:paraId="26ABD4A3" w14:textId="77777777" w:rsidR="005C2908" w:rsidRPr="005C2908" w:rsidRDefault="005C2908" w:rsidP="005C2908">
      <w:pPr>
        <w:pStyle w:val="Heading4"/>
        <w:rPr>
          <w:rFonts w:cs="Segoe UI"/>
          <w:b w:val="0"/>
          <w:i w:val="0"/>
          <w:shd w:val="clear" w:color="auto" w:fill="FFFFFF"/>
        </w:rPr>
      </w:pPr>
      <w:r w:rsidRPr="005C2908">
        <w:rPr>
          <w:rFonts w:cs="Segoe UI"/>
          <w:b w:val="0"/>
          <w:i w:val="0"/>
          <w:shd w:val="clear" w:color="auto" w:fill="FFFFFF"/>
        </w:rPr>
        <w:lastRenderedPageBreak/>
        <w:t xml:space="preserve">Knowing about industry wage rates is also important to employers including those who run commercial businesses. Earnings paid to employees typically represent a significant component of operating costs. Changes in wages can impact on the productivity of a business and its competitiveness in a global market. Changes in average earnings can also reflect the impact of the economic cycle on the labour market, or sectors within the labour market (Australian Bureau of Statistics, 2016). </w:t>
      </w:r>
    </w:p>
    <w:p w14:paraId="26ABD4A4" w14:textId="77777777" w:rsidR="005C2908" w:rsidRPr="005C2908" w:rsidRDefault="005C2908" w:rsidP="005C2908">
      <w:pPr>
        <w:pStyle w:val="Heading4"/>
        <w:rPr>
          <w:rFonts w:cs="Segoe UI"/>
          <w:b w:val="0"/>
          <w:i w:val="0"/>
          <w:shd w:val="clear" w:color="auto" w:fill="FFFFFF"/>
        </w:rPr>
      </w:pPr>
      <w:r w:rsidRPr="005C2908">
        <w:rPr>
          <w:rFonts w:cs="Segoe UI"/>
          <w:b w:val="0"/>
          <w:i w:val="0"/>
          <w:shd w:val="clear" w:color="auto" w:fill="FFFFFF"/>
        </w:rPr>
        <w:t>How much an individual earns from wages</w:t>
      </w:r>
      <w:r w:rsidR="008C45D7">
        <w:rPr>
          <w:rFonts w:cs="Segoe UI"/>
          <w:b w:val="0"/>
          <w:i w:val="0"/>
          <w:shd w:val="clear" w:color="auto" w:fill="FFFFFF"/>
        </w:rPr>
        <w:t xml:space="preserve"> and salaries and other sources</w:t>
      </w:r>
      <w:r w:rsidRPr="005C2908">
        <w:rPr>
          <w:rFonts w:cs="Segoe UI"/>
          <w:b w:val="0"/>
          <w:i w:val="0"/>
          <w:shd w:val="clear" w:color="auto" w:fill="FFFFFF"/>
        </w:rPr>
        <w:t xml:space="preserve"> (personal income) affects their well-being. </w:t>
      </w:r>
    </w:p>
    <w:p w14:paraId="26ABD4A5" w14:textId="28BD19FD" w:rsidR="005C2908" w:rsidRPr="005C2908" w:rsidRDefault="005C2908" w:rsidP="005C2908">
      <w:pPr>
        <w:pStyle w:val="Heading4"/>
        <w:rPr>
          <w:rFonts w:cs="Segoe UI"/>
          <w:b w:val="0"/>
          <w:i w:val="0"/>
          <w:shd w:val="clear" w:color="auto" w:fill="FFFFFF"/>
        </w:rPr>
      </w:pPr>
      <w:r w:rsidRPr="005C2908">
        <w:rPr>
          <w:rFonts w:cs="Segoe UI"/>
          <w:b w:val="0"/>
          <w:i w:val="0"/>
          <w:shd w:val="clear" w:color="auto" w:fill="FFFFFF"/>
        </w:rPr>
        <w:t>The national minimum wage is set at $719.20</w:t>
      </w:r>
      <w:r w:rsidR="00E4036F">
        <w:rPr>
          <w:rFonts w:cs="Segoe UI"/>
          <w:b w:val="0"/>
          <w:i w:val="0"/>
          <w:shd w:val="clear" w:color="auto" w:fill="FFFFFF"/>
        </w:rPr>
        <w:t> per </w:t>
      </w:r>
      <w:r w:rsidR="00DB5309">
        <w:rPr>
          <w:rFonts w:cs="Segoe UI"/>
          <w:b w:val="0"/>
          <w:i w:val="0"/>
          <w:shd w:val="clear" w:color="auto" w:fill="FFFFFF"/>
        </w:rPr>
        <w:t>38-hour</w:t>
      </w:r>
      <w:r w:rsidR="00E4036F">
        <w:rPr>
          <w:rFonts w:cs="Segoe UI"/>
          <w:b w:val="0"/>
          <w:i w:val="0"/>
          <w:shd w:val="clear" w:color="auto" w:fill="FFFFFF"/>
        </w:rPr>
        <w:t> week or $37,398.40 per </w:t>
      </w:r>
      <w:r w:rsidRPr="005C2908">
        <w:rPr>
          <w:rFonts w:cs="Segoe UI"/>
          <w:b w:val="0"/>
          <w:i w:val="0"/>
          <w:shd w:val="clear" w:color="auto" w:fill="FFFFFF"/>
        </w:rPr>
        <w:t>year before tax (</w:t>
      </w:r>
      <w:r w:rsidR="000E0CE4" w:rsidRPr="005C2908">
        <w:rPr>
          <w:rFonts w:cs="Segoe UI"/>
          <w:b w:val="0"/>
          <w:i w:val="0"/>
          <w:shd w:val="clear" w:color="auto" w:fill="FFFFFF"/>
        </w:rPr>
        <w:t>Fair Work</w:t>
      </w:r>
      <w:r w:rsidRPr="005C2908">
        <w:rPr>
          <w:rFonts w:cs="Segoe UI"/>
          <w:b w:val="0"/>
          <w:i w:val="0"/>
          <w:shd w:val="clear" w:color="auto" w:fill="FFFFFF"/>
        </w:rPr>
        <w:t xml:space="preserve"> Commission, 2018). Wage levels above the minimum wage provide individuals with more economic discretion. Individuals on higher wages have greater life choices than those on lower wages, including the opportunity to become financially secure more quickly. </w:t>
      </w:r>
    </w:p>
    <w:p w14:paraId="26ABD4A6" w14:textId="77777777" w:rsidR="005C2908" w:rsidRPr="005C2908" w:rsidRDefault="005C2908" w:rsidP="005C2908">
      <w:pPr>
        <w:pStyle w:val="Heading4"/>
        <w:rPr>
          <w:rFonts w:cs="Segoe UI"/>
          <w:b w:val="0"/>
          <w:i w:val="0"/>
          <w:shd w:val="clear" w:color="auto" w:fill="FFFFFF"/>
        </w:rPr>
      </w:pPr>
      <w:r w:rsidRPr="005C2908">
        <w:rPr>
          <w:rFonts w:cs="Segoe UI"/>
          <w:b w:val="0"/>
          <w:i w:val="0"/>
          <w:shd w:val="clear" w:color="auto" w:fill="FFFFFF"/>
        </w:rPr>
        <w:t>WA forest industry workers in 2015-16 earned higher than average incomes than others employed in other industries, in the same regions (Schirmer</w:t>
      </w:r>
      <w:r w:rsidR="000868C9">
        <w:rPr>
          <w:rFonts w:cs="Segoe UI"/>
          <w:b w:val="0"/>
          <w:i w:val="0"/>
          <w:shd w:val="clear" w:color="auto" w:fill="FFFFFF"/>
        </w:rPr>
        <w:t> </w:t>
      </w:r>
      <w:r w:rsidRPr="00066E02">
        <w:rPr>
          <w:rFonts w:cs="Segoe UI"/>
          <w:b w:val="0"/>
          <w:shd w:val="clear" w:color="auto" w:fill="FFFFFF"/>
        </w:rPr>
        <w:t>et</w:t>
      </w:r>
      <w:r w:rsidR="000868C9" w:rsidRPr="00066E02">
        <w:rPr>
          <w:rFonts w:cs="Segoe UI"/>
          <w:b w:val="0"/>
          <w:shd w:val="clear" w:color="auto" w:fill="FFFFFF"/>
        </w:rPr>
        <w:t> </w:t>
      </w:r>
      <w:r w:rsidRPr="00066E02">
        <w:rPr>
          <w:rFonts w:cs="Segoe UI"/>
          <w:b w:val="0"/>
          <w:shd w:val="clear" w:color="auto" w:fill="FFFFFF"/>
        </w:rPr>
        <w:t>al</w:t>
      </w:r>
      <w:r w:rsidR="00D51132" w:rsidRPr="00066E02">
        <w:rPr>
          <w:rFonts w:cs="Segoe UI"/>
          <w:b w:val="0"/>
          <w:shd w:val="clear" w:color="auto" w:fill="FFFFFF"/>
        </w:rPr>
        <w:t>.</w:t>
      </w:r>
      <w:r w:rsidR="000868C9">
        <w:rPr>
          <w:rFonts w:cs="Segoe UI"/>
          <w:b w:val="0"/>
          <w:i w:val="0"/>
          <w:shd w:val="clear" w:color="auto" w:fill="FFFFFF"/>
        </w:rPr>
        <w:t> </w:t>
      </w:r>
      <w:r w:rsidRPr="005C2908">
        <w:rPr>
          <w:rFonts w:cs="Segoe UI"/>
          <w:b w:val="0"/>
          <w:i w:val="0"/>
          <w:shd w:val="clear" w:color="auto" w:fill="FFFFFF"/>
        </w:rPr>
        <w:t>2017). However, this was attributed to a higher portion of forest industry workers being employed full-time, and when full-time work was compared, forest industry workers are paid wages similar to the rest of the workforce (Schirmer</w:t>
      </w:r>
      <w:r w:rsidR="000868C9">
        <w:rPr>
          <w:rFonts w:cs="Segoe UI"/>
          <w:b w:val="0"/>
          <w:i w:val="0"/>
          <w:shd w:val="clear" w:color="auto" w:fill="FFFFFF"/>
        </w:rPr>
        <w:t> </w:t>
      </w:r>
      <w:r w:rsidRPr="005D4103">
        <w:rPr>
          <w:rFonts w:cs="Segoe UI"/>
          <w:b w:val="0"/>
          <w:shd w:val="clear" w:color="auto" w:fill="FFFFFF"/>
        </w:rPr>
        <w:t>et</w:t>
      </w:r>
      <w:r w:rsidR="000868C9" w:rsidRPr="005D4103">
        <w:rPr>
          <w:rFonts w:cs="Segoe UI"/>
          <w:b w:val="0"/>
          <w:shd w:val="clear" w:color="auto" w:fill="FFFFFF"/>
        </w:rPr>
        <w:t> </w:t>
      </w:r>
      <w:r w:rsidRPr="005D4103">
        <w:rPr>
          <w:rFonts w:cs="Segoe UI"/>
          <w:b w:val="0"/>
          <w:shd w:val="clear" w:color="auto" w:fill="FFFFFF"/>
        </w:rPr>
        <w:t>al</w:t>
      </w:r>
      <w:r w:rsidR="005D4103" w:rsidRPr="005D4103">
        <w:rPr>
          <w:rFonts w:cs="Segoe UI"/>
          <w:b w:val="0"/>
          <w:shd w:val="clear" w:color="auto" w:fill="FFFFFF"/>
        </w:rPr>
        <w:t>.</w:t>
      </w:r>
      <w:r w:rsidR="000868C9">
        <w:rPr>
          <w:rFonts w:cs="Segoe UI"/>
          <w:b w:val="0"/>
          <w:i w:val="0"/>
          <w:shd w:val="clear" w:color="auto" w:fill="FFFFFF"/>
        </w:rPr>
        <w:t> </w:t>
      </w:r>
      <w:r w:rsidRPr="005C2908">
        <w:rPr>
          <w:rFonts w:cs="Segoe UI"/>
          <w:b w:val="0"/>
          <w:i w:val="0"/>
          <w:shd w:val="clear" w:color="auto" w:fill="FFFFFF"/>
        </w:rPr>
        <w:t xml:space="preserve">2017). </w:t>
      </w:r>
    </w:p>
    <w:p w14:paraId="26ABD4A7" w14:textId="31BB142C" w:rsidR="005C2908" w:rsidRDefault="005C2908" w:rsidP="005C2908">
      <w:pPr>
        <w:pStyle w:val="Heading4"/>
        <w:rPr>
          <w:rFonts w:cs="Segoe UI"/>
          <w:b w:val="0"/>
          <w:i w:val="0"/>
          <w:shd w:val="clear" w:color="auto" w:fill="FFFFFF"/>
        </w:rPr>
      </w:pPr>
      <w:r w:rsidRPr="005C2908">
        <w:rPr>
          <w:rFonts w:cs="Segoe UI"/>
          <w:b w:val="0"/>
          <w:i w:val="0"/>
          <w:shd w:val="clear" w:color="auto" w:fill="FFFFFF"/>
        </w:rPr>
        <w:t xml:space="preserve">In the WA forest </w:t>
      </w:r>
      <w:r w:rsidR="00DB5309" w:rsidRPr="005C2908">
        <w:rPr>
          <w:rFonts w:cs="Segoe UI"/>
          <w:b w:val="0"/>
          <w:i w:val="0"/>
          <w:shd w:val="clear" w:color="auto" w:fill="FFFFFF"/>
        </w:rPr>
        <w:t>industry,</w:t>
      </w:r>
      <w:r w:rsidRPr="005C2908">
        <w:rPr>
          <w:rFonts w:cs="Segoe UI"/>
          <w:b w:val="0"/>
          <w:i w:val="0"/>
          <w:shd w:val="clear" w:color="auto" w:fill="FFFFFF"/>
        </w:rPr>
        <w:t xml:space="preserve"> the largest direct expenditure is wages and salaries, with a total spend of $135.2 million in 2015-16 (Schirmer</w:t>
      </w:r>
      <w:r w:rsidR="00C052CE">
        <w:rPr>
          <w:rFonts w:cs="Segoe UI"/>
          <w:b w:val="0"/>
          <w:i w:val="0"/>
          <w:shd w:val="clear" w:color="auto" w:fill="FFFFFF"/>
        </w:rPr>
        <w:t> </w:t>
      </w:r>
      <w:r w:rsidRPr="00066E02">
        <w:rPr>
          <w:rFonts w:cs="Segoe UI"/>
          <w:b w:val="0"/>
          <w:shd w:val="clear" w:color="auto" w:fill="FFFFFF"/>
        </w:rPr>
        <w:t>et</w:t>
      </w:r>
      <w:r w:rsidR="00C052CE" w:rsidRPr="00066E02">
        <w:rPr>
          <w:rFonts w:cs="Segoe UI"/>
          <w:b w:val="0"/>
          <w:shd w:val="clear" w:color="auto" w:fill="FFFFFF"/>
        </w:rPr>
        <w:t> </w:t>
      </w:r>
      <w:r w:rsidRPr="00066E02">
        <w:rPr>
          <w:rFonts w:cs="Segoe UI"/>
          <w:b w:val="0"/>
          <w:shd w:val="clear" w:color="auto" w:fill="FFFFFF"/>
        </w:rPr>
        <w:t>al</w:t>
      </w:r>
      <w:r w:rsidR="00C520A8" w:rsidRPr="00066E02">
        <w:rPr>
          <w:rFonts w:cs="Segoe UI"/>
          <w:b w:val="0"/>
          <w:shd w:val="clear" w:color="auto" w:fill="FFFFFF"/>
        </w:rPr>
        <w:t>.</w:t>
      </w:r>
      <w:r w:rsidR="00C052CE">
        <w:rPr>
          <w:rFonts w:cs="Segoe UI"/>
          <w:b w:val="0"/>
          <w:i w:val="0"/>
          <w:shd w:val="clear" w:color="auto" w:fill="FFFFFF"/>
        </w:rPr>
        <w:t> </w:t>
      </w:r>
      <w:r w:rsidRPr="005C2908">
        <w:rPr>
          <w:rFonts w:cs="Segoe UI"/>
          <w:b w:val="0"/>
          <w:i w:val="0"/>
          <w:shd w:val="clear" w:color="auto" w:fill="FFFFFF"/>
        </w:rPr>
        <w:t xml:space="preserve">2017). Schirmer </w:t>
      </w:r>
      <w:r w:rsidRPr="00066E02">
        <w:rPr>
          <w:rFonts w:cs="Segoe UI"/>
          <w:b w:val="0"/>
          <w:shd w:val="clear" w:color="auto" w:fill="FFFFFF"/>
        </w:rPr>
        <w:t>et al</w:t>
      </w:r>
      <w:r w:rsidR="00C520A8" w:rsidRPr="00066E02">
        <w:rPr>
          <w:rFonts w:cs="Segoe UI"/>
          <w:b w:val="0"/>
          <w:shd w:val="clear" w:color="auto" w:fill="FFFFFF"/>
        </w:rPr>
        <w:t>.</w:t>
      </w:r>
      <w:r w:rsidRPr="005C2908">
        <w:rPr>
          <w:rFonts w:cs="Segoe UI"/>
          <w:b w:val="0"/>
          <w:i w:val="0"/>
          <w:shd w:val="clear" w:color="auto" w:fill="FFFFFF"/>
        </w:rPr>
        <w:t xml:space="preserve"> (2017) found that the native forest sector in WA spends relatively more on wages ($1 in every $3.40 total expenditure) compared to the softwood plantation ($1 in every $3.80) and the hardwood plantation ($1 in every $4.80) sectors. Schirmer</w:t>
      </w:r>
      <w:r w:rsidR="00C052CE">
        <w:rPr>
          <w:rFonts w:cs="Segoe UI"/>
          <w:b w:val="0"/>
          <w:i w:val="0"/>
          <w:shd w:val="clear" w:color="auto" w:fill="FFFFFF"/>
        </w:rPr>
        <w:t> </w:t>
      </w:r>
      <w:r w:rsidRPr="00066E02">
        <w:rPr>
          <w:rFonts w:cs="Segoe UI"/>
          <w:b w:val="0"/>
          <w:shd w:val="clear" w:color="auto" w:fill="FFFFFF"/>
        </w:rPr>
        <w:t>et</w:t>
      </w:r>
      <w:r w:rsidR="00C052CE" w:rsidRPr="00066E02">
        <w:rPr>
          <w:rFonts w:cs="Segoe UI"/>
          <w:b w:val="0"/>
          <w:shd w:val="clear" w:color="auto" w:fill="FFFFFF"/>
        </w:rPr>
        <w:t> </w:t>
      </w:r>
      <w:r w:rsidRPr="00066E02">
        <w:rPr>
          <w:rFonts w:cs="Segoe UI"/>
          <w:b w:val="0"/>
          <w:shd w:val="clear" w:color="auto" w:fill="FFFFFF"/>
        </w:rPr>
        <w:t>al</w:t>
      </w:r>
      <w:r w:rsidR="00C520A8" w:rsidRPr="00066E02">
        <w:rPr>
          <w:rFonts w:cs="Segoe UI"/>
          <w:b w:val="0"/>
          <w:shd w:val="clear" w:color="auto" w:fill="FFFFFF"/>
        </w:rPr>
        <w:t>.</w:t>
      </w:r>
      <w:r w:rsidR="00C052CE">
        <w:rPr>
          <w:rFonts w:cs="Segoe UI"/>
          <w:b w:val="0"/>
          <w:i w:val="0"/>
          <w:shd w:val="clear" w:color="auto" w:fill="FFFFFF"/>
        </w:rPr>
        <w:t> </w:t>
      </w:r>
      <w:r w:rsidRPr="005C2908">
        <w:rPr>
          <w:rFonts w:cs="Segoe UI"/>
          <w:b w:val="0"/>
          <w:i w:val="0"/>
          <w:shd w:val="clear" w:color="auto" w:fill="FFFFFF"/>
        </w:rPr>
        <w:t>(2017) also reported however that the native forest sector had the lowest total direct spending on wages, around $25</w:t>
      </w:r>
      <w:r w:rsidR="00C052CE">
        <w:rPr>
          <w:rFonts w:cs="Segoe UI"/>
          <w:b w:val="0"/>
          <w:i w:val="0"/>
          <w:shd w:val="clear" w:color="auto" w:fill="FFFFFF"/>
        </w:rPr>
        <w:t> </w:t>
      </w:r>
      <w:r w:rsidRPr="005C2908">
        <w:rPr>
          <w:rFonts w:cs="Segoe UI"/>
          <w:b w:val="0"/>
          <w:i w:val="0"/>
          <w:shd w:val="clear" w:color="auto" w:fill="FFFFFF"/>
        </w:rPr>
        <w:t>million, followed by hardwood ($46</w:t>
      </w:r>
      <w:r w:rsidR="00C052CE">
        <w:rPr>
          <w:rFonts w:cs="Segoe UI"/>
          <w:b w:val="0"/>
          <w:i w:val="0"/>
          <w:shd w:val="clear" w:color="auto" w:fill="FFFFFF"/>
        </w:rPr>
        <w:t> </w:t>
      </w:r>
      <w:r w:rsidRPr="005C2908">
        <w:rPr>
          <w:rFonts w:cs="Segoe UI"/>
          <w:b w:val="0"/>
          <w:i w:val="0"/>
          <w:shd w:val="clear" w:color="auto" w:fill="FFFFFF"/>
        </w:rPr>
        <w:t>million) and softwood ($65</w:t>
      </w:r>
      <w:r w:rsidR="00C052CE">
        <w:rPr>
          <w:rFonts w:cs="Segoe UI"/>
          <w:b w:val="0"/>
          <w:i w:val="0"/>
          <w:shd w:val="clear" w:color="auto" w:fill="FFFFFF"/>
        </w:rPr>
        <w:t> </w:t>
      </w:r>
      <w:r w:rsidRPr="005C2908">
        <w:rPr>
          <w:rFonts w:cs="Segoe UI"/>
          <w:b w:val="0"/>
          <w:i w:val="0"/>
          <w:shd w:val="clear" w:color="auto" w:fill="FFFFFF"/>
        </w:rPr>
        <w:t>million) sectors.</w:t>
      </w:r>
    </w:p>
    <w:p w14:paraId="26ABD4A8" w14:textId="77777777" w:rsidR="00C62AD1" w:rsidRPr="00CE60B2" w:rsidRDefault="00C62AD1" w:rsidP="005C2908">
      <w:pPr>
        <w:pStyle w:val="Heading4"/>
        <w:rPr>
          <w:rFonts w:cs="Segoe UI"/>
        </w:rPr>
      </w:pPr>
      <w:r w:rsidRPr="00CE60B2">
        <w:rPr>
          <w:rFonts w:cs="Segoe UI"/>
        </w:rPr>
        <w:t>Injury rates</w:t>
      </w:r>
    </w:p>
    <w:p w14:paraId="26ABD4A9" w14:textId="77777777" w:rsidR="00C62AD1" w:rsidRDefault="00C62AD1" w:rsidP="00C62AD1">
      <w:pPr>
        <w:jc w:val="both"/>
        <w:rPr>
          <w:rFonts w:cs="Segoe UI"/>
        </w:rPr>
      </w:pPr>
      <w:r w:rsidRPr="00CE60B2">
        <w:rPr>
          <w:rFonts w:cs="Segoe UI"/>
        </w:rPr>
        <w:t xml:space="preserve">Work-related injuries have a wide-ranging impact at both an individual and macro-economic level. </w:t>
      </w:r>
      <w:r w:rsidR="00A07246" w:rsidRPr="00CE60B2">
        <w:rPr>
          <w:rFonts w:cs="Segoe UI"/>
        </w:rPr>
        <w:t>WA</w:t>
      </w:r>
      <w:r w:rsidRPr="00CE60B2">
        <w:rPr>
          <w:rFonts w:cs="Segoe UI"/>
        </w:rPr>
        <w:t xml:space="preserve"> workers compensation injury statistics allow employers, workers, regulators and insurance and service providers to better understand and manage workplace health and safety risks. </w:t>
      </w:r>
      <w:r w:rsidR="00AF25E1">
        <w:rPr>
          <w:rFonts w:cs="Segoe UI"/>
        </w:rPr>
        <w:t xml:space="preserve">The FPC has a commitment to staff and contractor safety and conduct safety audits, review the occupational health and safety committee, safety training, quarterly contractor safety </w:t>
      </w:r>
      <w:r w:rsidR="008A4C96">
        <w:rPr>
          <w:rFonts w:cs="Segoe UI"/>
        </w:rPr>
        <w:t>meetings and</w:t>
      </w:r>
      <w:r w:rsidR="00AF25E1">
        <w:rPr>
          <w:rFonts w:cs="Segoe UI"/>
        </w:rPr>
        <w:t xml:space="preserve"> skills verification system.</w:t>
      </w:r>
    </w:p>
    <w:p w14:paraId="26ABD4AA" w14:textId="77777777" w:rsidR="000F6B20" w:rsidRDefault="000F6B20">
      <w:pPr>
        <w:spacing w:before="0" w:after="480" w:line="276" w:lineRule="auto"/>
        <w:rPr>
          <w:rFonts w:ascii="Segoe UI Semibold" w:eastAsia="Times New Roman" w:hAnsi="Segoe UI Semibold" w:cs="Times New Roman"/>
          <w:color w:val="016295" w:themeColor="accent2" w:themeShade="80"/>
        </w:rPr>
      </w:pPr>
      <w:bookmarkStart w:id="180" w:name="_Toc531002192"/>
      <w:r>
        <w:br w:type="page"/>
      </w:r>
    </w:p>
    <w:p w14:paraId="26ABD4AB" w14:textId="78BA8F8A" w:rsidR="005C2908" w:rsidRDefault="005C2908" w:rsidP="005C2908">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sidR="003C7091">
        <w:rPr>
          <w:noProof/>
        </w:rPr>
        <w:t>31</w:t>
      </w:r>
      <w:r>
        <w:rPr>
          <w:noProof/>
        </w:rPr>
        <w:fldChar w:fldCharType="end"/>
      </w:r>
      <w:r>
        <w:t>: Forest Products Commission WA injury reporting from Annual Reports 2011-2017</w:t>
      </w:r>
      <w:bookmarkEnd w:id="180"/>
    </w:p>
    <w:tbl>
      <w:tblPr>
        <w:tblStyle w:val="TableGrid"/>
        <w:tblW w:w="7366" w:type="dxa"/>
        <w:jc w:val="center"/>
        <w:tblLayout w:type="fixed"/>
        <w:tblLook w:val="04A0" w:firstRow="1" w:lastRow="0" w:firstColumn="1" w:lastColumn="0" w:noHBand="0" w:noVBand="1"/>
      </w:tblPr>
      <w:tblGrid>
        <w:gridCol w:w="2263"/>
        <w:gridCol w:w="709"/>
        <w:gridCol w:w="709"/>
        <w:gridCol w:w="709"/>
        <w:gridCol w:w="708"/>
        <w:gridCol w:w="709"/>
        <w:gridCol w:w="709"/>
        <w:gridCol w:w="850"/>
      </w:tblGrid>
      <w:tr w:rsidR="00506E5C" w14:paraId="26ABD4B4" w14:textId="77777777" w:rsidTr="00BA5A4A">
        <w:trPr>
          <w:cantSplit/>
          <w:trHeight w:val="1134"/>
          <w:jc w:val="center"/>
        </w:trPr>
        <w:tc>
          <w:tcPr>
            <w:tcW w:w="2263" w:type="dxa"/>
            <w:shd w:val="clear" w:color="auto" w:fill="DFEFE1" w:themeFill="accent3" w:themeFillTint="66"/>
          </w:tcPr>
          <w:p w14:paraId="26ABD4AC" w14:textId="77777777" w:rsidR="00506E5C" w:rsidRPr="00812E27" w:rsidRDefault="00506E5C" w:rsidP="005C10D4">
            <w:pPr>
              <w:spacing w:before="0" w:after="480" w:line="276" w:lineRule="auto"/>
              <w:rPr>
                <w:b/>
              </w:rPr>
            </w:pPr>
            <w:r w:rsidRPr="00812E27">
              <w:rPr>
                <w:b/>
              </w:rPr>
              <w:t>Indicator</w:t>
            </w:r>
          </w:p>
        </w:tc>
        <w:tc>
          <w:tcPr>
            <w:tcW w:w="709" w:type="dxa"/>
            <w:shd w:val="clear" w:color="auto" w:fill="DFEFE1" w:themeFill="accent3" w:themeFillTint="66"/>
            <w:textDirection w:val="tbRl"/>
          </w:tcPr>
          <w:p w14:paraId="26ABD4AD" w14:textId="77777777" w:rsidR="00506E5C" w:rsidRPr="00812E27" w:rsidRDefault="00506E5C" w:rsidP="00B978C3">
            <w:pPr>
              <w:spacing w:before="0" w:after="480" w:line="276" w:lineRule="auto"/>
              <w:ind w:left="113" w:right="113"/>
              <w:rPr>
                <w:b/>
              </w:rPr>
            </w:pPr>
            <w:r w:rsidRPr="00812E27">
              <w:rPr>
                <w:b/>
              </w:rPr>
              <w:t>2011-12</w:t>
            </w:r>
          </w:p>
        </w:tc>
        <w:tc>
          <w:tcPr>
            <w:tcW w:w="709" w:type="dxa"/>
            <w:shd w:val="clear" w:color="auto" w:fill="DFEFE1" w:themeFill="accent3" w:themeFillTint="66"/>
            <w:textDirection w:val="tbRl"/>
          </w:tcPr>
          <w:p w14:paraId="26ABD4AE" w14:textId="77777777" w:rsidR="00506E5C" w:rsidRPr="00812E27" w:rsidRDefault="00506E5C" w:rsidP="00B978C3">
            <w:pPr>
              <w:spacing w:before="0" w:after="480" w:line="276" w:lineRule="auto"/>
              <w:ind w:left="113" w:right="113"/>
              <w:rPr>
                <w:b/>
              </w:rPr>
            </w:pPr>
            <w:r w:rsidRPr="00812E27">
              <w:rPr>
                <w:b/>
              </w:rPr>
              <w:t>2012-13</w:t>
            </w:r>
          </w:p>
        </w:tc>
        <w:tc>
          <w:tcPr>
            <w:tcW w:w="709" w:type="dxa"/>
            <w:shd w:val="clear" w:color="auto" w:fill="DFEFE1" w:themeFill="accent3" w:themeFillTint="66"/>
            <w:textDirection w:val="tbRl"/>
          </w:tcPr>
          <w:p w14:paraId="26ABD4AF" w14:textId="77777777" w:rsidR="00506E5C" w:rsidRPr="00812E27" w:rsidRDefault="00506E5C" w:rsidP="00B978C3">
            <w:pPr>
              <w:spacing w:before="0" w:after="480" w:line="276" w:lineRule="auto"/>
              <w:ind w:left="113" w:right="113"/>
              <w:rPr>
                <w:b/>
              </w:rPr>
            </w:pPr>
            <w:r w:rsidRPr="00812E27">
              <w:rPr>
                <w:b/>
              </w:rPr>
              <w:t>2013-14</w:t>
            </w:r>
          </w:p>
        </w:tc>
        <w:tc>
          <w:tcPr>
            <w:tcW w:w="708" w:type="dxa"/>
            <w:shd w:val="clear" w:color="auto" w:fill="DFEFE1" w:themeFill="accent3" w:themeFillTint="66"/>
            <w:textDirection w:val="tbRl"/>
          </w:tcPr>
          <w:p w14:paraId="26ABD4B0" w14:textId="77777777" w:rsidR="00506E5C" w:rsidRPr="00812E27" w:rsidRDefault="00506E5C" w:rsidP="00B978C3">
            <w:pPr>
              <w:spacing w:before="0" w:after="480" w:line="276" w:lineRule="auto"/>
              <w:ind w:left="113" w:right="113"/>
              <w:rPr>
                <w:b/>
              </w:rPr>
            </w:pPr>
            <w:r w:rsidRPr="00812E27">
              <w:rPr>
                <w:b/>
              </w:rPr>
              <w:t>2014-15</w:t>
            </w:r>
          </w:p>
        </w:tc>
        <w:tc>
          <w:tcPr>
            <w:tcW w:w="709" w:type="dxa"/>
            <w:shd w:val="clear" w:color="auto" w:fill="DFEFE1" w:themeFill="accent3" w:themeFillTint="66"/>
            <w:textDirection w:val="tbRl"/>
          </w:tcPr>
          <w:p w14:paraId="26ABD4B1" w14:textId="77777777" w:rsidR="00506E5C" w:rsidRPr="00812E27" w:rsidRDefault="00506E5C" w:rsidP="00B978C3">
            <w:pPr>
              <w:spacing w:before="0" w:after="480" w:line="276" w:lineRule="auto"/>
              <w:ind w:left="113" w:right="113"/>
              <w:rPr>
                <w:b/>
              </w:rPr>
            </w:pPr>
            <w:r w:rsidRPr="00812E27">
              <w:rPr>
                <w:b/>
              </w:rPr>
              <w:t>2015-16</w:t>
            </w:r>
          </w:p>
        </w:tc>
        <w:tc>
          <w:tcPr>
            <w:tcW w:w="709" w:type="dxa"/>
            <w:shd w:val="clear" w:color="auto" w:fill="DFEFE1" w:themeFill="accent3" w:themeFillTint="66"/>
            <w:textDirection w:val="tbRl"/>
          </w:tcPr>
          <w:p w14:paraId="26ABD4B2" w14:textId="77777777" w:rsidR="00506E5C" w:rsidRPr="00812E27" w:rsidRDefault="00506E5C" w:rsidP="00B978C3">
            <w:pPr>
              <w:spacing w:before="0" w:after="480" w:line="276" w:lineRule="auto"/>
              <w:ind w:left="113" w:right="113"/>
              <w:rPr>
                <w:b/>
              </w:rPr>
            </w:pPr>
            <w:r w:rsidRPr="00812E27">
              <w:rPr>
                <w:b/>
              </w:rPr>
              <w:t>2016-17</w:t>
            </w:r>
          </w:p>
        </w:tc>
        <w:tc>
          <w:tcPr>
            <w:tcW w:w="850" w:type="dxa"/>
            <w:shd w:val="clear" w:color="auto" w:fill="DFEFE1" w:themeFill="accent3" w:themeFillTint="66"/>
            <w:textDirection w:val="tbRl"/>
          </w:tcPr>
          <w:p w14:paraId="26ABD4B3" w14:textId="77777777" w:rsidR="00506E5C" w:rsidRPr="00812E27" w:rsidRDefault="00506E5C" w:rsidP="00B978C3">
            <w:pPr>
              <w:spacing w:before="0" w:after="480" w:line="276" w:lineRule="auto"/>
              <w:ind w:left="113" w:right="113"/>
              <w:rPr>
                <w:b/>
              </w:rPr>
            </w:pPr>
            <w:r>
              <w:rPr>
                <w:b/>
              </w:rPr>
              <w:t>2017-18</w:t>
            </w:r>
          </w:p>
        </w:tc>
      </w:tr>
      <w:tr w:rsidR="00506E5C" w:rsidRPr="008843AC" w14:paraId="26ABD4BD" w14:textId="77777777" w:rsidTr="00DB5309">
        <w:trPr>
          <w:trHeight w:val="559"/>
          <w:jc w:val="center"/>
        </w:trPr>
        <w:tc>
          <w:tcPr>
            <w:tcW w:w="2263" w:type="dxa"/>
          </w:tcPr>
          <w:p w14:paraId="26ABD4B5" w14:textId="77777777" w:rsidR="00506E5C" w:rsidRPr="00812E27" w:rsidRDefault="00506E5C" w:rsidP="005C10D4">
            <w:pPr>
              <w:spacing w:before="0" w:after="480" w:line="276" w:lineRule="auto"/>
            </w:pPr>
            <w:r w:rsidRPr="00812E27">
              <w:t>Number of Fatalities</w:t>
            </w:r>
          </w:p>
        </w:tc>
        <w:tc>
          <w:tcPr>
            <w:tcW w:w="709" w:type="dxa"/>
          </w:tcPr>
          <w:p w14:paraId="26ABD4B6" w14:textId="77777777" w:rsidR="00506E5C" w:rsidRPr="00812E27" w:rsidRDefault="00506E5C" w:rsidP="005C10D4">
            <w:pPr>
              <w:spacing w:before="0" w:after="480" w:line="276" w:lineRule="auto"/>
            </w:pPr>
            <w:r w:rsidRPr="00812E27">
              <w:t>0</w:t>
            </w:r>
          </w:p>
        </w:tc>
        <w:tc>
          <w:tcPr>
            <w:tcW w:w="709" w:type="dxa"/>
          </w:tcPr>
          <w:p w14:paraId="26ABD4B7" w14:textId="77777777" w:rsidR="00506E5C" w:rsidRPr="00812E27" w:rsidRDefault="00506E5C" w:rsidP="005C10D4">
            <w:pPr>
              <w:spacing w:before="0" w:after="480" w:line="276" w:lineRule="auto"/>
            </w:pPr>
            <w:r w:rsidRPr="00812E27">
              <w:t>0</w:t>
            </w:r>
          </w:p>
        </w:tc>
        <w:tc>
          <w:tcPr>
            <w:tcW w:w="709" w:type="dxa"/>
          </w:tcPr>
          <w:p w14:paraId="26ABD4B8" w14:textId="77777777" w:rsidR="00506E5C" w:rsidRPr="00812E27" w:rsidRDefault="00506E5C" w:rsidP="005C10D4">
            <w:pPr>
              <w:spacing w:before="0" w:after="480" w:line="276" w:lineRule="auto"/>
            </w:pPr>
            <w:r w:rsidRPr="00812E27">
              <w:t>0</w:t>
            </w:r>
          </w:p>
        </w:tc>
        <w:tc>
          <w:tcPr>
            <w:tcW w:w="708" w:type="dxa"/>
          </w:tcPr>
          <w:p w14:paraId="26ABD4B9" w14:textId="77777777" w:rsidR="00506E5C" w:rsidRPr="00812E27" w:rsidRDefault="00506E5C" w:rsidP="005C10D4">
            <w:pPr>
              <w:spacing w:before="0" w:after="480" w:line="276" w:lineRule="auto"/>
            </w:pPr>
            <w:r w:rsidRPr="00812E27">
              <w:t>0</w:t>
            </w:r>
          </w:p>
        </w:tc>
        <w:tc>
          <w:tcPr>
            <w:tcW w:w="709" w:type="dxa"/>
          </w:tcPr>
          <w:p w14:paraId="26ABD4BA" w14:textId="77777777" w:rsidR="00506E5C" w:rsidRPr="00812E27" w:rsidRDefault="00506E5C" w:rsidP="005C10D4">
            <w:pPr>
              <w:spacing w:before="0" w:after="480" w:line="276" w:lineRule="auto"/>
            </w:pPr>
            <w:r w:rsidRPr="00812E27">
              <w:t>0</w:t>
            </w:r>
          </w:p>
        </w:tc>
        <w:tc>
          <w:tcPr>
            <w:tcW w:w="709" w:type="dxa"/>
          </w:tcPr>
          <w:p w14:paraId="26ABD4BB" w14:textId="77777777" w:rsidR="00506E5C" w:rsidRPr="00812E27" w:rsidRDefault="00506E5C" w:rsidP="005C10D4">
            <w:pPr>
              <w:spacing w:before="0" w:after="480" w:line="276" w:lineRule="auto"/>
            </w:pPr>
            <w:r w:rsidRPr="00812E27">
              <w:t>0^</w:t>
            </w:r>
          </w:p>
        </w:tc>
        <w:tc>
          <w:tcPr>
            <w:tcW w:w="850" w:type="dxa"/>
          </w:tcPr>
          <w:p w14:paraId="26ABD4BC" w14:textId="77777777" w:rsidR="00506E5C" w:rsidRPr="00812E27" w:rsidRDefault="00506E5C" w:rsidP="00B978C3">
            <w:pPr>
              <w:spacing w:before="0" w:after="480" w:line="276" w:lineRule="auto"/>
            </w:pPr>
            <w:r>
              <w:t>0</w:t>
            </w:r>
            <w:r w:rsidR="00B978C3">
              <w:t>*</w:t>
            </w:r>
          </w:p>
        </w:tc>
      </w:tr>
      <w:tr w:rsidR="00506E5C" w:rsidRPr="008843AC" w14:paraId="26ABD4C6" w14:textId="77777777" w:rsidTr="00DB5309">
        <w:trPr>
          <w:jc w:val="center"/>
        </w:trPr>
        <w:tc>
          <w:tcPr>
            <w:tcW w:w="2263" w:type="dxa"/>
          </w:tcPr>
          <w:p w14:paraId="26ABD4BE" w14:textId="77777777" w:rsidR="00506E5C" w:rsidRPr="00812E27" w:rsidRDefault="00506E5C" w:rsidP="005C10D4">
            <w:pPr>
              <w:spacing w:before="0" w:after="480" w:line="276" w:lineRule="auto"/>
            </w:pPr>
            <w:r w:rsidRPr="00812E27">
              <w:t>Lost time injury/ disease incident rate</w:t>
            </w:r>
          </w:p>
        </w:tc>
        <w:tc>
          <w:tcPr>
            <w:tcW w:w="709" w:type="dxa"/>
          </w:tcPr>
          <w:p w14:paraId="26ABD4BF" w14:textId="77777777" w:rsidR="00506E5C" w:rsidRPr="00812E27" w:rsidRDefault="00506E5C" w:rsidP="005C10D4">
            <w:pPr>
              <w:spacing w:before="0" w:after="480" w:line="276" w:lineRule="auto"/>
            </w:pPr>
            <w:r w:rsidRPr="00812E27">
              <w:t>6.25</w:t>
            </w:r>
          </w:p>
        </w:tc>
        <w:tc>
          <w:tcPr>
            <w:tcW w:w="709" w:type="dxa"/>
          </w:tcPr>
          <w:p w14:paraId="26ABD4C0" w14:textId="77777777" w:rsidR="00506E5C" w:rsidRPr="00812E27" w:rsidRDefault="00506E5C" w:rsidP="005C10D4">
            <w:pPr>
              <w:spacing w:before="0" w:after="480" w:line="276" w:lineRule="auto"/>
            </w:pPr>
            <w:r w:rsidRPr="00812E27">
              <w:t>3.95</w:t>
            </w:r>
          </w:p>
        </w:tc>
        <w:tc>
          <w:tcPr>
            <w:tcW w:w="709" w:type="dxa"/>
          </w:tcPr>
          <w:p w14:paraId="26ABD4C1" w14:textId="77777777" w:rsidR="00506E5C" w:rsidRPr="00812E27" w:rsidRDefault="00506E5C" w:rsidP="005C10D4">
            <w:pPr>
              <w:spacing w:before="0" w:after="480" w:line="276" w:lineRule="auto"/>
            </w:pPr>
            <w:r w:rsidRPr="00812E27">
              <w:t>3.55</w:t>
            </w:r>
          </w:p>
        </w:tc>
        <w:tc>
          <w:tcPr>
            <w:tcW w:w="708" w:type="dxa"/>
          </w:tcPr>
          <w:p w14:paraId="26ABD4C2" w14:textId="77777777" w:rsidR="00506E5C" w:rsidRPr="00812E27" w:rsidRDefault="00506E5C" w:rsidP="005C10D4">
            <w:pPr>
              <w:spacing w:before="0" w:after="480" w:line="276" w:lineRule="auto"/>
            </w:pPr>
            <w:r w:rsidRPr="00812E27">
              <w:t>0</w:t>
            </w:r>
          </w:p>
        </w:tc>
        <w:tc>
          <w:tcPr>
            <w:tcW w:w="709" w:type="dxa"/>
          </w:tcPr>
          <w:p w14:paraId="26ABD4C3" w14:textId="77777777" w:rsidR="00506E5C" w:rsidRPr="00812E27" w:rsidRDefault="00506E5C" w:rsidP="005C10D4">
            <w:pPr>
              <w:spacing w:before="0" w:after="480" w:line="276" w:lineRule="auto"/>
            </w:pPr>
            <w:r w:rsidRPr="00812E27">
              <w:t>1.27</w:t>
            </w:r>
          </w:p>
        </w:tc>
        <w:tc>
          <w:tcPr>
            <w:tcW w:w="709" w:type="dxa"/>
          </w:tcPr>
          <w:p w14:paraId="26ABD4C4" w14:textId="77777777" w:rsidR="00506E5C" w:rsidRPr="00812E27" w:rsidRDefault="00506E5C" w:rsidP="005C10D4">
            <w:pPr>
              <w:spacing w:before="0" w:after="480" w:line="276" w:lineRule="auto"/>
            </w:pPr>
            <w:r w:rsidRPr="00812E27">
              <w:t>0.59</w:t>
            </w:r>
          </w:p>
        </w:tc>
        <w:tc>
          <w:tcPr>
            <w:tcW w:w="850" w:type="dxa"/>
          </w:tcPr>
          <w:p w14:paraId="26ABD4C5" w14:textId="77777777" w:rsidR="00506E5C" w:rsidRPr="00812E27" w:rsidRDefault="00506E5C" w:rsidP="005C10D4">
            <w:pPr>
              <w:spacing w:before="0" w:after="480" w:line="276" w:lineRule="auto"/>
            </w:pPr>
            <w:r>
              <w:t>0.56</w:t>
            </w:r>
          </w:p>
        </w:tc>
      </w:tr>
      <w:tr w:rsidR="00506E5C" w:rsidRPr="008843AC" w14:paraId="26ABD4CF" w14:textId="77777777" w:rsidTr="00DB5309">
        <w:trPr>
          <w:jc w:val="center"/>
        </w:trPr>
        <w:tc>
          <w:tcPr>
            <w:tcW w:w="2263" w:type="dxa"/>
          </w:tcPr>
          <w:p w14:paraId="26ABD4C7" w14:textId="77777777" w:rsidR="00506E5C" w:rsidRPr="00812E27" w:rsidRDefault="00506E5C" w:rsidP="005C10D4">
            <w:pPr>
              <w:spacing w:before="0" w:after="480" w:line="276" w:lineRule="auto"/>
            </w:pPr>
            <w:r w:rsidRPr="00812E27">
              <w:t>Lost time injury severity rate</w:t>
            </w:r>
          </w:p>
        </w:tc>
        <w:tc>
          <w:tcPr>
            <w:tcW w:w="709" w:type="dxa"/>
          </w:tcPr>
          <w:p w14:paraId="26ABD4C8" w14:textId="77777777" w:rsidR="00506E5C" w:rsidRPr="00812E27" w:rsidRDefault="00506E5C" w:rsidP="005C10D4">
            <w:pPr>
              <w:spacing w:before="0" w:after="480" w:line="276" w:lineRule="auto"/>
            </w:pPr>
            <w:r w:rsidRPr="00812E27">
              <w:t>0</w:t>
            </w:r>
          </w:p>
        </w:tc>
        <w:tc>
          <w:tcPr>
            <w:tcW w:w="709" w:type="dxa"/>
          </w:tcPr>
          <w:p w14:paraId="26ABD4C9" w14:textId="77777777" w:rsidR="00506E5C" w:rsidRPr="00812E27" w:rsidRDefault="00506E5C" w:rsidP="005C10D4">
            <w:pPr>
              <w:spacing w:before="0" w:after="480" w:line="276" w:lineRule="auto"/>
            </w:pPr>
            <w:r w:rsidRPr="00812E27">
              <w:t>0</w:t>
            </w:r>
          </w:p>
        </w:tc>
        <w:tc>
          <w:tcPr>
            <w:tcW w:w="709" w:type="dxa"/>
          </w:tcPr>
          <w:p w14:paraId="26ABD4CA" w14:textId="77777777" w:rsidR="00506E5C" w:rsidRPr="00812E27" w:rsidRDefault="00506E5C" w:rsidP="005C10D4">
            <w:pPr>
              <w:spacing w:before="0" w:after="480" w:line="276" w:lineRule="auto"/>
            </w:pPr>
            <w:r w:rsidRPr="00812E27">
              <w:t>0</w:t>
            </w:r>
          </w:p>
        </w:tc>
        <w:tc>
          <w:tcPr>
            <w:tcW w:w="708" w:type="dxa"/>
          </w:tcPr>
          <w:p w14:paraId="26ABD4CB" w14:textId="77777777" w:rsidR="00506E5C" w:rsidRPr="00812E27" w:rsidRDefault="00506E5C" w:rsidP="005C10D4">
            <w:pPr>
              <w:spacing w:before="0" w:after="480" w:line="276" w:lineRule="auto"/>
            </w:pPr>
            <w:r w:rsidRPr="00812E27">
              <w:t>0</w:t>
            </w:r>
          </w:p>
        </w:tc>
        <w:tc>
          <w:tcPr>
            <w:tcW w:w="709" w:type="dxa"/>
          </w:tcPr>
          <w:p w14:paraId="26ABD4CC" w14:textId="77777777" w:rsidR="00506E5C" w:rsidRPr="00812E27" w:rsidRDefault="00506E5C" w:rsidP="005C10D4">
            <w:pPr>
              <w:spacing w:before="0" w:after="480" w:line="276" w:lineRule="auto"/>
            </w:pPr>
            <w:r w:rsidRPr="00812E27">
              <w:t>0</w:t>
            </w:r>
          </w:p>
        </w:tc>
        <w:tc>
          <w:tcPr>
            <w:tcW w:w="709" w:type="dxa"/>
          </w:tcPr>
          <w:p w14:paraId="26ABD4CD" w14:textId="77777777" w:rsidR="00506E5C" w:rsidRPr="00812E27" w:rsidRDefault="00506E5C" w:rsidP="005C10D4">
            <w:pPr>
              <w:spacing w:before="0" w:after="480" w:line="276" w:lineRule="auto"/>
            </w:pPr>
            <w:r w:rsidRPr="00812E27">
              <w:t>0</w:t>
            </w:r>
          </w:p>
        </w:tc>
        <w:tc>
          <w:tcPr>
            <w:tcW w:w="850" w:type="dxa"/>
          </w:tcPr>
          <w:p w14:paraId="26ABD4CE" w14:textId="77777777" w:rsidR="00506E5C" w:rsidRPr="00812E27" w:rsidRDefault="00506E5C" w:rsidP="005C10D4">
            <w:pPr>
              <w:spacing w:before="0" w:after="480" w:line="276" w:lineRule="auto"/>
            </w:pPr>
            <w:r>
              <w:t>100</w:t>
            </w:r>
          </w:p>
        </w:tc>
      </w:tr>
    </w:tbl>
    <w:p w14:paraId="26ABD4D0" w14:textId="77777777" w:rsidR="005C2908" w:rsidRDefault="005C2908" w:rsidP="00B978C3">
      <w:pPr>
        <w:spacing w:before="0" w:after="0"/>
        <w:rPr>
          <w:i/>
          <w:sz w:val="16"/>
          <w:szCs w:val="16"/>
        </w:rPr>
      </w:pPr>
      <w:r w:rsidRPr="006579E6">
        <w:rPr>
          <w:i/>
          <w:sz w:val="16"/>
          <w:szCs w:val="16"/>
        </w:rPr>
        <w:t>^Whilst there were no FPC employee fatalities to report for the 2016-17 year, there was a fatality of an FPC contractor’s employee.</w:t>
      </w:r>
    </w:p>
    <w:p w14:paraId="26ABD4D1" w14:textId="77777777" w:rsidR="00B978C3" w:rsidRPr="006579E6" w:rsidRDefault="00B978C3" w:rsidP="00B978C3">
      <w:pPr>
        <w:spacing w:before="0" w:after="0"/>
        <w:rPr>
          <w:i/>
          <w:sz w:val="16"/>
          <w:szCs w:val="16"/>
        </w:rPr>
      </w:pPr>
      <w:r>
        <w:rPr>
          <w:i/>
          <w:sz w:val="16"/>
          <w:szCs w:val="16"/>
        </w:rPr>
        <w:t>*</w:t>
      </w:r>
      <w:r w:rsidRPr="00B978C3">
        <w:rPr>
          <w:i/>
          <w:sz w:val="16"/>
          <w:szCs w:val="16"/>
        </w:rPr>
        <w:t>While there were no FPC employee fatalities in the 2017-18 financial year, there was one fatality of an FPC contractor’s employee. There was one lost time injury in 2017-18 but it was classified as severe.</w:t>
      </w:r>
    </w:p>
    <w:p w14:paraId="26ABD4D2" w14:textId="77777777" w:rsidR="005C2908" w:rsidRPr="006579E6" w:rsidRDefault="005C2908" w:rsidP="00B978C3">
      <w:pPr>
        <w:spacing w:before="0" w:after="0"/>
        <w:rPr>
          <w:i/>
          <w:sz w:val="16"/>
          <w:szCs w:val="16"/>
        </w:rPr>
      </w:pPr>
      <w:r w:rsidRPr="006579E6">
        <w:rPr>
          <w:i/>
          <w:sz w:val="16"/>
          <w:szCs w:val="16"/>
        </w:rPr>
        <w:t>Sources: FPC 2017, 2015, 2013</w:t>
      </w:r>
    </w:p>
    <w:p w14:paraId="26ABD4D3" w14:textId="6426AEB3" w:rsidR="005C2908" w:rsidRDefault="005C2908" w:rsidP="005C2908">
      <w:pPr>
        <w:pStyle w:val="Caption"/>
      </w:pPr>
      <w:bookmarkStart w:id="181" w:name="_Toc531002193"/>
      <w:r>
        <w:t xml:space="preserve">Table </w:t>
      </w:r>
      <w:r>
        <w:rPr>
          <w:noProof/>
        </w:rPr>
        <w:fldChar w:fldCharType="begin"/>
      </w:r>
      <w:r>
        <w:rPr>
          <w:noProof/>
        </w:rPr>
        <w:instrText xml:space="preserve"> SEQ Table \* ARABIC </w:instrText>
      </w:r>
      <w:r>
        <w:rPr>
          <w:noProof/>
        </w:rPr>
        <w:fldChar w:fldCharType="separate"/>
      </w:r>
      <w:r w:rsidR="003C7091">
        <w:rPr>
          <w:noProof/>
        </w:rPr>
        <w:t>32</w:t>
      </w:r>
      <w:r>
        <w:rPr>
          <w:noProof/>
        </w:rPr>
        <w:fldChar w:fldCharType="end"/>
      </w:r>
      <w:r>
        <w:t>: Forest Products Commission WA injury rate reporting from Annual Reports 2001-2010</w:t>
      </w:r>
      <w:bookmarkEnd w:id="181"/>
    </w:p>
    <w:tbl>
      <w:tblPr>
        <w:tblStyle w:val="TableGrid"/>
        <w:tblW w:w="9829" w:type="dxa"/>
        <w:tblLayout w:type="fixed"/>
        <w:tblLook w:val="04A0" w:firstRow="1" w:lastRow="0" w:firstColumn="1" w:lastColumn="0" w:noHBand="0" w:noVBand="1"/>
      </w:tblPr>
      <w:tblGrid>
        <w:gridCol w:w="1696"/>
        <w:gridCol w:w="903"/>
        <w:gridCol w:w="903"/>
        <w:gridCol w:w="904"/>
        <w:gridCol w:w="904"/>
        <w:gridCol w:w="904"/>
        <w:gridCol w:w="903"/>
        <w:gridCol w:w="904"/>
        <w:gridCol w:w="904"/>
        <w:gridCol w:w="904"/>
      </w:tblGrid>
      <w:tr w:rsidR="005C2908" w14:paraId="26ABD4DE" w14:textId="77777777" w:rsidTr="00BA5A4A">
        <w:trPr>
          <w:cantSplit/>
          <w:trHeight w:val="1134"/>
        </w:trPr>
        <w:tc>
          <w:tcPr>
            <w:tcW w:w="1696" w:type="dxa"/>
            <w:shd w:val="clear" w:color="auto" w:fill="DFEFE1" w:themeFill="accent3" w:themeFillTint="66"/>
          </w:tcPr>
          <w:p w14:paraId="26ABD4D4" w14:textId="77777777" w:rsidR="005C2908" w:rsidRPr="003E4067" w:rsidRDefault="005C2908" w:rsidP="005C10D4">
            <w:pPr>
              <w:spacing w:before="0" w:after="480" w:line="276" w:lineRule="auto"/>
              <w:rPr>
                <w:b/>
              </w:rPr>
            </w:pPr>
            <w:r w:rsidRPr="003E4067">
              <w:rPr>
                <w:b/>
              </w:rPr>
              <w:t>Measure</w:t>
            </w:r>
          </w:p>
        </w:tc>
        <w:tc>
          <w:tcPr>
            <w:tcW w:w="903" w:type="dxa"/>
            <w:shd w:val="clear" w:color="auto" w:fill="DFEFE1" w:themeFill="accent3" w:themeFillTint="66"/>
            <w:textDirection w:val="tbRl"/>
          </w:tcPr>
          <w:p w14:paraId="26ABD4D5" w14:textId="77777777" w:rsidR="005C2908" w:rsidRPr="003E4067" w:rsidRDefault="005C2908" w:rsidP="005C10D4">
            <w:pPr>
              <w:spacing w:before="0" w:after="480" w:line="276" w:lineRule="auto"/>
              <w:ind w:left="113" w:right="113"/>
              <w:rPr>
                <w:b/>
                <w:sz w:val="20"/>
              </w:rPr>
            </w:pPr>
            <w:r>
              <w:rPr>
                <w:b/>
                <w:sz w:val="20"/>
              </w:rPr>
              <w:t>2001-02</w:t>
            </w:r>
          </w:p>
        </w:tc>
        <w:tc>
          <w:tcPr>
            <w:tcW w:w="903" w:type="dxa"/>
            <w:shd w:val="clear" w:color="auto" w:fill="DFEFE1" w:themeFill="accent3" w:themeFillTint="66"/>
            <w:textDirection w:val="tbRl"/>
          </w:tcPr>
          <w:p w14:paraId="26ABD4D6" w14:textId="77777777" w:rsidR="005C2908" w:rsidRPr="003E4067" w:rsidRDefault="005C2908" w:rsidP="005C10D4">
            <w:pPr>
              <w:spacing w:before="0" w:after="480" w:line="276" w:lineRule="auto"/>
              <w:ind w:left="113" w:right="113"/>
              <w:rPr>
                <w:b/>
                <w:sz w:val="20"/>
              </w:rPr>
            </w:pPr>
            <w:r w:rsidRPr="003E4067">
              <w:rPr>
                <w:b/>
                <w:sz w:val="20"/>
              </w:rPr>
              <w:t>2002-03</w:t>
            </w:r>
          </w:p>
        </w:tc>
        <w:tc>
          <w:tcPr>
            <w:tcW w:w="904" w:type="dxa"/>
            <w:shd w:val="clear" w:color="auto" w:fill="DFEFE1" w:themeFill="accent3" w:themeFillTint="66"/>
            <w:textDirection w:val="tbRl"/>
          </w:tcPr>
          <w:p w14:paraId="26ABD4D7" w14:textId="77777777" w:rsidR="005C2908" w:rsidRPr="003E4067" w:rsidRDefault="005C2908" w:rsidP="005C10D4">
            <w:pPr>
              <w:spacing w:before="0" w:after="480" w:line="276" w:lineRule="auto"/>
              <w:ind w:left="113" w:right="113"/>
              <w:rPr>
                <w:b/>
                <w:sz w:val="20"/>
              </w:rPr>
            </w:pPr>
            <w:r w:rsidRPr="003E4067">
              <w:rPr>
                <w:b/>
                <w:sz w:val="20"/>
              </w:rPr>
              <w:t>2003-04</w:t>
            </w:r>
          </w:p>
        </w:tc>
        <w:tc>
          <w:tcPr>
            <w:tcW w:w="904" w:type="dxa"/>
            <w:shd w:val="clear" w:color="auto" w:fill="DFEFE1" w:themeFill="accent3" w:themeFillTint="66"/>
            <w:textDirection w:val="tbRl"/>
          </w:tcPr>
          <w:p w14:paraId="26ABD4D8" w14:textId="77777777" w:rsidR="005C2908" w:rsidRPr="003E4067" w:rsidRDefault="005C2908" w:rsidP="005C10D4">
            <w:pPr>
              <w:spacing w:before="0" w:after="480" w:line="276" w:lineRule="auto"/>
              <w:ind w:left="113" w:right="113"/>
              <w:rPr>
                <w:b/>
                <w:sz w:val="20"/>
              </w:rPr>
            </w:pPr>
            <w:r w:rsidRPr="003E4067">
              <w:rPr>
                <w:b/>
                <w:sz w:val="20"/>
              </w:rPr>
              <w:t>2004-05</w:t>
            </w:r>
          </w:p>
        </w:tc>
        <w:tc>
          <w:tcPr>
            <w:tcW w:w="904" w:type="dxa"/>
            <w:shd w:val="clear" w:color="auto" w:fill="DFEFE1" w:themeFill="accent3" w:themeFillTint="66"/>
            <w:textDirection w:val="tbRl"/>
          </w:tcPr>
          <w:p w14:paraId="26ABD4D9" w14:textId="77777777" w:rsidR="005C2908" w:rsidRPr="003E4067" w:rsidRDefault="005C2908" w:rsidP="005C10D4">
            <w:pPr>
              <w:spacing w:before="0" w:after="480" w:line="276" w:lineRule="auto"/>
              <w:ind w:left="113" w:right="113"/>
              <w:rPr>
                <w:b/>
                <w:sz w:val="20"/>
              </w:rPr>
            </w:pPr>
            <w:r w:rsidRPr="003E4067">
              <w:rPr>
                <w:b/>
                <w:sz w:val="20"/>
              </w:rPr>
              <w:t>2005-06</w:t>
            </w:r>
          </w:p>
        </w:tc>
        <w:tc>
          <w:tcPr>
            <w:tcW w:w="903" w:type="dxa"/>
            <w:shd w:val="clear" w:color="auto" w:fill="DFEFE1" w:themeFill="accent3" w:themeFillTint="66"/>
            <w:textDirection w:val="tbRl"/>
          </w:tcPr>
          <w:p w14:paraId="26ABD4DA" w14:textId="77777777" w:rsidR="005C2908" w:rsidRPr="003E4067" w:rsidRDefault="005C2908" w:rsidP="005C10D4">
            <w:pPr>
              <w:spacing w:before="0" w:after="480" w:line="276" w:lineRule="auto"/>
              <w:ind w:left="113" w:right="113"/>
              <w:rPr>
                <w:b/>
                <w:sz w:val="20"/>
              </w:rPr>
            </w:pPr>
            <w:r w:rsidRPr="003E4067">
              <w:rPr>
                <w:b/>
                <w:sz w:val="20"/>
              </w:rPr>
              <w:t>2006-07</w:t>
            </w:r>
          </w:p>
        </w:tc>
        <w:tc>
          <w:tcPr>
            <w:tcW w:w="904" w:type="dxa"/>
            <w:shd w:val="clear" w:color="auto" w:fill="DFEFE1" w:themeFill="accent3" w:themeFillTint="66"/>
            <w:textDirection w:val="tbRl"/>
          </w:tcPr>
          <w:p w14:paraId="26ABD4DB" w14:textId="77777777" w:rsidR="005C2908" w:rsidRPr="003E4067" w:rsidRDefault="005C2908" w:rsidP="005C10D4">
            <w:pPr>
              <w:spacing w:before="0" w:after="480" w:line="276" w:lineRule="auto"/>
              <w:ind w:left="113" w:right="113"/>
              <w:rPr>
                <w:b/>
                <w:sz w:val="20"/>
              </w:rPr>
            </w:pPr>
            <w:r w:rsidRPr="003E4067">
              <w:rPr>
                <w:b/>
                <w:sz w:val="20"/>
              </w:rPr>
              <w:t>2007-08</w:t>
            </w:r>
          </w:p>
        </w:tc>
        <w:tc>
          <w:tcPr>
            <w:tcW w:w="904" w:type="dxa"/>
            <w:shd w:val="clear" w:color="auto" w:fill="DFEFE1" w:themeFill="accent3" w:themeFillTint="66"/>
            <w:textDirection w:val="tbRl"/>
          </w:tcPr>
          <w:p w14:paraId="26ABD4DC" w14:textId="77777777" w:rsidR="005C2908" w:rsidRPr="003E4067" w:rsidRDefault="005C2908" w:rsidP="005C10D4">
            <w:pPr>
              <w:spacing w:before="0" w:after="480" w:line="276" w:lineRule="auto"/>
              <w:ind w:left="113" w:right="113"/>
              <w:rPr>
                <w:b/>
                <w:sz w:val="20"/>
              </w:rPr>
            </w:pPr>
            <w:r w:rsidRPr="003E4067">
              <w:rPr>
                <w:b/>
                <w:sz w:val="20"/>
              </w:rPr>
              <w:t>2008-09</w:t>
            </w:r>
          </w:p>
        </w:tc>
        <w:tc>
          <w:tcPr>
            <w:tcW w:w="904" w:type="dxa"/>
            <w:shd w:val="clear" w:color="auto" w:fill="DFEFE1" w:themeFill="accent3" w:themeFillTint="66"/>
            <w:textDirection w:val="tbRl"/>
          </w:tcPr>
          <w:p w14:paraId="26ABD4DD" w14:textId="77777777" w:rsidR="005C2908" w:rsidRPr="003E4067" w:rsidRDefault="005C2908" w:rsidP="005C10D4">
            <w:pPr>
              <w:spacing w:before="0" w:after="480" w:line="276" w:lineRule="auto"/>
              <w:ind w:left="113" w:right="113"/>
              <w:rPr>
                <w:i/>
                <w:sz w:val="20"/>
              </w:rPr>
            </w:pPr>
            <w:r w:rsidRPr="003E4067">
              <w:rPr>
                <w:b/>
                <w:sz w:val="20"/>
              </w:rPr>
              <w:t>2009-10</w:t>
            </w:r>
          </w:p>
        </w:tc>
      </w:tr>
      <w:tr w:rsidR="005C2908" w14:paraId="26ABD4E9" w14:textId="77777777" w:rsidTr="005C10D4">
        <w:tc>
          <w:tcPr>
            <w:tcW w:w="1696" w:type="dxa"/>
          </w:tcPr>
          <w:p w14:paraId="26ABD4DF" w14:textId="77777777" w:rsidR="005C2908" w:rsidRPr="003E4067" w:rsidRDefault="005C2908" w:rsidP="005C10D4">
            <w:pPr>
              <w:spacing w:before="0" w:after="480" w:line="276" w:lineRule="auto"/>
              <w:rPr>
                <w:sz w:val="20"/>
              </w:rPr>
            </w:pPr>
            <w:r w:rsidRPr="003E4067">
              <w:rPr>
                <w:sz w:val="20"/>
              </w:rPr>
              <w:t>Number of Lost Time Injuries (LTIs)</w:t>
            </w:r>
          </w:p>
        </w:tc>
        <w:tc>
          <w:tcPr>
            <w:tcW w:w="903" w:type="dxa"/>
          </w:tcPr>
          <w:p w14:paraId="26ABD4E0" w14:textId="77777777" w:rsidR="005C2908" w:rsidRPr="00862F62" w:rsidRDefault="005C2908" w:rsidP="005C10D4">
            <w:pPr>
              <w:spacing w:before="0" w:after="480" w:line="276" w:lineRule="auto"/>
              <w:rPr>
                <w:sz w:val="20"/>
              </w:rPr>
            </w:pPr>
            <w:r w:rsidRPr="00862F62">
              <w:rPr>
                <w:sz w:val="20"/>
              </w:rPr>
              <w:t>7</w:t>
            </w:r>
          </w:p>
        </w:tc>
        <w:tc>
          <w:tcPr>
            <w:tcW w:w="903" w:type="dxa"/>
          </w:tcPr>
          <w:p w14:paraId="26ABD4E1" w14:textId="77777777" w:rsidR="005C2908" w:rsidRPr="00862F62" w:rsidRDefault="005C2908" w:rsidP="005C10D4">
            <w:pPr>
              <w:spacing w:before="0" w:after="480" w:line="276" w:lineRule="auto"/>
              <w:rPr>
                <w:sz w:val="20"/>
              </w:rPr>
            </w:pPr>
            <w:r w:rsidRPr="00862F62">
              <w:rPr>
                <w:sz w:val="20"/>
              </w:rPr>
              <w:t>3</w:t>
            </w:r>
          </w:p>
        </w:tc>
        <w:tc>
          <w:tcPr>
            <w:tcW w:w="904" w:type="dxa"/>
          </w:tcPr>
          <w:p w14:paraId="26ABD4E2" w14:textId="77777777" w:rsidR="005C2908" w:rsidRPr="00862F62" w:rsidRDefault="005C2908" w:rsidP="005C10D4">
            <w:pPr>
              <w:spacing w:before="0" w:after="480" w:line="276" w:lineRule="auto"/>
              <w:rPr>
                <w:sz w:val="20"/>
              </w:rPr>
            </w:pPr>
            <w:r w:rsidRPr="00862F62">
              <w:rPr>
                <w:sz w:val="20"/>
              </w:rPr>
              <w:t>2</w:t>
            </w:r>
          </w:p>
        </w:tc>
        <w:tc>
          <w:tcPr>
            <w:tcW w:w="904" w:type="dxa"/>
          </w:tcPr>
          <w:p w14:paraId="26ABD4E3" w14:textId="77777777" w:rsidR="005C2908" w:rsidRPr="00862F62" w:rsidRDefault="005C2908" w:rsidP="005C10D4">
            <w:pPr>
              <w:spacing w:before="0" w:after="480" w:line="276" w:lineRule="auto"/>
              <w:rPr>
                <w:sz w:val="20"/>
              </w:rPr>
            </w:pPr>
            <w:r w:rsidRPr="00862F62">
              <w:rPr>
                <w:sz w:val="20"/>
              </w:rPr>
              <w:t>2</w:t>
            </w:r>
          </w:p>
        </w:tc>
        <w:tc>
          <w:tcPr>
            <w:tcW w:w="904" w:type="dxa"/>
          </w:tcPr>
          <w:p w14:paraId="26ABD4E4" w14:textId="77777777" w:rsidR="005C2908" w:rsidRPr="00862F62" w:rsidRDefault="005C2908" w:rsidP="005C10D4">
            <w:pPr>
              <w:spacing w:before="0" w:after="480" w:line="276" w:lineRule="auto"/>
              <w:rPr>
                <w:sz w:val="20"/>
              </w:rPr>
            </w:pPr>
            <w:r w:rsidRPr="00862F62">
              <w:rPr>
                <w:sz w:val="20"/>
              </w:rPr>
              <w:t>5</w:t>
            </w:r>
          </w:p>
        </w:tc>
        <w:tc>
          <w:tcPr>
            <w:tcW w:w="903" w:type="dxa"/>
          </w:tcPr>
          <w:p w14:paraId="26ABD4E5" w14:textId="77777777" w:rsidR="005C2908" w:rsidRPr="00862F62" w:rsidRDefault="005C2908" w:rsidP="005C10D4">
            <w:pPr>
              <w:spacing w:before="0" w:after="480" w:line="276" w:lineRule="auto"/>
              <w:rPr>
                <w:sz w:val="20"/>
              </w:rPr>
            </w:pPr>
            <w:r w:rsidRPr="00862F62">
              <w:rPr>
                <w:sz w:val="20"/>
              </w:rPr>
              <w:t>6</w:t>
            </w:r>
          </w:p>
        </w:tc>
        <w:tc>
          <w:tcPr>
            <w:tcW w:w="904" w:type="dxa"/>
          </w:tcPr>
          <w:p w14:paraId="26ABD4E6" w14:textId="77777777" w:rsidR="005C2908" w:rsidRPr="00862F62" w:rsidRDefault="005C2908" w:rsidP="005C10D4">
            <w:pPr>
              <w:spacing w:before="0" w:after="480" w:line="276" w:lineRule="auto"/>
              <w:rPr>
                <w:sz w:val="20"/>
              </w:rPr>
            </w:pPr>
            <w:r w:rsidRPr="00862F62">
              <w:rPr>
                <w:sz w:val="20"/>
              </w:rPr>
              <w:t>8</w:t>
            </w:r>
          </w:p>
        </w:tc>
        <w:tc>
          <w:tcPr>
            <w:tcW w:w="904" w:type="dxa"/>
          </w:tcPr>
          <w:p w14:paraId="26ABD4E7" w14:textId="77777777" w:rsidR="005C2908" w:rsidRPr="00862F62" w:rsidRDefault="005C2908" w:rsidP="005C10D4">
            <w:pPr>
              <w:spacing w:before="0" w:after="480" w:line="276" w:lineRule="auto"/>
              <w:rPr>
                <w:sz w:val="20"/>
              </w:rPr>
            </w:pPr>
            <w:r w:rsidRPr="00862F62">
              <w:rPr>
                <w:sz w:val="20"/>
              </w:rPr>
              <w:t>3</w:t>
            </w:r>
          </w:p>
        </w:tc>
        <w:tc>
          <w:tcPr>
            <w:tcW w:w="904" w:type="dxa"/>
          </w:tcPr>
          <w:p w14:paraId="26ABD4E8" w14:textId="77777777" w:rsidR="005C2908" w:rsidRPr="00862F62" w:rsidRDefault="005C2908" w:rsidP="005C10D4">
            <w:pPr>
              <w:spacing w:before="0" w:after="480" w:line="276" w:lineRule="auto"/>
              <w:rPr>
                <w:sz w:val="20"/>
              </w:rPr>
            </w:pPr>
            <w:r w:rsidRPr="00862F62">
              <w:rPr>
                <w:sz w:val="20"/>
              </w:rPr>
              <w:t>4</w:t>
            </w:r>
          </w:p>
        </w:tc>
      </w:tr>
      <w:tr w:rsidR="005C2908" w14:paraId="26ABD4F4" w14:textId="77777777" w:rsidTr="005C10D4">
        <w:tc>
          <w:tcPr>
            <w:tcW w:w="1696" w:type="dxa"/>
          </w:tcPr>
          <w:p w14:paraId="26ABD4EA" w14:textId="77777777" w:rsidR="005C2908" w:rsidRPr="003E4067" w:rsidRDefault="005C2908" w:rsidP="005C10D4">
            <w:pPr>
              <w:spacing w:before="0" w:after="480" w:line="276" w:lineRule="auto"/>
              <w:rPr>
                <w:sz w:val="20"/>
              </w:rPr>
            </w:pPr>
            <w:r w:rsidRPr="003E4067">
              <w:rPr>
                <w:sz w:val="20"/>
              </w:rPr>
              <w:t>Frequency rate (number of LTIs per 1 million hours worked)</w:t>
            </w:r>
          </w:p>
        </w:tc>
        <w:tc>
          <w:tcPr>
            <w:tcW w:w="903" w:type="dxa"/>
          </w:tcPr>
          <w:p w14:paraId="26ABD4EB" w14:textId="77777777" w:rsidR="005C2908" w:rsidRPr="00862F62" w:rsidRDefault="005C2908" w:rsidP="005C10D4">
            <w:pPr>
              <w:spacing w:before="0" w:after="480" w:line="276" w:lineRule="auto"/>
              <w:rPr>
                <w:sz w:val="20"/>
              </w:rPr>
            </w:pPr>
            <w:r w:rsidRPr="00862F62">
              <w:rPr>
                <w:sz w:val="20"/>
              </w:rPr>
              <w:t>NR</w:t>
            </w:r>
          </w:p>
        </w:tc>
        <w:tc>
          <w:tcPr>
            <w:tcW w:w="903" w:type="dxa"/>
          </w:tcPr>
          <w:p w14:paraId="26ABD4EC" w14:textId="77777777" w:rsidR="005C2908" w:rsidRPr="00862F62" w:rsidRDefault="005C2908" w:rsidP="005C10D4">
            <w:pPr>
              <w:spacing w:before="0" w:after="480" w:line="276" w:lineRule="auto"/>
              <w:rPr>
                <w:sz w:val="20"/>
              </w:rPr>
            </w:pPr>
            <w:r w:rsidRPr="00862F62">
              <w:rPr>
                <w:sz w:val="20"/>
              </w:rPr>
              <w:t>NR</w:t>
            </w:r>
          </w:p>
        </w:tc>
        <w:tc>
          <w:tcPr>
            <w:tcW w:w="904" w:type="dxa"/>
          </w:tcPr>
          <w:p w14:paraId="26ABD4ED" w14:textId="77777777" w:rsidR="005C2908" w:rsidRPr="00862F62" w:rsidRDefault="005C2908" w:rsidP="005C10D4">
            <w:pPr>
              <w:spacing w:before="0" w:after="480" w:line="276" w:lineRule="auto"/>
              <w:rPr>
                <w:sz w:val="20"/>
              </w:rPr>
            </w:pPr>
            <w:r w:rsidRPr="00862F62">
              <w:rPr>
                <w:sz w:val="20"/>
              </w:rPr>
              <w:t>NR</w:t>
            </w:r>
          </w:p>
        </w:tc>
        <w:tc>
          <w:tcPr>
            <w:tcW w:w="904" w:type="dxa"/>
          </w:tcPr>
          <w:p w14:paraId="26ABD4EE" w14:textId="77777777" w:rsidR="005C2908" w:rsidRPr="00862F62" w:rsidRDefault="005C2908" w:rsidP="005C10D4">
            <w:pPr>
              <w:spacing w:before="0" w:after="480" w:line="276" w:lineRule="auto"/>
              <w:rPr>
                <w:sz w:val="20"/>
              </w:rPr>
            </w:pPr>
            <w:r w:rsidRPr="00862F62">
              <w:rPr>
                <w:sz w:val="20"/>
              </w:rPr>
              <w:t>NR</w:t>
            </w:r>
          </w:p>
        </w:tc>
        <w:tc>
          <w:tcPr>
            <w:tcW w:w="904" w:type="dxa"/>
          </w:tcPr>
          <w:p w14:paraId="26ABD4EF" w14:textId="77777777" w:rsidR="005C2908" w:rsidRPr="00862F62" w:rsidRDefault="005C2908" w:rsidP="005C10D4">
            <w:pPr>
              <w:spacing w:before="0" w:after="480" w:line="276" w:lineRule="auto"/>
              <w:rPr>
                <w:sz w:val="20"/>
              </w:rPr>
            </w:pPr>
            <w:r w:rsidRPr="00862F62">
              <w:rPr>
                <w:sz w:val="20"/>
              </w:rPr>
              <w:t>NR</w:t>
            </w:r>
          </w:p>
        </w:tc>
        <w:tc>
          <w:tcPr>
            <w:tcW w:w="903" w:type="dxa"/>
          </w:tcPr>
          <w:p w14:paraId="26ABD4F0" w14:textId="77777777" w:rsidR="005C2908" w:rsidRPr="00862F62" w:rsidRDefault="005C2908" w:rsidP="005C10D4">
            <w:pPr>
              <w:spacing w:before="0" w:after="480" w:line="276" w:lineRule="auto"/>
              <w:rPr>
                <w:sz w:val="20"/>
              </w:rPr>
            </w:pPr>
            <w:r w:rsidRPr="00862F62">
              <w:rPr>
                <w:sz w:val="20"/>
              </w:rPr>
              <w:t>NR</w:t>
            </w:r>
          </w:p>
        </w:tc>
        <w:tc>
          <w:tcPr>
            <w:tcW w:w="904" w:type="dxa"/>
          </w:tcPr>
          <w:p w14:paraId="26ABD4F1" w14:textId="77777777" w:rsidR="005C2908" w:rsidRPr="00862F62" w:rsidRDefault="005C2908" w:rsidP="005C10D4">
            <w:pPr>
              <w:spacing w:before="0" w:after="480" w:line="276" w:lineRule="auto"/>
              <w:rPr>
                <w:sz w:val="20"/>
              </w:rPr>
            </w:pPr>
            <w:r w:rsidRPr="00862F62">
              <w:rPr>
                <w:sz w:val="20"/>
              </w:rPr>
              <w:t>14</w:t>
            </w:r>
          </w:p>
        </w:tc>
        <w:tc>
          <w:tcPr>
            <w:tcW w:w="904" w:type="dxa"/>
          </w:tcPr>
          <w:p w14:paraId="26ABD4F2" w14:textId="77777777" w:rsidR="005C2908" w:rsidRPr="00862F62" w:rsidRDefault="005C2908" w:rsidP="005C10D4">
            <w:pPr>
              <w:spacing w:before="0" w:after="480" w:line="276" w:lineRule="auto"/>
              <w:rPr>
                <w:sz w:val="20"/>
              </w:rPr>
            </w:pPr>
            <w:r w:rsidRPr="00862F62">
              <w:rPr>
                <w:sz w:val="20"/>
              </w:rPr>
              <w:t>5</w:t>
            </w:r>
          </w:p>
        </w:tc>
        <w:tc>
          <w:tcPr>
            <w:tcW w:w="904" w:type="dxa"/>
          </w:tcPr>
          <w:p w14:paraId="26ABD4F3" w14:textId="77777777" w:rsidR="005C2908" w:rsidRPr="00862F62" w:rsidRDefault="005C2908" w:rsidP="005C10D4">
            <w:pPr>
              <w:spacing w:before="0" w:after="480" w:line="276" w:lineRule="auto"/>
              <w:rPr>
                <w:sz w:val="20"/>
              </w:rPr>
            </w:pPr>
            <w:r w:rsidRPr="00862F62">
              <w:rPr>
                <w:sz w:val="20"/>
              </w:rPr>
              <w:t>8</w:t>
            </w:r>
          </w:p>
        </w:tc>
      </w:tr>
      <w:tr w:rsidR="005C2908" w14:paraId="26ABD4FF" w14:textId="77777777" w:rsidTr="005C10D4">
        <w:tc>
          <w:tcPr>
            <w:tcW w:w="1696" w:type="dxa"/>
          </w:tcPr>
          <w:p w14:paraId="26ABD4F5" w14:textId="77777777" w:rsidR="005C2908" w:rsidRPr="003E4067" w:rsidRDefault="005C2908" w:rsidP="005C10D4">
            <w:pPr>
              <w:spacing w:before="0" w:after="480" w:line="276" w:lineRule="auto"/>
              <w:rPr>
                <w:sz w:val="20"/>
              </w:rPr>
            </w:pPr>
            <w:r>
              <w:rPr>
                <w:sz w:val="20"/>
              </w:rPr>
              <w:t>Minor Treatment Incidents (MTIs)</w:t>
            </w:r>
          </w:p>
        </w:tc>
        <w:tc>
          <w:tcPr>
            <w:tcW w:w="903" w:type="dxa"/>
          </w:tcPr>
          <w:p w14:paraId="26ABD4F6" w14:textId="77777777" w:rsidR="005C2908" w:rsidRPr="00862F62" w:rsidRDefault="005C2908" w:rsidP="005C10D4">
            <w:pPr>
              <w:spacing w:before="0" w:after="480" w:line="276" w:lineRule="auto"/>
              <w:rPr>
                <w:sz w:val="20"/>
              </w:rPr>
            </w:pPr>
            <w:r w:rsidRPr="00862F62">
              <w:rPr>
                <w:sz w:val="20"/>
              </w:rPr>
              <w:t>NR</w:t>
            </w:r>
          </w:p>
        </w:tc>
        <w:tc>
          <w:tcPr>
            <w:tcW w:w="903" w:type="dxa"/>
          </w:tcPr>
          <w:p w14:paraId="26ABD4F7" w14:textId="77777777" w:rsidR="005C2908" w:rsidRPr="00862F62" w:rsidRDefault="005C2908" w:rsidP="005C10D4">
            <w:pPr>
              <w:spacing w:before="0" w:after="480" w:line="276" w:lineRule="auto"/>
              <w:rPr>
                <w:sz w:val="20"/>
              </w:rPr>
            </w:pPr>
            <w:r w:rsidRPr="00862F62">
              <w:rPr>
                <w:sz w:val="20"/>
              </w:rPr>
              <w:t>NR</w:t>
            </w:r>
          </w:p>
        </w:tc>
        <w:tc>
          <w:tcPr>
            <w:tcW w:w="904" w:type="dxa"/>
          </w:tcPr>
          <w:p w14:paraId="26ABD4F8" w14:textId="77777777" w:rsidR="005C2908" w:rsidRPr="00862F62" w:rsidRDefault="005C2908" w:rsidP="005C10D4">
            <w:pPr>
              <w:spacing w:before="0" w:after="480" w:line="276" w:lineRule="auto"/>
              <w:rPr>
                <w:sz w:val="20"/>
              </w:rPr>
            </w:pPr>
            <w:r w:rsidRPr="00862F62">
              <w:rPr>
                <w:sz w:val="20"/>
              </w:rPr>
              <w:t>NR</w:t>
            </w:r>
          </w:p>
        </w:tc>
        <w:tc>
          <w:tcPr>
            <w:tcW w:w="904" w:type="dxa"/>
          </w:tcPr>
          <w:p w14:paraId="26ABD4F9" w14:textId="77777777" w:rsidR="005C2908" w:rsidRPr="00862F62" w:rsidRDefault="005C2908" w:rsidP="005C10D4">
            <w:pPr>
              <w:spacing w:before="0" w:after="480" w:line="276" w:lineRule="auto"/>
              <w:rPr>
                <w:sz w:val="20"/>
              </w:rPr>
            </w:pPr>
            <w:r w:rsidRPr="00862F62">
              <w:rPr>
                <w:sz w:val="20"/>
              </w:rPr>
              <w:t>16</w:t>
            </w:r>
          </w:p>
        </w:tc>
        <w:tc>
          <w:tcPr>
            <w:tcW w:w="904" w:type="dxa"/>
          </w:tcPr>
          <w:p w14:paraId="26ABD4FA" w14:textId="77777777" w:rsidR="005C2908" w:rsidRPr="00862F62" w:rsidRDefault="005C2908" w:rsidP="005C10D4">
            <w:pPr>
              <w:spacing w:before="0" w:after="480" w:line="276" w:lineRule="auto"/>
              <w:rPr>
                <w:sz w:val="20"/>
              </w:rPr>
            </w:pPr>
            <w:r w:rsidRPr="00862F62">
              <w:rPr>
                <w:sz w:val="20"/>
              </w:rPr>
              <w:t>13</w:t>
            </w:r>
          </w:p>
        </w:tc>
        <w:tc>
          <w:tcPr>
            <w:tcW w:w="903" w:type="dxa"/>
          </w:tcPr>
          <w:p w14:paraId="26ABD4FB" w14:textId="77777777" w:rsidR="005C2908" w:rsidRPr="00862F62" w:rsidRDefault="005C2908" w:rsidP="005C10D4">
            <w:pPr>
              <w:spacing w:before="0" w:after="480" w:line="276" w:lineRule="auto"/>
              <w:rPr>
                <w:sz w:val="20"/>
              </w:rPr>
            </w:pPr>
            <w:r w:rsidRPr="00862F62">
              <w:rPr>
                <w:sz w:val="20"/>
              </w:rPr>
              <w:t>9</w:t>
            </w:r>
          </w:p>
        </w:tc>
        <w:tc>
          <w:tcPr>
            <w:tcW w:w="904" w:type="dxa"/>
          </w:tcPr>
          <w:p w14:paraId="26ABD4FC" w14:textId="77777777" w:rsidR="005C2908" w:rsidRPr="00862F62" w:rsidRDefault="005C2908" w:rsidP="005C10D4">
            <w:pPr>
              <w:spacing w:before="0" w:after="480" w:line="276" w:lineRule="auto"/>
              <w:rPr>
                <w:sz w:val="20"/>
              </w:rPr>
            </w:pPr>
            <w:r w:rsidRPr="00862F62">
              <w:rPr>
                <w:sz w:val="20"/>
              </w:rPr>
              <w:t>NR</w:t>
            </w:r>
          </w:p>
        </w:tc>
        <w:tc>
          <w:tcPr>
            <w:tcW w:w="904" w:type="dxa"/>
          </w:tcPr>
          <w:p w14:paraId="26ABD4FD" w14:textId="77777777" w:rsidR="005C2908" w:rsidRPr="00862F62" w:rsidRDefault="005C2908" w:rsidP="005C10D4">
            <w:pPr>
              <w:spacing w:before="0" w:after="480" w:line="276" w:lineRule="auto"/>
              <w:rPr>
                <w:sz w:val="20"/>
              </w:rPr>
            </w:pPr>
            <w:r w:rsidRPr="00862F62">
              <w:rPr>
                <w:sz w:val="20"/>
              </w:rPr>
              <w:t>NR</w:t>
            </w:r>
          </w:p>
        </w:tc>
        <w:tc>
          <w:tcPr>
            <w:tcW w:w="904" w:type="dxa"/>
          </w:tcPr>
          <w:p w14:paraId="26ABD4FE" w14:textId="77777777" w:rsidR="005C2908" w:rsidRPr="00862F62" w:rsidRDefault="005C2908" w:rsidP="005C10D4">
            <w:pPr>
              <w:spacing w:before="0" w:after="480" w:line="276" w:lineRule="auto"/>
              <w:rPr>
                <w:sz w:val="20"/>
              </w:rPr>
            </w:pPr>
            <w:r w:rsidRPr="00862F62">
              <w:rPr>
                <w:sz w:val="20"/>
              </w:rPr>
              <w:t>NR</w:t>
            </w:r>
          </w:p>
        </w:tc>
      </w:tr>
    </w:tbl>
    <w:p w14:paraId="26ABD500" w14:textId="77777777" w:rsidR="005C2908" w:rsidRPr="006579E6" w:rsidRDefault="005C2908" w:rsidP="006579E6">
      <w:pPr>
        <w:spacing w:before="0" w:line="276" w:lineRule="auto"/>
        <w:rPr>
          <w:i/>
          <w:sz w:val="16"/>
          <w:szCs w:val="16"/>
        </w:rPr>
      </w:pPr>
      <w:r w:rsidRPr="006579E6">
        <w:rPr>
          <w:i/>
          <w:sz w:val="16"/>
          <w:szCs w:val="16"/>
        </w:rPr>
        <w:t xml:space="preserve">Note: no safety/incident rates were recorded by FPC prior to 2001-02. The FPC Annual Reports reported on safety differently in different years. </w:t>
      </w:r>
    </w:p>
    <w:p w14:paraId="26ABD501" w14:textId="77777777" w:rsidR="005C2908" w:rsidRPr="006579E6" w:rsidRDefault="005C2908" w:rsidP="006579E6">
      <w:pPr>
        <w:spacing w:before="0" w:line="276" w:lineRule="auto"/>
        <w:rPr>
          <w:i/>
          <w:sz w:val="16"/>
          <w:szCs w:val="16"/>
        </w:rPr>
      </w:pPr>
      <w:r w:rsidRPr="006579E6">
        <w:rPr>
          <w:i/>
          <w:sz w:val="16"/>
          <w:szCs w:val="16"/>
        </w:rPr>
        <w:t>Sources: FPC 2010, 2007, 2006, 2005, 2004, 2003</w:t>
      </w:r>
    </w:p>
    <w:p w14:paraId="26ABD502" w14:textId="77777777" w:rsidR="00FF0D54" w:rsidRDefault="00FF0D54" w:rsidP="00DB0466">
      <w:pPr>
        <w:pStyle w:val="Heading3"/>
        <w:rPr>
          <w:lang w:eastAsia="en-AU"/>
        </w:rPr>
      </w:pPr>
      <w:bookmarkStart w:id="182" w:name="_Toc524952826"/>
    </w:p>
    <w:p w14:paraId="26ABD503" w14:textId="77777777" w:rsidR="00DB0466" w:rsidRPr="00CE60B2" w:rsidRDefault="00DB0466" w:rsidP="00DB0466">
      <w:pPr>
        <w:pStyle w:val="Heading3"/>
        <w:rPr>
          <w:lang w:eastAsia="en-AU"/>
        </w:rPr>
      </w:pPr>
      <w:bookmarkStart w:id="183" w:name="_Toc2776068"/>
      <w:r w:rsidRPr="00CE60B2">
        <w:rPr>
          <w:lang w:eastAsia="en-AU"/>
        </w:rPr>
        <w:lastRenderedPageBreak/>
        <w:t>Indicator 6.5a</w:t>
      </w:r>
      <w:r w:rsidRPr="00CE60B2">
        <w:rPr>
          <w:lang w:eastAsia="en-AU"/>
        </w:rPr>
        <w:tab/>
        <w:t>Direct and indirect employment in the forest sector</w:t>
      </w:r>
      <w:bookmarkEnd w:id="183"/>
    </w:p>
    <w:p w14:paraId="26ABD504" w14:textId="77777777" w:rsidR="00DB0466" w:rsidRPr="00CE60B2" w:rsidRDefault="00DB0466" w:rsidP="00A42B5E">
      <w:pPr>
        <w:autoSpaceDE w:val="0"/>
        <w:autoSpaceDN w:val="0"/>
        <w:adjustRightInd w:val="0"/>
        <w:spacing w:before="0"/>
        <w:rPr>
          <w:rFonts w:cs="Segoe UI"/>
        </w:rPr>
      </w:pPr>
      <w:r w:rsidRPr="00CE60B2">
        <w:rPr>
          <w:rFonts w:cs="Segoe UI"/>
        </w:rPr>
        <w:t>This indicator measures the level of direct and indirect employment in the forest sector. Employment is an important measure of the contribution of forests to viable communities and the national economy.</w:t>
      </w:r>
    </w:p>
    <w:p w14:paraId="26ABD506" w14:textId="77777777" w:rsidR="00DB0466" w:rsidRPr="00CE60B2" w:rsidRDefault="00DB0466" w:rsidP="00DB0466">
      <w:pPr>
        <w:autoSpaceDE w:val="0"/>
        <w:autoSpaceDN w:val="0"/>
        <w:adjustRightInd w:val="0"/>
        <w:spacing w:before="0" w:after="0"/>
        <w:rPr>
          <w:rFonts w:cs="Segoe UI"/>
        </w:rPr>
      </w:pPr>
      <w:r w:rsidRPr="00CE60B2">
        <w:rPr>
          <w:rFonts w:cs="Segoe UI"/>
        </w:rPr>
        <w:t xml:space="preserve">The </w:t>
      </w:r>
      <w:r>
        <w:rPr>
          <w:rFonts w:cs="Segoe UI"/>
        </w:rPr>
        <w:t xml:space="preserve">CRA process </w:t>
      </w:r>
      <w:r w:rsidRPr="00CE60B2">
        <w:rPr>
          <w:rFonts w:cs="Segoe UI"/>
        </w:rPr>
        <w:t xml:space="preserve">prior to the </w:t>
      </w:r>
      <w:r>
        <w:rPr>
          <w:rFonts w:cs="Segoe UI"/>
        </w:rPr>
        <w:t>WA </w:t>
      </w:r>
      <w:r w:rsidRPr="00CE60B2">
        <w:rPr>
          <w:rFonts w:cs="Segoe UI"/>
        </w:rPr>
        <w:t xml:space="preserve">RFA identified that the regional economy in the south-west region of WA is becoming increasingly diverse and less dependent on the forest industry than traditionally. However, some towns in the </w:t>
      </w:r>
      <w:r>
        <w:rPr>
          <w:rFonts w:cs="Segoe UI"/>
        </w:rPr>
        <w:t>WA </w:t>
      </w:r>
      <w:r w:rsidRPr="00CE60B2">
        <w:rPr>
          <w:rFonts w:cs="Segoe UI"/>
        </w:rPr>
        <w:t xml:space="preserve">RFA area are heavily dependent on the forest industry for employment. Key drivers to these changes are increasing centralisation, changes in attitudes to the environment (and consequently the forest industry), tourism, agriculture, mining and technological advancement. </w:t>
      </w:r>
    </w:p>
    <w:p w14:paraId="26ABD507" w14:textId="77777777" w:rsidR="00DB0466" w:rsidRPr="00CE60B2" w:rsidRDefault="00DB0466" w:rsidP="00DB0466">
      <w:pPr>
        <w:pStyle w:val="Heading4"/>
        <w:rPr>
          <w:rFonts w:cs="Segoe UI"/>
        </w:rPr>
      </w:pPr>
      <w:r w:rsidRPr="00CE60B2">
        <w:rPr>
          <w:rFonts w:cs="Segoe UI"/>
        </w:rPr>
        <w:t>Direct employment</w:t>
      </w:r>
    </w:p>
    <w:p w14:paraId="26ABD508" w14:textId="77777777" w:rsidR="00DB0466" w:rsidRPr="00CE60B2" w:rsidRDefault="00DB0466" w:rsidP="00DB0466">
      <w:pPr>
        <w:rPr>
          <w:rFonts w:cs="Segoe UI"/>
          <w:i/>
        </w:rPr>
      </w:pPr>
      <w:r w:rsidRPr="00CE60B2">
        <w:rPr>
          <w:rFonts w:cs="Segoe UI"/>
          <w:i/>
        </w:rPr>
        <w:t>The forestry and wood products industry</w:t>
      </w:r>
    </w:p>
    <w:p w14:paraId="26ABD509" w14:textId="77777777" w:rsidR="00DB0466" w:rsidRPr="00CE60B2" w:rsidRDefault="00DB0466" w:rsidP="00DB0466">
      <w:pPr>
        <w:rPr>
          <w:rFonts w:cs="Segoe UI"/>
        </w:rPr>
      </w:pPr>
      <w:r w:rsidRPr="00CE60B2">
        <w:rPr>
          <w:rFonts w:cs="Segoe UI"/>
        </w:rPr>
        <w:t>A detailed study of the socio-economic impacts of the forestry industry (Schirmer</w:t>
      </w:r>
      <w:r>
        <w:rPr>
          <w:rFonts w:cs="Segoe UI"/>
        </w:rPr>
        <w:t> </w:t>
      </w:r>
      <w:r w:rsidRPr="005D4103">
        <w:rPr>
          <w:rFonts w:cs="Segoe UI"/>
          <w:i/>
        </w:rPr>
        <w:t>et al.</w:t>
      </w:r>
      <w:r>
        <w:rPr>
          <w:rFonts w:cs="Segoe UI"/>
        </w:rPr>
        <w:t> </w:t>
      </w:r>
      <w:r w:rsidRPr="00CE60B2">
        <w:rPr>
          <w:rFonts w:cs="Segoe UI"/>
        </w:rPr>
        <w:t>2017) showed that the industry generated 2,114 direct jobs up to the point of primary processing; the estimated flow-on employment generated was an additional 2,456 jobs. Secondary processing of timber provided a further 1,495 jobs meaning that the industry supports</w:t>
      </w:r>
      <w:r w:rsidR="00467D7F">
        <w:rPr>
          <w:rFonts w:cs="Segoe UI"/>
        </w:rPr>
        <w:t xml:space="preserve"> the employment of around 6,000 </w:t>
      </w:r>
      <w:r w:rsidRPr="00CE60B2">
        <w:rPr>
          <w:rFonts w:cs="Segoe UI"/>
        </w:rPr>
        <w:t>people, showing the importance of local processing facilities to generating regional economic activity from the industry.</w:t>
      </w:r>
    </w:p>
    <w:p w14:paraId="26ABD50A" w14:textId="77777777" w:rsidR="00DB0466" w:rsidRPr="00CE60B2" w:rsidRDefault="00DB0466" w:rsidP="00DB0466">
      <w:pPr>
        <w:rPr>
          <w:rFonts w:cs="Segoe UI"/>
        </w:rPr>
      </w:pPr>
      <w:r w:rsidRPr="00CE60B2">
        <w:rPr>
          <w:rFonts w:cs="Segoe UI"/>
        </w:rPr>
        <w:t xml:space="preserve">The Schirmer report found that, </w:t>
      </w:r>
      <w:r>
        <w:rPr>
          <w:rFonts w:cs="Segoe UI"/>
        </w:rPr>
        <w:t>‘</w:t>
      </w:r>
      <w:r w:rsidRPr="00962D54">
        <w:rPr>
          <w:rFonts w:cs="Segoe UI"/>
        </w:rPr>
        <w:t>overall, the number of jobs generated by the industry has declined significantly since 2006, although employment generated by hardwood plantations has grown. The majority of jobs generated by the industry are generated by the processing sector, as is the majority of the flow-on economic impact of the industry. This highlights the importance of local processing of wood and fibre for generation of jobs from the industry; fewer jobs are created if logs are harvested and exported with no or little processing’.</w:t>
      </w:r>
    </w:p>
    <w:p w14:paraId="26ABD50B" w14:textId="77777777" w:rsidR="00DB0466" w:rsidRPr="00CE60B2" w:rsidRDefault="00DB0466" w:rsidP="00DB0466">
      <w:pPr>
        <w:rPr>
          <w:rFonts w:cs="Segoe UI"/>
          <w:i/>
        </w:rPr>
      </w:pPr>
      <w:r w:rsidRPr="00CE60B2">
        <w:rPr>
          <w:rFonts w:cs="Segoe UI"/>
          <w:i/>
        </w:rPr>
        <w:t>Non-wood forests products and services</w:t>
      </w:r>
    </w:p>
    <w:p w14:paraId="26ABD50C" w14:textId="77777777" w:rsidR="00DB0466" w:rsidRPr="00CE60B2" w:rsidRDefault="00DB0466" w:rsidP="00DB0466">
      <w:pPr>
        <w:rPr>
          <w:rFonts w:cs="Segoe UI"/>
        </w:rPr>
      </w:pPr>
      <w:r w:rsidRPr="00CE60B2">
        <w:rPr>
          <w:rFonts w:cs="Segoe UI"/>
        </w:rPr>
        <w:t xml:space="preserve">As indicated previously, the forest sector produces many products and services other than forestry and wood products. These include; apiary, grazing, sand, rock and gravel extraction, telecommunication sites, and forest based tourism. Employment associated with the collection, processing and sale of these other products and services is classified by ABS in non-forestry categories that cannot be isolated. </w:t>
      </w:r>
    </w:p>
    <w:p w14:paraId="26ABD50D" w14:textId="77777777" w:rsidR="00DB0466" w:rsidRPr="00CE60B2" w:rsidRDefault="00DB0466" w:rsidP="00DB0466">
      <w:pPr>
        <w:pStyle w:val="Heading4"/>
        <w:rPr>
          <w:rFonts w:cs="Segoe UI"/>
        </w:rPr>
      </w:pPr>
      <w:r w:rsidRPr="00CE60B2">
        <w:rPr>
          <w:rFonts w:cs="Segoe UI"/>
        </w:rPr>
        <w:t>Indirect employment</w:t>
      </w:r>
    </w:p>
    <w:p w14:paraId="26ABD50E" w14:textId="77777777" w:rsidR="00DB0466" w:rsidRDefault="00DB0466" w:rsidP="00DB0466">
      <w:pPr>
        <w:rPr>
          <w:rFonts w:cs="Segoe UI"/>
        </w:rPr>
      </w:pPr>
      <w:r w:rsidRPr="00CE60B2">
        <w:rPr>
          <w:rFonts w:cs="Segoe UI"/>
        </w:rPr>
        <w:t>Like any economic activity, the forest sector creates indirect (‘flow on’) employment as a result of spending by forest sector businesses and workers.</w:t>
      </w:r>
    </w:p>
    <w:p w14:paraId="26ABD50F" w14:textId="77777777" w:rsidR="00DB0466" w:rsidRPr="00CE60B2" w:rsidRDefault="00DB0466" w:rsidP="00DB0466">
      <w:pPr>
        <w:rPr>
          <w:rFonts w:cs="Segoe UI"/>
        </w:rPr>
      </w:pPr>
      <w:r>
        <w:rPr>
          <w:rFonts w:cs="Segoe UI"/>
        </w:rPr>
        <w:t xml:space="preserve">Schirmer </w:t>
      </w:r>
      <w:r w:rsidRPr="00AF0C16">
        <w:rPr>
          <w:rFonts w:cs="Segoe UI"/>
          <w:i/>
        </w:rPr>
        <w:t>et al</w:t>
      </w:r>
      <w:r>
        <w:rPr>
          <w:rFonts w:cs="Segoe UI"/>
        </w:rPr>
        <w:t xml:space="preserve">. (2017) calculated that 2,456 indirect jobs were generated in WA by the forest industry, primarily through the demand from the spending of wages and salaries by workers, plus the plantation industry demand for supplies, fuel and mechanical servicing. Up to the point of primary processing, modelling suggests that every direct job in the industry generates 2.2 indirect jobs in the region. </w:t>
      </w:r>
    </w:p>
    <w:p w14:paraId="26ABD510" w14:textId="77777777" w:rsidR="00DB0466" w:rsidRPr="00CE60B2" w:rsidRDefault="00DB0466" w:rsidP="00DB0466">
      <w:pPr>
        <w:rPr>
          <w:rFonts w:cs="Segoe UI"/>
        </w:rPr>
      </w:pPr>
      <w:r w:rsidRPr="00CE60B2">
        <w:rPr>
          <w:rFonts w:cs="Segoe UI"/>
        </w:rPr>
        <w:t xml:space="preserve">Many input–output studies have been undertaken to identify downstream impacts of the industry as a whole for a defined region, but this has still resulted in reasonably limited </w:t>
      </w:r>
      <w:r w:rsidRPr="00CE60B2">
        <w:rPr>
          <w:rFonts w:cs="Segoe UI"/>
        </w:rPr>
        <w:lastRenderedPageBreak/>
        <w:t>coverage of different regions, and has rarely examined the downstream impacts of native forest and plantation related activities separately (Schirmer</w:t>
      </w:r>
      <w:r>
        <w:rPr>
          <w:rFonts w:cs="Segoe UI"/>
        </w:rPr>
        <w:t xml:space="preserve"> </w:t>
      </w:r>
      <w:r w:rsidRPr="005D4103">
        <w:rPr>
          <w:rFonts w:cs="Segoe UI"/>
          <w:i/>
        </w:rPr>
        <w:t>et al.</w:t>
      </w:r>
      <w:r>
        <w:rPr>
          <w:rFonts w:cs="Segoe UI"/>
        </w:rPr>
        <w:t> </w:t>
      </w:r>
      <w:r w:rsidRPr="00CE60B2">
        <w:rPr>
          <w:rFonts w:cs="Segoe UI"/>
        </w:rPr>
        <w:t>2008).</w:t>
      </w:r>
    </w:p>
    <w:p w14:paraId="26ABD511" w14:textId="5865BE48" w:rsidR="00DB0466" w:rsidRPr="00CE60B2" w:rsidRDefault="00DB0466" w:rsidP="00DB0466">
      <w:pPr>
        <w:rPr>
          <w:rFonts w:cs="Segoe UI"/>
        </w:rPr>
      </w:pPr>
      <w:r w:rsidRPr="00CE60B2">
        <w:rPr>
          <w:rFonts w:cs="Segoe UI"/>
        </w:rPr>
        <w:t>Census employment data for the accommodation and food and beverage service sector shows consistent growth within the RFA region, highlighting that opportunities may exist to create more employment in forest-based tourism and recreation.</w:t>
      </w:r>
    </w:p>
    <w:p w14:paraId="26ABD512" w14:textId="77777777" w:rsidR="00DB510B" w:rsidRPr="00CE60B2" w:rsidRDefault="00DB510B" w:rsidP="000F6020">
      <w:pPr>
        <w:pStyle w:val="Heading3"/>
        <w:rPr>
          <w:lang w:eastAsia="en-AU"/>
        </w:rPr>
      </w:pPr>
      <w:bookmarkStart w:id="184" w:name="_Toc2776069"/>
      <w:r w:rsidRPr="00CE60B2">
        <w:rPr>
          <w:lang w:eastAsia="en-AU"/>
        </w:rPr>
        <w:t>Indicator 6.5c</w:t>
      </w:r>
      <w:r w:rsidRPr="00CE60B2">
        <w:rPr>
          <w:lang w:eastAsia="en-AU"/>
        </w:rPr>
        <w:tab/>
        <w:t>Resilience of forest dependent communities to changing social and economic conditions</w:t>
      </w:r>
      <w:bookmarkEnd w:id="182"/>
      <w:bookmarkEnd w:id="184"/>
    </w:p>
    <w:p w14:paraId="26ABD513" w14:textId="77777777" w:rsidR="00475AAE" w:rsidRPr="00CE60B2" w:rsidRDefault="006F03CA" w:rsidP="00475AAE">
      <w:pPr>
        <w:autoSpaceDE w:val="0"/>
        <w:autoSpaceDN w:val="0"/>
        <w:adjustRightInd w:val="0"/>
        <w:spacing w:before="0" w:after="0"/>
        <w:rPr>
          <w:rFonts w:cs="Segoe UI"/>
          <w:color w:val="000000" w:themeColor="text1"/>
        </w:rPr>
      </w:pPr>
      <w:r w:rsidRPr="00CE60B2">
        <w:rPr>
          <w:rFonts w:cs="Segoe UI"/>
          <w:color w:val="000000" w:themeColor="text1"/>
        </w:rPr>
        <w:t>This indicator provides a measure of the extent to which forest dependent communities are able to respond and adapt to change successfully.</w:t>
      </w:r>
      <w:r w:rsidRPr="00CE60B2">
        <w:rPr>
          <w:rFonts w:cs="Segoe UI"/>
        </w:rPr>
        <w:t xml:space="preserve"> </w:t>
      </w:r>
      <w:r w:rsidR="00475AAE" w:rsidRPr="00CE60B2">
        <w:rPr>
          <w:rFonts w:cs="Segoe UI"/>
          <w:color w:val="000000" w:themeColor="text1"/>
        </w:rPr>
        <w:t xml:space="preserve">Resilient forest </w:t>
      </w:r>
      <w:r w:rsidR="005F30AA" w:rsidRPr="00CE60B2">
        <w:rPr>
          <w:rFonts w:cs="Segoe UI"/>
          <w:color w:val="000000" w:themeColor="text1"/>
        </w:rPr>
        <w:t>dependent</w:t>
      </w:r>
      <w:r w:rsidR="00475AAE" w:rsidRPr="00CE60B2">
        <w:rPr>
          <w:rFonts w:cs="Segoe UI"/>
          <w:color w:val="000000" w:themeColor="text1"/>
        </w:rPr>
        <w:t xml:space="preserve"> communities will adapt to changing social and economic conditions, ensuring they remain viable into the future.</w:t>
      </w:r>
    </w:p>
    <w:p w14:paraId="26ABD514" w14:textId="77777777" w:rsidR="006F03CA" w:rsidRPr="00CE60B2" w:rsidRDefault="006F03CA" w:rsidP="006F03CA">
      <w:pPr>
        <w:tabs>
          <w:tab w:val="left" w:pos="-142"/>
        </w:tabs>
        <w:spacing w:before="240"/>
        <w:rPr>
          <w:rFonts w:cs="Segoe UI"/>
          <w:color w:val="000000" w:themeColor="text1"/>
        </w:rPr>
      </w:pPr>
      <w:r w:rsidRPr="00CE60B2">
        <w:rPr>
          <w:rFonts w:cs="Segoe UI"/>
        </w:rPr>
        <w:t xml:space="preserve">This indicator considers only the dependence of communities on the forest and wood products industries, and not on other forest activities </w:t>
      </w:r>
      <w:r w:rsidR="00475AAE" w:rsidRPr="00CE60B2">
        <w:rPr>
          <w:rFonts w:cs="Segoe UI"/>
        </w:rPr>
        <w:t xml:space="preserve">or services </w:t>
      </w:r>
      <w:r w:rsidRPr="00CE60B2">
        <w:rPr>
          <w:rFonts w:cs="Segoe UI"/>
        </w:rPr>
        <w:t xml:space="preserve">such as tourism or grazing. </w:t>
      </w:r>
    </w:p>
    <w:p w14:paraId="26ABD515" w14:textId="77777777" w:rsidR="006F03CA" w:rsidRPr="00CE60B2" w:rsidRDefault="006F03CA" w:rsidP="000F6020">
      <w:pPr>
        <w:pStyle w:val="Heading4"/>
        <w:rPr>
          <w:rFonts w:cs="Segoe UI"/>
        </w:rPr>
      </w:pPr>
      <w:r w:rsidRPr="00CE60B2">
        <w:rPr>
          <w:rFonts w:cs="Segoe UI"/>
        </w:rPr>
        <w:t xml:space="preserve">Community resilience in the </w:t>
      </w:r>
      <w:r w:rsidR="00070B21" w:rsidRPr="00CE60B2">
        <w:rPr>
          <w:rFonts w:cs="Segoe UI"/>
        </w:rPr>
        <w:t xml:space="preserve">WA RFA </w:t>
      </w:r>
      <w:r w:rsidRPr="00CE60B2">
        <w:rPr>
          <w:rFonts w:cs="Segoe UI"/>
        </w:rPr>
        <w:t>region</w:t>
      </w:r>
    </w:p>
    <w:p w14:paraId="26ABD516" w14:textId="77777777" w:rsidR="00E40B48" w:rsidRPr="00CE60B2" w:rsidRDefault="008C45D7" w:rsidP="00E40B48">
      <w:pPr>
        <w:rPr>
          <w:rFonts w:cs="Segoe UI"/>
        </w:rPr>
      </w:pPr>
      <w:r>
        <w:rPr>
          <w:rFonts w:cs="Segoe UI"/>
        </w:rPr>
        <w:t xml:space="preserve">The WA forest industry has been a traditional driver for regional communities. </w:t>
      </w:r>
      <w:r w:rsidR="00E40B48" w:rsidRPr="00CE60B2">
        <w:rPr>
          <w:rFonts w:cs="Segoe UI"/>
        </w:rPr>
        <w:t>WA’s forest dependent communities faced a broad variety of change events during the WA</w:t>
      </w:r>
      <w:r w:rsidR="00C052CE">
        <w:rPr>
          <w:rFonts w:cs="Segoe UI"/>
        </w:rPr>
        <w:t> </w:t>
      </w:r>
      <w:r w:rsidR="00E40B48" w:rsidRPr="00CE60B2">
        <w:rPr>
          <w:rFonts w:cs="Segoe UI"/>
        </w:rPr>
        <w:t xml:space="preserve">RFA period, including local industry restructures, natural disasters, social conflict changing economic conditions and the impacts of policy decisions. Schirmer </w:t>
      </w:r>
      <w:r w:rsidR="004414DF">
        <w:rPr>
          <w:rFonts w:cs="Segoe UI"/>
        </w:rPr>
        <w:t xml:space="preserve">et al. (2017) </w:t>
      </w:r>
      <w:r w:rsidR="00E40B48" w:rsidRPr="00CE60B2">
        <w:rPr>
          <w:rFonts w:cs="Segoe UI"/>
        </w:rPr>
        <w:t>found that those living in communities where the industry operates view these communities just as, or slightly more, liveable than those living in communities with little industry activity.</w:t>
      </w:r>
      <w:r>
        <w:rPr>
          <w:rFonts w:cs="Segoe UI"/>
        </w:rPr>
        <w:t xml:space="preserve"> Within the RFA area, there is a range of community dependence on the forest industries. </w:t>
      </w:r>
    </w:p>
    <w:p w14:paraId="26ABD517" w14:textId="77777777" w:rsidR="00E40B48" w:rsidRPr="00CE60B2" w:rsidRDefault="00E40B48" w:rsidP="00E40B48">
      <w:pPr>
        <w:spacing w:after="0"/>
        <w:rPr>
          <w:rFonts w:cs="Segoe UI"/>
        </w:rPr>
      </w:pPr>
      <w:r w:rsidRPr="00CE60B2">
        <w:rPr>
          <w:rFonts w:cs="Segoe UI"/>
        </w:rPr>
        <w:t xml:space="preserve">State-wide policy supports the local communities dependent on </w:t>
      </w:r>
      <w:r w:rsidR="007E1E8F">
        <w:rPr>
          <w:rFonts w:cs="Segoe UI"/>
        </w:rPr>
        <w:t>the</w:t>
      </w:r>
      <w:r w:rsidR="00AF25E1">
        <w:rPr>
          <w:rFonts w:cs="Segoe UI"/>
        </w:rPr>
        <w:t xml:space="preserve"> FPC and</w:t>
      </w:r>
      <w:r w:rsidR="008A4C96">
        <w:rPr>
          <w:rFonts w:cs="Segoe UI"/>
        </w:rPr>
        <w:t xml:space="preserve"> </w:t>
      </w:r>
      <w:r w:rsidRPr="00CE60B2">
        <w:rPr>
          <w:rFonts w:cs="Segoe UI"/>
        </w:rPr>
        <w:t xml:space="preserve">forest industry through its buy local policies, the </w:t>
      </w:r>
      <w:r w:rsidRPr="00CE60B2">
        <w:rPr>
          <w:rFonts w:cs="Segoe UI"/>
          <w:i/>
        </w:rPr>
        <w:t>Softwood Industry Strategy for Western Australia</w:t>
      </w:r>
      <w:r w:rsidRPr="00CE60B2">
        <w:rPr>
          <w:rFonts w:cs="Segoe UI"/>
        </w:rPr>
        <w:t xml:space="preserve"> (FPC</w:t>
      </w:r>
      <w:r w:rsidR="00C052CE">
        <w:rPr>
          <w:rFonts w:cs="Segoe UI"/>
        </w:rPr>
        <w:t> </w:t>
      </w:r>
      <w:r w:rsidRPr="00CE60B2">
        <w:rPr>
          <w:rFonts w:cs="Segoe UI"/>
        </w:rPr>
        <w:t>2016) and conditions of the contracts of sale of forest products.</w:t>
      </w:r>
    </w:p>
    <w:p w14:paraId="26ABD518" w14:textId="77777777" w:rsidR="00E40B48" w:rsidRPr="00CE60B2" w:rsidRDefault="00E40B48" w:rsidP="00E40B48">
      <w:pPr>
        <w:rPr>
          <w:rFonts w:cs="Segoe UI"/>
        </w:rPr>
      </w:pPr>
      <w:r w:rsidRPr="00CE60B2">
        <w:rPr>
          <w:rFonts w:cs="Segoe UI"/>
        </w:rPr>
        <w:t>The positive figures regarding the employment and social benefits from the forest industry are a combined result of industry confidence and investment in new processing technologies and consolidation of operations to improve operational efficiencies.</w:t>
      </w:r>
    </w:p>
    <w:p w14:paraId="26ABD519" w14:textId="77777777" w:rsidR="00E40B48" w:rsidRPr="00CE60B2" w:rsidRDefault="00E40B48" w:rsidP="00E40B48">
      <w:pPr>
        <w:spacing w:after="0"/>
        <w:rPr>
          <w:rFonts w:cs="Segoe UI"/>
        </w:rPr>
      </w:pPr>
      <w:r w:rsidRPr="00CE60B2">
        <w:rPr>
          <w:rFonts w:cs="Segoe UI"/>
        </w:rPr>
        <w:t>The FPC continues to work proactively with industry and the community facilitating a vibrant industry that makes a positive contribution to regional communities by:</w:t>
      </w:r>
    </w:p>
    <w:p w14:paraId="26ABD51A" w14:textId="71C65817" w:rsidR="00E40B48" w:rsidRPr="00A42B5E" w:rsidRDefault="00E40B48" w:rsidP="00C903EE">
      <w:pPr>
        <w:pStyle w:val="ListParagraph"/>
        <w:numPr>
          <w:ilvl w:val="0"/>
          <w:numId w:val="51"/>
        </w:numPr>
        <w:spacing w:before="80" w:after="80"/>
        <w:rPr>
          <w:rFonts w:cs="Segoe UI"/>
        </w:rPr>
      </w:pPr>
      <w:r w:rsidRPr="00A42B5E">
        <w:rPr>
          <w:rFonts w:cs="Segoe UI"/>
        </w:rPr>
        <w:t>adopting policy settings that support increased value-adding and local processing of high value timber and other bole volume</w:t>
      </w:r>
    </w:p>
    <w:p w14:paraId="26ABD51B" w14:textId="4F6EEB22" w:rsidR="00E40B48" w:rsidRPr="00A42B5E" w:rsidRDefault="00E40B48" w:rsidP="00C903EE">
      <w:pPr>
        <w:pStyle w:val="ListParagraph"/>
        <w:numPr>
          <w:ilvl w:val="0"/>
          <w:numId w:val="51"/>
        </w:numPr>
        <w:spacing w:before="80" w:after="80"/>
        <w:rPr>
          <w:rFonts w:cs="Segoe UI"/>
        </w:rPr>
      </w:pPr>
      <w:r w:rsidRPr="00A42B5E">
        <w:rPr>
          <w:rFonts w:cs="Segoe UI"/>
        </w:rPr>
        <w:t>building on the strength of the industry as a manufacturer of locally grown timber;</w:t>
      </w:r>
    </w:p>
    <w:p w14:paraId="26ABD51C" w14:textId="3815881B" w:rsidR="00E40B48" w:rsidRPr="00A42B5E" w:rsidRDefault="00E40B48" w:rsidP="00C903EE">
      <w:pPr>
        <w:pStyle w:val="ListParagraph"/>
        <w:numPr>
          <w:ilvl w:val="0"/>
          <w:numId w:val="51"/>
        </w:numPr>
        <w:spacing w:before="80" w:after="80"/>
        <w:rPr>
          <w:rFonts w:cs="Segoe UI"/>
        </w:rPr>
      </w:pPr>
      <w:r w:rsidRPr="00A42B5E">
        <w:rPr>
          <w:rFonts w:cs="Segoe UI"/>
        </w:rPr>
        <w:t>improving engagement with the community to promote greater understanding of the benefits brought by the industry to local communities</w:t>
      </w:r>
    </w:p>
    <w:p w14:paraId="26ABD51D" w14:textId="126895E2" w:rsidR="00E40B48" w:rsidRPr="00A42B5E" w:rsidRDefault="00E40B48" w:rsidP="00C903EE">
      <w:pPr>
        <w:pStyle w:val="ListParagraph"/>
        <w:numPr>
          <w:ilvl w:val="0"/>
          <w:numId w:val="51"/>
        </w:numPr>
        <w:spacing w:before="80" w:after="80"/>
        <w:rPr>
          <w:rFonts w:cs="Segoe UI"/>
        </w:rPr>
      </w:pPr>
      <w:r w:rsidRPr="00A42B5E">
        <w:rPr>
          <w:rFonts w:cs="Segoe UI"/>
        </w:rPr>
        <w:t>ensuring that monitoring of the socio-economic impacts of the forest industry is continued.</w:t>
      </w:r>
    </w:p>
    <w:p w14:paraId="26ABD51E" w14:textId="77777777" w:rsidR="0021315C" w:rsidRPr="00CE60B2" w:rsidRDefault="0021315C" w:rsidP="0021315C">
      <w:pPr>
        <w:rPr>
          <w:rFonts w:cs="Segoe UI"/>
        </w:rPr>
      </w:pPr>
      <w:r w:rsidRPr="00CE60B2">
        <w:rPr>
          <w:rFonts w:cs="Segoe UI"/>
        </w:rPr>
        <w:t xml:space="preserve">The WA forest industry has undergone significant change since the implementation of the RFA as a result of </w:t>
      </w:r>
      <w:r w:rsidR="004111F3">
        <w:rPr>
          <w:rFonts w:cs="Segoe UI"/>
        </w:rPr>
        <w:t xml:space="preserve">the </w:t>
      </w:r>
      <w:r w:rsidR="004111F3" w:rsidRPr="00066E02">
        <w:rPr>
          <w:rFonts w:cs="Segoe UI"/>
          <w:i/>
        </w:rPr>
        <w:t>Protecting our Old-</w:t>
      </w:r>
      <w:r w:rsidR="00D5614E">
        <w:rPr>
          <w:rFonts w:cs="Segoe UI"/>
          <w:i/>
        </w:rPr>
        <w:t>g</w:t>
      </w:r>
      <w:r w:rsidR="004111F3" w:rsidRPr="00066E02">
        <w:rPr>
          <w:rFonts w:cs="Segoe UI"/>
          <w:i/>
        </w:rPr>
        <w:t>rowth Forests</w:t>
      </w:r>
      <w:r w:rsidR="004111F3">
        <w:rPr>
          <w:rFonts w:cs="Segoe UI"/>
        </w:rPr>
        <w:t xml:space="preserve"> policy that had the effect of reduced </w:t>
      </w:r>
      <w:r w:rsidRPr="00CE60B2">
        <w:rPr>
          <w:rFonts w:cs="Segoe UI"/>
        </w:rPr>
        <w:t>resource availability</w:t>
      </w:r>
      <w:r w:rsidR="004111F3">
        <w:rPr>
          <w:rFonts w:cs="Segoe UI"/>
        </w:rPr>
        <w:t xml:space="preserve"> and a</w:t>
      </w:r>
      <w:r w:rsidRPr="00CE60B2">
        <w:rPr>
          <w:rFonts w:cs="Segoe UI"/>
        </w:rPr>
        <w:t xml:space="preserve"> </w:t>
      </w:r>
      <w:r w:rsidR="008A4C96">
        <w:rPr>
          <w:rFonts w:cs="Segoe UI"/>
        </w:rPr>
        <w:t>de</w:t>
      </w:r>
      <w:r w:rsidR="008A4C96" w:rsidRPr="00CE60B2">
        <w:rPr>
          <w:rFonts w:cs="Segoe UI"/>
        </w:rPr>
        <w:t>crease</w:t>
      </w:r>
      <w:r w:rsidR="004111F3">
        <w:rPr>
          <w:rFonts w:cs="Segoe UI"/>
        </w:rPr>
        <w:t xml:space="preserve"> in</w:t>
      </w:r>
      <w:r w:rsidRPr="00CE60B2">
        <w:rPr>
          <w:rFonts w:cs="Segoe UI"/>
        </w:rPr>
        <w:t xml:space="preserve"> log size and quality. </w:t>
      </w:r>
      <w:r w:rsidR="004111F3">
        <w:rPr>
          <w:rFonts w:cs="Segoe UI"/>
        </w:rPr>
        <w:t xml:space="preserve">In response to these changes, </w:t>
      </w:r>
      <w:r w:rsidR="00DB0466" w:rsidRPr="00DB0466">
        <w:rPr>
          <w:rFonts w:cs="Segoe UI"/>
        </w:rPr>
        <w:t>and through improvements in manufacturing efficiency,</w:t>
      </w:r>
      <w:r w:rsidR="00DB0466">
        <w:rPr>
          <w:rFonts w:cs="Segoe UI"/>
        </w:rPr>
        <w:t xml:space="preserve"> </w:t>
      </w:r>
      <w:r w:rsidR="004111F3" w:rsidRPr="00DB0466">
        <w:rPr>
          <w:rFonts w:cs="Segoe UI"/>
        </w:rPr>
        <w:t>there</w:t>
      </w:r>
      <w:r w:rsidR="004111F3">
        <w:rPr>
          <w:rFonts w:cs="Segoe UI"/>
        </w:rPr>
        <w:t xml:space="preserve"> has been consolidation of processing infrastructure with t</w:t>
      </w:r>
      <w:r w:rsidRPr="00CE60B2">
        <w:rPr>
          <w:rFonts w:cs="Segoe UI"/>
        </w:rPr>
        <w:t>he number of sawmills decreas</w:t>
      </w:r>
      <w:r w:rsidR="004111F3">
        <w:rPr>
          <w:rFonts w:cs="Segoe UI"/>
        </w:rPr>
        <w:t>ing</w:t>
      </w:r>
      <w:r w:rsidRPr="00CE60B2">
        <w:rPr>
          <w:rFonts w:cs="Segoe UI"/>
        </w:rPr>
        <w:t xml:space="preserve"> from 40 in 2001 to 17 in </w:t>
      </w:r>
      <w:r w:rsidR="008C45D7">
        <w:rPr>
          <w:rFonts w:cs="Segoe UI"/>
        </w:rPr>
        <w:lastRenderedPageBreak/>
        <w:t xml:space="preserve">2012. The sawmills that remain </w:t>
      </w:r>
      <w:r w:rsidRPr="00CE60B2">
        <w:rPr>
          <w:rFonts w:cs="Segoe UI"/>
        </w:rPr>
        <w:t>i</w:t>
      </w:r>
      <w:r w:rsidR="008C45D7">
        <w:rPr>
          <w:rFonts w:cs="Segoe UI"/>
        </w:rPr>
        <w:t>n</w:t>
      </w:r>
      <w:r w:rsidRPr="00CE60B2">
        <w:rPr>
          <w:rFonts w:cs="Segoe UI"/>
        </w:rPr>
        <w:t xml:space="preserve"> the industry, particularly the larger mills, have invested in new equipment and value</w:t>
      </w:r>
      <w:r w:rsidR="004111F3">
        <w:rPr>
          <w:rFonts w:cs="Segoe UI"/>
        </w:rPr>
        <w:t>-</w:t>
      </w:r>
      <w:r w:rsidRPr="00CE60B2">
        <w:rPr>
          <w:rFonts w:cs="Segoe UI"/>
        </w:rPr>
        <w:t xml:space="preserve">adding technology to maximise value from the logs they receive. </w:t>
      </w:r>
      <w:r w:rsidR="004111F3">
        <w:rPr>
          <w:rFonts w:cs="Segoe UI"/>
        </w:rPr>
        <w:t xml:space="preserve">During the implementation of the </w:t>
      </w:r>
      <w:r w:rsidRPr="00066E02">
        <w:rPr>
          <w:rFonts w:cs="Segoe UI"/>
          <w:i/>
        </w:rPr>
        <w:t xml:space="preserve">Protecting our </w:t>
      </w:r>
      <w:r w:rsidR="00D5614E">
        <w:rPr>
          <w:rFonts w:cs="Segoe UI"/>
          <w:i/>
        </w:rPr>
        <w:t>O</w:t>
      </w:r>
      <w:r w:rsidRPr="00066E02">
        <w:rPr>
          <w:rFonts w:cs="Segoe UI"/>
          <w:i/>
        </w:rPr>
        <w:t>ld</w:t>
      </w:r>
      <w:r w:rsidR="00374243" w:rsidRPr="00066E02">
        <w:rPr>
          <w:rFonts w:cs="Segoe UI"/>
          <w:i/>
        </w:rPr>
        <w:t>-</w:t>
      </w:r>
      <w:r w:rsidRPr="00066E02">
        <w:rPr>
          <w:rFonts w:cs="Segoe UI"/>
          <w:i/>
        </w:rPr>
        <w:t xml:space="preserve">growth </w:t>
      </w:r>
      <w:r w:rsidR="00D5614E">
        <w:rPr>
          <w:rFonts w:cs="Segoe UI"/>
          <w:i/>
        </w:rPr>
        <w:t>F</w:t>
      </w:r>
      <w:r w:rsidRPr="00066E02">
        <w:rPr>
          <w:rFonts w:cs="Segoe UI"/>
          <w:i/>
        </w:rPr>
        <w:t>orests</w:t>
      </w:r>
      <w:r w:rsidR="00467D7F">
        <w:rPr>
          <w:rFonts w:cs="Segoe UI"/>
        </w:rPr>
        <w:t xml:space="preserve"> policy, a $161 </w:t>
      </w:r>
      <w:r w:rsidRPr="00CE60B2">
        <w:rPr>
          <w:rFonts w:cs="Segoe UI"/>
        </w:rPr>
        <w:t xml:space="preserve">million </w:t>
      </w:r>
      <w:r w:rsidR="004111F3">
        <w:rPr>
          <w:rFonts w:cs="Segoe UI"/>
        </w:rPr>
        <w:t xml:space="preserve">compensation and </w:t>
      </w:r>
      <w:r w:rsidRPr="00CE60B2">
        <w:rPr>
          <w:rFonts w:cs="Segoe UI"/>
        </w:rPr>
        <w:t xml:space="preserve">assistance program was </w:t>
      </w:r>
      <w:r w:rsidR="004111F3">
        <w:rPr>
          <w:rFonts w:cs="Segoe UI"/>
        </w:rPr>
        <w:t>developed</w:t>
      </w:r>
      <w:r w:rsidRPr="00CE60B2">
        <w:rPr>
          <w:rFonts w:cs="Segoe UI"/>
        </w:rPr>
        <w:t>, including a workers</w:t>
      </w:r>
      <w:r w:rsidR="004111F3">
        <w:rPr>
          <w:rFonts w:cs="Segoe UI"/>
        </w:rPr>
        <w:t>’</w:t>
      </w:r>
      <w:r w:rsidR="00467D7F">
        <w:rPr>
          <w:rFonts w:cs="Segoe UI"/>
        </w:rPr>
        <w:t xml:space="preserve"> assistance program of $27.3 </w:t>
      </w:r>
      <w:r w:rsidRPr="00CE60B2">
        <w:rPr>
          <w:rFonts w:cs="Segoe UI"/>
        </w:rPr>
        <w:t>million to assist workers made redundant as a result of the policy.</w:t>
      </w:r>
      <w:r w:rsidR="004111F3">
        <w:rPr>
          <w:rFonts w:cs="Segoe UI"/>
        </w:rPr>
        <w:t xml:space="preserve"> There was delivery on initiatives to retool for value-adding at the Pemberton karri mill and a laminated veneer lumber plant in Donnybr</w:t>
      </w:r>
      <w:r w:rsidR="00906BE6">
        <w:rPr>
          <w:rFonts w:cs="Segoe UI"/>
        </w:rPr>
        <w:t xml:space="preserve">ook plus promotion </w:t>
      </w:r>
      <w:r w:rsidR="002D56EB">
        <w:rPr>
          <w:rFonts w:cs="Segoe UI"/>
        </w:rPr>
        <w:t>of</w:t>
      </w:r>
      <w:r w:rsidR="00467D7F">
        <w:rPr>
          <w:rFonts w:cs="Segoe UI"/>
        </w:rPr>
        <w:t xml:space="preserve"> greater value adding (URS </w:t>
      </w:r>
      <w:r w:rsidR="00906BE6">
        <w:rPr>
          <w:rFonts w:cs="Segoe UI"/>
        </w:rPr>
        <w:t>2012)</w:t>
      </w:r>
    </w:p>
    <w:p w14:paraId="26ABD51F" w14:textId="77777777" w:rsidR="008E317B" w:rsidRPr="00CE60B2" w:rsidRDefault="008E317B" w:rsidP="000F6020">
      <w:pPr>
        <w:pStyle w:val="Heading4"/>
        <w:rPr>
          <w:rFonts w:cs="Segoe UI"/>
          <w:color w:val="276ABB" w:themeColor="accent1"/>
        </w:rPr>
      </w:pPr>
      <w:r w:rsidRPr="00CE60B2">
        <w:rPr>
          <w:rFonts w:cs="Segoe UI"/>
          <w:color w:val="276ABB" w:themeColor="accent1"/>
        </w:rPr>
        <w:t>Training/ skills development.</w:t>
      </w:r>
    </w:p>
    <w:p w14:paraId="26ABD520" w14:textId="719E7E76" w:rsidR="009F46DD" w:rsidRPr="00CE60B2" w:rsidRDefault="009F46DD" w:rsidP="008E317B">
      <w:pPr>
        <w:rPr>
          <w:rFonts w:cs="Segoe UI"/>
        </w:rPr>
      </w:pPr>
      <w:r>
        <w:rPr>
          <w:rFonts w:cs="Segoe UI"/>
        </w:rPr>
        <w:t>Most of the jobs in the WA</w:t>
      </w:r>
      <w:r w:rsidR="001A2580">
        <w:rPr>
          <w:rFonts w:cs="Segoe UI"/>
        </w:rPr>
        <w:t xml:space="preserve"> </w:t>
      </w:r>
      <w:r>
        <w:rPr>
          <w:rFonts w:cs="Segoe UI"/>
        </w:rPr>
        <w:t xml:space="preserve">forest industry </w:t>
      </w:r>
      <w:r w:rsidR="00A42B5E">
        <w:rPr>
          <w:rFonts w:cs="Segoe UI"/>
        </w:rPr>
        <w:t>are in</w:t>
      </w:r>
      <w:r>
        <w:rPr>
          <w:rFonts w:cs="Segoe UI"/>
        </w:rPr>
        <w:t xml:space="preserve"> only a few local government areas, namely Albany, Bunbury and Manjimup. </w:t>
      </w:r>
      <w:r w:rsidR="00072FBA">
        <w:rPr>
          <w:rFonts w:cs="Segoe UI"/>
        </w:rPr>
        <w:t>T</w:t>
      </w:r>
      <w:r>
        <w:rPr>
          <w:rFonts w:cs="Segoe UI"/>
        </w:rPr>
        <w:t>he local government areas with the highest proportion of forest industry emplo</w:t>
      </w:r>
      <w:r w:rsidR="002E191A">
        <w:rPr>
          <w:rFonts w:cs="Segoe UI"/>
        </w:rPr>
        <w:t>y</w:t>
      </w:r>
      <w:r>
        <w:rPr>
          <w:rFonts w:cs="Segoe UI"/>
        </w:rPr>
        <w:t>men</w:t>
      </w:r>
      <w:r w:rsidR="002E191A">
        <w:rPr>
          <w:rFonts w:cs="Segoe UI"/>
        </w:rPr>
        <w:t>t</w:t>
      </w:r>
      <w:r>
        <w:rPr>
          <w:rFonts w:cs="Segoe UI"/>
        </w:rPr>
        <w:t xml:space="preserve"> are Nannup, Manjimup and Bridgetown-Greenbushes where employment is highly dependent on</w:t>
      </w:r>
      <w:r w:rsidR="007E1E8F">
        <w:rPr>
          <w:rFonts w:cs="Segoe UI"/>
        </w:rPr>
        <w:t xml:space="preserve"> </w:t>
      </w:r>
      <w:r>
        <w:rPr>
          <w:rFonts w:cs="Segoe UI"/>
        </w:rPr>
        <w:t xml:space="preserve">the native forest sector, with fewer jobs generated by plantations. </w:t>
      </w:r>
    </w:p>
    <w:p w14:paraId="26ABD521" w14:textId="77777777" w:rsidR="00251D4C" w:rsidRDefault="00906BE6" w:rsidP="008E317B">
      <w:pPr>
        <w:rPr>
          <w:rFonts w:cs="Segoe UI"/>
        </w:rPr>
      </w:pPr>
      <w:r>
        <w:rPr>
          <w:rFonts w:cs="Segoe UI"/>
        </w:rPr>
        <w:t xml:space="preserve">It has been recognised that the development of skills and training to specifically support the forest industry is required in the south west. This was recognised as part of the </w:t>
      </w:r>
      <w:r w:rsidRPr="00DB0466">
        <w:rPr>
          <w:rFonts w:cs="Segoe UI"/>
          <w:i/>
        </w:rPr>
        <w:t>P</w:t>
      </w:r>
      <w:r w:rsidR="0021315C" w:rsidRPr="00DB0466">
        <w:rPr>
          <w:rFonts w:cs="Segoe UI"/>
          <w:i/>
        </w:rPr>
        <w:t xml:space="preserve">rotecting our </w:t>
      </w:r>
      <w:r w:rsidRPr="00DB0466">
        <w:rPr>
          <w:rFonts w:cs="Segoe UI"/>
          <w:i/>
        </w:rPr>
        <w:t>O</w:t>
      </w:r>
      <w:r w:rsidR="00B40201" w:rsidRPr="00DB0466">
        <w:rPr>
          <w:rFonts w:cs="Segoe UI"/>
          <w:i/>
        </w:rPr>
        <w:t>ld-</w:t>
      </w:r>
      <w:r w:rsidR="00D5614E">
        <w:rPr>
          <w:rFonts w:cs="Segoe UI"/>
          <w:i/>
        </w:rPr>
        <w:t>g</w:t>
      </w:r>
      <w:r w:rsidR="00B40201" w:rsidRPr="00DB0466">
        <w:rPr>
          <w:rFonts w:cs="Segoe UI"/>
          <w:i/>
        </w:rPr>
        <w:t>rowth</w:t>
      </w:r>
      <w:r w:rsidR="0021315C" w:rsidRPr="00DB0466">
        <w:rPr>
          <w:rFonts w:cs="Segoe UI"/>
          <w:i/>
        </w:rPr>
        <w:t xml:space="preserve"> </w:t>
      </w:r>
      <w:r w:rsidRPr="00DB0466">
        <w:rPr>
          <w:rFonts w:cs="Segoe UI"/>
          <w:i/>
        </w:rPr>
        <w:t>F</w:t>
      </w:r>
      <w:r w:rsidR="0021315C" w:rsidRPr="00DB0466">
        <w:rPr>
          <w:rFonts w:cs="Segoe UI"/>
          <w:i/>
        </w:rPr>
        <w:t>orests</w:t>
      </w:r>
      <w:r w:rsidR="0021315C" w:rsidRPr="00CE60B2">
        <w:rPr>
          <w:rFonts w:cs="Segoe UI"/>
        </w:rPr>
        <w:t xml:space="preserve"> election commitment </w:t>
      </w:r>
      <w:r>
        <w:rPr>
          <w:rFonts w:cs="Segoe UI"/>
        </w:rPr>
        <w:t xml:space="preserve">which </w:t>
      </w:r>
      <w:r w:rsidR="0021315C" w:rsidRPr="00CE60B2">
        <w:rPr>
          <w:rFonts w:cs="Segoe UI"/>
        </w:rPr>
        <w:t xml:space="preserve">promised to create 100 new jobs in </w:t>
      </w:r>
      <w:r w:rsidR="00935EB4">
        <w:rPr>
          <w:rFonts w:cs="Segoe UI"/>
        </w:rPr>
        <w:t xml:space="preserve">forest management, </w:t>
      </w:r>
      <w:r w:rsidR="0021315C" w:rsidRPr="00CE60B2">
        <w:rPr>
          <w:rFonts w:cs="Segoe UI"/>
        </w:rPr>
        <w:t xml:space="preserve">30 new jobs in a jarrah and karri regrowth </w:t>
      </w:r>
      <w:r w:rsidR="000E0CE4" w:rsidRPr="00CE60B2">
        <w:rPr>
          <w:rFonts w:cs="Segoe UI"/>
        </w:rPr>
        <w:t>thinning</w:t>
      </w:r>
      <w:r w:rsidR="0021315C" w:rsidRPr="00CE60B2">
        <w:rPr>
          <w:rFonts w:cs="Segoe UI"/>
        </w:rPr>
        <w:t xml:space="preserve"> program</w:t>
      </w:r>
      <w:r w:rsidR="00935EB4">
        <w:rPr>
          <w:rFonts w:cs="Segoe UI"/>
        </w:rPr>
        <w:t xml:space="preserve"> and</w:t>
      </w:r>
      <w:r w:rsidR="00E34E8B" w:rsidRPr="00CE60B2">
        <w:rPr>
          <w:rFonts w:cs="Segoe UI"/>
        </w:rPr>
        <w:t xml:space="preserve"> 850 new direct jobs in the plantation industry. </w:t>
      </w:r>
      <w:r>
        <w:rPr>
          <w:rFonts w:cs="Segoe UI"/>
        </w:rPr>
        <w:t>URS in 2012 reported that t</w:t>
      </w:r>
      <w:r w:rsidR="00E34E8B" w:rsidRPr="00CE60B2">
        <w:rPr>
          <w:rFonts w:cs="Segoe UI"/>
        </w:rPr>
        <w:t xml:space="preserve">hese commitments </w:t>
      </w:r>
      <w:r>
        <w:rPr>
          <w:rFonts w:cs="Segoe UI"/>
        </w:rPr>
        <w:t>were</w:t>
      </w:r>
      <w:r w:rsidR="00E34E8B" w:rsidRPr="00CE60B2">
        <w:rPr>
          <w:rFonts w:cs="Segoe UI"/>
        </w:rPr>
        <w:t xml:space="preserve"> not </w:t>
      </w:r>
      <w:r w:rsidR="00066E02">
        <w:rPr>
          <w:rFonts w:cs="Segoe UI"/>
        </w:rPr>
        <w:t>delivered</w:t>
      </w:r>
      <w:r w:rsidR="00E34E8B" w:rsidRPr="00CE60B2">
        <w:rPr>
          <w:rFonts w:cs="Segoe UI"/>
        </w:rPr>
        <w:t>.</w:t>
      </w:r>
    </w:p>
    <w:p w14:paraId="26ABD522" w14:textId="77777777" w:rsidR="0021315C" w:rsidRPr="00CE60B2" w:rsidRDefault="00E34E8B" w:rsidP="008E317B">
      <w:pPr>
        <w:rPr>
          <w:rFonts w:cs="Segoe UI"/>
        </w:rPr>
      </w:pPr>
      <w:r w:rsidRPr="00CE60B2">
        <w:rPr>
          <w:rFonts w:cs="Segoe UI"/>
        </w:rPr>
        <w:t xml:space="preserve">The policy </w:t>
      </w:r>
      <w:r w:rsidR="00251D4C">
        <w:rPr>
          <w:rFonts w:cs="Segoe UI"/>
        </w:rPr>
        <w:t>recognised the potential benefits of</w:t>
      </w:r>
      <w:r w:rsidRPr="00CE60B2">
        <w:rPr>
          <w:rFonts w:cs="Segoe UI"/>
        </w:rPr>
        <w:t xml:space="preserve"> establish</w:t>
      </w:r>
      <w:r w:rsidR="00251D4C">
        <w:rPr>
          <w:rFonts w:cs="Segoe UI"/>
        </w:rPr>
        <w:t>ing</w:t>
      </w:r>
      <w:r w:rsidRPr="00CE60B2">
        <w:rPr>
          <w:rFonts w:cs="Segoe UI"/>
        </w:rPr>
        <w:t xml:space="preserve"> a TAFE course in Forest Management and Silviculture in Manjimup, an Environmental Science degree at ECU Bunbury to include forest management, silviculture and wood technology and Dwellingup and Harvey centres for tertiary units value adding, kiln drying and fine wood preparation</w:t>
      </w:r>
      <w:r w:rsidR="00251D4C">
        <w:rPr>
          <w:rFonts w:cs="Segoe UI"/>
        </w:rPr>
        <w:t>.</w:t>
      </w:r>
    </w:p>
    <w:p w14:paraId="26ABD523" w14:textId="77777777" w:rsidR="007E1E8F" w:rsidRPr="00CE60B2" w:rsidRDefault="007E1E8F" w:rsidP="007D6D16">
      <w:pPr>
        <w:rPr>
          <w:rFonts w:cs="Segoe UI"/>
        </w:rPr>
      </w:pPr>
      <w:r>
        <w:rPr>
          <w:rFonts w:cs="Segoe UI"/>
        </w:rPr>
        <w:t xml:space="preserve">FPC </w:t>
      </w:r>
      <w:r w:rsidR="00251D4C">
        <w:rPr>
          <w:rFonts w:cs="Segoe UI"/>
        </w:rPr>
        <w:t xml:space="preserve">in partnership with FIFWA </w:t>
      </w:r>
      <w:r>
        <w:rPr>
          <w:rFonts w:cs="Segoe UI"/>
        </w:rPr>
        <w:t>will begin to implement a specialised ski</w:t>
      </w:r>
      <w:r w:rsidR="00467D7F">
        <w:rPr>
          <w:rFonts w:cs="Segoe UI"/>
        </w:rPr>
        <w:t>lls verification system in 2018</w:t>
      </w:r>
      <w:r w:rsidR="00467D7F">
        <w:rPr>
          <w:rFonts w:cs="Segoe UI"/>
        </w:rPr>
        <w:noBreakHyphen/>
      </w:r>
      <w:r>
        <w:rPr>
          <w:rFonts w:cs="Segoe UI"/>
        </w:rPr>
        <w:t>19, which will allow them, and FPC contractors, to manage and assess staff and employee competency and training for their individual roles. This is one example of how the industry identifies and addresses the training needs of its workforce.</w:t>
      </w:r>
    </w:p>
    <w:p w14:paraId="26ABD524" w14:textId="77777777" w:rsidR="006F03CA" w:rsidRPr="00CE60B2" w:rsidRDefault="00070B21" w:rsidP="000F6020">
      <w:pPr>
        <w:pStyle w:val="Heading4"/>
        <w:rPr>
          <w:rFonts w:cs="Segoe UI"/>
        </w:rPr>
      </w:pPr>
      <w:r w:rsidRPr="00CE60B2">
        <w:rPr>
          <w:rFonts w:cs="Segoe UI"/>
        </w:rPr>
        <w:t>WA</w:t>
      </w:r>
      <w:r w:rsidR="006F03CA" w:rsidRPr="00CE60B2">
        <w:rPr>
          <w:rFonts w:cs="Segoe UI"/>
        </w:rPr>
        <w:t xml:space="preserve"> RFA extension consultation</w:t>
      </w:r>
    </w:p>
    <w:p w14:paraId="26ABD525" w14:textId="77777777" w:rsidR="007D6D16" w:rsidRPr="00CE60B2" w:rsidRDefault="0003561E" w:rsidP="0003561E">
      <w:pPr>
        <w:rPr>
          <w:rFonts w:cs="Segoe UI"/>
        </w:rPr>
      </w:pPr>
      <w:r w:rsidRPr="00CE60B2">
        <w:rPr>
          <w:rFonts w:cs="Segoe UI"/>
        </w:rPr>
        <w:t>St</w:t>
      </w:r>
      <w:r w:rsidR="005C10D4">
        <w:rPr>
          <w:rFonts w:cs="Segoe UI"/>
        </w:rPr>
        <w:t>a</w:t>
      </w:r>
      <w:r w:rsidRPr="00CE60B2">
        <w:rPr>
          <w:rFonts w:cs="Segoe UI"/>
        </w:rPr>
        <w:t>keholders were provided with two opportunities to comment on the</w:t>
      </w:r>
      <w:r w:rsidR="006F1CB0" w:rsidRPr="00CE60B2">
        <w:rPr>
          <w:rFonts w:cs="Segoe UI"/>
        </w:rPr>
        <w:t xml:space="preserve"> extension of the WA</w:t>
      </w:r>
      <w:r w:rsidR="00E93B3D">
        <w:rPr>
          <w:rFonts w:cs="Segoe UI"/>
        </w:rPr>
        <w:t> </w:t>
      </w:r>
      <w:r w:rsidR="006F1CB0" w:rsidRPr="00CE60B2">
        <w:rPr>
          <w:rFonts w:cs="Segoe UI"/>
        </w:rPr>
        <w:t xml:space="preserve">RFA. </w:t>
      </w:r>
    </w:p>
    <w:p w14:paraId="26ABD526" w14:textId="451F7892" w:rsidR="0003561E" w:rsidRPr="00CE60B2" w:rsidRDefault="006F1CB0" w:rsidP="0003561E">
      <w:pPr>
        <w:rPr>
          <w:rFonts w:cs="Segoe UI"/>
        </w:rPr>
      </w:pPr>
      <w:r w:rsidRPr="00CE60B2">
        <w:rPr>
          <w:rFonts w:cs="Segoe UI"/>
        </w:rPr>
        <w:t>The first opportunity was provided as part of the public comment period of the third five</w:t>
      </w:r>
      <w:r w:rsidR="00E93B3D">
        <w:rPr>
          <w:rFonts w:cs="Segoe UI"/>
        </w:rPr>
        <w:t> </w:t>
      </w:r>
      <w:r w:rsidRPr="00CE60B2">
        <w:rPr>
          <w:rFonts w:cs="Segoe UI"/>
        </w:rPr>
        <w:t>yearly review of the WA</w:t>
      </w:r>
      <w:r w:rsidR="00E93B3D">
        <w:rPr>
          <w:rFonts w:cs="Segoe UI"/>
        </w:rPr>
        <w:t> </w:t>
      </w:r>
      <w:r w:rsidRPr="00CE60B2">
        <w:rPr>
          <w:rFonts w:cs="Segoe UI"/>
        </w:rPr>
        <w:t xml:space="preserve">RFA. During a </w:t>
      </w:r>
      <w:r w:rsidR="00A42B5E" w:rsidRPr="00CE60B2">
        <w:rPr>
          <w:rFonts w:cs="Segoe UI"/>
        </w:rPr>
        <w:t>6</w:t>
      </w:r>
      <w:r w:rsidR="00A42B5E">
        <w:rPr>
          <w:rFonts w:cs="Segoe UI"/>
        </w:rPr>
        <w:t>-week</w:t>
      </w:r>
      <w:r w:rsidR="00467D7F">
        <w:rPr>
          <w:rFonts w:cs="Segoe UI"/>
        </w:rPr>
        <w:t> </w:t>
      </w:r>
      <w:r w:rsidRPr="00CE60B2">
        <w:rPr>
          <w:rFonts w:cs="Segoe UI"/>
        </w:rPr>
        <w:t>period</w:t>
      </w:r>
      <w:r w:rsidR="00821273" w:rsidRPr="00CE60B2">
        <w:rPr>
          <w:rFonts w:cs="Segoe UI"/>
        </w:rPr>
        <w:t xml:space="preserve"> between 1</w:t>
      </w:r>
      <w:r w:rsidR="00E93B3D">
        <w:rPr>
          <w:rFonts w:cs="Segoe UI"/>
        </w:rPr>
        <w:t> </w:t>
      </w:r>
      <w:r w:rsidR="00821273" w:rsidRPr="00CE60B2">
        <w:rPr>
          <w:rFonts w:cs="Segoe UI"/>
        </w:rPr>
        <w:t>November</w:t>
      </w:r>
      <w:r w:rsidR="00E93B3D">
        <w:rPr>
          <w:rFonts w:cs="Segoe UI"/>
        </w:rPr>
        <w:t> </w:t>
      </w:r>
      <w:r w:rsidR="00821273" w:rsidRPr="00CE60B2">
        <w:rPr>
          <w:rFonts w:cs="Segoe UI"/>
        </w:rPr>
        <w:t>2016 and 13</w:t>
      </w:r>
      <w:r w:rsidR="00E93B3D">
        <w:rPr>
          <w:rFonts w:cs="Segoe UI"/>
        </w:rPr>
        <w:t> </w:t>
      </w:r>
      <w:r w:rsidR="00821273" w:rsidRPr="00CE60B2">
        <w:rPr>
          <w:rFonts w:cs="Segoe UI"/>
        </w:rPr>
        <w:t>January</w:t>
      </w:r>
      <w:r w:rsidR="00E93B3D">
        <w:rPr>
          <w:rFonts w:cs="Segoe UI"/>
        </w:rPr>
        <w:t> </w:t>
      </w:r>
      <w:r w:rsidR="00821273" w:rsidRPr="00CE60B2">
        <w:rPr>
          <w:rFonts w:cs="Segoe UI"/>
        </w:rPr>
        <w:t>2017</w:t>
      </w:r>
      <w:r w:rsidRPr="00CE60B2">
        <w:rPr>
          <w:rFonts w:cs="Segoe UI"/>
        </w:rPr>
        <w:t xml:space="preserve">, </w:t>
      </w:r>
      <w:r w:rsidR="008D39CE" w:rsidRPr="00CE60B2">
        <w:rPr>
          <w:rFonts w:cs="Segoe UI"/>
        </w:rPr>
        <w:t xml:space="preserve">stakeholders and the </w:t>
      </w:r>
      <w:r w:rsidR="00821273" w:rsidRPr="00CE60B2">
        <w:rPr>
          <w:rFonts w:cs="Segoe UI"/>
        </w:rPr>
        <w:t>public were invited to have their say on issues relevant to the ongoing implementation and potential extension of the WA</w:t>
      </w:r>
      <w:r w:rsidR="00E93B3D">
        <w:rPr>
          <w:rFonts w:cs="Segoe UI"/>
        </w:rPr>
        <w:t> </w:t>
      </w:r>
      <w:r w:rsidR="00821273" w:rsidRPr="00CE60B2">
        <w:rPr>
          <w:rFonts w:cs="Segoe UI"/>
        </w:rPr>
        <w:t xml:space="preserve">RFA. 12 submissions were received and considered by the Independent reviewer in his report to the Parties. </w:t>
      </w:r>
    </w:p>
    <w:p w14:paraId="26ABD527" w14:textId="77777777" w:rsidR="00823EDD" w:rsidRPr="00CE60B2" w:rsidRDefault="00821273" w:rsidP="00060239">
      <w:pPr>
        <w:rPr>
          <w:rFonts w:cs="Segoe UI"/>
        </w:rPr>
      </w:pPr>
      <w:r w:rsidRPr="00CE60B2">
        <w:rPr>
          <w:rFonts w:cs="Segoe UI"/>
        </w:rPr>
        <w:t>Stakeholders were provided with a second opportunity to provide feedback on the RFA extension in October</w:t>
      </w:r>
      <w:r w:rsidR="00E93B3D">
        <w:rPr>
          <w:rFonts w:cs="Segoe UI"/>
        </w:rPr>
        <w:t> </w:t>
      </w:r>
      <w:r w:rsidRPr="00CE60B2">
        <w:rPr>
          <w:rFonts w:cs="Segoe UI"/>
        </w:rPr>
        <w:t xml:space="preserve">2018. Key stakeholders were contacted and invited to participate in a series of targeted stakeholder engagement meetings run over </w:t>
      </w:r>
      <w:r w:rsidR="00CD1770">
        <w:rPr>
          <w:rFonts w:cs="Segoe UI"/>
        </w:rPr>
        <w:t>four</w:t>
      </w:r>
      <w:r w:rsidR="00CD1770" w:rsidRPr="00CE60B2">
        <w:rPr>
          <w:rFonts w:cs="Segoe UI"/>
        </w:rPr>
        <w:t xml:space="preserve"> </w:t>
      </w:r>
      <w:r w:rsidRPr="00CE60B2">
        <w:rPr>
          <w:rFonts w:cs="Segoe UI"/>
        </w:rPr>
        <w:t xml:space="preserve">days </w:t>
      </w:r>
      <w:r w:rsidR="00CD1770">
        <w:rPr>
          <w:rFonts w:cs="Segoe UI"/>
        </w:rPr>
        <w:t>from</w:t>
      </w:r>
      <w:r w:rsidR="00CD1770" w:rsidRPr="00CE60B2">
        <w:rPr>
          <w:rFonts w:cs="Segoe UI"/>
        </w:rPr>
        <w:t xml:space="preserve"> </w:t>
      </w:r>
      <w:r w:rsidRPr="00CE60B2">
        <w:rPr>
          <w:rFonts w:cs="Segoe UI"/>
        </w:rPr>
        <w:t>17 to 19</w:t>
      </w:r>
      <w:r w:rsidR="00E93B3D">
        <w:rPr>
          <w:rFonts w:cs="Segoe UI"/>
        </w:rPr>
        <w:t> </w:t>
      </w:r>
      <w:r w:rsidRPr="00CE60B2">
        <w:rPr>
          <w:rFonts w:cs="Segoe UI"/>
        </w:rPr>
        <w:t>October</w:t>
      </w:r>
      <w:r w:rsidR="00E93B3D">
        <w:rPr>
          <w:rFonts w:cs="Segoe UI"/>
        </w:rPr>
        <w:t> </w:t>
      </w:r>
      <w:r w:rsidRPr="00CE60B2">
        <w:rPr>
          <w:rFonts w:cs="Segoe UI"/>
        </w:rPr>
        <w:t>2018</w:t>
      </w:r>
      <w:r w:rsidR="00CD1770">
        <w:rPr>
          <w:rFonts w:cs="Segoe UI"/>
        </w:rPr>
        <w:t xml:space="preserve"> and on 7</w:t>
      </w:r>
      <w:r w:rsidR="00467D7F">
        <w:rPr>
          <w:rFonts w:cs="Segoe UI"/>
        </w:rPr>
        <w:t> November </w:t>
      </w:r>
      <w:r w:rsidR="00CD1770">
        <w:rPr>
          <w:rFonts w:cs="Segoe UI"/>
        </w:rPr>
        <w:t>2018</w:t>
      </w:r>
      <w:r w:rsidRPr="00CE60B2">
        <w:rPr>
          <w:rFonts w:cs="Segoe UI"/>
        </w:rPr>
        <w:t xml:space="preserve">. </w:t>
      </w:r>
    </w:p>
    <w:p w14:paraId="26ABD528" w14:textId="77777777" w:rsidR="000F6B20" w:rsidRDefault="000F6B20">
      <w:pPr>
        <w:spacing w:before="0" w:after="480" w:line="276" w:lineRule="auto"/>
        <w:rPr>
          <w:rFonts w:cs="Segoe UI"/>
          <w:b/>
          <w:color w:val="000000" w:themeColor="text1"/>
          <w:sz w:val="24"/>
          <w:szCs w:val="24"/>
          <w:lang w:eastAsia="en-AU"/>
        </w:rPr>
      </w:pPr>
      <w:bookmarkStart w:id="185" w:name="_Toc524952827"/>
      <w:r>
        <w:rPr>
          <w:lang w:eastAsia="en-AU"/>
        </w:rPr>
        <w:br w:type="page"/>
      </w:r>
    </w:p>
    <w:p w14:paraId="26ABD529" w14:textId="77777777" w:rsidR="00DB510B" w:rsidRPr="00CE60B2" w:rsidRDefault="00DB510B" w:rsidP="000F6020">
      <w:pPr>
        <w:pStyle w:val="Heading3"/>
      </w:pPr>
      <w:bookmarkStart w:id="186" w:name="_Toc2776070"/>
      <w:r w:rsidRPr="00CE60B2">
        <w:rPr>
          <w:lang w:eastAsia="en-AU"/>
        </w:rPr>
        <w:lastRenderedPageBreak/>
        <w:t xml:space="preserve">Summary </w:t>
      </w:r>
      <w:r w:rsidR="00296696" w:rsidRPr="00CE60B2">
        <w:rPr>
          <w:lang w:eastAsia="en-AU"/>
        </w:rPr>
        <w:t>and</w:t>
      </w:r>
      <w:r w:rsidRPr="00CE60B2">
        <w:rPr>
          <w:lang w:eastAsia="en-AU"/>
        </w:rPr>
        <w:t xml:space="preserve"> future management of social values</w:t>
      </w:r>
      <w:bookmarkEnd w:id="185"/>
      <w:bookmarkEnd w:id="186"/>
    </w:p>
    <w:p w14:paraId="26ABD52A" w14:textId="77777777" w:rsidR="009711AA" w:rsidRPr="00FB5B76" w:rsidRDefault="009711AA" w:rsidP="00C71CFE">
      <w:pPr>
        <w:spacing w:before="0"/>
        <w:rPr>
          <w:rFonts w:cs="Segoe UI"/>
        </w:rPr>
      </w:pPr>
      <w:r w:rsidRPr="00FB5B76">
        <w:rPr>
          <w:rFonts w:cs="Segoe UI"/>
        </w:rPr>
        <w:t>Since the signing of the WA</w:t>
      </w:r>
      <w:r w:rsidR="00C052CE">
        <w:rPr>
          <w:rFonts w:cs="Segoe UI"/>
        </w:rPr>
        <w:t> </w:t>
      </w:r>
      <w:r w:rsidRPr="00FB5B76">
        <w:rPr>
          <w:rFonts w:cs="Segoe UI"/>
        </w:rPr>
        <w:t>RFA in 1999 there has been an increase of 59,600</w:t>
      </w:r>
      <w:r w:rsidR="00C052CE">
        <w:rPr>
          <w:rFonts w:cs="Segoe UI"/>
        </w:rPr>
        <w:t> </w:t>
      </w:r>
      <w:r>
        <w:rPr>
          <w:rFonts w:cs="Segoe UI"/>
        </w:rPr>
        <w:t xml:space="preserve">hectares </w:t>
      </w:r>
      <w:r w:rsidRPr="00FB5B76">
        <w:rPr>
          <w:rFonts w:cs="Segoe UI"/>
        </w:rPr>
        <w:t xml:space="preserve">of area available for recreation and tourism in the </w:t>
      </w:r>
      <w:r w:rsidR="00467D7F">
        <w:rPr>
          <w:rFonts w:cs="Segoe UI"/>
        </w:rPr>
        <w:t>WA </w:t>
      </w:r>
      <w:r w:rsidRPr="00FB5B76">
        <w:rPr>
          <w:rFonts w:cs="Segoe UI"/>
        </w:rPr>
        <w:t xml:space="preserve">RFA region, </w:t>
      </w:r>
      <w:r>
        <w:rPr>
          <w:rFonts w:cs="Segoe UI"/>
        </w:rPr>
        <w:t>to be 1.39</w:t>
      </w:r>
      <w:r w:rsidR="00C052CE">
        <w:rPr>
          <w:rFonts w:cs="Segoe UI"/>
        </w:rPr>
        <w:t> </w:t>
      </w:r>
      <w:r>
        <w:rPr>
          <w:rFonts w:cs="Segoe UI"/>
        </w:rPr>
        <w:t>million</w:t>
      </w:r>
      <w:r w:rsidR="00C052CE">
        <w:rPr>
          <w:rFonts w:cs="Segoe UI"/>
        </w:rPr>
        <w:t> </w:t>
      </w:r>
      <w:r>
        <w:rPr>
          <w:rFonts w:cs="Segoe UI"/>
        </w:rPr>
        <w:t>hectares in State forests and reserves. Th</w:t>
      </w:r>
      <w:r w:rsidR="007B6F52">
        <w:rPr>
          <w:rFonts w:cs="Segoe UI"/>
        </w:rPr>
        <w:t>is access will be maintained or enhanced</w:t>
      </w:r>
      <w:r>
        <w:rPr>
          <w:rFonts w:cs="Segoe UI"/>
        </w:rPr>
        <w:t xml:space="preserve"> under an extended WA</w:t>
      </w:r>
      <w:r w:rsidR="00C052CE">
        <w:rPr>
          <w:rFonts w:cs="Segoe UI"/>
        </w:rPr>
        <w:t> </w:t>
      </w:r>
      <w:r>
        <w:rPr>
          <w:rFonts w:cs="Segoe UI"/>
        </w:rPr>
        <w:t xml:space="preserve">RFA. </w:t>
      </w:r>
    </w:p>
    <w:p w14:paraId="26ABD52B" w14:textId="77777777" w:rsidR="009711AA" w:rsidRPr="00ED01E6" w:rsidRDefault="00CE7E81" w:rsidP="00CE7E81">
      <w:pPr>
        <w:spacing w:before="0"/>
        <w:rPr>
          <w:rFonts w:cs="Segoe UI"/>
        </w:rPr>
      </w:pPr>
      <w:r w:rsidRPr="003F5738">
        <w:rPr>
          <w:rFonts w:cs="Segoe UI"/>
        </w:rPr>
        <w:t>WA continues to provide significant funding for tourism and recreation, much of which has been invested in programs and facilities to support the use of natio</w:t>
      </w:r>
      <w:r w:rsidR="00467D7F">
        <w:rPr>
          <w:rFonts w:cs="Segoe UI"/>
        </w:rPr>
        <w:t>nal parks created under the FMP 2004</w:t>
      </w:r>
      <w:r w:rsidR="00467D7F">
        <w:rPr>
          <w:rFonts w:cs="Segoe UI"/>
        </w:rPr>
        <w:noBreakHyphen/>
      </w:r>
      <w:r w:rsidRPr="003F5738">
        <w:rPr>
          <w:rFonts w:cs="Segoe UI"/>
        </w:rPr>
        <w:t>2013</w:t>
      </w:r>
      <w:r>
        <w:rPr>
          <w:rFonts w:cs="Segoe UI"/>
        </w:rPr>
        <w:t xml:space="preserve"> (Wilkinson 2017)</w:t>
      </w:r>
      <w:r w:rsidRPr="003F5738">
        <w:rPr>
          <w:rFonts w:cs="Segoe UI"/>
        </w:rPr>
        <w:t>.</w:t>
      </w:r>
      <w:r w:rsidR="00782B08">
        <w:rPr>
          <w:rFonts w:cs="Segoe UI"/>
        </w:rPr>
        <w:t xml:space="preserve"> </w:t>
      </w:r>
      <w:r w:rsidR="009711AA" w:rsidRPr="00ED01E6">
        <w:rPr>
          <w:rFonts w:cs="Segoe UI"/>
        </w:rPr>
        <w:t xml:space="preserve">There has been significant investment </w:t>
      </w:r>
      <w:r w:rsidR="009711AA">
        <w:rPr>
          <w:rFonts w:cs="Segoe UI"/>
        </w:rPr>
        <w:t xml:space="preserve">of </w:t>
      </w:r>
      <w:r w:rsidR="009711AA" w:rsidRPr="00ED01E6">
        <w:rPr>
          <w:rFonts w:cs="Segoe UI"/>
        </w:rPr>
        <w:t>$53</w:t>
      </w:r>
      <w:r w:rsidR="00C052CE">
        <w:rPr>
          <w:rFonts w:cs="Segoe UI"/>
        </w:rPr>
        <w:t> </w:t>
      </w:r>
      <w:r w:rsidR="009711AA" w:rsidRPr="00ED01E6">
        <w:rPr>
          <w:rFonts w:cs="Segoe UI"/>
        </w:rPr>
        <w:t>million</w:t>
      </w:r>
      <w:r w:rsidR="009711AA">
        <w:rPr>
          <w:rFonts w:cs="Segoe UI"/>
        </w:rPr>
        <w:t xml:space="preserve"> </w:t>
      </w:r>
      <w:r w:rsidR="009711AA" w:rsidRPr="00ED01E6">
        <w:rPr>
          <w:rFonts w:cs="Segoe UI"/>
        </w:rPr>
        <w:t xml:space="preserve">in capital </w:t>
      </w:r>
      <w:r w:rsidR="007B6F52">
        <w:rPr>
          <w:rFonts w:cs="Segoe UI"/>
        </w:rPr>
        <w:t>funds to develop</w:t>
      </w:r>
      <w:r w:rsidR="009711AA" w:rsidRPr="00ED01E6">
        <w:rPr>
          <w:rFonts w:cs="Segoe UI"/>
        </w:rPr>
        <w:t xml:space="preserve"> visitor experiences and recreation assets over the past 10</w:t>
      </w:r>
      <w:r w:rsidR="00C052CE">
        <w:rPr>
          <w:rFonts w:cs="Segoe UI"/>
        </w:rPr>
        <w:t> </w:t>
      </w:r>
      <w:r w:rsidR="009711AA" w:rsidRPr="00ED01E6">
        <w:rPr>
          <w:rFonts w:cs="Segoe UI"/>
        </w:rPr>
        <w:t>years. This has included new and improved campgrounds, walking and mountain bike trails, and day use areas. The</w:t>
      </w:r>
      <w:r w:rsidR="009711AA">
        <w:rPr>
          <w:rFonts w:cs="Segoe UI"/>
        </w:rPr>
        <w:t xml:space="preserve"> investment over the past five</w:t>
      </w:r>
      <w:r w:rsidR="009711AA" w:rsidRPr="00ED01E6">
        <w:rPr>
          <w:rFonts w:cs="Segoe UI"/>
        </w:rPr>
        <w:t xml:space="preserve"> years has coincided with an increase </w:t>
      </w:r>
      <w:r w:rsidR="007B6F52">
        <w:rPr>
          <w:rFonts w:cs="Segoe UI"/>
        </w:rPr>
        <w:t>in visitation to native forest sites within the RFA region and</w:t>
      </w:r>
      <w:r w:rsidR="009711AA" w:rsidRPr="00ED01E6">
        <w:rPr>
          <w:rFonts w:cs="Segoe UI"/>
        </w:rPr>
        <w:t xml:space="preserve"> improvement</w:t>
      </w:r>
      <w:r w:rsidR="007B6F52">
        <w:rPr>
          <w:rFonts w:cs="Segoe UI"/>
        </w:rPr>
        <w:t>s</w:t>
      </w:r>
      <w:r w:rsidR="009711AA" w:rsidRPr="00ED01E6">
        <w:rPr>
          <w:rFonts w:cs="Segoe UI"/>
        </w:rPr>
        <w:t xml:space="preserve"> in visitor experience. </w:t>
      </w:r>
    </w:p>
    <w:p w14:paraId="26ABD52C" w14:textId="77777777" w:rsidR="009711AA" w:rsidRPr="00ED01E6" w:rsidRDefault="009711AA" w:rsidP="00FD10BB">
      <w:pPr>
        <w:spacing w:before="0"/>
        <w:rPr>
          <w:rFonts w:cs="Segoe UI"/>
        </w:rPr>
      </w:pPr>
      <w:r w:rsidRPr="00ED01E6">
        <w:rPr>
          <w:rFonts w:cs="Segoe UI"/>
        </w:rPr>
        <w:t>A management challenge expected to continue in the WA</w:t>
      </w:r>
      <w:r w:rsidR="00C052CE">
        <w:rPr>
          <w:rFonts w:cs="Segoe UI"/>
        </w:rPr>
        <w:t> </w:t>
      </w:r>
      <w:r w:rsidRPr="00ED01E6">
        <w:rPr>
          <w:rFonts w:cs="Segoe UI"/>
        </w:rPr>
        <w:t xml:space="preserve">RFA region into the future is balancing conservation and other values with the expected growth in demand for an enjoyable visitor experience, particularly as the populations of Perth and Bunbury grow. </w:t>
      </w:r>
      <w:r w:rsidR="00066E02">
        <w:rPr>
          <w:rFonts w:cs="Segoe UI"/>
        </w:rPr>
        <w:t xml:space="preserve">The </w:t>
      </w:r>
      <w:r w:rsidRPr="00ED01E6">
        <w:rPr>
          <w:rFonts w:cs="Segoe UI"/>
        </w:rPr>
        <w:t>WA</w:t>
      </w:r>
      <w:r w:rsidR="00C052CE">
        <w:rPr>
          <w:rFonts w:cs="Segoe UI"/>
        </w:rPr>
        <w:t> </w:t>
      </w:r>
      <w:r w:rsidRPr="00ED01E6">
        <w:rPr>
          <w:rFonts w:cs="Segoe UI"/>
        </w:rPr>
        <w:t xml:space="preserve">Government will continue to upgrade recreation facilities, as well as develop new and innovative ways to manage increases in visitation and meet the expectations of forest users. </w:t>
      </w:r>
    </w:p>
    <w:p w14:paraId="26ABD52D" w14:textId="77777777" w:rsidR="009711AA" w:rsidRPr="00ED01E6" w:rsidRDefault="009711AA" w:rsidP="009711AA">
      <w:pPr>
        <w:rPr>
          <w:i/>
          <w:lang w:eastAsia="ja-JP"/>
        </w:rPr>
      </w:pPr>
      <w:r w:rsidRPr="00ED01E6">
        <w:rPr>
          <w:i/>
          <w:lang w:eastAsia="ja-JP"/>
        </w:rPr>
        <w:t>Importance of forests to people</w:t>
      </w:r>
    </w:p>
    <w:p w14:paraId="26ABD52E" w14:textId="77777777" w:rsidR="009711AA" w:rsidRDefault="00C44EA1" w:rsidP="00782B08">
      <w:pPr>
        <w:rPr>
          <w:lang w:eastAsia="ja-JP"/>
        </w:rPr>
      </w:pPr>
      <w:r>
        <w:rPr>
          <w:lang w:eastAsia="ja-JP"/>
        </w:rPr>
        <w:t xml:space="preserve">Both regional and urban communities </w:t>
      </w:r>
      <w:r w:rsidR="007B6F52">
        <w:rPr>
          <w:lang w:eastAsia="ja-JP"/>
        </w:rPr>
        <w:t>value</w:t>
      </w:r>
      <w:r w:rsidR="00066E02">
        <w:rPr>
          <w:lang w:eastAsia="ja-JP"/>
        </w:rPr>
        <w:t xml:space="preserve"> </w:t>
      </w:r>
      <w:r>
        <w:rPr>
          <w:lang w:eastAsia="ja-JP"/>
        </w:rPr>
        <w:t>forests for their biodiversity, cultural values, wood products and water. Communities also benefit from employment and economic activity in the forests through the forestry industry and other compatible industries such as forest-based tourism, recreation and beekeeping businesses.</w:t>
      </w:r>
      <w:r w:rsidR="009711AA">
        <w:rPr>
          <w:lang w:eastAsia="ja-JP"/>
        </w:rPr>
        <w:t xml:space="preserve"> </w:t>
      </w:r>
      <w:r w:rsidR="007B6F52">
        <w:rPr>
          <w:lang w:eastAsia="ja-JP"/>
        </w:rPr>
        <w:t>The importance of forests to the heritage and culture of the Noongar community has been recognised in the CALM Act and the SWNT</w:t>
      </w:r>
      <w:r w:rsidR="00467D7F">
        <w:rPr>
          <w:lang w:eastAsia="ja-JP"/>
        </w:rPr>
        <w:t xml:space="preserve"> </w:t>
      </w:r>
      <w:r w:rsidR="007B6F52">
        <w:rPr>
          <w:lang w:eastAsia="ja-JP"/>
        </w:rPr>
        <w:t>S</w:t>
      </w:r>
      <w:r w:rsidR="00467D7F">
        <w:rPr>
          <w:lang w:eastAsia="ja-JP"/>
        </w:rPr>
        <w:t>ettlement</w:t>
      </w:r>
      <w:r w:rsidR="007B6F52">
        <w:rPr>
          <w:lang w:eastAsia="ja-JP"/>
        </w:rPr>
        <w:t xml:space="preserve"> process. This recognition is expected to expand during an extended RFA as joint management of some conservation reserves and increased opportunities for economic development are realised. </w:t>
      </w:r>
      <w:r w:rsidR="009711AA">
        <w:rPr>
          <w:lang w:eastAsia="ja-JP"/>
        </w:rPr>
        <w:t>The WA</w:t>
      </w:r>
      <w:r w:rsidR="00670669">
        <w:rPr>
          <w:lang w:eastAsia="ja-JP"/>
        </w:rPr>
        <w:t> FMS</w:t>
      </w:r>
      <w:r w:rsidR="009711AA">
        <w:rPr>
          <w:lang w:eastAsia="ja-JP"/>
        </w:rPr>
        <w:t xml:space="preserve"> and WA</w:t>
      </w:r>
      <w:r w:rsidR="00C052CE">
        <w:rPr>
          <w:lang w:eastAsia="ja-JP"/>
        </w:rPr>
        <w:t> </w:t>
      </w:r>
      <w:r w:rsidR="009711AA">
        <w:rPr>
          <w:lang w:eastAsia="ja-JP"/>
        </w:rPr>
        <w:t xml:space="preserve">RFA include opportunities for </w:t>
      </w:r>
      <w:r w:rsidR="00504D64">
        <w:rPr>
          <w:lang w:eastAsia="ja-JP"/>
        </w:rPr>
        <w:t xml:space="preserve">ongoing </w:t>
      </w:r>
      <w:r w:rsidR="009711AA">
        <w:rPr>
          <w:lang w:eastAsia="ja-JP"/>
        </w:rPr>
        <w:t xml:space="preserve">public consultation that will allow people to </w:t>
      </w:r>
      <w:r w:rsidR="00504D64">
        <w:rPr>
          <w:lang w:eastAsia="ja-JP"/>
        </w:rPr>
        <w:t xml:space="preserve">continue to </w:t>
      </w:r>
      <w:r w:rsidR="009711AA">
        <w:rPr>
          <w:lang w:eastAsia="ja-JP"/>
        </w:rPr>
        <w:t xml:space="preserve">communicate </w:t>
      </w:r>
      <w:r w:rsidR="00504D64">
        <w:rPr>
          <w:lang w:eastAsia="ja-JP"/>
        </w:rPr>
        <w:t xml:space="preserve">the relative </w:t>
      </w:r>
      <w:r w:rsidR="009711AA">
        <w:rPr>
          <w:lang w:eastAsia="ja-JP"/>
        </w:rPr>
        <w:t>importan</w:t>
      </w:r>
      <w:r w:rsidR="00504D64">
        <w:rPr>
          <w:lang w:eastAsia="ja-JP"/>
        </w:rPr>
        <w:t>ce of</w:t>
      </w:r>
      <w:r w:rsidR="009711AA">
        <w:rPr>
          <w:lang w:eastAsia="ja-JP"/>
        </w:rPr>
        <w:t xml:space="preserve"> different forest values and the </w:t>
      </w:r>
      <w:r w:rsidR="00504D64">
        <w:rPr>
          <w:lang w:eastAsia="ja-JP"/>
        </w:rPr>
        <w:t xml:space="preserve">preferred </w:t>
      </w:r>
      <w:r w:rsidR="009711AA">
        <w:rPr>
          <w:lang w:eastAsia="ja-JP"/>
        </w:rPr>
        <w:t>balance between th</w:t>
      </w:r>
      <w:r w:rsidR="00504D64">
        <w:rPr>
          <w:lang w:eastAsia="ja-JP"/>
        </w:rPr>
        <w:t>o</w:t>
      </w:r>
      <w:r w:rsidR="009711AA">
        <w:rPr>
          <w:lang w:eastAsia="ja-JP"/>
        </w:rPr>
        <w:t>se values.</w:t>
      </w:r>
    </w:p>
    <w:p w14:paraId="26ABD52F" w14:textId="77777777" w:rsidR="009711AA" w:rsidRDefault="00504D64" w:rsidP="009711AA">
      <w:pPr>
        <w:rPr>
          <w:lang w:eastAsia="ja-JP"/>
        </w:rPr>
      </w:pPr>
      <w:r>
        <w:rPr>
          <w:lang w:eastAsia="ja-JP"/>
        </w:rPr>
        <w:t>The capacity for f</w:t>
      </w:r>
      <w:r w:rsidR="009711AA">
        <w:rPr>
          <w:lang w:eastAsia="ja-JP"/>
        </w:rPr>
        <w:t>orests</w:t>
      </w:r>
      <w:r w:rsidR="0044015F">
        <w:rPr>
          <w:lang w:eastAsia="ja-JP"/>
        </w:rPr>
        <w:t xml:space="preserve"> and forest products</w:t>
      </w:r>
      <w:r w:rsidR="009711AA">
        <w:rPr>
          <w:lang w:eastAsia="ja-JP"/>
        </w:rPr>
        <w:t xml:space="preserve"> </w:t>
      </w:r>
      <w:r>
        <w:rPr>
          <w:lang w:eastAsia="ja-JP"/>
        </w:rPr>
        <w:t>to store</w:t>
      </w:r>
      <w:r w:rsidR="009711AA">
        <w:rPr>
          <w:lang w:eastAsia="ja-JP"/>
        </w:rPr>
        <w:t xml:space="preserve"> carbon is increasingly </w:t>
      </w:r>
      <w:r>
        <w:rPr>
          <w:lang w:eastAsia="ja-JP"/>
        </w:rPr>
        <w:t>valuedby the community</w:t>
      </w:r>
      <w:r w:rsidR="009711AA">
        <w:rPr>
          <w:lang w:eastAsia="ja-JP"/>
        </w:rPr>
        <w:t>, particularly as the impacts of a warmer, drier climate increasingly affects the south west forests.</w:t>
      </w:r>
    </w:p>
    <w:p w14:paraId="26ABD530" w14:textId="77777777" w:rsidR="0044015F" w:rsidRDefault="0044015F" w:rsidP="0044015F">
      <w:pPr>
        <w:rPr>
          <w:lang w:eastAsia="ja-JP"/>
        </w:rPr>
      </w:pPr>
      <w:r>
        <w:rPr>
          <w:lang w:eastAsia="ja-JP"/>
        </w:rPr>
        <w:t>The FPC has recently developed a Stakeholder Engagement Strategy to provide for ongoing improvement in the way that community views are integrated into policy and operational decision making in the forestry industry.</w:t>
      </w:r>
    </w:p>
    <w:p w14:paraId="26ABD531" w14:textId="77777777" w:rsidR="009711AA" w:rsidRDefault="009711AA" w:rsidP="00A42B5E">
      <w:pPr>
        <w:rPr>
          <w:i/>
          <w:lang w:eastAsia="ja-JP"/>
        </w:rPr>
      </w:pPr>
      <w:r>
        <w:rPr>
          <w:i/>
          <w:lang w:eastAsia="ja-JP"/>
        </w:rPr>
        <w:t>E</w:t>
      </w:r>
      <w:r w:rsidRPr="003E06AE">
        <w:rPr>
          <w:i/>
          <w:lang w:eastAsia="ja-JP"/>
        </w:rPr>
        <w:t>mployment</w:t>
      </w:r>
      <w:r>
        <w:rPr>
          <w:i/>
          <w:lang w:eastAsia="ja-JP"/>
        </w:rPr>
        <w:t xml:space="preserve">, wage and injury rates </w:t>
      </w:r>
    </w:p>
    <w:p w14:paraId="26ABD532" w14:textId="77777777" w:rsidR="00614B6A" w:rsidRDefault="004F7281" w:rsidP="009711AA">
      <w:pPr>
        <w:rPr>
          <w:lang w:eastAsia="ja-JP"/>
        </w:rPr>
      </w:pPr>
      <w:r>
        <w:rPr>
          <w:lang w:eastAsia="ja-JP"/>
        </w:rPr>
        <w:t>The forest industry in WA supp</w:t>
      </w:r>
      <w:r w:rsidR="00467D7F">
        <w:rPr>
          <w:lang w:eastAsia="ja-JP"/>
        </w:rPr>
        <w:t>orts employment of around 6,000 </w:t>
      </w:r>
      <w:r>
        <w:rPr>
          <w:lang w:eastAsia="ja-JP"/>
        </w:rPr>
        <w:t>people (including areas outside the RFA region). Secondary processing is an important value</w:t>
      </w:r>
      <w:r w:rsidR="00066E02">
        <w:rPr>
          <w:lang w:eastAsia="ja-JP"/>
        </w:rPr>
        <w:t xml:space="preserve"> </w:t>
      </w:r>
      <w:r w:rsidR="00467D7F">
        <w:rPr>
          <w:lang w:eastAsia="ja-JP"/>
        </w:rPr>
        <w:t>adding sector, generating 1,495 </w:t>
      </w:r>
      <w:r>
        <w:rPr>
          <w:lang w:eastAsia="ja-JP"/>
        </w:rPr>
        <w:t>jobs. The forest</w:t>
      </w:r>
      <w:r w:rsidR="00504D64">
        <w:rPr>
          <w:lang w:eastAsia="ja-JP"/>
        </w:rPr>
        <w:t>ry</w:t>
      </w:r>
      <w:r>
        <w:rPr>
          <w:lang w:eastAsia="ja-JP"/>
        </w:rPr>
        <w:t xml:space="preserve"> sector also supports a number of other </w:t>
      </w:r>
      <w:r w:rsidR="00504D64">
        <w:rPr>
          <w:lang w:eastAsia="ja-JP"/>
        </w:rPr>
        <w:t>industries</w:t>
      </w:r>
      <w:r>
        <w:rPr>
          <w:lang w:eastAsia="ja-JP"/>
        </w:rPr>
        <w:t xml:space="preserve"> including apiary, sand, rock and gravel extraction, mineral extraction, telecommunication sites and forest</w:t>
      </w:r>
      <w:r w:rsidR="00504D64">
        <w:rPr>
          <w:lang w:eastAsia="ja-JP"/>
        </w:rPr>
        <w:t>-</w:t>
      </w:r>
      <w:r>
        <w:rPr>
          <w:lang w:eastAsia="ja-JP"/>
        </w:rPr>
        <w:t>based tourism</w:t>
      </w:r>
      <w:r w:rsidR="00504D64">
        <w:rPr>
          <w:lang w:eastAsia="ja-JP"/>
        </w:rPr>
        <w:t xml:space="preserve">. While </w:t>
      </w:r>
      <w:r w:rsidR="006C2233">
        <w:rPr>
          <w:lang w:eastAsia="ja-JP"/>
        </w:rPr>
        <w:t>it is difficult to quantify employment in these industries, approximately 1,500</w:t>
      </w:r>
      <w:r w:rsidR="00467D7F">
        <w:rPr>
          <w:lang w:eastAsia="ja-JP"/>
        </w:rPr>
        <w:t> </w:t>
      </w:r>
      <w:r w:rsidR="00F33ED4">
        <w:rPr>
          <w:lang w:eastAsia="ja-JP"/>
        </w:rPr>
        <w:t xml:space="preserve">people are </w:t>
      </w:r>
      <w:r w:rsidR="00504D64">
        <w:rPr>
          <w:lang w:eastAsia="ja-JP"/>
        </w:rPr>
        <w:t xml:space="preserve">estimated by the BICWA to be </w:t>
      </w:r>
      <w:r w:rsidR="00F33ED4">
        <w:rPr>
          <w:lang w:eastAsia="ja-JP"/>
        </w:rPr>
        <w:t>directly employed in the apiary industry</w:t>
      </w:r>
      <w:r w:rsidR="00504D64">
        <w:rPr>
          <w:lang w:eastAsia="ja-JP"/>
        </w:rPr>
        <w:t>,</w:t>
      </w:r>
      <w:r w:rsidR="00F33ED4">
        <w:rPr>
          <w:lang w:eastAsia="ja-JP"/>
        </w:rPr>
        <w:t xml:space="preserve"> and </w:t>
      </w:r>
      <w:r w:rsidR="00504D64">
        <w:rPr>
          <w:lang w:eastAsia="ja-JP"/>
        </w:rPr>
        <w:t>this may increase</w:t>
      </w:r>
      <w:r w:rsidR="00F33ED4">
        <w:rPr>
          <w:lang w:eastAsia="ja-JP"/>
        </w:rPr>
        <w:t xml:space="preserve"> as export demand for WA honey products increases</w:t>
      </w:r>
      <w:r>
        <w:rPr>
          <w:lang w:eastAsia="ja-JP"/>
        </w:rPr>
        <w:t>.</w:t>
      </w:r>
    </w:p>
    <w:p w14:paraId="26ABD533" w14:textId="3E2AE25E" w:rsidR="009711AA" w:rsidRDefault="004F7281" w:rsidP="006C1DD3">
      <w:pPr>
        <w:rPr>
          <w:lang w:eastAsia="ja-JP"/>
        </w:rPr>
      </w:pPr>
      <w:r>
        <w:rPr>
          <w:lang w:eastAsia="ja-JP"/>
        </w:rPr>
        <w:lastRenderedPageBreak/>
        <w:t xml:space="preserve">Forestry workers have </w:t>
      </w:r>
      <w:r w:rsidR="008A4C96">
        <w:rPr>
          <w:lang w:eastAsia="ja-JP"/>
        </w:rPr>
        <w:t>comparatively</w:t>
      </w:r>
      <w:r>
        <w:rPr>
          <w:lang w:eastAsia="ja-JP"/>
        </w:rPr>
        <w:t xml:space="preserve"> higher incomes compa</w:t>
      </w:r>
      <w:r w:rsidR="00467D7F">
        <w:rPr>
          <w:lang w:eastAsia="ja-JP"/>
        </w:rPr>
        <w:t>red to other industries in 2015</w:t>
      </w:r>
      <w:r w:rsidR="00467D7F">
        <w:rPr>
          <w:lang w:eastAsia="ja-JP"/>
        </w:rPr>
        <w:noBreakHyphen/>
      </w:r>
      <w:r>
        <w:rPr>
          <w:lang w:eastAsia="ja-JP"/>
        </w:rPr>
        <w:t xml:space="preserve">16 (Schirmer </w:t>
      </w:r>
      <w:r w:rsidRPr="002D56EB">
        <w:rPr>
          <w:i/>
          <w:lang w:eastAsia="ja-JP"/>
        </w:rPr>
        <w:t>et al.</w:t>
      </w:r>
      <w:r>
        <w:rPr>
          <w:lang w:eastAsia="ja-JP"/>
        </w:rPr>
        <w:t xml:space="preserve"> 2017)</w:t>
      </w:r>
      <w:r w:rsidR="00504D64">
        <w:rPr>
          <w:lang w:eastAsia="ja-JP"/>
        </w:rPr>
        <w:t>,</w:t>
      </w:r>
      <w:r>
        <w:rPr>
          <w:lang w:eastAsia="ja-JP"/>
        </w:rPr>
        <w:t xml:space="preserve"> due to comparatively higher rates of full time employment.</w:t>
      </w:r>
      <w:r w:rsidR="00DB5309">
        <w:rPr>
          <w:lang w:eastAsia="ja-JP"/>
        </w:rPr>
        <w:t xml:space="preserve"> </w:t>
      </w:r>
      <w:r>
        <w:rPr>
          <w:lang w:eastAsia="ja-JP"/>
        </w:rPr>
        <w:t>There is li</w:t>
      </w:r>
      <w:r w:rsidR="00504D64">
        <w:rPr>
          <w:lang w:eastAsia="ja-JP"/>
        </w:rPr>
        <w:t>mited</w:t>
      </w:r>
      <w:r>
        <w:rPr>
          <w:lang w:eastAsia="ja-JP"/>
        </w:rPr>
        <w:t xml:space="preserve"> information available on how</w:t>
      </w:r>
      <w:r w:rsidR="006C2233">
        <w:rPr>
          <w:lang w:eastAsia="ja-JP"/>
        </w:rPr>
        <w:t xml:space="preserve"> employment in the forest industry</w:t>
      </w:r>
      <w:r>
        <w:rPr>
          <w:lang w:eastAsia="ja-JP"/>
        </w:rPr>
        <w:t xml:space="preserve"> is changing over time. </w:t>
      </w:r>
      <w:r w:rsidR="006C2233">
        <w:rPr>
          <w:lang w:eastAsia="ja-JP"/>
        </w:rPr>
        <w:t>Employ</w:t>
      </w:r>
      <w:r>
        <w:rPr>
          <w:lang w:eastAsia="ja-JP"/>
        </w:rPr>
        <w:t>ment in the industry fell between 2006 and 2011 for most</w:t>
      </w:r>
      <w:r w:rsidR="006C2233">
        <w:rPr>
          <w:lang w:eastAsia="ja-JP"/>
        </w:rPr>
        <w:t xml:space="preserve"> parts of the industry, however this is vari</w:t>
      </w:r>
      <w:r w:rsidR="00504D64">
        <w:rPr>
          <w:lang w:eastAsia="ja-JP"/>
        </w:rPr>
        <w:t>ed</w:t>
      </w:r>
      <w:r w:rsidR="006C2233">
        <w:rPr>
          <w:lang w:eastAsia="ja-JP"/>
        </w:rPr>
        <w:t xml:space="preserve"> by area and industry sector. I</w:t>
      </w:r>
      <w:r>
        <w:rPr>
          <w:lang w:eastAsia="ja-JP"/>
        </w:rPr>
        <w:t xml:space="preserve">t is </w:t>
      </w:r>
      <w:r w:rsidR="00614B6A">
        <w:rPr>
          <w:lang w:eastAsia="ja-JP"/>
        </w:rPr>
        <w:t xml:space="preserve">difficult </w:t>
      </w:r>
      <w:r>
        <w:rPr>
          <w:lang w:eastAsia="ja-JP"/>
        </w:rPr>
        <w:t>to predict the wage rates of forestry workers compared to other industries into the future</w:t>
      </w:r>
      <w:r w:rsidR="00F33ED4">
        <w:rPr>
          <w:lang w:eastAsia="ja-JP"/>
        </w:rPr>
        <w:t>.</w:t>
      </w:r>
      <w:r>
        <w:rPr>
          <w:lang w:eastAsia="ja-JP"/>
        </w:rPr>
        <w:t xml:space="preserve"> </w:t>
      </w:r>
      <w:r w:rsidR="00F33ED4">
        <w:rPr>
          <w:lang w:eastAsia="ja-JP"/>
        </w:rPr>
        <w:t>The industry implements a range of policies and practices aiming to r</w:t>
      </w:r>
      <w:r w:rsidR="00B3670C">
        <w:rPr>
          <w:lang w:eastAsia="ja-JP"/>
        </w:rPr>
        <w:t xml:space="preserve">educe injury rates. </w:t>
      </w:r>
      <w:r w:rsidR="00506E5C">
        <w:rPr>
          <w:lang w:eastAsia="ja-JP"/>
        </w:rPr>
        <w:t>Improving safety and reducing injury will continue to be an industry target focus into the future.</w:t>
      </w:r>
      <w:r w:rsidR="00F33ED4">
        <w:rPr>
          <w:lang w:eastAsia="ja-JP"/>
        </w:rPr>
        <w:t xml:space="preserve"> </w:t>
      </w:r>
    </w:p>
    <w:p w14:paraId="26ABD534" w14:textId="77777777" w:rsidR="009711AA" w:rsidRDefault="009711AA" w:rsidP="009711AA">
      <w:pPr>
        <w:rPr>
          <w:i/>
          <w:lang w:eastAsia="ja-JP"/>
        </w:rPr>
      </w:pPr>
      <w:r w:rsidRPr="003E06AE">
        <w:rPr>
          <w:i/>
          <w:lang w:eastAsia="ja-JP"/>
        </w:rPr>
        <w:t>Community resilience</w:t>
      </w:r>
    </w:p>
    <w:p w14:paraId="26ABD535" w14:textId="77777777" w:rsidR="00B3670C" w:rsidRDefault="00B3670C" w:rsidP="009711AA">
      <w:r>
        <w:t xml:space="preserve">While the forest industry in </w:t>
      </w:r>
      <w:r w:rsidR="00504D64">
        <w:t xml:space="preserve">the south-west of </w:t>
      </w:r>
      <w:r>
        <w:t xml:space="preserve">WA has traditionally been a key </w:t>
      </w:r>
      <w:r w:rsidR="00504D64">
        <w:t xml:space="preserve">economic </w:t>
      </w:r>
      <w:r>
        <w:t xml:space="preserve">driver in regional communities, there has been a </w:t>
      </w:r>
      <w:r w:rsidR="00504D64">
        <w:t>range</w:t>
      </w:r>
      <w:r>
        <w:t xml:space="preserve"> of changes</w:t>
      </w:r>
      <w:r w:rsidR="00467D7F">
        <w:t xml:space="preserve"> to the industry in the last 20 </w:t>
      </w:r>
      <w:r>
        <w:t>years which ha</w:t>
      </w:r>
      <w:r w:rsidR="00504D64">
        <w:t>ve</w:t>
      </w:r>
      <w:r>
        <w:t xml:space="preserve"> reduc</w:t>
      </w:r>
      <w:r w:rsidR="00504D64">
        <w:t>ed</w:t>
      </w:r>
      <w:r>
        <w:t xml:space="preserve"> dependence of some communities on forestry. However, communities with a high dependence on the forest industry remain just as liveable as those with little dependence on the forest industry. There </w:t>
      </w:r>
      <w:r w:rsidR="00865EFE">
        <w:t>has been</w:t>
      </w:r>
      <w:r>
        <w:t xml:space="preserve"> significant loss of employment in some </w:t>
      </w:r>
      <w:r w:rsidR="00865EFE">
        <w:t xml:space="preserve">regional </w:t>
      </w:r>
      <w:r>
        <w:t xml:space="preserve">communities, particularly with the closure of </w:t>
      </w:r>
      <w:r w:rsidR="00865EFE">
        <w:t xml:space="preserve">mills following the introduction of the </w:t>
      </w:r>
      <w:r w:rsidR="00865EFE" w:rsidRPr="00066E02">
        <w:rPr>
          <w:i/>
        </w:rPr>
        <w:t xml:space="preserve">Protecting our </w:t>
      </w:r>
      <w:r w:rsidR="00D5614E">
        <w:rPr>
          <w:i/>
        </w:rPr>
        <w:t>O</w:t>
      </w:r>
      <w:r w:rsidR="00B40201" w:rsidRPr="00066E02">
        <w:rPr>
          <w:i/>
        </w:rPr>
        <w:t>ld-growth</w:t>
      </w:r>
      <w:r w:rsidRPr="00066E02">
        <w:rPr>
          <w:i/>
        </w:rPr>
        <w:t xml:space="preserve"> </w:t>
      </w:r>
      <w:r w:rsidR="00D5614E">
        <w:rPr>
          <w:i/>
        </w:rPr>
        <w:t>F</w:t>
      </w:r>
      <w:r w:rsidRPr="00066E02">
        <w:rPr>
          <w:i/>
        </w:rPr>
        <w:t>orest</w:t>
      </w:r>
      <w:r w:rsidR="00865EFE">
        <w:t>s</w:t>
      </w:r>
      <w:r w:rsidRPr="00865EFE">
        <w:t xml:space="preserve"> </w:t>
      </w:r>
      <w:r w:rsidR="00865EFE">
        <w:t>policy</w:t>
      </w:r>
      <w:r>
        <w:t>, which decreased community resilience</w:t>
      </w:r>
      <w:r w:rsidR="007E1E8F">
        <w:t xml:space="preserve">. The </w:t>
      </w:r>
      <w:r w:rsidR="00BB2FB3">
        <w:t>expectation</w:t>
      </w:r>
      <w:r w:rsidR="007E1E8F">
        <w:t xml:space="preserve"> by the WA</w:t>
      </w:r>
      <w:r w:rsidR="00467D7F">
        <w:t> </w:t>
      </w:r>
      <w:r w:rsidR="007E1E8F">
        <w:t xml:space="preserve">Government at the time to deliver jobs in other parts of the forest industry were not </w:t>
      </w:r>
      <w:r w:rsidR="00BB2FB3">
        <w:t>realised</w:t>
      </w:r>
      <w:r w:rsidR="00865EFE">
        <w:t>, while anticipated levels of employment and activity in alternative industries such as tourism has been variable.</w:t>
      </w:r>
    </w:p>
    <w:p w14:paraId="26ABD536" w14:textId="77777777" w:rsidR="007E1E8F" w:rsidRPr="00B3670C" w:rsidRDefault="007E1E8F" w:rsidP="009711AA">
      <w:pPr>
        <w:rPr>
          <w:lang w:eastAsia="ja-JP"/>
        </w:rPr>
      </w:pPr>
      <w:r>
        <w:t xml:space="preserve">WA has recognised the challenges of a changing forest industry, and </w:t>
      </w:r>
      <w:r w:rsidR="00865EFE">
        <w:t>is</w:t>
      </w:r>
      <w:r>
        <w:t xml:space="preserve"> implementing policies such as the </w:t>
      </w:r>
      <w:r w:rsidRPr="00066E02">
        <w:rPr>
          <w:i/>
        </w:rPr>
        <w:t>Softwood Industry Strategy for Western Australia</w:t>
      </w:r>
      <w:r>
        <w:t xml:space="preserve"> to </w:t>
      </w:r>
      <w:r w:rsidR="00865EFE">
        <w:t>expand the economic base of some</w:t>
      </w:r>
      <w:r>
        <w:t xml:space="preserve"> communities. The recent positive figures regarding the </w:t>
      </w:r>
      <w:r w:rsidR="008A4C96">
        <w:t>employment</w:t>
      </w:r>
      <w:r>
        <w:t xml:space="preserve"> and social benefits from the forest industry are a combined result of recent industry confidence and investment in new processing technologies, and consolidation of operations to improve operational efficiencies.</w:t>
      </w:r>
      <w:r w:rsidR="00AF25E1">
        <w:t xml:space="preserve"> The FPC will continue to work with the </w:t>
      </w:r>
      <w:r w:rsidR="00865EFE">
        <w:t xml:space="preserve">forest </w:t>
      </w:r>
      <w:r w:rsidR="00AF25E1">
        <w:t>industr</w:t>
      </w:r>
      <w:r w:rsidR="00865EFE">
        <w:t>ies</w:t>
      </w:r>
      <w:r w:rsidR="00AF25E1">
        <w:t xml:space="preserve"> and communit</w:t>
      </w:r>
      <w:r w:rsidR="00865EFE">
        <w:t>ies</w:t>
      </w:r>
      <w:r w:rsidR="00AF25E1">
        <w:t xml:space="preserve"> to </w:t>
      </w:r>
      <w:r w:rsidR="00865EFE">
        <w:t>expand the</w:t>
      </w:r>
      <w:r w:rsidR="00066E02">
        <w:t xml:space="preserve"> </w:t>
      </w:r>
      <w:r w:rsidR="00865EFE">
        <w:t>economic and social benefits</w:t>
      </w:r>
      <w:r w:rsidR="00AF25E1">
        <w:t xml:space="preserve"> </w:t>
      </w:r>
      <w:r w:rsidR="00865EFE">
        <w:t>arising from forestry.</w:t>
      </w:r>
    </w:p>
    <w:p w14:paraId="26ABD537" w14:textId="77777777" w:rsidR="00B93C0A" w:rsidRPr="00133965" w:rsidRDefault="00B93C0A" w:rsidP="00B11CAC">
      <w:pPr>
        <w:pStyle w:val="ListParagraph"/>
        <w:ind w:left="0"/>
        <w:rPr>
          <w:lang w:eastAsia="ja-JP"/>
        </w:rPr>
      </w:pPr>
      <w:r w:rsidRPr="009711AA">
        <w:rPr>
          <w:rFonts w:cs="Segoe UI"/>
        </w:rPr>
        <w:br w:type="page"/>
      </w:r>
    </w:p>
    <w:p w14:paraId="26ABD538" w14:textId="77777777" w:rsidR="00261F4B" w:rsidRPr="00CE60B2" w:rsidRDefault="000F6020" w:rsidP="00FF0D54">
      <w:pPr>
        <w:pStyle w:val="Heading2"/>
      </w:pPr>
      <w:bookmarkStart w:id="187" w:name="_Toc524952828"/>
      <w:bookmarkStart w:id="188" w:name="_Toc2776071"/>
      <w:r w:rsidRPr="00CE60B2">
        <w:lastRenderedPageBreak/>
        <w:t xml:space="preserve">Section </w:t>
      </w:r>
      <w:r w:rsidR="007C7F2C">
        <w:t>5</w:t>
      </w:r>
      <w:r w:rsidRPr="00CE60B2">
        <w:t xml:space="preserve">: </w:t>
      </w:r>
      <w:r w:rsidR="00261F4B" w:rsidRPr="00CE60B2">
        <w:t>Principles of Ecologically Sustainable Management</w:t>
      </w:r>
      <w:bookmarkEnd w:id="187"/>
      <w:bookmarkEnd w:id="188"/>
    </w:p>
    <w:p w14:paraId="26ABD539" w14:textId="77777777" w:rsidR="007E358F" w:rsidRPr="00CE60B2" w:rsidRDefault="001E4296" w:rsidP="00F16C52">
      <w:pPr>
        <w:rPr>
          <w:rFonts w:cs="Segoe UI"/>
        </w:rPr>
      </w:pPr>
      <w:r w:rsidRPr="00CE60B2">
        <w:rPr>
          <w:rFonts w:cs="Segoe UI"/>
        </w:rPr>
        <w:t xml:space="preserve">As a party to the </w:t>
      </w:r>
      <w:r w:rsidR="009320E7">
        <w:rPr>
          <w:rFonts w:cs="Segoe UI"/>
        </w:rPr>
        <w:t>NFPS</w:t>
      </w:r>
      <w:r w:rsidR="00C359C6" w:rsidRPr="00CE60B2">
        <w:rPr>
          <w:rFonts w:cs="Segoe UI"/>
        </w:rPr>
        <w:t>,</w:t>
      </w:r>
      <w:r w:rsidRPr="00CE60B2">
        <w:rPr>
          <w:rFonts w:cs="Segoe UI"/>
        </w:rPr>
        <w:t xml:space="preserve"> </w:t>
      </w:r>
      <w:r w:rsidR="00070B21" w:rsidRPr="00CE60B2">
        <w:rPr>
          <w:rFonts w:cs="Segoe UI"/>
        </w:rPr>
        <w:t>WA</w:t>
      </w:r>
      <w:r w:rsidRPr="00CE60B2">
        <w:rPr>
          <w:rFonts w:cs="Segoe UI"/>
        </w:rPr>
        <w:t xml:space="preserve"> is committed to the principles of ecologically sustainable development.</w:t>
      </w:r>
      <w:r w:rsidR="006607A6" w:rsidRPr="00CE60B2">
        <w:rPr>
          <w:rFonts w:cs="Segoe UI"/>
        </w:rPr>
        <w:t xml:space="preserve"> </w:t>
      </w:r>
      <w:r w:rsidRPr="00CE60B2">
        <w:rPr>
          <w:rFonts w:cs="Segoe UI"/>
        </w:rPr>
        <w:t xml:space="preserve">The </w:t>
      </w:r>
      <w:r w:rsidR="00070B21" w:rsidRPr="00CE60B2">
        <w:rPr>
          <w:rFonts w:cs="Segoe UI"/>
        </w:rPr>
        <w:t>WA</w:t>
      </w:r>
      <w:r w:rsidR="00467D7F">
        <w:rPr>
          <w:rFonts w:cs="Segoe UI"/>
        </w:rPr>
        <w:t> </w:t>
      </w:r>
      <w:r w:rsidRPr="00CE60B2">
        <w:rPr>
          <w:rFonts w:cs="Segoe UI"/>
        </w:rPr>
        <w:t>RFA define</w:t>
      </w:r>
      <w:r w:rsidR="00070B21" w:rsidRPr="00CE60B2">
        <w:rPr>
          <w:rFonts w:cs="Segoe UI"/>
        </w:rPr>
        <w:t>s</w:t>
      </w:r>
      <w:r w:rsidRPr="00CE60B2">
        <w:rPr>
          <w:rFonts w:cs="Segoe UI"/>
        </w:rPr>
        <w:t xml:space="preserve"> </w:t>
      </w:r>
      <w:r w:rsidR="006607A6" w:rsidRPr="00CE60B2">
        <w:rPr>
          <w:rFonts w:cs="Segoe UI"/>
        </w:rPr>
        <w:t>ESFM</w:t>
      </w:r>
      <w:r w:rsidRPr="00CE60B2">
        <w:rPr>
          <w:rFonts w:cs="Segoe UI"/>
        </w:rPr>
        <w:t xml:space="preserve"> as ‘forest management and use in accordance with the specific objectives and policies for ecologically sustainable development as detailed in the</w:t>
      </w:r>
      <w:r w:rsidR="006607A6" w:rsidRPr="00CE60B2">
        <w:rPr>
          <w:rFonts w:cs="Segoe UI"/>
        </w:rPr>
        <w:t xml:space="preserve"> </w:t>
      </w:r>
      <w:r w:rsidR="009320E7">
        <w:rPr>
          <w:rFonts w:cs="Segoe UI"/>
        </w:rPr>
        <w:t>NFPS</w:t>
      </w:r>
      <w:r w:rsidRPr="00CE60B2">
        <w:rPr>
          <w:rFonts w:cs="Segoe UI"/>
        </w:rPr>
        <w:t>.</w:t>
      </w:r>
      <w:r w:rsidR="007E358F">
        <w:rPr>
          <w:rFonts w:cs="Segoe UI"/>
        </w:rPr>
        <w:t xml:space="preserve"> This includes “</w:t>
      </w:r>
      <w:r w:rsidR="007E358F" w:rsidRPr="002F303D">
        <w:rPr>
          <w:rFonts w:cs="Segoe UI"/>
          <w:i/>
        </w:rPr>
        <w:t>three requirements for sustainable forest use: maintaining the ecological processes within forests (the formation of soil, energy flows and the carbon, nutrient and water cycles); maintaining the biological diversity of forests; and optimising the benefits to the community from all uses of forests within ecological constraints.</w:t>
      </w:r>
    </w:p>
    <w:p w14:paraId="26ABD53A" w14:textId="77777777" w:rsidR="00DB0466" w:rsidRDefault="00DB0466" w:rsidP="00C66924">
      <w:pPr>
        <w:rPr>
          <w:rFonts w:cs="Segoe UI"/>
        </w:rPr>
      </w:pPr>
      <w:r w:rsidRPr="00DB0466">
        <w:rPr>
          <w:rFonts w:cs="Segoe UI"/>
        </w:rPr>
        <w:t xml:space="preserve">For the purposes of this report, ‘ecologically sustainable management’ in para (a) of the </w:t>
      </w:r>
      <w:r w:rsidR="00467D7F">
        <w:rPr>
          <w:rFonts w:cs="Segoe UI"/>
        </w:rPr>
        <w:t>definition of ‘RFA’ in the RFA </w:t>
      </w:r>
      <w:r w:rsidRPr="00DB0466">
        <w:rPr>
          <w:rFonts w:cs="Segoe UI"/>
        </w:rPr>
        <w:t>Act is taken to be synonymous with Ecologically Sustainable Fore</w:t>
      </w:r>
      <w:r w:rsidR="00467D7F">
        <w:rPr>
          <w:rFonts w:cs="Segoe UI"/>
        </w:rPr>
        <w:t>st Management as used in the WA </w:t>
      </w:r>
      <w:r w:rsidRPr="00DB0466">
        <w:rPr>
          <w:rFonts w:cs="Segoe UI"/>
        </w:rPr>
        <w:t>RFA. In Australia, the internationally-agreed Montréal Process Criteria and Indicators for reporting on sustainable forest management are used. The Montréal Process Criteria and Indicators were agreed to be the framework for reporting on sustainability (refer</w:t>
      </w:r>
      <w:r w:rsidR="00467D7F">
        <w:rPr>
          <w:rFonts w:cs="Segoe UI"/>
        </w:rPr>
        <w:t xml:space="preserve"> to clause 51 of the current WA </w:t>
      </w:r>
      <w:r w:rsidRPr="00DB0466">
        <w:rPr>
          <w:rFonts w:cs="Segoe UI"/>
        </w:rPr>
        <w:t>RFA, as an example). The framework for Ecologically Sustainable Forest Management covers all of the matters listed in para (a) of the definition of ‘RFA’ in the RFA Act, and therefore provides the performance criteria for the assessment in this report.</w:t>
      </w:r>
    </w:p>
    <w:p w14:paraId="26ABD53B" w14:textId="77777777" w:rsidR="00C66924" w:rsidRPr="00C66924" w:rsidRDefault="00070B21" w:rsidP="00C66924">
      <w:pPr>
        <w:rPr>
          <w:rFonts w:cs="Segoe UI"/>
        </w:rPr>
      </w:pPr>
      <w:r w:rsidRPr="00CE60B2">
        <w:rPr>
          <w:rFonts w:cs="Segoe UI"/>
        </w:rPr>
        <w:t>The</w:t>
      </w:r>
      <w:r w:rsidR="002F4911" w:rsidRPr="00CE60B2">
        <w:rPr>
          <w:rFonts w:cs="Segoe UI"/>
        </w:rPr>
        <w:t xml:space="preserve"> Parties agree in the</w:t>
      </w:r>
      <w:r w:rsidR="00467D7F">
        <w:rPr>
          <w:rFonts w:cs="Segoe UI"/>
        </w:rPr>
        <w:t xml:space="preserve"> WA </w:t>
      </w:r>
      <w:r w:rsidRPr="00CE60B2">
        <w:rPr>
          <w:rFonts w:cs="Segoe UI"/>
        </w:rPr>
        <w:t>R</w:t>
      </w:r>
      <w:r w:rsidR="002F4911" w:rsidRPr="00CE60B2">
        <w:rPr>
          <w:rFonts w:cs="Segoe UI"/>
        </w:rPr>
        <w:t>FA that ESFM is an objective which requires a long-term commitment to continuous improvement and that the key elements for achieving it are:</w:t>
      </w:r>
    </w:p>
    <w:p w14:paraId="26ABD53C" w14:textId="77777777" w:rsidR="001E4296" w:rsidRPr="00CE60B2" w:rsidRDefault="00641E5D" w:rsidP="00C903EE">
      <w:pPr>
        <w:pStyle w:val="ListParagraph"/>
        <w:numPr>
          <w:ilvl w:val="0"/>
          <w:numId w:val="21"/>
        </w:numPr>
        <w:ind w:left="709"/>
        <w:rPr>
          <w:rFonts w:cs="Segoe UI"/>
        </w:rPr>
      </w:pPr>
      <w:r>
        <w:rPr>
          <w:rFonts w:cs="Segoe UI"/>
        </w:rPr>
        <w:t>t</w:t>
      </w:r>
      <w:r w:rsidR="002F4911" w:rsidRPr="00CE60B2">
        <w:rPr>
          <w:rFonts w:cs="Segoe UI"/>
        </w:rPr>
        <w:t xml:space="preserve">he establishment </w:t>
      </w:r>
      <w:r>
        <w:rPr>
          <w:rFonts w:cs="Segoe UI"/>
        </w:rPr>
        <w:t xml:space="preserve">and maintenance </w:t>
      </w:r>
      <w:r w:rsidR="002F4911" w:rsidRPr="00CE60B2">
        <w:rPr>
          <w:rFonts w:cs="Segoe UI"/>
        </w:rPr>
        <w:t>of a CAR Reserve system</w:t>
      </w:r>
    </w:p>
    <w:p w14:paraId="26ABD53D" w14:textId="5D402820" w:rsidR="002F4911" w:rsidRPr="00CE60B2" w:rsidRDefault="00641E5D" w:rsidP="00C903EE">
      <w:pPr>
        <w:pStyle w:val="ListParagraph"/>
        <w:numPr>
          <w:ilvl w:val="0"/>
          <w:numId w:val="21"/>
        </w:numPr>
        <w:ind w:left="709"/>
        <w:rPr>
          <w:rFonts w:cs="Segoe UI"/>
        </w:rPr>
      </w:pPr>
      <w:r>
        <w:rPr>
          <w:rFonts w:cs="Segoe UI"/>
        </w:rPr>
        <w:t xml:space="preserve">sustainable </w:t>
      </w:r>
      <w:r w:rsidR="002F4911" w:rsidRPr="00CE60B2">
        <w:rPr>
          <w:rFonts w:cs="Segoe UI"/>
        </w:rPr>
        <w:t>Forest-based industries</w:t>
      </w:r>
    </w:p>
    <w:p w14:paraId="26ABD53E" w14:textId="77777777" w:rsidR="002F4911" w:rsidRDefault="00641E5D" w:rsidP="00C903EE">
      <w:pPr>
        <w:pStyle w:val="ListParagraph"/>
        <w:numPr>
          <w:ilvl w:val="0"/>
          <w:numId w:val="21"/>
        </w:numPr>
        <w:ind w:left="709"/>
        <w:rPr>
          <w:rFonts w:cs="Segoe UI"/>
        </w:rPr>
      </w:pPr>
      <w:r>
        <w:rPr>
          <w:rFonts w:cs="Segoe UI"/>
        </w:rPr>
        <w:t>an</w:t>
      </w:r>
      <w:r w:rsidR="002F4911" w:rsidRPr="00CE60B2">
        <w:rPr>
          <w:rFonts w:cs="Segoe UI"/>
        </w:rPr>
        <w:t xml:space="preserve"> integrated and </w:t>
      </w:r>
      <w:r w:rsidR="000E0CE4" w:rsidRPr="00CE60B2">
        <w:rPr>
          <w:rFonts w:cs="Segoe UI"/>
        </w:rPr>
        <w:t>strategic</w:t>
      </w:r>
      <w:r w:rsidR="002F4911" w:rsidRPr="00CE60B2">
        <w:rPr>
          <w:rFonts w:cs="Segoe UI"/>
        </w:rPr>
        <w:t xml:space="preserve"> </w:t>
      </w:r>
      <w:r w:rsidR="00440CF8">
        <w:rPr>
          <w:rFonts w:cs="Segoe UI"/>
        </w:rPr>
        <w:t>FMS</w:t>
      </w:r>
      <w:r w:rsidR="002F4911" w:rsidRPr="00CE60B2">
        <w:rPr>
          <w:rFonts w:cs="Segoe UI"/>
        </w:rPr>
        <w:t xml:space="preserve"> capable of responding to new information.</w:t>
      </w:r>
    </w:p>
    <w:p w14:paraId="26ABD53F" w14:textId="77777777" w:rsidR="00832E26" w:rsidRPr="00CE60B2" w:rsidRDefault="00832E26" w:rsidP="00832E26">
      <w:pPr>
        <w:pStyle w:val="bullet"/>
        <w:numPr>
          <w:ilvl w:val="0"/>
          <w:numId w:val="0"/>
        </w:numPr>
        <w:ind w:left="360" w:hanging="360"/>
        <w:rPr>
          <w:rFonts w:cs="Segoe UI"/>
        </w:rPr>
      </w:pPr>
      <w:r w:rsidRPr="00CE60B2">
        <w:rPr>
          <w:rFonts w:cs="Segoe UI"/>
        </w:rPr>
        <w:t>This section includes analysis of the following Montréal Indicators:</w:t>
      </w:r>
    </w:p>
    <w:p w14:paraId="26ABD540" w14:textId="77777777" w:rsidR="00832E26" w:rsidRPr="00CE60B2" w:rsidRDefault="00832E26" w:rsidP="00C903EE">
      <w:pPr>
        <w:pStyle w:val="ListParagraph"/>
        <w:numPr>
          <w:ilvl w:val="0"/>
          <w:numId w:val="22"/>
        </w:numPr>
        <w:spacing w:before="0" w:after="0"/>
        <w:ind w:left="714" w:hanging="357"/>
        <w:contextualSpacing w:val="0"/>
        <w:rPr>
          <w:rFonts w:cs="Segoe UI"/>
        </w:rPr>
      </w:pPr>
      <w:r w:rsidRPr="00CE60B2">
        <w:rPr>
          <w:rFonts w:cs="Segoe UI"/>
        </w:rPr>
        <w:t>Indicator 7.1a</w:t>
      </w:r>
      <w:r w:rsidRPr="00CE60B2">
        <w:rPr>
          <w:rFonts w:cs="Segoe UI"/>
          <w:bCs/>
        </w:rPr>
        <w:t xml:space="preserve"> – </w:t>
      </w:r>
      <w:r w:rsidRPr="00CE60B2">
        <w:rPr>
          <w:rFonts w:cs="Segoe UI"/>
        </w:rPr>
        <w:t>Extent to which the legal framework supports the conservation and sustainable management of forests</w:t>
      </w:r>
    </w:p>
    <w:p w14:paraId="26ABD541" w14:textId="77777777" w:rsidR="00832E26" w:rsidRPr="00CE60B2" w:rsidRDefault="00832E26" w:rsidP="00C903EE">
      <w:pPr>
        <w:pStyle w:val="ListParagraph"/>
        <w:numPr>
          <w:ilvl w:val="0"/>
          <w:numId w:val="22"/>
        </w:numPr>
        <w:spacing w:before="0" w:after="0"/>
        <w:ind w:left="714" w:hanging="357"/>
        <w:contextualSpacing w:val="0"/>
        <w:rPr>
          <w:rFonts w:cs="Segoe UI"/>
        </w:rPr>
      </w:pPr>
      <w:r w:rsidRPr="00CE60B2">
        <w:rPr>
          <w:rFonts w:cs="Segoe UI"/>
        </w:rPr>
        <w:t>Indicator 7.1b</w:t>
      </w:r>
      <w:r w:rsidRPr="00CE60B2">
        <w:rPr>
          <w:rFonts w:cs="Segoe UI"/>
          <w:bCs/>
        </w:rPr>
        <w:t xml:space="preserve"> – </w:t>
      </w:r>
      <w:r w:rsidRPr="00CE60B2">
        <w:rPr>
          <w:rFonts w:cs="Segoe UI"/>
        </w:rPr>
        <w:t>Extent to which the institutional framework supports the conservation and sustainable management of forests</w:t>
      </w:r>
    </w:p>
    <w:p w14:paraId="26ABD542" w14:textId="77777777" w:rsidR="00832E26" w:rsidRPr="00CE60B2" w:rsidRDefault="00832E26" w:rsidP="00C903EE">
      <w:pPr>
        <w:pStyle w:val="ListParagraph"/>
        <w:numPr>
          <w:ilvl w:val="0"/>
          <w:numId w:val="22"/>
        </w:numPr>
        <w:spacing w:before="0" w:after="0"/>
        <w:ind w:left="714" w:hanging="357"/>
        <w:contextualSpacing w:val="0"/>
        <w:rPr>
          <w:rFonts w:cs="Segoe UI"/>
        </w:rPr>
      </w:pPr>
      <w:r w:rsidRPr="00CE60B2">
        <w:rPr>
          <w:rFonts w:cs="Segoe UI"/>
        </w:rPr>
        <w:t>Indicator 7.1c</w:t>
      </w:r>
      <w:r w:rsidRPr="00CE60B2">
        <w:rPr>
          <w:rFonts w:cs="Segoe UI"/>
          <w:bCs/>
        </w:rPr>
        <w:t xml:space="preserve"> – </w:t>
      </w:r>
      <w:r w:rsidRPr="00CE60B2">
        <w:rPr>
          <w:rFonts w:cs="Segoe UI"/>
        </w:rPr>
        <w:t>Extent to which the economic framework supports the conservation and sustainable management of forests</w:t>
      </w:r>
    </w:p>
    <w:p w14:paraId="26ABD543" w14:textId="77777777" w:rsidR="00832E26" w:rsidRPr="00CE60B2" w:rsidRDefault="00832E26" w:rsidP="00C903EE">
      <w:pPr>
        <w:pStyle w:val="ListParagraph"/>
        <w:numPr>
          <w:ilvl w:val="0"/>
          <w:numId w:val="22"/>
        </w:numPr>
        <w:spacing w:before="0" w:after="0"/>
        <w:ind w:left="714" w:hanging="357"/>
        <w:contextualSpacing w:val="0"/>
        <w:rPr>
          <w:rFonts w:cs="Segoe UI"/>
        </w:rPr>
      </w:pPr>
      <w:r w:rsidRPr="00CE60B2">
        <w:rPr>
          <w:rFonts w:cs="Segoe UI"/>
        </w:rPr>
        <w:t>Indicator 7.1d</w:t>
      </w:r>
      <w:r w:rsidRPr="00CE60B2">
        <w:rPr>
          <w:rFonts w:cs="Segoe UI"/>
          <w:bCs/>
        </w:rPr>
        <w:t xml:space="preserve"> – </w:t>
      </w:r>
      <w:r w:rsidRPr="00CE60B2">
        <w:rPr>
          <w:rFonts w:cs="Segoe UI"/>
        </w:rPr>
        <w:t>Capacity to measure and monitor changes in the conservation and sustainable management of forests</w:t>
      </w:r>
    </w:p>
    <w:p w14:paraId="26ABD544" w14:textId="77777777" w:rsidR="00832E26" w:rsidRPr="00CE60B2" w:rsidRDefault="00832E26" w:rsidP="00C903EE">
      <w:pPr>
        <w:pStyle w:val="ListParagraph"/>
        <w:numPr>
          <w:ilvl w:val="0"/>
          <w:numId w:val="22"/>
        </w:numPr>
        <w:spacing w:before="0" w:after="0"/>
        <w:ind w:left="714" w:hanging="357"/>
        <w:contextualSpacing w:val="0"/>
        <w:rPr>
          <w:rFonts w:cs="Segoe UI"/>
        </w:rPr>
      </w:pPr>
      <w:r w:rsidRPr="00CE60B2">
        <w:rPr>
          <w:rFonts w:cs="Segoe UI"/>
        </w:rPr>
        <w:t>Indicator 7.1e</w:t>
      </w:r>
      <w:r w:rsidRPr="00CE60B2">
        <w:rPr>
          <w:rFonts w:cs="Segoe UI"/>
          <w:bCs/>
        </w:rPr>
        <w:t xml:space="preserve"> – </w:t>
      </w:r>
      <w:r w:rsidRPr="00CE60B2">
        <w:rPr>
          <w:rFonts w:cs="Segoe UI"/>
        </w:rPr>
        <w:t>Capacity to conduct and apply research and development aimed at improving forest management and delivery of forest goods and services</w:t>
      </w:r>
    </w:p>
    <w:p w14:paraId="26ABD545" w14:textId="77777777" w:rsidR="00832E26" w:rsidRPr="00CE60B2" w:rsidRDefault="00832E26" w:rsidP="00C903EE">
      <w:pPr>
        <w:pStyle w:val="ListParagraph"/>
        <w:numPr>
          <w:ilvl w:val="0"/>
          <w:numId w:val="22"/>
        </w:numPr>
        <w:spacing w:before="0" w:after="0"/>
        <w:ind w:left="714" w:hanging="357"/>
        <w:contextualSpacing w:val="0"/>
        <w:rPr>
          <w:rFonts w:cs="Segoe UI"/>
        </w:rPr>
      </w:pPr>
      <w:r w:rsidRPr="00CE60B2">
        <w:rPr>
          <w:rFonts w:cs="Segoe UI"/>
        </w:rPr>
        <w:t>Indicator 3.1.a:</w:t>
      </w:r>
      <w:r w:rsidRPr="00CE60B2">
        <w:rPr>
          <w:rFonts w:cs="Segoe UI"/>
          <w:bCs/>
        </w:rPr>
        <w:t xml:space="preserve"> – </w:t>
      </w:r>
      <w:r w:rsidRPr="00CE60B2">
        <w:rPr>
          <w:rFonts w:cs="Segoe UI"/>
        </w:rPr>
        <w:t>Scale and impact of agents and processes affecting forest health and vitality</w:t>
      </w:r>
    </w:p>
    <w:p w14:paraId="26ABD546" w14:textId="0AC608CC" w:rsidR="00832E26" w:rsidRPr="00CE60B2" w:rsidRDefault="00832E26" w:rsidP="00C903EE">
      <w:pPr>
        <w:pStyle w:val="ListParagraph"/>
        <w:numPr>
          <w:ilvl w:val="0"/>
          <w:numId w:val="22"/>
        </w:numPr>
        <w:spacing w:before="0" w:after="0"/>
        <w:ind w:left="714" w:hanging="357"/>
        <w:contextualSpacing w:val="0"/>
        <w:rPr>
          <w:rFonts w:cs="Segoe UI"/>
        </w:rPr>
      </w:pPr>
      <w:r w:rsidRPr="00CE60B2">
        <w:rPr>
          <w:rFonts w:cs="Segoe UI"/>
        </w:rPr>
        <w:t>Indicator 5.1a</w:t>
      </w:r>
      <w:r w:rsidRPr="00CE60B2">
        <w:rPr>
          <w:rFonts w:cs="Segoe UI"/>
          <w:bCs/>
        </w:rPr>
        <w:t xml:space="preserve"> – </w:t>
      </w:r>
      <w:r w:rsidRPr="00CE60B2">
        <w:rPr>
          <w:rFonts w:cs="Segoe UI"/>
        </w:rPr>
        <w:t>Contribution of forest ecosystems and forest industries to the global greenhouse gas balance</w:t>
      </w:r>
      <w:r w:rsidR="00BA5A4A">
        <w:rPr>
          <w:rFonts w:cs="Segoe UI"/>
        </w:rPr>
        <w:t>.</w:t>
      </w:r>
    </w:p>
    <w:p w14:paraId="26ABD547" w14:textId="77777777" w:rsidR="00CE4B36" w:rsidRPr="00CE60B2" w:rsidRDefault="00CE4B36" w:rsidP="000F6020">
      <w:pPr>
        <w:pStyle w:val="Heading3"/>
        <w:rPr>
          <w:lang w:eastAsia="en-AU"/>
        </w:rPr>
      </w:pPr>
      <w:bookmarkStart w:id="189" w:name="_Toc524952829"/>
      <w:bookmarkStart w:id="190" w:name="_Toc2776072"/>
      <w:r w:rsidRPr="00CE60B2">
        <w:rPr>
          <w:lang w:eastAsia="en-AU"/>
        </w:rPr>
        <w:t>Indicator 7.1a</w:t>
      </w:r>
      <w:r w:rsidRPr="00CE60B2">
        <w:rPr>
          <w:lang w:eastAsia="en-AU"/>
        </w:rPr>
        <w:tab/>
        <w:t>Extent to which the legal framework supports the conservation and sustainable management of forests</w:t>
      </w:r>
      <w:bookmarkEnd w:id="189"/>
      <w:bookmarkEnd w:id="190"/>
    </w:p>
    <w:p w14:paraId="26ABD548" w14:textId="77777777" w:rsidR="00440EF2" w:rsidRPr="00CE60B2" w:rsidRDefault="00440EF2" w:rsidP="00440EF2">
      <w:pPr>
        <w:autoSpaceDE w:val="0"/>
        <w:autoSpaceDN w:val="0"/>
        <w:adjustRightInd w:val="0"/>
        <w:spacing w:before="0" w:after="0"/>
        <w:rPr>
          <w:rFonts w:cs="Segoe UI"/>
        </w:rPr>
      </w:pPr>
      <w:r w:rsidRPr="00CE60B2">
        <w:rPr>
          <w:rFonts w:cs="Segoe UI"/>
        </w:rPr>
        <w:t xml:space="preserve">This indicator outlines the support that the legal system gives to the sustainable management of forests. A legal system that ensures transparency and public participation in </w:t>
      </w:r>
      <w:r w:rsidRPr="00CE60B2">
        <w:rPr>
          <w:rFonts w:cs="Segoe UI"/>
        </w:rPr>
        <w:lastRenderedPageBreak/>
        <w:t>policy and decision-making processes supports the continuous improvements in sustainable forest management.</w:t>
      </w:r>
    </w:p>
    <w:p w14:paraId="26ABD549" w14:textId="77777777" w:rsidR="004B4CA1" w:rsidRDefault="004B4CA1" w:rsidP="004B4CA1">
      <w:pPr>
        <w:autoSpaceDE w:val="0"/>
        <w:autoSpaceDN w:val="0"/>
        <w:adjustRightInd w:val="0"/>
        <w:spacing w:before="0" w:after="0"/>
      </w:pPr>
      <w:r>
        <w:t>The WA</w:t>
      </w:r>
      <w:r w:rsidR="00DF05C3">
        <w:t> </w:t>
      </w:r>
      <w:r>
        <w:t>RFA provides the framework and context for the protection and management of forests in WA’s south</w:t>
      </w:r>
      <w:r w:rsidR="00DF05C3">
        <w:noBreakHyphen/>
      </w:r>
      <w:r>
        <w:t>west, at the Commonwealth level. The key principles of the agreement are</w:t>
      </w:r>
      <w:r w:rsidRPr="00440EF2">
        <w:t xml:space="preserve"> support</w:t>
      </w:r>
      <w:r>
        <w:t>ed by legislation (both State and commonwealth)</w:t>
      </w:r>
      <w:r w:rsidRPr="00440EF2">
        <w:t xml:space="preserve"> </w:t>
      </w:r>
      <w:r>
        <w:t xml:space="preserve">which sets applicable legal requirements, establishes roles and responsibilities and </w:t>
      </w:r>
      <w:r w:rsidRPr="00440EF2">
        <w:t>ensure transparency and public participation in policy and decision-making</w:t>
      </w:r>
      <w:r>
        <w:t>.</w:t>
      </w:r>
    </w:p>
    <w:p w14:paraId="26ABD54A" w14:textId="77777777" w:rsidR="004B4CA1" w:rsidRPr="00BA59E1" w:rsidRDefault="004B4CA1" w:rsidP="004B4CA1">
      <w:pPr>
        <w:pStyle w:val="Heading3"/>
      </w:pPr>
      <w:bookmarkStart w:id="191" w:name="_Toc2776073"/>
      <w:r w:rsidRPr="00BA59E1">
        <w:t>Commonwealth Legislation</w:t>
      </w:r>
      <w:bookmarkEnd w:id="191"/>
    </w:p>
    <w:p w14:paraId="26ABD54B" w14:textId="77777777" w:rsidR="004B4CA1" w:rsidRDefault="004B4CA1" w:rsidP="004B4CA1">
      <w:pPr>
        <w:rPr>
          <w:i/>
        </w:rPr>
      </w:pPr>
      <w:r>
        <w:t>The primary Commonwealth legislation guiding</w:t>
      </w:r>
      <w:r w:rsidRPr="00DF1B5F" w:rsidDel="00184305">
        <w:t xml:space="preserve"> </w:t>
      </w:r>
      <w:r w:rsidRPr="00DF1B5F">
        <w:t>the conservation and sustainable management of forests</w:t>
      </w:r>
      <w:r>
        <w:t xml:space="preserve"> includes:</w:t>
      </w:r>
    </w:p>
    <w:p w14:paraId="26ABD54C" w14:textId="77777777" w:rsidR="004B4CA1" w:rsidRDefault="004B4CA1" w:rsidP="00DB5309">
      <w:pPr>
        <w:pStyle w:val="bullet"/>
        <w:spacing w:before="0" w:after="0"/>
        <w:ind w:left="714" w:hanging="357"/>
      </w:pPr>
      <w:r w:rsidRPr="008C7C47">
        <w:t xml:space="preserve">The </w:t>
      </w:r>
      <w:r w:rsidR="009320E7" w:rsidRPr="009320E7">
        <w:t>EPBC Act</w:t>
      </w:r>
      <w:r w:rsidRPr="008C7C47">
        <w:t xml:space="preserve"> </w:t>
      </w:r>
      <w:r>
        <w:t xml:space="preserve">– administered by the Department of the Environment and Energy, </w:t>
      </w:r>
      <w:r w:rsidRPr="008C7C47">
        <w:t>encapsulat</w:t>
      </w:r>
      <w:r>
        <w:t>es</w:t>
      </w:r>
      <w:r w:rsidRPr="008C7C47">
        <w:t xml:space="preserve"> </w:t>
      </w:r>
      <w:r>
        <w:t xml:space="preserve">and promotes </w:t>
      </w:r>
      <w:r w:rsidRPr="008C7C47">
        <w:t>the principles of ecologically sustainable development</w:t>
      </w:r>
      <w:r>
        <w:t xml:space="preserve">, and protects and manages </w:t>
      </w:r>
      <w:r w:rsidR="00C9181A">
        <w:t>MNES</w:t>
      </w:r>
      <w:r>
        <w:t>.</w:t>
      </w:r>
    </w:p>
    <w:p w14:paraId="26ABD54D" w14:textId="77777777" w:rsidR="004B4CA1" w:rsidRDefault="004B4CA1" w:rsidP="00DB5309">
      <w:pPr>
        <w:pStyle w:val="bullet"/>
        <w:spacing w:before="0" w:after="0"/>
        <w:ind w:left="714" w:hanging="357"/>
      </w:pPr>
      <w:r>
        <w:t>The</w:t>
      </w:r>
      <w:r w:rsidRPr="00420DDF">
        <w:t xml:space="preserve"> </w:t>
      </w:r>
      <w:r w:rsidR="00420DDF" w:rsidRPr="00420DDF">
        <w:t>RFA Act</w:t>
      </w:r>
      <w:r w:rsidRPr="00420DDF">
        <w:t xml:space="preserve"> </w:t>
      </w:r>
      <w:r>
        <w:t xml:space="preserve">– administered by the Department of Agriculture and Water Resources, </w:t>
      </w:r>
      <w:r w:rsidRPr="008C7C47">
        <w:t xml:space="preserve">legislates for the creation and operation of </w:t>
      </w:r>
      <w:r>
        <w:t>RFAs</w:t>
      </w:r>
      <w:r w:rsidRPr="008C7C47">
        <w:t>.</w:t>
      </w:r>
      <w:r>
        <w:t xml:space="preserve"> The Act gives effect to the CAR reserve system and WA’s</w:t>
      </w:r>
      <w:r w:rsidR="00670669">
        <w:t> FMS</w:t>
      </w:r>
      <w:r>
        <w:t xml:space="preserve">. </w:t>
      </w:r>
    </w:p>
    <w:p w14:paraId="26ABD54E" w14:textId="77777777" w:rsidR="004B4CA1" w:rsidRDefault="004B4CA1" w:rsidP="004B4CA1">
      <w:pPr>
        <w:pStyle w:val="Heading3"/>
      </w:pPr>
      <w:bookmarkStart w:id="192" w:name="_Toc2776074"/>
      <w:r>
        <w:t>Western Australian State Legislation</w:t>
      </w:r>
      <w:bookmarkEnd w:id="192"/>
    </w:p>
    <w:p w14:paraId="26ABD54F" w14:textId="77777777" w:rsidR="004B4CA1" w:rsidRPr="004B34E1" w:rsidRDefault="004B4CA1" w:rsidP="004B4CA1">
      <w:pPr>
        <w:rPr>
          <w:rFonts w:cs="Segoe UI"/>
        </w:rPr>
      </w:pPr>
      <w:r w:rsidRPr="004B34E1">
        <w:rPr>
          <w:rFonts w:cs="Segoe UI"/>
        </w:rPr>
        <w:t>Western Australia has a suite of legislation supporting the conservation and sustainable management of forests. The core regulatory framework is guided by the following Acts:</w:t>
      </w:r>
    </w:p>
    <w:p w14:paraId="26ABD550" w14:textId="77777777" w:rsidR="004B4CA1" w:rsidRDefault="004B4CA1" w:rsidP="004B4CA1">
      <w:pPr>
        <w:rPr>
          <w:rStyle w:val="legvalue"/>
          <w:rFonts w:cs="Segoe UI"/>
        </w:rPr>
      </w:pPr>
      <w:r>
        <w:rPr>
          <w:rFonts w:cs="Segoe UI"/>
        </w:rPr>
        <w:t>CALM Act</w:t>
      </w:r>
      <w:r w:rsidR="0075402C">
        <w:rPr>
          <w:rFonts w:cs="Segoe UI"/>
        </w:rPr>
        <w:t>,</w:t>
      </w:r>
      <w:r w:rsidRPr="00FF7AAD">
        <w:rPr>
          <w:rFonts w:cs="Segoe UI"/>
          <w:i/>
        </w:rPr>
        <w:t xml:space="preserve"> </w:t>
      </w:r>
      <w:r w:rsidRPr="00FF7AAD">
        <w:rPr>
          <w:rFonts w:cs="Segoe UI"/>
        </w:rPr>
        <w:t xml:space="preserve">administered by the </w:t>
      </w:r>
      <w:r w:rsidR="00F64552">
        <w:rPr>
          <w:rFonts w:cs="Segoe UI"/>
        </w:rPr>
        <w:t>DBCA</w:t>
      </w:r>
      <w:r w:rsidRPr="00FF7AAD">
        <w:rPr>
          <w:rStyle w:val="legvalue"/>
          <w:rFonts w:cs="Segoe UI"/>
        </w:rPr>
        <w:t>, make</w:t>
      </w:r>
      <w:r w:rsidR="00DB0466">
        <w:rPr>
          <w:rStyle w:val="legvalue"/>
          <w:rFonts w:cs="Segoe UI"/>
        </w:rPr>
        <w:t>s</w:t>
      </w:r>
      <w:r w:rsidRPr="00FF7AAD">
        <w:rPr>
          <w:rStyle w:val="legvalue"/>
          <w:rFonts w:cs="Segoe UI"/>
        </w:rPr>
        <w:t xml:space="preserve"> provision for the use, protection and management of certain public lands and waters and the flora and fauna thereof.</w:t>
      </w:r>
    </w:p>
    <w:p w14:paraId="26ABD551" w14:textId="77777777" w:rsidR="004B4CA1" w:rsidRPr="00FF7AAD" w:rsidRDefault="004B4CA1" w:rsidP="004B4CA1">
      <w:pPr>
        <w:rPr>
          <w:rFonts w:cs="Segoe UI"/>
        </w:rPr>
      </w:pPr>
      <w:r w:rsidRPr="00FF7AAD">
        <w:rPr>
          <w:rFonts w:cs="Segoe UI"/>
        </w:rPr>
        <w:t>Since signing the WA</w:t>
      </w:r>
      <w:r>
        <w:rPr>
          <w:rFonts w:cs="Segoe UI"/>
        </w:rPr>
        <w:t xml:space="preserve"> </w:t>
      </w:r>
      <w:r w:rsidRPr="00FF7AAD">
        <w:rPr>
          <w:rFonts w:cs="Segoe UI"/>
        </w:rPr>
        <w:t xml:space="preserve">RFA the </w:t>
      </w:r>
      <w:r w:rsidR="0075402C">
        <w:rPr>
          <w:rFonts w:cs="Segoe UI"/>
        </w:rPr>
        <w:t xml:space="preserve">CALM </w:t>
      </w:r>
      <w:r w:rsidRPr="00FF7AAD">
        <w:rPr>
          <w:rFonts w:cs="Segoe UI"/>
        </w:rPr>
        <w:t xml:space="preserve">Act has been amended to </w:t>
      </w:r>
      <w:r>
        <w:rPr>
          <w:rFonts w:cs="Segoe UI"/>
        </w:rPr>
        <w:t xml:space="preserve">acknowledge </w:t>
      </w:r>
      <w:r w:rsidRPr="00FF7AAD">
        <w:rPr>
          <w:rFonts w:cs="Segoe UI"/>
          <w:color w:val="333333"/>
          <w:shd w:val="clear" w:color="auto" w:fill="FFFFFF"/>
        </w:rPr>
        <w:t xml:space="preserve">Aboriginal connection to lands, </w:t>
      </w:r>
      <w:r>
        <w:rPr>
          <w:rFonts w:cs="Segoe UI"/>
          <w:color w:val="333333"/>
          <w:shd w:val="clear" w:color="auto" w:fill="FFFFFF"/>
        </w:rPr>
        <w:t>enabling</w:t>
      </w:r>
      <w:r w:rsidRPr="00FF7AAD">
        <w:rPr>
          <w:rFonts w:cs="Segoe UI"/>
          <w:color w:val="333333"/>
          <w:shd w:val="clear" w:color="auto" w:fill="FFFFFF"/>
        </w:rPr>
        <w:t xml:space="preserve"> Aboriginal people to become more involved in managing land and using parks and reserves for customary activities. Th</w:t>
      </w:r>
      <w:r>
        <w:rPr>
          <w:rFonts w:cs="Segoe UI"/>
          <w:color w:val="333333"/>
          <w:shd w:val="clear" w:color="auto" w:fill="FFFFFF"/>
        </w:rPr>
        <w:t>is</w:t>
      </w:r>
      <w:r w:rsidRPr="00FF7AAD">
        <w:rPr>
          <w:rFonts w:cs="Segoe UI"/>
          <w:color w:val="333333"/>
          <w:shd w:val="clear" w:color="auto" w:fill="FFFFFF"/>
        </w:rPr>
        <w:t xml:space="preserve"> will help the </w:t>
      </w:r>
      <w:r w:rsidR="00FD4352">
        <w:rPr>
          <w:rFonts w:cs="Segoe UI"/>
          <w:color w:val="333333"/>
          <w:shd w:val="clear" w:color="auto" w:fill="FFFFFF"/>
        </w:rPr>
        <w:t>DBCA</w:t>
      </w:r>
      <w:r w:rsidRPr="00FF7AAD">
        <w:rPr>
          <w:rFonts w:cs="Segoe UI"/>
          <w:color w:val="333333"/>
          <w:shd w:val="clear" w:color="auto" w:fill="FFFFFF"/>
        </w:rPr>
        <w:t xml:space="preserve"> build strong relationships with Aboriginal people and provide opportunities to resolve native title</w:t>
      </w:r>
      <w:r>
        <w:rPr>
          <w:rFonts w:cs="Segoe UI"/>
        </w:rPr>
        <w:t>.</w:t>
      </w:r>
    </w:p>
    <w:p w14:paraId="26ABD552" w14:textId="617971E4" w:rsidR="004B4CA1" w:rsidRDefault="004B4CA1" w:rsidP="004B4CA1">
      <w:pPr>
        <w:rPr>
          <w:rStyle w:val="legvalue"/>
          <w:rFonts w:cs="Segoe UI"/>
        </w:rPr>
      </w:pPr>
      <w:r>
        <w:rPr>
          <w:rFonts w:cs="Segoe UI"/>
        </w:rPr>
        <w:t xml:space="preserve">EP Act, administered by the Department of Water and Environmental </w:t>
      </w:r>
      <w:r w:rsidR="00BA5A4A">
        <w:rPr>
          <w:rFonts w:cs="Segoe UI"/>
        </w:rPr>
        <w:t>Regulation, established</w:t>
      </w:r>
      <w:r>
        <w:rPr>
          <w:rFonts w:cs="Segoe UI"/>
        </w:rPr>
        <w:t xml:space="preserve"> the </w:t>
      </w:r>
      <w:r w:rsidR="00A27392">
        <w:rPr>
          <w:rFonts w:cs="Segoe UI"/>
        </w:rPr>
        <w:t>EPA</w:t>
      </w:r>
      <w:r w:rsidRPr="004B34E1">
        <w:rPr>
          <w:rStyle w:val="legvalue"/>
          <w:rFonts w:cs="Segoe UI"/>
        </w:rPr>
        <w:t xml:space="preserve"> to provide for the prevention, control and abatement of pollution and environmental harm, the conservation, preservation, protection, enhancement and management of the environment, and for matters incidental to or connected with the foregoing.</w:t>
      </w:r>
    </w:p>
    <w:p w14:paraId="26ABD553" w14:textId="77777777" w:rsidR="004B4CA1" w:rsidRPr="005B1E1A" w:rsidRDefault="004B4CA1" w:rsidP="004B4CA1">
      <w:pPr>
        <w:rPr>
          <w:rFonts w:cs="Segoe UI"/>
        </w:rPr>
      </w:pPr>
      <w:r w:rsidRPr="005B1E1A">
        <w:rPr>
          <w:rFonts w:cs="Segoe UI"/>
        </w:rPr>
        <w:t xml:space="preserve">Since 2004, clearing of native vegetation requires a clearing permit issued under the </w:t>
      </w:r>
      <w:r w:rsidR="0075402C">
        <w:rPr>
          <w:rFonts w:cs="Segoe UI"/>
        </w:rPr>
        <w:t xml:space="preserve">EP </w:t>
      </w:r>
      <w:r w:rsidRPr="005B1E1A">
        <w:rPr>
          <w:rFonts w:cs="Segoe UI"/>
        </w:rPr>
        <w:t xml:space="preserve">Act, except where exemptions were granted in accordance with the legislation. Schedule 5 of the </w:t>
      </w:r>
      <w:r w:rsidR="0075402C">
        <w:rPr>
          <w:rFonts w:cs="Segoe UI"/>
        </w:rPr>
        <w:t xml:space="preserve">EP </w:t>
      </w:r>
      <w:r w:rsidRPr="005B1E1A">
        <w:rPr>
          <w:rFonts w:cs="Segoe UI"/>
        </w:rPr>
        <w:t xml:space="preserve">Act, </w:t>
      </w:r>
      <w:r w:rsidRPr="005B1E1A">
        <w:rPr>
          <w:rFonts w:cs="Segoe UI"/>
          <w:i/>
          <w:iCs/>
        </w:rPr>
        <w:t>Principles for clearing native vegetation</w:t>
      </w:r>
      <w:r w:rsidRPr="005B1E1A">
        <w:rPr>
          <w:rFonts w:cs="Segoe UI"/>
        </w:rPr>
        <w:t>, provides the framework to apply the native vegetation clearing regulations and advice to external agencies and proponents.</w:t>
      </w:r>
    </w:p>
    <w:p w14:paraId="26ABD554" w14:textId="77777777" w:rsidR="004B4CA1" w:rsidRPr="005B1E1A" w:rsidRDefault="004B4CA1" w:rsidP="004B4CA1">
      <w:pPr>
        <w:pStyle w:val="NormalWeb"/>
        <w:shd w:val="clear" w:color="auto" w:fill="FFFFFF"/>
        <w:spacing w:before="0" w:beforeAutospacing="0" w:after="0" w:afterAutospacing="0"/>
        <w:rPr>
          <w:rFonts w:ascii="Segoe UI" w:hAnsi="Segoe UI" w:cs="Segoe UI"/>
          <w:sz w:val="22"/>
          <w:szCs w:val="22"/>
        </w:rPr>
      </w:pPr>
      <w:r w:rsidRPr="0075402C">
        <w:rPr>
          <w:rFonts w:ascii="Segoe UI" w:hAnsi="Segoe UI" w:cs="Segoe UI"/>
          <w:sz w:val="22"/>
          <w:szCs w:val="22"/>
        </w:rPr>
        <w:t xml:space="preserve">Forest Products Act </w:t>
      </w:r>
      <w:r w:rsidR="007D2634">
        <w:rPr>
          <w:rFonts w:ascii="Segoe UI" w:hAnsi="Segoe UI" w:cs="Segoe UI"/>
          <w:sz w:val="22"/>
          <w:szCs w:val="22"/>
        </w:rPr>
        <w:t>(WA) (FP Act)</w:t>
      </w:r>
      <w:r w:rsidR="0052408B">
        <w:rPr>
          <w:rFonts w:ascii="Segoe UI" w:hAnsi="Segoe UI" w:cs="Segoe UI"/>
          <w:sz w:val="22"/>
          <w:szCs w:val="22"/>
        </w:rPr>
        <w:t xml:space="preserve"> </w:t>
      </w:r>
      <w:r w:rsidRPr="005B1E1A">
        <w:rPr>
          <w:rFonts w:ascii="Segoe UI" w:hAnsi="Segoe UI" w:cs="Segoe UI"/>
          <w:sz w:val="22"/>
          <w:szCs w:val="22"/>
        </w:rPr>
        <w:t xml:space="preserve">established the </w:t>
      </w:r>
      <w:r w:rsidR="00280321">
        <w:rPr>
          <w:rFonts w:ascii="Segoe UI" w:hAnsi="Segoe UI" w:cs="Segoe UI"/>
          <w:sz w:val="22"/>
          <w:szCs w:val="22"/>
        </w:rPr>
        <w:t>FPC</w:t>
      </w:r>
      <w:r w:rsidRPr="005B1E1A">
        <w:rPr>
          <w:rFonts w:ascii="Segoe UI" w:hAnsi="Segoe UI" w:cs="Segoe UI"/>
          <w:sz w:val="22"/>
          <w:szCs w:val="22"/>
        </w:rPr>
        <w:t xml:space="preserve"> to </w:t>
      </w:r>
      <w:r w:rsidRPr="005B1E1A">
        <w:rPr>
          <w:rStyle w:val="legvalue"/>
          <w:rFonts w:ascii="Segoe UI" w:hAnsi="Segoe UI" w:cs="Segoe UI"/>
          <w:sz w:val="22"/>
          <w:szCs w:val="22"/>
        </w:rPr>
        <w:t>perform commercial functions of growing, harvesting and selling forest products; supporting industry development. The Commission seeks to encourage s</w:t>
      </w:r>
      <w:r w:rsidRPr="005B1E1A">
        <w:rPr>
          <w:rFonts w:ascii="Segoe UI" w:hAnsi="Segoe UI" w:cs="Segoe UI"/>
          <w:sz w:val="22"/>
          <w:szCs w:val="22"/>
        </w:rPr>
        <w:t>ustainable harvesting and regeneration of the state’s plantation and native forest resources</w:t>
      </w:r>
    </w:p>
    <w:p w14:paraId="26ABD555" w14:textId="77777777" w:rsidR="004B4CA1" w:rsidRPr="005B1E1A" w:rsidRDefault="00F54B80" w:rsidP="004B4CA1">
      <w:pPr>
        <w:rPr>
          <w:rFonts w:cs="Segoe UI"/>
        </w:rPr>
      </w:pPr>
      <w:r w:rsidRPr="0075402C">
        <w:rPr>
          <w:rFonts w:cs="Segoe UI"/>
        </w:rPr>
        <w:t>The</w:t>
      </w:r>
      <w:r>
        <w:rPr>
          <w:rFonts w:cs="Segoe UI"/>
          <w:i/>
        </w:rPr>
        <w:t xml:space="preserve"> </w:t>
      </w:r>
      <w:r w:rsidR="004B4CA1">
        <w:rPr>
          <w:rFonts w:cs="Segoe UI"/>
        </w:rPr>
        <w:t xml:space="preserve">WC Act </w:t>
      </w:r>
      <w:r w:rsidR="004B4CA1" w:rsidRPr="005B1E1A">
        <w:rPr>
          <w:rFonts w:cs="Segoe UI"/>
        </w:rPr>
        <w:t xml:space="preserve">administered by the </w:t>
      </w:r>
      <w:r w:rsidR="00F64552">
        <w:rPr>
          <w:rFonts w:cs="Segoe UI"/>
        </w:rPr>
        <w:t>DBCA</w:t>
      </w:r>
      <w:r w:rsidR="004B4CA1" w:rsidRPr="005B1E1A">
        <w:rPr>
          <w:rFonts w:cs="Segoe UI"/>
        </w:rPr>
        <w:t xml:space="preserve"> </w:t>
      </w:r>
      <w:r w:rsidR="00E31BE3">
        <w:rPr>
          <w:rFonts w:cs="Segoe UI"/>
        </w:rPr>
        <w:t xml:space="preserve">provides for </w:t>
      </w:r>
      <w:r w:rsidR="004B4CA1" w:rsidRPr="005B1E1A">
        <w:rPr>
          <w:rFonts w:cs="Segoe UI"/>
        </w:rPr>
        <w:t>conservation and legal protection of flora and fauna. The</w:t>
      </w:r>
      <w:r w:rsidR="0075402C">
        <w:rPr>
          <w:rFonts w:cs="Segoe UI"/>
        </w:rPr>
        <w:t xml:space="preserve"> WC</w:t>
      </w:r>
      <w:r w:rsidR="004B4CA1" w:rsidRPr="005B1E1A">
        <w:rPr>
          <w:rFonts w:cs="Segoe UI"/>
        </w:rPr>
        <w:t xml:space="preserve"> Act will be replaced by the </w:t>
      </w:r>
      <w:r w:rsidR="00467D7F">
        <w:rPr>
          <w:rFonts w:cs="Segoe UI"/>
        </w:rPr>
        <w:t>BC Act</w:t>
      </w:r>
      <w:r w:rsidR="004B4CA1">
        <w:rPr>
          <w:rFonts w:cs="Segoe UI"/>
        </w:rPr>
        <w:t xml:space="preserve"> </w:t>
      </w:r>
      <w:r w:rsidR="00467D7F">
        <w:rPr>
          <w:rFonts w:cs="Segoe UI"/>
        </w:rPr>
        <w:t>from 1 January </w:t>
      </w:r>
      <w:r w:rsidR="004B4CA1" w:rsidRPr="005B1E1A">
        <w:rPr>
          <w:rFonts w:cs="Segoe UI"/>
        </w:rPr>
        <w:t>201</w:t>
      </w:r>
      <w:r w:rsidR="00E31BE3">
        <w:rPr>
          <w:rFonts w:cs="Segoe UI"/>
        </w:rPr>
        <w:t>9</w:t>
      </w:r>
      <w:r w:rsidR="00467D7F">
        <w:rPr>
          <w:rFonts w:cs="Segoe UI"/>
        </w:rPr>
        <w:t>. The BC </w:t>
      </w:r>
      <w:r w:rsidR="004B4CA1" w:rsidRPr="005B1E1A">
        <w:rPr>
          <w:rFonts w:cs="Segoe UI"/>
        </w:rPr>
        <w:t>Act is a modern and effective approach to biodiversity conservation and the ecologically sustainable use of biodiversity</w:t>
      </w:r>
      <w:r w:rsidR="00E31BE3">
        <w:rPr>
          <w:rFonts w:cs="Segoe UI"/>
        </w:rPr>
        <w:t>,</w:t>
      </w:r>
      <w:r w:rsidR="004B4CA1" w:rsidRPr="005B1E1A">
        <w:rPr>
          <w:rFonts w:cs="Segoe UI"/>
        </w:rPr>
        <w:t xml:space="preserve"> designed to enhance the achievement of biodiversity conservation State-</w:t>
      </w:r>
      <w:r w:rsidR="004B4CA1" w:rsidRPr="005B1E1A">
        <w:rPr>
          <w:rFonts w:cs="Segoe UI"/>
        </w:rPr>
        <w:lastRenderedPageBreak/>
        <w:t>wide through mechanisms covering promotion, encouragement, assistance, negotiation and completely revised penalty and defence provisions.</w:t>
      </w:r>
    </w:p>
    <w:p w14:paraId="26ABD556" w14:textId="77777777" w:rsidR="004B4CA1" w:rsidRPr="004B34E1" w:rsidRDefault="004B4CA1" w:rsidP="004B4CA1">
      <w:pPr>
        <w:rPr>
          <w:rFonts w:cs="Segoe UI"/>
        </w:rPr>
      </w:pPr>
      <w:r w:rsidRPr="004B34E1">
        <w:rPr>
          <w:rFonts w:cs="Segoe UI"/>
          <w:color w:val="000000"/>
        </w:rPr>
        <w:t>The</w:t>
      </w:r>
      <w:r>
        <w:rPr>
          <w:rFonts w:cs="Segoe UI"/>
          <w:color w:val="000000"/>
        </w:rPr>
        <w:t xml:space="preserve">re is also a tranche of </w:t>
      </w:r>
      <w:r w:rsidRPr="004B34E1">
        <w:rPr>
          <w:rFonts w:cs="Segoe UI"/>
          <w:color w:val="000000"/>
        </w:rPr>
        <w:t>major secondary legislation influencing the delivery of ESFM, including protect</w:t>
      </w:r>
      <w:r>
        <w:rPr>
          <w:rFonts w:cs="Segoe UI"/>
          <w:color w:val="000000"/>
        </w:rPr>
        <w:t>ing</w:t>
      </w:r>
      <w:r w:rsidRPr="004B34E1">
        <w:rPr>
          <w:rFonts w:cs="Segoe UI"/>
          <w:color w:val="000000"/>
        </w:rPr>
        <w:t xml:space="preserve"> biodiversity</w:t>
      </w:r>
      <w:r w:rsidR="008112B9">
        <w:rPr>
          <w:rFonts w:cs="Segoe UI"/>
          <w:color w:val="000000"/>
        </w:rPr>
        <w:t>, management of</w:t>
      </w:r>
      <w:r w:rsidRPr="004B34E1">
        <w:rPr>
          <w:rFonts w:cs="Segoe UI"/>
          <w:color w:val="000000"/>
        </w:rPr>
        <w:t xml:space="preserve"> </w:t>
      </w:r>
      <w:r w:rsidR="00C9181A">
        <w:rPr>
          <w:rFonts w:cs="Segoe UI"/>
          <w:color w:val="000000"/>
        </w:rPr>
        <w:t>MNES</w:t>
      </w:r>
      <w:r w:rsidRPr="004B34E1">
        <w:rPr>
          <w:rFonts w:cs="Segoe UI"/>
          <w:color w:val="000000"/>
        </w:rPr>
        <w:t xml:space="preserve"> (such as Ramsar wetlands, National Heritage places, threatened species and communities, or migratory species); the need to provide for multiple or specific benefits from the forests (such as provision for water, mining access, tourism or other); and recognition of Aboriginal connection and traditional ownership of lands and country</w:t>
      </w:r>
      <w:r>
        <w:rPr>
          <w:rFonts w:cs="Segoe UI"/>
          <w:color w:val="000000"/>
        </w:rPr>
        <w:t>. A</w:t>
      </w:r>
      <w:r w:rsidRPr="004B34E1">
        <w:rPr>
          <w:rFonts w:cs="Segoe UI"/>
          <w:color w:val="000000"/>
        </w:rPr>
        <w:t>t a wider level the conduct</w:t>
      </w:r>
      <w:r>
        <w:rPr>
          <w:rFonts w:cs="Segoe UI"/>
          <w:color w:val="000000"/>
        </w:rPr>
        <w:t xml:space="preserve">, </w:t>
      </w:r>
      <w:r w:rsidRPr="004B34E1">
        <w:rPr>
          <w:rFonts w:cs="Segoe UI"/>
          <w:color w:val="000000"/>
        </w:rPr>
        <w:t xml:space="preserve">responsibilities </w:t>
      </w:r>
      <w:r>
        <w:rPr>
          <w:rFonts w:cs="Segoe UI"/>
          <w:color w:val="000000"/>
        </w:rPr>
        <w:t xml:space="preserve">and </w:t>
      </w:r>
      <w:r w:rsidRPr="004B34E1">
        <w:rPr>
          <w:rFonts w:cs="Segoe UI"/>
          <w:color w:val="000000"/>
        </w:rPr>
        <w:t>competencies of staff undertaking work, monitoring and regulating</w:t>
      </w:r>
      <w:r>
        <w:rPr>
          <w:rFonts w:cs="Segoe UI"/>
          <w:color w:val="000000"/>
        </w:rPr>
        <w:t xml:space="preserve"> is also captured through these Acts.</w:t>
      </w:r>
    </w:p>
    <w:p w14:paraId="26ABD557" w14:textId="77777777" w:rsidR="004B4CA1" w:rsidRPr="00355680" w:rsidRDefault="004B4CA1" w:rsidP="00C903EE">
      <w:pPr>
        <w:pStyle w:val="ListParagraph"/>
        <w:numPr>
          <w:ilvl w:val="0"/>
          <w:numId w:val="33"/>
        </w:numPr>
        <w:spacing w:before="0" w:after="0"/>
        <w:ind w:left="714" w:hanging="357"/>
        <w:rPr>
          <w:rFonts w:cs="Segoe UI"/>
          <w:i/>
        </w:rPr>
      </w:pPr>
      <w:r w:rsidRPr="00355680">
        <w:rPr>
          <w:rFonts w:cs="Segoe UI"/>
          <w:i/>
        </w:rPr>
        <w:t>Aboriginal Heritage Act 1972</w:t>
      </w:r>
    </w:p>
    <w:p w14:paraId="26ABD558" w14:textId="77777777" w:rsidR="004B4CA1" w:rsidRPr="00355680" w:rsidRDefault="004B4CA1" w:rsidP="00C903EE">
      <w:pPr>
        <w:pStyle w:val="ListParagraph"/>
        <w:numPr>
          <w:ilvl w:val="0"/>
          <w:numId w:val="33"/>
        </w:numPr>
        <w:spacing w:before="0" w:after="0"/>
        <w:ind w:left="714" w:hanging="357"/>
        <w:rPr>
          <w:rFonts w:cs="Segoe UI"/>
          <w:i/>
        </w:rPr>
      </w:pPr>
      <w:r w:rsidRPr="00355680">
        <w:rPr>
          <w:rFonts w:cs="Segoe UI"/>
          <w:i/>
        </w:rPr>
        <w:t>Agriculture and Related Resources Protection Act 1976</w:t>
      </w:r>
    </w:p>
    <w:p w14:paraId="26ABD559"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Agricultural and Veterinary Chemicals (Western Australia) Act 1995</w:t>
      </w:r>
    </w:p>
    <w:p w14:paraId="26ABD55A"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Biosecurity and Agriculture Management Act 2007</w:t>
      </w:r>
    </w:p>
    <w:p w14:paraId="26ABD55B"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Bush Fires Act 1954</w:t>
      </w:r>
    </w:p>
    <w:p w14:paraId="26ABD55C"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Carbon Rights Act 2003</w:t>
      </w:r>
    </w:p>
    <w:p w14:paraId="26ABD55D"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Contaminated Sites Act 2003</w:t>
      </w:r>
    </w:p>
    <w:p w14:paraId="26ABD55E"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Country Areas Water Supply Act 1947</w:t>
      </w:r>
    </w:p>
    <w:p w14:paraId="26ABD55F"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Emergency Management Act 2005</w:t>
      </w:r>
    </w:p>
    <w:p w14:paraId="26ABD560"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Fire and Emergency Services Act 1998</w:t>
      </w:r>
    </w:p>
    <w:p w14:paraId="26ABD561"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Health Act 1911</w:t>
      </w:r>
    </w:p>
    <w:p w14:paraId="26ABD562"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Heritage Act 2018</w:t>
      </w:r>
    </w:p>
    <w:p w14:paraId="26ABD563" w14:textId="77777777" w:rsidR="004B4CA1" w:rsidRPr="00355680" w:rsidRDefault="004B4CA1" w:rsidP="00C903EE">
      <w:pPr>
        <w:pStyle w:val="ListParagraph"/>
        <w:numPr>
          <w:ilvl w:val="0"/>
          <w:numId w:val="33"/>
        </w:numPr>
        <w:spacing w:before="0" w:after="0"/>
        <w:ind w:left="714" w:hanging="357"/>
        <w:rPr>
          <w:rFonts w:cs="Segoe UI"/>
          <w:i/>
        </w:rPr>
      </w:pPr>
      <w:r w:rsidRPr="00355680">
        <w:rPr>
          <w:rFonts w:cs="Segoe UI"/>
          <w:i/>
        </w:rPr>
        <w:t>Land Administration Act 1997</w:t>
      </w:r>
    </w:p>
    <w:p w14:paraId="26ABD564"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Land Administration (South West Native Title Settlement) Act 2016</w:t>
      </w:r>
    </w:p>
    <w:p w14:paraId="26ABD565"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Metropolitan Water Supply, Sewerage, and Drainage Act 1909</w:t>
      </w:r>
    </w:p>
    <w:p w14:paraId="26ABD566"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Mining Act 1978</w:t>
      </w:r>
    </w:p>
    <w:p w14:paraId="26ABD567" w14:textId="77777777" w:rsidR="004B4CA1" w:rsidRPr="0061707C" w:rsidRDefault="004B4CA1" w:rsidP="00C903EE">
      <w:pPr>
        <w:pStyle w:val="ListParagraph"/>
        <w:numPr>
          <w:ilvl w:val="0"/>
          <w:numId w:val="33"/>
        </w:numPr>
        <w:spacing w:before="0" w:after="0"/>
        <w:ind w:left="714" w:hanging="357"/>
        <w:rPr>
          <w:rFonts w:cs="Segoe UI"/>
          <w:sz w:val="21"/>
          <w:szCs w:val="21"/>
        </w:rPr>
      </w:pPr>
      <w:r w:rsidRPr="0061707C">
        <w:rPr>
          <w:rFonts w:cs="Segoe UI"/>
          <w:i/>
          <w:color w:val="000000"/>
          <w:sz w:val="21"/>
          <w:szCs w:val="21"/>
        </w:rPr>
        <w:t>The Noongar (Koorah, Nitja, Boordahwan) (Past, Present and Future) Recognition Act 2016</w:t>
      </w:r>
    </w:p>
    <w:p w14:paraId="26ABD568" w14:textId="77777777" w:rsidR="004B4CA1" w:rsidRPr="00355680" w:rsidRDefault="004B4CA1" w:rsidP="00C903EE">
      <w:pPr>
        <w:pStyle w:val="ListParagraph"/>
        <w:numPr>
          <w:ilvl w:val="0"/>
          <w:numId w:val="33"/>
        </w:numPr>
        <w:spacing w:before="0" w:after="0"/>
        <w:ind w:left="714" w:hanging="357"/>
        <w:rPr>
          <w:rFonts w:cs="Segoe UI"/>
          <w:i/>
          <w:iCs/>
        </w:rPr>
      </w:pPr>
      <w:r w:rsidRPr="00355680">
        <w:rPr>
          <w:rFonts w:cs="Segoe UI"/>
          <w:i/>
          <w:iCs/>
        </w:rPr>
        <w:t>Petroleum and Geothermal Energy Resources Act 1967</w:t>
      </w:r>
    </w:p>
    <w:p w14:paraId="26ABD569"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iCs/>
        </w:rPr>
        <w:t>Petroleum Pipelines Act 1969</w:t>
      </w:r>
    </w:p>
    <w:p w14:paraId="26ABD56A"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Rights in Water and Irrigation Act 1914</w:t>
      </w:r>
    </w:p>
    <w:p w14:paraId="26ABD56B" w14:textId="77777777" w:rsidR="004B4CA1" w:rsidRPr="00355680" w:rsidRDefault="004B4CA1" w:rsidP="00C903EE">
      <w:pPr>
        <w:pStyle w:val="ListParagraph"/>
        <w:numPr>
          <w:ilvl w:val="0"/>
          <w:numId w:val="33"/>
        </w:numPr>
        <w:spacing w:before="0" w:after="0"/>
        <w:ind w:left="714" w:hanging="357"/>
        <w:rPr>
          <w:rFonts w:cs="Segoe UI"/>
          <w:i/>
        </w:rPr>
      </w:pPr>
      <w:r w:rsidRPr="00355680">
        <w:rPr>
          <w:rFonts w:cs="Segoe UI"/>
          <w:i/>
        </w:rPr>
        <w:t>Soil and Land Conservation Act 1945</w:t>
      </w:r>
    </w:p>
    <w:p w14:paraId="26ABD56C" w14:textId="77777777" w:rsidR="004B4CA1" w:rsidRPr="00355680" w:rsidRDefault="004B4CA1" w:rsidP="00C903EE">
      <w:pPr>
        <w:pStyle w:val="ListParagraph"/>
        <w:numPr>
          <w:ilvl w:val="0"/>
          <w:numId w:val="33"/>
        </w:numPr>
        <w:spacing w:before="0" w:after="0"/>
        <w:ind w:left="714" w:hanging="357"/>
        <w:rPr>
          <w:rFonts w:cs="Segoe UI"/>
        </w:rPr>
      </w:pPr>
      <w:r w:rsidRPr="00355680">
        <w:rPr>
          <w:rFonts w:cs="Segoe UI"/>
          <w:i/>
        </w:rPr>
        <w:t>State Records Act 2000</w:t>
      </w:r>
    </w:p>
    <w:p w14:paraId="26ABD56D" w14:textId="77777777" w:rsidR="004B4CA1" w:rsidRPr="00355680" w:rsidRDefault="004B4CA1" w:rsidP="00C903EE">
      <w:pPr>
        <w:pStyle w:val="ListParagraph"/>
        <w:numPr>
          <w:ilvl w:val="0"/>
          <w:numId w:val="33"/>
        </w:numPr>
        <w:spacing w:before="0" w:after="0"/>
        <w:ind w:left="714" w:hanging="357"/>
        <w:rPr>
          <w:rFonts w:cs="Segoe UI"/>
          <w:i/>
        </w:rPr>
      </w:pPr>
      <w:r w:rsidRPr="00355680">
        <w:rPr>
          <w:rFonts w:cs="Segoe UI"/>
          <w:i/>
        </w:rPr>
        <w:t>Water Agencies (Powers) Act 1984</w:t>
      </w:r>
    </w:p>
    <w:p w14:paraId="26ABD56E" w14:textId="77777777" w:rsidR="004B4CA1" w:rsidRDefault="004B4CA1" w:rsidP="00C903EE">
      <w:pPr>
        <w:pStyle w:val="ListParagraph"/>
        <w:numPr>
          <w:ilvl w:val="0"/>
          <w:numId w:val="33"/>
        </w:numPr>
        <w:spacing w:before="0" w:after="0"/>
        <w:ind w:left="714" w:hanging="357"/>
        <w:rPr>
          <w:rFonts w:cs="Segoe UI"/>
          <w:i/>
        </w:rPr>
      </w:pPr>
      <w:r w:rsidRPr="00355680">
        <w:rPr>
          <w:rFonts w:cs="Segoe UI"/>
          <w:i/>
        </w:rPr>
        <w:t>Waterways Conservation Act 1976</w:t>
      </w:r>
    </w:p>
    <w:p w14:paraId="26ABD570" w14:textId="77777777" w:rsidR="004B4CA1" w:rsidRDefault="004B4CA1" w:rsidP="00A42B5E">
      <w:pPr>
        <w:spacing w:after="0"/>
        <w:rPr>
          <w:rFonts w:cs="Segoe UI"/>
        </w:rPr>
      </w:pPr>
      <w:r w:rsidRPr="00716AF3">
        <w:rPr>
          <w:rFonts w:cs="Segoe UI"/>
        </w:rPr>
        <w:t xml:space="preserve">In addition to the formal legislation, WA has the </w:t>
      </w:r>
      <w:r w:rsidR="0070699E" w:rsidRPr="0070699E">
        <w:rPr>
          <w:rFonts w:cs="Segoe UI"/>
        </w:rPr>
        <w:t>FMP </w:t>
      </w:r>
      <w:r w:rsidRPr="0070699E">
        <w:rPr>
          <w:rFonts w:cs="Segoe UI"/>
        </w:rPr>
        <w:t xml:space="preserve">2014-2023 </w:t>
      </w:r>
      <w:r w:rsidRPr="00716AF3">
        <w:rPr>
          <w:rFonts w:cs="Segoe UI"/>
        </w:rPr>
        <w:t>prepared in accordance with the CALM</w:t>
      </w:r>
      <w:r w:rsidR="00A27392">
        <w:rPr>
          <w:rFonts w:cs="Segoe UI"/>
        </w:rPr>
        <w:t> </w:t>
      </w:r>
      <w:r w:rsidRPr="00716AF3">
        <w:rPr>
          <w:rFonts w:cs="Segoe UI"/>
        </w:rPr>
        <w:t>Act. The basis of the approach to forest management in the plan stems from the principles of EFSM, described in Section 19(2) of the CALM</w:t>
      </w:r>
      <w:r w:rsidR="009F1AC8">
        <w:rPr>
          <w:rFonts w:cs="Segoe UI"/>
        </w:rPr>
        <w:t> </w:t>
      </w:r>
      <w:r w:rsidRPr="00716AF3">
        <w:rPr>
          <w:rFonts w:cs="Segoe UI"/>
        </w:rPr>
        <w:t>Act, it sets goals and proposed operations in line with these principles.</w:t>
      </w:r>
    </w:p>
    <w:p w14:paraId="26ABD571" w14:textId="49D9CE78" w:rsidR="00CE4B36" w:rsidRPr="00CE60B2" w:rsidRDefault="00CE4B36" w:rsidP="000F6020">
      <w:pPr>
        <w:pStyle w:val="Heading3"/>
        <w:rPr>
          <w:lang w:eastAsia="en-AU"/>
        </w:rPr>
      </w:pPr>
      <w:bookmarkStart w:id="193" w:name="_Toc524952830"/>
      <w:bookmarkStart w:id="194" w:name="_Toc2776075"/>
      <w:r w:rsidRPr="00CE60B2">
        <w:rPr>
          <w:lang w:eastAsia="en-AU"/>
        </w:rPr>
        <w:t>Indicator 7.1b</w:t>
      </w:r>
      <w:r w:rsidRPr="00CE60B2">
        <w:rPr>
          <w:lang w:eastAsia="en-AU"/>
        </w:rPr>
        <w:tab/>
        <w:t>Extent to which the institutional framework supports the conservation and sustainable management of forests</w:t>
      </w:r>
      <w:bookmarkEnd w:id="193"/>
      <w:bookmarkEnd w:id="194"/>
    </w:p>
    <w:p w14:paraId="26ABD572" w14:textId="77777777" w:rsidR="00EB67A7" w:rsidRPr="00CE60B2" w:rsidRDefault="00EB67A7" w:rsidP="00FF0D54">
      <w:pPr>
        <w:autoSpaceDE w:val="0"/>
        <w:autoSpaceDN w:val="0"/>
        <w:adjustRightInd w:val="0"/>
        <w:spacing w:before="0"/>
        <w:rPr>
          <w:rFonts w:cs="Segoe UI"/>
        </w:rPr>
      </w:pPr>
      <w:r w:rsidRPr="00CE60B2">
        <w:rPr>
          <w:rFonts w:cs="Segoe UI"/>
        </w:rPr>
        <w:t>This indicator examines the institutional frameworks that support sustainable forest management. Institutional frameworks provide mechanisms for engagement of the wider community in the process of continuous improvement and sustainable forest management.</w:t>
      </w:r>
    </w:p>
    <w:p w14:paraId="26ABD573" w14:textId="77777777" w:rsidR="001955BB" w:rsidRPr="00CE60B2" w:rsidRDefault="001955BB" w:rsidP="00FF0D54">
      <w:pPr>
        <w:spacing w:before="0"/>
        <w:rPr>
          <w:rFonts w:cs="Segoe UI"/>
        </w:rPr>
      </w:pPr>
      <w:r w:rsidRPr="00CE60B2">
        <w:rPr>
          <w:rFonts w:cs="Segoe UI"/>
        </w:rPr>
        <w:t xml:space="preserve">This includes institutional and administrative arrangements that have been put in place for enforcement and compliance with the legal regulatory framework, decision-making in </w:t>
      </w:r>
      <w:r w:rsidRPr="00CE60B2">
        <w:rPr>
          <w:rFonts w:cs="Segoe UI"/>
        </w:rPr>
        <w:lastRenderedPageBreak/>
        <w:t xml:space="preserve">relation to forestry resource management, and community engagement in the broader process of sustainable forest management. </w:t>
      </w:r>
    </w:p>
    <w:p w14:paraId="26ABD574" w14:textId="77777777" w:rsidR="001955BB" w:rsidRDefault="001955BB" w:rsidP="00FF0D54">
      <w:pPr>
        <w:spacing w:before="0"/>
        <w:rPr>
          <w:rFonts w:cs="Segoe UI"/>
        </w:rPr>
      </w:pPr>
      <w:r w:rsidRPr="00CE60B2">
        <w:rPr>
          <w:rFonts w:cs="Segoe UI"/>
        </w:rPr>
        <w:t xml:space="preserve">The information outlines </w:t>
      </w:r>
      <w:r w:rsidR="002F4911" w:rsidRPr="00CE60B2">
        <w:rPr>
          <w:rFonts w:cs="Segoe UI"/>
        </w:rPr>
        <w:t>WA</w:t>
      </w:r>
      <w:r w:rsidR="001F1696">
        <w:rPr>
          <w:rFonts w:cs="Segoe UI"/>
        </w:rPr>
        <w:t> </w:t>
      </w:r>
      <w:r w:rsidRPr="00CE60B2">
        <w:rPr>
          <w:rFonts w:cs="Segoe UI"/>
        </w:rPr>
        <w:t xml:space="preserve">Government’s overarching vision and strategic plan for sustainable forest management, </w:t>
      </w:r>
      <w:r w:rsidR="00EB67A7" w:rsidRPr="00CE60B2">
        <w:rPr>
          <w:rFonts w:cs="Segoe UI"/>
        </w:rPr>
        <w:t xml:space="preserve">the </w:t>
      </w:r>
      <w:r w:rsidRPr="00CE60B2">
        <w:rPr>
          <w:rFonts w:cs="Segoe UI"/>
        </w:rPr>
        <w:t xml:space="preserve">roles and responsibilities of relevant </w:t>
      </w:r>
      <w:r w:rsidR="002F4911" w:rsidRPr="00CE60B2">
        <w:rPr>
          <w:rFonts w:cs="Segoe UI"/>
        </w:rPr>
        <w:t>WA</w:t>
      </w:r>
      <w:r w:rsidRPr="00CE60B2">
        <w:rPr>
          <w:rFonts w:cs="Segoe UI"/>
        </w:rPr>
        <w:t xml:space="preserve"> agencies and their respective policy mechanisms that contribute towards achieving this vision.</w:t>
      </w:r>
    </w:p>
    <w:p w14:paraId="26ABD575" w14:textId="77777777" w:rsidR="005614C4" w:rsidRPr="00BC1817" w:rsidRDefault="005614C4" w:rsidP="00FF0D54">
      <w:pPr>
        <w:autoSpaceDE w:val="0"/>
        <w:autoSpaceDN w:val="0"/>
        <w:adjustRightInd w:val="0"/>
        <w:spacing w:before="0"/>
      </w:pPr>
      <w:r w:rsidRPr="00BC1817">
        <w:t xml:space="preserve">The Australian and </w:t>
      </w:r>
      <w:r w:rsidR="007D5098">
        <w:t>WA </w:t>
      </w:r>
      <w:r>
        <w:t xml:space="preserve">governments </w:t>
      </w:r>
      <w:r w:rsidRPr="00BC1817">
        <w:t xml:space="preserve">are committed to maintaining an institutional framework which supports </w:t>
      </w:r>
      <w:r w:rsidR="00253CCC">
        <w:t>ESFM</w:t>
      </w:r>
      <w:r w:rsidRPr="00BC1817">
        <w:t xml:space="preserve">. </w:t>
      </w:r>
      <w:r>
        <w:t>This includes delineation of the role and responsibilities of agencies and setting administrative arrangements for monitoring and regulating conformance within the legal regulatory framework. Recognising the community’s regard for forests, community engagement in the broader process of sustainable forest management is established at the legislative and policy level.</w:t>
      </w:r>
    </w:p>
    <w:p w14:paraId="26ABD576" w14:textId="77777777" w:rsidR="005614C4" w:rsidRDefault="005614C4" w:rsidP="00FF0D54">
      <w:pPr>
        <w:spacing w:before="0"/>
      </w:pPr>
      <w:r>
        <w:t>Western Australia’s CAR reserves system meets nationally agreed criteria to ensure the long-term conservation and protection of forest ecosystems, their biodiversity, old</w:t>
      </w:r>
      <w:r w:rsidR="007D5098">
        <w:noBreakHyphen/>
      </w:r>
      <w:r>
        <w:t xml:space="preserve">growth forest and wilderness values. Areas proposed for reservation are adopted in </w:t>
      </w:r>
      <w:r w:rsidR="00C06FC1">
        <w:t>FMPs</w:t>
      </w:r>
      <w:r>
        <w:t xml:space="preserve">, prepared by the </w:t>
      </w:r>
      <w:r w:rsidR="00FC41D8">
        <w:t>CPC</w:t>
      </w:r>
      <w:r>
        <w:t xml:space="preserve"> in accordance with the CALM</w:t>
      </w:r>
      <w:r w:rsidR="007D5098">
        <w:t> </w:t>
      </w:r>
      <w:r>
        <w:t xml:space="preserve">Act. Preparation of area management plans includes a legislated public comment period of 10 weeks. The (current) </w:t>
      </w:r>
      <w:r w:rsidR="00280CB4" w:rsidRPr="00280CB4">
        <w:t>FMP </w:t>
      </w:r>
      <w:r w:rsidRPr="00280CB4">
        <w:t>2014-2023</w:t>
      </w:r>
      <w:r>
        <w:t xml:space="preserve"> (FMP 2014-2023) was also subject to environmental impact assessment by the </w:t>
      </w:r>
      <w:r w:rsidR="00A27392">
        <w:t>EPA</w:t>
      </w:r>
      <w:r>
        <w:t xml:space="preserve"> in accordance with the </w:t>
      </w:r>
      <w:r w:rsidR="00A27392" w:rsidRPr="007D5098">
        <w:t>EP Act</w:t>
      </w:r>
      <w:r w:rsidRPr="007D5098">
        <w:t>.</w:t>
      </w:r>
    </w:p>
    <w:p w14:paraId="26ABD577" w14:textId="77777777" w:rsidR="005614C4" w:rsidRDefault="005614C4" w:rsidP="00FF0D54">
      <w:pPr>
        <w:spacing w:before="0"/>
      </w:pPr>
      <w:r>
        <w:t xml:space="preserve">Preparation of the FMP 2014-2023 incorporates scientific knowledge acquired from implementing the previous plan (FMP 2004-2013) and findings from reviews carried out by suitably qualified experts. </w:t>
      </w:r>
      <w:r w:rsidR="00CD2199">
        <w:t>These included an</w:t>
      </w:r>
      <w:r>
        <w:t xml:space="preserve"> expert panel review of silviculture </w:t>
      </w:r>
      <w:r w:rsidR="00CD2199">
        <w:t>guidelines</w:t>
      </w:r>
      <w:r>
        <w:t xml:space="preserve"> and </w:t>
      </w:r>
      <w:r w:rsidR="00CD2199">
        <w:t xml:space="preserve">the </w:t>
      </w:r>
      <w:r>
        <w:t>sustained yield calculations of wood resources</w:t>
      </w:r>
      <w:r w:rsidR="00CD2199">
        <w:t xml:space="preserve"> (as required under the WA RFA)</w:t>
      </w:r>
      <w:r>
        <w:t xml:space="preserve">. The plan </w:t>
      </w:r>
      <w:r w:rsidRPr="00E11D17">
        <w:rPr>
          <w:rFonts w:cs="Segoe UI"/>
        </w:rPr>
        <w:t>provide</w:t>
      </w:r>
      <w:r>
        <w:rPr>
          <w:rFonts w:cs="Segoe UI"/>
        </w:rPr>
        <w:t>s</w:t>
      </w:r>
      <w:r w:rsidRPr="00E11D17">
        <w:rPr>
          <w:rFonts w:cs="Segoe UI"/>
        </w:rPr>
        <w:t xml:space="preserve"> for an allowable harvest of various products from native forests</w:t>
      </w:r>
      <w:r>
        <w:rPr>
          <w:rFonts w:cs="Segoe UI"/>
        </w:rPr>
        <w:t xml:space="preserve"> on State forest and timber reserves</w:t>
      </w:r>
      <w:r w:rsidRPr="00E11D17">
        <w:rPr>
          <w:rFonts w:cs="Segoe UI"/>
        </w:rPr>
        <w:t>, and outline</w:t>
      </w:r>
      <w:r>
        <w:rPr>
          <w:rFonts w:cs="Segoe UI"/>
        </w:rPr>
        <w:t>s</w:t>
      </w:r>
      <w:r w:rsidRPr="00E11D17">
        <w:rPr>
          <w:rFonts w:cs="Segoe UI"/>
        </w:rPr>
        <w:t xml:space="preserve"> the conditions applicable to timber harvesting from native forests and plantations, so that forest products are </w:t>
      </w:r>
      <w:r>
        <w:rPr>
          <w:rFonts w:cs="Segoe UI"/>
        </w:rPr>
        <w:t>taken</w:t>
      </w:r>
      <w:r w:rsidRPr="00E11D17">
        <w:rPr>
          <w:rFonts w:cs="Segoe UI"/>
        </w:rPr>
        <w:t xml:space="preserve"> in a manner that protects other forest values and uses</w:t>
      </w:r>
      <w:r>
        <w:rPr>
          <w:rFonts w:cs="Segoe UI"/>
        </w:rPr>
        <w:t>.</w:t>
      </w:r>
    </w:p>
    <w:p w14:paraId="26ABD578" w14:textId="77777777" w:rsidR="005614C4" w:rsidRPr="00C54AAC" w:rsidRDefault="005614C4" w:rsidP="00FF0D54">
      <w:pPr>
        <w:pStyle w:val="NormalWeb"/>
        <w:shd w:val="clear" w:color="auto" w:fill="FFFFFF"/>
        <w:spacing w:before="0" w:beforeAutospacing="0" w:after="120" w:afterAutospacing="0"/>
        <w:rPr>
          <w:rFonts w:ascii="Segoe UI" w:hAnsi="Segoe UI" w:cs="Segoe UI"/>
          <w:color w:val="333333"/>
          <w:sz w:val="22"/>
          <w:szCs w:val="22"/>
          <w:shd w:val="clear" w:color="auto" w:fill="FFFFFF"/>
        </w:rPr>
      </w:pPr>
      <w:r w:rsidRPr="00FF0D54">
        <w:rPr>
          <w:rFonts w:ascii="Segoe UI" w:eastAsiaTheme="minorHAnsi" w:hAnsi="Segoe UI" w:cs="Segoe UI"/>
          <w:sz w:val="22"/>
          <w:szCs w:val="22"/>
          <w:lang w:eastAsia="en-US"/>
        </w:rPr>
        <w:t xml:space="preserve">The </w:t>
      </w:r>
      <w:r w:rsidR="00FC41D8" w:rsidRPr="00FF0D54">
        <w:rPr>
          <w:rFonts w:ascii="Segoe UI" w:eastAsiaTheme="minorHAnsi" w:hAnsi="Segoe UI" w:cs="Segoe UI"/>
          <w:sz w:val="22"/>
          <w:szCs w:val="22"/>
          <w:lang w:eastAsia="en-US"/>
        </w:rPr>
        <w:t xml:space="preserve">CPC </w:t>
      </w:r>
      <w:r w:rsidRPr="00FF0D54">
        <w:rPr>
          <w:rFonts w:ascii="Segoe UI" w:eastAsiaTheme="minorHAnsi" w:hAnsi="Segoe UI" w:cs="Segoe UI"/>
          <w:sz w:val="22"/>
          <w:szCs w:val="22"/>
          <w:lang w:eastAsia="en-US"/>
        </w:rPr>
        <w:t>is an independent authority that oversees the administration of Western</w:t>
      </w:r>
      <w:r w:rsidR="007D5098" w:rsidRPr="00FF0D54">
        <w:rPr>
          <w:rFonts w:ascii="Segoe UI" w:eastAsiaTheme="minorHAnsi" w:hAnsi="Segoe UI" w:cs="Segoe UI"/>
          <w:sz w:val="22"/>
          <w:szCs w:val="22"/>
          <w:lang w:eastAsia="en-US"/>
        </w:rPr>
        <w:t> </w:t>
      </w:r>
      <w:r w:rsidRPr="00FF0D54">
        <w:rPr>
          <w:rFonts w:ascii="Segoe UI" w:eastAsiaTheme="minorHAnsi" w:hAnsi="Segoe UI" w:cs="Segoe UI"/>
          <w:sz w:val="22"/>
          <w:szCs w:val="22"/>
          <w:lang w:eastAsia="en-US"/>
        </w:rPr>
        <w:t xml:space="preserve">Australia's national and marine parks, conservation parks, nature reserves, State forests and timber reserves managed by </w:t>
      </w:r>
      <w:r w:rsidR="00F64552" w:rsidRPr="00FF0D54">
        <w:rPr>
          <w:rFonts w:ascii="Segoe UI" w:eastAsiaTheme="minorHAnsi" w:hAnsi="Segoe UI" w:cs="Segoe UI"/>
          <w:sz w:val="22"/>
          <w:szCs w:val="22"/>
          <w:lang w:eastAsia="en-US"/>
        </w:rPr>
        <w:t>DBCA</w:t>
      </w:r>
      <w:r w:rsidRPr="00FF0D54">
        <w:rPr>
          <w:rFonts w:ascii="Segoe UI" w:eastAsiaTheme="minorHAnsi" w:hAnsi="Segoe UI" w:cs="Segoe UI"/>
          <w:sz w:val="22"/>
          <w:szCs w:val="22"/>
          <w:lang w:eastAsia="en-US"/>
        </w:rPr>
        <w:t xml:space="preserve">. The commission has the capacity to advise the Minister for Environment on the application of the principles of </w:t>
      </w:r>
      <w:r w:rsidR="00253CCC" w:rsidRPr="00FF0D54">
        <w:rPr>
          <w:rFonts w:ascii="Segoe UI" w:eastAsiaTheme="minorHAnsi" w:hAnsi="Segoe UI" w:cs="Segoe UI"/>
          <w:sz w:val="22"/>
          <w:szCs w:val="22"/>
          <w:lang w:eastAsia="en-US"/>
        </w:rPr>
        <w:t>ESFM</w:t>
      </w:r>
      <w:r w:rsidRPr="00FF0D54">
        <w:rPr>
          <w:rFonts w:ascii="Segoe UI" w:eastAsiaTheme="minorHAnsi" w:hAnsi="Segoe UI" w:cs="Segoe UI"/>
          <w:sz w:val="22"/>
          <w:szCs w:val="22"/>
          <w:lang w:eastAsia="en-US"/>
        </w:rPr>
        <w:t>, management of State forest and timber reserves and forest produce throughout the State (section 19(2) CALM</w:t>
      </w:r>
      <w:r w:rsidR="00E447E0" w:rsidRPr="00FF0D54">
        <w:rPr>
          <w:rFonts w:ascii="Segoe UI" w:eastAsiaTheme="minorHAnsi" w:hAnsi="Segoe UI" w:cs="Segoe UI"/>
          <w:sz w:val="22"/>
          <w:szCs w:val="22"/>
          <w:lang w:eastAsia="en-US"/>
        </w:rPr>
        <w:t> </w:t>
      </w:r>
      <w:r w:rsidRPr="00FF0D54">
        <w:rPr>
          <w:rFonts w:ascii="Segoe UI" w:eastAsiaTheme="minorHAnsi" w:hAnsi="Segoe UI" w:cs="Segoe UI"/>
          <w:sz w:val="22"/>
          <w:szCs w:val="22"/>
          <w:lang w:eastAsia="en-US"/>
        </w:rPr>
        <w:t>Act). The commission will conduct periodic assessments of the implementation of the</w:t>
      </w:r>
      <w:r w:rsidR="00FE2FBE" w:rsidRPr="00FF0D54">
        <w:rPr>
          <w:rFonts w:ascii="Segoe UI" w:eastAsiaTheme="minorHAnsi" w:hAnsi="Segoe UI" w:cs="Segoe UI"/>
          <w:sz w:val="22"/>
          <w:szCs w:val="22"/>
          <w:lang w:eastAsia="en-US"/>
        </w:rPr>
        <w:t xml:space="preserve"> FMP 2014</w:t>
      </w:r>
      <w:r w:rsidR="00FE2FBE" w:rsidRPr="00FF0D54">
        <w:rPr>
          <w:rFonts w:ascii="Segoe UI" w:eastAsiaTheme="minorHAnsi" w:hAnsi="Segoe UI" w:cs="Segoe UI"/>
          <w:sz w:val="22"/>
          <w:szCs w:val="22"/>
          <w:lang w:eastAsia="en-US"/>
        </w:rPr>
        <w:noBreakHyphen/>
      </w:r>
      <w:r>
        <w:rPr>
          <w:rFonts w:ascii="Segoe UI" w:hAnsi="Segoe UI" w:cs="Segoe UI"/>
          <w:color w:val="000000"/>
          <w:sz w:val="22"/>
          <w:szCs w:val="22"/>
        </w:rPr>
        <w:t>2023, and in meeting the requirements of the plan has prepared a mid-term performance review.</w:t>
      </w:r>
    </w:p>
    <w:p w14:paraId="26ABD579" w14:textId="77777777" w:rsidR="005614C4" w:rsidRPr="00C54AAC" w:rsidRDefault="00F64552" w:rsidP="00FF0D54">
      <w:pPr>
        <w:pStyle w:val="NormalWeb"/>
        <w:shd w:val="clear" w:color="auto" w:fill="FFFFFF"/>
        <w:spacing w:before="0" w:beforeAutospacing="0" w:after="120" w:afterAutospacing="0"/>
        <w:rPr>
          <w:rFonts w:ascii="Segoe UI" w:hAnsi="Segoe UI" w:cs="Segoe UI"/>
          <w:sz w:val="22"/>
          <w:szCs w:val="22"/>
        </w:rPr>
      </w:pPr>
      <w:r w:rsidRPr="00FF0D54">
        <w:rPr>
          <w:rFonts w:ascii="Segoe UI" w:eastAsiaTheme="minorHAnsi" w:hAnsi="Segoe UI" w:cs="Segoe UI"/>
          <w:sz w:val="22"/>
          <w:szCs w:val="22"/>
          <w:lang w:eastAsia="en-US"/>
        </w:rPr>
        <w:t>DBCA</w:t>
      </w:r>
      <w:r w:rsidR="005614C4" w:rsidRPr="00FF0D54">
        <w:rPr>
          <w:rFonts w:ascii="Segoe UI" w:eastAsiaTheme="minorHAnsi" w:hAnsi="Segoe UI" w:cs="Segoe UI"/>
          <w:sz w:val="22"/>
          <w:szCs w:val="22"/>
          <w:lang w:eastAsia="en-US"/>
        </w:rPr>
        <w:t xml:space="preserve"> has lead responsibility for protecting and conserving the State’s environment on behalf of the people of Western Australia. This responsibility includes monitoring activities which may disturb the environment, including timber harvesting. </w:t>
      </w:r>
      <w:r w:rsidR="00514F73" w:rsidRPr="00FF0D54">
        <w:rPr>
          <w:rFonts w:ascii="Segoe UI" w:eastAsiaTheme="minorHAnsi" w:hAnsi="Segoe UI" w:cs="Segoe UI"/>
          <w:sz w:val="22"/>
          <w:szCs w:val="22"/>
          <w:lang w:eastAsia="en-US"/>
        </w:rPr>
        <w:t>DBCA’s</w:t>
      </w:r>
      <w:r w:rsidR="000E0CE4" w:rsidRPr="00FF0D54">
        <w:rPr>
          <w:rFonts w:ascii="Segoe UI" w:eastAsiaTheme="minorHAnsi" w:hAnsi="Segoe UI" w:cs="Segoe UI"/>
          <w:sz w:val="22"/>
          <w:szCs w:val="22"/>
          <w:lang w:eastAsia="en-US"/>
        </w:rPr>
        <w:t xml:space="preserve"> </w:t>
      </w:r>
      <w:r w:rsidR="005614C4" w:rsidRPr="00FF0D54">
        <w:rPr>
          <w:rFonts w:ascii="Segoe UI" w:eastAsiaTheme="minorHAnsi" w:hAnsi="Segoe UI" w:cs="Segoe UI"/>
          <w:sz w:val="22"/>
          <w:szCs w:val="22"/>
          <w:lang w:eastAsia="en-US"/>
        </w:rPr>
        <w:t>regulation of the forest products industry is defined in a corporate policy. The policy provides for a cooperative</w:t>
      </w:r>
      <w:r w:rsidR="005614C4" w:rsidRPr="00C54AAC">
        <w:rPr>
          <w:rFonts w:ascii="Segoe UI" w:hAnsi="Segoe UI" w:cs="Segoe UI"/>
          <w:sz w:val="22"/>
          <w:szCs w:val="22"/>
        </w:rPr>
        <w:t xml:space="preserve"> compliance approach when developing and implementing strategies and regulating the </w:t>
      </w:r>
      <w:r w:rsidR="00280321">
        <w:rPr>
          <w:rFonts w:ascii="Segoe UI" w:hAnsi="Segoe UI" w:cs="Segoe UI"/>
          <w:sz w:val="22"/>
          <w:szCs w:val="22"/>
        </w:rPr>
        <w:t>FPC</w:t>
      </w:r>
      <w:r w:rsidR="005614C4">
        <w:rPr>
          <w:rFonts w:ascii="Segoe UI" w:hAnsi="Segoe UI" w:cs="Segoe UI"/>
          <w:sz w:val="22"/>
          <w:szCs w:val="22"/>
        </w:rPr>
        <w:t xml:space="preserve"> </w:t>
      </w:r>
      <w:r w:rsidR="005614C4" w:rsidRPr="00C54AAC">
        <w:rPr>
          <w:rFonts w:ascii="Segoe UI" w:hAnsi="Segoe UI" w:cs="Segoe UI"/>
          <w:sz w:val="22"/>
          <w:szCs w:val="22"/>
        </w:rPr>
        <w:t>and industry activities</w:t>
      </w:r>
      <w:r w:rsidR="005614C4">
        <w:rPr>
          <w:rFonts w:ascii="Segoe UI" w:hAnsi="Segoe UI" w:cs="Segoe UI"/>
          <w:sz w:val="22"/>
          <w:szCs w:val="22"/>
        </w:rPr>
        <w:t>. This policy is</w:t>
      </w:r>
      <w:r w:rsidR="005614C4" w:rsidRPr="00C54AAC">
        <w:rPr>
          <w:rFonts w:ascii="Segoe UI" w:hAnsi="Segoe UI" w:cs="Segoe UI"/>
          <w:sz w:val="22"/>
          <w:szCs w:val="22"/>
        </w:rPr>
        <w:t xml:space="preserve"> supported by working arrangement</w:t>
      </w:r>
      <w:r w:rsidR="005614C4">
        <w:rPr>
          <w:rFonts w:ascii="Segoe UI" w:hAnsi="Segoe UI" w:cs="Segoe UI"/>
          <w:sz w:val="22"/>
          <w:szCs w:val="22"/>
        </w:rPr>
        <w:t>s</w:t>
      </w:r>
      <w:r w:rsidR="005614C4" w:rsidRPr="00C54AAC">
        <w:rPr>
          <w:rFonts w:ascii="Segoe UI" w:hAnsi="Segoe UI" w:cs="Segoe UI"/>
          <w:sz w:val="22"/>
          <w:szCs w:val="22"/>
        </w:rPr>
        <w:t xml:space="preserve"> between </w:t>
      </w:r>
      <w:r w:rsidR="00514F73">
        <w:rPr>
          <w:rFonts w:ascii="Segoe UI" w:hAnsi="Segoe UI" w:cs="Segoe UI"/>
          <w:sz w:val="22"/>
          <w:szCs w:val="22"/>
        </w:rPr>
        <w:t>DBCA</w:t>
      </w:r>
      <w:r w:rsidR="005614C4" w:rsidRPr="00C54AAC">
        <w:rPr>
          <w:rFonts w:ascii="Segoe UI" w:hAnsi="Segoe UI" w:cs="Segoe UI"/>
          <w:sz w:val="22"/>
          <w:szCs w:val="22"/>
        </w:rPr>
        <w:t xml:space="preserve"> and the FPC</w:t>
      </w:r>
      <w:r w:rsidR="005614C4">
        <w:rPr>
          <w:rFonts w:ascii="Segoe UI" w:hAnsi="Segoe UI" w:cs="Segoe UI"/>
          <w:sz w:val="22"/>
          <w:szCs w:val="22"/>
        </w:rPr>
        <w:t xml:space="preserve"> a</w:t>
      </w:r>
      <w:r w:rsidR="005614C4" w:rsidRPr="00C54AAC">
        <w:rPr>
          <w:rFonts w:ascii="Segoe UI" w:hAnsi="Segoe UI" w:cs="Segoe UI"/>
          <w:sz w:val="22"/>
          <w:szCs w:val="22"/>
        </w:rPr>
        <w:t xml:space="preserve">nd </w:t>
      </w:r>
      <w:r w:rsidR="005614C4">
        <w:rPr>
          <w:rFonts w:ascii="Segoe UI" w:hAnsi="Segoe UI" w:cs="Segoe UI"/>
          <w:sz w:val="22"/>
          <w:szCs w:val="22"/>
        </w:rPr>
        <w:t xml:space="preserve">a timber harvesting </w:t>
      </w:r>
      <w:r w:rsidR="005614C4" w:rsidRPr="00C54AAC">
        <w:rPr>
          <w:rFonts w:ascii="Segoe UI" w:hAnsi="Segoe UI" w:cs="Segoe UI"/>
          <w:sz w:val="22"/>
          <w:szCs w:val="22"/>
        </w:rPr>
        <w:t xml:space="preserve">approvals process </w:t>
      </w:r>
      <w:r w:rsidR="005614C4">
        <w:rPr>
          <w:rFonts w:ascii="Segoe UI" w:hAnsi="Segoe UI" w:cs="Segoe UI"/>
          <w:sz w:val="22"/>
          <w:szCs w:val="22"/>
        </w:rPr>
        <w:t>to comply w</w:t>
      </w:r>
      <w:r w:rsidR="00FE2FBE">
        <w:rPr>
          <w:rFonts w:ascii="Segoe UI" w:hAnsi="Segoe UI" w:cs="Segoe UI"/>
          <w:sz w:val="22"/>
          <w:szCs w:val="22"/>
        </w:rPr>
        <w:t>ith the requirements of the FMP 2014 </w:t>
      </w:r>
      <w:r w:rsidR="005614C4">
        <w:rPr>
          <w:rFonts w:ascii="Segoe UI" w:hAnsi="Segoe UI" w:cs="Segoe UI"/>
          <w:sz w:val="22"/>
          <w:szCs w:val="22"/>
        </w:rPr>
        <w:t xml:space="preserve">2023. </w:t>
      </w:r>
      <w:r w:rsidR="00514F73">
        <w:rPr>
          <w:rFonts w:ascii="Segoe UI" w:hAnsi="Segoe UI" w:cs="Segoe UI"/>
          <w:sz w:val="22"/>
          <w:szCs w:val="22"/>
        </w:rPr>
        <w:t>DBCA</w:t>
      </w:r>
      <w:r w:rsidR="005614C4">
        <w:rPr>
          <w:rFonts w:ascii="Segoe UI" w:hAnsi="Segoe UI" w:cs="Segoe UI"/>
          <w:sz w:val="22"/>
          <w:szCs w:val="22"/>
        </w:rPr>
        <w:t xml:space="preserve"> </w:t>
      </w:r>
      <w:r w:rsidR="005614C4" w:rsidRPr="00C54AAC">
        <w:rPr>
          <w:rFonts w:ascii="Segoe UI" w:hAnsi="Segoe UI" w:cs="Segoe UI"/>
          <w:sz w:val="22"/>
          <w:szCs w:val="22"/>
        </w:rPr>
        <w:t>also facilitates access to forests on public lands for the conduct of other activities relating to honey production, commercial tourism operators and recreation or scientific activities.</w:t>
      </w:r>
    </w:p>
    <w:p w14:paraId="26ABD57A" w14:textId="77777777" w:rsidR="005614C4" w:rsidRDefault="005614C4" w:rsidP="00DA32F0">
      <w:pPr>
        <w:pStyle w:val="NormalWeb"/>
        <w:shd w:val="clear" w:color="auto" w:fill="FFFFFF"/>
        <w:spacing w:before="0" w:beforeAutospacing="0" w:after="120" w:afterAutospacing="0"/>
        <w:rPr>
          <w:rFonts w:ascii="Segoe UI" w:hAnsi="Segoe UI" w:cs="Segoe UI"/>
          <w:sz w:val="22"/>
          <w:szCs w:val="22"/>
          <w:shd w:val="clear" w:color="auto" w:fill="FFFFFF"/>
        </w:rPr>
      </w:pPr>
      <w:r w:rsidRPr="005B5637">
        <w:rPr>
          <w:rFonts w:ascii="Segoe UI" w:hAnsi="Segoe UI" w:cs="Segoe UI"/>
          <w:sz w:val="22"/>
          <w:szCs w:val="22"/>
        </w:rPr>
        <w:lastRenderedPageBreak/>
        <w:t xml:space="preserve">The </w:t>
      </w:r>
      <w:r w:rsidR="00280321" w:rsidRPr="00280321">
        <w:rPr>
          <w:rFonts w:ascii="Segoe UI" w:hAnsi="Segoe UI" w:cs="Segoe UI"/>
          <w:sz w:val="22"/>
          <w:szCs w:val="22"/>
        </w:rPr>
        <w:t>FPC</w:t>
      </w:r>
      <w:r w:rsidRPr="005B5637">
        <w:rPr>
          <w:rFonts w:ascii="Segoe UI" w:hAnsi="Segoe UI" w:cs="Segoe UI"/>
          <w:sz w:val="22"/>
          <w:szCs w:val="22"/>
        </w:rPr>
        <w:t xml:space="preserve"> is responsible for harvesting and regenerating native forest and plantations in State forests and timber reserves, and for the sale of forest products and </w:t>
      </w:r>
      <w:r w:rsidR="002D6E85">
        <w:rPr>
          <w:rFonts w:ascii="Segoe UI" w:hAnsi="Segoe UI" w:cs="Segoe UI"/>
          <w:sz w:val="22"/>
          <w:szCs w:val="22"/>
        </w:rPr>
        <w:t xml:space="preserve">providing advice to the Minister on </w:t>
      </w:r>
      <w:r w:rsidRPr="005B5637">
        <w:rPr>
          <w:rFonts w:ascii="Segoe UI" w:hAnsi="Segoe UI" w:cs="Segoe UI"/>
          <w:sz w:val="22"/>
          <w:szCs w:val="22"/>
        </w:rPr>
        <w:t xml:space="preserve">industry matters. </w:t>
      </w:r>
      <w:r>
        <w:rPr>
          <w:rFonts w:ascii="Segoe UI" w:hAnsi="Segoe UI" w:cs="Segoe UI"/>
          <w:sz w:val="22"/>
          <w:szCs w:val="22"/>
        </w:rPr>
        <w:t>The FPC has a role in p</w:t>
      </w:r>
      <w:r w:rsidRPr="005B5637">
        <w:rPr>
          <w:rFonts w:ascii="Segoe UI" w:hAnsi="Segoe UI" w:cs="Segoe UI"/>
          <w:sz w:val="22"/>
          <w:szCs w:val="22"/>
          <w:shd w:val="clear" w:color="auto" w:fill="FFFFFF"/>
        </w:rPr>
        <w:t>romoting innovation in forest management and local value adding for timber resources</w:t>
      </w:r>
      <w:r>
        <w:rPr>
          <w:rFonts w:ascii="Segoe UI" w:hAnsi="Segoe UI" w:cs="Segoe UI"/>
          <w:sz w:val="22"/>
          <w:szCs w:val="22"/>
          <w:shd w:val="clear" w:color="auto" w:fill="FFFFFF"/>
        </w:rPr>
        <w:t xml:space="preserve">. Certain FPC operations are independently certified as meeting </w:t>
      </w:r>
      <w:r w:rsidR="00CD2199">
        <w:rPr>
          <w:rFonts w:ascii="Segoe UI" w:hAnsi="Segoe UI" w:cs="Segoe UI"/>
          <w:sz w:val="22"/>
          <w:szCs w:val="22"/>
          <w:shd w:val="clear" w:color="auto" w:fill="FFFFFF"/>
        </w:rPr>
        <w:t>international</w:t>
      </w:r>
      <w:r>
        <w:rPr>
          <w:rFonts w:ascii="Segoe UI" w:hAnsi="Segoe UI" w:cs="Segoe UI"/>
          <w:sz w:val="22"/>
          <w:szCs w:val="22"/>
          <w:shd w:val="clear" w:color="auto" w:fill="FFFFFF"/>
        </w:rPr>
        <w:t xml:space="preserve"> standards of </w:t>
      </w:r>
      <w:r w:rsidR="00CD2199">
        <w:rPr>
          <w:rFonts w:ascii="Segoe UI" w:hAnsi="Segoe UI" w:cs="Segoe UI"/>
          <w:sz w:val="22"/>
          <w:szCs w:val="22"/>
          <w:shd w:val="clear" w:color="auto" w:fill="FFFFFF"/>
        </w:rPr>
        <w:t xml:space="preserve">bodies such as </w:t>
      </w:r>
      <w:r>
        <w:rPr>
          <w:rFonts w:ascii="Segoe UI" w:hAnsi="Segoe UI" w:cs="Segoe UI"/>
          <w:sz w:val="22"/>
          <w:szCs w:val="22"/>
          <w:shd w:val="clear" w:color="auto" w:fill="FFFFFF"/>
        </w:rPr>
        <w:t>the Australian Forestry Standard</w:t>
      </w:r>
      <w:r w:rsidR="007407C6">
        <w:rPr>
          <w:rFonts w:ascii="Segoe UI" w:hAnsi="Segoe UI" w:cs="Segoe UI"/>
          <w:sz w:val="22"/>
          <w:szCs w:val="22"/>
          <w:shd w:val="clear" w:color="auto" w:fill="FFFFFF"/>
        </w:rPr>
        <w:t xml:space="preserve"> (AFS)</w:t>
      </w:r>
      <w:r>
        <w:rPr>
          <w:rFonts w:ascii="Segoe UI" w:hAnsi="Segoe UI" w:cs="Segoe UI"/>
          <w:sz w:val="22"/>
          <w:szCs w:val="22"/>
          <w:shd w:val="clear" w:color="auto" w:fill="FFFFFF"/>
        </w:rPr>
        <w:t>. A policy and practices framework guide the operation and conduct of the FPC.</w:t>
      </w:r>
    </w:p>
    <w:p w14:paraId="26ABD57B" w14:textId="77777777" w:rsidR="005614C4" w:rsidRPr="00C54AAC" w:rsidRDefault="005614C4" w:rsidP="00DA32F0">
      <w:pPr>
        <w:spacing w:before="0"/>
        <w:rPr>
          <w:rFonts w:eastAsia="Times New Roman" w:cs="Segoe UI"/>
          <w:lang w:eastAsia="en-AU"/>
        </w:rPr>
      </w:pPr>
      <w:r w:rsidRPr="00C54AAC">
        <w:rPr>
          <w:rFonts w:cs="Segoe UI"/>
        </w:rPr>
        <w:t xml:space="preserve">At a strategic level, </w:t>
      </w:r>
      <w:r w:rsidRPr="007A76A4">
        <w:rPr>
          <w:rFonts w:cs="Segoe UI"/>
        </w:rPr>
        <w:t>the</w:t>
      </w:r>
      <w:r w:rsidRPr="004C1680">
        <w:rPr>
          <w:rFonts w:cs="Segoe UI"/>
          <w:i/>
        </w:rPr>
        <w:t xml:space="preserve"> </w:t>
      </w:r>
      <w:r w:rsidR="007A76A4" w:rsidRPr="007A76A4">
        <w:rPr>
          <w:rFonts w:cs="Segoe UI"/>
        </w:rPr>
        <w:t>EPA</w:t>
      </w:r>
      <w:r w:rsidRPr="007A76A4">
        <w:rPr>
          <w:rFonts w:cs="Segoe UI"/>
        </w:rPr>
        <w:t xml:space="preserve"> </w:t>
      </w:r>
      <w:r w:rsidRPr="00C54AAC">
        <w:rPr>
          <w:rFonts w:cs="Segoe UI"/>
        </w:rPr>
        <w:t xml:space="preserve">conducts </w:t>
      </w:r>
      <w:r w:rsidRPr="00C54AAC">
        <w:rPr>
          <w:rFonts w:eastAsia="Times New Roman" w:cs="Segoe UI"/>
          <w:lang w:eastAsia="en-AU"/>
        </w:rPr>
        <w:t>environmental impact assessments, prepares statutory policies for environmental protection, and provides strategic advice to the Minister</w:t>
      </w:r>
      <w:r w:rsidR="007A76A4">
        <w:rPr>
          <w:rFonts w:eastAsia="Times New Roman" w:cs="Segoe UI"/>
          <w:lang w:eastAsia="en-AU"/>
        </w:rPr>
        <w:t> </w:t>
      </w:r>
      <w:r w:rsidRPr="00C54AAC">
        <w:rPr>
          <w:rFonts w:eastAsia="Times New Roman" w:cs="Segoe UI"/>
          <w:lang w:eastAsia="en-AU"/>
        </w:rPr>
        <w:t>for</w:t>
      </w:r>
      <w:r w:rsidR="007A76A4">
        <w:rPr>
          <w:rFonts w:eastAsia="Times New Roman" w:cs="Segoe UI"/>
          <w:lang w:eastAsia="en-AU"/>
        </w:rPr>
        <w:t> </w:t>
      </w:r>
      <w:r w:rsidRPr="00C54AAC">
        <w:rPr>
          <w:rFonts w:eastAsia="Times New Roman" w:cs="Segoe UI"/>
          <w:lang w:eastAsia="en-AU"/>
        </w:rPr>
        <w:t>Environment.</w:t>
      </w:r>
    </w:p>
    <w:p w14:paraId="26ABD57C" w14:textId="77777777" w:rsidR="00CE4B36" w:rsidRPr="00CE60B2" w:rsidRDefault="00CE4B36" w:rsidP="000F6020">
      <w:pPr>
        <w:pStyle w:val="Heading3"/>
        <w:rPr>
          <w:lang w:eastAsia="en-AU"/>
        </w:rPr>
      </w:pPr>
      <w:bookmarkStart w:id="195" w:name="_Toc524952831"/>
      <w:bookmarkStart w:id="196" w:name="_Toc2776076"/>
      <w:r w:rsidRPr="00CE60B2">
        <w:rPr>
          <w:lang w:eastAsia="en-AU"/>
        </w:rPr>
        <w:t>Indicator 7.1c</w:t>
      </w:r>
      <w:r w:rsidRPr="00CE60B2">
        <w:rPr>
          <w:lang w:eastAsia="en-AU"/>
        </w:rPr>
        <w:tab/>
        <w:t>Extent to which the economic framework supports the conservation and sustainable management of forests</w:t>
      </w:r>
      <w:r w:rsidR="00706F5C" w:rsidRPr="00CE60B2">
        <w:rPr>
          <w:rStyle w:val="FootnoteReference"/>
          <w:lang w:eastAsia="en-AU"/>
        </w:rPr>
        <w:footnoteReference w:id="11"/>
      </w:r>
      <w:bookmarkEnd w:id="195"/>
      <w:bookmarkEnd w:id="196"/>
    </w:p>
    <w:p w14:paraId="26ABD57D" w14:textId="77777777" w:rsidR="00CE4B36" w:rsidRPr="00CE60B2" w:rsidRDefault="00CE4B36" w:rsidP="000F6020">
      <w:pPr>
        <w:rPr>
          <w:rFonts w:cs="Segoe UI"/>
        </w:rPr>
      </w:pPr>
      <w:bookmarkStart w:id="197" w:name="_Toc510535047"/>
      <w:r w:rsidRPr="00CE60B2">
        <w:rPr>
          <w:rFonts w:cs="Segoe UI"/>
        </w:rPr>
        <w:t>This indicator examines the extent to which government policies support the conservation and sustainable management of forests. Government policies on investment, taxation and trade influence the level of investment in forest conservation, forest establishment and timber processing.</w:t>
      </w:r>
      <w:bookmarkEnd w:id="197"/>
    </w:p>
    <w:p w14:paraId="26ABD57E" w14:textId="77777777" w:rsidR="00CE4B36" w:rsidRDefault="00CE4B36" w:rsidP="00CE4B36">
      <w:pPr>
        <w:rPr>
          <w:rFonts w:cs="Segoe UI"/>
        </w:rPr>
      </w:pPr>
      <w:r w:rsidRPr="00CE60B2">
        <w:rPr>
          <w:rFonts w:cs="Segoe UI"/>
        </w:rPr>
        <w:t xml:space="preserve">Many of the factors that affect the economic framework in relation to sustainable management of forests occur at the state or national level. These factors have been actively reported on over the life of </w:t>
      </w:r>
      <w:r w:rsidR="002F4911" w:rsidRPr="00CE60B2">
        <w:rPr>
          <w:rFonts w:cs="Segoe UI"/>
        </w:rPr>
        <w:t>the WA</w:t>
      </w:r>
      <w:r w:rsidR="009E7B5B">
        <w:rPr>
          <w:rFonts w:cs="Segoe UI"/>
        </w:rPr>
        <w:t> </w:t>
      </w:r>
      <w:r w:rsidR="00785E22" w:rsidRPr="00CE60B2">
        <w:rPr>
          <w:rFonts w:cs="Segoe UI"/>
        </w:rPr>
        <w:t>RFA</w:t>
      </w:r>
      <w:r w:rsidRPr="00CE60B2">
        <w:rPr>
          <w:rFonts w:cs="Segoe UI"/>
        </w:rPr>
        <w:t xml:space="preserve"> in five yearly </w:t>
      </w:r>
      <w:r w:rsidR="007B0720" w:rsidRPr="00CE60B2">
        <w:rPr>
          <w:rFonts w:cs="Segoe UI"/>
        </w:rPr>
        <w:t>SOFRs</w:t>
      </w:r>
      <w:r w:rsidRPr="00CE60B2">
        <w:rPr>
          <w:rFonts w:cs="Segoe UI"/>
        </w:rPr>
        <w:t xml:space="preserve">, as well as in </w:t>
      </w:r>
      <w:r w:rsidR="002F4911" w:rsidRPr="00CE60B2">
        <w:rPr>
          <w:rFonts w:cs="Segoe UI"/>
        </w:rPr>
        <w:t>WA</w:t>
      </w:r>
      <w:r w:rsidRPr="00CE60B2">
        <w:rPr>
          <w:rFonts w:cs="Segoe UI"/>
        </w:rPr>
        <w:t xml:space="preserve"> </w:t>
      </w:r>
      <w:r w:rsidR="002F4911" w:rsidRPr="00CE60B2">
        <w:rPr>
          <w:rFonts w:cs="Segoe UI"/>
        </w:rPr>
        <w:t>reporting</w:t>
      </w:r>
      <w:r w:rsidRPr="00CE60B2">
        <w:rPr>
          <w:rFonts w:cs="Segoe UI"/>
        </w:rPr>
        <w:t>.</w:t>
      </w:r>
    </w:p>
    <w:p w14:paraId="26ABD57F" w14:textId="77777777" w:rsidR="00A7149A" w:rsidRDefault="00A7149A" w:rsidP="00DA32F0">
      <w:pPr>
        <w:spacing w:before="0"/>
        <w:rPr>
          <w:rFonts w:cs="Segoe UI"/>
        </w:rPr>
      </w:pPr>
      <w:r w:rsidRPr="00163AE0">
        <w:rPr>
          <w:rFonts w:cs="Segoe UI"/>
        </w:rPr>
        <w:t xml:space="preserve">Through legislation and policy, the Australian and </w:t>
      </w:r>
      <w:r w:rsidR="00B32B97">
        <w:rPr>
          <w:rFonts w:cs="Segoe UI"/>
        </w:rPr>
        <w:t>WA </w:t>
      </w:r>
      <w:r w:rsidRPr="00163AE0">
        <w:rPr>
          <w:rFonts w:cs="Segoe UI"/>
        </w:rPr>
        <w:t>governments establish the economic framework which details taxation, business regulation, competition policy, foreign investment and consumer regulation.</w:t>
      </w:r>
    </w:p>
    <w:p w14:paraId="26ABD580" w14:textId="77777777" w:rsidR="00A7149A" w:rsidRDefault="00A7149A" w:rsidP="00DA32F0">
      <w:pPr>
        <w:autoSpaceDE w:val="0"/>
        <w:autoSpaceDN w:val="0"/>
        <w:adjustRightInd w:val="0"/>
        <w:spacing w:before="0"/>
        <w:rPr>
          <w:rFonts w:cs="Segoe UI"/>
        </w:rPr>
      </w:pPr>
      <w:r w:rsidRPr="00C5695B">
        <w:rPr>
          <w:rFonts w:cs="Segoe UI"/>
        </w:rPr>
        <w:t xml:space="preserve">The </w:t>
      </w:r>
      <w:r w:rsidR="009320E7">
        <w:rPr>
          <w:rFonts w:cs="Segoe UI"/>
        </w:rPr>
        <w:t>NFPS</w:t>
      </w:r>
      <w:r w:rsidRPr="00C5695B">
        <w:rPr>
          <w:rFonts w:cs="Segoe UI"/>
        </w:rPr>
        <w:t xml:space="preserve"> and </w:t>
      </w:r>
      <w:r w:rsidR="00BB55F9">
        <w:rPr>
          <w:rFonts w:cs="Segoe UI"/>
        </w:rPr>
        <w:t>WA RFA</w:t>
      </w:r>
      <w:r w:rsidRPr="00C5695B">
        <w:rPr>
          <w:rFonts w:cs="Segoe UI"/>
        </w:rPr>
        <w:t xml:space="preserve"> continue to provide the basis at the national level to manage the States’ forest to achieve social and environmental outcomes.</w:t>
      </w:r>
    </w:p>
    <w:p w14:paraId="26ABD581" w14:textId="77777777" w:rsidR="00A7149A" w:rsidRDefault="00A7149A" w:rsidP="00DA32F0">
      <w:pPr>
        <w:autoSpaceDE w:val="0"/>
        <w:autoSpaceDN w:val="0"/>
        <w:adjustRightInd w:val="0"/>
        <w:spacing w:before="0"/>
        <w:rPr>
          <w:rFonts w:cs="Segoe UI"/>
        </w:rPr>
      </w:pPr>
      <w:r w:rsidRPr="00C5695B">
        <w:rPr>
          <w:rFonts w:cs="Segoe UI"/>
        </w:rPr>
        <w:t xml:space="preserve">The </w:t>
      </w:r>
      <w:r w:rsidR="009320E7">
        <w:rPr>
          <w:rFonts w:cs="Segoe UI"/>
          <w:iCs/>
        </w:rPr>
        <w:t>NFPS</w:t>
      </w:r>
      <w:r w:rsidRPr="00C5695B">
        <w:rPr>
          <w:rFonts w:cs="Segoe UI"/>
          <w:iCs/>
        </w:rPr>
        <w:t xml:space="preserve"> </w:t>
      </w:r>
      <w:r w:rsidRPr="00C5695B">
        <w:rPr>
          <w:rFonts w:cs="Segoe UI"/>
        </w:rPr>
        <w:t xml:space="preserve">sets out a nationally shared vison for the delivery of sustainable forest management. Three of the key objectives articulated in the </w:t>
      </w:r>
      <w:r>
        <w:rPr>
          <w:rFonts w:cs="Segoe UI"/>
        </w:rPr>
        <w:t>statement</w:t>
      </w:r>
      <w:r w:rsidRPr="00C5695B">
        <w:rPr>
          <w:rFonts w:cs="Segoe UI"/>
        </w:rPr>
        <w:t xml:space="preserve"> are to:</w:t>
      </w:r>
    </w:p>
    <w:p w14:paraId="26ABD582" w14:textId="4E6B8CAA" w:rsidR="00A7149A" w:rsidRPr="00C5695B" w:rsidRDefault="00A7149A" w:rsidP="00C903EE">
      <w:pPr>
        <w:pStyle w:val="ListParagraph"/>
        <w:numPr>
          <w:ilvl w:val="0"/>
          <w:numId w:val="34"/>
        </w:numPr>
        <w:autoSpaceDE w:val="0"/>
        <w:autoSpaceDN w:val="0"/>
        <w:adjustRightInd w:val="0"/>
        <w:spacing w:before="0" w:after="0"/>
        <w:rPr>
          <w:rFonts w:cs="Segoe UI"/>
        </w:rPr>
      </w:pPr>
      <w:r w:rsidRPr="00C5695B">
        <w:rPr>
          <w:rFonts w:cs="Segoe UI"/>
        </w:rPr>
        <w:t>maintain a permanent forest estate to retain the full suite of forest values over time</w:t>
      </w:r>
    </w:p>
    <w:p w14:paraId="26ABD583" w14:textId="41C0EE0A" w:rsidR="00A7149A" w:rsidRPr="00C5695B" w:rsidRDefault="00A7149A" w:rsidP="00C903EE">
      <w:pPr>
        <w:pStyle w:val="ListParagraph"/>
        <w:numPr>
          <w:ilvl w:val="0"/>
          <w:numId w:val="34"/>
        </w:numPr>
        <w:autoSpaceDE w:val="0"/>
        <w:autoSpaceDN w:val="0"/>
        <w:adjustRightInd w:val="0"/>
        <w:spacing w:before="0" w:after="0"/>
        <w:rPr>
          <w:rFonts w:cs="Segoe UI"/>
        </w:rPr>
      </w:pPr>
      <w:r w:rsidRPr="00C5695B">
        <w:rPr>
          <w:rFonts w:cs="Segoe UI"/>
        </w:rPr>
        <w:t>set aside parts of the forest estate in formal reserves to safeguard special environmental and social values according to the principles of comprehensiveness, adequacy and representativeness</w:t>
      </w:r>
    </w:p>
    <w:p w14:paraId="26ABD584" w14:textId="77777777" w:rsidR="00A7149A" w:rsidRPr="00C5695B" w:rsidRDefault="00A7149A" w:rsidP="00C903EE">
      <w:pPr>
        <w:pStyle w:val="ListParagraph"/>
        <w:numPr>
          <w:ilvl w:val="0"/>
          <w:numId w:val="34"/>
        </w:numPr>
        <w:autoSpaceDE w:val="0"/>
        <w:autoSpaceDN w:val="0"/>
        <w:adjustRightInd w:val="0"/>
        <w:spacing w:before="0" w:after="0"/>
        <w:rPr>
          <w:rFonts w:cs="Segoe UI"/>
        </w:rPr>
      </w:pPr>
      <w:r w:rsidRPr="00C5695B">
        <w:rPr>
          <w:rFonts w:cs="Segoe UI"/>
        </w:rPr>
        <w:t>manage forests outside reserves in a manner that contributes to sustainable environmental, social and economic outcomes.</w:t>
      </w:r>
    </w:p>
    <w:p w14:paraId="26ABD585" w14:textId="77777777" w:rsidR="00A7149A" w:rsidRDefault="00FE2FBE" w:rsidP="00DA32F0">
      <w:pPr>
        <w:autoSpaceDE w:val="0"/>
        <w:autoSpaceDN w:val="0"/>
        <w:adjustRightInd w:val="0"/>
        <w:spacing w:after="0"/>
        <w:rPr>
          <w:rFonts w:cs="Segoe UI"/>
        </w:rPr>
      </w:pPr>
      <w:r>
        <w:rPr>
          <w:rFonts w:cs="Segoe UI"/>
        </w:rPr>
        <w:t>At the State level the FMP 2014</w:t>
      </w:r>
      <w:r>
        <w:rPr>
          <w:rFonts w:cs="Segoe UI"/>
        </w:rPr>
        <w:noBreakHyphen/>
      </w:r>
      <w:r w:rsidR="00A7149A" w:rsidRPr="00224201">
        <w:rPr>
          <w:rFonts w:cs="Segoe UI"/>
        </w:rPr>
        <w:t>2023 provides for a native forest products industry and sets the availability of wood resources for the next 10 years. The plan is developed to account for the principles of ESFM as outline</w:t>
      </w:r>
      <w:r w:rsidR="00CD2199">
        <w:rPr>
          <w:rFonts w:cs="Segoe UI"/>
        </w:rPr>
        <w:t>d in</w:t>
      </w:r>
      <w:r w:rsidR="00A7149A" w:rsidRPr="00224201">
        <w:rPr>
          <w:rFonts w:cs="Segoe UI"/>
        </w:rPr>
        <w:t xml:space="preserve"> the CALM Act, including tha</w:t>
      </w:r>
      <w:r w:rsidR="004662F2">
        <w:rPr>
          <w:rFonts w:cs="Segoe UI"/>
        </w:rPr>
        <w:t xml:space="preserve">t </w:t>
      </w:r>
      <w:r w:rsidR="00A7149A" w:rsidRPr="00224201">
        <w:rPr>
          <w:rFonts w:cs="Segoe UI"/>
        </w:rPr>
        <w:t>‘the decision-making process should effectively integrate both long-term and short-term economic, environmental, social and equitable considerations</w:t>
      </w:r>
      <w:r w:rsidR="004662F2">
        <w:rPr>
          <w:rFonts w:cs="Segoe UI"/>
        </w:rPr>
        <w:t>’</w:t>
      </w:r>
      <w:r w:rsidR="00A7149A" w:rsidRPr="00224201">
        <w:rPr>
          <w:rFonts w:cs="Segoe UI"/>
        </w:rPr>
        <w:t>.</w:t>
      </w:r>
      <w:r>
        <w:rPr>
          <w:rFonts w:cs="Segoe UI"/>
        </w:rPr>
        <w:t xml:space="preserve"> The FMP 2014</w:t>
      </w:r>
      <w:r>
        <w:rPr>
          <w:rFonts w:cs="Segoe UI"/>
        </w:rPr>
        <w:noBreakHyphen/>
      </w:r>
      <w:r w:rsidR="00A7149A">
        <w:rPr>
          <w:rFonts w:cs="Segoe UI"/>
        </w:rPr>
        <w:t xml:space="preserve">2023 also provides for an upper limit of </w:t>
      </w:r>
      <w:r w:rsidR="00A7149A">
        <w:rPr>
          <w:rFonts w:cs="Segoe UI"/>
        </w:rPr>
        <w:lastRenderedPageBreak/>
        <w:t>other bole volume that can be approached should new markets arise during the time of the plan.</w:t>
      </w:r>
    </w:p>
    <w:p w14:paraId="26ABD586" w14:textId="77777777" w:rsidR="00CE4B36" w:rsidRPr="00CE60B2" w:rsidRDefault="00CE4B36" w:rsidP="00CE4B36">
      <w:pPr>
        <w:pStyle w:val="Heading4"/>
        <w:rPr>
          <w:rFonts w:cs="Segoe UI"/>
        </w:rPr>
      </w:pPr>
      <w:r w:rsidRPr="00CE60B2">
        <w:rPr>
          <w:rFonts w:cs="Segoe UI"/>
        </w:rPr>
        <w:t>Investment</w:t>
      </w:r>
    </w:p>
    <w:p w14:paraId="26ABD587" w14:textId="77777777" w:rsidR="00CE4B36" w:rsidRDefault="00CE4B36" w:rsidP="00CE4B36">
      <w:pPr>
        <w:rPr>
          <w:rFonts w:cs="Segoe UI"/>
        </w:rPr>
      </w:pPr>
      <w:r w:rsidRPr="00CE60B2">
        <w:rPr>
          <w:rFonts w:cs="Segoe UI"/>
        </w:rPr>
        <w:t xml:space="preserve">Australia has stringent controls over land use changes and industrial development that aim to protect environmental cultural and amenity values. These controls generally apply equally to all land use change and developments. Provided those values are protected, private investment in the forest and forest products industries in Australia is generally free from industry-specific legal and regulatory constraints. Australia's foreign investment policy aims to encourage foreign investment that is consistent with community and economic interests. Foreign investment in Australia is regulated primarily through a regime established under the </w:t>
      </w:r>
      <w:r w:rsidRPr="00CE60B2">
        <w:rPr>
          <w:rFonts w:cs="Segoe UI"/>
          <w:i/>
        </w:rPr>
        <w:t>Foreign Acquisitions and Takeovers Act 1975</w:t>
      </w:r>
      <w:r w:rsidR="007B0720" w:rsidRPr="00CE60B2">
        <w:rPr>
          <w:rFonts w:cs="Segoe UI"/>
          <w:i/>
        </w:rPr>
        <w:t xml:space="preserve"> </w:t>
      </w:r>
      <w:r w:rsidR="007B0720" w:rsidRPr="00CE60B2">
        <w:rPr>
          <w:rFonts w:cs="Segoe UI"/>
        </w:rPr>
        <w:t>(Cth)</w:t>
      </w:r>
      <w:r w:rsidRPr="00CE60B2">
        <w:rPr>
          <w:rFonts w:cs="Segoe UI"/>
        </w:rPr>
        <w:t>.</w:t>
      </w:r>
    </w:p>
    <w:p w14:paraId="26ABD588" w14:textId="77777777" w:rsidR="00A7149A" w:rsidRDefault="00A7149A" w:rsidP="00DA32F0">
      <w:pPr>
        <w:spacing w:before="0"/>
        <w:rPr>
          <w:rFonts w:cs="Segoe UI"/>
        </w:rPr>
      </w:pPr>
      <w:r>
        <w:rPr>
          <w:rFonts w:cs="Segoe UI"/>
        </w:rPr>
        <w:t xml:space="preserve">To allow for a stable investment environment for the wood products industry, Western Australia has </w:t>
      </w:r>
      <w:r w:rsidRPr="00163AE0">
        <w:rPr>
          <w:rFonts w:cs="Segoe UI"/>
        </w:rPr>
        <w:t>investment security guarantee</w:t>
      </w:r>
      <w:r>
        <w:rPr>
          <w:rFonts w:cs="Segoe UI"/>
        </w:rPr>
        <w:t>s</w:t>
      </w:r>
      <w:r w:rsidRPr="00163AE0">
        <w:rPr>
          <w:rFonts w:cs="Segoe UI"/>
        </w:rPr>
        <w:t xml:space="preserve"> (</w:t>
      </w:r>
      <w:r w:rsidRPr="00163AE0">
        <w:rPr>
          <w:rFonts w:cs="Segoe UI"/>
          <w:bCs/>
        </w:rPr>
        <w:t>ISG</w:t>
      </w:r>
      <w:r>
        <w:rPr>
          <w:rFonts w:cs="Segoe UI"/>
          <w:bCs/>
        </w:rPr>
        <w:t>s</w:t>
      </w:r>
      <w:r w:rsidRPr="00163AE0">
        <w:rPr>
          <w:rFonts w:cs="Segoe UI"/>
          <w:bCs/>
        </w:rPr>
        <w:t xml:space="preserve">) </w:t>
      </w:r>
      <w:r>
        <w:rPr>
          <w:rFonts w:cs="Segoe UI"/>
          <w:bCs/>
        </w:rPr>
        <w:t xml:space="preserve">with </w:t>
      </w:r>
      <w:r w:rsidRPr="00163AE0">
        <w:rPr>
          <w:rFonts w:cs="Segoe UI"/>
        </w:rPr>
        <w:t xml:space="preserve">native hardwood log buyers to enable them to better raise capital for timber processing. ISGs deliver increased certainty for investments by </w:t>
      </w:r>
      <w:r>
        <w:rPr>
          <w:rFonts w:cs="Segoe UI"/>
        </w:rPr>
        <w:t xml:space="preserve">allowing </w:t>
      </w:r>
      <w:r w:rsidRPr="00163AE0">
        <w:rPr>
          <w:rFonts w:cs="Segoe UI"/>
        </w:rPr>
        <w:t>compensation should access to specified volumes of wood not eventuate</w:t>
      </w:r>
      <w:r>
        <w:rPr>
          <w:rFonts w:cs="Segoe UI"/>
        </w:rPr>
        <w:t xml:space="preserve">. They are </w:t>
      </w:r>
      <w:r w:rsidRPr="00163AE0">
        <w:rPr>
          <w:rFonts w:cs="Segoe UI"/>
        </w:rPr>
        <w:t xml:space="preserve">provided for under the </w:t>
      </w:r>
      <w:r w:rsidRPr="00163AE0">
        <w:rPr>
          <w:rFonts w:cs="Segoe UI"/>
          <w:i/>
        </w:rPr>
        <w:t>Industry and Technology Development Act 1998</w:t>
      </w:r>
      <w:r w:rsidR="00B32B97">
        <w:rPr>
          <w:rFonts w:cs="Segoe UI"/>
          <w:i/>
        </w:rPr>
        <w:t xml:space="preserve"> </w:t>
      </w:r>
      <w:r w:rsidR="00B32B97" w:rsidRPr="00B32B97">
        <w:rPr>
          <w:rFonts w:cs="Segoe UI"/>
        </w:rPr>
        <w:t>(WA)</w:t>
      </w:r>
      <w:r w:rsidRPr="00B32B97">
        <w:rPr>
          <w:rFonts w:cs="Segoe UI"/>
        </w:rPr>
        <w:t>.</w:t>
      </w:r>
    </w:p>
    <w:p w14:paraId="26ABD589" w14:textId="77777777" w:rsidR="00A7149A" w:rsidRPr="00936D4B" w:rsidRDefault="00A7149A" w:rsidP="00A7149A">
      <w:pPr>
        <w:autoSpaceDE w:val="0"/>
        <w:autoSpaceDN w:val="0"/>
        <w:adjustRightInd w:val="0"/>
        <w:spacing w:before="0" w:after="0"/>
        <w:jc w:val="both"/>
        <w:rPr>
          <w:rFonts w:cs="Segoe UI"/>
          <w:spacing w:val="-2"/>
        </w:rPr>
      </w:pPr>
      <w:r w:rsidRPr="00936D4B">
        <w:rPr>
          <w:rFonts w:cs="Segoe UI"/>
        </w:rPr>
        <w:t xml:space="preserve">ISGs do not pre-empt future decision-making in regard to allowable cuts for the new </w:t>
      </w:r>
      <w:r w:rsidR="00C06FC1">
        <w:rPr>
          <w:rFonts w:cs="Segoe UI"/>
        </w:rPr>
        <w:t>FMP</w:t>
      </w:r>
      <w:r>
        <w:rPr>
          <w:rFonts w:cs="Segoe UI"/>
        </w:rPr>
        <w:t xml:space="preserve"> nor </w:t>
      </w:r>
      <w:r w:rsidRPr="00936D4B">
        <w:rPr>
          <w:rFonts w:cs="Segoe UI"/>
          <w:spacing w:val="-2"/>
        </w:rPr>
        <w:t xml:space="preserve">determine the volume of native sawlogs that will be available under a </w:t>
      </w:r>
      <w:r w:rsidR="00C06FC1">
        <w:rPr>
          <w:rFonts w:cs="Segoe UI"/>
          <w:spacing w:val="-2"/>
        </w:rPr>
        <w:t>FMP</w:t>
      </w:r>
      <w:r w:rsidRPr="00936D4B">
        <w:rPr>
          <w:rFonts w:cs="Segoe UI"/>
          <w:spacing w:val="-2"/>
        </w:rPr>
        <w:t xml:space="preserve">. </w:t>
      </w:r>
    </w:p>
    <w:p w14:paraId="26ABD58A" w14:textId="77777777" w:rsidR="00CE4B36" w:rsidRPr="00CE60B2" w:rsidRDefault="00CE4B36" w:rsidP="00CE4B36">
      <w:pPr>
        <w:pStyle w:val="Heading4"/>
        <w:rPr>
          <w:rFonts w:cs="Segoe UI"/>
        </w:rPr>
      </w:pPr>
      <w:r w:rsidRPr="00CE60B2">
        <w:rPr>
          <w:rFonts w:cs="Segoe UI"/>
        </w:rPr>
        <w:t>Competition</w:t>
      </w:r>
    </w:p>
    <w:p w14:paraId="26ABD58B" w14:textId="77777777" w:rsidR="00A7149A" w:rsidRPr="00383264" w:rsidRDefault="00CE4B36" w:rsidP="00DA32F0">
      <w:pPr>
        <w:spacing w:before="0"/>
        <w:rPr>
          <w:color w:val="000000"/>
          <w:shd w:val="clear" w:color="auto" w:fill="FFFFFF"/>
        </w:rPr>
      </w:pPr>
      <w:r w:rsidRPr="00CE60B2">
        <w:rPr>
          <w:rFonts w:cs="Segoe UI"/>
        </w:rPr>
        <w:t xml:space="preserve">Australia's National Competition Policy has led to several reforms that affect the competitive climate for Australian forest-based industries, including that commercial state-owned forest entities be competitively neutral with the private sector. </w:t>
      </w:r>
    </w:p>
    <w:p w14:paraId="26ABD58C" w14:textId="77777777" w:rsidR="00A7149A" w:rsidRPr="00C5695B" w:rsidRDefault="00A7149A" w:rsidP="00A7149A">
      <w:pPr>
        <w:spacing w:before="0" w:after="0"/>
        <w:rPr>
          <w:rFonts w:cs="Segoe UI"/>
        </w:rPr>
      </w:pPr>
      <w:r w:rsidRPr="00C5695B">
        <w:rPr>
          <w:rFonts w:cs="Segoe UI"/>
          <w:color w:val="000000"/>
          <w:shd w:val="clear" w:color="auto" w:fill="FFFFFF"/>
        </w:rPr>
        <w:t xml:space="preserve">The </w:t>
      </w:r>
      <w:r w:rsidR="00280321">
        <w:rPr>
          <w:rFonts w:cs="Segoe UI"/>
          <w:color w:val="000000"/>
          <w:shd w:val="clear" w:color="auto" w:fill="FFFFFF"/>
        </w:rPr>
        <w:t>FPC</w:t>
      </w:r>
      <w:r w:rsidRPr="00C5695B">
        <w:rPr>
          <w:rFonts w:cs="Segoe UI"/>
          <w:color w:val="000000"/>
          <w:shd w:val="clear" w:color="auto" w:fill="FFFFFF"/>
        </w:rPr>
        <w:t xml:space="preserve"> was established with the commercial function to promote the sale of wood products from the State’s public land. The FPC has a responsibility to use a valuable public resource and provide for the continuation of a viable timber industry. It has a role with respect to employment in and development of the forest resources industry, and sustainable use of indigenous forest resources consistent with </w:t>
      </w:r>
      <w:r w:rsidR="00C06FC1">
        <w:rPr>
          <w:rFonts w:cs="Segoe UI"/>
          <w:color w:val="000000"/>
          <w:shd w:val="clear" w:color="auto" w:fill="FFFFFF"/>
        </w:rPr>
        <w:t>FMP</w:t>
      </w:r>
      <w:r w:rsidRPr="00C5695B">
        <w:rPr>
          <w:rFonts w:cs="Segoe UI"/>
          <w:color w:val="000000"/>
          <w:shd w:val="clear" w:color="auto" w:fill="FFFFFF"/>
        </w:rPr>
        <w:t xml:space="preserve">s for State forest and timber reserves. </w:t>
      </w:r>
      <w:r w:rsidRPr="00C5695B">
        <w:rPr>
          <w:rFonts w:cs="Segoe UI"/>
        </w:rPr>
        <w:t xml:space="preserve">Part 8 of the </w:t>
      </w:r>
      <w:r w:rsidR="007D2634">
        <w:rPr>
          <w:rFonts w:cs="Segoe UI"/>
        </w:rPr>
        <w:t>FP </w:t>
      </w:r>
      <w:r w:rsidRPr="00C5695B">
        <w:rPr>
          <w:rFonts w:cs="Segoe UI"/>
        </w:rPr>
        <w:t xml:space="preserve">Act requires </w:t>
      </w:r>
      <w:r>
        <w:rPr>
          <w:rFonts w:cs="Segoe UI"/>
        </w:rPr>
        <w:t xml:space="preserve">that </w:t>
      </w:r>
      <w:r w:rsidRPr="00C5695B">
        <w:rPr>
          <w:rFonts w:cs="Segoe UI"/>
        </w:rPr>
        <w:t xml:space="preserve">all sales processes are transparent, fair and equitable, and observe and apply relevant State Government policies and public sector guidelines. For the State Agreement Acts and long-term contracts, pricing reviews are undertaken in accordance with the requirements specified in each contract and the log sales process </w:t>
      </w:r>
      <w:r>
        <w:rPr>
          <w:rFonts w:cs="Segoe UI"/>
        </w:rPr>
        <w:t xml:space="preserve">is </w:t>
      </w:r>
      <w:r w:rsidRPr="00C5695B">
        <w:rPr>
          <w:rFonts w:cs="Segoe UI"/>
        </w:rPr>
        <w:t>adjusted accordingly.</w:t>
      </w:r>
    </w:p>
    <w:p w14:paraId="26ABD58D" w14:textId="77777777" w:rsidR="00CE4B36" w:rsidRPr="00CE60B2" w:rsidRDefault="00A7149A" w:rsidP="00A7149A">
      <w:pPr>
        <w:rPr>
          <w:rFonts w:cs="Segoe UI"/>
        </w:rPr>
      </w:pPr>
      <w:r w:rsidRPr="00C5695B">
        <w:rPr>
          <w:rFonts w:cs="Segoe UI"/>
        </w:rPr>
        <w:t xml:space="preserve">FPC’s </w:t>
      </w:r>
      <w:r w:rsidRPr="00C5695B">
        <w:rPr>
          <w:rFonts w:cs="Segoe UI"/>
          <w:i/>
          <w:iCs/>
        </w:rPr>
        <w:t xml:space="preserve">The Utilisation of Forest Products from Native Forests </w:t>
      </w:r>
      <w:r w:rsidRPr="00C5695B">
        <w:rPr>
          <w:rFonts w:cs="Segoe UI"/>
          <w:iCs/>
        </w:rPr>
        <w:t>corporate</w:t>
      </w:r>
      <w:r w:rsidRPr="00C5695B">
        <w:rPr>
          <w:rFonts w:cs="Segoe UI"/>
          <w:i/>
          <w:iCs/>
        </w:rPr>
        <w:t xml:space="preserve"> </w:t>
      </w:r>
      <w:r w:rsidRPr="00C5695B">
        <w:rPr>
          <w:rFonts w:cs="Segoe UI"/>
          <w:iCs/>
        </w:rPr>
        <w:t>policy</w:t>
      </w:r>
      <w:r w:rsidRPr="00C5695B">
        <w:rPr>
          <w:rFonts w:cs="Segoe UI"/>
          <w:i/>
          <w:iCs/>
        </w:rPr>
        <w:t xml:space="preserve"> </w:t>
      </w:r>
      <w:r w:rsidRPr="00C5695B">
        <w:rPr>
          <w:rFonts w:cs="Segoe UI"/>
        </w:rPr>
        <w:t xml:space="preserve">outlines implementation strategies to ensure that products from native forests will be marketed, prepared and delivered in processes which are consistent with the functions and strategic objectives of FPC as well as satisfying environmental performance criteria set in </w:t>
      </w:r>
      <w:r>
        <w:rPr>
          <w:rFonts w:cs="Segoe UI"/>
        </w:rPr>
        <w:t>the</w:t>
      </w:r>
      <w:r w:rsidRPr="00C5695B">
        <w:rPr>
          <w:rFonts w:cs="Segoe UI"/>
        </w:rPr>
        <w:t xml:space="preserve"> FMP. </w:t>
      </w:r>
      <w:r>
        <w:rPr>
          <w:rFonts w:cs="Segoe UI"/>
        </w:rPr>
        <w:t>The FPC also reports against a range of a</w:t>
      </w:r>
      <w:r>
        <w:rPr>
          <w:rFonts w:cs="Segoe UI"/>
          <w:spacing w:val="-2"/>
        </w:rPr>
        <w:t>nnual key effectiveness indicators which measure the performance of economic return to the State from the wood products industry.</w:t>
      </w:r>
    </w:p>
    <w:p w14:paraId="3D344C04" w14:textId="77777777" w:rsidR="00A42B5E" w:rsidRDefault="00A42B5E">
      <w:pPr>
        <w:spacing w:before="0" w:after="480" w:line="276" w:lineRule="auto"/>
        <w:rPr>
          <w:rFonts w:cs="Segoe UI"/>
          <w:b/>
          <w:i/>
        </w:rPr>
      </w:pPr>
      <w:r>
        <w:rPr>
          <w:rFonts w:cs="Segoe UI"/>
        </w:rPr>
        <w:br w:type="page"/>
      </w:r>
    </w:p>
    <w:p w14:paraId="26ABD590" w14:textId="18E5A694" w:rsidR="00CE4B36" w:rsidRPr="00CE60B2" w:rsidRDefault="00CE4B36" w:rsidP="00CE4B36">
      <w:pPr>
        <w:pStyle w:val="Heading4"/>
        <w:rPr>
          <w:rFonts w:cs="Segoe UI"/>
        </w:rPr>
      </w:pPr>
      <w:r w:rsidRPr="00CE60B2">
        <w:rPr>
          <w:rFonts w:cs="Segoe UI"/>
        </w:rPr>
        <w:lastRenderedPageBreak/>
        <w:t>Taxation</w:t>
      </w:r>
    </w:p>
    <w:p w14:paraId="26ABD591" w14:textId="77777777" w:rsidR="00CE4B36" w:rsidRPr="00CE60B2" w:rsidRDefault="00CE4B36" w:rsidP="00CE4B36">
      <w:pPr>
        <w:rPr>
          <w:rFonts w:cs="Segoe UI"/>
        </w:rPr>
      </w:pPr>
      <w:r w:rsidRPr="00CE60B2">
        <w:rPr>
          <w:rFonts w:cs="Segoe UI"/>
        </w:rPr>
        <w:t>Prior to 2002</w:t>
      </w:r>
      <w:r w:rsidR="007B0720" w:rsidRPr="00CE60B2">
        <w:rPr>
          <w:rFonts w:cs="Segoe UI"/>
        </w:rPr>
        <w:t>,</w:t>
      </w:r>
      <w:r w:rsidRPr="00CE60B2">
        <w:rPr>
          <w:rFonts w:cs="Segoe UI"/>
        </w:rPr>
        <w:t xml:space="preserve"> the tax treatment of forestry activities as primary production created unintended inequities for small scale private investments in forestry due to the seasonal and long-term nature of forestry, and its associated irregular cash flows. Key issues were:</w:t>
      </w:r>
    </w:p>
    <w:p w14:paraId="26ABD592" w14:textId="0792D8C0" w:rsidR="00CE4B36" w:rsidRPr="00CE60B2" w:rsidRDefault="00CE4B36" w:rsidP="00340F1B">
      <w:pPr>
        <w:pStyle w:val="ListParagraph"/>
        <w:numPr>
          <w:ilvl w:val="0"/>
          <w:numId w:val="6"/>
        </w:numPr>
        <w:rPr>
          <w:rFonts w:cs="Segoe UI"/>
        </w:rPr>
      </w:pPr>
      <w:r w:rsidRPr="00CE60B2">
        <w:rPr>
          <w:rFonts w:cs="Segoe UI"/>
        </w:rPr>
        <w:t>Inability to offset upfront establishment payments in managed schemes in the payment year</w:t>
      </w:r>
      <w:r w:rsidR="00D26B91">
        <w:rPr>
          <w:rFonts w:cs="Segoe UI"/>
        </w:rPr>
        <w:t>.</w:t>
      </w:r>
    </w:p>
    <w:p w14:paraId="26ABD593" w14:textId="656D25EE" w:rsidR="00CE4B36" w:rsidRPr="00CE60B2" w:rsidRDefault="00CE4B36" w:rsidP="00340F1B">
      <w:pPr>
        <w:pStyle w:val="ListParagraph"/>
        <w:numPr>
          <w:ilvl w:val="0"/>
          <w:numId w:val="6"/>
        </w:numPr>
        <w:rPr>
          <w:rFonts w:cs="Segoe UI"/>
        </w:rPr>
      </w:pPr>
      <w:r w:rsidRPr="00CE60B2">
        <w:rPr>
          <w:rFonts w:cs="Segoe UI"/>
        </w:rPr>
        <w:t>Immediate tax liability created by forward contracts for timber harvesting rights</w:t>
      </w:r>
      <w:r w:rsidR="00D26B91">
        <w:rPr>
          <w:rFonts w:cs="Segoe UI"/>
        </w:rPr>
        <w:t>.</w:t>
      </w:r>
    </w:p>
    <w:p w14:paraId="26ABD594" w14:textId="77777777" w:rsidR="00CE4B36" w:rsidRPr="00CE60B2" w:rsidRDefault="00CE4B36" w:rsidP="00340F1B">
      <w:pPr>
        <w:pStyle w:val="ListParagraph"/>
        <w:numPr>
          <w:ilvl w:val="0"/>
          <w:numId w:val="6"/>
        </w:numPr>
        <w:rPr>
          <w:rFonts w:cs="Segoe UI"/>
        </w:rPr>
      </w:pPr>
      <w:r w:rsidRPr="00CE60B2">
        <w:rPr>
          <w:rFonts w:cs="Segoe UI"/>
        </w:rPr>
        <w:t>Tax bracket creep with no mechanism to average large harvest incomes over the plantation lifecycle.</w:t>
      </w:r>
    </w:p>
    <w:p w14:paraId="26ABD595" w14:textId="77777777" w:rsidR="00CE4B36" w:rsidRPr="00CE60B2" w:rsidRDefault="00CE4B36" w:rsidP="00CE4B36">
      <w:pPr>
        <w:rPr>
          <w:rFonts w:cs="Segoe UI"/>
        </w:rPr>
      </w:pPr>
      <w:r w:rsidRPr="00CE60B2">
        <w:rPr>
          <w:rFonts w:cs="Segoe UI"/>
        </w:rPr>
        <w:t>In 2002</w:t>
      </w:r>
      <w:r w:rsidR="007B0720" w:rsidRPr="00CE60B2">
        <w:rPr>
          <w:rFonts w:cs="Segoe UI"/>
        </w:rPr>
        <w:t>,</w:t>
      </w:r>
      <w:r w:rsidRPr="00CE60B2">
        <w:rPr>
          <w:rFonts w:cs="Segoe UI"/>
        </w:rPr>
        <w:t xml:space="preserve"> a 12</w:t>
      </w:r>
      <w:r w:rsidR="00ED16EC">
        <w:rPr>
          <w:rFonts w:cs="Segoe UI"/>
        </w:rPr>
        <w:noBreakHyphen/>
      </w:r>
      <w:r w:rsidRPr="00CE60B2">
        <w:rPr>
          <w:rFonts w:cs="Segoe UI"/>
        </w:rPr>
        <w:t>month prepayment rule was introduced to address the offset issue for investors in prospectus based forestry schemes. This was the only significant tax treatment for forestry investments in managed schemes that was different to investment in other sectors at that time.</w:t>
      </w:r>
    </w:p>
    <w:p w14:paraId="26ABD596" w14:textId="77777777" w:rsidR="00CE4B36" w:rsidRPr="00CE60B2" w:rsidRDefault="00CE4B36" w:rsidP="00CE4B36">
      <w:pPr>
        <w:pStyle w:val="Heading4"/>
        <w:rPr>
          <w:rFonts w:cs="Segoe UI"/>
        </w:rPr>
      </w:pPr>
      <w:r w:rsidRPr="00CE60B2">
        <w:rPr>
          <w:rFonts w:cs="Segoe UI"/>
        </w:rPr>
        <w:t>Managed Investment Schemes</w:t>
      </w:r>
    </w:p>
    <w:p w14:paraId="26ABD597" w14:textId="77777777" w:rsidR="00CE4B36" w:rsidRPr="00CE60B2" w:rsidRDefault="00CE4B36" w:rsidP="00CE4B36">
      <w:pPr>
        <w:rPr>
          <w:rFonts w:cs="Segoe UI"/>
        </w:rPr>
      </w:pPr>
      <w:r w:rsidRPr="00CE60B2">
        <w:rPr>
          <w:rFonts w:cs="Segoe UI"/>
        </w:rPr>
        <w:t>In July</w:t>
      </w:r>
      <w:r w:rsidR="00ED16EC">
        <w:rPr>
          <w:rFonts w:cs="Segoe UI"/>
        </w:rPr>
        <w:t> </w:t>
      </w:r>
      <w:r w:rsidRPr="00CE60B2">
        <w:rPr>
          <w:rFonts w:cs="Segoe UI"/>
        </w:rPr>
        <w:t>2007</w:t>
      </w:r>
      <w:r w:rsidR="007B0720" w:rsidRPr="00CE60B2">
        <w:rPr>
          <w:rFonts w:cs="Segoe UI"/>
        </w:rPr>
        <w:t>,</w:t>
      </w:r>
      <w:r w:rsidRPr="00CE60B2">
        <w:rPr>
          <w:rFonts w:cs="Segoe UI"/>
        </w:rPr>
        <w:t xml:space="preserve"> new taxation arrangements for investment in forestry managed investment schemes came into effect</w:t>
      </w:r>
      <w:r w:rsidR="00DB0466">
        <w:rPr>
          <w:rFonts w:cs="Segoe UI"/>
        </w:rPr>
        <w:t xml:space="preserve">. </w:t>
      </w:r>
      <w:r w:rsidR="00DB0466" w:rsidRPr="00DB0466">
        <w:rPr>
          <w:rFonts w:cs="Segoe UI"/>
          <w:lang w:val="en"/>
        </w:rPr>
        <w:t>The arrangements encourage further expansion of the plantation estate and support investment in long rotation plantations by allowing trading of MIS investments, including existing MIS plantations</w:t>
      </w:r>
      <w:r w:rsidRPr="00DB0466">
        <w:rPr>
          <w:rFonts w:cs="Segoe UI"/>
        </w:rPr>
        <w:t xml:space="preserve"> </w:t>
      </w:r>
    </w:p>
    <w:p w14:paraId="26ABD598" w14:textId="77777777" w:rsidR="00CE4B36" w:rsidRPr="00CE60B2" w:rsidRDefault="00CE4B36" w:rsidP="00CE4B36">
      <w:pPr>
        <w:rPr>
          <w:rFonts w:cs="Segoe UI"/>
        </w:rPr>
      </w:pPr>
      <w:r w:rsidRPr="00CE60B2">
        <w:rPr>
          <w:rFonts w:cs="Segoe UI"/>
        </w:rPr>
        <w:t>Following the Global Financial Crisis and collapse of several large managed investment schemes in 2009 and 2010, these schemes have become a less important financial mechanism for plantation expansion.</w:t>
      </w:r>
    </w:p>
    <w:p w14:paraId="26ABD599" w14:textId="77777777" w:rsidR="00DB0466" w:rsidRPr="00DB0466" w:rsidRDefault="00DB0466" w:rsidP="00DB0466">
      <w:pPr>
        <w:pStyle w:val="Heading4"/>
        <w:rPr>
          <w:rFonts w:cs="Segoe UI"/>
        </w:rPr>
      </w:pPr>
      <w:r w:rsidRPr="00066E02">
        <w:rPr>
          <w:rFonts w:cs="Segoe UI"/>
        </w:rPr>
        <w:t>Adjustment programs</w:t>
      </w:r>
    </w:p>
    <w:p w14:paraId="26ABD59A" w14:textId="77777777" w:rsidR="00DB0466" w:rsidRPr="00DB0466" w:rsidRDefault="00DB0466" w:rsidP="00DB0466">
      <w:r w:rsidRPr="00DB0466">
        <w:t xml:space="preserve">Under Clause 98 of </w:t>
      </w:r>
      <w:r w:rsidR="00D135F5">
        <w:t>the WA RFA, a commitment of $59 </w:t>
      </w:r>
      <w:r w:rsidRPr="00DB0466">
        <w:t xml:space="preserve">million was initially made by the Parties to industry assistance. The </w:t>
      </w:r>
      <w:r w:rsidR="00D135F5">
        <w:t>Commonwealth provided up to $20 </w:t>
      </w:r>
      <w:r w:rsidRPr="00DB0466">
        <w:t>million for the Western Australia Forest Industry Structural Adjus</w:t>
      </w:r>
      <w:r w:rsidR="00D135F5">
        <w:t>tment Program (WAFISAP) with $5 </w:t>
      </w:r>
      <w:r w:rsidRPr="00DB0466">
        <w:t>million allocated to the then Australian Government Department of Transport and Regional Services for the Timber Industry Road E</w:t>
      </w:r>
      <w:r w:rsidR="00D135F5">
        <w:t>valuation Study (TIRES) and $15 </w:t>
      </w:r>
      <w:r w:rsidRPr="00DB0466">
        <w:t>million allocated to the Department of Agriculture, Fisheries and Forestry (DAFF). Between 2004 and 2006, the DAFF component of WAFISAP was administered through allocations o</w:t>
      </w:r>
      <w:r w:rsidR="00D135F5">
        <w:t>f $12.5 </w:t>
      </w:r>
      <w:r w:rsidRPr="00DB0466">
        <w:t>million for the Forestry Assistance Program for Wes</w:t>
      </w:r>
      <w:r w:rsidR="00192D78">
        <w:t>tern Australia (FAPWA) and $2.5 </w:t>
      </w:r>
      <w:r w:rsidRPr="00DB0466">
        <w:t>million for the Gra</w:t>
      </w:r>
      <w:r w:rsidR="00D135F5">
        <w:t>nts for Forest Communities</w:t>
      </w:r>
      <w:r w:rsidRPr="00DB0466">
        <w:t>.</w:t>
      </w:r>
    </w:p>
    <w:p w14:paraId="26ABD59B" w14:textId="77777777" w:rsidR="00DB0466" w:rsidRPr="00DB0466" w:rsidRDefault="00DB0466" w:rsidP="00DB0466">
      <w:r w:rsidRPr="00DB0466">
        <w:t>A Stat</w:t>
      </w:r>
      <w:r w:rsidR="00192D78">
        <w:t>e Government package worth $161 </w:t>
      </w:r>
      <w:r w:rsidRPr="00DB0466">
        <w:t xml:space="preserve">million was allocated to a number of government agencies to implement the then Labor Government’s </w:t>
      </w:r>
      <w:r w:rsidRPr="00066E02">
        <w:rPr>
          <w:i/>
        </w:rPr>
        <w:t xml:space="preserve">Protecting our </w:t>
      </w:r>
      <w:r w:rsidR="00D5614E">
        <w:rPr>
          <w:i/>
        </w:rPr>
        <w:t>O</w:t>
      </w:r>
      <w:r w:rsidRPr="00066E02">
        <w:rPr>
          <w:i/>
        </w:rPr>
        <w:t xml:space="preserve">ld-growth </w:t>
      </w:r>
      <w:r w:rsidR="00D5614E">
        <w:rPr>
          <w:i/>
        </w:rPr>
        <w:t>F</w:t>
      </w:r>
      <w:r w:rsidRPr="00066E02">
        <w:rPr>
          <w:i/>
        </w:rPr>
        <w:t>orest</w:t>
      </w:r>
      <w:r w:rsidR="00D5614E">
        <w:rPr>
          <w:i/>
        </w:rPr>
        <w:t>s</w:t>
      </w:r>
      <w:r w:rsidRPr="00066E02">
        <w:rPr>
          <w:i/>
        </w:rPr>
        <w:t xml:space="preserve"> </w:t>
      </w:r>
      <w:r w:rsidRPr="00D5614E">
        <w:t>policy</w:t>
      </w:r>
      <w:r w:rsidRPr="00DB0466">
        <w:t>, which included a number of industry assistance programs.</w:t>
      </w:r>
    </w:p>
    <w:p w14:paraId="26ABD59C" w14:textId="77777777" w:rsidR="00CE4B36" w:rsidRPr="00CE60B2" w:rsidRDefault="00CE4B36" w:rsidP="00CE4B36">
      <w:pPr>
        <w:pStyle w:val="Heading4"/>
        <w:rPr>
          <w:rFonts w:cs="Segoe UI"/>
        </w:rPr>
      </w:pPr>
      <w:r w:rsidRPr="00CE60B2">
        <w:rPr>
          <w:rFonts w:cs="Segoe UI"/>
        </w:rPr>
        <w:t>Trade policies</w:t>
      </w:r>
    </w:p>
    <w:p w14:paraId="26ABD59D" w14:textId="77777777" w:rsidR="00CE4B36" w:rsidRPr="00CE60B2" w:rsidRDefault="00CE4B36" w:rsidP="002B2933">
      <w:pPr>
        <w:rPr>
          <w:rFonts w:cs="Segoe UI"/>
          <w:sz w:val="13"/>
          <w:szCs w:val="13"/>
        </w:rPr>
      </w:pPr>
      <w:r w:rsidRPr="00CE60B2">
        <w:rPr>
          <w:rFonts w:cs="Segoe UI"/>
        </w:rPr>
        <w:t xml:space="preserve">Throughout the </w:t>
      </w:r>
      <w:r w:rsidR="00785E22" w:rsidRPr="00CE60B2">
        <w:rPr>
          <w:rFonts w:cs="Segoe UI"/>
        </w:rPr>
        <w:t>RFA</w:t>
      </w:r>
      <w:r w:rsidRPr="00CE60B2">
        <w:rPr>
          <w:rFonts w:cs="Segoe UI"/>
        </w:rPr>
        <w:t xml:space="preserve"> period</w:t>
      </w:r>
      <w:r w:rsidR="007B0720" w:rsidRPr="00CE60B2">
        <w:rPr>
          <w:rFonts w:cs="Segoe UI"/>
        </w:rPr>
        <w:t>,</w:t>
      </w:r>
      <w:r w:rsidRPr="00CE60B2">
        <w:rPr>
          <w:rFonts w:cs="Segoe UI"/>
        </w:rPr>
        <w:t xml:space="preserve"> Australian trade policy has continued to support trade liberalisation to improve access for Australian exports in global markets, as well as Australian access to imports. Improved market access has been facilitated through global and multilateral efforts and through the use of free trade agreements (FTAs). Australia is a member of the World Trade Organization, which facilitates multilateral trade negotiations </w:t>
      </w:r>
      <w:r w:rsidRPr="00CE60B2">
        <w:rPr>
          <w:rFonts w:cs="Segoe UI"/>
        </w:rPr>
        <w:lastRenderedPageBreak/>
        <w:t xml:space="preserve">and ensures that the rules of international trade are correctly applied and enforced. FTAs are increasingly important to the forest-based industries. </w:t>
      </w:r>
    </w:p>
    <w:p w14:paraId="26ABD59E" w14:textId="77777777" w:rsidR="00CE4B36" w:rsidRPr="00CE60B2" w:rsidRDefault="00CE4B36" w:rsidP="00CE4B36">
      <w:pPr>
        <w:pStyle w:val="Heading4"/>
        <w:rPr>
          <w:rFonts w:cs="Segoe UI"/>
        </w:rPr>
      </w:pPr>
      <w:bookmarkStart w:id="198" w:name="_Toc510535055"/>
      <w:r w:rsidRPr="00CE60B2">
        <w:rPr>
          <w:rFonts w:cs="Segoe UI"/>
        </w:rPr>
        <w:t>Investment in environmental services</w:t>
      </w:r>
      <w:bookmarkEnd w:id="198"/>
    </w:p>
    <w:p w14:paraId="26ABD59F" w14:textId="77777777" w:rsidR="00CE4B36" w:rsidRPr="00CE60B2" w:rsidRDefault="0040444D" w:rsidP="00CE4B36">
      <w:pPr>
        <w:rPr>
          <w:rFonts w:cs="Segoe UI"/>
        </w:rPr>
      </w:pPr>
      <w:r w:rsidRPr="00CE60B2">
        <w:rPr>
          <w:rFonts w:cs="Segoe UI"/>
        </w:rPr>
        <w:t>The Australian Government’s Emissions Reduction Fund</w:t>
      </w:r>
      <w:r w:rsidR="00AC29DE">
        <w:rPr>
          <w:rFonts w:cs="Segoe UI"/>
        </w:rPr>
        <w:t xml:space="preserve"> (ERF)</w:t>
      </w:r>
      <w:r w:rsidRPr="00CE60B2">
        <w:rPr>
          <w:rFonts w:cs="Segoe UI"/>
        </w:rPr>
        <w:t xml:space="preserve">, established under the </w:t>
      </w:r>
      <w:r w:rsidRPr="00CE60B2">
        <w:rPr>
          <w:rFonts w:cs="Segoe UI"/>
          <w:i/>
        </w:rPr>
        <w:t>Carbon Credits (Carbon Farming Initiative) Act 2011</w:t>
      </w:r>
      <w:r w:rsidR="00D6052D">
        <w:rPr>
          <w:rFonts w:cs="Segoe UI"/>
          <w:i/>
        </w:rPr>
        <w:t xml:space="preserve"> (Cth)</w:t>
      </w:r>
      <w:r w:rsidRPr="00CE60B2">
        <w:rPr>
          <w:rFonts w:cs="Segoe UI"/>
        </w:rPr>
        <w:t xml:space="preserve">, allows businesses to earn carbon credits for storing carbon or reducing greenhouse gas emissions. </w:t>
      </w:r>
      <w:r w:rsidR="00D6052D">
        <w:rPr>
          <w:rFonts w:cs="Segoe UI"/>
        </w:rPr>
        <w:t>The ERF</w:t>
      </w:r>
      <w:r w:rsidRPr="00CE60B2">
        <w:rPr>
          <w:rFonts w:cs="Segoe UI"/>
        </w:rPr>
        <w:t xml:space="preserve"> project participants have an opportunity to sell their emissions reductions to the Government through competitive reverse auctions.</w:t>
      </w:r>
    </w:p>
    <w:p w14:paraId="26ABD5A0" w14:textId="77777777" w:rsidR="00B55EC7" w:rsidRPr="00CE60B2" w:rsidRDefault="00B55EC7" w:rsidP="002F7AA2">
      <w:pPr>
        <w:pStyle w:val="Heading4"/>
        <w:rPr>
          <w:rFonts w:cs="Segoe UI"/>
        </w:rPr>
      </w:pPr>
      <w:r w:rsidRPr="00CE60B2">
        <w:rPr>
          <w:rFonts w:cs="Segoe UI"/>
        </w:rPr>
        <w:t>Effectiveness of the economic framework</w:t>
      </w:r>
    </w:p>
    <w:p w14:paraId="26ABD5A1" w14:textId="77777777" w:rsidR="00764A92" w:rsidRPr="00CE60B2" w:rsidRDefault="00764A92" w:rsidP="00B55EC7">
      <w:pPr>
        <w:rPr>
          <w:rFonts w:cs="Segoe UI"/>
        </w:rPr>
      </w:pPr>
      <w:r w:rsidRPr="00CE60B2">
        <w:rPr>
          <w:rFonts w:cs="Segoe UI"/>
        </w:rPr>
        <w:t xml:space="preserve">The effectiveness of the economic framework was not explicitly assessed on a holistic basis prior to </w:t>
      </w:r>
      <w:r w:rsidR="007B0720" w:rsidRPr="00CE60B2">
        <w:rPr>
          <w:rFonts w:cs="Segoe UI"/>
        </w:rPr>
        <w:t>SOFR</w:t>
      </w:r>
      <w:r w:rsidR="0051590C">
        <w:rPr>
          <w:rFonts w:cs="Segoe UI"/>
        </w:rPr>
        <w:t> </w:t>
      </w:r>
      <w:r w:rsidRPr="00CE60B2">
        <w:rPr>
          <w:rFonts w:cs="Segoe UI"/>
        </w:rPr>
        <w:t>2011. The inclusion of these metrics with data from 2006 provided a baseline for future analysis of the effectiveness of the economic framework</w:t>
      </w:r>
      <w:r w:rsidR="007B0720" w:rsidRPr="00CE60B2">
        <w:rPr>
          <w:rFonts w:cs="Segoe UI"/>
        </w:rPr>
        <w:t xml:space="preserve"> in relation to production forests, management of conservation reserves, bushfires and Indigenous managed lands</w:t>
      </w:r>
      <w:r w:rsidRPr="00CE60B2">
        <w:rPr>
          <w:rFonts w:cs="Segoe UI"/>
        </w:rPr>
        <w:t>.</w:t>
      </w:r>
    </w:p>
    <w:p w14:paraId="26ABD5A2" w14:textId="0AE44BF8" w:rsidR="002B2933" w:rsidRPr="00CE60B2" w:rsidRDefault="00D26B91" w:rsidP="002B2933">
      <w:pPr>
        <w:rPr>
          <w:rFonts w:cs="Segoe UI"/>
        </w:rPr>
      </w:pPr>
      <w:r w:rsidRPr="00CE60B2">
        <w:rPr>
          <w:rFonts w:cs="Segoe UI"/>
        </w:rPr>
        <w:t>Most</w:t>
      </w:r>
      <w:r w:rsidR="00764A92" w:rsidRPr="00CE60B2">
        <w:rPr>
          <w:rFonts w:cs="Segoe UI"/>
        </w:rPr>
        <w:t xml:space="preserve"> measures remained consistent between 2006 and 2016</w:t>
      </w:r>
      <w:r w:rsidR="002B2933" w:rsidRPr="00CE60B2">
        <w:rPr>
          <w:rFonts w:cs="Segoe UI"/>
        </w:rPr>
        <w:t xml:space="preserve"> with the exception of u</w:t>
      </w:r>
      <w:r w:rsidR="00764A92" w:rsidRPr="00CE60B2">
        <w:rPr>
          <w:rFonts w:cs="Segoe UI"/>
        </w:rPr>
        <w:t>nderstanding and processes relati</w:t>
      </w:r>
      <w:r w:rsidR="002B2933" w:rsidRPr="00CE60B2">
        <w:rPr>
          <w:rFonts w:cs="Segoe UI"/>
        </w:rPr>
        <w:t>ng</w:t>
      </w:r>
      <w:r w:rsidR="00764A92" w:rsidRPr="00CE60B2">
        <w:rPr>
          <w:rFonts w:cs="Segoe UI"/>
        </w:rPr>
        <w:t xml:space="preserve"> to indigenous managed land</w:t>
      </w:r>
      <w:r w:rsidR="002B2933" w:rsidRPr="00CE60B2">
        <w:rPr>
          <w:rFonts w:cs="Segoe UI"/>
        </w:rPr>
        <w:t>, and conservation reserve processes which showed decline. Notably no items were r</w:t>
      </w:r>
      <w:r w:rsidR="005F30AA" w:rsidRPr="00CE60B2">
        <w:rPr>
          <w:rFonts w:cs="Segoe UI"/>
        </w:rPr>
        <w:t>anked below partially effective</w:t>
      </w:r>
      <w:r w:rsidR="002B2933" w:rsidRPr="00CE60B2">
        <w:rPr>
          <w:rFonts w:cs="Segoe UI"/>
        </w:rPr>
        <w:t>, and no items showed significant improvement in ranking over the period.</w:t>
      </w:r>
    </w:p>
    <w:p w14:paraId="26ABD5A3" w14:textId="77777777" w:rsidR="00CE4B36" w:rsidRPr="00CE60B2" w:rsidRDefault="00CE4B36" w:rsidP="00C22D5A">
      <w:pPr>
        <w:pStyle w:val="Heading3"/>
        <w:rPr>
          <w:lang w:eastAsia="en-AU"/>
        </w:rPr>
      </w:pPr>
      <w:bookmarkStart w:id="199" w:name="_Toc524952832"/>
      <w:bookmarkStart w:id="200" w:name="_Toc2776077"/>
      <w:r w:rsidRPr="00CE60B2">
        <w:rPr>
          <w:lang w:eastAsia="en-AU"/>
        </w:rPr>
        <w:t>Indicator 7.1d</w:t>
      </w:r>
      <w:r w:rsidRPr="00CE60B2">
        <w:rPr>
          <w:lang w:eastAsia="en-AU"/>
        </w:rPr>
        <w:tab/>
      </w:r>
      <w:bookmarkStart w:id="201" w:name="_Hlk529441755"/>
      <w:r w:rsidRPr="00CE60B2">
        <w:rPr>
          <w:lang w:eastAsia="en-AU"/>
        </w:rPr>
        <w:t>Capacity to measure and monitor changes in the conservation and sustainable management of forests</w:t>
      </w:r>
      <w:bookmarkEnd w:id="199"/>
      <w:bookmarkEnd w:id="201"/>
      <w:bookmarkEnd w:id="200"/>
    </w:p>
    <w:p w14:paraId="26ABD5A4" w14:textId="77777777" w:rsidR="00E347C4" w:rsidRPr="00CE60B2" w:rsidRDefault="00E347C4" w:rsidP="00E347C4">
      <w:pPr>
        <w:rPr>
          <w:rFonts w:cs="Segoe UI"/>
        </w:rPr>
      </w:pPr>
      <w:r w:rsidRPr="00CE60B2">
        <w:rPr>
          <w:rFonts w:cs="Segoe UI"/>
        </w:rPr>
        <w:t>This indicator examines the capacity of forest owners and agencies to measure and monitor changes in the forest and the impact of forest activities. A comprehensive measurement and monitoring programme provides the basis for forest planning to support sustainable management.</w:t>
      </w:r>
    </w:p>
    <w:p w14:paraId="26ABD5A5" w14:textId="77777777" w:rsidR="00E347C4" w:rsidRPr="00CE60B2" w:rsidRDefault="00E347C4" w:rsidP="00E347C4">
      <w:pPr>
        <w:rPr>
          <w:rFonts w:cs="Segoe UI"/>
        </w:rPr>
      </w:pPr>
      <w:r w:rsidRPr="00CE60B2">
        <w:rPr>
          <w:rFonts w:cs="Segoe UI"/>
        </w:rPr>
        <w:t xml:space="preserve">Biodiversity is measured in terms of genetics, species and ecosystems. </w:t>
      </w:r>
      <w:r w:rsidR="00CE3931" w:rsidRPr="00CE60B2">
        <w:rPr>
          <w:rFonts w:cs="Segoe UI"/>
        </w:rPr>
        <w:t>The FPC</w:t>
      </w:r>
      <w:r w:rsidRPr="00CE60B2">
        <w:rPr>
          <w:rFonts w:cs="Segoe UI"/>
        </w:rPr>
        <w:t xml:space="preserve"> manages </w:t>
      </w:r>
      <w:r w:rsidR="00A62638" w:rsidRPr="00CE60B2">
        <w:rPr>
          <w:rFonts w:cs="Segoe UI"/>
        </w:rPr>
        <w:t>its</w:t>
      </w:r>
      <w:r w:rsidRPr="00CE60B2">
        <w:rPr>
          <w:rFonts w:cs="Segoe UI"/>
        </w:rPr>
        <w:t xml:space="preserve"> softwood plantation estate primarily for wood production. There are often important opportunities for biodiversity conservation within plantations. </w:t>
      </w:r>
    </w:p>
    <w:p w14:paraId="26ABD5A6" w14:textId="77777777" w:rsidR="00E347C4" w:rsidRPr="00CE60B2" w:rsidRDefault="00CE3931" w:rsidP="00C22D5A">
      <w:pPr>
        <w:pStyle w:val="Heading4"/>
        <w:rPr>
          <w:rFonts w:cs="Segoe UI"/>
        </w:rPr>
      </w:pPr>
      <w:r w:rsidRPr="00CE60B2">
        <w:rPr>
          <w:rFonts w:cs="Segoe UI"/>
        </w:rPr>
        <w:t>Forest Products Commission</w:t>
      </w:r>
    </w:p>
    <w:p w14:paraId="26ABD5A7" w14:textId="77777777" w:rsidR="00E347C4" w:rsidRPr="00CE60B2" w:rsidRDefault="00CE3931" w:rsidP="00E347C4">
      <w:pPr>
        <w:rPr>
          <w:rFonts w:cs="Segoe UI"/>
        </w:rPr>
      </w:pPr>
      <w:r w:rsidRPr="00CE60B2">
        <w:rPr>
          <w:rFonts w:cs="Segoe UI"/>
        </w:rPr>
        <w:t>FPC</w:t>
      </w:r>
      <w:r w:rsidR="00E347C4" w:rsidRPr="00CE60B2">
        <w:rPr>
          <w:rFonts w:cs="Segoe UI"/>
        </w:rPr>
        <w:t xml:space="preserve"> is the State </w:t>
      </w:r>
      <w:r w:rsidR="000E7A32">
        <w:rPr>
          <w:rFonts w:cs="Segoe UI"/>
        </w:rPr>
        <w:t>Statu</w:t>
      </w:r>
      <w:r w:rsidR="00F417A7">
        <w:rPr>
          <w:rFonts w:cs="Segoe UI"/>
        </w:rPr>
        <w:t>tory Authority</w:t>
      </w:r>
      <w:r w:rsidR="00E347C4" w:rsidRPr="00CE60B2">
        <w:rPr>
          <w:rFonts w:cs="Segoe UI"/>
        </w:rPr>
        <w:t xml:space="preserve"> that carries out forestry operations </w:t>
      </w:r>
      <w:r w:rsidR="00A62638" w:rsidRPr="00CE60B2">
        <w:rPr>
          <w:rFonts w:cs="Segoe UI"/>
        </w:rPr>
        <w:t xml:space="preserve">in </w:t>
      </w:r>
      <w:r w:rsidRPr="00CE60B2">
        <w:rPr>
          <w:rFonts w:cs="Segoe UI"/>
        </w:rPr>
        <w:t>WA</w:t>
      </w:r>
      <w:r w:rsidR="00A62638" w:rsidRPr="00CE60B2">
        <w:rPr>
          <w:rFonts w:cs="Segoe UI"/>
        </w:rPr>
        <w:t xml:space="preserve"> s</w:t>
      </w:r>
      <w:r w:rsidR="00E347C4" w:rsidRPr="00CE60B2">
        <w:rPr>
          <w:rFonts w:cs="Segoe UI"/>
        </w:rPr>
        <w:t xml:space="preserve">tate forests and </w:t>
      </w:r>
      <w:r w:rsidR="00277C73" w:rsidRPr="00CE60B2">
        <w:rPr>
          <w:rFonts w:cs="Segoe UI"/>
        </w:rPr>
        <w:t xml:space="preserve">other </w:t>
      </w:r>
      <w:r w:rsidR="00B96A69" w:rsidRPr="00CE60B2">
        <w:rPr>
          <w:rFonts w:cs="Segoe UI"/>
        </w:rPr>
        <w:t>C</w:t>
      </w:r>
      <w:r w:rsidR="00E347C4" w:rsidRPr="00CE60B2">
        <w:rPr>
          <w:rFonts w:cs="Segoe UI"/>
        </w:rPr>
        <w:t>rown</w:t>
      </w:r>
      <w:r w:rsidR="00730619" w:rsidRPr="00CE60B2">
        <w:rPr>
          <w:rFonts w:cs="Segoe UI"/>
        </w:rPr>
        <w:t>-timber</w:t>
      </w:r>
      <w:r w:rsidR="00E347C4" w:rsidRPr="00CE60B2">
        <w:rPr>
          <w:rFonts w:cs="Segoe UI"/>
        </w:rPr>
        <w:t xml:space="preserve"> land</w:t>
      </w:r>
      <w:r w:rsidR="00730619" w:rsidRPr="00CE60B2">
        <w:rPr>
          <w:rFonts w:cs="Segoe UI"/>
        </w:rPr>
        <w:t>s</w:t>
      </w:r>
      <w:r w:rsidR="00E347C4" w:rsidRPr="00CE60B2">
        <w:rPr>
          <w:rFonts w:cs="Segoe UI"/>
        </w:rPr>
        <w:t xml:space="preserve">. </w:t>
      </w:r>
      <w:r w:rsidR="00E347C4" w:rsidRPr="00F417A7">
        <w:rPr>
          <w:rFonts w:cs="Segoe UI"/>
        </w:rPr>
        <w:t xml:space="preserve">It has a Forest Management </w:t>
      </w:r>
      <w:r w:rsidR="00F417A7">
        <w:rPr>
          <w:rFonts w:cs="Segoe UI"/>
        </w:rPr>
        <w:t>p</w:t>
      </w:r>
      <w:r w:rsidR="00E347C4" w:rsidRPr="00F417A7">
        <w:rPr>
          <w:rFonts w:cs="Segoe UI"/>
        </w:rPr>
        <w:t>olicy</w:t>
      </w:r>
      <w:r w:rsidR="00F417A7">
        <w:rPr>
          <w:rFonts w:cs="Segoe UI"/>
        </w:rPr>
        <w:t xml:space="preserve"> (Policy 9)</w:t>
      </w:r>
      <w:r w:rsidR="00E347C4" w:rsidRPr="00F417A7">
        <w:rPr>
          <w:rFonts w:cs="Segoe UI"/>
        </w:rPr>
        <w:t>,</w:t>
      </w:r>
      <w:r w:rsidR="00E347C4" w:rsidRPr="00CE60B2">
        <w:rPr>
          <w:rFonts w:cs="Segoe UI"/>
        </w:rPr>
        <w:t xml:space="preserve"> which outlines its commitments to conserving and advancing a range of forest values such as biodiversity, forest productivity and carbon sequestration in keeping with the principles of sustainable forest management. The policy is delivered through</w:t>
      </w:r>
      <w:r w:rsidR="00F417A7">
        <w:rPr>
          <w:rFonts w:cs="Segoe UI"/>
        </w:rPr>
        <w:t xml:space="preserve"> the FPC’s commitment to maintaining a </w:t>
      </w:r>
      <w:r w:rsidR="00670669">
        <w:rPr>
          <w:rFonts w:cs="Segoe UI"/>
        </w:rPr>
        <w:t>FMS</w:t>
      </w:r>
      <w:r w:rsidR="00F417A7">
        <w:rPr>
          <w:rFonts w:cs="Segoe UI"/>
        </w:rPr>
        <w:t xml:space="preserve"> that is externally certified to ISO</w:t>
      </w:r>
      <w:r w:rsidR="00B05F65">
        <w:rPr>
          <w:rFonts w:cs="Segoe UI"/>
        </w:rPr>
        <w:t> </w:t>
      </w:r>
      <w:r w:rsidR="00F417A7">
        <w:rPr>
          <w:rFonts w:cs="Segoe UI"/>
        </w:rPr>
        <w:t>14001 and the Australian Forestry Standard (AS4708). Policy 9 also commits the FPC to ‘maintaining, planning, implementation, monitoring and audit systems, supported by regular reviews and an effective reporting system’. The FPC also commit</w:t>
      </w:r>
      <w:r w:rsidR="00FE2D2D">
        <w:rPr>
          <w:rFonts w:cs="Segoe UI"/>
        </w:rPr>
        <w:t>s</w:t>
      </w:r>
      <w:r w:rsidR="00F417A7">
        <w:rPr>
          <w:rFonts w:cs="Segoe UI"/>
        </w:rPr>
        <w:t xml:space="preserve"> to ‘setting objectives and targets to ensure a continuous improvement approach to both management performance and managing environmental, economic, social and cultural impacts and outcomes, including the prevention of pollution’.</w:t>
      </w:r>
    </w:p>
    <w:p w14:paraId="441000DF" w14:textId="77777777" w:rsidR="00A42B5E" w:rsidRDefault="00A42B5E">
      <w:pPr>
        <w:spacing w:before="0" w:after="480" w:line="276" w:lineRule="auto"/>
        <w:rPr>
          <w:rFonts w:cs="Segoe UI"/>
          <w:b/>
          <w:i/>
        </w:rPr>
      </w:pPr>
      <w:r>
        <w:rPr>
          <w:rFonts w:cs="Segoe UI"/>
        </w:rPr>
        <w:br w:type="page"/>
      </w:r>
    </w:p>
    <w:p w14:paraId="26ABD5A8" w14:textId="03147D1A" w:rsidR="00E347C4" w:rsidRDefault="00CE3931" w:rsidP="00C22D5A">
      <w:pPr>
        <w:pStyle w:val="Heading4"/>
        <w:rPr>
          <w:rFonts w:cs="Segoe UI"/>
        </w:rPr>
      </w:pPr>
      <w:r w:rsidRPr="00CE60B2">
        <w:rPr>
          <w:rFonts w:cs="Segoe UI"/>
        </w:rPr>
        <w:lastRenderedPageBreak/>
        <w:t>Department of Biodiversity, Conservation and Attractions</w:t>
      </w:r>
    </w:p>
    <w:p w14:paraId="26ABD5A9" w14:textId="77777777" w:rsidR="00312ADF" w:rsidRDefault="004316B1" w:rsidP="00312ADF">
      <w:r>
        <w:t xml:space="preserve">Public native forests in the WA RFA region are managed in accordance with </w:t>
      </w:r>
      <w:r w:rsidR="00C06FC1">
        <w:t>FMP</w:t>
      </w:r>
      <w:r>
        <w:t xml:space="preserve">s, </w:t>
      </w:r>
      <w:r w:rsidR="00CD2199">
        <w:t xml:space="preserve">with </w:t>
      </w:r>
      <w:r>
        <w:t xml:space="preserve">the current </w:t>
      </w:r>
      <w:r w:rsidR="00CD2199">
        <w:t>plan</w:t>
      </w:r>
      <w:r>
        <w:t xml:space="preserve"> (</w:t>
      </w:r>
      <w:r w:rsidR="0001141B">
        <w:t>FMP 2014</w:t>
      </w:r>
      <w:r w:rsidR="0001141B">
        <w:noBreakHyphen/>
      </w:r>
      <w:r w:rsidR="000D7979">
        <w:t>2023</w:t>
      </w:r>
      <w:r>
        <w:t xml:space="preserve">) </w:t>
      </w:r>
      <w:r w:rsidR="00066E02">
        <w:t>effective</w:t>
      </w:r>
      <w:r>
        <w:t xml:space="preserve"> from 2014 to 2023. This plan requires a number of monitoring and auditing actions based on key performance indicators and associated management actions</w:t>
      </w:r>
      <w:r w:rsidR="00C51065">
        <w:t xml:space="preserve"> required </w:t>
      </w:r>
      <w:r w:rsidR="005E1168">
        <w:t xml:space="preserve">by </w:t>
      </w:r>
      <w:r w:rsidR="00C51065">
        <w:t xml:space="preserve">DBCA, </w:t>
      </w:r>
      <w:r w:rsidR="005E1168">
        <w:t xml:space="preserve">the </w:t>
      </w:r>
      <w:r w:rsidR="00C51065">
        <w:t>FPC and other parties</w:t>
      </w:r>
      <w:r>
        <w:t xml:space="preserve">. The </w:t>
      </w:r>
      <w:r w:rsidR="00FC41D8">
        <w:t xml:space="preserve">CPC </w:t>
      </w:r>
      <w:r>
        <w:t>also undertakes mid-term and end-of-term performance assessments as a means of ensuring the plan is being implemented as intended.</w:t>
      </w:r>
      <w:r w:rsidR="00C8527E">
        <w:t xml:space="preserve"> The plan is based upon the principles of ESFM</w:t>
      </w:r>
      <w:r>
        <w:t xml:space="preserve"> </w:t>
      </w:r>
      <w:r w:rsidR="00C8527E">
        <w:t>and adopts the Montreal Criteria as the framework within which the goals and management activities are structured</w:t>
      </w:r>
      <w:r w:rsidR="0065354C">
        <w:t>.</w:t>
      </w:r>
    </w:p>
    <w:p w14:paraId="26ABD5AA" w14:textId="77777777" w:rsidR="0065354C" w:rsidRDefault="0065354C" w:rsidP="00312ADF">
      <w:r>
        <w:t>Further monitor</w:t>
      </w:r>
      <w:r w:rsidR="00192D78">
        <w:t>ing is undertaken within the WA </w:t>
      </w:r>
      <w:r>
        <w:t xml:space="preserve">RFA region through processes associated with planned disturbance activities, </w:t>
      </w:r>
      <w:r w:rsidRPr="004E35E5">
        <w:rPr>
          <w:i/>
        </w:rPr>
        <w:t>Phytopht</w:t>
      </w:r>
      <w:r w:rsidR="00CD2199">
        <w:rPr>
          <w:i/>
        </w:rPr>
        <w:t>h</w:t>
      </w:r>
      <w:r w:rsidRPr="004E35E5">
        <w:rPr>
          <w:i/>
        </w:rPr>
        <w:t>ora cinnamomi</w:t>
      </w:r>
      <w:r>
        <w:t xml:space="preserve"> </w:t>
      </w:r>
      <w:r w:rsidR="004E35E5">
        <w:t>(dieback)</w:t>
      </w:r>
      <w:r w:rsidR="00CD2199">
        <w:t xml:space="preserve"> </w:t>
      </w:r>
      <w:r w:rsidR="00C338E2">
        <w:t xml:space="preserve">mapping </w:t>
      </w:r>
      <w:r w:rsidR="00CD2199">
        <w:t>and forest health</w:t>
      </w:r>
      <w:r w:rsidR="004E35E5">
        <w:t xml:space="preserve"> </w:t>
      </w:r>
      <w:r>
        <w:t>m</w:t>
      </w:r>
      <w:r w:rsidR="00C338E2">
        <w:t>onitoring</w:t>
      </w:r>
      <w:r>
        <w:t>, post-burn evaluation, on-ground forest inventories and monitoring associated with operational activitie</w:t>
      </w:r>
      <w:r w:rsidR="004E35E5">
        <w:t xml:space="preserve">s. One of DBCA’s key forest monitoring programs, FORESTCHECK, has been monitoring a range of </w:t>
      </w:r>
      <w:r w:rsidR="00C338E2">
        <w:t>taxa</w:t>
      </w:r>
      <w:r w:rsidR="00066E02">
        <w:t xml:space="preserve"> </w:t>
      </w:r>
      <w:r w:rsidR="00C338E2">
        <w:t>and attributes</w:t>
      </w:r>
      <w:r w:rsidR="004E35E5">
        <w:t xml:space="preserve"> in the jarrah forest since 2001. Likewise, </w:t>
      </w:r>
      <w:r w:rsidR="00111CFF">
        <w:t>DBCA’s major</w:t>
      </w:r>
      <w:r w:rsidR="004E35E5">
        <w:t xml:space="preserve"> fauna recovery program</w:t>
      </w:r>
      <w:r w:rsidR="00111CFF">
        <w:t xml:space="preserve">, Western Shield, </w:t>
      </w:r>
      <w:r w:rsidR="004E35E5">
        <w:t xml:space="preserve">requires ongoing monitoring of key indicators associated with </w:t>
      </w:r>
      <w:r w:rsidR="00DA1978">
        <w:t xml:space="preserve">determining </w:t>
      </w:r>
      <w:r w:rsidR="004E35E5">
        <w:t>the success and application of the program.</w:t>
      </w:r>
    </w:p>
    <w:p w14:paraId="26ABD5AB" w14:textId="77777777" w:rsidR="004E35E5" w:rsidRPr="00312ADF" w:rsidRDefault="004E35E5" w:rsidP="00312ADF">
      <w:r>
        <w:t>DBCA routinely undertakes monitoring across a range of forest indicators using a variety of techniques. Whilst field</w:t>
      </w:r>
      <w:r w:rsidR="00E66F42">
        <w:t>-</w:t>
      </w:r>
      <w:r>
        <w:t xml:space="preserve">based monitoring and data collection practices have been well developed over a period of time, </w:t>
      </w:r>
      <w:r w:rsidR="00E66F42">
        <w:t xml:space="preserve">more recently methods are being developed utilising </w:t>
      </w:r>
      <w:r w:rsidR="00C338E2">
        <w:t xml:space="preserve">remote sensing </w:t>
      </w:r>
      <w:r w:rsidR="00E66F42">
        <w:t>advances in</w:t>
      </w:r>
      <w:r w:rsidR="0007146B">
        <w:t xml:space="preserve"> </w:t>
      </w:r>
      <w:r w:rsidR="00C338E2">
        <w:t>satellite sensors, aviation camera systems</w:t>
      </w:r>
      <w:r w:rsidR="0007146B">
        <w:t>,</w:t>
      </w:r>
      <w:r w:rsidR="00E66F42">
        <w:t xml:space="preserve"> </w:t>
      </w:r>
      <w:r w:rsidR="00C338E2">
        <w:t>remote piloted aircraft (</w:t>
      </w:r>
      <w:r w:rsidR="00E66F42">
        <w:t>drone</w:t>
      </w:r>
      <w:r w:rsidR="00C338E2">
        <w:t>s)</w:t>
      </w:r>
      <w:r w:rsidR="00E66F42">
        <w:t>, computer processing and software capabilities to undertake monitoring. Incorporating advances in technology has enabled improved monitoring programs to be established</w:t>
      </w:r>
      <w:r w:rsidR="0007146B">
        <w:t xml:space="preserve">, </w:t>
      </w:r>
      <w:r w:rsidR="00C338E2">
        <w:t>in some instances</w:t>
      </w:r>
      <w:r w:rsidR="0007146B">
        <w:t xml:space="preserve"> moving away from sampl</w:t>
      </w:r>
      <w:r w:rsidR="00746AF4">
        <w:t>ing</w:t>
      </w:r>
      <w:r w:rsidR="0007146B">
        <w:t xml:space="preserve"> populations to obtaining complete </w:t>
      </w:r>
      <w:r w:rsidR="00746AF4">
        <w:t>information for an entire population</w:t>
      </w:r>
      <w:r w:rsidR="0007146B">
        <w:t xml:space="preserve">. For example, DBCA uses LANDSAT imagery to </w:t>
      </w:r>
      <w:r w:rsidR="00E5028E">
        <w:t xml:space="preserve">periodically </w:t>
      </w:r>
      <w:r w:rsidR="0007146B">
        <w:t xml:space="preserve">monitor </w:t>
      </w:r>
      <w:r w:rsidR="00954833">
        <w:t>the</w:t>
      </w:r>
      <w:r w:rsidR="0007146B">
        <w:t xml:space="preserve"> </w:t>
      </w:r>
      <w:r w:rsidR="00BA4839">
        <w:t xml:space="preserve">health and </w:t>
      </w:r>
      <w:r w:rsidR="0007146B">
        <w:t xml:space="preserve">condition </w:t>
      </w:r>
      <w:r w:rsidR="00954833">
        <w:t>of t</w:t>
      </w:r>
      <w:r w:rsidR="0007146B">
        <w:t xml:space="preserve">he entire </w:t>
      </w:r>
      <w:r w:rsidR="00954833">
        <w:t xml:space="preserve">forest within the </w:t>
      </w:r>
      <w:r w:rsidR="0001141B">
        <w:t>WA </w:t>
      </w:r>
      <w:r w:rsidR="0007146B">
        <w:t>RFA area.</w:t>
      </w:r>
    </w:p>
    <w:p w14:paraId="26ABD5AC" w14:textId="77777777" w:rsidR="00CE4B36" w:rsidRPr="00CE60B2" w:rsidRDefault="00CE4B36" w:rsidP="00C22D5A">
      <w:pPr>
        <w:pStyle w:val="Heading3"/>
        <w:rPr>
          <w:lang w:eastAsia="en-AU"/>
        </w:rPr>
      </w:pPr>
      <w:bookmarkStart w:id="202" w:name="_Toc524952833"/>
      <w:bookmarkStart w:id="203" w:name="_Toc2776078"/>
      <w:r w:rsidRPr="00CE60B2">
        <w:rPr>
          <w:lang w:eastAsia="en-AU"/>
        </w:rPr>
        <w:t>Indicator 7.1e</w:t>
      </w:r>
      <w:r w:rsidRPr="00CE60B2">
        <w:rPr>
          <w:lang w:eastAsia="en-AU"/>
        </w:rPr>
        <w:tab/>
        <w:t>Capacity to conduct and apply research and development aimed at improving forest management and delivery of forest goods and services</w:t>
      </w:r>
      <w:bookmarkEnd w:id="202"/>
      <w:bookmarkEnd w:id="203"/>
    </w:p>
    <w:p w14:paraId="26ABD5AD" w14:textId="77777777" w:rsidR="00067E88" w:rsidRPr="00CE60B2" w:rsidRDefault="00067E88" w:rsidP="00067E88">
      <w:pPr>
        <w:rPr>
          <w:rFonts w:cs="Segoe UI"/>
        </w:rPr>
      </w:pPr>
      <w:r w:rsidRPr="00CE60B2">
        <w:rPr>
          <w:rFonts w:cs="Segoe UI"/>
        </w:rPr>
        <w:t xml:space="preserve">This indicator reports on the scientific understanding of Australian forest ecosystem characteristics and functions needed to underpin sustainable forest management. Research, inventory and the development of assessment methodologies provide the basis for sustainable forest management.  </w:t>
      </w:r>
    </w:p>
    <w:p w14:paraId="26ABD5AE" w14:textId="77777777" w:rsidR="00067E88" w:rsidRPr="00CE60B2" w:rsidRDefault="00067E88" w:rsidP="00067E88">
      <w:pPr>
        <w:rPr>
          <w:rFonts w:cs="Segoe UI"/>
        </w:rPr>
      </w:pPr>
      <w:r w:rsidRPr="00CE60B2">
        <w:rPr>
          <w:rFonts w:cs="Segoe UI"/>
        </w:rPr>
        <w:t xml:space="preserve">For this Indicator, forestry </w:t>
      </w:r>
      <w:r w:rsidR="0001141B">
        <w:rPr>
          <w:rFonts w:cs="Segoe UI"/>
        </w:rPr>
        <w:t>R&amp;D</w:t>
      </w:r>
      <w:r w:rsidRPr="00CE60B2">
        <w:rPr>
          <w:rFonts w:cs="Segoe UI"/>
        </w:rPr>
        <w:t xml:space="preserve"> covers research in relation to commercial management and protection of forests, including environmental and ecological considerations. It also includes forest products R&amp;D such as production runs in mills</w:t>
      </w:r>
      <w:r w:rsidR="000D1A94" w:rsidRPr="00CE60B2">
        <w:rPr>
          <w:rFonts w:cs="Segoe UI"/>
        </w:rPr>
        <w:t>,</w:t>
      </w:r>
      <w:r w:rsidRPr="00CE60B2">
        <w:rPr>
          <w:rFonts w:cs="Segoe UI"/>
        </w:rPr>
        <w:t xml:space="preserve"> but not work on final product development (e.g. furniture production). This Indicator is closely aligned to 6.2b which monitors the investment in, and the adoption of, new or improved technologies in forest management and in forest-based industries. </w:t>
      </w:r>
    </w:p>
    <w:p w14:paraId="26ABD5AF" w14:textId="77777777" w:rsidR="00067E88" w:rsidRPr="00CE60B2" w:rsidRDefault="00067E88" w:rsidP="00C22D5A">
      <w:pPr>
        <w:pStyle w:val="Heading4"/>
        <w:rPr>
          <w:rFonts w:cs="Segoe UI"/>
        </w:rPr>
      </w:pPr>
      <w:r w:rsidRPr="00CE60B2">
        <w:rPr>
          <w:rFonts w:cs="Segoe UI"/>
        </w:rPr>
        <w:t>National capacity for Australian forestry R&amp;D</w:t>
      </w:r>
    </w:p>
    <w:p w14:paraId="26ABD5B0" w14:textId="77777777" w:rsidR="00067E88" w:rsidRPr="00CE60B2" w:rsidRDefault="00F5292B" w:rsidP="00067E88">
      <w:pPr>
        <w:rPr>
          <w:rFonts w:cs="Segoe UI"/>
        </w:rPr>
      </w:pPr>
      <w:r w:rsidRPr="00CE60B2">
        <w:rPr>
          <w:rFonts w:cs="Segoe UI"/>
        </w:rPr>
        <w:t>While r</w:t>
      </w:r>
      <w:r w:rsidR="00067E88" w:rsidRPr="00CE60B2">
        <w:rPr>
          <w:rFonts w:cs="Segoe UI"/>
        </w:rPr>
        <w:t>esearch is fundamental to supporting development and improvement in all aspects of forest management, production and sustainability</w:t>
      </w:r>
      <w:r w:rsidRPr="00CE60B2">
        <w:rPr>
          <w:rFonts w:cs="Segoe UI"/>
        </w:rPr>
        <w:t xml:space="preserve">, </w:t>
      </w:r>
      <w:r w:rsidR="00067E88" w:rsidRPr="00CE60B2">
        <w:rPr>
          <w:rFonts w:cs="Segoe UI"/>
        </w:rPr>
        <w:t xml:space="preserve">several recent publications have </w:t>
      </w:r>
      <w:r w:rsidR="00067E88" w:rsidRPr="00CE60B2">
        <w:rPr>
          <w:rFonts w:cs="Segoe UI"/>
        </w:rPr>
        <w:lastRenderedPageBreak/>
        <w:t xml:space="preserve">highlighted the significant decline in national forestry R&amp;D capacity and capability (Kile </w:t>
      </w:r>
      <w:r w:rsidR="00067E88" w:rsidRPr="00CE60B2">
        <w:rPr>
          <w:rFonts w:cs="Segoe UI"/>
          <w:i/>
        </w:rPr>
        <w:t>et al.</w:t>
      </w:r>
      <w:r w:rsidR="00A4042B" w:rsidRPr="00CE60B2">
        <w:rPr>
          <w:rFonts w:cs="Segoe UI"/>
        </w:rPr>
        <w:t xml:space="preserve"> 2014; Turner &amp; Lambert 2015, </w:t>
      </w:r>
      <w:r w:rsidR="00067E88" w:rsidRPr="00CE60B2">
        <w:rPr>
          <w:rFonts w:cs="Segoe UI"/>
        </w:rPr>
        <w:t xml:space="preserve">2016). Reasons for the reduction in funding for R&amp;D associated with commercial forestry include the declining relative contribution of the forest industry to </w:t>
      </w:r>
      <w:r w:rsidR="007F7E29" w:rsidRPr="00CE60B2">
        <w:rPr>
          <w:rFonts w:cs="Segoe UI"/>
        </w:rPr>
        <w:t xml:space="preserve">the </w:t>
      </w:r>
      <w:r w:rsidR="00067E88" w:rsidRPr="00CE60B2">
        <w:rPr>
          <w:rFonts w:cs="Segoe UI"/>
        </w:rPr>
        <w:t xml:space="preserve">national economy, reduced government involvement in the </w:t>
      </w:r>
      <w:r w:rsidR="007F7E29" w:rsidRPr="00CE60B2">
        <w:rPr>
          <w:rFonts w:cs="Segoe UI"/>
        </w:rPr>
        <w:t>forest</w:t>
      </w:r>
      <w:r w:rsidR="003D0A6E" w:rsidRPr="00CE60B2">
        <w:rPr>
          <w:rFonts w:cs="Segoe UI"/>
        </w:rPr>
        <w:t>ry</w:t>
      </w:r>
      <w:r w:rsidR="00067E88" w:rsidRPr="00CE60B2">
        <w:rPr>
          <w:rFonts w:cs="Segoe UI"/>
        </w:rPr>
        <w:t xml:space="preserve"> industry, corporate restructuring, and incre</w:t>
      </w:r>
      <w:r w:rsidR="003D0A6E" w:rsidRPr="00CE60B2">
        <w:rPr>
          <w:rFonts w:cs="Segoe UI"/>
        </w:rPr>
        <w:t>ased international ownership.</w:t>
      </w:r>
    </w:p>
    <w:p w14:paraId="26ABD5B1" w14:textId="77777777" w:rsidR="00067E88" w:rsidRPr="00CE60B2" w:rsidRDefault="00067E88" w:rsidP="00067E88">
      <w:pPr>
        <w:rPr>
          <w:rFonts w:cs="Segoe UI"/>
        </w:rPr>
      </w:pPr>
      <w:r w:rsidRPr="00CE60B2">
        <w:rPr>
          <w:rFonts w:cs="Segoe UI"/>
        </w:rPr>
        <w:t xml:space="preserve">Resource allocation for research priorities in </w:t>
      </w:r>
      <w:r w:rsidR="007F7E29" w:rsidRPr="00CE60B2">
        <w:rPr>
          <w:rFonts w:cs="Segoe UI"/>
        </w:rPr>
        <w:t>nature conservation reserves</w:t>
      </w:r>
      <w:r w:rsidRPr="00CE60B2">
        <w:rPr>
          <w:rFonts w:cs="Segoe UI"/>
        </w:rPr>
        <w:t xml:space="preserve"> is generally funded by state-based agencies or through </w:t>
      </w:r>
      <w:r w:rsidR="008521AF" w:rsidRPr="00CE60B2">
        <w:rPr>
          <w:rFonts w:cs="Segoe UI"/>
        </w:rPr>
        <w:t>u</w:t>
      </w:r>
      <w:r w:rsidRPr="00CE60B2">
        <w:rPr>
          <w:rFonts w:cs="Segoe UI"/>
        </w:rPr>
        <w:t xml:space="preserve">niversities that have received project grants, with specific and targeted interests focused on biodiversity </w:t>
      </w:r>
      <w:r w:rsidR="007F7E29" w:rsidRPr="00CE60B2">
        <w:rPr>
          <w:rFonts w:cs="Segoe UI"/>
        </w:rPr>
        <w:t xml:space="preserve">and conservation </w:t>
      </w:r>
      <w:r w:rsidRPr="00CE60B2">
        <w:rPr>
          <w:rFonts w:cs="Segoe UI"/>
        </w:rPr>
        <w:t xml:space="preserve">issues. State conservation agencies are frequently being restructured and </w:t>
      </w:r>
      <w:r w:rsidR="00C338E2">
        <w:rPr>
          <w:rFonts w:cs="Segoe UI"/>
        </w:rPr>
        <w:t>required</w:t>
      </w:r>
      <w:r w:rsidRPr="00CE60B2">
        <w:rPr>
          <w:rFonts w:cs="Segoe UI"/>
        </w:rPr>
        <w:t xml:space="preserve"> to </w:t>
      </w:r>
      <w:r w:rsidR="00C338E2">
        <w:rPr>
          <w:rFonts w:cs="Segoe UI"/>
        </w:rPr>
        <w:t>expand</w:t>
      </w:r>
      <w:r w:rsidRPr="00CE60B2">
        <w:rPr>
          <w:rFonts w:cs="Segoe UI"/>
        </w:rPr>
        <w:t xml:space="preserve"> reliance on competitive external funding.</w:t>
      </w:r>
    </w:p>
    <w:p w14:paraId="26ABD5B2" w14:textId="77777777" w:rsidR="00067E88" w:rsidRPr="00CE60B2" w:rsidRDefault="00067E88" w:rsidP="00067E88">
      <w:pPr>
        <w:rPr>
          <w:rFonts w:cs="Segoe UI"/>
        </w:rPr>
      </w:pPr>
      <w:r w:rsidRPr="00CE60B2">
        <w:rPr>
          <w:rFonts w:cs="Segoe UI"/>
        </w:rPr>
        <w:t xml:space="preserve">Forest products research is broadly considered in terms of utilisation of products from forests (i.e. </w:t>
      </w:r>
      <w:r w:rsidR="007F7E29" w:rsidRPr="00CE60B2">
        <w:rPr>
          <w:rFonts w:cs="Segoe UI"/>
        </w:rPr>
        <w:t>primary processing</w:t>
      </w:r>
      <w:r w:rsidRPr="00CE60B2">
        <w:rPr>
          <w:rFonts w:cs="Segoe UI"/>
        </w:rPr>
        <w:t xml:space="preserve">, pulp and paper, </w:t>
      </w:r>
      <w:r w:rsidR="007F7E29" w:rsidRPr="00CE60B2">
        <w:rPr>
          <w:rFonts w:cs="Segoe UI"/>
        </w:rPr>
        <w:t xml:space="preserve">engineered wood </w:t>
      </w:r>
      <w:r w:rsidRPr="00CE60B2">
        <w:rPr>
          <w:rFonts w:cs="Segoe UI"/>
        </w:rPr>
        <w:t>products, bioenergy).  National R&amp;D capacity in this area has also declined, notably with the demise of CSIRO’s contribution to wood products research. While there has been a decline in forestry R&amp;D by government agencies, a small number of new university-based forestry and/or forest products research centres have recently been established, e.g. the Forest Industries Research Centre at the University of Sunshine Coast, or by the National Centre for Future Forest Industries at the University of Tasmania</w:t>
      </w:r>
      <w:r w:rsidR="003E0289" w:rsidRPr="00CE60B2">
        <w:rPr>
          <w:rFonts w:cs="Segoe UI"/>
        </w:rPr>
        <w:t xml:space="preserve"> established under the National Institute for Forest Products Innovation</w:t>
      </w:r>
      <w:r w:rsidRPr="00CE60B2">
        <w:rPr>
          <w:rFonts w:cs="Segoe UI"/>
        </w:rPr>
        <w:t>.</w:t>
      </w:r>
    </w:p>
    <w:p w14:paraId="26ABD5B3" w14:textId="77777777" w:rsidR="005D16EA" w:rsidRPr="00CE60B2" w:rsidRDefault="00067E88" w:rsidP="00067E88">
      <w:pPr>
        <w:rPr>
          <w:rFonts w:cs="Segoe UI"/>
        </w:rPr>
      </w:pPr>
      <w:r w:rsidRPr="00CE60B2">
        <w:rPr>
          <w:rFonts w:cs="Segoe UI"/>
        </w:rPr>
        <w:t>Nationally</w:t>
      </w:r>
      <w:r w:rsidR="007F7E29" w:rsidRPr="00CE60B2">
        <w:rPr>
          <w:rFonts w:cs="Segoe UI"/>
        </w:rPr>
        <w:t>,</w:t>
      </w:r>
      <w:r w:rsidRPr="00CE60B2">
        <w:rPr>
          <w:rFonts w:cs="Segoe UI"/>
        </w:rPr>
        <w:t xml:space="preserve"> the number of staff (scientists, technicians, support staff and graduate students) involved in forestry and products research was about 276 in 2013 compared with 794 in the mid-1980s (Turner &amp; Lambert 2016).</w:t>
      </w:r>
    </w:p>
    <w:p w14:paraId="26ABD5B4" w14:textId="77777777" w:rsidR="00067E88" w:rsidRPr="00CE60B2" w:rsidRDefault="002E3DDA" w:rsidP="00C22D5A">
      <w:pPr>
        <w:pStyle w:val="Heading4"/>
        <w:rPr>
          <w:rFonts w:cs="Segoe UI"/>
        </w:rPr>
      </w:pPr>
      <w:r w:rsidRPr="00CE60B2">
        <w:rPr>
          <w:rFonts w:cs="Segoe UI"/>
        </w:rPr>
        <w:t>WA</w:t>
      </w:r>
      <w:r w:rsidR="00067E88" w:rsidRPr="00CE60B2">
        <w:rPr>
          <w:rFonts w:cs="Segoe UI"/>
        </w:rPr>
        <w:t xml:space="preserve"> capacity for forestry R&amp;D </w:t>
      </w:r>
    </w:p>
    <w:p w14:paraId="26ABD5B5" w14:textId="77777777" w:rsidR="00EB3B2E" w:rsidRPr="00CE60B2" w:rsidRDefault="00EB3B2E" w:rsidP="00EB3B2E">
      <w:pPr>
        <w:rPr>
          <w:rFonts w:cs="Segoe UI"/>
        </w:rPr>
      </w:pPr>
      <w:r w:rsidRPr="00CE60B2">
        <w:rPr>
          <w:rFonts w:cs="Segoe UI"/>
        </w:rPr>
        <w:t xml:space="preserve">The </w:t>
      </w:r>
      <w:r w:rsidR="00F64552">
        <w:rPr>
          <w:rFonts w:cs="Segoe UI"/>
        </w:rPr>
        <w:t>DBCA</w:t>
      </w:r>
      <w:r w:rsidRPr="00CE60B2">
        <w:rPr>
          <w:rFonts w:cs="Segoe UI"/>
        </w:rPr>
        <w:t xml:space="preserve"> through its Biodiversity and Conservation Science group delivers a significant proportion of the research for State forests, national parks and reserves aligned with actions identified in the </w:t>
      </w:r>
      <w:r w:rsidR="003A6CD6">
        <w:rPr>
          <w:rFonts w:cs="Segoe UI"/>
        </w:rPr>
        <w:t>FMP </w:t>
      </w:r>
      <w:r w:rsidRPr="00CE60B2">
        <w:rPr>
          <w:rFonts w:cs="Segoe UI"/>
        </w:rPr>
        <w:t xml:space="preserve">2014-23, as described for Indicator 6.2 b. Research spans a broad range of topics including biodiversity conservation, entomology, fire science, hydrology, silviculture and plant genetics. </w:t>
      </w:r>
      <w:r w:rsidR="00192612">
        <w:rPr>
          <w:rFonts w:cs="Segoe UI"/>
        </w:rPr>
        <w:t>DBCA</w:t>
      </w:r>
      <w:r w:rsidRPr="00CE60B2">
        <w:rPr>
          <w:rFonts w:cs="Segoe UI"/>
        </w:rPr>
        <w:t xml:space="preserve"> staff resources engaged in forest related research have declined by half since 2012 due to targeted voluntary severance schemes implemented by the WA government to reduce the size of the public service, and </w:t>
      </w:r>
      <w:r w:rsidR="00C338E2">
        <w:rPr>
          <w:rFonts w:cs="Segoe UI"/>
        </w:rPr>
        <w:t>the</w:t>
      </w:r>
      <w:r w:rsidRPr="00CE60B2">
        <w:rPr>
          <w:rFonts w:cs="Segoe UI"/>
        </w:rPr>
        <w:t xml:space="preserve"> retirement of staff. Expenditure on staff salaries and operating funds has also reduced commensurately over this period.</w:t>
      </w:r>
    </w:p>
    <w:p w14:paraId="26ABD5B6" w14:textId="77777777" w:rsidR="00EB3B2E" w:rsidRPr="00CE60B2" w:rsidRDefault="00EB3B2E" w:rsidP="00EB3B2E">
      <w:pPr>
        <w:rPr>
          <w:rFonts w:cs="Segoe UI"/>
        </w:rPr>
      </w:pPr>
      <w:r w:rsidRPr="00CE60B2">
        <w:rPr>
          <w:rFonts w:cs="Segoe UI"/>
        </w:rPr>
        <w:t xml:space="preserve">WA Government agencies were partners in the Bushfire Cooperative Research Centre from 2003-13 and in the subsequent Bushfire and Natural Hazards Cooperative Research Centre, both of which have delivered important research that has led to improved management of forest fires and prescribed burning programs.  </w:t>
      </w:r>
    </w:p>
    <w:p w14:paraId="26ABD5B7" w14:textId="77777777" w:rsidR="00EB3B2E" w:rsidRPr="00CE60B2" w:rsidRDefault="00EB3B2E" w:rsidP="00C22D5A">
      <w:pPr>
        <w:pStyle w:val="Heading4"/>
        <w:rPr>
          <w:rFonts w:cs="Segoe UI"/>
        </w:rPr>
      </w:pPr>
      <w:r w:rsidRPr="00CE60B2">
        <w:rPr>
          <w:rFonts w:cs="Segoe UI"/>
        </w:rPr>
        <w:t>Forestry R&amp;D Capacity within WA Universities</w:t>
      </w:r>
    </w:p>
    <w:p w14:paraId="26ABD5B8" w14:textId="56391BF9" w:rsidR="00EB3B2E" w:rsidRDefault="00EB3B2E" w:rsidP="00EB3B2E">
      <w:pPr>
        <w:rPr>
          <w:rFonts w:cs="Segoe UI"/>
        </w:rPr>
      </w:pPr>
      <w:r w:rsidRPr="00CE60B2">
        <w:rPr>
          <w:rFonts w:cs="Segoe UI"/>
        </w:rPr>
        <w:t xml:space="preserve">There are five universities in Western Australia all of which offer undergraduate and postgraduate studies in the broad field of natural resource management, biodiversity and environmental science. None of the universities offers a full undergraduate course focussed on forest science, although Edith Cowan University does offer a </w:t>
      </w:r>
      <w:r w:rsidR="00A42B5E" w:rsidRPr="00CE60B2">
        <w:rPr>
          <w:rFonts w:cs="Segoe UI"/>
        </w:rPr>
        <w:t>third-year</w:t>
      </w:r>
      <w:r w:rsidRPr="00CE60B2">
        <w:rPr>
          <w:rFonts w:cs="Segoe UI"/>
        </w:rPr>
        <w:t xml:space="preserve"> elective unit of silviculture. Focal areas for postgraduate research relevant to forests include climate change and forest health, forest pathology, and wildlife ecology. Postgraduate research has also been </w:t>
      </w:r>
      <w:r w:rsidRPr="00CE60B2">
        <w:rPr>
          <w:rFonts w:cs="Segoe UI"/>
        </w:rPr>
        <w:lastRenderedPageBreak/>
        <w:t xml:space="preserve">undertaken on a variety of topics related to fire management including economic analysis of prescribed burning programs, </w:t>
      </w:r>
      <w:r w:rsidR="000E0CE4" w:rsidRPr="00CE60B2">
        <w:rPr>
          <w:rFonts w:cs="Segoe UI"/>
        </w:rPr>
        <w:t>computer</w:t>
      </w:r>
      <w:r w:rsidRPr="00CE60B2">
        <w:rPr>
          <w:rFonts w:cs="Segoe UI"/>
        </w:rPr>
        <w:t xml:space="preserve"> simulation of bushfires, and ecological responses to forest fires.</w:t>
      </w:r>
    </w:p>
    <w:p w14:paraId="26ABD5B9" w14:textId="77777777" w:rsidR="00977C38" w:rsidRDefault="001E3696" w:rsidP="0014017D">
      <w:pPr>
        <w:pStyle w:val="Heading4"/>
        <w:rPr>
          <w:rFonts w:cs="Segoe UI"/>
        </w:rPr>
      </w:pPr>
      <w:r w:rsidRPr="00CE60B2">
        <w:rPr>
          <w:rFonts w:cs="Segoe UI"/>
        </w:rPr>
        <w:t>Forest</w:t>
      </w:r>
      <w:r>
        <w:rPr>
          <w:rFonts w:cs="Segoe UI"/>
        </w:rPr>
        <w:t xml:space="preserve"> Products Industry</w:t>
      </w:r>
    </w:p>
    <w:p w14:paraId="26ABD5BA" w14:textId="77777777" w:rsidR="00977C38" w:rsidRPr="00E52034" w:rsidRDefault="00977C38" w:rsidP="0061707C">
      <w:pPr>
        <w:autoSpaceDE w:val="0"/>
        <w:autoSpaceDN w:val="0"/>
        <w:adjustRightInd w:val="0"/>
        <w:spacing w:before="0" w:after="0"/>
        <w:ind w:left="357" w:hanging="357"/>
        <w:rPr>
          <w:rFonts w:cs="Segoe UI"/>
          <w:lang w:eastAsia="en-AU"/>
        </w:rPr>
      </w:pPr>
      <w:r w:rsidRPr="00E52034">
        <w:rPr>
          <w:rFonts w:cs="Segoe UI"/>
          <w:lang w:eastAsia="en-AU"/>
        </w:rPr>
        <w:t>Forest products industry priority projects include:</w:t>
      </w:r>
    </w:p>
    <w:p w14:paraId="26ABD5BB" w14:textId="31B5E6A5" w:rsidR="00977C38" w:rsidRPr="00E52034" w:rsidRDefault="00977C38" w:rsidP="00C903EE">
      <w:pPr>
        <w:pStyle w:val="ListParagraph"/>
        <w:numPr>
          <w:ilvl w:val="0"/>
          <w:numId w:val="37"/>
        </w:numPr>
        <w:spacing w:before="0" w:after="0"/>
        <w:ind w:left="714" w:hanging="357"/>
        <w:contextualSpacing w:val="0"/>
        <w:rPr>
          <w:rFonts w:cs="Segoe UI"/>
          <w:lang w:eastAsia="en-AU"/>
        </w:rPr>
      </w:pPr>
      <w:r w:rsidRPr="00E52034">
        <w:rPr>
          <w:rFonts w:cs="Segoe UI"/>
          <w:lang w:eastAsia="en-AU"/>
        </w:rPr>
        <w:t xml:space="preserve">carbon stocks and flows in native forests and </w:t>
      </w:r>
      <w:r>
        <w:rPr>
          <w:rFonts w:cs="Segoe UI"/>
          <w:lang w:eastAsia="en-AU"/>
        </w:rPr>
        <w:t>HWPs</w:t>
      </w:r>
    </w:p>
    <w:p w14:paraId="26ABD5BC" w14:textId="0CA26080" w:rsidR="00977C38" w:rsidRPr="00E52034" w:rsidRDefault="00977C38" w:rsidP="00C903EE">
      <w:pPr>
        <w:pStyle w:val="ListParagraph"/>
        <w:numPr>
          <w:ilvl w:val="0"/>
          <w:numId w:val="37"/>
        </w:numPr>
        <w:spacing w:before="0" w:after="0"/>
        <w:ind w:left="714" w:hanging="357"/>
        <w:contextualSpacing w:val="0"/>
        <w:rPr>
          <w:rFonts w:cs="Segoe UI"/>
          <w:lang w:eastAsia="en-AU"/>
        </w:rPr>
      </w:pPr>
      <w:r w:rsidRPr="00E52034">
        <w:rPr>
          <w:rFonts w:cs="Segoe UI"/>
          <w:lang w:eastAsia="en-AU"/>
        </w:rPr>
        <w:t>operational deployment of LiDAR derived information into softwood resource systems</w:t>
      </w:r>
    </w:p>
    <w:p w14:paraId="26ABD5BD" w14:textId="4E06BAFD" w:rsidR="00977C38" w:rsidRPr="00E52034" w:rsidRDefault="00977C38" w:rsidP="00C903EE">
      <w:pPr>
        <w:pStyle w:val="ListParagraph"/>
        <w:numPr>
          <w:ilvl w:val="0"/>
          <w:numId w:val="37"/>
        </w:numPr>
        <w:spacing w:before="0" w:after="0"/>
        <w:ind w:left="714" w:hanging="357"/>
        <w:contextualSpacing w:val="0"/>
        <w:rPr>
          <w:rFonts w:cs="Segoe UI"/>
          <w:lang w:eastAsia="en-AU"/>
        </w:rPr>
      </w:pPr>
      <w:r w:rsidRPr="00E52034">
        <w:rPr>
          <w:rFonts w:cs="Segoe UI"/>
          <w:lang w:eastAsia="en-AU"/>
        </w:rPr>
        <w:t>herbicide screening trials to ensure industry best practice and seek to reduce the use of chemicals</w:t>
      </w:r>
    </w:p>
    <w:p w14:paraId="26ABD5BE" w14:textId="77777777" w:rsidR="00977C38" w:rsidRPr="00E52034" w:rsidRDefault="00977C38" w:rsidP="00C903EE">
      <w:pPr>
        <w:pStyle w:val="ListParagraph"/>
        <w:numPr>
          <w:ilvl w:val="0"/>
          <w:numId w:val="37"/>
        </w:numPr>
        <w:spacing w:before="0" w:after="0"/>
        <w:ind w:left="714" w:hanging="357"/>
        <w:contextualSpacing w:val="0"/>
        <w:rPr>
          <w:rFonts w:cs="Segoe UI"/>
          <w:lang w:eastAsia="en-AU"/>
        </w:rPr>
      </w:pPr>
      <w:r w:rsidRPr="00E52034">
        <w:rPr>
          <w:rFonts w:cs="Segoe UI"/>
          <w:lang w:eastAsia="en-AU"/>
        </w:rPr>
        <w:t>analysis and deployment of a genetic improvement program for radiata pine</w:t>
      </w:r>
      <w:r w:rsidR="00C338E2">
        <w:rPr>
          <w:rFonts w:cs="Segoe UI"/>
          <w:lang w:eastAsia="en-AU"/>
        </w:rPr>
        <w:t>;</w:t>
      </w:r>
    </w:p>
    <w:p w14:paraId="26ABD5BF" w14:textId="1C2449F1" w:rsidR="00977C38" w:rsidRPr="00E52034" w:rsidRDefault="00977C38" w:rsidP="00C903EE">
      <w:pPr>
        <w:pStyle w:val="ListParagraph"/>
        <w:numPr>
          <w:ilvl w:val="0"/>
          <w:numId w:val="37"/>
        </w:numPr>
        <w:spacing w:before="0" w:after="0"/>
        <w:ind w:left="714" w:hanging="357"/>
        <w:contextualSpacing w:val="0"/>
        <w:rPr>
          <w:rFonts w:cs="Segoe UI"/>
          <w:lang w:eastAsia="en-AU"/>
        </w:rPr>
      </w:pPr>
      <w:r w:rsidRPr="00E52034">
        <w:rPr>
          <w:rFonts w:cs="Segoe UI"/>
          <w:lang w:eastAsia="en-AU"/>
        </w:rPr>
        <w:t>improved harvest and haul logistics</w:t>
      </w:r>
    </w:p>
    <w:p w14:paraId="26ABD5C0" w14:textId="5980385C" w:rsidR="00977C38" w:rsidRPr="00E52034" w:rsidRDefault="00977C38" w:rsidP="00C903EE">
      <w:pPr>
        <w:pStyle w:val="ListParagraph"/>
        <w:numPr>
          <w:ilvl w:val="0"/>
          <w:numId w:val="37"/>
        </w:numPr>
        <w:spacing w:before="0" w:after="0"/>
        <w:ind w:left="714" w:hanging="357"/>
        <w:contextualSpacing w:val="0"/>
        <w:rPr>
          <w:rFonts w:cs="Segoe UI"/>
          <w:lang w:eastAsia="en-AU"/>
        </w:rPr>
      </w:pPr>
      <w:r w:rsidRPr="00E52034">
        <w:rPr>
          <w:rFonts w:cs="Segoe UI"/>
          <w:lang w:eastAsia="en-AU"/>
        </w:rPr>
        <w:t>wood quality initiative that uses information about site, management regime and daily weather data</w:t>
      </w:r>
      <w:r>
        <w:rPr>
          <w:rFonts w:cs="Segoe UI"/>
          <w:lang w:eastAsia="en-AU"/>
        </w:rPr>
        <w:t xml:space="preserve"> </w:t>
      </w:r>
      <w:r w:rsidRPr="00E52034">
        <w:rPr>
          <w:rFonts w:cs="Segoe UI"/>
          <w:lang w:eastAsia="en-AU"/>
        </w:rPr>
        <w:t>to predict variation in wood density and stiffness</w:t>
      </w:r>
    </w:p>
    <w:p w14:paraId="26ABD5C1" w14:textId="77777777" w:rsidR="00977C38" w:rsidRDefault="00977C38" w:rsidP="00C903EE">
      <w:pPr>
        <w:pStyle w:val="ListParagraph"/>
        <w:numPr>
          <w:ilvl w:val="0"/>
          <w:numId w:val="37"/>
        </w:numPr>
        <w:spacing w:before="0" w:after="80"/>
        <w:ind w:left="714" w:hanging="357"/>
        <w:contextualSpacing w:val="0"/>
        <w:rPr>
          <w:rFonts w:cs="Segoe UI"/>
          <w:lang w:eastAsia="en-AU"/>
        </w:rPr>
      </w:pPr>
      <w:r w:rsidRPr="00E52034">
        <w:rPr>
          <w:rFonts w:cs="Segoe UI"/>
          <w:lang w:eastAsia="en-AU"/>
        </w:rPr>
        <w:t>biosecurity initiatives</w:t>
      </w:r>
      <w:r w:rsidR="00C338E2">
        <w:rPr>
          <w:rFonts w:cs="Segoe UI"/>
          <w:lang w:eastAsia="en-AU"/>
        </w:rPr>
        <w:t>.</w:t>
      </w:r>
    </w:p>
    <w:p w14:paraId="26ABD5C2" w14:textId="77777777" w:rsidR="004D32BF" w:rsidRPr="00CE60B2" w:rsidRDefault="004D32BF" w:rsidP="00C22D5A">
      <w:pPr>
        <w:pStyle w:val="Heading3"/>
        <w:rPr>
          <w:bCs/>
          <w:lang w:eastAsia="ja-JP"/>
        </w:rPr>
      </w:pPr>
      <w:bookmarkStart w:id="204" w:name="_Toc524952834"/>
      <w:bookmarkStart w:id="205" w:name="_Toc2776079"/>
      <w:r w:rsidRPr="00CE60B2">
        <w:rPr>
          <w:lang w:eastAsia="ja-JP"/>
        </w:rPr>
        <w:t>Indicator 3.1.a: Scale and impact of agents and processes affecting forest health and vitality</w:t>
      </w:r>
      <w:bookmarkEnd w:id="204"/>
      <w:bookmarkEnd w:id="205"/>
    </w:p>
    <w:p w14:paraId="26ABD5C3" w14:textId="77777777" w:rsidR="00CA3442" w:rsidRPr="00CE60B2" w:rsidRDefault="004D32BF" w:rsidP="004D32BF">
      <w:pPr>
        <w:autoSpaceDE w:val="0"/>
        <w:autoSpaceDN w:val="0"/>
        <w:adjustRightInd w:val="0"/>
        <w:spacing w:after="0"/>
        <w:rPr>
          <w:rFonts w:cs="Segoe UI"/>
          <w:lang w:eastAsia="ja-JP"/>
        </w:rPr>
      </w:pPr>
      <w:r w:rsidRPr="00CE60B2">
        <w:rPr>
          <w:rFonts w:cs="Segoe UI"/>
          <w:lang w:eastAsia="ja-JP"/>
        </w:rPr>
        <w:t xml:space="preserve">This indicator identifies the scale and impact on forest health of a variety of processes and agents, both natural and human-induced. Through the regular collection of this information, significant changes to the health and vitality of forest ecosystems can be monitored and measured. </w:t>
      </w:r>
    </w:p>
    <w:p w14:paraId="26ABD5C4" w14:textId="77777777" w:rsidR="004D32BF" w:rsidRPr="00CE60B2" w:rsidRDefault="004D32BF" w:rsidP="004D32BF">
      <w:pPr>
        <w:autoSpaceDE w:val="0"/>
        <w:autoSpaceDN w:val="0"/>
        <w:adjustRightInd w:val="0"/>
        <w:spacing w:after="0"/>
        <w:rPr>
          <w:rFonts w:cs="Segoe UI"/>
          <w:lang w:eastAsia="ja-JP"/>
        </w:rPr>
      </w:pPr>
      <w:r w:rsidRPr="00CE60B2">
        <w:rPr>
          <w:rFonts w:cs="Segoe UI"/>
          <w:lang w:eastAsia="ja-JP"/>
        </w:rPr>
        <w:t xml:space="preserve">Operational aspects of this </w:t>
      </w:r>
      <w:r w:rsidR="00CA3442" w:rsidRPr="00CE60B2">
        <w:rPr>
          <w:rFonts w:cs="Segoe UI"/>
          <w:lang w:eastAsia="ja-JP"/>
        </w:rPr>
        <w:t>indicator</w:t>
      </w:r>
      <w:r w:rsidRPr="00CE60B2">
        <w:rPr>
          <w:rFonts w:cs="Segoe UI"/>
          <w:lang w:eastAsia="ja-JP"/>
        </w:rPr>
        <w:t xml:space="preserve"> involve maintaining </w:t>
      </w:r>
      <w:r w:rsidR="002E3DDA" w:rsidRPr="00CE60B2">
        <w:rPr>
          <w:rFonts w:cs="Segoe UI"/>
          <w:lang w:eastAsia="ja-JP"/>
        </w:rPr>
        <w:t>Western Australia’s</w:t>
      </w:r>
      <w:r w:rsidRPr="00CE60B2">
        <w:rPr>
          <w:rFonts w:cs="Segoe UI"/>
          <w:lang w:eastAsia="ja-JP"/>
        </w:rPr>
        <w:t xml:space="preserve"> forest ecosystem health and vitality through pest and weed monitoring and control, including insect pests, invertebrate pests, and fungal diseases. It follows the </w:t>
      </w:r>
      <w:r w:rsidR="00CA3442" w:rsidRPr="00CE60B2">
        <w:rPr>
          <w:rFonts w:cs="Segoe UI"/>
          <w:lang w:eastAsia="ja-JP"/>
        </w:rPr>
        <w:t>principles</w:t>
      </w:r>
      <w:r w:rsidRPr="00CE60B2">
        <w:rPr>
          <w:rFonts w:cs="Segoe UI"/>
          <w:lang w:eastAsia="ja-JP"/>
        </w:rPr>
        <w:t xml:space="preserve"> of ESFM, which requires that forests are managed in an environmentally appropriate, socially beneficial, and economically viable manner, and meet the needs of the present without compromising the needs of future generations</w:t>
      </w:r>
      <w:r w:rsidR="001D4597">
        <w:rPr>
          <w:rFonts w:cs="Segoe UI"/>
          <w:lang w:eastAsia="ja-JP"/>
        </w:rPr>
        <w:t xml:space="preserve"> </w:t>
      </w:r>
      <w:r w:rsidR="00A4042B" w:rsidRPr="00CE60B2">
        <w:rPr>
          <w:rFonts w:cs="Segoe UI"/>
          <w:lang w:eastAsia="ja-JP"/>
        </w:rPr>
        <w:t>(Holvert &amp; Muys, 2004; Washburn &amp; Miller, 2003)</w:t>
      </w:r>
      <w:r w:rsidRPr="00CE60B2">
        <w:rPr>
          <w:rFonts w:cs="Segoe UI"/>
          <w:lang w:eastAsia="ja-JP"/>
        </w:rPr>
        <w:t>.</w:t>
      </w:r>
    </w:p>
    <w:p w14:paraId="26ABD5C5" w14:textId="77777777" w:rsidR="004D32BF" w:rsidRPr="00CE60B2" w:rsidRDefault="004D32BF" w:rsidP="004D32BF">
      <w:pPr>
        <w:pStyle w:val="Heading4"/>
        <w:rPr>
          <w:rFonts w:cs="Segoe UI"/>
        </w:rPr>
      </w:pPr>
      <w:r w:rsidRPr="00CE60B2">
        <w:rPr>
          <w:rFonts w:cs="Segoe UI"/>
        </w:rPr>
        <w:t>Native forest programs</w:t>
      </w:r>
    </w:p>
    <w:p w14:paraId="26ABD5C6" w14:textId="77777777" w:rsidR="004D32BF" w:rsidRPr="00CE60B2" w:rsidRDefault="004D32BF" w:rsidP="00DA32F0">
      <w:pPr>
        <w:pStyle w:val="Heading5"/>
        <w:spacing w:before="0" w:after="120"/>
        <w:rPr>
          <w:rFonts w:cs="Segoe UI"/>
          <w:lang w:eastAsia="ja-JP"/>
        </w:rPr>
      </w:pPr>
      <w:r w:rsidRPr="00CE60B2">
        <w:rPr>
          <w:rFonts w:cs="Segoe UI"/>
          <w:lang w:eastAsia="ja-JP"/>
        </w:rPr>
        <w:t>Monitoring of the scale and impact of agents affecting ecosystem health and vitality</w:t>
      </w:r>
    </w:p>
    <w:p w14:paraId="26ABD5C7" w14:textId="77777777" w:rsidR="00EB3B2E" w:rsidRPr="00CE60B2" w:rsidRDefault="00EB3B2E" w:rsidP="00DA32F0">
      <w:pPr>
        <w:spacing w:before="0"/>
        <w:rPr>
          <w:rFonts w:cs="Segoe UI"/>
          <w:lang w:eastAsia="ja-JP"/>
        </w:rPr>
      </w:pPr>
      <w:r w:rsidRPr="00BB5050">
        <w:rPr>
          <w:rFonts w:cs="Segoe UI"/>
          <w:lang w:eastAsia="ja-JP"/>
        </w:rPr>
        <w:t>Dieback mapping and interpretation</w:t>
      </w:r>
      <w:r w:rsidR="00BB5050">
        <w:rPr>
          <w:rFonts w:cs="Segoe UI"/>
          <w:lang w:eastAsia="ja-JP"/>
        </w:rPr>
        <w:t xml:space="preserve"> is discussed in detail in indicator 7.1d.</w:t>
      </w:r>
    </w:p>
    <w:p w14:paraId="26ABD5C8" w14:textId="77777777" w:rsidR="00EB3B2E" w:rsidRPr="00CE60B2" w:rsidRDefault="00EB3B2E" w:rsidP="00DA32F0">
      <w:pPr>
        <w:spacing w:before="0"/>
        <w:rPr>
          <w:rFonts w:cs="Segoe UI"/>
          <w:lang w:eastAsia="ja-JP"/>
        </w:rPr>
      </w:pPr>
      <w:r w:rsidRPr="00CE60B2">
        <w:rPr>
          <w:rFonts w:cs="Segoe UI"/>
          <w:lang w:eastAsia="ja-JP"/>
        </w:rPr>
        <w:t xml:space="preserve">Monitoring undertaken as part of the FORESTCHECK project includes routine assessment of the presence, abundance and impact of potential forest insect pests including jarrah leafminer, gumleaf skeletoniser and bullseye borer. This information has proved useful in identifying the build-up of pest populations prior to outbreak. Cost-effective population monitoring techniques using pheromone lures have been developed and implemented operationally for the </w:t>
      </w:r>
      <w:bookmarkStart w:id="206" w:name="_Hlk525309926"/>
      <w:r w:rsidRPr="00CE60B2">
        <w:rPr>
          <w:rFonts w:cs="Segoe UI"/>
          <w:lang w:eastAsia="ja-JP"/>
        </w:rPr>
        <w:t xml:space="preserve">gumleaf skeletoniser </w:t>
      </w:r>
      <w:bookmarkEnd w:id="206"/>
      <w:r w:rsidRPr="00CE60B2">
        <w:rPr>
          <w:rFonts w:cs="Segoe UI"/>
          <w:lang w:eastAsia="ja-JP"/>
        </w:rPr>
        <w:t>(Farr and Wills 2012). Satellite remote sensing techniques were employed to map the extent of the severe outbreak of gumleaf skeletoniser in the Warren region during 2010-12.</w:t>
      </w:r>
    </w:p>
    <w:p w14:paraId="26ABD5CA" w14:textId="77ADF3D9" w:rsidR="00EB3B2E" w:rsidRPr="00CE60B2" w:rsidRDefault="00EB3B2E" w:rsidP="00EB3B2E">
      <w:pPr>
        <w:spacing w:before="0" w:after="0"/>
        <w:rPr>
          <w:rFonts w:cs="Segoe UI"/>
          <w:lang w:eastAsia="ja-JP"/>
        </w:rPr>
      </w:pPr>
      <w:r w:rsidRPr="00CE60B2">
        <w:rPr>
          <w:rFonts w:cs="Segoe UI"/>
          <w:lang w:eastAsia="ja-JP"/>
        </w:rPr>
        <w:t>Detailed post-fire mapping of the severity of crown damage has been undertaken following extensive bushfires in the karri forests of the Warren region in 2012 and 2015, and following large fires in the jarrah forest in 2015 and 2016. Mapping techniques have employed satellite imagery, high resolution aerial photography, and limited use of</w:t>
      </w:r>
      <w:r w:rsidR="00051B32">
        <w:rPr>
          <w:rFonts w:cs="Segoe UI"/>
          <w:lang w:eastAsia="ja-JP"/>
        </w:rPr>
        <w:t xml:space="preserve"> Light Detection and Ranging</w:t>
      </w:r>
      <w:r w:rsidRPr="00CE60B2">
        <w:rPr>
          <w:rFonts w:cs="Segoe UI"/>
          <w:lang w:eastAsia="ja-JP"/>
        </w:rPr>
        <w:t xml:space="preserve"> </w:t>
      </w:r>
      <w:r w:rsidR="00051B32">
        <w:rPr>
          <w:rFonts w:cs="Segoe UI"/>
          <w:lang w:eastAsia="ja-JP"/>
        </w:rPr>
        <w:lastRenderedPageBreak/>
        <w:t>(</w:t>
      </w:r>
      <w:r w:rsidRPr="00CE60B2">
        <w:rPr>
          <w:rFonts w:cs="Segoe UI"/>
          <w:lang w:eastAsia="ja-JP"/>
        </w:rPr>
        <w:t>LiDAR</w:t>
      </w:r>
      <w:r w:rsidR="00051B32">
        <w:rPr>
          <w:rFonts w:cs="Segoe UI"/>
          <w:lang w:eastAsia="ja-JP"/>
        </w:rPr>
        <w:t>)</w:t>
      </w:r>
      <w:r w:rsidRPr="00CE60B2">
        <w:rPr>
          <w:rFonts w:cs="Segoe UI"/>
          <w:lang w:eastAsia="ja-JP"/>
        </w:rPr>
        <w:t xml:space="preserve">. Ground-based measurements of tree characteristics, fire severity and crown recovery have been used to validate classifications derived from remotely sensed imagery. A case study documenting the effects of the 2016 Waroona bushfire on ESFM values has been included in the 2018 </w:t>
      </w:r>
      <w:r w:rsidR="007254A8">
        <w:rPr>
          <w:rFonts w:cs="Segoe UI"/>
          <w:lang w:eastAsia="ja-JP"/>
        </w:rPr>
        <w:t>SOFR</w:t>
      </w:r>
      <w:r w:rsidRPr="00CE60B2">
        <w:rPr>
          <w:rFonts w:cs="Segoe UI"/>
          <w:lang w:eastAsia="ja-JP"/>
        </w:rPr>
        <w:t>.</w:t>
      </w:r>
    </w:p>
    <w:p w14:paraId="26ABD5CB" w14:textId="77777777" w:rsidR="004D32BF" w:rsidRPr="00CE60B2" w:rsidRDefault="004D32BF" w:rsidP="00C22D5A">
      <w:pPr>
        <w:pStyle w:val="Heading5"/>
        <w:rPr>
          <w:rFonts w:cs="Segoe UI"/>
          <w:lang w:eastAsia="ja-JP"/>
        </w:rPr>
      </w:pPr>
      <w:r w:rsidRPr="00CE60B2">
        <w:rPr>
          <w:rFonts w:cs="Segoe UI"/>
          <w:lang w:eastAsia="ja-JP"/>
        </w:rPr>
        <w:t>Management of agents affecting ecosystem health and vitality</w:t>
      </w:r>
    </w:p>
    <w:p w14:paraId="26ABD5CC" w14:textId="77777777" w:rsidR="004D32BF" w:rsidRPr="00CE60B2" w:rsidRDefault="004D32BF" w:rsidP="004D32BF">
      <w:pPr>
        <w:rPr>
          <w:rFonts w:cs="Segoe UI"/>
          <w:lang w:eastAsia="ja-JP"/>
        </w:rPr>
      </w:pPr>
      <w:r w:rsidRPr="00CE60B2">
        <w:rPr>
          <w:rFonts w:cs="Segoe UI"/>
          <w:lang w:eastAsia="ja-JP"/>
        </w:rPr>
        <w:t xml:space="preserve">There was good evidence of active management — following ESFM principles — of a range of agents that affect ecosystem health and vitality over the period of the RFA. This includes active on-ground management (e.g. mapping, monitoring, and chemical control of invasive weeds), development of management plans and strategies, and involvement in research to improve management of invasive species. A selection of these activities, as reported in the </w:t>
      </w:r>
      <w:r w:rsidR="002E3DDA" w:rsidRPr="00CE60B2">
        <w:rPr>
          <w:rFonts w:cs="Segoe UI"/>
          <w:lang w:eastAsia="ja-JP"/>
        </w:rPr>
        <w:t>WA</w:t>
      </w:r>
      <w:r w:rsidR="00CA3442" w:rsidRPr="00CE60B2">
        <w:rPr>
          <w:rFonts w:cs="Segoe UI"/>
          <w:lang w:eastAsia="ja-JP"/>
        </w:rPr>
        <w:t xml:space="preserve"> </w:t>
      </w:r>
      <w:r w:rsidRPr="00CE60B2">
        <w:rPr>
          <w:rFonts w:cs="Segoe UI"/>
          <w:lang w:eastAsia="ja-JP"/>
        </w:rPr>
        <w:t xml:space="preserve">RFA Implementation Reports and elsewhere, includes: </w:t>
      </w:r>
    </w:p>
    <w:p w14:paraId="26ABD5CD" w14:textId="77777777" w:rsidR="00EB3B2E" w:rsidRPr="00CE60B2" w:rsidRDefault="00EB3B2E" w:rsidP="00C903EE">
      <w:pPr>
        <w:numPr>
          <w:ilvl w:val="0"/>
          <w:numId w:val="24"/>
        </w:numPr>
        <w:ind w:left="567"/>
        <w:rPr>
          <w:rFonts w:cs="Segoe UI"/>
          <w:lang w:eastAsia="ja-JP"/>
        </w:rPr>
      </w:pPr>
      <w:r w:rsidRPr="00CE60B2">
        <w:rPr>
          <w:rFonts w:cs="Segoe UI"/>
          <w:lang w:eastAsia="ja-JP"/>
        </w:rPr>
        <w:t>Predation by introduced pest animals is a key barrier to the recovery of native mammal populations. An initial recovery of threatened mammal populations following fox (</w:t>
      </w:r>
      <w:r w:rsidRPr="00CE60B2">
        <w:rPr>
          <w:rFonts w:cs="Segoe UI"/>
          <w:i/>
          <w:lang w:eastAsia="ja-JP"/>
        </w:rPr>
        <w:t>Vulpes vulpes</w:t>
      </w:r>
      <w:r w:rsidRPr="00CE60B2">
        <w:rPr>
          <w:rFonts w:cs="Segoe UI"/>
          <w:lang w:eastAsia="ja-JP"/>
        </w:rPr>
        <w:t xml:space="preserve">) control through broadscale baiting under the Western Shield program was not sustained, and mammal populations began to decline. After confirming that the fox-baits were still effective, research investigated whether fox baiting had resulted in ‘mesopredator release’, whereby the control of the dominant, larger predator (foxes) had led to an increase in the number of smaller predators (such as feral cats, </w:t>
      </w:r>
      <w:r w:rsidRPr="00CE60B2">
        <w:rPr>
          <w:rFonts w:cs="Segoe UI"/>
          <w:i/>
          <w:lang w:eastAsia="ja-JP"/>
        </w:rPr>
        <w:t>Felis catus</w:t>
      </w:r>
      <w:r w:rsidRPr="00CE60B2">
        <w:rPr>
          <w:rFonts w:cs="Segoe UI"/>
          <w:lang w:eastAsia="ja-JP"/>
        </w:rPr>
        <w:t>). Comparing cat abundance at sites that had been baited for foxes with those that were not baited, it was confirmed that the fox control undertaken in the northern jarrah forest over the past 15 years had led to an increase in the numbers of feral cats. The severe decline in woylie (</w:t>
      </w:r>
      <w:r w:rsidRPr="00CE60B2">
        <w:rPr>
          <w:rFonts w:cs="Segoe UI"/>
          <w:i/>
          <w:lang w:eastAsia="ja-JP"/>
        </w:rPr>
        <w:t>Bettongia penicillata ogilbyi</w:t>
      </w:r>
      <w:r w:rsidRPr="00CE60B2">
        <w:rPr>
          <w:rFonts w:cs="Segoe UI"/>
          <w:lang w:eastAsia="ja-JP"/>
        </w:rPr>
        <w:t>) numbers after their initial recovery following earlier fox-baiting programs has also been attributed to predation by increased numbers of feral cats. In order to control feral cats, Parks and Wildlife developed and trialled the Eradicat® feral cat bait. Eradicat® has now been registered for operational use in WA, and broad scale deployment of both cat and fox baits is occurring at selected sites through the Western Shield program, with ongoing monitoring of the impacts on fox and cat populations and recovery of mammal populations.</w:t>
      </w:r>
    </w:p>
    <w:p w14:paraId="26ABD5CE" w14:textId="77777777" w:rsidR="00EB3B2E" w:rsidRPr="00CE60B2" w:rsidRDefault="00EB3B2E" w:rsidP="00C903EE">
      <w:pPr>
        <w:numPr>
          <w:ilvl w:val="0"/>
          <w:numId w:val="24"/>
        </w:numPr>
        <w:ind w:left="567"/>
        <w:rPr>
          <w:rFonts w:cs="Segoe UI"/>
          <w:lang w:eastAsia="ja-JP"/>
        </w:rPr>
      </w:pPr>
      <w:r w:rsidRPr="00CE60B2">
        <w:rPr>
          <w:rFonts w:cs="Segoe UI"/>
          <w:lang w:eastAsia="ja-JP"/>
        </w:rPr>
        <w:t xml:space="preserve">Collaborative research with the Bushfire CRC was conducted to evaluate the resilience of plants, vertebrates, invertebrates and fungi to different fire interval sequences over the past 35 years in the Warren bioregion of the south-west forests. This research informs the management of fire interval regimes for biodiversity conservation. Accurate fire history information was used to determine the impact of different fire interval sequences over the past 35 years on the composition and abundance of vascular plants, ground-dwelling invertebrates, vertebrates and macrofungi in the forests and shrublands of the bioregion. The research found that the forests and shrublands investigated were more resilient to the effects of burning than may have been expected. The study found that none of the groups displayed significant differences in species composition as a result of contrasting fire interval sequences in either forest or shrubland. Varying fire intervals had no persistent effect on the richness and composition of biota associated with open forests and shrublands of the Warren bioregion, and demonstrated that these ecosystems are highly resilient to fire. The study suggested that the periodic occurrence of fire in these ecosystems from pre-human to more recent times is likely to have pre-conditioned the biota to persist across </w:t>
      </w:r>
      <w:r w:rsidRPr="00CE60B2">
        <w:rPr>
          <w:rFonts w:cs="Segoe UI"/>
          <w:lang w:eastAsia="ja-JP"/>
        </w:rPr>
        <w:lastRenderedPageBreak/>
        <w:t>a range of fire intervals varying from long (at least 30 years) to short (less than five years) fire intervals. This suggests that the variability that has occurred at the study sites makes an important contribution to observed resilience, whereas repeated short intervals over the longer term would likely lead to substantial ecological change.</w:t>
      </w:r>
    </w:p>
    <w:p w14:paraId="26ABD5CF" w14:textId="77777777" w:rsidR="004D32BF" w:rsidRPr="00CE60B2" w:rsidRDefault="004D32BF" w:rsidP="00C22D5A">
      <w:pPr>
        <w:pStyle w:val="Heading5"/>
        <w:rPr>
          <w:rFonts w:cs="Segoe UI"/>
          <w:lang w:eastAsia="ja-JP"/>
        </w:rPr>
      </w:pPr>
      <w:r w:rsidRPr="00CE60B2">
        <w:rPr>
          <w:rFonts w:cs="Segoe UI"/>
          <w:lang w:eastAsia="ja-JP"/>
        </w:rPr>
        <w:t>Change in the scale and impact of agents affecting ecosystem health and vitality</w:t>
      </w:r>
    </w:p>
    <w:p w14:paraId="26ABD5D0" w14:textId="7BD38EB0" w:rsidR="00EB3B2E" w:rsidRPr="00CE60B2" w:rsidRDefault="00EB3B2E" w:rsidP="00EB3B2E">
      <w:pPr>
        <w:rPr>
          <w:rFonts w:cs="Segoe UI"/>
          <w:lang w:eastAsia="ja-JP"/>
        </w:rPr>
      </w:pPr>
      <w:r w:rsidRPr="00CE60B2">
        <w:rPr>
          <w:rFonts w:cs="Segoe UI"/>
          <w:lang w:eastAsia="ja-JP"/>
        </w:rPr>
        <w:t xml:space="preserve">For areas where consistent, long-term management actions have been applied, the condition of key conservation values under pressure from weeds has generally improved and the area and density of priority weeds have generally decreased. Where priority weeds have been managed to protect key conservation values, the condition of the conservation value has </w:t>
      </w:r>
      <w:r w:rsidR="00A42B5E" w:rsidRPr="00CE60B2">
        <w:rPr>
          <w:rFonts w:cs="Segoe UI"/>
          <w:lang w:eastAsia="ja-JP"/>
        </w:rPr>
        <w:t>improved,</w:t>
      </w:r>
      <w:r w:rsidRPr="00CE60B2">
        <w:rPr>
          <w:rFonts w:cs="Segoe UI"/>
          <w:lang w:eastAsia="ja-JP"/>
        </w:rPr>
        <w:t xml:space="preserve"> and adjacent areas were protected from weeds. In the absence of consistent management actions, the density of weed species has generally increased and condition of key conservation values has declined. New infestations and/or species are being recorded across the FMP area each year.</w:t>
      </w:r>
    </w:p>
    <w:p w14:paraId="26ABD5D1" w14:textId="77777777" w:rsidR="00EB3B2E" w:rsidRPr="00CE60B2" w:rsidRDefault="00EB3B2E" w:rsidP="00EB3B2E">
      <w:pPr>
        <w:rPr>
          <w:rFonts w:cs="Segoe UI"/>
          <w:lang w:eastAsia="ja-JP"/>
        </w:rPr>
      </w:pPr>
      <w:r w:rsidRPr="00CE60B2">
        <w:rPr>
          <w:rFonts w:cs="Segoe UI"/>
          <w:lang w:eastAsia="ja-JP"/>
        </w:rPr>
        <w:t xml:space="preserve">Data from </w:t>
      </w:r>
      <w:r w:rsidRPr="00CE60B2">
        <w:rPr>
          <w:rFonts w:cs="Segoe UI"/>
          <w:i/>
          <w:lang w:eastAsia="ja-JP"/>
        </w:rPr>
        <w:t xml:space="preserve">FORESTCHECK </w:t>
      </w:r>
      <w:r w:rsidRPr="00CE60B2">
        <w:rPr>
          <w:rFonts w:cs="Segoe UI"/>
          <w:lang w:eastAsia="ja-JP"/>
        </w:rPr>
        <w:t>grids located in State forest indicates that weed numbers are generally low and weeds tend to be herbaceous annuals which increase immediately after harvesting and burning then decrease as the native vegetation regenerates. However, within small forest blocks surrounded by agriculture and adjacent to roads weed infestation is observed.</w:t>
      </w:r>
    </w:p>
    <w:p w14:paraId="26ABD5D2" w14:textId="77777777" w:rsidR="00CE4B36" w:rsidRPr="00CE60B2" w:rsidRDefault="00CE4B36" w:rsidP="00C22D5A">
      <w:pPr>
        <w:pStyle w:val="Heading3"/>
        <w:rPr>
          <w:lang w:eastAsia="en-AU"/>
        </w:rPr>
      </w:pPr>
      <w:bookmarkStart w:id="207" w:name="_Toc524952835"/>
      <w:bookmarkStart w:id="208" w:name="_Toc2776080"/>
      <w:r w:rsidRPr="00CE60B2">
        <w:rPr>
          <w:lang w:eastAsia="en-AU"/>
        </w:rPr>
        <w:t>Indicator 5.1a</w:t>
      </w:r>
      <w:r w:rsidRPr="00CE60B2">
        <w:rPr>
          <w:lang w:eastAsia="en-AU"/>
        </w:rPr>
        <w:tab/>
        <w:t>Contribution of forest ecosystems and forest industries to the global greenhouse gas balance</w:t>
      </w:r>
      <w:bookmarkEnd w:id="207"/>
      <w:bookmarkEnd w:id="208"/>
    </w:p>
    <w:p w14:paraId="26ABD5D3" w14:textId="77777777" w:rsidR="000930A9" w:rsidRPr="00CE60B2" w:rsidRDefault="000930A9" w:rsidP="000930A9">
      <w:pPr>
        <w:rPr>
          <w:rFonts w:cs="Segoe UI"/>
        </w:rPr>
      </w:pPr>
      <w:r w:rsidRPr="00CE60B2">
        <w:rPr>
          <w:rFonts w:cs="Segoe UI"/>
        </w:rPr>
        <w:t xml:space="preserve">Forest ecosystems and forest industries </w:t>
      </w:r>
      <w:r w:rsidR="00BD1557" w:rsidRPr="00CE60B2">
        <w:rPr>
          <w:rFonts w:cs="Segoe UI"/>
        </w:rPr>
        <w:t xml:space="preserve">can </w:t>
      </w:r>
      <w:r w:rsidRPr="00CE60B2">
        <w:rPr>
          <w:rFonts w:cs="Segoe UI"/>
        </w:rPr>
        <w:t xml:space="preserve">contribute in a number of positive ways to the global greenhouse balance. When forests are managed sustainably, the harvested wood products (HWPs) </w:t>
      </w:r>
      <w:r w:rsidR="00BD1557" w:rsidRPr="00CE60B2">
        <w:rPr>
          <w:rFonts w:cs="Segoe UI"/>
        </w:rPr>
        <w:t>generated</w:t>
      </w:r>
      <w:r w:rsidRPr="00CE60B2">
        <w:rPr>
          <w:rFonts w:cs="Segoe UI"/>
        </w:rPr>
        <w:t xml:space="preserve"> </w:t>
      </w:r>
      <w:r w:rsidR="00BD1557" w:rsidRPr="00CE60B2">
        <w:rPr>
          <w:rFonts w:cs="Segoe UI"/>
        </w:rPr>
        <w:t xml:space="preserve">can </w:t>
      </w:r>
      <w:r w:rsidRPr="00CE60B2">
        <w:rPr>
          <w:rFonts w:cs="Segoe UI"/>
        </w:rPr>
        <w:t>play a role in the global greenhouse balance, primarily via carbon storage in long-lived products</w:t>
      </w:r>
      <w:r w:rsidR="00BD1557" w:rsidRPr="00CE60B2">
        <w:rPr>
          <w:rFonts w:cs="Segoe UI"/>
        </w:rPr>
        <w:t>, both in use</w:t>
      </w:r>
      <w:r w:rsidRPr="00CE60B2">
        <w:rPr>
          <w:rFonts w:cs="Segoe UI"/>
        </w:rPr>
        <w:t xml:space="preserve"> and in landfills; and by displacing the use of more greenhouse-intensive materials. </w:t>
      </w:r>
    </w:p>
    <w:p w14:paraId="26ABD5D4" w14:textId="77777777" w:rsidR="000930A9" w:rsidRPr="00CE60B2" w:rsidRDefault="000930A9" w:rsidP="000930A9">
      <w:pPr>
        <w:rPr>
          <w:rFonts w:cs="Segoe UI"/>
        </w:rPr>
      </w:pPr>
      <w:r w:rsidRPr="00CE60B2">
        <w:rPr>
          <w:rFonts w:cs="Segoe UI"/>
        </w:rPr>
        <w:t xml:space="preserve">However, these interactions between forest ecosystems and/or forest industries and the global greenhouse balance were not as </w:t>
      </w:r>
      <w:r w:rsidR="00BD1557" w:rsidRPr="00CE60B2">
        <w:rPr>
          <w:rFonts w:cs="Segoe UI"/>
        </w:rPr>
        <w:t>well understood</w:t>
      </w:r>
      <w:r w:rsidRPr="00CE60B2">
        <w:rPr>
          <w:rFonts w:cs="Segoe UI"/>
        </w:rPr>
        <w:t xml:space="preserve"> twenty years ago when the RFA was signed. The original RFA document highlighted a number of areas of research to be targeted to improve knowledge. Since then a number of studies have addressed many of the gaps originally identified, including a strong focus on the life cycle of carbon in HWPs. The majority of the forest-based studies have been conducted in production forests (both native and plantations). </w:t>
      </w:r>
    </w:p>
    <w:p w14:paraId="26ABD5D5" w14:textId="77777777" w:rsidR="000930A9" w:rsidRPr="00CE60B2" w:rsidRDefault="000930A9" w:rsidP="000930A9">
      <w:pPr>
        <w:rPr>
          <w:rFonts w:cs="Segoe UI"/>
        </w:rPr>
      </w:pPr>
      <w:r w:rsidRPr="00CE60B2">
        <w:rPr>
          <w:rFonts w:cs="Segoe UI"/>
        </w:rPr>
        <w:t xml:space="preserve">The estimation of forest biomass and carbon has improved with the development of species-specific and generic allometric relationships for a number of important tree species (e.g. Keith </w:t>
      </w:r>
      <w:r w:rsidRPr="00F054FE">
        <w:rPr>
          <w:rFonts w:cs="Segoe UI"/>
          <w:i/>
        </w:rPr>
        <w:t>et al</w:t>
      </w:r>
      <w:r w:rsidR="0032550C">
        <w:rPr>
          <w:rFonts w:cs="Segoe UI"/>
          <w:i/>
        </w:rPr>
        <w:t>.</w:t>
      </w:r>
      <w:r w:rsidRPr="00CE60B2">
        <w:rPr>
          <w:rFonts w:cs="Segoe UI"/>
        </w:rPr>
        <w:t xml:space="preserve"> 2000; Paul </w:t>
      </w:r>
      <w:r w:rsidRPr="00F054FE">
        <w:rPr>
          <w:rFonts w:cs="Segoe UI"/>
          <w:i/>
        </w:rPr>
        <w:t>et al</w:t>
      </w:r>
      <w:r w:rsidR="0032550C">
        <w:rPr>
          <w:rFonts w:cs="Segoe UI"/>
          <w:i/>
        </w:rPr>
        <w:t>.</w:t>
      </w:r>
      <w:r w:rsidRPr="00CE60B2">
        <w:rPr>
          <w:rFonts w:cs="Segoe UI"/>
        </w:rPr>
        <w:t xml:space="preserve"> 2013, 2014 and 2016; Montagu </w:t>
      </w:r>
      <w:r w:rsidRPr="00F054FE">
        <w:rPr>
          <w:rFonts w:cs="Segoe UI"/>
          <w:i/>
        </w:rPr>
        <w:t>et al</w:t>
      </w:r>
      <w:r w:rsidR="0032550C">
        <w:rPr>
          <w:rFonts w:cs="Segoe UI"/>
          <w:i/>
        </w:rPr>
        <w:t>.</w:t>
      </w:r>
      <w:r w:rsidRPr="00CE60B2">
        <w:rPr>
          <w:rFonts w:cs="Segoe UI"/>
        </w:rPr>
        <w:t xml:space="preserve"> 2005; Ximenes </w:t>
      </w:r>
      <w:r w:rsidRPr="00F054FE">
        <w:rPr>
          <w:rFonts w:cs="Segoe UI"/>
          <w:i/>
        </w:rPr>
        <w:t>et al</w:t>
      </w:r>
      <w:r w:rsidR="0032550C">
        <w:rPr>
          <w:rFonts w:cs="Segoe UI"/>
          <w:i/>
        </w:rPr>
        <w:t>.</w:t>
      </w:r>
      <w:r w:rsidRPr="00CE60B2">
        <w:rPr>
          <w:rFonts w:cs="Segoe UI"/>
        </w:rPr>
        <w:t xml:space="preserve"> 2005, 2005b, 2008, 2018). </w:t>
      </w:r>
      <w:r w:rsidR="00BD1557" w:rsidRPr="00CE60B2">
        <w:rPr>
          <w:rFonts w:cs="Segoe UI"/>
        </w:rPr>
        <w:t xml:space="preserve">Modelling of the carbon dynamics of forest and agricultural land ecosystems, for example the advanced Full Carbon Accounting Model (FullCAM) used to prepare land-based estimates of human induced greenhouse gas emissions (e.g. </w:t>
      </w:r>
      <w:r w:rsidR="00732DB6" w:rsidRPr="00CE60B2">
        <w:rPr>
          <w:rFonts w:cs="Segoe UI"/>
          <w:lang w:eastAsia="ja-JP"/>
        </w:rPr>
        <w:t xml:space="preserve">Australian Department </w:t>
      </w:r>
      <w:r w:rsidR="00732DB6" w:rsidRPr="00CE60B2">
        <w:rPr>
          <w:rFonts w:cs="Segoe UI"/>
        </w:rPr>
        <w:t>of Environment and Energy</w:t>
      </w:r>
      <w:r w:rsidR="00BD1557" w:rsidRPr="00CE60B2">
        <w:rPr>
          <w:rFonts w:cs="Segoe UI"/>
        </w:rPr>
        <w:t xml:space="preserve"> 2018), has progressed substantially and ongoing enhancements are informed by the latest empirical scientific research (e.g. Paul and Roxburgh 2017; Roxburgh </w:t>
      </w:r>
      <w:r w:rsidR="00BD1557" w:rsidRPr="00B200FC">
        <w:rPr>
          <w:rFonts w:cs="Segoe UI"/>
          <w:i/>
        </w:rPr>
        <w:t>et al</w:t>
      </w:r>
      <w:r w:rsidR="00EA46ED">
        <w:rPr>
          <w:rFonts w:cs="Segoe UI"/>
          <w:i/>
        </w:rPr>
        <w:t>.</w:t>
      </w:r>
      <w:r w:rsidR="00BD1557" w:rsidRPr="00CE60B2">
        <w:rPr>
          <w:rFonts w:cs="Segoe UI"/>
        </w:rPr>
        <w:t xml:space="preserve"> 2017).  </w:t>
      </w:r>
      <w:r w:rsidRPr="00CE60B2">
        <w:rPr>
          <w:rFonts w:cs="Segoe UI"/>
        </w:rPr>
        <w:t xml:space="preserve">There is a better understanding also of the longevity of biomass in root systems following tree harvest (Ximenes </w:t>
      </w:r>
      <w:r w:rsidRPr="00B550EC">
        <w:rPr>
          <w:rFonts w:cs="Segoe UI"/>
          <w:i/>
        </w:rPr>
        <w:t>et al</w:t>
      </w:r>
      <w:r w:rsidR="00B550EC">
        <w:rPr>
          <w:rFonts w:cs="Segoe UI"/>
          <w:i/>
        </w:rPr>
        <w:t>.</w:t>
      </w:r>
      <w:r w:rsidRPr="00CE60B2">
        <w:rPr>
          <w:rFonts w:cs="Segoe UI"/>
        </w:rPr>
        <w:t xml:space="preserve"> 2006). Carbon dynamics in forest ecosystems are affected by the impacts of climate change. These may include more frequent and more </w:t>
      </w:r>
      <w:r w:rsidRPr="00CE60B2">
        <w:rPr>
          <w:rFonts w:cs="Segoe UI"/>
        </w:rPr>
        <w:lastRenderedPageBreak/>
        <w:t xml:space="preserve">severe </w:t>
      </w:r>
      <w:r w:rsidR="00BD1557" w:rsidRPr="00CE60B2">
        <w:rPr>
          <w:rFonts w:cs="Segoe UI"/>
        </w:rPr>
        <w:t>droughts and</w:t>
      </w:r>
      <w:r w:rsidRPr="00CE60B2">
        <w:rPr>
          <w:rFonts w:cs="Segoe UI"/>
        </w:rPr>
        <w:t xml:space="preserve"> bushfires, increased incidence of pests and diseases and also changes in growth dynamics due to increased CO</w:t>
      </w:r>
      <w:r w:rsidRPr="00CE60B2">
        <w:rPr>
          <w:rFonts w:cs="Segoe UI"/>
          <w:vertAlign w:val="subscript"/>
        </w:rPr>
        <w:t>2</w:t>
      </w:r>
      <w:r w:rsidRPr="00CE60B2">
        <w:rPr>
          <w:rFonts w:cs="Segoe UI"/>
        </w:rPr>
        <w:t xml:space="preserve"> levels in the atmosphere. The impact of natural disturbances such as bushfires to the greenhouse bal</w:t>
      </w:r>
      <w:r w:rsidR="00C07CE0" w:rsidRPr="00CE60B2">
        <w:rPr>
          <w:rFonts w:cs="Segoe UI"/>
        </w:rPr>
        <w:t>ance of forest ecosystems in WA</w:t>
      </w:r>
      <w:r w:rsidRPr="00CE60B2">
        <w:rPr>
          <w:rFonts w:cs="Segoe UI"/>
        </w:rPr>
        <w:t xml:space="preserve"> may lead to large emission pulses for a particular year. However</w:t>
      </w:r>
      <w:r w:rsidR="000E7F10">
        <w:rPr>
          <w:rFonts w:cs="Segoe UI"/>
        </w:rPr>
        <w:t>,</w:t>
      </w:r>
      <w:r w:rsidRPr="00CE60B2">
        <w:rPr>
          <w:rFonts w:cs="Segoe UI"/>
        </w:rPr>
        <w:t xml:space="preserve"> these emissions are typically offset over time by the carbon sequestered when the burnt forests regrow. </w:t>
      </w:r>
    </w:p>
    <w:p w14:paraId="26ABD5D6" w14:textId="77777777" w:rsidR="00AD3CAD" w:rsidRPr="00CE60B2" w:rsidRDefault="00AD3CAD" w:rsidP="00AD3CAD">
      <w:pPr>
        <w:rPr>
          <w:rFonts w:cs="Segoe UI"/>
        </w:rPr>
      </w:pPr>
      <w:r w:rsidRPr="00CE60B2">
        <w:rPr>
          <w:rFonts w:cs="Segoe UI"/>
        </w:rPr>
        <w:t xml:space="preserve">The </w:t>
      </w:r>
      <w:r w:rsidR="003A6CD6" w:rsidRPr="009711AA">
        <w:rPr>
          <w:rFonts w:cs="Segoe UI"/>
        </w:rPr>
        <w:t>FMP </w:t>
      </w:r>
      <w:r w:rsidRPr="009711AA">
        <w:rPr>
          <w:rFonts w:cs="Segoe UI"/>
        </w:rPr>
        <w:t>2014-2023</w:t>
      </w:r>
      <w:r w:rsidRPr="00CE60B2">
        <w:rPr>
          <w:rFonts w:cs="Segoe UI"/>
        </w:rPr>
        <w:t xml:space="preserve"> states ‘that at the whole of forest scale, the quantity of carbon stored in live trees in the forests would inc</w:t>
      </w:r>
      <w:r w:rsidR="00202A26">
        <w:rPr>
          <w:rFonts w:cs="Segoe UI"/>
        </w:rPr>
        <w:t>rease by between three and five </w:t>
      </w:r>
      <w:r w:rsidRPr="00CE60B2">
        <w:rPr>
          <w:rFonts w:cs="Segoe UI"/>
        </w:rPr>
        <w:t>per</w:t>
      </w:r>
      <w:r w:rsidR="00202A26">
        <w:rPr>
          <w:rFonts w:cs="Segoe UI"/>
        </w:rPr>
        <w:t> cent during the plan’s 10</w:t>
      </w:r>
      <w:r w:rsidR="00202A26">
        <w:rPr>
          <w:rFonts w:cs="Segoe UI"/>
        </w:rPr>
        <w:noBreakHyphen/>
      </w:r>
      <w:r w:rsidRPr="00CE60B2">
        <w:rPr>
          <w:rFonts w:cs="Segoe UI"/>
        </w:rPr>
        <w:t>year period’. Considering the sustained yield figure of this plan, and the large areas of the forest set aside in reserves and relatively small area available for timber harvesting, it is believed that the carbon stock at a whole of forest level will be comparatively stable. Whilst these statements were based on analyses with noted limitations, management activities proposed through the plan seek to minimise unnecessary emissions and maximise biosequestration wherever possible.</w:t>
      </w:r>
    </w:p>
    <w:p w14:paraId="26ABD5D7" w14:textId="77777777" w:rsidR="000509D3" w:rsidRPr="001D4597" w:rsidRDefault="000930A9" w:rsidP="000930A9">
      <w:pPr>
        <w:rPr>
          <w:rFonts w:cs="Segoe UI"/>
        </w:rPr>
      </w:pPr>
      <w:r w:rsidRPr="00CE60B2">
        <w:rPr>
          <w:rFonts w:cs="Segoe UI"/>
        </w:rPr>
        <w:t xml:space="preserve">Plantations </w:t>
      </w:r>
      <w:r w:rsidR="00BD1557" w:rsidRPr="00CE60B2">
        <w:rPr>
          <w:rFonts w:cs="Segoe UI"/>
        </w:rPr>
        <w:t>can</w:t>
      </w:r>
      <w:r w:rsidRPr="00CE60B2">
        <w:rPr>
          <w:rFonts w:cs="Segoe UI"/>
        </w:rPr>
        <w:t xml:space="preserve"> also contribute significantly to the global greenhouse balance via additional carbon sequestration, especially if planted in previously cleared lands. Currently the national </w:t>
      </w:r>
      <w:r w:rsidR="0001141B">
        <w:rPr>
          <w:rFonts w:cs="Segoe UI"/>
        </w:rPr>
        <w:t>ERF</w:t>
      </w:r>
      <w:r w:rsidRPr="00CE60B2">
        <w:rPr>
          <w:rFonts w:cs="Segoe UI"/>
        </w:rPr>
        <w:t xml:space="preserve"> presents an opportunity for plantations to obtain credits for carbon abatement</w:t>
      </w:r>
      <w:r w:rsidR="00BD1557" w:rsidRPr="00CE60B2">
        <w:rPr>
          <w:rFonts w:cs="Segoe UI"/>
        </w:rPr>
        <w:t>.</w:t>
      </w:r>
      <w:r w:rsidRPr="00CE60B2">
        <w:rPr>
          <w:rFonts w:cs="Segoe UI"/>
        </w:rPr>
        <w:t xml:space="preserve"> </w:t>
      </w:r>
      <w:r w:rsidR="00BD1557" w:rsidRPr="001D4597">
        <w:rPr>
          <w:rFonts w:cs="Segoe UI"/>
        </w:rPr>
        <w:t>Projects can generate carbon credits by establishing plantations on non-forest land or by converting existing short-rotation plantations to long rotations.</w:t>
      </w:r>
    </w:p>
    <w:p w14:paraId="26ABD5D8" w14:textId="77777777" w:rsidR="00CE4B36" w:rsidRDefault="00CE4B36" w:rsidP="00C22D5A">
      <w:pPr>
        <w:pStyle w:val="Heading3"/>
        <w:rPr>
          <w:lang w:eastAsia="en-AU"/>
        </w:rPr>
      </w:pPr>
      <w:bookmarkStart w:id="209" w:name="_Toc524952836"/>
      <w:bookmarkStart w:id="210" w:name="_Toc2776081"/>
      <w:r w:rsidRPr="00CE60B2">
        <w:rPr>
          <w:lang w:eastAsia="en-AU"/>
        </w:rPr>
        <w:t>Summary of future management of the Principles of Ecologically Sustainable Forest Management</w:t>
      </w:r>
      <w:bookmarkEnd w:id="209"/>
      <w:bookmarkEnd w:id="210"/>
    </w:p>
    <w:p w14:paraId="26ABD5D9" w14:textId="77777777" w:rsidR="008A4C96" w:rsidRDefault="008A4C96" w:rsidP="008A4C96">
      <w:pPr>
        <w:rPr>
          <w:rFonts w:cs="Segoe UI"/>
        </w:rPr>
      </w:pPr>
      <w:r>
        <w:rPr>
          <w:rFonts w:cs="Segoe UI"/>
        </w:rPr>
        <w:t xml:space="preserve">This report has provided an updated assessment of the principles of ecologically sustainable management and use of forests in the WA RFA region, not only in this chapter but also by reporting in the other chapters on the </w:t>
      </w:r>
      <w:r w:rsidRPr="00CE60B2">
        <w:rPr>
          <w:rFonts w:cs="Segoe UI"/>
        </w:rPr>
        <w:t>Montréal Indicators</w:t>
      </w:r>
      <w:r>
        <w:rPr>
          <w:rFonts w:cs="Segoe UI"/>
        </w:rPr>
        <w:t>.</w:t>
      </w:r>
    </w:p>
    <w:p w14:paraId="26ABD5DA" w14:textId="77777777" w:rsidR="007E358F" w:rsidRPr="00526F7C" w:rsidRDefault="007E358F" w:rsidP="007E358F">
      <w:pPr>
        <w:rPr>
          <w:rFonts w:cs="Segoe UI"/>
        </w:rPr>
      </w:pPr>
      <w:r w:rsidRPr="00526F7C">
        <w:rPr>
          <w:rFonts w:cs="Segoe UI"/>
        </w:rPr>
        <w:t>The WA</w:t>
      </w:r>
      <w:r w:rsidR="00635AD9">
        <w:rPr>
          <w:rFonts w:cs="Segoe UI"/>
        </w:rPr>
        <w:t> </w:t>
      </w:r>
      <w:r w:rsidRPr="00526F7C">
        <w:rPr>
          <w:rFonts w:cs="Segoe UI"/>
        </w:rPr>
        <w:t xml:space="preserve">RFA is underpinned by comprehensive legislative and institutional frameworks governing the ecologically sustainable management of the South West forests. </w:t>
      </w:r>
      <w:r w:rsidR="00CE7E81">
        <w:rPr>
          <w:rFonts w:cs="Segoe UI"/>
        </w:rPr>
        <w:t>The Independent Reviewer for the third five</w:t>
      </w:r>
      <w:r w:rsidR="00CE7E81">
        <w:rPr>
          <w:rFonts w:cs="Segoe UI"/>
        </w:rPr>
        <w:noBreakHyphen/>
        <w:t xml:space="preserve">yearly review of the WA RFA found that </w:t>
      </w:r>
      <w:r w:rsidR="00CE7E81" w:rsidRPr="00377CD2">
        <w:rPr>
          <w:rFonts w:cs="Segoe UI"/>
        </w:rPr>
        <w:t>WA has a very comprehensive system in place to monitor forestry operations</w:t>
      </w:r>
      <w:r w:rsidR="00CE7E81">
        <w:rPr>
          <w:rFonts w:cs="Segoe UI"/>
        </w:rPr>
        <w:t>.</w:t>
      </w:r>
    </w:p>
    <w:p w14:paraId="26ABD5DB" w14:textId="77777777" w:rsidR="007E358F" w:rsidRPr="00526F7C" w:rsidRDefault="007E358F" w:rsidP="007E358F">
      <w:pPr>
        <w:rPr>
          <w:rFonts w:cs="Segoe UI"/>
        </w:rPr>
      </w:pPr>
      <w:r w:rsidRPr="00526F7C">
        <w:rPr>
          <w:rFonts w:cs="Segoe UI"/>
        </w:rPr>
        <w:t xml:space="preserve">These frameworks are </w:t>
      </w:r>
      <w:r>
        <w:rPr>
          <w:rFonts w:cs="Segoe UI"/>
        </w:rPr>
        <w:t xml:space="preserve">continually </w:t>
      </w:r>
      <w:r w:rsidRPr="00526F7C">
        <w:rPr>
          <w:rFonts w:cs="Segoe UI"/>
        </w:rPr>
        <w:t>adapting and improving</w:t>
      </w:r>
      <w:r>
        <w:rPr>
          <w:rFonts w:cs="Segoe UI"/>
        </w:rPr>
        <w:t xml:space="preserve"> through new legislation, regulations and reviews of plans and the </w:t>
      </w:r>
      <w:r w:rsidR="00CE7E81">
        <w:rPr>
          <w:rFonts w:cs="Segoe UI"/>
        </w:rPr>
        <w:t xml:space="preserve">WA </w:t>
      </w:r>
      <w:r>
        <w:rPr>
          <w:rFonts w:cs="Segoe UI"/>
        </w:rPr>
        <w:t>RFA. This is demonstrated by</w:t>
      </w:r>
      <w:r w:rsidRPr="00526F7C">
        <w:rPr>
          <w:rFonts w:cs="Segoe UI"/>
        </w:rPr>
        <w:t xml:space="preserve"> the BC Act set to come into force from 1 January 2019. The BC</w:t>
      </w:r>
      <w:r w:rsidR="00635AD9">
        <w:rPr>
          <w:rFonts w:cs="Segoe UI"/>
        </w:rPr>
        <w:t> </w:t>
      </w:r>
      <w:r w:rsidRPr="00526F7C">
        <w:rPr>
          <w:rFonts w:cs="Segoe UI"/>
        </w:rPr>
        <w:t xml:space="preserve">Act is a modern and effective approach to biodiversity conservation and the ecologically sustainable use of biodiversity. </w:t>
      </w:r>
    </w:p>
    <w:p w14:paraId="26ABD5DC" w14:textId="7A8B982F" w:rsidR="007E358F" w:rsidRPr="00526F7C" w:rsidRDefault="007E358F" w:rsidP="007E358F">
      <w:pPr>
        <w:rPr>
          <w:rFonts w:cs="Segoe UI"/>
        </w:rPr>
      </w:pPr>
      <w:r w:rsidRPr="00526F7C">
        <w:rPr>
          <w:rFonts w:cs="Segoe UI"/>
        </w:rPr>
        <w:t>The WA</w:t>
      </w:r>
      <w:r w:rsidR="004D4B13">
        <w:rPr>
          <w:rFonts w:cs="Segoe UI"/>
        </w:rPr>
        <w:t> </w:t>
      </w:r>
      <w:r w:rsidR="003A6CD6">
        <w:rPr>
          <w:rFonts w:cs="Segoe UI"/>
        </w:rPr>
        <w:t>FMP</w:t>
      </w:r>
      <w:r w:rsidRPr="00526F7C">
        <w:rPr>
          <w:rFonts w:cs="Segoe UI"/>
        </w:rPr>
        <w:t>s, produced in accordance with the CALM</w:t>
      </w:r>
      <w:r w:rsidR="00635AD9">
        <w:rPr>
          <w:rFonts w:cs="Segoe UI"/>
        </w:rPr>
        <w:t> </w:t>
      </w:r>
      <w:r w:rsidRPr="00526F7C">
        <w:rPr>
          <w:rFonts w:cs="Segoe UI"/>
        </w:rPr>
        <w:t>Act, are based on the principles of ESFM, and sets goals and proposed operations in line with the principles of ESFM. The</w:t>
      </w:r>
      <w:r w:rsidR="00A42B5E">
        <w:rPr>
          <w:rFonts w:cs="Segoe UI"/>
        </w:rPr>
        <w:br/>
      </w:r>
      <w:r w:rsidR="00A42B5E" w:rsidRPr="00526F7C">
        <w:rPr>
          <w:rFonts w:cs="Segoe UI"/>
        </w:rPr>
        <w:t>ten-year</w:t>
      </w:r>
      <w:r w:rsidRPr="00526F7C">
        <w:rPr>
          <w:rFonts w:cs="Segoe UI"/>
        </w:rPr>
        <w:t xml:space="preserve"> WA</w:t>
      </w:r>
      <w:r w:rsidR="003A6CD6">
        <w:rPr>
          <w:rFonts w:cs="Segoe UI"/>
        </w:rPr>
        <w:t> FMP</w:t>
      </w:r>
      <w:r w:rsidRPr="00526F7C">
        <w:rPr>
          <w:rFonts w:cs="Segoe UI"/>
        </w:rPr>
        <w:t xml:space="preserve">s are reviewed every five years, and are developed in consultation with the community. The </w:t>
      </w:r>
      <w:r w:rsidR="003A6CD6">
        <w:rPr>
          <w:rFonts w:cs="Segoe UI"/>
        </w:rPr>
        <w:t>FMP</w:t>
      </w:r>
      <w:r w:rsidRPr="00526F7C">
        <w:rPr>
          <w:rFonts w:cs="Segoe UI"/>
        </w:rPr>
        <w:t>s incorporate scientific information to improve forest management, such as an expert panel review of silvicultural prescriptions and sustain</w:t>
      </w:r>
      <w:r w:rsidR="006C4F37">
        <w:rPr>
          <w:rFonts w:cs="Segoe UI"/>
        </w:rPr>
        <w:t>ed</w:t>
      </w:r>
      <w:r w:rsidRPr="00526F7C">
        <w:rPr>
          <w:rFonts w:cs="Segoe UI"/>
        </w:rPr>
        <w:t xml:space="preserve"> yield calculations. </w:t>
      </w:r>
      <w:r w:rsidR="009530FD">
        <w:rPr>
          <w:rFonts w:cs="Segoe UI"/>
        </w:rPr>
        <w:t>Forest management on pri</w:t>
      </w:r>
      <w:r w:rsidR="00202A26">
        <w:rPr>
          <w:rFonts w:cs="Segoe UI"/>
        </w:rPr>
        <w:t>vate land is governed by the EP </w:t>
      </w:r>
      <w:r w:rsidR="009530FD">
        <w:rPr>
          <w:rFonts w:cs="Segoe UI"/>
        </w:rPr>
        <w:t>Act and a range of guidelines, and licences issued by DBCA are required for the sale of products from private land. This ensures that forest operations on private land are also based on</w:t>
      </w:r>
      <w:r w:rsidR="00255BF1">
        <w:rPr>
          <w:rFonts w:cs="Segoe UI"/>
        </w:rPr>
        <w:t xml:space="preserve"> </w:t>
      </w:r>
      <w:r w:rsidR="009530FD">
        <w:rPr>
          <w:rFonts w:cs="Segoe UI"/>
        </w:rPr>
        <w:t>th</w:t>
      </w:r>
      <w:r w:rsidR="00255BF1">
        <w:rPr>
          <w:rFonts w:cs="Segoe UI"/>
        </w:rPr>
        <w:t>e</w:t>
      </w:r>
      <w:r w:rsidR="009530FD">
        <w:rPr>
          <w:rFonts w:cs="Segoe UI"/>
        </w:rPr>
        <w:t xml:space="preserve"> principles of ESFM.</w:t>
      </w:r>
    </w:p>
    <w:p w14:paraId="26ABD5DD" w14:textId="77777777" w:rsidR="00CE7E81" w:rsidRDefault="00CE7E81" w:rsidP="00CE7E81">
      <w:r w:rsidRPr="00F20235">
        <w:rPr>
          <w:rFonts w:cs="Segoe UI"/>
        </w:rPr>
        <w:t>The WA FMS is the State’s suite of legislation, policies, codes of practice, plans and management processes for forest management. It is designed to achieve ESFM across both public and private land tenures within the State’s south-west.</w:t>
      </w:r>
      <w:r>
        <w:rPr>
          <w:rFonts w:cs="Segoe UI"/>
        </w:rPr>
        <w:t xml:space="preserve"> </w:t>
      </w:r>
      <w:r w:rsidRPr="00D860D2">
        <w:t xml:space="preserve">The </w:t>
      </w:r>
      <w:r>
        <w:t>WA FM</w:t>
      </w:r>
      <w:r w:rsidR="001C6934">
        <w:t>S</w:t>
      </w:r>
      <w:r w:rsidRPr="00D860D2">
        <w:t xml:space="preserve"> incorporates adaptive management and continuous improvement processes to respond to evolving </w:t>
      </w:r>
      <w:r w:rsidRPr="00D860D2">
        <w:lastRenderedPageBreak/>
        <w:t xml:space="preserve">environmental, social and economic factors. Research findings, feedback from monitoring, compliance, certification and enforcement </w:t>
      </w:r>
      <w:r>
        <w:t>systems, and stakeholder engagement are used to inform periodic review processes</w:t>
      </w:r>
      <w:r w:rsidRPr="00996406">
        <w:t>.</w:t>
      </w:r>
    </w:p>
    <w:p w14:paraId="26ABD5DE" w14:textId="77777777" w:rsidR="00CE7E81" w:rsidRPr="00CE7E81" w:rsidRDefault="00CE7E81" w:rsidP="007E358F">
      <w:r w:rsidRPr="00644440">
        <w:t xml:space="preserve">The </w:t>
      </w:r>
      <w:r>
        <w:t>WA RFA</w:t>
      </w:r>
      <w:r w:rsidRPr="00644440">
        <w:t xml:space="preserve"> implement</w:t>
      </w:r>
      <w:r>
        <w:t>s</w:t>
      </w:r>
      <w:r w:rsidRPr="00644440">
        <w:t xml:space="preserve"> an extensive CAR reserve system for the conservation of forest and non-forest vegetation</w:t>
      </w:r>
      <w:r>
        <w:t xml:space="preserve"> communities in perpetuity. The WA RFA</w:t>
      </w:r>
      <w:r w:rsidRPr="00644440">
        <w:t xml:space="preserve"> </w:t>
      </w:r>
      <w:r w:rsidRPr="00DB0466">
        <w:t>also</w:t>
      </w:r>
      <w:r w:rsidR="00DB0466" w:rsidRPr="00DB0466">
        <w:t xml:space="preserve"> provides for ESFM on the public and private forest estate </w:t>
      </w:r>
      <w:r w:rsidRPr="00644440">
        <w:t>to provide for wood and non-wood products for industry development, as well as ecosystem services and other societal benefits.</w:t>
      </w:r>
    </w:p>
    <w:p w14:paraId="26ABD5DF" w14:textId="77777777" w:rsidR="007E358F" w:rsidRPr="00526F7C" w:rsidRDefault="007E358F" w:rsidP="007E358F">
      <w:pPr>
        <w:rPr>
          <w:rFonts w:cs="Segoe UI"/>
        </w:rPr>
      </w:pPr>
      <w:r w:rsidRPr="00526F7C">
        <w:rPr>
          <w:rFonts w:cs="Segoe UI"/>
        </w:rPr>
        <w:t>Research and development capacity in forestry has reduced over the past few decades across Australia, as indicated by the number of staff involved in forestry research (</w:t>
      </w:r>
      <w:r>
        <w:rPr>
          <w:rFonts w:cs="Segoe UI"/>
        </w:rPr>
        <w:t>ABARES</w:t>
      </w:r>
      <w:r w:rsidRPr="00526F7C">
        <w:rPr>
          <w:rFonts w:cs="Segoe UI"/>
        </w:rPr>
        <w:t>, 2013 and Turner and Lambert, 2016). The Australian Government continues to fund forestry research through contr</w:t>
      </w:r>
      <w:r>
        <w:rPr>
          <w:rFonts w:cs="Segoe UI"/>
        </w:rPr>
        <w:t xml:space="preserve">ibutions to the </w:t>
      </w:r>
      <w:r w:rsidR="00635AD9">
        <w:rPr>
          <w:rFonts w:cs="Segoe UI"/>
        </w:rPr>
        <w:t>FWPA</w:t>
      </w:r>
      <w:r w:rsidR="005028A1">
        <w:rPr>
          <w:rFonts w:cs="Segoe UI"/>
        </w:rPr>
        <w:t xml:space="preserve"> and the National Institute for</w:t>
      </w:r>
      <w:r w:rsidRPr="00526F7C">
        <w:rPr>
          <w:rFonts w:cs="Segoe UI"/>
        </w:rPr>
        <w:t xml:space="preserve"> Forest Products</w:t>
      </w:r>
      <w:r w:rsidR="00DB0466">
        <w:rPr>
          <w:rFonts w:cs="Segoe UI"/>
        </w:rPr>
        <w:t xml:space="preserve"> Innovation</w:t>
      </w:r>
      <w:r w:rsidR="000710BB">
        <w:rPr>
          <w:rFonts w:cs="Segoe UI"/>
        </w:rPr>
        <w:t xml:space="preserve"> (NIFPI).</w:t>
      </w:r>
    </w:p>
    <w:p w14:paraId="26ABD5E0" w14:textId="77777777" w:rsidR="007E358F" w:rsidRPr="00526F7C" w:rsidRDefault="007E358F" w:rsidP="007E358F">
      <w:pPr>
        <w:rPr>
          <w:rFonts w:cs="Segoe UI"/>
        </w:rPr>
      </w:pPr>
      <w:r w:rsidRPr="00526F7C">
        <w:rPr>
          <w:rFonts w:cs="Segoe UI"/>
        </w:rPr>
        <w:t>The WA</w:t>
      </w:r>
      <w:r w:rsidR="00DD22AA">
        <w:rPr>
          <w:rFonts w:cs="Segoe UI"/>
        </w:rPr>
        <w:t> </w:t>
      </w:r>
      <w:r w:rsidRPr="00526F7C">
        <w:rPr>
          <w:rFonts w:cs="Segoe UI"/>
        </w:rPr>
        <w:t xml:space="preserve">FMS includes research and monitoring of forest ecosystem health and vitality, which has </w:t>
      </w:r>
      <w:r w:rsidR="00ED0CE7" w:rsidRPr="00526F7C">
        <w:rPr>
          <w:rFonts w:cs="Segoe UI"/>
        </w:rPr>
        <w:t>led</w:t>
      </w:r>
      <w:r w:rsidRPr="00526F7C">
        <w:rPr>
          <w:rFonts w:cs="Segoe UI"/>
        </w:rPr>
        <w:t xml:space="preserve"> to, and will continue to lead to, adaptive improvements in the management of the WA</w:t>
      </w:r>
      <w:r w:rsidR="00DD22AA">
        <w:rPr>
          <w:rFonts w:cs="Segoe UI"/>
        </w:rPr>
        <w:t> </w:t>
      </w:r>
      <w:r w:rsidRPr="00526F7C">
        <w:rPr>
          <w:rFonts w:cs="Segoe UI"/>
        </w:rPr>
        <w:t xml:space="preserve">RFA regions forests. Examples of research and monitoring that has </w:t>
      </w:r>
      <w:r w:rsidR="00ED0CE7" w:rsidRPr="00526F7C">
        <w:rPr>
          <w:rFonts w:cs="Segoe UI"/>
        </w:rPr>
        <w:t>led</w:t>
      </w:r>
      <w:r w:rsidRPr="00526F7C">
        <w:rPr>
          <w:rFonts w:cs="Segoe UI"/>
        </w:rPr>
        <w:t xml:space="preserve"> to forest management improvements include:</w:t>
      </w:r>
    </w:p>
    <w:p w14:paraId="26ABD5E1" w14:textId="16178DF6" w:rsidR="007E358F" w:rsidRDefault="007E358F" w:rsidP="00C903EE">
      <w:pPr>
        <w:pStyle w:val="ListParagraph"/>
        <w:numPr>
          <w:ilvl w:val="1"/>
          <w:numId w:val="47"/>
        </w:numPr>
        <w:ind w:left="567"/>
        <w:rPr>
          <w:rFonts w:cs="Segoe UI"/>
        </w:rPr>
      </w:pPr>
      <w:r>
        <w:rPr>
          <w:rFonts w:cs="Segoe UI"/>
        </w:rPr>
        <w:t>The Western Shield program expansion from fox baiting to both fox and feral cat baiting to improve the recovery of native mammal populations from predation by introduced pest animals</w:t>
      </w:r>
      <w:r w:rsidR="00D26B91">
        <w:rPr>
          <w:rFonts w:cs="Segoe UI"/>
        </w:rPr>
        <w:t>.</w:t>
      </w:r>
    </w:p>
    <w:p w14:paraId="26ABD5E2" w14:textId="77777777" w:rsidR="007E358F" w:rsidRDefault="007E358F" w:rsidP="00C903EE">
      <w:pPr>
        <w:pStyle w:val="ListParagraph"/>
        <w:numPr>
          <w:ilvl w:val="1"/>
          <w:numId w:val="47"/>
        </w:numPr>
        <w:ind w:left="567"/>
        <w:rPr>
          <w:rFonts w:cs="Segoe UI"/>
        </w:rPr>
      </w:pPr>
      <w:r>
        <w:rPr>
          <w:rFonts w:cs="Segoe UI"/>
        </w:rPr>
        <w:t>Collaborative research with the Bushfire</w:t>
      </w:r>
      <w:r w:rsidR="00DD22AA">
        <w:rPr>
          <w:rFonts w:cs="Segoe UI"/>
        </w:rPr>
        <w:t> </w:t>
      </w:r>
      <w:r>
        <w:rPr>
          <w:rFonts w:cs="Segoe UI"/>
        </w:rPr>
        <w:t>CRC to inform the management of fire interval regimes for biodiversity conservation.</w:t>
      </w:r>
    </w:p>
    <w:p w14:paraId="26ABD5E3" w14:textId="77777777" w:rsidR="007E358F" w:rsidRPr="00526F7C" w:rsidRDefault="007E358F" w:rsidP="007E358F">
      <w:pPr>
        <w:rPr>
          <w:rFonts w:cs="Segoe UI"/>
        </w:rPr>
      </w:pPr>
      <w:r w:rsidRPr="00526F7C">
        <w:rPr>
          <w:rFonts w:cs="Segoe UI"/>
        </w:rPr>
        <w:t xml:space="preserve">The WA RFA also has led to improved monitoring and research through the establishment of </w:t>
      </w:r>
      <w:r w:rsidRPr="00526F7C">
        <w:rPr>
          <w:rFonts w:cs="Segoe UI"/>
          <w:i/>
        </w:rPr>
        <w:t>FORESTCHECK</w:t>
      </w:r>
      <w:r w:rsidRPr="00526F7C">
        <w:rPr>
          <w:rFonts w:cs="Segoe UI"/>
        </w:rPr>
        <w:t xml:space="preserve">. Begun in 2002, </w:t>
      </w:r>
      <w:r w:rsidRPr="00526F7C">
        <w:rPr>
          <w:rFonts w:cs="Segoe UI"/>
          <w:i/>
        </w:rPr>
        <w:t xml:space="preserve">FORESTCHECK </w:t>
      </w:r>
      <w:r w:rsidRPr="00526F7C">
        <w:rPr>
          <w:rFonts w:cs="Segoe UI"/>
        </w:rPr>
        <w:t>is an integrated monitoring project</w:t>
      </w:r>
      <w:r w:rsidRPr="00C82862">
        <w:rPr>
          <w:rFonts w:cs="Segoe UI"/>
        </w:rPr>
        <w:t>, designed to provide information to forest managers about changes and trends in biodiversity associated with forest activities in Jarrah forests</w:t>
      </w:r>
      <w:r w:rsidR="005F48AA">
        <w:rPr>
          <w:rFonts w:cs="Segoe UI"/>
        </w:rPr>
        <w:t xml:space="preserve"> (Department of Biodiversity, Conservation and Attractions, 2014)</w:t>
      </w:r>
      <w:r w:rsidRPr="00C82862">
        <w:rPr>
          <w:rFonts w:cs="Segoe UI"/>
        </w:rPr>
        <w:t xml:space="preserve">. </w:t>
      </w:r>
    </w:p>
    <w:p w14:paraId="26ABD5E4" w14:textId="77777777" w:rsidR="007E358F" w:rsidRPr="00C82862" w:rsidRDefault="007E358F" w:rsidP="007E358F">
      <w:pPr>
        <w:rPr>
          <w:rFonts w:cs="Segoe UI"/>
        </w:rPr>
      </w:pPr>
      <w:r w:rsidRPr="00526F7C">
        <w:rPr>
          <w:rFonts w:cs="Segoe UI"/>
        </w:rPr>
        <w:t>Research on carbon dynamics in forest ecosystems has greatly improved our understanding of its contribution to the global carbon cycle</w:t>
      </w:r>
      <w:r w:rsidRPr="00C82862">
        <w:rPr>
          <w:rFonts w:cs="Segoe UI"/>
        </w:rPr>
        <w:t xml:space="preserve"> and climate change since the signing of the WA</w:t>
      </w:r>
      <w:r w:rsidR="00DD22AA">
        <w:rPr>
          <w:rFonts w:cs="Segoe UI"/>
        </w:rPr>
        <w:t> </w:t>
      </w:r>
      <w:r w:rsidRPr="00C82862">
        <w:rPr>
          <w:rFonts w:cs="Segoe UI"/>
        </w:rPr>
        <w:t>RFA. The WA</w:t>
      </w:r>
      <w:r w:rsidR="00DD22AA">
        <w:rPr>
          <w:rFonts w:cs="Segoe UI"/>
        </w:rPr>
        <w:t> </w:t>
      </w:r>
      <w:r w:rsidRPr="00C82862">
        <w:rPr>
          <w:rFonts w:cs="Segoe UI"/>
        </w:rPr>
        <w:t xml:space="preserve">RFA regions forests will be impacted by climate change into the future, which may include more frequent and more severe droughts and bushfires, increased incidence of pests and diseases, as well as changes to growth dynamics. </w:t>
      </w:r>
    </w:p>
    <w:p w14:paraId="26ABD5E5" w14:textId="77777777" w:rsidR="007E358F" w:rsidRPr="00C82862" w:rsidRDefault="007E358F" w:rsidP="007E358F">
      <w:pPr>
        <w:rPr>
          <w:rFonts w:cs="Segoe UI"/>
        </w:rPr>
      </w:pPr>
      <w:r w:rsidRPr="00C82862">
        <w:rPr>
          <w:rFonts w:cs="Segoe UI"/>
        </w:rPr>
        <w:t>The</w:t>
      </w:r>
      <w:r w:rsidRPr="00C82862">
        <w:rPr>
          <w:rFonts w:cs="Segoe UI"/>
          <w:i/>
        </w:rPr>
        <w:t xml:space="preserve"> </w:t>
      </w:r>
      <w:r w:rsidR="003A6CD6" w:rsidRPr="003A6CD6">
        <w:rPr>
          <w:rFonts w:cs="Segoe UI"/>
        </w:rPr>
        <w:t>FMP </w:t>
      </w:r>
      <w:r w:rsidRPr="003A6CD6">
        <w:rPr>
          <w:rFonts w:cs="Segoe UI"/>
        </w:rPr>
        <w:t>2014</w:t>
      </w:r>
      <w:r w:rsidR="00DD22AA">
        <w:rPr>
          <w:rFonts w:cs="Segoe UI"/>
        </w:rPr>
        <w:noBreakHyphen/>
      </w:r>
      <w:r w:rsidRPr="003A6CD6">
        <w:rPr>
          <w:rFonts w:cs="Segoe UI"/>
        </w:rPr>
        <w:t xml:space="preserve">2023 </w:t>
      </w:r>
      <w:r w:rsidRPr="00C82862">
        <w:rPr>
          <w:rFonts w:cs="Segoe UI"/>
        </w:rPr>
        <w:t xml:space="preserve">takes into account </w:t>
      </w:r>
      <w:r w:rsidR="004F015C">
        <w:rPr>
          <w:rFonts w:cs="Segoe UI"/>
        </w:rPr>
        <w:t>the</w:t>
      </w:r>
      <w:r w:rsidRPr="00C82862">
        <w:rPr>
          <w:rFonts w:cs="Segoe UI"/>
        </w:rPr>
        <w:t xml:space="preserve"> impact</w:t>
      </w:r>
      <w:r w:rsidR="004F015C">
        <w:rPr>
          <w:rFonts w:cs="Segoe UI"/>
        </w:rPr>
        <w:t>s</w:t>
      </w:r>
      <w:r w:rsidRPr="00C82862">
        <w:rPr>
          <w:rFonts w:cs="Segoe UI"/>
        </w:rPr>
        <w:t xml:space="preserve"> o</w:t>
      </w:r>
      <w:r w:rsidR="004F015C">
        <w:rPr>
          <w:rFonts w:cs="Segoe UI"/>
        </w:rPr>
        <w:t>f</w:t>
      </w:r>
      <w:r w:rsidRPr="00C82862">
        <w:rPr>
          <w:rFonts w:cs="Segoe UI"/>
        </w:rPr>
        <w:t xml:space="preserve"> climate change, seeking to minimise unnecessary emissions and maximise biosequestration wherever possible. </w:t>
      </w:r>
    </w:p>
    <w:p w14:paraId="26ABD5E6" w14:textId="77777777" w:rsidR="007E358F" w:rsidRDefault="007E358F" w:rsidP="007E358F">
      <w:pPr>
        <w:rPr>
          <w:rFonts w:cs="Segoe UI"/>
        </w:rPr>
      </w:pPr>
      <w:r w:rsidRPr="00C82862">
        <w:rPr>
          <w:rFonts w:cs="Segoe UI"/>
        </w:rPr>
        <w:t xml:space="preserve">Plantations can also contribute significantly to the global greenhouse balance via additional carbon sequestration, especially if planted in previously cleared lands or by converting existing short-rotation plantations to long rotations. There are also opportunities for </w:t>
      </w:r>
      <w:r w:rsidR="0001141B">
        <w:rPr>
          <w:rFonts w:cs="Segoe UI"/>
        </w:rPr>
        <w:t>ERF</w:t>
      </w:r>
      <w:r w:rsidRPr="00C82862">
        <w:rPr>
          <w:rFonts w:cs="Segoe UI"/>
        </w:rPr>
        <w:t xml:space="preserve"> payments for these actions into the future. </w:t>
      </w:r>
    </w:p>
    <w:p w14:paraId="26ABD5E8" w14:textId="2E60F742" w:rsidR="00B11CAC" w:rsidRDefault="00CE7E81" w:rsidP="0061707C">
      <w:pPr>
        <w:rPr>
          <w:rFonts w:cs="Segoe UI"/>
          <w:b/>
          <w:color w:val="0074A1"/>
          <w:sz w:val="28"/>
          <w:szCs w:val="28"/>
        </w:rPr>
      </w:pPr>
      <w:r w:rsidRPr="0044271C">
        <w:rPr>
          <w:rFonts w:cs="Segoe UI"/>
        </w:rPr>
        <w:t xml:space="preserve">ESFM is an objective which requires a </w:t>
      </w:r>
      <w:r w:rsidR="00A42B5E" w:rsidRPr="0044271C">
        <w:rPr>
          <w:rFonts w:cs="Segoe UI"/>
        </w:rPr>
        <w:t>long-term</w:t>
      </w:r>
      <w:r w:rsidRPr="0044271C">
        <w:rPr>
          <w:rFonts w:cs="Segoe UI"/>
        </w:rPr>
        <w:t xml:space="preserve"> commitment to continuous improvement. The </w:t>
      </w:r>
      <w:r>
        <w:rPr>
          <w:rFonts w:cs="Segoe UI"/>
        </w:rPr>
        <w:t>extended</w:t>
      </w:r>
      <w:r w:rsidRPr="0044271C">
        <w:rPr>
          <w:rFonts w:cs="Segoe UI"/>
        </w:rPr>
        <w:t xml:space="preserve"> </w:t>
      </w:r>
      <w:r>
        <w:rPr>
          <w:rFonts w:cs="Segoe UI"/>
        </w:rPr>
        <w:t>WA RFA</w:t>
      </w:r>
      <w:r w:rsidRPr="0044271C">
        <w:rPr>
          <w:rFonts w:cs="Segoe UI"/>
        </w:rPr>
        <w:t xml:space="preserve"> with five year rolling extensions will continue to provide for </w:t>
      </w:r>
      <w:r>
        <w:rPr>
          <w:rFonts w:cs="Segoe UI"/>
        </w:rPr>
        <w:t>ESFM</w:t>
      </w:r>
      <w:r w:rsidRPr="0044271C">
        <w:rPr>
          <w:rFonts w:cs="Segoe UI"/>
        </w:rPr>
        <w:t xml:space="preserve"> in </w:t>
      </w:r>
      <w:r>
        <w:rPr>
          <w:rFonts w:cs="Segoe UI"/>
        </w:rPr>
        <w:t>the WA </w:t>
      </w:r>
      <w:r w:rsidRPr="0044271C">
        <w:rPr>
          <w:rFonts w:cs="Segoe UI"/>
        </w:rPr>
        <w:t>RFA region. The</w:t>
      </w:r>
      <w:r w:rsidR="003F48D3">
        <w:rPr>
          <w:rFonts w:cs="Segoe UI"/>
        </w:rPr>
        <w:t xml:space="preserve"> WA RFA</w:t>
      </w:r>
      <w:r w:rsidRPr="0044271C">
        <w:rPr>
          <w:rFonts w:cs="Segoe UI"/>
        </w:rPr>
        <w:t xml:space="preserve"> will </w:t>
      </w:r>
      <w:r w:rsidR="003F48D3">
        <w:rPr>
          <w:rFonts w:cs="Segoe UI"/>
        </w:rPr>
        <w:t xml:space="preserve">continue to </w:t>
      </w:r>
      <w:r w:rsidRPr="0044271C">
        <w:rPr>
          <w:rFonts w:cs="Segoe UI"/>
        </w:rPr>
        <w:t>commit the Parties to the key elements of ESFM, including the maintenance of the CAR</w:t>
      </w:r>
      <w:r w:rsidRPr="0044271C">
        <w:t xml:space="preserve"> </w:t>
      </w:r>
      <w:r>
        <w:t>reserve system and an integrated, complementary and strategic FMS capable of responding to new information.</w:t>
      </w:r>
      <w:bookmarkStart w:id="211" w:name="_Toc524952837"/>
      <w:r w:rsidR="00B11CAC">
        <w:br w:type="page"/>
      </w:r>
    </w:p>
    <w:p w14:paraId="26ABD5E9" w14:textId="77777777" w:rsidR="008E61E6" w:rsidRPr="00CE60B2" w:rsidRDefault="00C22D5A" w:rsidP="00C22D5A">
      <w:pPr>
        <w:pStyle w:val="Heading2"/>
      </w:pPr>
      <w:bookmarkStart w:id="212" w:name="_Toc2776082"/>
      <w:r w:rsidRPr="00CE60B2">
        <w:lastRenderedPageBreak/>
        <w:t>Se</w:t>
      </w:r>
      <w:r w:rsidRPr="007E358F">
        <w:t>c</w:t>
      </w:r>
      <w:r w:rsidRPr="00CE60B2">
        <w:t xml:space="preserve">tion </w:t>
      </w:r>
      <w:r w:rsidR="006E7AC8">
        <w:t>6</w:t>
      </w:r>
      <w:r w:rsidRPr="00CE60B2">
        <w:t xml:space="preserve">: </w:t>
      </w:r>
      <w:r w:rsidR="008E61E6" w:rsidRPr="00CE60B2">
        <w:t>Conclusion</w:t>
      </w:r>
      <w:bookmarkEnd w:id="211"/>
      <w:bookmarkEnd w:id="212"/>
    </w:p>
    <w:p w14:paraId="26ABD5EA" w14:textId="77777777" w:rsidR="0097427F" w:rsidRPr="00CE60B2" w:rsidRDefault="0097427F" w:rsidP="0097427F">
      <w:pPr>
        <w:spacing w:before="240"/>
        <w:rPr>
          <w:rFonts w:cs="Segoe UI"/>
        </w:rPr>
      </w:pPr>
      <w:r w:rsidRPr="00CE60B2">
        <w:rPr>
          <w:rFonts w:cs="Segoe UI"/>
        </w:rPr>
        <w:t xml:space="preserve">The </w:t>
      </w:r>
      <w:r w:rsidR="00BC04C1" w:rsidRPr="00CE60B2">
        <w:rPr>
          <w:rFonts w:cs="Segoe UI"/>
        </w:rPr>
        <w:t xml:space="preserve">Regional Forest </w:t>
      </w:r>
      <w:r w:rsidR="005F43FC">
        <w:rPr>
          <w:rFonts w:cs="Segoe UI"/>
        </w:rPr>
        <w:t>A</w:t>
      </w:r>
      <w:r w:rsidR="00BC04C1" w:rsidRPr="00CE60B2">
        <w:rPr>
          <w:rFonts w:cs="Segoe UI"/>
        </w:rPr>
        <w:t>greement for the South-West Forest Region of Western Australia</w:t>
      </w:r>
      <w:r w:rsidRPr="00CE60B2">
        <w:rPr>
          <w:rFonts w:cs="Segoe UI"/>
        </w:rPr>
        <w:t xml:space="preserve"> provide</w:t>
      </w:r>
      <w:r w:rsidR="00BC04C1" w:rsidRPr="00CE60B2">
        <w:rPr>
          <w:rFonts w:cs="Segoe UI"/>
        </w:rPr>
        <w:t>s</w:t>
      </w:r>
      <w:r w:rsidRPr="00CE60B2">
        <w:rPr>
          <w:rFonts w:cs="Segoe UI"/>
        </w:rPr>
        <w:t xml:space="preserve"> an efficient and effective </w:t>
      </w:r>
      <w:r w:rsidR="00163B0A">
        <w:rPr>
          <w:rFonts w:cs="Segoe UI"/>
        </w:rPr>
        <w:t xml:space="preserve">and sustainable </w:t>
      </w:r>
      <w:r w:rsidRPr="00CE60B2">
        <w:rPr>
          <w:rFonts w:cs="Segoe UI"/>
        </w:rPr>
        <w:t xml:space="preserve">long-term solution for access and use of </w:t>
      </w:r>
      <w:r w:rsidR="00BC04C1" w:rsidRPr="00CE60B2">
        <w:rPr>
          <w:rFonts w:cs="Segoe UI"/>
        </w:rPr>
        <w:t>WA</w:t>
      </w:r>
      <w:r w:rsidRPr="00CE60B2">
        <w:rPr>
          <w:rFonts w:cs="Segoe UI"/>
        </w:rPr>
        <w:t xml:space="preserve">’s forests. </w:t>
      </w:r>
    </w:p>
    <w:p w14:paraId="26ABD5EB" w14:textId="77777777" w:rsidR="0097427F" w:rsidRPr="00CE60B2" w:rsidRDefault="0097427F" w:rsidP="0061707C">
      <w:pPr>
        <w:spacing w:before="0" w:after="0"/>
        <w:rPr>
          <w:rFonts w:cs="Segoe UI"/>
        </w:rPr>
      </w:pPr>
      <w:r w:rsidRPr="00CE60B2">
        <w:rPr>
          <w:rFonts w:cs="Segoe UI"/>
        </w:rPr>
        <w:t xml:space="preserve">The </w:t>
      </w:r>
      <w:r w:rsidR="00BC04C1" w:rsidRPr="00CE60B2">
        <w:rPr>
          <w:rFonts w:cs="Segoe UI"/>
        </w:rPr>
        <w:t>WA RFA</w:t>
      </w:r>
      <w:r w:rsidRPr="00CE60B2">
        <w:rPr>
          <w:rFonts w:cs="Segoe UI"/>
        </w:rPr>
        <w:t xml:space="preserve"> establish</w:t>
      </w:r>
      <w:r w:rsidR="00BC04C1" w:rsidRPr="00CE60B2">
        <w:rPr>
          <w:rFonts w:cs="Segoe UI"/>
        </w:rPr>
        <w:t>es</w:t>
      </w:r>
      <w:r w:rsidRPr="00CE60B2">
        <w:rPr>
          <w:rFonts w:cs="Segoe UI"/>
        </w:rPr>
        <w:t xml:space="preserve"> a framework for forest management, which:</w:t>
      </w:r>
    </w:p>
    <w:p w14:paraId="26ABD5EC" w14:textId="77777777" w:rsidR="0097427F" w:rsidRPr="00CE60B2" w:rsidRDefault="0097427F" w:rsidP="00C903EE">
      <w:pPr>
        <w:numPr>
          <w:ilvl w:val="3"/>
          <w:numId w:val="48"/>
        </w:numPr>
        <w:spacing w:before="0" w:after="0"/>
        <w:ind w:left="567"/>
        <w:rPr>
          <w:rFonts w:cs="Segoe UI"/>
        </w:rPr>
      </w:pPr>
      <w:r w:rsidRPr="00CE60B2">
        <w:rPr>
          <w:rFonts w:cs="Segoe UI"/>
        </w:rPr>
        <w:t xml:space="preserve">identifies a </w:t>
      </w:r>
      <w:r w:rsidR="00C05A68">
        <w:rPr>
          <w:rFonts w:cs="Segoe UI"/>
        </w:rPr>
        <w:t>CAR</w:t>
      </w:r>
      <w:r w:rsidRPr="00CE60B2">
        <w:rPr>
          <w:rFonts w:cs="Segoe UI"/>
        </w:rPr>
        <w:t xml:space="preserve"> reserve system and provides for the conservation of those areas</w:t>
      </w:r>
    </w:p>
    <w:p w14:paraId="26ABD5ED" w14:textId="77777777" w:rsidR="0097427F" w:rsidRPr="00CE60B2" w:rsidRDefault="0097427F" w:rsidP="00C903EE">
      <w:pPr>
        <w:numPr>
          <w:ilvl w:val="3"/>
          <w:numId w:val="48"/>
        </w:numPr>
        <w:spacing w:before="0" w:after="0"/>
        <w:ind w:left="567"/>
        <w:rPr>
          <w:rFonts w:cs="Segoe UI"/>
        </w:rPr>
      </w:pPr>
      <w:r w:rsidRPr="00CE60B2">
        <w:rPr>
          <w:rFonts w:cs="Segoe UI"/>
        </w:rPr>
        <w:t>provides for the ecologically sustainable management and use of forests</w:t>
      </w:r>
    </w:p>
    <w:p w14:paraId="26ABD5EE" w14:textId="77777777" w:rsidR="0097427F" w:rsidRPr="00CE60B2" w:rsidRDefault="0097427F" w:rsidP="00C903EE">
      <w:pPr>
        <w:numPr>
          <w:ilvl w:val="3"/>
          <w:numId w:val="48"/>
        </w:numPr>
        <w:spacing w:before="0" w:after="80"/>
        <w:ind w:left="567" w:hanging="357"/>
        <w:rPr>
          <w:rFonts w:cs="Segoe UI"/>
        </w:rPr>
      </w:pPr>
      <w:r w:rsidRPr="00CE60B2">
        <w:rPr>
          <w:rFonts w:cs="Segoe UI"/>
        </w:rPr>
        <w:t>provides long-term stability of forests and forest-based industries.</w:t>
      </w:r>
    </w:p>
    <w:p w14:paraId="26ABD5EF" w14:textId="77777777" w:rsidR="0097427F" w:rsidRPr="00CE60B2" w:rsidRDefault="0097427F" w:rsidP="0097427F">
      <w:pPr>
        <w:pStyle w:val="Heading3"/>
        <w:rPr>
          <w:lang w:eastAsia="en-AU"/>
        </w:rPr>
      </w:pPr>
      <w:bookmarkStart w:id="213" w:name="_Toc2776083"/>
      <w:r w:rsidRPr="00CE60B2">
        <w:rPr>
          <w:lang w:eastAsia="en-AU"/>
        </w:rPr>
        <w:t>Environmental Values</w:t>
      </w:r>
      <w:bookmarkEnd w:id="213"/>
    </w:p>
    <w:p w14:paraId="26ABD5F0" w14:textId="77777777" w:rsidR="000A0E55" w:rsidRPr="00726159" w:rsidRDefault="000A0E55" w:rsidP="000A0E55">
      <w:pPr>
        <w:rPr>
          <w:rFonts w:cs="Segoe UI"/>
          <w:lang w:eastAsia="ja-JP"/>
        </w:rPr>
      </w:pPr>
      <w:r w:rsidRPr="001964A6">
        <w:rPr>
          <w:rFonts w:cs="Segoe UI"/>
          <w:lang w:eastAsia="ja-JP"/>
        </w:rPr>
        <w:t xml:space="preserve">Since </w:t>
      </w:r>
      <w:r>
        <w:rPr>
          <w:rFonts w:cs="Segoe UI"/>
          <w:lang w:eastAsia="ja-JP"/>
        </w:rPr>
        <w:t>the WA</w:t>
      </w:r>
      <w:r w:rsidRPr="001964A6">
        <w:rPr>
          <w:rFonts w:cs="Segoe UI"/>
          <w:lang w:eastAsia="ja-JP"/>
        </w:rPr>
        <w:t xml:space="preserve"> CRA process, the area of protected old-growth forest has increased by 8</w:t>
      </w:r>
      <w:r>
        <w:rPr>
          <w:rFonts w:cs="Segoe UI"/>
          <w:lang w:eastAsia="ja-JP"/>
        </w:rPr>
        <w:t>9</w:t>
      </w:r>
      <w:r w:rsidRPr="001964A6">
        <w:rPr>
          <w:rFonts w:cs="Segoe UI"/>
          <w:lang w:eastAsia="ja-JP"/>
        </w:rPr>
        <w:t>,</w:t>
      </w:r>
      <w:r>
        <w:rPr>
          <w:rFonts w:cs="Segoe UI"/>
          <w:lang w:eastAsia="ja-JP"/>
        </w:rPr>
        <w:t>167</w:t>
      </w:r>
      <w:r w:rsidR="00163B0A">
        <w:rPr>
          <w:rFonts w:cs="Segoe UI"/>
          <w:lang w:eastAsia="ja-JP"/>
        </w:rPr>
        <w:t> </w:t>
      </w:r>
      <w:r w:rsidRPr="001964A6">
        <w:rPr>
          <w:rFonts w:cs="Segoe UI"/>
          <w:lang w:eastAsia="ja-JP"/>
        </w:rPr>
        <w:t xml:space="preserve">hectares or </w:t>
      </w:r>
      <w:r w:rsidR="00901D04" w:rsidRPr="007B7EAE">
        <w:rPr>
          <w:rFonts w:cs="Segoe UI"/>
          <w:lang w:eastAsia="ja-JP"/>
        </w:rPr>
        <w:t>26</w:t>
      </w:r>
      <w:r w:rsidRPr="001964A6">
        <w:rPr>
          <w:rFonts w:cs="Segoe UI"/>
          <w:lang w:eastAsia="ja-JP"/>
        </w:rPr>
        <w:t xml:space="preserve"> per cent, with the CAR reserve system and the ecologically sustainable management of State forests providing for the ongoing protection of old-growth forests. </w:t>
      </w:r>
      <w:r w:rsidRPr="00726159">
        <w:rPr>
          <w:rFonts w:cs="Segoe UI"/>
          <w:lang w:eastAsia="ja-JP"/>
        </w:rPr>
        <w:t xml:space="preserve">While the CRA assessments did not identify any areas that met the combined thresholds for the wilderness indicators to be delineated, since the signing of the RFA, the amount of wilderness protected in reserves has increased significantly, including the creation of the Walpole Wilderness areas. </w:t>
      </w:r>
    </w:p>
    <w:p w14:paraId="26ABD5F1" w14:textId="155B6B62" w:rsidR="000A0E55" w:rsidRDefault="000A0E55" w:rsidP="000A0E55">
      <w:pPr>
        <w:rPr>
          <w:rFonts w:cs="Segoe UI"/>
          <w:lang w:eastAsia="ja-JP"/>
        </w:rPr>
      </w:pPr>
      <w:r w:rsidRPr="001964A6">
        <w:rPr>
          <w:rFonts w:cs="Segoe UI"/>
          <w:lang w:eastAsia="ja-JP"/>
        </w:rPr>
        <w:t xml:space="preserve">The </w:t>
      </w:r>
      <w:r>
        <w:rPr>
          <w:rFonts w:cs="Segoe UI"/>
          <w:lang w:eastAsia="ja-JP"/>
        </w:rPr>
        <w:t>WA</w:t>
      </w:r>
      <w:r w:rsidRPr="001964A6">
        <w:rPr>
          <w:rFonts w:cs="Segoe UI"/>
          <w:lang w:eastAsia="ja-JP"/>
        </w:rPr>
        <w:t xml:space="preserve"> RFA address</w:t>
      </w:r>
      <w:r>
        <w:rPr>
          <w:rFonts w:cs="Segoe UI"/>
          <w:lang w:eastAsia="ja-JP"/>
        </w:rPr>
        <w:t>es</w:t>
      </w:r>
      <w:r w:rsidRPr="001964A6">
        <w:rPr>
          <w:rFonts w:cs="Segoe UI"/>
          <w:lang w:eastAsia="ja-JP"/>
        </w:rPr>
        <w:t xml:space="preserve"> the conservation of endangered species through providing a system of conservation reserves and the management of habitat in areas outside the reserve system. Threatened species are protected through Australian and </w:t>
      </w:r>
      <w:r>
        <w:rPr>
          <w:rFonts w:cs="Segoe UI"/>
          <w:lang w:eastAsia="ja-JP"/>
        </w:rPr>
        <w:t>WA</w:t>
      </w:r>
      <w:r w:rsidRPr="001964A6">
        <w:rPr>
          <w:rFonts w:cs="Segoe UI"/>
          <w:lang w:eastAsia="ja-JP"/>
        </w:rPr>
        <w:t xml:space="preserve"> environmental legislation and the </w:t>
      </w:r>
      <w:r>
        <w:rPr>
          <w:rFonts w:cs="Segoe UI"/>
          <w:lang w:eastAsia="ja-JP"/>
        </w:rPr>
        <w:t>WA</w:t>
      </w:r>
      <w:r w:rsidR="00670669">
        <w:rPr>
          <w:rFonts w:cs="Segoe UI"/>
          <w:lang w:eastAsia="ja-JP"/>
        </w:rPr>
        <w:t> FMS</w:t>
      </w:r>
      <w:r w:rsidRPr="001964A6">
        <w:rPr>
          <w:rFonts w:cs="Segoe UI"/>
          <w:lang w:eastAsia="ja-JP"/>
        </w:rPr>
        <w:t xml:space="preserve">. </w:t>
      </w:r>
      <w:r w:rsidR="002F6605">
        <w:rPr>
          <w:rFonts w:cs="Segoe UI"/>
          <w:lang w:eastAsia="ja-JP"/>
        </w:rPr>
        <w:t>C</w:t>
      </w:r>
      <w:r w:rsidRPr="001964A6">
        <w:rPr>
          <w:rFonts w:cs="Segoe UI"/>
          <w:lang w:eastAsia="ja-JP"/>
        </w:rPr>
        <w:t>ase stud</w:t>
      </w:r>
      <w:r>
        <w:rPr>
          <w:rFonts w:cs="Segoe UI"/>
          <w:lang w:eastAsia="ja-JP"/>
        </w:rPr>
        <w:t>ies</w:t>
      </w:r>
      <w:r w:rsidRPr="001964A6">
        <w:rPr>
          <w:rFonts w:cs="Segoe UI"/>
          <w:lang w:eastAsia="ja-JP"/>
        </w:rPr>
        <w:t xml:space="preserve"> demonstrating how </w:t>
      </w:r>
      <w:r>
        <w:rPr>
          <w:rFonts w:cs="Segoe UI"/>
          <w:lang w:eastAsia="ja-JP"/>
        </w:rPr>
        <w:t>the WA</w:t>
      </w:r>
      <w:r w:rsidR="00670669">
        <w:rPr>
          <w:rFonts w:cs="Segoe UI"/>
          <w:lang w:eastAsia="ja-JP"/>
        </w:rPr>
        <w:t> FMS</w:t>
      </w:r>
      <w:r w:rsidRPr="001964A6">
        <w:rPr>
          <w:rFonts w:cs="Segoe UI"/>
          <w:lang w:eastAsia="ja-JP"/>
        </w:rPr>
        <w:t xml:space="preserve"> </w:t>
      </w:r>
      <w:r>
        <w:rPr>
          <w:rFonts w:cs="Segoe UI"/>
          <w:lang w:eastAsia="ja-JP"/>
        </w:rPr>
        <w:t xml:space="preserve">has </w:t>
      </w:r>
      <w:r w:rsidRPr="001964A6">
        <w:rPr>
          <w:rFonts w:cs="Segoe UI"/>
          <w:lang w:eastAsia="ja-JP"/>
        </w:rPr>
        <w:t>responded to new information and threats</w:t>
      </w:r>
      <w:r w:rsidR="002F6605">
        <w:rPr>
          <w:rFonts w:cs="Segoe UI"/>
          <w:lang w:eastAsia="ja-JP"/>
        </w:rPr>
        <w:t xml:space="preserve"> are included in </w:t>
      </w:r>
      <w:r w:rsidR="002F6605" w:rsidRPr="0061707C">
        <w:rPr>
          <w:rFonts w:cs="Segoe UI"/>
          <w:lang w:eastAsia="ja-JP"/>
        </w:rPr>
        <w:t>the</w:t>
      </w:r>
      <w:r w:rsidR="002F6605" w:rsidRPr="002F6605">
        <w:rPr>
          <w:rFonts w:cs="Segoe UI"/>
          <w:i/>
          <w:lang w:eastAsia="ja-JP"/>
        </w:rPr>
        <w:t xml:space="preserve"> </w:t>
      </w:r>
      <w:r w:rsidR="0061707C">
        <w:rPr>
          <w:rFonts w:cs="Segoe UI"/>
          <w:i/>
          <w:lang w:eastAsia="ja-JP"/>
        </w:rPr>
        <w:t>The F</w:t>
      </w:r>
      <w:r w:rsidR="002F6605" w:rsidRPr="002F6605">
        <w:rPr>
          <w:rFonts w:cs="Segoe UI"/>
          <w:i/>
          <w:lang w:eastAsia="ja-JP"/>
        </w:rPr>
        <w:t xml:space="preserve">orest Management System in Western Australia: </w:t>
      </w:r>
      <w:r w:rsidR="0061707C">
        <w:rPr>
          <w:rFonts w:cs="Segoe UI"/>
          <w:i/>
          <w:lang w:eastAsia="ja-JP"/>
        </w:rPr>
        <w:t>A</w:t>
      </w:r>
      <w:r w:rsidR="002F6605" w:rsidRPr="002F6605">
        <w:rPr>
          <w:rFonts w:cs="Segoe UI"/>
          <w:i/>
          <w:lang w:eastAsia="ja-JP"/>
        </w:rPr>
        <w:t>n Overview</w:t>
      </w:r>
      <w:r w:rsidR="0061707C">
        <w:rPr>
          <w:rFonts w:cs="Segoe UI"/>
          <w:i/>
          <w:lang w:eastAsia="ja-JP"/>
        </w:rPr>
        <w:t xml:space="preserve"> (2018)</w:t>
      </w:r>
      <w:r w:rsidRPr="001964A6">
        <w:rPr>
          <w:rFonts w:cs="Segoe UI"/>
          <w:lang w:eastAsia="ja-JP"/>
        </w:rPr>
        <w:t xml:space="preserve">. The </w:t>
      </w:r>
      <w:r>
        <w:rPr>
          <w:rFonts w:cs="Segoe UI"/>
          <w:lang w:eastAsia="ja-JP"/>
        </w:rPr>
        <w:t>WA</w:t>
      </w:r>
      <w:r w:rsidR="00670669">
        <w:rPr>
          <w:rFonts w:cs="Segoe UI"/>
          <w:lang w:eastAsia="ja-JP"/>
        </w:rPr>
        <w:t> FMS</w:t>
      </w:r>
      <w:r w:rsidRPr="001964A6">
        <w:rPr>
          <w:rFonts w:cs="Segoe UI"/>
          <w:lang w:eastAsia="ja-JP"/>
        </w:rPr>
        <w:t xml:space="preserve"> will be continually reviewed and updated in response to new information.</w:t>
      </w:r>
    </w:p>
    <w:p w14:paraId="26ABD5F2" w14:textId="1FA95A83" w:rsidR="000A0E55" w:rsidRDefault="000A0E55" w:rsidP="000A0E55">
      <w:pPr>
        <w:rPr>
          <w:rFonts w:cs="Segoe UI"/>
        </w:rPr>
      </w:pPr>
      <w:r w:rsidRPr="001964A6">
        <w:rPr>
          <w:rFonts w:cs="Segoe UI"/>
          <w:lang w:eastAsia="ja-JP"/>
        </w:rPr>
        <w:t>The register of the National Estate has been phased out, however the values of those places continue to be managed through a range of new management structures including the National Heritage</w:t>
      </w:r>
      <w:r w:rsidRPr="001964A6">
        <w:rPr>
          <w:rFonts w:cs="Segoe UI"/>
        </w:rPr>
        <w:t xml:space="preserve"> List, the Commonwealth Heritage List, and the </w:t>
      </w:r>
      <w:r w:rsidRPr="007B7EAE">
        <w:rPr>
          <w:rFonts w:cs="Segoe UI"/>
        </w:rPr>
        <w:t xml:space="preserve">WA </w:t>
      </w:r>
      <w:r w:rsidR="00901D04" w:rsidRPr="007B7EAE">
        <w:rPr>
          <w:rFonts w:cs="Segoe UI"/>
        </w:rPr>
        <w:t xml:space="preserve">State Register of </w:t>
      </w:r>
      <w:r w:rsidRPr="007B7EAE">
        <w:rPr>
          <w:rFonts w:cs="Segoe UI"/>
        </w:rPr>
        <w:t xml:space="preserve">Heritage </w:t>
      </w:r>
      <w:r w:rsidR="00901D04" w:rsidRPr="007B7EAE">
        <w:rPr>
          <w:rFonts w:cs="Segoe UI"/>
        </w:rPr>
        <w:t>Places</w:t>
      </w:r>
      <w:r w:rsidRPr="00901D04">
        <w:rPr>
          <w:rFonts w:cs="Segoe UI"/>
        </w:rPr>
        <w:t>.</w:t>
      </w:r>
      <w:r w:rsidRPr="001964A6">
        <w:rPr>
          <w:rFonts w:cs="Segoe UI"/>
        </w:rPr>
        <w:t xml:space="preserve"> These values include components of the natural or cultural environment in Australia that have been assessed and recognised for their aesthetic, historic, scientific or social significance or other special value for future generations as well as for the present community by the Australian or </w:t>
      </w:r>
      <w:r>
        <w:rPr>
          <w:rFonts w:cs="Segoe UI"/>
        </w:rPr>
        <w:t>WA</w:t>
      </w:r>
      <w:r w:rsidRPr="001964A6">
        <w:rPr>
          <w:rFonts w:cs="Segoe UI"/>
        </w:rPr>
        <w:t xml:space="preserve"> governments.</w:t>
      </w:r>
    </w:p>
    <w:p w14:paraId="26ABD5F3" w14:textId="77777777" w:rsidR="000A0E55" w:rsidRPr="00CE60B2" w:rsidRDefault="000A0E55" w:rsidP="000A0E55">
      <w:pPr>
        <w:rPr>
          <w:rFonts w:cs="Segoe UI"/>
        </w:rPr>
      </w:pPr>
      <w:r w:rsidRPr="001964A6">
        <w:rPr>
          <w:rFonts w:cs="Segoe UI"/>
        </w:rPr>
        <w:t xml:space="preserve">World Heritage values are catered for by the Australian and </w:t>
      </w:r>
      <w:r>
        <w:rPr>
          <w:rFonts w:cs="Segoe UI"/>
        </w:rPr>
        <w:t>WA</w:t>
      </w:r>
      <w:r w:rsidRPr="001964A6">
        <w:rPr>
          <w:rFonts w:cs="Segoe UI"/>
        </w:rPr>
        <w:t xml:space="preserve"> governments in accordance with the Australian World Heritage Intergovernmental Agreement. </w:t>
      </w:r>
      <w:r>
        <w:t xml:space="preserve">There are no World Heritage properties located within the WA RFA region. If present, properties would be managed separately from processes put in place by the WA RFA and be protected by Part 3 of the EPBC Act. </w:t>
      </w:r>
      <w:r w:rsidRPr="00CE60B2">
        <w:rPr>
          <w:rFonts w:cs="Segoe UI"/>
        </w:rPr>
        <w:t>T</w:t>
      </w:r>
      <w:r w:rsidR="00202A26">
        <w:rPr>
          <w:rFonts w:cs="Segoe UI"/>
          <w:lang w:eastAsia="ja-JP"/>
        </w:rPr>
        <w:t>he Australian and WA g</w:t>
      </w:r>
      <w:r w:rsidRPr="00CE60B2">
        <w:rPr>
          <w:rFonts w:cs="Segoe UI"/>
          <w:lang w:eastAsia="ja-JP"/>
        </w:rPr>
        <w:t xml:space="preserve">overnments will continue to participate in the assessment and protection of any future World Heritage places consistent with the Australian World Heritage Intergovernmental Agreement. </w:t>
      </w:r>
      <w:r w:rsidR="003F48D3" w:rsidRPr="00932DE3">
        <w:rPr>
          <w:rFonts w:cs="Segoe UI"/>
        </w:rPr>
        <w:t xml:space="preserve">While there are no World Heritage properties in the WA RFA region, natural and cultural heritage will be protected and managed through the </w:t>
      </w:r>
      <w:r w:rsidR="003F48D3" w:rsidRPr="00932DE3">
        <w:t>through the provision of the CAR reserve system and the application of WA FMS under an extended RFA.</w:t>
      </w:r>
    </w:p>
    <w:p w14:paraId="26ABD5F4" w14:textId="77777777" w:rsidR="00163B0A" w:rsidRPr="00CE60B2" w:rsidRDefault="00163B0A" w:rsidP="00163B0A">
      <w:pPr>
        <w:rPr>
          <w:rFonts w:cs="Segoe UI"/>
          <w:lang w:eastAsia="ja-JP"/>
        </w:rPr>
      </w:pPr>
      <w:r w:rsidRPr="001964A6">
        <w:rPr>
          <w:rFonts w:cs="Segoe UI"/>
        </w:rPr>
        <w:lastRenderedPageBreak/>
        <w:t xml:space="preserve">The </w:t>
      </w:r>
      <w:r>
        <w:rPr>
          <w:rFonts w:cs="Segoe UI"/>
        </w:rPr>
        <w:t>WA FMS</w:t>
      </w:r>
      <w:r w:rsidRPr="001964A6">
        <w:rPr>
          <w:rFonts w:cs="Segoe UI"/>
        </w:rPr>
        <w:t xml:space="preserve"> protects the ecological character of Ramsar Wetlands, in accordance with the Ramsar Convention. Any potential indirect or offsite impacts to Ramsar wetlands are managed through the soil and water provisions of the </w:t>
      </w:r>
      <w:r>
        <w:rPr>
          <w:rFonts w:cs="Segoe UI"/>
        </w:rPr>
        <w:t>system</w:t>
      </w:r>
      <w:r w:rsidRPr="001964A6">
        <w:rPr>
          <w:rFonts w:cs="Segoe UI"/>
        </w:rPr>
        <w:t>.</w:t>
      </w:r>
    </w:p>
    <w:p w14:paraId="26ABD5F5" w14:textId="4816BFEB" w:rsidR="000A0E55" w:rsidRPr="001964A6" w:rsidRDefault="000A0E55" w:rsidP="000A0E55">
      <w:pPr>
        <w:autoSpaceDE w:val="0"/>
        <w:autoSpaceDN w:val="0"/>
        <w:adjustRightInd w:val="0"/>
        <w:spacing w:before="0" w:after="0"/>
        <w:rPr>
          <w:rFonts w:cs="Segoe UI"/>
        </w:rPr>
      </w:pPr>
      <w:r w:rsidRPr="001964A6">
        <w:rPr>
          <w:rFonts w:cs="Segoe UI"/>
        </w:rPr>
        <w:t xml:space="preserve">The </w:t>
      </w:r>
      <w:r>
        <w:rPr>
          <w:rFonts w:cs="Segoe UI"/>
        </w:rPr>
        <w:t>WA</w:t>
      </w:r>
      <w:r w:rsidRPr="001964A6">
        <w:rPr>
          <w:rFonts w:cs="Segoe UI"/>
        </w:rPr>
        <w:t xml:space="preserve"> RFA with</w:t>
      </w:r>
      <w:r>
        <w:rPr>
          <w:rFonts w:cs="Segoe UI"/>
        </w:rPr>
        <w:t xml:space="preserve"> a</w:t>
      </w:r>
      <w:r w:rsidRPr="001964A6">
        <w:rPr>
          <w:rFonts w:cs="Segoe UI"/>
        </w:rPr>
        <w:t xml:space="preserve"> </w:t>
      </w:r>
      <w:r w:rsidR="00A42B5E" w:rsidRPr="001964A6">
        <w:rPr>
          <w:rFonts w:cs="Segoe UI"/>
        </w:rPr>
        <w:t>five-year</w:t>
      </w:r>
      <w:r w:rsidRPr="001964A6">
        <w:rPr>
          <w:rFonts w:cs="Segoe UI"/>
        </w:rPr>
        <w:t xml:space="preserve"> rolling extension provide</w:t>
      </w:r>
      <w:r>
        <w:rPr>
          <w:rFonts w:cs="Segoe UI"/>
        </w:rPr>
        <w:t>s</w:t>
      </w:r>
      <w:r w:rsidRPr="001964A6">
        <w:rPr>
          <w:rFonts w:cs="Segoe UI"/>
        </w:rPr>
        <w:t xml:space="preserve"> for the continued protection of biodiversity, </w:t>
      </w:r>
      <w:r w:rsidR="00B40201">
        <w:rPr>
          <w:rFonts w:cs="Segoe UI"/>
        </w:rPr>
        <w:t>old-growth</w:t>
      </w:r>
      <w:r w:rsidRPr="001964A6">
        <w:rPr>
          <w:rFonts w:cs="Segoe UI"/>
        </w:rPr>
        <w:t xml:space="preserve"> forests and wilderness values through the CAR reserve system and the ecologically sustainable management of forests as described in </w:t>
      </w:r>
      <w:r w:rsidR="00212540" w:rsidRPr="00212540">
        <w:rPr>
          <w:rFonts w:cs="Segoe UI"/>
          <w:i/>
        </w:rPr>
        <w:t>T</w:t>
      </w:r>
      <w:r w:rsidRPr="00212540">
        <w:rPr>
          <w:rFonts w:cs="Segoe UI"/>
          <w:i/>
        </w:rPr>
        <w:t>he Forest Management System</w:t>
      </w:r>
      <w:r w:rsidR="00212540" w:rsidRPr="00212540">
        <w:rPr>
          <w:rFonts w:cs="Segoe UI"/>
          <w:i/>
        </w:rPr>
        <w:t xml:space="preserve"> in Western Australia</w:t>
      </w:r>
      <w:r w:rsidRPr="00212540">
        <w:rPr>
          <w:rFonts w:cs="Segoe UI"/>
          <w:i/>
        </w:rPr>
        <w:t>: An Overview</w:t>
      </w:r>
      <w:r w:rsidR="0061707C">
        <w:rPr>
          <w:rFonts w:cs="Segoe UI"/>
          <w:i/>
        </w:rPr>
        <w:t xml:space="preserve"> (2018)</w:t>
      </w:r>
      <w:r w:rsidRPr="001964A6">
        <w:rPr>
          <w:rFonts w:cs="Segoe UI"/>
        </w:rPr>
        <w:t xml:space="preserve">. The conservation reserve estate is interconnected and </w:t>
      </w:r>
      <w:r w:rsidR="004F015C">
        <w:rPr>
          <w:rFonts w:cs="Segoe UI"/>
        </w:rPr>
        <w:t>will continue to adapt to climate induced changes</w:t>
      </w:r>
      <w:r w:rsidR="00163B0A">
        <w:rPr>
          <w:rFonts w:cs="Segoe UI"/>
        </w:rPr>
        <w:t xml:space="preserve"> into the future</w:t>
      </w:r>
      <w:r w:rsidRPr="001964A6">
        <w:rPr>
          <w:rFonts w:cs="Segoe UI"/>
        </w:rPr>
        <w:t xml:space="preserve">. </w:t>
      </w:r>
    </w:p>
    <w:p w14:paraId="26ABD5F6" w14:textId="77777777" w:rsidR="0097427F" w:rsidRPr="00CE60B2" w:rsidRDefault="00681AF7" w:rsidP="0097427F">
      <w:pPr>
        <w:pStyle w:val="Heading3"/>
      </w:pPr>
      <w:bookmarkStart w:id="214" w:name="_Toc2776084"/>
      <w:r>
        <w:t>Indigenous</w:t>
      </w:r>
      <w:r w:rsidR="0097427F" w:rsidRPr="00CE60B2">
        <w:t xml:space="preserve"> Cultural Heritage</w:t>
      </w:r>
      <w:bookmarkEnd w:id="214"/>
    </w:p>
    <w:p w14:paraId="26ABD5F7" w14:textId="77777777" w:rsidR="009E0C86" w:rsidRDefault="007F5C79" w:rsidP="00BE03FA">
      <w:pPr>
        <w:rPr>
          <w:rFonts w:cs="Segoe UI"/>
        </w:rPr>
      </w:pPr>
      <w:r>
        <w:rPr>
          <w:rFonts w:cs="Segoe UI"/>
        </w:rPr>
        <w:t>Western Australia is committed to the p</w:t>
      </w:r>
      <w:r w:rsidR="009E0C86">
        <w:rPr>
          <w:rFonts w:cs="Segoe UI"/>
        </w:rPr>
        <w:t>rotection of Aboriginal heritage, the involvement of Aboriginal people in the management and use of forests on public land, increasing consultation with Aboriginal people</w:t>
      </w:r>
      <w:r w:rsidR="00FD14EC">
        <w:rPr>
          <w:rFonts w:cs="Segoe UI"/>
        </w:rPr>
        <w:t>,</w:t>
      </w:r>
      <w:r w:rsidR="009E0C86">
        <w:rPr>
          <w:rFonts w:cs="Segoe UI"/>
        </w:rPr>
        <w:t xml:space="preserve"> and the adaptation and improvement of their forest management system where the need is identified. Aboriginal involvement in forest management reflects their </w:t>
      </w:r>
      <w:r w:rsidR="002D56EB">
        <w:rPr>
          <w:rFonts w:cs="Segoe UI"/>
        </w:rPr>
        <w:t>connection</w:t>
      </w:r>
      <w:r w:rsidR="009E0C86">
        <w:rPr>
          <w:rFonts w:cs="Segoe UI"/>
        </w:rPr>
        <w:t xml:space="preserve"> with the land, and the integration of Indigenous values into forest management practice, policy and decision-making.</w:t>
      </w:r>
    </w:p>
    <w:p w14:paraId="26ABD5F8" w14:textId="77777777" w:rsidR="007F5C79" w:rsidRPr="00CE60B2" w:rsidRDefault="009E0C86" w:rsidP="00BE03FA">
      <w:pPr>
        <w:rPr>
          <w:rFonts w:cs="Segoe UI"/>
        </w:rPr>
      </w:pPr>
      <w:r>
        <w:rPr>
          <w:rFonts w:cs="Segoe UI"/>
        </w:rPr>
        <w:t xml:space="preserve">There has been considerable development of legislation, policy and processes to enhance the recognition and participation of Aboriginal people in forest management since the signing of the WA RFA. This includes amendments of the CALM Act, WA’s FMP processes and the </w:t>
      </w:r>
      <w:r w:rsidR="00202A26">
        <w:rPr>
          <w:rFonts w:cs="Segoe UI"/>
        </w:rPr>
        <w:t>SWNT </w:t>
      </w:r>
      <w:r>
        <w:rPr>
          <w:rFonts w:cs="Segoe UI"/>
        </w:rPr>
        <w:t xml:space="preserve">Settlement which will provide ongoing commitment and opportunities to Aboriginal communities based within the WA RFA region. </w:t>
      </w:r>
      <w:r w:rsidR="00EE7F7B">
        <w:rPr>
          <w:rFonts w:cs="Segoe UI"/>
        </w:rPr>
        <w:t xml:space="preserve">Successful involvement of Aboriginal people and forest-sector projects can deliver social and economic benefits, strengthening the resilience of Indigenous communities in the face of social and economic change. </w:t>
      </w:r>
    </w:p>
    <w:p w14:paraId="26ABD5F9" w14:textId="77777777" w:rsidR="0097427F" w:rsidRPr="00CE60B2" w:rsidRDefault="0097427F" w:rsidP="0097427F">
      <w:pPr>
        <w:pStyle w:val="Heading3"/>
      </w:pPr>
      <w:bookmarkStart w:id="215" w:name="_Toc2776085"/>
      <w:r w:rsidRPr="00CE60B2">
        <w:t>Economic Values</w:t>
      </w:r>
      <w:bookmarkEnd w:id="215"/>
    </w:p>
    <w:p w14:paraId="26ABD5FA" w14:textId="77777777" w:rsidR="00AE448F" w:rsidRDefault="00AE448F" w:rsidP="00BE03FA">
      <w:r w:rsidRPr="00FF1959">
        <w:t xml:space="preserve">A key goal of </w:t>
      </w:r>
      <w:r w:rsidR="00163B0A">
        <w:t xml:space="preserve">ecologically </w:t>
      </w:r>
      <w:r w:rsidRPr="00FF1959">
        <w:t>sustainable forest management is to maintain the productive capacity of native and plantation forests. To fully consider the economic values relating to forests, both quantitative resource volume and value metrics are required. Together, these illuminate the complex interactions affecting environmentally and economically sustainable forest management.</w:t>
      </w:r>
    </w:p>
    <w:p w14:paraId="26ABD5FB" w14:textId="77777777" w:rsidR="00163B0A" w:rsidRDefault="00163B0A" w:rsidP="00163B0A">
      <w:pPr>
        <w:rPr>
          <w:rFonts w:cs="Segoe UI"/>
        </w:rPr>
      </w:pPr>
      <w:r>
        <w:rPr>
          <w:rFonts w:eastAsia="SimSun" w:cs="Majalla UI"/>
        </w:rPr>
        <w:t>The WA RFA has and will continue to support the WA forest industry so that it has a strong and sustainable future and to provide additional certainty to industry and the community into the future.</w:t>
      </w:r>
      <w:r w:rsidRPr="00F01E3A">
        <w:rPr>
          <w:rFonts w:cs="Segoe UI"/>
        </w:rPr>
        <w:t xml:space="preserve"> </w:t>
      </w:r>
      <w:r w:rsidR="00030C35" w:rsidRPr="00FF1959">
        <w:t xml:space="preserve">The </w:t>
      </w:r>
      <w:r w:rsidR="00030C35">
        <w:t>extended WA RFA</w:t>
      </w:r>
      <w:r w:rsidR="00030C35" w:rsidRPr="00FF1959">
        <w:t xml:space="preserve"> </w:t>
      </w:r>
      <w:r w:rsidR="003F48D3">
        <w:t xml:space="preserve">will </w:t>
      </w:r>
      <w:r w:rsidR="00030C35" w:rsidRPr="00FF1959">
        <w:t>seek to maintain a stable regulatory and investment environment, which will assist in providing for socio-economic stability and opportunities for additional competition, productiv</w:t>
      </w:r>
      <w:r w:rsidR="00030C35">
        <w:t>ity increase and market growth.</w:t>
      </w:r>
    </w:p>
    <w:p w14:paraId="26ABD5FC" w14:textId="77777777" w:rsidR="00163B0A" w:rsidRDefault="00163B0A" w:rsidP="00163B0A">
      <w:pPr>
        <w:rPr>
          <w:rFonts w:cs="Segoe UI"/>
        </w:rPr>
      </w:pPr>
      <w:r>
        <w:rPr>
          <w:rFonts w:cs="Segoe UI"/>
        </w:rPr>
        <w:t xml:space="preserve">The net area available for harvesting has decreased by </w:t>
      </w:r>
      <w:r w:rsidR="00947057">
        <w:rPr>
          <w:rFonts w:cs="Segoe UI"/>
        </w:rPr>
        <w:t>243,770 </w:t>
      </w:r>
      <w:r>
        <w:rPr>
          <w:rFonts w:cs="Segoe UI"/>
        </w:rPr>
        <w:t>hectares since the commenceme</w:t>
      </w:r>
      <w:r w:rsidR="00947057">
        <w:rPr>
          <w:rFonts w:cs="Segoe UI"/>
        </w:rPr>
        <w:t>nt of the WA RFA (from 27 to 22 </w:t>
      </w:r>
      <w:r>
        <w:rPr>
          <w:rFonts w:cs="Segoe UI"/>
        </w:rPr>
        <w:t>per</w:t>
      </w:r>
      <w:r w:rsidR="00947057">
        <w:rPr>
          <w:rFonts w:cs="Segoe UI"/>
        </w:rPr>
        <w:t> </w:t>
      </w:r>
      <w:r>
        <w:rPr>
          <w:rFonts w:cs="Segoe UI"/>
        </w:rPr>
        <w:t xml:space="preserve">cent of the RFA area). A large part of this reduction was </w:t>
      </w:r>
      <w:r w:rsidR="00FD14EC">
        <w:rPr>
          <w:rFonts w:cs="Segoe UI"/>
        </w:rPr>
        <w:t>due to</w:t>
      </w:r>
      <w:r>
        <w:rPr>
          <w:rFonts w:cs="Segoe UI"/>
        </w:rPr>
        <w:t xml:space="preserve"> the </w:t>
      </w:r>
      <w:r w:rsidR="00D5614E" w:rsidRPr="00D5614E">
        <w:rPr>
          <w:rFonts w:cs="Segoe UI"/>
          <w:i/>
        </w:rPr>
        <w:t>P</w:t>
      </w:r>
      <w:r>
        <w:rPr>
          <w:rFonts w:cs="Segoe UI"/>
          <w:i/>
        </w:rPr>
        <w:t xml:space="preserve">rotecting our </w:t>
      </w:r>
      <w:r w:rsidR="00D5614E">
        <w:rPr>
          <w:rFonts w:cs="Segoe UI"/>
          <w:i/>
        </w:rPr>
        <w:t>O</w:t>
      </w:r>
      <w:r>
        <w:rPr>
          <w:rFonts w:cs="Segoe UI"/>
          <w:i/>
        </w:rPr>
        <w:t xml:space="preserve">ld-growth </w:t>
      </w:r>
      <w:r w:rsidR="00D5614E">
        <w:rPr>
          <w:rFonts w:cs="Segoe UI"/>
          <w:i/>
        </w:rPr>
        <w:t>F</w:t>
      </w:r>
      <w:r>
        <w:rPr>
          <w:rFonts w:cs="Segoe UI"/>
          <w:i/>
        </w:rPr>
        <w:t>orest</w:t>
      </w:r>
      <w:r w:rsidR="00D5614E">
        <w:rPr>
          <w:rFonts w:cs="Segoe UI"/>
          <w:i/>
        </w:rPr>
        <w:t>s</w:t>
      </w:r>
      <w:r>
        <w:rPr>
          <w:rFonts w:cs="Segoe UI"/>
        </w:rPr>
        <w:t xml:space="preserve"> policy and the introduction of </w:t>
      </w:r>
      <w:r w:rsidR="00883751">
        <w:rPr>
          <w:rFonts w:cs="Segoe UI"/>
        </w:rPr>
        <w:t>FHZ</w:t>
      </w:r>
      <w:r w:rsidR="00947057">
        <w:rPr>
          <w:rFonts w:cs="Segoe UI"/>
        </w:rPr>
        <w:t>s. For the duration of the WA </w:t>
      </w:r>
      <w:r>
        <w:rPr>
          <w:rFonts w:cs="Segoe UI"/>
        </w:rPr>
        <w:t xml:space="preserve">RFA harvested area has always remained below 1.5 per cent of the area available for wood production. </w:t>
      </w:r>
    </w:p>
    <w:p w14:paraId="26ABD5FD" w14:textId="77777777" w:rsidR="00163B0A" w:rsidRDefault="00163B0A" w:rsidP="00163B0A">
      <w:pPr>
        <w:rPr>
          <w:rFonts w:eastAsia="SimSun" w:cs="Majalla UI"/>
        </w:rPr>
      </w:pPr>
      <w:r>
        <w:rPr>
          <w:rFonts w:cs="Segoe UI"/>
        </w:rPr>
        <w:t>Since 1999, significant areas of plantation have been replaced with other land uses, including basic raw material quarries and roads. Bushfires have al</w:t>
      </w:r>
      <w:r w:rsidR="00947057">
        <w:rPr>
          <w:rFonts w:cs="Segoe UI"/>
        </w:rPr>
        <w:t>so impacted plantations. The WA </w:t>
      </w:r>
      <w:r>
        <w:rPr>
          <w:rFonts w:cs="Segoe UI"/>
        </w:rPr>
        <w:t>Government has made recent significant investment in softwood plantations on public and private lands.</w:t>
      </w:r>
    </w:p>
    <w:p w14:paraId="26ABD5FE" w14:textId="77777777" w:rsidR="00163B0A" w:rsidRDefault="00163B0A" w:rsidP="00163B0A">
      <w:pPr>
        <w:rPr>
          <w:rFonts w:cs="Segoe UI"/>
        </w:rPr>
      </w:pPr>
      <w:r w:rsidRPr="00F01E3A">
        <w:rPr>
          <w:rFonts w:cs="Segoe UI"/>
        </w:rPr>
        <w:lastRenderedPageBreak/>
        <w:t>The sustain</w:t>
      </w:r>
      <w:r w:rsidR="006C4F37">
        <w:rPr>
          <w:rFonts w:cs="Segoe UI"/>
        </w:rPr>
        <w:t>ed</w:t>
      </w:r>
      <w:r w:rsidRPr="00F01E3A">
        <w:rPr>
          <w:rFonts w:cs="Segoe UI"/>
        </w:rPr>
        <w:t xml:space="preserve"> yield in</w:t>
      </w:r>
      <w:r>
        <w:rPr>
          <w:rFonts w:cs="Segoe UI"/>
        </w:rPr>
        <w:t xml:space="preserve"> the WA RFA region has dec</w:t>
      </w:r>
      <w:r w:rsidR="00947057">
        <w:rPr>
          <w:rFonts w:cs="Segoe UI"/>
        </w:rPr>
        <w:t>lined over the period of the WA </w:t>
      </w:r>
      <w:r>
        <w:rPr>
          <w:rFonts w:cs="Segoe UI"/>
        </w:rPr>
        <w:t xml:space="preserve">RFA, largely due to the implementation of the </w:t>
      </w:r>
      <w:r w:rsidR="00D5614E">
        <w:rPr>
          <w:rFonts w:cs="Segoe UI"/>
          <w:i/>
        </w:rPr>
        <w:t>P</w:t>
      </w:r>
      <w:r w:rsidRPr="00C84DB2">
        <w:rPr>
          <w:rFonts w:cs="Segoe UI"/>
          <w:i/>
        </w:rPr>
        <w:t xml:space="preserve">rotecting our </w:t>
      </w:r>
      <w:r w:rsidR="00D5614E">
        <w:rPr>
          <w:rFonts w:cs="Segoe UI"/>
          <w:i/>
        </w:rPr>
        <w:t>O</w:t>
      </w:r>
      <w:r>
        <w:rPr>
          <w:rFonts w:cs="Segoe UI"/>
          <w:i/>
        </w:rPr>
        <w:t>ld-growth</w:t>
      </w:r>
      <w:r w:rsidRPr="00C84DB2">
        <w:rPr>
          <w:rFonts w:cs="Segoe UI"/>
          <w:i/>
        </w:rPr>
        <w:t xml:space="preserve"> </w:t>
      </w:r>
      <w:r w:rsidR="00D5614E">
        <w:rPr>
          <w:rFonts w:cs="Segoe UI"/>
          <w:i/>
        </w:rPr>
        <w:t>F</w:t>
      </w:r>
      <w:r w:rsidRPr="00C84DB2">
        <w:rPr>
          <w:rFonts w:cs="Segoe UI"/>
          <w:i/>
        </w:rPr>
        <w:t>orests</w:t>
      </w:r>
      <w:r>
        <w:rPr>
          <w:rFonts w:cs="Segoe UI"/>
        </w:rPr>
        <w:t xml:space="preserve"> policy and the consequent reduction in forest area available for timber production. WA will continue to determine sustain</w:t>
      </w:r>
      <w:r w:rsidR="006C4F37">
        <w:rPr>
          <w:rFonts w:cs="Segoe UI"/>
        </w:rPr>
        <w:t>ed</w:t>
      </w:r>
      <w:r>
        <w:rPr>
          <w:rFonts w:cs="Segoe UI"/>
        </w:rPr>
        <w:t xml:space="preserve"> yield</w:t>
      </w:r>
      <w:r w:rsidR="00FD14EC">
        <w:rPr>
          <w:rFonts w:cs="Segoe UI"/>
        </w:rPr>
        <w:t>s</w:t>
      </w:r>
      <w:r>
        <w:rPr>
          <w:rFonts w:cs="Segoe UI"/>
        </w:rPr>
        <w:t xml:space="preserve"> </w:t>
      </w:r>
      <w:r w:rsidR="00FD14EC">
        <w:rPr>
          <w:rFonts w:cs="Segoe UI"/>
        </w:rPr>
        <w:t xml:space="preserve">and undertake reviews </w:t>
      </w:r>
      <w:r>
        <w:rPr>
          <w:rFonts w:cs="Segoe UI"/>
        </w:rPr>
        <w:t>through an independent panel, and will report on harvest levels against the determined sustain</w:t>
      </w:r>
      <w:r w:rsidR="006C4F37">
        <w:rPr>
          <w:rFonts w:cs="Segoe UI"/>
        </w:rPr>
        <w:t>ed</w:t>
      </w:r>
      <w:r>
        <w:rPr>
          <w:rFonts w:cs="Segoe UI"/>
        </w:rPr>
        <w:t xml:space="preserve"> yield through the FMP and five</w:t>
      </w:r>
      <w:r>
        <w:rPr>
          <w:rFonts w:cs="Segoe UI"/>
        </w:rPr>
        <w:noBreakHyphen/>
        <w:t>yearly RFA reviews.</w:t>
      </w:r>
    </w:p>
    <w:p w14:paraId="26ABD5FF" w14:textId="77777777" w:rsidR="00163B0A" w:rsidRDefault="00163B0A" w:rsidP="00163B0A">
      <w:pPr>
        <w:rPr>
          <w:rFonts w:cs="Segoe UI"/>
          <w:color w:val="000000" w:themeColor="text1"/>
        </w:rPr>
      </w:pPr>
      <w:r>
        <w:rPr>
          <w:rFonts w:cs="Segoe UI"/>
          <w:color w:val="000000" w:themeColor="text1"/>
        </w:rPr>
        <w:t>DBCA have incorporated consideration of climate change into sustain</w:t>
      </w:r>
      <w:r w:rsidR="006C4F37">
        <w:rPr>
          <w:rFonts w:cs="Segoe UI"/>
          <w:color w:val="000000" w:themeColor="text1"/>
        </w:rPr>
        <w:t>ed</w:t>
      </w:r>
      <w:r>
        <w:rPr>
          <w:rFonts w:cs="Segoe UI"/>
          <w:color w:val="000000" w:themeColor="text1"/>
        </w:rPr>
        <w:t xml:space="preserve"> yield calculations by modelling a high severity climate change scenario in calculations. WA seek</w:t>
      </w:r>
      <w:r w:rsidR="00FD14EC">
        <w:rPr>
          <w:rFonts w:cs="Segoe UI"/>
          <w:color w:val="000000" w:themeColor="text1"/>
        </w:rPr>
        <w:t>s</w:t>
      </w:r>
      <w:r>
        <w:rPr>
          <w:rFonts w:cs="Segoe UI"/>
          <w:color w:val="000000" w:themeColor="text1"/>
        </w:rPr>
        <w:t xml:space="preserve"> to sustain the productive capacity of forest ecosystems and plantations as they adapt to climate change. </w:t>
      </w:r>
    </w:p>
    <w:p w14:paraId="26ABD600" w14:textId="77777777" w:rsidR="00163B0A" w:rsidRDefault="00163B0A" w:rsidP="00163B0A">
      <w:pPr>
        <w:rPr>
          <w:rFonts w:cs="Segoe UI"/>
        </w:rPr>
      </w:pPr>
      <w:r>
        <w:rPr>
          <w:rFonts w:cs="Segoe UI"/>
        </w:rPr>
        <w:t xml:space="preserve">The WA Government will continue to work with apiarists and other forest users involved in removal of non-wood forest products to encourage alternative uses of forests in the </w:t>
      </w:r>
      <w:r w:rsidR="00947057">
        <w:rPr>
          <w:rFonts w:cs="Segoe UI"/>
        </w:rPr>
        <w:t>WA </w:t>
      </w:r>
      <w:r>
        <w:rPr>
          <w:rFonts w:cs="Segoe UI"/>
        </w:rPr>
        <w:t xml:space="preserve">RFA region and to manage these uses in balance with the range of forest uses. </w:t>
      </w:r>
    </w:p>
    <w:p w14:paraId="26ABD601" w14:textId="77777777" w:rsidR="00163B0A" w:rsidRDefault="00163B0A" w:rsidP="00163B0A">
      <w:pPr>
        <w:rPr>
          <w:rFonts w:cs="Segoe UI"/>
        </w:rPr>
      </w:pPr>
      <w:r>
        <w:rPr>
          <w:rFonts w:cs="Segoe UI"/>
        </w:rPr>
        <w:t xml:space="preserve">As global demand for forest products increase, there is a growing need to meet societal demands for recycling of forest products. </w:t>
      </w:r>
      <w:r>
        <w:rPr>
          <w:lang w:eastAsia="ja-JP"/>
        </w:rPr>
        <w:t>There are opportunities for recycling of forest products to play a large role in the future of waste and forest management in the state, including in energy generated from biomass. WA have endorsed the National Waste Policy to increase the recycling of waste products.</w:t>
      </w:r>
    </w:p>
    <w:p w14:paraId="26ABD602" w14:textId="77777777" w:rsidR="0097427F" w:rsidRPr="00CE60B2" w:rsidRDefault="0097427F" w:rsidP="0097427F">
      <w:pPr>
        <w:pStyle w:val="Heading3"/>
      </w:pPr>
      <w:bookmarkStart w:id="216" w:name="_Toc2776086"/>
      <w:r w:rsidRPr="00CE60B2">
        <w:t>Social Values</w:t>
      </w:r>
      <w:bookmarkEnd w:id="216"/>
    </w:p>
    <w:p w14:paraId="26ABD603" w14:textId="77777777" w:rsidR="00C11105" w:rsidRDefault="00947057" w:rsidP="00BE03FA">
      <w:pPr>
        <w:rPr>
          <w:rFonts w:eastAsia="SimSun" w:cs="Majalla UI"/>
          <w:lang w:eastAsia="en-AU"/>
        </w:rPr>
      </w:pPr>
      <w:r>
        <w:rPr>
          <w:rFonts w:eastAsia="SimSun" w:cs="Majalla UI"/>
          <w:lang w:eastAsia="en-AU"/>
        </w:rPr>
        <w:t>WA </w:t>
      </w:r>
      <w:r w:rsidR="00163B0A">
        <w:rPr>
          <w:rFonts w:eastAsia="SimSun" w:cs="Majalla UI"/>
          <w:lang w:eastAsia="en-AU"/>
        </w:rPr>
        <w:t xml:space="preserve">RFA </w:t>
      </w:r>
      <w:r w:rsidR="00C11105" w:rsidRPr="00C11105">
        <w:rPr>
          <w:rFonts w:eastAsia="SimSun" w:cs="Majalla UI"/>
          <w:lang w:eastAsia="en-AU"/>
        </w:rPr>
        <w:t>forests contribute to local and State economies, benefit personal and community wellbeing, and support cultural values for local communities, including Aboriginal communities.</w:t>
      </w:r>
    </w:p>
    <w:p w14:paraId="26ABD604" w14:textId="77777777" w:rsidR="00163B0A" w:rsidRDefault="00163B0A" w:rsidP="00163B0A">
      <w:pPr>
        <w:spacing w:before="0"/>
        <w:rPr>
          <w:lang w:eastAsia="ja-JP"/>
        </w:rPr>
      </w:pPr>
      <w:r>
        <w:rPr>
          <w:lang w:eastAsia="ja-JP"/>
        </w:rPr>
        <w:t>The forest industry in WA supp</w:t>
      </w:r>
      <w:r w:rsidR="00947057">
        <w:rPr>
          <w:lang w:eastAsia="ja-JP"/>
        </w:rPr>
        <w:t>orts employment of around 6,000 </w:t>
      </w:r>
      <w:r>
        <w:rPr>
          <w:lang w:eastAsia="ja-JP"/>
        </w:rPr>
        <w:t>people (including areas outside the RFA region). Secondary processin</w:t>
      </w:r>
      <w:r w:rsidR="000F6B20">
        <w:rPr>
          <w:lang w:eastAsia="ja-JP"/>
        </w:rPr>
        <w:t xml:space="preserve">g is an important value adding </w:t>
      </w:r>
      <w:r w:rsidR="00947057">
        <w:rPr>
          <w:lang w:eastAsia="ja-JP"/>
        </w:rPr>
        <w:t>sector, generating 1,495 </w:t>
      </w:r>
      <w:r>
        <w:rPr>
          <w:lang w:eastAsia="ja-JP"/>
        </w:rPr>
        <w:t>jobs. The forest</w:t>
      </w:r>
      <w:r w:rsidR="00FD14EC">
        <w:rPr>
          <w:lang w:eastAsia="ja-JP"/>
        </w:rPr>
        <w:t>s</w:t>
      </w:r>
      <w:r>
        <w:rPr>
          <w:lang w:eastAsia="ja-JP"/>
        </w:rPr>
        <w:t xml:space="preserve"> also support a number of other </w:t>
      </w:r>
      <w:r w:rsidR="00FD14EC">
        <w:rPr>
          <w:lang w:eastAsia="ja-JP"/>
        </w:rPr>
        <w:t>industries</w:t>
      </w:r>
      <w:r>
        <w:rPr>
          <w:lang w:eastAsia="ja-JP"/>
        </w:rPr>
        <w:t xml:space="preserve"> including apiary, grazing, sand, rock and gravel extraction, mineral extraction, telecommunication sites and forest based tourism.</w:t>
      </w:r>
    </w:p>
    <w:p w14:paraId="26ABD605" w14:textId="77777777" w:rsidR="00163B0A" w:rsidRDefault="00163B0A" w:rsidP="00163B0A">
      <w:pPr>
        <w:spacing w:before="0"/>
        <w:rPr>
          <w:lang w:eastAsia="ja-JP"/>
        </w:rPr>
      </w:pPr>
      <w:r>
        <w:rPr>
          <w:lang w:eastAsia="ja-JP"/>
        </w:rPr>
        <w:t>There is li</w:t>
      </w:r>
      <w:r w:rsidR="00FD14EC">
        <w:rPr>
          <w:lang w:eastAsia="ja-JP"/>
        </w:rPr>
        <w:t>mited</w:t>
      </w:r>
      <w:r>
        <w:rPr>
          <w:lang w:eastAsia="ja-JP"/>
        </w:rPr>
        <w:t xml:space="preserve"> information available on employment </w:t>
      </w:r>
      <w:r w:rsidR="00FD14EC">
        <w:rPr>
          <w:lang w:eastAsia="ja-JP"/>
        </w:rPr>
        <w:t xml:space="preserve">trends </w:t>
      </w:r>
      <w:r>
        <w:rPr>
          <w:lang w:eastAsia="ja-JP"/>
        </w:rPr>
        <w:t>in the forest industry over time.</w:t>
      </w:r>
      <w:r w:rsidRPr="002F7004">
        <w:rPr>
          <w:lang w:eastAsia="ja-JP"/>
        </w:rPr>
        <w:t xml:space="preserve"> </w:t>
      </w:r>
      <w:r w:rsidR="00FD14EC">
        <w:rPr>
          <w:lang w:eastAsia="ja-JP"/>
        </w:rPr>
        <w:t xml:space="preserve">Future </w:t>
      </w:r>
      <w:r>
        <w:rPr>
          <w:lang w:eastAsia="ja-JP"/>
        </w:rPr>
        <w:t>change</w:t>
      </w:r>
      <w:r w:rsidR="00FD14EC">
        <w:rPr>
          <w:lang w:eastAsia="ja-JP"/>
        </w:rPr>
        <w:t>s</w:t>
      </w:r>
      <w:r>
        <w:rPr>
          <w:lang w:eastAsia="ja-JP"/>
        </w:rPr>
        <w:t xml:space="preserve"> in employment will depend on a range of factors, including government policy decisions and state population growth.</w:t>
      </w:r>
      <w:r w:rsidRPr="002F7004">
        <w:rPr>
          <w:lang w:eastAsia="ja-JP"/>
        </w:rPr>
        <w:t xml:space="preserve"> </w:t>
      </w:r>
      <w:r w:rsidR="00073C67">
        <w:rPr>
          <w:lang w:eastAsia="ja-JP"/>
        </w:rPr>
        <w:t>Forecasts of t</w:t>
      </w:r>
      <w:r>
        <w:rPr>
          <w:lang w:eastAsia="ja-JP"/>
        </w:rPr>
        <w:t xml:space="preserve">he wage rates of forestry workers compared to other industries </w:t>
      </w:r>
      <w:r w:rsidR="00073C67">
        <w:rPr>
          <w:lang w:eastAsia="ja-JP"/>
        </w:rPr>
        <w:t>in the</w:t>
      </w:r>
      <w:r>
        <w:rPr>
          <w:lang w:eastAsia="ja-JP"/>
        </w:rPr>
        <w:t xml:space="preserve"> future</w:t>
      </w:r>
      <w:r w:rsidR="00073C67">
        <w:rPr>
          <w:lang w:eastAsia="ja-JP"/>
        </w:rPr>
        <w:t xml:space="preserve"> are not available</w:t>
      </w:r>
      <w:r>
        <w:rPr>
          <w:lang w:eastAsia="ja-JP"/>
        </w:rPr>
        <w:t>.</w:t>
      </w:r>
      <w:r w:rsidRPr="002F7004">
        <w:rPr>
          <w:lang w:eastAsia="ja-JP"/>
        </w:rPr>
        <w:t xml:space="preserve"> </w:t>
      </w:r>
      <w:r>
        <w:rPr>
          <w:lang w:eastAsia="ja-JP"/>
        </w:rPr>
        <w:t>Improving safety and reducing injury will continue to be an industry focus in the future.</w:t>
      </w:r>
    </w:p>
    <w:p w14:paraId="26ABD606" w14:textId="77777777" w:rsidR="00163B0A" w:rsidRDefault="00163B0A" w:rsidP="00163B0A">
      <w:pPr>
        <w:rPr>
          <w:rFonts w:cs="Segoe UI"/>
        </w:rPr>
      </w:pPr>
      <w:r w:rsidRPr="00CE60B2">
        <w:rPr>
          <w:rFonts w:cs="Segoe UI"/>
        </w:rPr>
        <w:t>W</w:t>
      </w:r>
      <w:r>
        <w:rPr>
          <w:rFonts w:cs="Segoe UI"/>
        </w:rPr>
        <w:t xml:space="preserve">estern </w:t>
      </w:r>
      <w:r w:rsidRPr="00CE60B2">
        <w:rPr>
          <w:rFonts w:cs="Segoe UI"/>
        </w:rPr>
        <w:t>A</w:t>
      </w:r>
      <w:r>
        <w:rPr>
          <w:rFonts w:cs="Segoe UI"/>
        </w:rPr>
        <w:t>ustralia</w:t>
      </w:r>
      <w:r w:rsidRPr="00CE60B2">
        <w:rPr>
          <w:rFonts w:cs="Segoe UI"/>
        </w:rPr>
        <w:t>’s forest dependent communities faced a broad variety of change events during the WA</w:t>
      </w:r>
      <w:r>
        <w:rPr>
          <w:rFonts w:cs="Segoe UI"/>
        </w:rPr>
        <w:t> </w:t>
      </w:r>
      <w:r w:rsidRPr="00CE60B2">
        <w:rPr>
          <w:rFonts w:cs="Segoe UI"/>
        </w:rPr>
        <w:t>RFA period, including local industry restructures, natural disasters, social conflict</w:t>
      </w:r>
      <w:r w:rsidR="00073C67">
        <w:rPr>
          <w:rFonts w:cs="Segoe UI"/>
        </w:rPr>
        <w:t>,</w:t>
      </w:r>
      <w:r w:rsidRPr="00CE60B2">
        <w:rPr>
          <w:rFonts w:cs="Segoe UI"/>
        </w:rPr>
        <w:t xml:space="preserve"> changing economic conditions and the impacts of policy decisions.</w:t>
      </w:r>
    </w:p>
    <w:p w14:paraId="26ABD607" w14:textId="77777777" w:rsidR="00163B0A" w:rsidRDefault="00163B0A" w:rsidP="00163B0A">
      <w:pPr>
        <w:rPr>
          <w:lang w:eastAsia="ja-JP"/>
        </w:rPr>
      </w:pPr>
      <w:r>
        <w:t xml:space="preserve">Western Australia has recognised the challenges of a changing forest industry, and </w:t>
      </w:r>
      <w:r w:rsidR="00073C67">
        <w:t>is</w:t>
      </w:r>
      <w:r>
        <w:t xml:space="preserve"> implementing policies such as the Softwood Industry Strategy for Western Australia to </w:t>
      </w:r>
      <w:r w:rsidR="00073C67">
        <w:t>expand plantation resources and provide further opportunities for</w:t>
      </w:r>
      <w:r>
        <w:t xml:space="preserve"> local communities dependent on the forest industry. The FPC will continue to work with the industry and community to </w:t>
      </w:r>
      <w:r w:rsidR="00073C67">
        <w:t>enhance the</w:t>
      </w:r>
      <w:r>
        <w:t xml:space="preserve"> contribution </w:t>
      </w:r>
      <w:r w:rsidR="00073C67">
        <w:t xml:space="preserve">of the forest products industry </w:t>
      </w:r>
      <w:r>
        <w:t>to regional communities.</w:t>
      </w:r>
    </w:p>
    <w:p w14:paraId="26ABD608" w14:textId="77777777" w:rsidR="00163B0A" w:rsidRDefault="00163B0A" w:rsidP="00163B0A">
      <w:pPr>
        <w:spacing w:before="0"/>
        <w:rPr>
          <w:rFonts w:cs="Segoe UI"/>
        </w:rPr>
      </w:pPr>
      <w:r>
        <w:rPr>
          <w:rFonts w:cs="Segoe UI"/>
        </w:rPr>
        <w:lastRenderedPageBreak/>
        <w:t xml:space="preserve">Since the signing of the WA RFA in 1999 there has been an increase of 59,600 hectares of area available for recreation and tourism in the RFA region, and </w:t>
      </w:r>
      <w:r w:rsidR="00073C67">
        <w:rPr>
          <w:rFonts w:cs="Segoe UI"/>
        </w:rPr>
        <w:t>this</w:t>
      </w:r>
      <w:r w:rsidR="00932DE3">
        <w:rPr>
          <w:rFonts w:cs="Segoe UI"/>
        </w:rPr>
        <w:t xml:space="preserve"> </w:t>
      </w:r>
      <w:r w:rsidR="00073C67">
        <w:rPr>
          <w:rFonts w:cs="Segoe UI"/>
        </w:rPr>
        <w:t>level of</w:t>
      </w:r>
      <w:r>
        <w:rPr>
          <w:rFonts w:cs="Segoe UI"/>
        </w:rPr>
        <w:t xml:space="preserve"> access</w:t>
      </w:r>
      <w:r w:rsidR="00073C67">
        <w:rPr>
          <w:rFonts w:cs="Segoe UI"/>
        </w:rPr>
        <w:t xml:space="preserve"> is expected to continue</w:t>
      </w:r>
      <w:r>
        <w:rPr>
          <w:rFonts w:cs="Segoe UI"/>
        </w:rPr>
        <w:t xml:space="preserve"> under an extended WA RFA. </w:t>
      </w:r>
    </w:p>
    <w:p w14:paraId="26ABD609" w14:textId="77777777" w:rsidR="00163B0A" w:rsidRDefault="00163B0A" w:rsidP="00163B0A">
      <w:pPr>
        <w:rPr>
          <w:lang w:eastAsia="ja-JP"/>
        </w:rPr>
      </w:pPr>
      <w:r>
        <w:rPr>
          <w:lang w:eastAsia="ja-JP"/>
        </w:rPr>
        <w:t xml:space="preserve">Forests are important to people for a variety of reasons, and this will </w:t>
      </w:r>
      <w:r w:rsidR="00073C67">
        <w:rPr>
          <w:lang w:eastAsia="ja-JP"/>
        </w:rPr>
        <w:t>continue to be the case in the future</w:t>
      </w:r>
      <w:r>
        <w:rPr>
          <w:lang w:eastAsia="ja-JP"/>
        </w:rPr>
        <w:t xml:space="preserve">. </w:t>
      </w:r>
      <w:r w:rsidR="00073C67">
        <w:rPr>
          <w:lang w:eastAsia="ja-JP"/>
        </w:rPr>
        <w:t>The capacity of f</w:t>
      </w:r>
      <w:r>
        <w:rPr>
          <w:lang w:eastAsia="ja-JP"/>
        </w:rPr>
        <w:t xml:space="preserve">orests </w:t>
      </w:r>
      <w:r w:rsidR="00073C67">
        <w:rPr>
          <w:lang w:eastAsia="ja-JP"/>
        </w:rPr>
        <w:t>to store</w:t>
      </w:r>
      <w:r>
        <w:rPr>
          <w:lang w:eastAsia="ja-JP"/>
        </w:rPr>
        <w:t xml:space="preserve"> carbon is likely to increas</w:t>
      </w:r>
      <w:r w:rsidR="00073C67">
        <w:rPr>
          <w:lang w:eastAsia="ja-JP"/>
        </w:rPr>
        <w:t>e the importance of forests in the future</w:t>
      </w:r>
      <w:r>
        <w:rPr>
          <w:lang w:eastAsia="ja-JP"/>
        </w:rPr>
        <w:t>.</w:t>
      </w:r>
    </w:p>
    <w:p w14:paraId="26ABD60A" w14:textId="77777777" w:rsidR="00C11105" w:rsidRPr="00CE60B2" w:rsidRDefault="00073C67" w:rsidP="00BE03FA">
      <w:pPr>
        <w:rPr>
          <w:rFonts w:cs="Segoe UI"/>
        </w:rPr>
      </w:pPr>
      <w:r>
        <w:rPr>
          <w:lang w:eastAsia="en-AU"/>
        </w:rPr>
        <w:t>An</w:t>
      </w:r>
      <w:r w:rsidR="00C11105" w:rsidRPr="00FF1959">
        <w:rPr>
          <w:lang w:eastAsia="en-AU"/>
        </w:rPr>
        <w:t xml:space="preserve"> </w:t>
      </w:r>
      <w:r w:rsidR="00C11105">
        <w:rPr>
          <w:lang w:eastAsia="en-AU"/>
        </w:rPr>
        <w:t>extended WA RFA</w:t>
      </w:r>
      <w:r w:rsidR="00C11105" w:rsidRPr="00FF1959">
        <w:rPr>
          <w:lang w:eastAsia="en-AU"/>
        </w:rPr>
        <w:t xml:space="preserve"> will continue to ensure </w:t>
      </w:r>
      <w:r w:rsidR="00C11105">
        <w:rPr>
          <w:lang w:eastAsia="en-AU"/>
        </w:rPr>
        <w:t>WA</w:t>
      </w:r>
      <w:r w:rsidR="00C11105" w:rsidRPr="00FF1959">
        <w:rPr>
          <w:lang w:eastAsia="en-AU"/>
        </w:rPr>
        <w:t xml:space="preserve"> forests remain accessible for a range of uses, and support and deliver social benefits. </w:t>
      </w:r>
      <w:r>
        <w:rPr>
          <w:lang w:eastAsia="en-AU"/>
        </w:rPr>
        <w:t>An</w:t>
      </w:r>
      <w:r w:rsidR="00C11105" w:rsidRPr="00FF1959">
        <w:rPr>
          <w:lang w:eastAsia="en-AU"/>
        </w:rPr>
        <w:t xml:space="preserve"> </w:t>
      </w:r>
      <w:r w:rsidR="00C11105">
        <w:rPr>
          <w:lang w:eastAsia="en-AU"/>
        </w:rPr>
        <w:t>extended WA RFA</w:t>
      </w:r>
      <w:r w:rsidR="00C11105" w:rsidRPr="00FF1959">
        <w:rPr>
          <w:lang w:eastAsia="en-AU"/>
        </w:rPr>
        <w:t xml:space="preserve"> will continue to provide an adaptive framework that can incorporate new information and changes in community attitudes and circumstances, which will maintain and enhance social values into the future. </w:t>
      </w:r>
    </w:p>
    <w:p w14:paraId="26ABD60B" w14:textId="77777777" w:rsidR="0097427F" w:rsidRPr="00CE60B2" w:rsidRDefault="0097427F" w:rsidP="0097427F">
      <w:pPr>
        <w:pStyle w:val="Heading3"/>
        <w:rPr>
          <w:lang w:eastAsia="en-AU"/>
        </w:rPr>
      </w:pPr>
      <w:bookmarkStart w:id="217" w:name="_Toc2776087"/>
      <w:r w:rsidRPr="00CE60B2">
        <w:rPr>
          <w:lang w:eastAsia="en-AU"/>
        </w:rPr>
        <w:t>Principles of Ecologically Sustainable Management</w:t>
      </w:r>
      <w:bookmarkEnd w:id="217"/>
    </w:p>
    <w:p w14:paraId="26ABD60C" w14:textId="21E15E4A" w:rsidR="00163B0A" w:rsidRDefault="00163B0A" w:rsidP="00163B0A">
      <w:pPr>
        <w:rPr>
          <w:rFonts w:cs="Segoe UI"/>
          <w:lang w:eastAsia="en-AU"/>
        </w:rPr>
      </w:pPr>
      <w:r>
        <w:rPr>
          <w:rFonts w:cs="Segoe UI"/>
          <w:lang w:eastAsia="en-AU"/>
        </w:rPr>
        <w:t>Ecologically sustainable management of forests is an objective that requires a long</w:t>
      </w:r>
      <w:r w:rsidR="0061707C">
        <w:rPr>
          <w:rFonts w:cs="Segoe UI"/>
          <w:lang w:eastAsia="en-AU"/>
        </w:rPr>
        <w:t>-</w:t>
      </w:r>
      <w:r>
        <w:rPr>
          <w:rFonts w:cs="Segoe UI"/>
          <w:lang w:eastAsia="en-AU"/>
        </w:rPr>
        <w:t>term commitment to continuous improvement and adaptive management. A</w:t>
      </w:r>
      <w:r w:rsidR="00D601CB">
        <w:rPr>
          <w:rFonts w:cs="Segoe UI"/>
          <w:lang w:eastAsia="en-AU"/>
        </w:rPr>
        <w:t>n extended</w:t>
      </w:r>
      <w:r w:rsidR="000710BB">
        <w:rPr>
          <w:rFonts w:cs="Segoe UI"/>
          <w:lang w:eastAsia="en-AU"/>
        </w:rPr>
        <w:t xml:space="preserve"> WA </w:t>
      </w:r>
      <w:r>
        <w:rPr>
          <w:rFonts w:cs="Segoe UI"/>
          <w:lang w:eastAsia="en-AU"/>
        </w:rPr>
        <w:t>RFA will continue to provide for the ecologically sustainable management and use of forests in the WA RFA region, and commit the Australian and WA governments to its key elements, including the maintenance of the</w:t>
      </w:r>
      <w:r w:rsidR="00C05A68">
        <w:rPr>
          <w:rFonts w:cs="Segoe UI"/>
          <w:lang w:eastAsia="en-AU"/>
        </w:rPr>
        <w:t xml:space="preserve"> CAR </w:t>
      </w:r>
      <w:r>
        <w:rPr>
          <w:rFonts w:cs="Segoe UI"/>
          <w:lang w:eastAsia="en-AU"/>
        </w:rPr>
        <w:t xml:space="preserve">reserve system and an integrated, complementary and strategic Forest Management System capable of responding to new information. </w:t>
      </w:r>
    </w:p>
    <w:p w14:paraId="26ABD60D" w14:textId="77777777" w:rsidR="00163B0A" w:rsidRDefault="00163B0A" w:rsidP="00163B0A">
      <w:pPr>
        <w:rPr>
          <w:rFonts w:cs="Segoe UI"/>
        </w:rPr>
      </w:pPr>
      <w:r w:rsidRPr="00526F7C">
        <w:rPr>
          <w:rFonts w:cs="Segoe UI"/>
        </w:rPr>
        <w:t>The WA</w:t>
      </w:r>
      <w:r>
        <w:rPr>
          <w:rFonts w:cs="Segoe UI"/>
        </w:rPr>
        <w:t> </w:t>
      </w:r>
      <w:r w:rsidRPr="00526F7C">
        <w:rPr>
          <w:rFonts w:cs="Segoe UI"/>
        </w:rPr>
        <w:t>RFA is underpinned by comprehensive legislative and institutional frameworks governing the ecologically sustainable management of the</w:t>
      </w:r>
      <w:r>
        <w:rPr>
          <w:rFonts w:cs="Segoe UI"/>
        </w:rPr>
        <w:t xml:space="preserve"> region’s</w:t>
      </w:r>
      <w:r w:rsidRPr="00526F7C">
        <w:rPr>
          <w:rFonts w:cs="Segoe UI"/>
        </w:rPr>
        <w:t xml:space="preserve"> forests. These frameworks are </w:t>
      </w:r>
      <w:r>
        <w:rPr>
          <w:rFonts w:cs="Segoe UI"/>
        </w:rPr>
        <w:t xml:space="preserve">continually </w:t>
      </w:r>
      <w:r w:rsidRPr="00526F7C">
        <w:rPr>
          <w:rFonts w:cs="Segoe UI"/>
        </w:rPr>
        <w:t>adapting and improving</w:t>
      </w:r>
      <w:r>
        <w:rPr>
          <w:rFonts w:cs="Segoe UI"/>
        </w:rPr>
        <w:t xml:space="preserve"> through new legislation, regulations and reviews of plans and the RFA. </w:t>
      </w:r>
    </w:p>
    <w:p w14:paraId="26ABD60E" w14:textId="77777777" w:rsidR="00163B0A" w:rsidRDefault="00163B0A" w:rsidP="00163B0A">
      <w:pPr>
        <w:rPr>
          <w:rFonts w:cs="Segoe UI"/>
        </w:rPr>
      </w:pPr>
      <w:r w:rsidRPr="00526F7C">
        <w:rPr>
          <w:rFonts w:cs="Segoe UI"/>
        </w:rPr>
        <w:t>The WA</w:t>
      </w:r>
      <w:r>
        <w:rPr>
          <w:rFonts w:cs="Segoe UI"/>
        </w:rPr>
        <w:t> </w:t>
      </w:r>
      <w:r w:rsidRPr="00526F7C">
        <w:rPr>
          <w:rFonts w:cs="Segoe UI"/>
        </w:rPr>
        <w:t>FMS includes research and monitoring of forest ecosystem health and vitality, which has led to, and will continue to lead to, adaptive improvements in the management of the WA</w:t>
      </w:r>
      <w:r>
        <w:rPr>
          <w:rFonts w:cs="Segoe UI"/>
        </w:rPr>
        <w:t> </w:t>
      </w:r>
      <w:r w:rsidRPr="00526F7C">
        <w:rPr>
          <w:rFonts w:cs="Segoe UI"/>
        </w:rPr>
        <w:t>RFA regions forests.</w:t>
      </w:r>
      <w:r>
        <w:rPr>
          <w:rFonts w:cs="Segoe UI"/>
        </w:rPr>
        <w:t xml:space="preserve"> </w:t>
      </w:r>
      <w:r w:rsidR="000710BB">
        <w:rPr>
          <w:rFonts w:cs="Segoe UI"/>
        </w:rPr>
        <w:t>The Australian </w:t>
      </w:r>
      <w:r w:rsidRPr="00526F7C">
        <w:rPr>
          <w:rFonts w:cs="Segoe UI"/>
        </w:rPr>
        <w:t>Government continues to fund forestry research through contr</w:t>
      </w:r>
      <w:r>
        <w:rPr>
          <w:rFonts w:cs="Segoe UI"/>
        </w:rPr>
        <w:t>ibutions to the FWPA</w:t>
      </w:r>
      <w:r w:rsidRPr="00526F7C">
        <w:rPr>
          <w:rFonts w:cs="Segoe UI"/>
        </w:rPr>
        <w:t xml:space="preserve"> and the </w:t>
      </w:r>
      <w:r w:rsidR="000710BB">
        <w:rPr>
          <w:rFonts w:cs="Segoe UI"/>
        </w:rPr>
        <w:t>NIFPI</w:t>
      </w:r>
      <w:r w:rsidRPr="00526F7C">
        <w:rPr>
          <w:rFonts w:cs="Segoe UI"/>
        </w:rPr>
        <w:t>.</w:t>
      </w:r>
    </w:p>
    <w:p w14:paraId="26ABD60F" w14:textId="77777777" w:rsidR="00163B0A" w:rsidRDefault="00163B0A" w:rsidP="00163B0A">
      <w:pPr>
        <w:rPr>
          <w:rFonts w:cs="Segoe UI"/>
        </w:rPr>
      </w:pPr>
      <w:r w:rsidRPr="00526F7C">
        <w:rPr>
          <w:rFonts w:cs="Segoe UI"/>
        </w:rPr>
        <w:t xml:space="preserve">The </w:t>
      </w:r>
      <w:r>
        <w:rPr>
          <w:rFonts w:cs="Segoe UI"/>
        </w:rPr>
        <w:t>FMP</w:t>
      </w:r>
      <w:r w:rsidRPr="00526F7C">
        <w:rPr>
          <w:rFonts w:cs="Segoe UI"/>
        </w:rPr>
        <w:t>s incorporate scientific information to improve forest management, such as an expert panel review of silvicultural prescriptions and sustain</w:t>
      </w:r>
      <w:r w:rsidR="006C4F37">
        <w:rPr>
          <w:rFonts w:cs="Segoe UI"/>
        </w:rPr>
        <w:t>ed</w:t>
      </w:r>
      <w:r w:rsidRPr="00526F7C">
        <w:rPr>
          <w:rFonts w:cs="Segoe UI"/>
        </w:rPr>
        <w:t xml:space="preserve"> yield calculations.</w:t>
      </w:r>
      <w:r>
        <w:rPr>
          <w:rFonts w:cs="Segoe UI"/>
        </w:rPr>
        <w:t xml:space="preserve"> Forest operations on private land are also based on the principles of ecologically sustainable management.</w:t>
      </w:r>
    </w:p>
    <w:p w14:paraId="26ABD610" w14:textId="77777777" w:rsidR="00163B0A" w:rsidRPr="00C82862" w:rsidRDefault="00163B0A" w:rsidP="00163B0A">
      <w:pPr>
        <w:rPr>
          <w:rFonts w:cs="Segoe UI"/>
        </w:rPr>
      </w:pPr>
      <w:r w:rsidRPr="00C82862">
        <w:rPr>
          <w:rFonts w:cs="Segoe UI"/>
        </w:rPr>
        <w:t>The WA</w:t>
      </w:r>
      <w:r>
        <w:rPr>
          <w:rFonts w:cs="Segoe UI"/>
        </w:rPr>
        <w:t> </w:t>
      </w:r>
      <w:r w:rsidRPr="00C82862">
        <w:rPr>
          <w:rFonts w:cs="Segoe UI"/>
        </w:rPr>
        <w:t>RFA region forests will be impacted by</w:t>
      </w:r>
      <w:r>
        <w:rPr>
          <w:rFonts w:cs="Segoe UI"/>
        </w:rPr>
        <w:t xml:space="preserve"> climate change into the future</w:t>
      </w:r>
      <w:r w:rsidRPr="00C82862">
        <w:rPr>
          <w:rFonts w:cs="Segoe UI"/>
        </w:rPr>
        <w:t xml:space="preserve">. </w:t>
      </w:r>
      <w:r>
        <w:rPr>
          <w:rFonts w:cs="Segoe UI"/>
        </w:rPr>
        <w:t xml:space="preserve">The FMP </w:t>
      </w:r>
      <w:r w:rsidRPr="00C82862">
        <w:rPr>
          <w:rFonts w:cs="Segoe UI"/>
        </w:rPr>
        <w:t xml:space="preserve">takes into account </w:t>
      </w:r>
      <w:r w:rsidR="00993912">
        <w:rPr>
          <w:rFonts w:cs="Segoe UI"/>
        </w:rPr>
        <w:t>the</w:t>
      </w:r>
      <w:r w:rsidRPr="00C82862">
        <w:rPr>
          <w:rFonts w:cs="Segoe UI"/>
        </w:rPr>
        <w:t xml:space="preserve"> impact on climate change, seeking to minimise unnecessary emissions and maximise biosequestration wherever possible.</w:t>
      </w:r>
      <w:r>
        <w:rPr>
          <w:rFonts w:cs="Segoe UI"/>
        </w:rPr>
        <w:t xml:space="preserve"> </w:t>
      </w:r>
      <w:r w:rsidRPr="00C82862">
        <w:rPr>
          <w:rFonts w:cs="Segoe UI"/>
        </w:rPr>
        <w:t>Plantations can also contribute significantly to the global greenhouse balance via additional carbon sequestration</w:t>
      </w:r>
      <w:r>
        <w:rPr>
          <w:rFonts w:cs="Segoe UI"/>
        </w:rPr>
        <w:t xml:space="preserve"> into the future. </w:t>
      </w:r>
    </w:p>
    <w:p w14:paraId="26ABD611" w14:textId="77777777" w:rsidR="0097427F" w:rsidRPr="00CE60B2" w:rsidRDefault="0097427F" w:rsidP="00D26B91">
      <w:pPr>
        <w:pStyle w:val="Heading3"/>
        <w:spacing w:before="200" w:after="200"/>
        <w:rPr>
          <w:lang w:eastAsia="en-AU"/>
        </w:rPr>
      </w:pPr>
      <w:bookmarkStart w:id="218" w:name="_Toc2776088"/>
      <w:r w:rsidRPr="00CE60B2">
        <w:rPr>
          <w:lang w:eastAsia="en-AU"/>
        </w:rPr>
        <w:t>Summary</w:t>
      </w:r>
      <w:bookmarkEnd w:id="218"/>
    </w:p>
    <w:p w14:paraId="26ABD612" w14:textId="5FC3DE52" w:rsidR="005F43FC" w:rsidRPr="00670669" w:rsidRDefault="00021CED" w:rsidP="00BE03FA">
      <w:pPr>
        <w:rPr>
          <w:lang w:eastAsia="en-AU"/>
        </w:rPr>
      </w:pPr>
      <w:r w:rsidRPr="00670669">
        <w:rPr>
          <w:lang w:eastAsia="en-AU"/>
        </w:rPr>
        <w:t xml:space="preserve">Over the past 20 years there have been improvements to forest management within the WA RFA region. </w:t>
      </w:r>
      <w:r w:rsidR="00473EB4" w:rsidRPr="00670669">
        <w:rPr>
          <w:lang w:eastAsia="en-AU"/>
        </w:rPr>
        <w:t xml:space="preserve">WA has a comprehensive forest management system to implement the WA RFA (Wilkinson 2017). </w:t>
      </w:r>
      <w:r w:rsidRPr="00670669">
        <w:rPr>
          <w:lang w:eastAsia="en-AU"/>
        </w:rPr>
        <w:t xml:space="preserve">The improvements </w:t>
      </w:r>
      <w:r w:rsidR="00473EB4" w:rsidRPr="00670669">
        <w:rPr>
          <w:lang w:eastAsia="en-AU"/>
        </w:rPr>
        <w:t xml:space="preserve">and comprehensive </w:t>
      </w:r>
      <w:r w:rsidR="00670669" w:rsidRPr="00670669">
        <w:rPr>
          <w:lang w:eastAsia="en-AU"/>
        </w:rPr>
        <w:t>FMS</w:t>
      </w:r>
      <w:r w:rsidR="00473EB4" w:rsidRPr="00670669">
        <w:rPr>
          <w:lang w:eastAsia="en-AU"/>
        </w:rPr>
        <w:t xml:space="preserve"> </w:t>
      </w:r>
      <w:r w:rsidRPr="00670669">
        <w:rPr>
          <w:lang w:eastAsia="en-AU"/>
        </w:rPr>
        <w:t xml:space="preserve">have been described in this document and are </w:t>
      </w:r>
      <w:r w:rsidR="0063109A" w:rsidRPr="00670669">
        <w:rPr>
          <w:lang w:eastAsia="en-AU"/>
        </w:rPr>
        <w:t xml:space="preserve">also </w:t>
      </w:r>
      <w:r w:rsidRPr="00670669">
        <w:rPr>
          <w:lang w:eastAsia="en-AU"/>
        </w:rPr>
        <w:t xml:space="preserve">described in the document: </w:t>
      </w:r>
      <w:r w:rsidRPr="00670669">
        <w:rPr>
          <w:i/>
          <w:lang w:eastAsia="en-AU"/>
        </w:rPr>
        <w:t>The Forest Management System in Western Australia: An Overview</w:t>
      </w:r>
      <w:r w:rsidRPr="00670669">
        <w:rPr>
          <w:lang w:eastAsia="en-AU"/>
        </w:rPr>
        <w:t xml:space="preserve"> </w:t>
      </w:r>
      <w:r w:rsidRPr="0061707C">
        <w:rPr>
          <w:i/>
          <w:lang w:eastAsia="en-AU"/>
        </w:rPr>
        <w:t>(2018)</w:t>
      </w:r>
      <w:r w:rsidRPr="0061707C">
        <w:rPr>
          <w:lang w:eastAsia="en-AU"/>
        </w:rPr>
        <w:t>.</w:t>
      </w:r>
      <w:r w:rsidRPr="00670669">
        <w:rPr>
          <w:lang w:eastAsia="en-AU"/>
        </w:rPr>
        <w:t xml:space="preserve"> The </w:t>
      </w:r>
      <w:r w:rsidR="00670669">
        <w:rPr>
          <w:lang w:eastAsia="en-AU"/>
        </w:rPr>
        <w:t>FMS</w:t>
      </w:r>
      <w:r w:rsidRPr="00670669">
        <w:rPr>
          <w:lang w:eastAsia="en-AU"/>
        </w:rPr>
        <w:t xml:space="preserve"> in Western Australia is a comprehensive system for delivering</w:t>
      </w:r>
      <w:r w:rsidR="00B05F65" w:rsidRPr="00670669">
        <w:rPr>
          <w:lang w:eastAsia="en-AU"/>
        </w:rPr>
        <w:t xml:space="preserve"> </w:t>
      </w:r>
      <w:r w:rsidRPr="00670669">
        <w:rPr>
          <w:lang w:eastAsia="en-AU"/>
        </w:rPr>
        <w:t xml:space="preserve">ESFM across all land tenures. The system comprises an overarching legislative and policy framework, and associated planning and operational systems. It is complemented by an adaptive management and continuous improvement process </w:t>
      </w:r>
      <w:r w:rsidRPr="00670669">
        <w:rPr>
          <w:lang w:eastAsia="en-AU"/>
        </w:rPr>
        <w:lastRenderedPageBreak/>
        <w:t>incorporating research findings and feedback processes associated with compliance and enforcement systems, stakeholder engagement and monitoring and review mechanisms.</w:t>
      </w:r>
      <w:r w:rsidR="00473EB4" w:rsidRPr="00670669">
        <w:rPr>
          <w:lang w:eastAsia="en-AU"/>
        </w:rPr>
        <w:t xml:space="preserve"> </w:t>
      </w:r>
    </w:p>
    <w:p w14:paraId="26ABD613" w14:textId="7F98695C" w:rsidR="00A06769" w:rsidRDefault="00464122" w:rsidP="00D26B91">
      <w:pPr>
        <w:spacing w:before="80" w:after="80"/>
        <w:rPr>
          <w:rFonts w:cs="Segoe UI"/>
          <w:lang w:eastAsia="en-AU"/>
        </w:rPr>
      </w:pPr>
      <w:r w:rsidRPr="00670669">
        <w:rPr>
          <w:lang w:eastAsia="en-AU"/>
        </w:rPr>
        <w:t>The implementation of the WA</w:t>
      </w:r>
      <w:r w:rsidR="00CF6101" w:rsidRPr="00670669">
        <w:rPr>
          <w:lang w:eastAsia="en-AU"/>
        </w:rPr>
        <w:t> </w:t>
      </w:r>
      <w:r w:rsidRPr="00670669">
        <w:rPr>
          <w:lang w:eastAsia="en-AU"/>
        </w:rPr>
        <w:t xml:space="preserve">RFA and the process of adaptive management and continuous improvement built into WA’s </w:t>
      </w:r>
      <w:r w:rsidR="00CF6101" w:rsidRPr="00670669">
        <w:rPr>
          <w:lang w:eastAsia="en-AU"/>
        </w:rPr>
        <w:t>FMS</w:t>
      </w:r>
      <w:r w:rsidRPr="00670669">
        <w:rPr>
          <w:lang w:eastAsia="en-AU"/>
        </w:rPr>
        <w:t xml:space="preserve"> deliver sustainable forest management. As processes and knowledge evolve, the structure and delivery mechanisms within WA’s</w:t>
      </w:r>
      <w:r w:rsidR="00670669" w:rsidRPr="00670669">
        <w:rPr>
          <w:lang w:eastAsia="en-AU"/>
        </w:rPr>
        <w:t> FMS</w:t>
      </w:r>
      <w:r w:rsidRPr="00670669">
        <w:rPr>
          <w:lang w:eastAsia="en-AU"/>
        </w:rPr>
        <w:t xml:space="preserve"> will continue to evolve to meet community expectations. A</w:t>
      </w:r>
      <w:r w:rsidR="003830F5">
        <w:rPr>
          <w:lang w:eastAsia="en-AU"/>
        </w:rPr>
        <w:t>s a framework agreement, the WA </w:t>
      </w:r>
      <w:r w:rsidRPr="00670669">
        <w:rPr>
          <w:lang w:eastAsia="en-AU"/>
        </w:rPr>
        <w:t xml:space="preserve">RFA can accommodate this continuous improvement and adaptive management, without requiring continual updates to the </w:t>
      </w:r>
      <w:r w:rsidR="00B746DF" w:rsidRPr="00670669">
        <w:rPr>
          <w:lang w:eastAsia="en-AU"/>
        </w:rPr>
        <w:t>WA RFA</w:t>
      </w:r>
      <w:r w:rsidRPr="00670669">
        <w:rPr>
          <w:lang w:eastAsia="en-AU"/>
        </w:rPr>
        <w:t xml:space="preserve"> </w:t>
      </w:r>
      <w:r w:rsidR="008A4C96" w:rsidRPr="00670669">
        <w:rPr>
          <w:lang w:eastAsia="en-AU"/>
        </w:rPr>
        <w:t>itself.</w:t>
      </w:r>
      <w:r w:rsidR="008A4C96">
        <w:rPr>
          <w:rFonts w:cs="Segoe UI"/>
          <w:lang w:eastAsia="en-AU"/>
        </w:rPr>
        <w:t xml:space="preserve"> Improvements</w:t>
      </w:r>
      <w:r w:rsidR="00A06769">
        <w:rPr>
          <w:rFonts w:cs="Segoe UI"/>
          <w:lang w:eastAsia="en-AU"/>
        </w:rPr>
        <w:t xml:space="preserve"> to WA forest management over the past 20 years are described in </w:t>
      </w:r>
      <w:r w:rsidR="00A06769" w:rsidRPr="00021CED">
        <w:rPr>
          <w:rFonts w:cs="Segoe UI"/>
          <w:i/>
          <w:lang w:eastAsia="en-AU"/>
        </w:rPr>
        <w:t>The Forest Management System in Western Australia: An Overview (2018)</w:t>
      </w:r>
      <w:r w:rsidR="008A4C96">
        <w:rPr>
          <w:rFonts w:cs="Segoe UI"/>
          <w:i/>
          <w:lang w:eastAsia="en-AU"/>
        </w:rPr>
        <w:t xml:space="preserve"> </w:t>
      </w:r>
      <w:r w:rsidR="008A4C96" w:rsidRPr="0061707C">
        <w:rPr>
          <w:rFonts w:cs="Segoe UI"/>
          <w:lang w:eastAsia="en-AU"/>
        </w:rPr>
        <w:t>and include:</w:t>
      </w:r>
      <w:r w:rsidR="00A06769">
        <w:rPr>
          <w:rFonts w:cs="Segoe UI"/>
          <w:lang w:eastAsia="en-AU"/>
        </w:rPr>
        <w:t xml:space="preserve"> </w:t>
      </w:r>
    </w:p>
    <w:p w14:paraId="26ABD614" w14:textId="77777777" w:rsidR="00C81D64" w:rsidRPr="00EF68DA" w:rsidRDefault="00C81D64" w:rsidP="00C903EE">
      <w:pPr>
        <w:pStyle w:val="ListParagraph"/>
        <w:numPr>
          <w:ilvl w:val="0"/>
          <w:numId w:val="37"/>
        </w:numPr>
        <w:spacing w:before="0" w:after="80"/>
        <w:ind w:left="714" w:hanging="357"/>
        <w:contextualSpacing w:val="0"/>
        <w:rPr>
          <w:rFonts w:cs="Segoe UI"/>
          <w:lang w:eastAsia="en-AU"/>
        </w:rPr>
      </w:pPr>
      <w:r w:rsidRPr="00EF68DA">
        <w:rPr>
          <w:rFonts w:cs="Segoe UI"/>
          <w:u w:val="single"/>
          <w:lang w:eastAsia="en-AU"/>
        </w:rPr>
        <w:t>Forest Management Plan (FMP)</w:t>
      </w:r>
      <w:r>
        <w:rPr>
          <w:rFonts w:cs="Segoe UI"/>
          <w:lang w:eastAsia="en-AU"/>
        </w:rPr>
        <w:t xml:space="preserve">: </w:t>
      </w:r>
      <w:r w:rsidR="00E52034">
        <w:rPr>
          <w:rFonts w:cs="Segoe UI"/>
          <w:lang w:eastAsia="en-AU"/>
        </w:rPr>
        <w:t>Is</w:t>
      </w:r>
      <w:r w:rsidR="00890CE5" w:rsidRPr="00890CE5">
        <w:rPr>
          <w:rFonts w:cs="Segoe UI"/>
          <w:lang w:eastAsia="en-AU"/>
        </w:rPr>
        <w:t xml:space="preserve"> a 10-year plan developed in consultation with the community. It is the key policy framework for managing forests as these plans identify goals and performance targets and propose management activities to achieve these goals.</w:t>
      </w:r>
      <w:r w:rsidR="007804C7">
        <w:rPr>
          <w:rFonts w:cs="Segoe UI"/>
          <w:lang w:eastAsia="en-AU"/>
        </w:rPr>
        <w:t xml:space="preserve"> </w:t>
      </w:r>
      <w:r w:rsidR="007804C7" w:rsidRPr="00526F7C">
        <w:rPr>
          <w:rFonts w:cs="Segoe UI"/>
        </w:rPr>
        <w:t>T</w:t>
      </w:r>
      <w:r w:rsidR="003830F5">
        <w:rPr>
          <w:rFonts w:cs="Segoe UI"/>
        </w:rPr>
        <w:t>he WA </w:t>
      </w:r>
      <w:r w:rsidR="007804C7" w:rsidRPr="00526F7C">
        <w:rPr>
          <w:rFonts w:cs="Segoe UI"/>
        </w:rPr>
        <w:t xml:space="preserve">Government are currently reviewing their </w:t>
      </w:r>
      <w:r w:rsidR="007804C7" w:rsidRPr="003A6CD6">
        <w:rPr>
          <w:rFonts w:cs="Segoe UI"/>
        </w:rPr>
        <w:t>FMP 2014</w:t>
      </w:r>
      <w:r w:rsidR="007804C7" w:rsidRPr="003A6CD6">
        <w:rPr>
          <w:rFonts w:cs="Segoe UI"/>
        </w:rPr>
        <w:noBreakHyphen/>
        <w:t>2023</w:t>
      </w:r>
      <w:r w:rsidR="007804C7" w:rsidRPr="00526F7C">
        <w:rPr>
          <w:rFonts w:cs="Segoe UI"/>
        </w:rPr>
        <w:t>, after accepting public submissions. This review will inform the implementation of the plan, and management of WA’s South West forests for the next five years</w:t>
      </w:r>
      <w:r w:rsidR="007804C7">
        <w:rPr>
          <w:rFonts w:cs="Segoe UI"/>
        </w:rPr>
        <w:t>, as well as contribute information to the development of the next FMP</w:t>
      </w:r>
      <w:r w:rsidR="007804C7" w:rsidRPr="00526F7C">
        <w:rPr>
          <w:rFonts w:cs="Segoe UI"/>
        </w:rPr>
        <w:t>.</w:t>
      </w:r>
    </w:p>
    <w:p w14:paraId="26ABD615" w14:textId="77777777" w:rsidR="004D20C1" w:rsidRDefault="004D20C1" w:rsidP="00C903EE">
      <w:pPr>
        <w:pStyle w:val="ListParagraph"/>
        <w:numPr>
          <w:ilvl w:val="0"/>
          <w:numId w:val="37"/>
        </w:numPr>
        <w:spacing w:before="0" w:after="0"/>
        <w:ind w:left="714" w:hanging="357"/>
        <w:contextualSpacing w:val="0"/>
        <w:rPr>
          <w:rFonts w:cs="Segoe UI"/>
          <w:lang w:eastAsia="en-AU"/>
        </w:rPr>
      </w:pPr>
      <w:r w:rsidRPr="00AF721C">
        <w:rPr>
          <w:rFonts w:cs="Segoe UI"/>
          <w:u w:val="single"/>
          <w:lang w:eastAsia="en-AU"/>
        </w:rPr>
        <w:t>F</w:t>
      </w:r>
      <w:r w:rsidR="000E7F10">
        <w:rPr>
          <w:rFonts w:cs="Segoe UI"/>
          <w:u w:val="single"/>
          <w:lang w:eastAsia="en-AU"/>
        </w:rPr>
        <w:t>ORESTCHECK</w:t>
      </w:r>
      <w:r w:rsidR="00AF721C" w:rsidRPr="00EF68DA">
        <w:rPr>
          <w:rFonts w:cs="Segoe UI"/>
          <w:lang w:eastAsia="en-AU"/>
        </w:rPr>
        <w:t>:</w:t>
      </w:r>
      <w:r w:rsidRPr="00AF721C">
        <w:rPr>
          <w:rFonts w:cs="Segoe UI"/>
          <w:lang w:eastAsia="en-AU"/>
        </w:rPr>
        <w:t xml:space="preserve"> is </w:t>
      </w:r>
      <w:r w:rsidR="00E20DBC">
        <w:rPr>
          <w:rFonts w:cs="Segoe UI"/>
          <w:lang w:eastAsia="en-AU"/>
        </w:rPr>
        <w:t>a</w:t>
      </w:r>
      <w:r w:rsidRPr="00AF721C">
        <w:rPr>
          <w:rFonts w:cs="Segoe UI"/>
          <w:lang w:eastAsia="en-AU"/>
        </w:rPr>
        <w:t xml:space="preserve"> key monitoring </w:t>
      </w:r>
      <w:r w:rsidR="003830F5">
        <w:rPr>
          <w:rFonts w:cs="Segoe UI"/>
          <w:lang w:eastAsia="en-AU"/>
        </w:rPr>
        <w:t>project that operates in the WA </w:t>
      </w:r>
      <w:r w:rsidRPr="00AF721C">
        <w:rPr>
          <w:rFonts w:cs="Segoe UI"/>
          <w:lang w:eastAsia="en-AU"/>
        </w:rPr>
        <w:t>RFA region. It is an</w:t>
      </w:r>
      <w:r w:rsidRPr="00AF721C">
        <w:rPr>
          <w:rFonts w:cs="Segoe UI"/>
          <w:bCs/>
          <w:lang w:eastAsia="en-AU"/>
        </w:rPr>
        <w:t> integrated monitoring project</w:t>
      </w:r>
      <w:r w:rsidRPr="00AF721C">
        <w:rPr>
          <w:rFonts w:cs="Segoe UI"/>
          <w:lang w:eastAsia="en-AU"/>
        </w:rPr>
        <w:t>, designed to provide information to forest managers about changes and trends in biodiversity associated with forest activities.</w:t>
      </w:r>
      <w:r w:rsidR="00AF721C">
        <w:rPr>
          <w:rFonts w:cs="Segoe UI"/>
          <w:lang w:eastAsia="en-AU"/>
        </w:rPr>
        <w:t xml:space="preserve"> </w:t>
      </w:r>
      <w:r w:rsidR="000E7F10">
        <w:rPr>
          <w:rFonts w:cs="Segoe UI"/>
          <w:lang w:eastAsia="en-AU"/>
        </w:rPr>
        <w:t xml:space="preserve">FORESTCHECK </w:t>
      </w:r>
      <w:r w:rsidR="00AF721C" w:rsidRPr="00AF721C">
        <w:rPr>
          <w:rFonts w:cs="Segoe UI"/>
          <w:lang w:eastAsia="en-AU"/>
        </w:rPr>
        <w:t xml:space="preserve">was </w:t>
      </w:r>
      <w:r w:rsidR="000E7750">
        <w:rPr>
          <w:rFonts w:cs="Segoe UI"/>
          <w:lang w:eastAsia="en-AU"/>
        </w:rPr>
        <w:t>commenced</w:t>
      </w:r>
      <w:r w:rsidR="00AF721C">
        <w:rPr>
          <w:rFonts w:cs="Segoe UI"/>
          <w:lang w:eastAsia="en-AU"/>
        </w:rPr>
        <w:t xml:space="preserve"> in 2002, </w:t>
      </w:r>
      <w:r w:rsidR="00AF721C" w:rsidRPr="00AF721C">
        <w:rPr>
          <w:rFonts w:cs="Segoe UI"/>
          <w:lang w:eastAsia="en-AU"/>
        </w:rPr>
        <w:t>with input from scientists and managers within the D</w:t>
      </w:r>
      <w:r w:rsidR="00337DDD">
        <w:rPr>
          <w:rFonts w:cs="Segoe UI"/>
          <w:lang w:eastAsia="en-AU"/>
        </w:rPr>
        <w:t>BCA</w:t>
      </w:r>
      <w:r w:rsidR="00AF721C" w:rsidRPr="00AF721C">
        <w:rPr>
          <w:rFonts w:cs="Segoe UI"/>
          <w:lang w:eastAsia="en-AU"/>
        </w:rPr>
        <w:t>, and from universities and other government a</w:t>
      </w:r>
      <w:r w:rsidR="00AF721C">
        <w:rPr>
          <w:rFonts w:cs="Segoe UI"/>
          <w:lang w:eastAsia="en-AU"/>
        </w:rPr>
        <w:t>gencies.</w:t>
      </w:r>
      <w:r w:rsidR="00F91D99">
        <w:rPr>
          <w:rFonts w:cs="Segoe UI"/>
          <w:lang w:eastAsia="en-AU"/>
        </w:rPr>
        <w:t xml:space="preserve"> F</w:t>
      </w:r>
      <w:r w:rsidR="000E7F10">
        <w:rPr>
          <w:rFonts w:cs="Segoe UI"/>
          <w:lang w:eastAsia="en-AU"/>
        </w:rPr>
        <w:t>ORESTCHECK</w:t>
      </w:r>
      <w:r w:rsidR="004D4B13">
        <w:rPr>
          <w:rFonts w:cs="Segoe UI"/>
          <w:lang w:eastAsia="en-AU"/>
        </w:rPr>
        <w:t>:</w:t>
      </w:r>
    </w:p>
    <w:p w14:paraId="26ABD616" w14:textId="34CC5C2B" w:rsidR="00F91D99" w:rsidRPr="00F91D99" w:rsidRDefault="00F91D99" w:rsidP="00C903EE">
      <w:pPr>
        <w:pStyle w:val="ListParagraph"/>
        <w:numPr>
          <w:ilvl w:val="3"/>
          <w:numId w:val="56"/>
        </w:numPr>
        <w:spacing w:before="0" w:after="0"/>
        <w:ind w:left="998" w:hanging="357"/>
        <w:contextualSpacing w:val="0"/>
        <w:rPr>
          <w:rFonts w:cs="Segoe UI"/>
          <w:lang w:eastAsia="en-AU"/>
        </w:rPr>
      </w:pPr>
      <w:r w:rsidRPr="00F91D99">
        <w:rPr>
          <w:rFonts w:cs="Segoe UI"/>
          <w:lang w:eastAsia="en-AU"/>
        </w:rPr>
        <w:t>makes a significant contribution to forest science</w:t>
      </w:r>
    </w:p>
    <w:p w14:paraId="26ABD617" w14:textId="1C4404C5" w:rsidR="00F91D99" w:rsidRPr="00F91D99" w:rsidRDefault="00F91D99" w:rsidP="00C903EE">
      <w:pPr>
        <w:pStyle w:val="ListParagraph"/>
        <w:numPr>
          <w:ilvl w:val="3"/>
          <w:numId w:val="56"/>
        </w:numPr>
        <w:spacing w:before="0" w:after="0"/>
        <w:ind w:left="998" w:hanging="357"/>
        <w:contextualSpacing w:val="0"/>
        <w:rPr>
          <w:rFonts w:cs="Segoe UI"/>
          <w:lang w:eastAsia="en-AU"/>
        </w:rPr>
      </w:pPr>
      <w:r w:rsidRPr="00F91D99">
        <w:rPr>
          <w:rFonts w:cs="Segoe UI"/>
          <w:lang w:eastAsia="en-AU"/>
        </w:rPr>
        <w:t>informs forest managers on changes and trends in key elements of forest biodiversity</w:t>
      </w:r>
    </w:p>
    <w:p w14:paraId="26ABD618" w14:textId="43F2FE4F" w:rsidR="00F91D99" w:rsidRPr="00F91D99" w:rsidRDefault="00F91D99" w:rsidP="00C903EE">
      <w:pPr>
        <w:pStyle w:val="ListParagraph"/>
        <w:numPr>
          <w:ilvl w:val="3"/>
          <w:numId w:val="56"/>
        </w:numPr>
        <w:spacing w:before="0" w:after="0"/>
        <w:ind w:left="998" w:hanging="357"/>
        <w:contextualSpacing w:val="0"/>
        <w:rPr>
          <w:rFonts w:cs="Segoe UI"/>
          <w:lang w:eastAsia="en-AU"/>
        </w:rPr>
      </w:pPr>
      <w:r w:rsidRPr="00F91D99">
        <w:rPr>
          <w:rFonts w:cs="Segoe UI"/>
          <w:lang w:eastAsia="en-AU"/>
        </w:rPr>
        <w:t>provides a framework for meaningful public participation in forest management</w:t>
      </w:r>
    </w:p>
    <w:p w14:paraId="26ABD619" w14:textId="31CDECAB" w:rsidR="00F91D99" w:rsidRPr="00F91D99" w:rsidRDefault="00F91D99" w:rsidP="00C903EE">
      <w:pPr>
        <w:pStyle w:val="ListParagraph"/>
        <w:numPr>
          <w:ilvl w:val="3"/>
          <w:numId w:val="56"/>
        </w:numPr>
        <w:spacing w:before="0" w:after="0"/>
        <w:ind w:left="998" w:hanging="357"/>
        <w:contextualSpacing w:val="0"/>
        <w:rPr>
          <w:rFonts w:cs="Segoe UI"/>
          <w:lang w:eastAsia="en-AU"/>
        </w:rPr>
      </w:pPr>
      <w:r w:rsidRPr="00F91D99">
        <w:rPr>
          <w:rFonts w:cs="Segoe UI"/>
          <w:lang w:eastAsia="en-AU"/>
        </w:rPr>
        <w:t xml:space="preserve">provides relevant information to allow </w:t>
      </w:r>
      <w:r w:rsidR="00970286">
        <w:rPr>
          <w:rFonts w:cs="Segoe UI"/>
          <w:lang w:eastAsia="en-AU"/>
        </w:rPr>
        <w:t>DBCA</w:t>
      </w:r>
      <w:r w:rsidRPr="00F91D99">
        <w:rPr>
          <w:rFonts w:cs="Segoe UI"/>
          <w:lang w:eastAsia="en-AU"/>
        </w:rPr>
        <w:t xml:space="preserve"> to comply with reporting requirements associated with sustainable forest management</w:t>
      </w:r>
    </w:p>
    <w:p w14:paraId="26ABD61A" w14:textId="77777777" w:rsidR="00F91D99" w:rsidRDefault="00F91D99" w:rsidP="00C903EE">
      <w:pPr>
        <w:pStyle w:val="ListParagraph"/>
        <w:numPr>
          <w:ilvl w:val="3"/>
          <w:numId w:val="56"/>
        </w:numPr>
        <w:spacing w:before="0" w:after="0"/>
        <w:ind w:left="998" w:hanging="357"/>
        <w:contextualSpacing w:val="0"/>
        <w:rPr>
          <w:rFonts w:cs="Segoe UI"/>
          <w:lang w:eastAsia="en-AU"/>
        </w:rPr>
      </w:pPr>
      <w:r w:rsidRPr="00F91D99">
        <w:rPr>
          <w:rFonts w:cs="Segoe UI"/>
          <w:lang w:eastAsia="en-AU"/>
        </w:rPr>
        <w:t>contributes to global-scale studies on impacts on biodiversity.</w:t>
      </w:r>
    </w:p>
    <w:p w14:paraId="26ABD61B" w14:textId="77777777" w:rsidR="00C81D64" w:rsidRPr="00C81D64" w:rsidRDefault="00BD0620" w:rsidP="00C81D64">
      <w:pPr>
        <w:rPr>
          <w:rFonts w:cs="Segoe UI"/>
          <w:lang w:eastAsia="en-AU"/>
        </w:rPr>
      </w:pPr>
      <w:r>
        <w:rPr>
          <w:rFonts w:cs="Segoe UI"/>
          <w:lang w:eastAsia="en-AU"/>
        </w:rPr>
        <w:t>The i</w:t>
      </w:r>
      <w:r w:rsidR="00C81D64" w:rsidRPr="00C81D64">
        <w:rPr>
          <w:rFonts w:cs="Segoe UI"/>
          <w:lang w:eastAsia="en-AU"/>
        </w:rPr>
        <w:t xml:space="preserve">ndependent five-yearly reviews of the </w:t>
      </w:r>
      <w:r w:rsidR="00C81D64">
        <w:rPr>
          <w:rFonts w:cs="Segoe UI"/>
          <w:lang w:eastAsia="en-AU"/>
        </w:rPr>
        <w:t>WA </w:t>
      </w:r>
      <w:r w:rsidR="00C81D64" w:rsidRPr="00C81D64">
        <w:rPr>
          <w:rFonts w:cs="Segoe UI"/>
          <w:lang w:eastAsia="en-AU"/>
        </w:rPr>
        <w:t>RF</w:t>
      </w:r>
      <w:r w:rsidR="00C81D64">
        <w:rPr>
          <w:rFonts w:cs="Segoe UI"/>
          <w:lang w:eastAsia="en-AU"/>
        </w:rPr>
        <w:t>A</w:t>
      </w:r>
      <w:r>
        <w:rPr>
          <w:rFonts w:cs="Segoe UI"/>
          <w:lang w:eastAsia="en-AU"/>
        </w:rPr>
        <w:t>,</w:t>
      </w:r>
      <w:r w:rsidR="00C81D64" w:rsidRPr="00C81D64">
        <w:rPr>
          <w:rFonts w:cs="Segoe UI"/>
          <w:lang w:eastAsia="en-AU"/>
        </w:rPr>
        <w:t xml:space="preserve"> report on the matters listed in para (a) of the definition of ‘RFA’ in the RFA</w:t>
      </w:r>
      <w:r>
        <w:rPr>
          <w:rFonts w:cs="Segoe UI"/>
          <w:lang w:eastAsia="en-AU"/>
        </w:rPr>
        <w:t> </w:t>
      </w:r>
      <w:r w:rsidR="00C81D64" w:rsidRPr="00C81D64">
        <w:rPr>
          <w:rFonts w:cs="Segoe UI"/>
          <w:lang w:eastAsia="en-AU"/>
        </w:rPr>
        <w:t>Act. Independent reviewers consider environmental values, indigenous heritage values, economic values of forested areas and forest industries, social values and the principles of ecologically sustai</w:t>
      </w:r>
      <w:r w:rsidR="00C81D64">
        <w:rPr>
          <w:rFonts w:cs="Segoe UI"/>
          <w:lang w:eastAsia="en-AU"/>
        </w:rPr>
        <w:t>nable management within the WA RFA region</w:t>
      </w:r>
      <w:r w:rsidR="00C81D64" w:rsidRPr="00C81D64">
        <w:rPr>
          <w:rFonts w:cs="Segoe UI"/>
          <w:lang w:eastAsia="en-AU"/>
        </w:rPr>
        <w:t>. Review reports are tabled in the</w:t>
      </w:r>
      <w:r w:rsidRPr="00BD0620">
        <w:rPr>
          <w:rFonts w:cs="Segoe UI"/>
          <w:lang w:eastAsia="en-AU"/>
        </w:rPr>
        <w:t xml:space="preserve"> </w:t>
      </w:r>
      <w:r w:rsidRPr="00C81D64">
        <w:rPr>
          <w:rFonts w:cs="Segoe UI"/>
          <w:lang w:eastAsia="en-AU"/>
        </w:rPr>
        <w:t>Parli</w:t>
      </w:r>
      <w:r>
        <w:rPr>
          <w:rFonts w:cs="Segoe UI"/>
          <w:lang w:eastAsia="en-AU"/>
        </w:rPr>
        <w:t>ament</w:t>
      </w:r>
      <w:r w:rsidR="00C81D64" w:rsidRPr="00C81D64">
        <w:rPr>
          <w:rFonts w:cs="Segoe UI"/>
          <w:lang w:eastAsia="en-AU"/>
        </w:rPr>
        <w:t xml:space="preserve"> </w:t>
      </w:r>
      <w:r>
        <w:rPr>
          <w:rFonts w:cs="Segoe UI"/>
          <w:lang w:eastAsia="en-AU"/>
        </w:rPr>
        <w:t xml:space="preserve">of </w:t>
      </w:r>
      <w:r w:rsidR="00C81D64" w:rsidRPr="00C81D64">
        <w:rPr>
          <w:rFonts w:cs="Segoe UI"/>
          <w:lang w:eastAsia="en-AU"/>
        </w:rPr>
        <w:t xml:space="preserve">Australia </w:t>
      </w:r>
      <w:r w:rsidR="00C81D64">
        <w:rPr>
          <w:rFonts w:cs="Segoe UI"/>
          <w:lang w:eastAsia="en-AU"/>
        </w:rPr>
        <w:t>and the Australian and WA </w:t>
      </w:r>
      <w:r w:rsidR="00C81D64" w:rsidRPr="00C81D64">
        <w:rPr>
          <w:rFonts w:cs="Segoe UI"/>
          <w:lang w:eastAsia="en-AU"/>
        </w:rPr>
        <w:t xml:space="preserve">governments respond to any recommendations through joint government responses. Should the </w:t>
      </w:r>
      <w:r w:rsidR="00C81D64">
        <w:rPr>
          <w:rFonts w:cs="Segoe UI"/>
          <w:lang w:eastAsia="en-AU"/>
        </w:rPr>
        <w:t>WA RFA</w:t>
      </w:r>
      <w:r w:rsidR="00C81D64" w:rsidRPr="00C81D64">
        <w:rPr>
          <w:rFonts w:cs="Segoe UI"/>
          <w:lang w:eastAsia="en-AU"/>
        </w:rPr>
        <w:t xml:space="preserve"> be varied, subsequent five-yearly extensions would be contingent on successful completion of these independent five-yearly reviews. </w:t>
      </w:r>
    </w:p>
    <w:p w14:paraId="2E0E2B24" w14:textId="3E0500BC" w:rsidR="00A42B5E" w:rsidRPr="00EF68DA" w:rsidRDefault="00C81D64" w:rsidP="00EF68DA">
      <w:pPr>
        <w:rPr>
          <w:rFonts w:cs="Segoe UI"/>
          <w:lang w:eastAsia="en-AU"/>
        </w:rPr>
      </w:pPr>
      <w:r w:rsidRPr="00C81D64">
        <w:rPr>
          <w:rFonts w:cs="Segoe UI"/>
          <w:lang w:eastAsia="en-AU"/>
        </w:rPr>
        <w:t>This report has demonstra</w:t>
      </w:r>
      <w:r>
        <w:rPr>
          <w:rFonts w:cs="Segoe UI"/>
          <w:lang w:eastAsia="en-AU"/>
        </w:rPr>
        <w:t>ted that the Australian and WA </w:t>
      </w:r>
      <w:r w:rsidRPr="00C81D64">
        <w:rPr>
          <w:rFonts w:cs="Segoe UI"/>
          <w:lang w:eastAsia="en-AU"/>
        </w:rPr>
        <w:t xml:space="preserve">governments have, through a comprehensive and diverse range of processes, formally had ongoing regard to the matters listed in para (a) of the definition of ‘RFA’ in the RFA Act relevant to the </w:t>
      </w:r>
      <w:r w:rsidR="00C170B4">
        <w:rPr>
          <w:rFonts w:cs="Segoe UI"/>
          <w:lang w:eastAsia="en-AU"/>
        </w:rPr>
        <w:t>WA </w:t>
      </w:r>
      <w:r w:rsidRPr="00C81D64">
        <w:rPr>
          <w:rFonts w:cs="Segoe UI"/>
          <w:lang w:eastAsia="en-AU"/>
        </w:rPr>
        <w:t>RFA region. Given the commitments of both governments to continue implementing the ongoing obliga</w:t>
      </w:r>
      <w:r>
        <w:rPr>
          <w:rFonts w:cs="Segoe UI"/>
          <w:lang w:eastAsia="en-AU"/>
        </w:rPr>
        <w:t>tions and commitments of the WA </w:t>
      </w:r>
      <w:r w:rsidRPr="00C81D64">
        <w:rPr>
          <w:rFonts w:cs="Segoe UI"/>
          <w:lang w:eastAsia="en-AU"/>
        </w:rPr>
        <w:t xml:space="preserve">RFA, while allowing for the </w:t>
      </w:r>
      <w:r w:rsidR="00670669">
        <w:rPr>
          <w:rFonts w:cs="Segoe UI"/>
          <w:lang w:eastAsia="en-AU"/>
        </w:rPr>
        <w:t>FMS</w:t>
      </w:r>
      <w:r w:rsidRPr="00C81D64">
        <w:rPr>
          <w:rFonts w:cs="Segoe UI"/>
          <w:lang w:eastAsia="en-AU"/>
        </w:rPr>
        <w:t xml:space="preserve"> and implementation mechanisms to be responsive to new information consistent with adaptive management and continual improvement principles, it could be </w:t>
      </w:r>
      <w:r>
        <w:rPr>
          <w:rFonts w:cs="Segoe UI"/>
          <w:lang w:eastAsia="en-AU"/>
        </w:rPr>
        <w:t xml:space="preserve">expected that the management of </w:t>
      </w:r>
      <w:r w:rsidRPr="00C81D64">
        <w:rPr>
          <w:rFonts w:cs="Segoe UI"/>
          <w:lang w:eastAsia="en-AU"/>
        </w:rPr>
        <w:t xml:space="preserve">forests in </w:t>
      </w:r>
      <w:r>
        <w:rPr>
          <w:rFonts w:cs="Segoe UI"/>
          <w:lang w:eastAsia="en-AU"/>
        </w:rPr>
        <w:t>the WA RFA region</w:t>
      </w:r>
      <w:r w:rsidRPr="00C81D64">
        <w:rPr>
          <w:rFonts w:cs="Segoe UI"/>
          <w:lang w:eastAsia="en-AU"/>
        </w:rPr>
        <w:t xml:space="preserve"> would continue within this framework.</w:t>
      </w:r>
    </w:p>
    <w:p w14:paraId="26ABD61D" w14:textId="77777777" w:rsidR="008B65D2" w:rsidRPr="00CE60B2" w:rsidRDefault="008B65D2">
      <w:pPr>
        <w:spacing w:before="0" w:after="480" w:line="276" w:lineRule="auto"/>
        <w:rPr>
          <w:rFonts w:cs="Segoe UI"/>
        </w:rPr>
        <w:sectPr w:rsidR="008B65D2" w:rsidRPr="00CE60B2" w:rsidSect="006554DE">
          <w:headerReference w:type="even" r:id="rId47"/>
          <w:headerReference w:type="first" r:id="rId48"/>
          <w:pgSz w:w="11906" w:h="16838" w:code="9"/>
          <w:pgMar w:top="1418" w:right="1418" w:bottom="1418" w:left="1418" w:header="737" w:footer="680" w:gutter="0"/>
          <w:cols w:space="708"/>
          <w:docGrid w:linePitch="360"/>
        </w:sectPr>
      </w:pPr>
      <w:bookmarkStart w:id="219" w:name="_Toc381089169"/>
    </w:p>
    <w:p w14:paraId="1D764C85" w14:textId="77777777" w:rsidR="00820139" w:rsidRDefault="00820139" w:rsidP="00C22D5A">
      <w:pPr>
        <w:pStyle w:val="Heading2"/>
        <w:ind w:left="360"/>
      </w:pPr>
      <w:bookmarkStart w:id="220" w:name="_Toc524952838"/>
    </w:p>
    <w:p w14:paraId="09FF7501" w14:textId="77777777" w:rsidR="00820139" w:rsidRDefault="00820139" w:rsidP="00C22D5A">
      <w:pPr>
        <w:pStyle w:val="Heading2"/>
        <w:ind w:left="360"/>
      </w:pPr>
    </w:p>
    <w:p w14:paraId="26ABD61E" w14:textId="499C3DE6" w:rsidR="00D63E34" w:rsidRPr="00FF43A4" w:rsidRDefault="00D63E34" w:rsidP="00C22D5A">
      <w:pPr>
        <w:pStyle w:val="Heading2"/>
        <w:ind w:left="360"/>
        <w:rPr>
          <w:sz w:val="44"/>
          <w:szCs w:val="44"/>
        </w:rPr>
      </w:pPr>
      <w:bookmarkStart w:id="221" w:name="_Toc2776089"/>
      <w:r w:rsidRPr="00FF43A4">
        <w:rPr>
          <w:sz w:val="44"/>
          <w:szCs w:val="44"/>
        </w:rPr>
        <w:t>Appendices</w:t>
      </w:r>
      <w:bookmarkEnd w:id="220"/>
      <w:bookmarkEnd w:id="221"/>
    </w:p>
    <w:p w14:paraId="7B8FCBA8" w14:textId="77777777" w:rsidR="00CE3589" w:rsidRPr="00CE3589" w:rsidRDefault="00CE3589" w:rsidP="00CE3589"/>
    <w:p w14:paraId="26ABD620" w14:textId="77777777" w:rsidR="00B11CAC" w:rsidRDefault="00B11CAC" w:rsidP="00C22D5A">
      <w:pPr>
        <w:pStyle w:val="Heading4"/>
        <w:rPr>
          <w:rFonts w:cs="Segoe UI"/>
        </w:rPr>
        <w:sectPr w:rsidR="00B11CAC" w:rsidSect="006554DE">
          <w:pgSz w:w="11906" w:h="16838" w:code="9"/>
          <w:pgMar w:top="1418" w:right="1418" w:bottom="1418" w:left="1418" w:header="737" w:footer="680" w:gutter="0"/>
          <w:cols w:space="708"/>
          <w:docGrid w:linePitch="360"/>
        </w:sectPr>
      </w:pPr>
      <w:bookmarkStart w:id="222" w:name="_Ref515278566"/>
    </w:p>
    <w:p w14:paraId="447600B7" w14:textId="4788C135" w:rsidR="009873FB" w:rsidRPr="00F90324" w:rsidRDefault="00820139" w:rsidP="00F90324">
      <w:pPr>
        <w:pStyle w:val="Heading4"/>
        <w:ind w:left="-142"/>
        <w:jc w:val="right"/>
        <w:rPr>
          <w:rFonts w:cs="Segoe UI"/>
          <w:i w:val="0"/>
        </w:rPr>
      </w:pPr>
      <w:r w:rsidRPr="00F90324">
        <w:rPr>
          <w:i w:val="0"/>
        </w:rPr>
        <w:lastRenderedPageBreak/>
        <w:t>Appendix A</w:t>
      </w:r>
      <w:r w:rsidR="00F90324" w:rsidRPr="00F90324">
        <w:rPr>
          <w:i w:val="0"/>
        </w:rPr>
        <w:t xml:space="preserve">: </w:t>
      </w:r>
      <w:r w:rsidR="009873FB" w:rsidRPr="00F90324">
        <w:rPr>
          <w:i w:val="0"/>
        </w:rPr>
        <w:t xml:space="preserve"> </w:t>
      </w:r>
      <w:r w:rsidR="009873FB" w:rsidRPr="00F90324">
        <w:rPr>
          <w:rFonts w:cs="Segoe UI"/>
          <w:i w:val="0"/>
        </w:rPr>
        <w:t>Relationship between listed Matters in the RFA Act and Montréal Process indicators</w:t>
      </w:r>
    </w:p>
    <w:tbl>
      <w:tblPr>
        <w:tblW w:w="13889" w:type="dxa"/>
        <w:jc w:val="center"/>
        <w:tblLayout w:type="fixed"/>
        <w:tblCellMar>
          <w:left w:w="0" w:type="dxa"/>
          <w:right w:w="0" w:type="dxa"/>
        </w:tblCellMar>
        <w:tblLook w:val="01E0" w:firstRow="1" w:lastRow="1" w:firstColumn="1" w:lastColumn="1" w:noHBand="0" w:noVBand="0"/>
      </w:tblPr>
      <w:tblGrid>
        <w:gridCol w:w="5526"/>
        <w:gridCol w:w="2552"/>
        <w:gridCol w:w="1418"/>
        <w:gridCol w:w="1558"/>
        <w:gridCol w:w="1419"/>
        <w:gridCol w:w="1416"/>
      </w:tblGrid>
      <w:tr w:rsidR="00B25A86" w:rsidRPr="00CE60B2" w14:paraId="26ABD624" w14:textId="77777777" w:rsidTr="00820139">
        <w:trPr>
          <w:trHeight w:hRule="exact" w:val="948"/>
          <w:tblHeader/>
          <w:jc w:val="center"/>
        </w:trPr>
        <w:tc>
          <w:tcPr>
            <w:tcW w:w="5526" w:type="dxa"/>
            <w:vMerge w:val="restart"/>
            <w:tcBorders>
              <w:top w:val="single" w:sz="4" w:space="0" w:color="auto"/>
              <w:left w:val="single" w:sz="6" w:space="0" w:color="000000"/>
              <w:right w:val="single" w:sz="6" w:space="0" w:color="000000"/>
            </w:tcBorders>
            <w:shd w:val="clear" w:color="auto" w:fill="DFEFE1" w:themeFill="accent3" w:themeFillTint="66"/>
          </w:tcPr>
          <w:bookmarkEnd w:id="222"/>
          <w:p w14:paraId="26ABD622" w14:textId="77777777" w:rsidR="00B25A86" w:rsidRPr="00CE60B2" w:rsidRDefault="00B25A86" w:rsidP="00B25A86">
            <w:pPr>
              <w:pStyle w:val="TableParagraph"/>
              <w:spacing w:before="119"/>
              <w:ind w:left="1508" w:right="181"/>
              <w:rPr>
                <w:rFonts w:ascii="Segoe UI" w:eastAsia="Cambria" w:hAnsi="Segoe UI" w:cs="Segoe UI"/>
                <w:sz w:val="20"/>
                <w:szCs w:val="20"/>
              </w:rPr>
            </w:pPr>
            <w:r w:rsidRPr="00CE60B2">
              <w:rPr>
                <w:rFonts w:ascii="Segoe UI" w:hAnsi="Segoe UI" w:cs="Segoe UI"/>
                <w:b/>
                <w:spacing w:val="-1"/>
                <w:sz w:val="20"/>
              </w:rPr>
              <w:t>Montréal</w:t>
            </w:r>
            <w:r w:rsidRPr="00CE60B2">
              <w:rPr>
                <w:rFonts w:ascii="Segoe UI" w:hAnsi="Segoe UI" w:cs="Segoe UI"/>
                <w:b/>
                <w:spacing w:val="-13"/>
                <w:sz w:val="20"/>
              </w:rPr>
              <w:t xml:space="preserve"> </w:t>
            </w:r>
            <w:r w:rsidRPr="00CE60B2">
              <w:rPr>
                <w:rFonts w:ascii="Segoe UI" w:hAnsi="Segoe UI" w:cs="Segoe UI"/>
                <w:b/>
                <w:sz w:val="20"/>
              </w:rPr>
              <w:t>Process</w:t>
            </w:r>
            <w:r w:rsidRPr="00CE60B2">
              <w:rPr>
                <w:rFonts w:ascii="Segoe UI" w:hAnsi="Segoe UI" w:cs="Segoe UI"/>
                <w:b/>
                <w:spacing w:val="-13"/>
                <w:sz w:val="20"/>
              </w:rPr>
              <w:t xml:space="preserve"> </w:t>
            </w:r>
            <w:r w:rsidRPr="00CE60B2">
              <w:rPr>
                <w:rFonts w:ascii="Segoe UI" w:hAnsi="Segoe UI" w:cs="Segoe UI"/>
                <w:b/>
                <w:sz w:val="20"/>
              </w:rPr>
              <w:t>Indicator</w:t>
            </w:r>
          </w:p>
        </w:tc>
        <w:tc>
          <w:tcPr>
            <w:tcW w:w="8363" w:type="dxa"/>
            <w:gridSpan w:val="5"/>
            <w:tcBorders>
              <w:top w:val="single" w:sz="4" w:space="0" w:color="auto"/>
              <w:left w:val="single" w:sz="6" w:space="0" w:color="000000"/>
              <w:bottom w:val="single" w:sz="5" w:space="0" w:color="000000"/>
              <w:right w:val="single" w:sz="6" w:space="0" w:color="000000"/>
            </w:tcBorders>
            <w:shd w:val="clear" w:color="auto" w:fill="DFEFE1" w:themeFill="accent3" w:themeFillTint="66"/>
          </w:tcPr>
          <w:p w14:paraId="26ABD623" w14:textId="77777777" w:rsidR="00B25A86" w:rsidRPr="00CE60B2" w:rsidRDefault="00B25A86" w:rsidP="00B25A86">
            <w:pPr>
              <w:pStyle w:val="TableParagraph"/>
              <w:spacing w:before="119"/>
              <w:ind w:left="256" w:right="262"/>
              <w:jc w:val="center"/>
              <w:rPr>
                <w:rFonts w:ascii="Segoe UI" w:eastAsia="Cambria" w:hAnsi="Segoe UI" w:cs="Segoe UI"/>
                <w:sz w:val="20"/>
                <w:szCs w:val="20"/>
              </w:rPr>
            </w:pPr>
            <w:r w:rsidRPr="00CE60B2">
              <w:rPr>
                <w:rFonts w:ascii="Segoe UI" w:eastAsia="Cambria" w:hAnsi="Segoe UI" w:cs="Segoe UI"/>
                <w:b/>
                <w:bCs/>
                <w:spacing w:val="-1"/>
                <w:sz w:val="20"/>
                <w:szCs w:val="20"/>
              </w:rPr>
              <w:t>Relevant</w:t>
            </w:r>
            <w:r w:rsidRPr="00CE60B2">
              <w:rPr>
                <w:rFonts w:ascii="Segoe UI" w:eastAsia="Cambria" w:hAnsi="Segoe UI" w:cs="Segoe UI"/>
                <w:b/>
                <w:bCs/>
                <w:spacing w:val="-7"/>
                <w:sz w:val="20"/>
                <w:szCs w:val="20"/>
              </w:rPr>
              <w:t xml:space="preserve"> </w:t>
            </w:r>
            <w:r w:rsidRPr="00CE60B2">
              <w:rPr>
                <w:rFonts w:ascii="Segoe UI" w:eastAsia="Cambria" w:hAnsi="Segoe UI" w:cs="Segoe UI"/>
                <w:b/>
                <w:bCs/>
                <w:sz w:val="20"/>
                <w:szCs w:val="20"/>
              </w:rPr>
              <w:t>matter</w:t>
            </w:r>
            <w:r w:rsidRPr="00CE60B2">
              <w:rPr>
                <w:rFonts w:ascii="Segoe UI" w:eastAsia="Cambria" w:hAnsi="Segoe UI" w:cs="Segoe UI"/>
                <w:b/>
                <w:bCs/>
                <w:spacing w:val="-7"/>
                <w:sz w:val="20"/>
                <w:szCs w:val="20"/>
              </w:rPr>
              <w:t xml:space="preserve"> </w:t>
            </w:r>
            <w:r w:rsidRPr="00CE60B2">
              <w:rPr>
                <w:rFonts w:ascii="Segoe UI" w:eastAsia="Cambria" w:hAnsi="Segoe UI" w:cs="Segoe UI"/>
                <w:b/>
                <w:bCs/>
                <w:sz w:val="20"/>
                <w:szCs w:val="20"/>
              </w:rPr>
              <w:t>in</w:t>
            </w:r>
            <w:r w:rsidRPr="00CE60B2">
              <w:rPr>
                <w:rFonts w:ascii="Segoe UI" w:eastAsia="Cambria" w:hAnsi="Segoe UI" w:cs="Segoe UI"/>
                <w:b/>
                <w:bCs/>
                <w:spacing w:val="-5"/>
                <w:sz w:val="20"/>
                <w:szCs w:val="20"/>
              </w:rPr>
              <w:t xml:space="preserve"> </w:t>
            </w:r>
            <w:r w:rsidRPr="00CE60B2">
              <w:rPr>
                <w:rFonts w:ascii="Segoe UI" w:eastAsia="Cambria" w:hAnsi="Segoe UI" w:cs="Segoe UI"/>
                <w:b/>
                <w:bCs/>
                <w:sz w:val="20"/>
                <w:szCs w:val="20"/>
              </w:rPr>
              <w:t>para</w:t>
            </w:r>
            <w:r w:rsidRPr="00CE60B2">
              <w:rPr>
                <w:rFonts w:ascii="Segoe UI" w:eastAsia="Cambria" w:hAnsi="Segoe UI" w:cs="Segoe UI"/>
                <w:b/>
                <w:bCs/>
                <w:spacing w:val="-5"/>
                <w:sz w:val="20"/>
                <w:szCs w:val="20"/>
              </w:rPr>
              <w:t xml:space="preserve"> </w:t>
            </w:r>
            <w:r w:rsidRPr="00CE60B2">
              <w:rPr>
                <w:rFonts w:ascii="Segoe UI" w:eastAsia="Cambria" w:hAnsi="Segoe UI" w:cs="Segoe UI"/>
                <w:b/>
                <w:bCs/>
                <w:sz w:val="20"/>
                <w:szCs w:val="20"/>
              </w:rPr>
              <w:t>(a)</w:t>
            </w:r>
            <w:r w:rsidRPr="00CE60B2">
              <w:rPr>
                <w:rFonts w:ascii="Segoe UI" w:eastAsia="Cambria" w:hAnsi="Segoe UI" w:cs="Segoe UI"/>
                <w:b/>
                <w:bCs/>
                <w:spacing w:val="-6"/>
                <w:sz w:val="20"/>
                <w:szCs w:val="20"/>
              </w:rPr>
              <w:t xml:space="preserve"> </w:t>
            </w:r>
            <w:r w:rsidRPr="00CE60B2">
              <w:rPr>
                <w:rFonts w:ascii="Segoe UI" w:eastAsia="Cambria" w:hAnsi="Segoe UI" w:cs="Segoe UI"/>
                <w:b/>
                <w:bCs/>
                <w:spacing w:val="-1"/>
                <w:sz w:val="20"/>
                <w:szCs w:val="20"/>
              </w:rPr>
              <w:t>of</w:t>
            </w:r>
            <w:r w:rsidRPr="00CE60B2">
              <w:rPr>
                <w:rFonts w:ascii="Segoe UI" w:eastAsia="Cambria" w:hAnsi="Segoe UI" w:cs="Segoe UI"/>
                <w:b/>
                <w:bCs/>
                <w:spacing w:val="-4"/>
                <w:sz w:val="20"/>
                <w:szCs w:val="20"/>
              </w:rPr>
              <w:t xml:space="preserve"> </w:t>
            </w:r>
            <w:r w:rsidRPr="00CE60B2">
              <w:rPr>
                <w:rFonts w:ascii="Segoe UI" w:eastAsia="Cambria" w:hAnsi="Segoe UI" w:cs="Segoe UI"/>
                <w:b/>
                <w:bCs/>
                <w:spacing w:val="-1"/>
                <w:sz w:val="20"/>
                <w:szCs w:val="20"/>
              </w:rPr>
              <w:t>the</w:t>
            </w:r>
            <w:r w:rsidRPr="00CE60B2">
              <w:rPr>
                <w:rFonts w:ascii="Segoe UI" w:eastAsia="Cambria" w:hAnsi="Segoe UI" w:cs="Segoe UI"/>
                <w:b/>
                <w:bCs/>
                <w:spacing w:val="-6"/>
                <w:sz w:val="20"/>
                <w:szCs w:val="20"/>
              </w:rPr>
              <w:t xml:space="preserve"> </w:t>
            </w:r>
            <w:r w:rsidRPr="00CE60B2">
              <w:rPr>
                <w:rFonts w:ascii="Segoe UI" w:eastAsia="Cambria" w:hAnsi="Segoe UI" w:cs="Segoe UI"/>
                <w:b/>
                <w:bCs/>
                <w:sz w:val="20"/>
                <w:szCs w:val="20"/>
              </w:rPr>
              <w:t>definition</w:t>
            </w:r>
            <w:r w:rsidRPr="00CE60B2">
              <w:rPr>
                <w:rFonts w:ascii="Segoe UI" w:eastAsia="Cambria" w:hAnsi="Segoe UI" w:cs="Segoe UI"/>
                <w:b/>
                <w:bCs/>
                <w:spacing w:val="-5"/>
                <w:sz w:val="20"/>
                <w:szCs w:val="20"/>
              </w:rPr>
              <w:t xml:space="preserve"> </w:t>
            </w:r>
            <w:r w:rsidRPr="00CE60B2">
              <w:rPr>
                <w:rFonts w:ascii="Segoe UI" w:eastAsia="Cambria" w:hAnsi="Segoe UI" w:cs="Segoe UI"/>
                <w:b/>
                <w:bCs/>
                <w:sz w:val="20"/>
                <w:szCs w:val="20"/>
              </w:rPr>
              <w:t>of</w:t>
            </w:r>
            <w:r w:rsidRPr="00CE60B2">
              <w:rPr>
                <w:rFonts w:ascii="Segoe UI" w:eastAsia="Cambria" w:hAnsi="Segoe UI" w:cs="Segoe UI"/>
                <w:b/>
                <w:bCs/>
                <w:spacing w:val="-5"/>
                <w:sz w:val="20"/>
                <w:szCs w:val="20"/>
              </w:rPr>
              <w:t xml:space="preserve"> </w:t>
            </w:r>
            <w:r w:rsidRPr="00CE60B2">
              <w:rPr>
                <w:rFonts w:ascii="Segoe UI" w:eastAsia="Cambria" w:hAnsi="Segoe UI" w:cs="Segoe UI"/>
                <w:b/>
                <w:bCs/>
                <w:sz w:val="20"/>
                <w:szCs w:val="20"/>
              </w:rPr>
              <w:t>‘RFA’</w:t>
            </w:r>
            <w:r w:rsidRPr="00CE60B2">
              <w:rPr>
                <w:rFonts w:ascii="Segoe UI" w:eastAsia="Cambria" w:hAnsi="Segoe UI" w:cs="Segoe UI"/>
                <w:b/>
                <w:bCs/>
                <w:spacing w:val="-5"/>
                <w:sz w:val="20"/>
                <w:szCs w:val="20"/>
              </w:rPr>
              <w:t xml:space="preserve"> </w:t>
            </w:r>
            <w:r w:rsidRPr="00CE60B2">
              <w:rPr>
                <w:rFonts w:ascii="Segoe UI" w:eastAsia="Cambria" w:hAnsi="Segoe UI" w:cs="Segoe UI"/>
                <w:b/>
                <w:bCs/>
                <w:spacing w:val="1"/>
                <w:sz w:val="20"/>
                <w:szCs w:val="20"/>
              </w:rPr>
              <w:t>in</w:t>
            </w:r>
            <w:r w:rsidRPr="00CE60B2">
              <w:rPr>
                <w:rFonts w:ascii="Segoe UI" w:eastAsia="Cambria" w:hAnsi="Segoe UI" w:cs="Segoe UI"/>
                <w:b/>
                <w:bCs/>
                <w:spacing w:val="-7"/>
                <w:sz w:val="20"/>
                <w:szCs w:val="20"/>
              </w:rPr>
              <w:t xml:space="preserve"> </w:t>
            </w:r>
            <w:r w:rsidRPr="00CE60B2">
              <w:rPr>
                <w:rFonts w:ascii="Segoe UI" w:eastAsia="Cambria" w:hAnsi="Segoe UI" w:cs="Segoe UI"/>
                <w:b/>
                <w:bCs/>
                <w:spacing w:val="-1"/>
                <w:sz w:val="20"/>
                <w:szCs w:val="20"/>
              </w:rPr>
              <w:t>the</w:t>
            </w:r>
            <w:r w:rsidRPr="00CE60B2">
              <w:rPr>
                <w:rFonts w:ascii="Segoe UI" w:eastAsia="Cambria" w:hAnsi="Segoe UI" w:cs="Segoe UI"/>
                <w:b/>
                <w:bCs/>
                <w:sz w:val="20"/>
                <w:szCs w:val="20"/>
              </w:rPr>
              <w:t xml:space="preserve"> </w:t>
            </w:r>
            <w:r w:rsidRPr="00CE60B2">
              <w:rPr>
                <w:rFonts w:ascii="Segoe UI" w:eastAsia="Cambria" w:hAnsi="Segoe UI" w:cs="Segoe UI"/>
                <w:b/>
                <w:bCs/>
                <w:i/>
                <w:sz w:val="20"/>
                <w:szCs w:val="20"/>
              </w:rPr>
              <w:t>Regional</w:t>
            </w:r>
            <w:r w:rsidRPr="00CE60B2">
              <w:rPr>
                <w:rFonts w:ascii="Segoe UI" w:eastAsia="Cambria" w:hAnsi="Segoe UI" w:cs="Segoe UI"/>
                <w:b/>
                <w:bCs/>
                <w:i/>
                <w:spacing w:val="-3"/>
                <w:sz w:val="20"/>
                <w:szCs w:val="20"/>
              </w:rPr>
              <w:t xml:space="preserve"> </w:t>
            </w:r>
            <w:r w:rsidRPr="00CE60B2">
              <w:rPr>
                <w:rFonts w:ascii="Segoe UI" w:eastAsia="Cambria" w:hAnsi="Segoe UI" w:cs="Segoe UI"/>
                <w:b/>
                <w:bCs/>
                <w:i/>
                <w:spacing w:val="-1"/>
                <w:sz w:val="20"/>
                <w:szCs w:val="20"/>
              </w:rPr>
              <w:t>Forest</w:t>
            </w:r>
            <w:r w:rsidRPr="00CE60B2">
              <w:rPr>
                <w:rFonts w:ascii="Segoe UI" w:eastAsia="Cambria" w:hAnsi="Segoe UI" w:cs="Segoe UI"/>
                <w:b/>
                <w:bCs/>
                <w:i/>
                <w:spacing w:val="-7"/>
                <w:sz w:val="20"/>
                <w:szCs w:val="20"/>
              </w:rPr>
              <w:t xml:space="preserve"> </w:t>
            </w:r>
            <w:r w:rsidRPr="00CE60B2">
              <w:rPr>
                <w:rFonts w:ascii="Segoe UI" w:eastAsia="Cambria" w:hAnsi="Segoe UI" w:cs="Segoe UI"/>
                <w:b/>
                <w:bCs/>
                <w:i/>
                <w:spacing w:val="-1"/>
                <w:sz w:val="20"/>
                <w:szCs w:val="20"/>
              </w:rPr>
              <w:t>Agreements</w:t>
            </w:r>
            <w:r w:rsidRPr="00CE60B2">
              <w:rPr>
                <w:rFonts w:ascii="Segoe UI" w:eastAsia="Cambria" w:hAnsi="Segoe UI" w:cs="Segoe UI"/>
                <w:b/>
                <w:bCs/>
                <w:i/>
                <w:spacing w:val="64"/>
                <w:w w:val="99"/>
                <w:sz w:val="20"/>
                <w:szCs w:val="20"/>
              </w:rPr>
              <w:t xml:space="preserve"> </w:t>
            </w:r>
            <w:r w:rsidRPr="00CE60B2">
              <w:rPr>
                <w:rFonts w:ascii="Segoe UI" w:eastAsia="Cambria" w:hAnsi="Segoe UI" w:cs="Segoe UI"/>
                <w:b/>
                <w:bCs/>
                <w:i/>
                <w:spacing w:val="-1"/>
                <w:sz w:val="20"/>
                <w:szCs w:val="20"/>
              </w:rPr>
              <w:t>Act</w:t>
            </w:r>
            <w:r w:rsidRPr="00CE60B2">
              <w:rPr>
                <w:rFonts w:ascii="Segoe UI" w:eastAsia="Cambria" w:hAnsi="Segoe UI" w:cs="Segoe UI"/>
                <w:b/>
                <w:bCs/>
                <w:i/>
                <w:spacing w:val="-8"/>
                <w:sz w:val="20"/>
                <w:szCs w:val="20"/>
              </w:rPr>
              <w:t xml:space="preserve"> </w:t>
            </w:r>
            <w:r w:rsidRPr="00CE60B2">
              <w:rPr>
                <w:rFonts w:ascii="Segoe UI" w:eastAsia="Cambria" w:hAnsi="Segoe UI" w:cs="Segoe UI"/>
                <w:b/>
                <w:bCs/>
                <w:i/>
                <w:sz w:val="20"/>
                <w:szCs w:val="20"/>
              </w:rPr>
              <w:t>2002</w:t>
            </w:r>
            <w:r w:rsidRPr="00CE60B2">
              <w:rPr>
                <w:rFonts w:ascii="Segoe UI" w:eastAsia="Cambria" w:hAnsi="Segoe UI" w:cs="Segoe UI"/>
                <w:b/>
                <w:bCs/>
                <w:i/>
                <w:spacing w:val="-6"/>
                <w:sz w:val="20"/>
                <w:szCs w:val="20"/>
              </w:rPr>
              <w:t xml:space="preserve"> </w:t>
            </w:r>
            <w:r w:rsidRPr="00CE60B2">
              <w:rPr>
                <w:rFonts w:ascii="Segoe UI" w:eastAsia="Cambria" w:hAnsi="Segoe UI" w:cs="Segoe UI"/>
                <w:b/>
                <w:bCs/>
                <w:spacing w:val="-1"/>
                <w:sz w:val="20"/>
                <w:szCs w:val="20"/>
              </w:rPr>
              <w:t xml:space="preserve">(Cth) </w:t>
            </w:r>
            <w:r w:rsidRPr="00CE60B2">
              <w:rPr>
                <w:rFonts w:ascii="Segoe UI" w:hAnsi="Segoe UI" w:cs="Segoe UI"/>
                <w:b/>
                <w:spacing w:val="-1"/>
                <w:sz w:val="20"/>
              </w:rPr>
              <w:t>(best</w:t>
            </w:r>
            <w:r w:rsidRPr="00CE60B2">
              <w:rPr>
                <w:rFonts w:ascii="Segoe UI" w:hAnsi="Segoe UI" w:cs="Segoe UI"/>
                <w:b/>
                <w:spacing w:val="-7"/>
                <w:sz w:val="20"/>
              </w:rPr>
              <w:t xml:space="preserve"> </w:t>
            </w:r>
            <w:r w:rsidRPr="00CE60B2">
              <w:rPr>
                <w:rFonts w:ascii="Segoe UI" w:hAnsi="Segoe UI" w:cs="Segoe UI"/>
                <w:b/>
                <w:spacing w:val="-1"/>
                <w:sz w:val="20"/>
              </w:rPr>
              <w:t>match(es)</w:t>
            </w:r>
            <w:r w:rsidRPr="00CE60B2">
              <w:rPr>
                <w:rFonts w:ascii="Segoe UI" w:hAnsi="Segoe UI" w:cs="Segoe UI"/>
                <w:b/>
                <w:spacing w:val="-6"/>
                <w:sz w:val="20"/>
              </w:rPr>
              <w:t xml:space="preserve"> </w:t>
            </w:r>
            <w:r w:rsidRPr="00CE60B2">
              <w:rPr>
                <w:rFonts w:ascii="Segoe UI" w:hAnsi="Segoe UI" w:cs="Segoe UI"/>
                <w:b/>
                <w:spacing w:val="-1"/>
                <w:sz w:val="20"/>
              </w:rPr>
              <w:t>shown</w:t>
            </w:r>
            <w:r w:rsidRPr="00CE60B2">
              <w:rPr>
                <w:rFonts w:ascii="Segoe UI" w:hAnsi="Segoe UI" w:cs="Segoe UI"/>
                <w:b/>
                <w:spacing w:val="-6"/>
                <w:sz w:val="20"/>
              </w:rPr>
              <w:t xml:space="preserve"> </w:t>
            </w:r>
            <w:r w:rsidRPr="00CE60B2">
              <w:rPr>
                <w:rFonts w:ascii="Segoe UI" w:hAnsi="Segoe UI" w:cs="Segoe UI"/>
                <w:b/>
                <w:spacing w:val="-1"/>
                <w:sz w:val="20"/>
              </w:rPr>
              <w:t>as</w:t>
            </w:r>
            <w:r w:rsidRPr="00CE60B2">
              <w:rPr>
                <w:rFonts w:ascii="Segoe UI" w:hAnsi="Segoe UI" w:cs="Segoe UI"/>
                <w:b/>
                <w:spacing w:val="-6"/>
                <w:sz w:val="20"/>
              </w:rPr>
              <w:t xml:space="preserve"> </w:t>
            </w:r>
            <w:r w:rsidRPr="00CE60B2">
              <w:rPr>
                <w:rFonts w:ascii="Segoe UI" w:hAnsi="Segoe UI" w:cs="Segoe UI"/>
                <w:b/>
                <w:spacing w:val="-1"/>
                <w:sz w:val="20"/>
              </w:rPr>
              <w:t>shaded</w:t>
            </w:r>
            <w:r w:rsidRPr="00CE60B2">
              <w:rPr>
                <w:rFonts w:ascii="Segoe UI" w:hAnsi="Segoe UI" w:cs="Segoe UI"/>
                <w:b/>
                <w:spacing w:val="-7"/>
                <w:sz w:val="20"/>
              </w:rPr>
              <w:t xml:space="preserve"> </w:t>
            </w:r>
            <w:r w:rsidRPr="00CE60B2">
              <w:rPr>
                <w:rFonts w:ascii="Segoe UI" w:hAnsi="Segoe UI" w:cs="Segoe UI"/>
                <w:b/>
                <w:sz w:val="20"/>
              </w:rPr>
              <w:t>boxes)</w:t>
            </w:r>
          </w:p>
        </w:tc>
      </w:tr>
      <w:tr w:rsidR="00B25A86" w:rsidRPr="00CE60B2" w14:paraId="26ABD630" w14:textId="77777777" w:rsidTr="00820139">
        <w:trPr>
          <w:trHeight w:hRule="exact" w:val="2186"/>
          <w:tblHeader/>
          <w:jc w:val="center"/>
        </w:trPr>
        <w:tc>
          <w:tcPr>
            <w:tcW w:w="5526" w:type="dxa"/>
            <w:vMerge/>
            <w:tcBorders>
              <w:left w:val="single" w:sz="5" w:space="0" w:color="000000"/>
              <w:bottom w:val="single" w:sz="5" w:space="0" w:color="000000"/>
              <w:right w:val="single" w:sz="5" w:space="0" w:color="000000"/>
            </w:tcBorders>
            <w:shd w:val="clear" w:color="auto" w:fill="DFEFE1" w:themeFill="accent3" w:themeFillTint="66"/>
          </w:tcPr>
          <w:p w14:paraId="26ABD625" w14:textId="77777777" w:rsidR="00B25A86" w:rsidRPr="00CE60B2" w:rsidRDefault="00B25A86" w:rsidP="00B25A86">
            <w:pPr>
              <w:rPr>
                <w:rFonts w:cs="Segoe UI"/>
              </w:rPr>
            </w:pP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26" w14:textId="77777777" w:rsidR="00B25A86" w:rsidRPr="00CE60B2" w:rsidRDefault="00B25A86" w:rsidP="00B25A86">
            <w:pPr>
              <w:pStyle w:val="TableParagraph"/>
              <w:spacing w:before="118"/>
              <w:ind w:left="243" w:firstLine="799"/>
              <w:rPr>
                <w:rFonts w:ascii="Segoe UI" w:eastAsia="Cambria" w:hAnsi="Segoe UI" w:cs="Segoe UI"/>
                <w:sz w:val="20"/>
                <w:szCs w:val="20"/>
              </w:rPr>
            </w:pPr>
            <w:r w:rsidRPr="00CE60B2">
              <w:rPr>
                <w:rFonts w:ascii="Segoe UI" w:hAnsi="Segoe UI" w:cs="Segoe UI"/>
                <w:b/>
                <w:spacing w:val="-1"/>
                <w:sz w:val="20"/>
              </w:rPr>
              <w:t>4(a)i</w:t>
            </w:r>
          </w:p>
          <w:p w14:paraId="26ABD627" w14:textId="77777777" w:rsidR="00B25A86" w:rsidRPr="00CE60B2" w:rsidRDefault="00B25A86" w:rsidP="00B25A86">
            <w:pPr>
              <w:pStyle w:val="TableParagraph"/>
              <w:spacing w:before="120"/>
              <w:ind w:left="166" w:right="171" w:firstLine="1"/>
              <w:jc w:val="center"/>
              <w:rPr>
                <w:rFonts w:ascii="Segoe UI" w:eastAsia="Cambria" w:hAnsi="Segoe UI" w:cs="Segoe UI"/>
                <w:sz w:val="20"/>
                <w:szCs w:val="20"/>
              </w:rPr>
            </w:pPr>
            <w:r w:rsidRPr="00CE60B2">
              <w:rPr>
                <w:rFonts w:ascii="Segoe UI" w:hAnsi="Segoe UI" w:cs="Segoe UI"/>
                <w:b/>
                <w:spacing w:val="-1"/>
                <w:sz w:val="20"/>
              </w:rPr>
              <w:t>environmental</w:t>
            </w:r>
            <w:r w:rsidRPr="00CE60B2">
              <w:rPr>
                <w:rFonts w:ascii="Segoe UI" w:hAnsi="Segoe UI" w:cs="Segoe UI"/>
                <w:b/>
                <w:spacing w:val="-21"/>
                <w:sz w:val="20"/>
              </w:rPr>
              <w:t xml:space="preserve"> </w:t>
            </w:r>
            <w:r w:rsidRPr="00CE60B2">
              <w:rPr>
                <w:rFonts w:ascii="Segoe UI" w:hAnsi="Segoe UI" w:cs="Segoe UI"/>
                <w:b/>
                <w:sz w:val="20"/>
              </w:rPr>
              <w:t>values,</w:t>
            </w:r>
            <w:r w:rsidRPr="00CE60B2">
              <w:rPr>
                <w:rFonts w:ascii="Segoe UI" w:hAnsi="Segoe UI" w:cs="Segoe UI"/>
                <w:b/>
                <w:spacing w:val="22"/>
                <w:w w:val="99"/>
                <w:sz w:val="20"/>
              </w:rPr>
              <w:t xml:space="preserve"> </w:t>
            </w:r>
            <w:r w:rsidRPr="00CE60B2">
              <w:rPr>
                <w:rFonts w:ascii="Segoe UI" w:hAnsi="Segoe UI" w:cs="Segoe UI"/>
                <w:b/>
                <w:spacing w:val="-1"/>
                <w:sz w:val="20"/>
              </w:rPr>
              <w:t>(including</w:t>
            </w:r>
            <w:r w:rsidRPr="00CE60B2">
              <w:rPr>
                <w:rFonts w:ascii="Segoe UI" w:hAnsi="Segoe UI" w:cs="Segoe UI"/>
                <w:b/>
                <w:spacing w:val="-12"/>
                <w:sz w:val="20"/>
              </w:rPr>
              <w:t xml:space="preserve"> </w:t>
            </w:r>
            <w:r w:rsidR="00B40201">
              <w:rPr>
                <w:rFonts w:ascii="Segoe UI" w:hAnsi="Segoe UI" w:cs="Segoe UI"/>
                <w:b/>
                <w:spacing w:val="-1"/>
                <w:sz w:val="20"/>
              </w:rPr>
              <w:t>old-growth</w:t>
            </w:r>
            <w:r w:rsidRPr="00CE60B2">
              <w:rPr>
                <w:rFonts w:ascii="Segoe UI" w:hAnsi="Segoe UI" w:cs="Segoe UI"/>
                <w:b/>
                <w:spacing w:val="-1"/>
                <w:sz w:val="20"/>
              </w:rPr>
              <w:t>,</w:t>
            </w:r>
            <w:r w:rsidRPr="00CE60B2">
              <w:rPr>
                <w:rFonts w:ascii="Segoe UI" w:hAnsi="Segoe UI" w:cs="Segoe UI"/>
                <w:b/>
                <w:spacing w:val="25"/>
                <w:w w:val="99"/>
                <w:sz w:val="20"/>
              </w:rPr>
              <w:t xml:space="preserve"> </w:t>
            </w:r>
            <w:r w:rsidRPr="00CE60B2">
              <w:rPr>
                <w:rFonts w:ascii="Segoe UI" w:hAnsi="Segoe UI" w:cs="Segoe UI"/>
                <w:b/>
                <w:spacing w:val="-1"/>
                <w:sz w:val="20"/>
              </w:rPr>
              <w:t>wilderness,</w:t>
            </w:r>
            <w:r w:rsidRPr="00CE60B2">
              <w:rPr>
                <w:rFonts w:ascii="Segoe UI" w:hAnsi="Segoe UI" w:cs="Segoe UI"/>
                <w:b/>
                <w:spacing w:val="-22"/>
                <w:sz w:val="20"/>
              </w:rPr>
              <w:t xml:space="preserve"> </w:t>
            </w:r>
            <w:r w:rsidRPr="00CE60B2">
              <w:rPr>
                <w:rFonts w:ascii="Segoe UI" w:hAnsi="Segoe UI" w:cs="Segoe UI"/>
                <w:b/>
                <w:sz w:val="20"/>
              </w:rPr>
              <w:t>endangered</w:t>
            </w:r>
            <w:r w:rsidRPr="00CE60B2">
              <w:rPr>
                <w:rFonts w:ascii="Segoe UI" w:hAnsi="Segoe UI" w:cs="Segoe UI"/>
                <w:b/>
                <w:spacing w:val="20"/>
                <w:w w:val="99"/>
                <w:sz w:val="20"/>
              </w:rPr>
              <w:t xml:space="preserve"> </w:t>
            </w:r>
            <w:r w:rsidRPr="00CE60B2">
              <w:rPr>
                <w:rFonts w:ascii="Segoe UI" w:hAnsi="Segoe UI" w:cs="Segoe UI"/>
                <w:b/>
                <w:sz w:val="20"/>
              </w:rPr>
              <w:t>species,</w:t>
            </w:r>
            <w:r w:rsidRPr="00CE60B2">
              <w:rPr>
                <w:rFonts w:ascii="Segoe UI" w:hAnsi="Segoe UI" w:cs="Segoe UI"/>
                <w:b/>
                <w:spacing w:val="-11"/>
                <w:sz w:val="20"/>
              </w:rPr>
              <w:t xml:space="preserve"> </w:t>
            </w:r>
            <w:r w:rsidRPr="00CE60B2">
              <w:rPr>
                <w:rFonts w:ascii="Segoe UI" w:hAnsi="Segoe UI" w:cs="Segoe UI"/>
                <w:b/>
                <w:spacing w:val="-1"/>
                <w:sz w:val="20"/>
              </w:rPr>
              <w:t>national</w:t>
            </w:r>
            <w:r w:rsidRPr="00CE60B2">
              <w:rPr>
                <w:rFonts w:ascii="Segoe UI" w:hAnsi="Segoe UI" w:cs="Segoe UI"/>
                <w:b/>
                <w:spacing w:val="-10"/>
                <w:sz w:val="20"/>
              </w:rPr>
              <w:t xml:space="preserve"> </w:t>
            </w:r>
            <w:r w:rsidRPr="00CE60B2">
              <w:rPr>
                <w:rFonts w:ascii="Segoe UI" w:hAnsi="Segoe UI" w:cs="Segoe UI"/>
                <w:b/>
                <w:sz w:val="20"/>
              </w:rPr>
              <w:t>estate</w:t>
            </w:r>
            <w:r w:rsidRPr="00CE60B2">
              <w:rPr>
                <w:rFonts w:ascii="Segoe UI" w:hAnsi="Segoe UI" w:cs="Segoe UI"/>
                <w:b/>
                <w:spacing w:val="25"/>
                <w:w w:val="99"/>
                <w:sz w:val="20"/>
              </w:rPr>
              <w:t xml:space="preserve"> </w:t>
            </w:r>
            <w:r w:rsidRPr="00CE60B2">
              <w:rPr>
                <w:rFonts w:ascii="Segoe UI" w:hAnsi="Segoe UI" w:cs="Segoe UI"/>
                <w:b/>
                <w:spacing w:val="-1"/>
                <w:sz w:val="20"/>
              </w:rPr>
              <w:t>values</w:t>
            </w:r>
            <w:r w:rsidRPr="00CE60B2">
              <w:rPr>
                <w:rFonts w:ascii="Segoe UI" w:hAnsi="Segoe UI" w:cs="Segoe UI"/>
                <w:b/>
                <w:spacing w:val="-8"/>
                <w:sz w:val="20"/>
              </w:rPr>
              <w:t xml:space="preserve"> </w:t>
            </w:r>
            <w:r w:rsidRPr="00CE60B2">
              <w:rPr>
                <w:rFonts w:ascii="Segoe UI" w:hAnsi="Segoe UI" w:cs="Segoe UI"/>
                <w:b/>
                <w:spacing w:val="-1"/>
                <w:sz w:val="20"/>
              </w:rPr>
              <w:t>and</w:t>
            </w:r>
            <w:r w:rsidRPr="00CE60B2">
              <w:rPr>
                <w:rFonts w:ascii="Segoe UI" w:hAnsi="Segoe UI" w:cs="Segoe UI"/>
                <w:b/>
                <w:spacing w:val="-5"/>
                <w:sz w:val="20"/>
              </w:rPr>
              <w:t xml:space="preserve"> </w:t>
            </w:r>
            <w:r w:rsidRPr="00CE60B2">
              <w:rPr>
                <w:rFonts w:ascii="Segoe UI" w:hAnsi="Segoe UI" w:cs="Segoe UI"/>
                <w:b/>
                <w:spacing w:val="-1"/>
                <w:sz w:val="20"/>
              </w:rPr>
              <w:t>world</w:t>
            </w:r>
            <w:r w:rsidRPr="00CE60B2">
              <w:rPr>
                <w:rFonts w:ascii="Segoe UI" w:hAnsi="Segoe UI" w:cs="Segoe UI"/>
                <w:b/>
                <w:spacing w:val="29"/>
                <w:w w:val="99"/>
                <w:sz w:val="20"/>
              </w:rPr>
              <w:t xml:space="preserve"> </w:t>
            </w:r>
            <w:r w:rsidRPr="00CE60B2">
              <w:rPr>
                <w:rFonts w:ascii="Segoe UI" w:hAnsi="Segoe UI" w:cs="Segoe UI"/>
                <w:b/>
                <w:spacing w:val="-1"/>
                <w:sz w:val="20"/>
              </w:rPr>
              <w:t>heritage</w:t>
            </w:r>
            <w:r w:rsidRPr="00CE60B2">
              <w:rPr>
                <w:rFonts w:ascii="Segoe UI" w:hAnsi="Segoe UI" w:cs="Segoe UI"/>
                <w:b/>
                <w:spacing w:val="-15"/>
                <w:sz w:val="20"/>
              </w:rPr>
              <w:t xml:space="preserve"> </w:t>
            </w:r>
            <w:r w:rsidRPr="00CE60B2">
              <w:rPr>
                <w:rFonts w:ascii="Segoe UI" w:hAnsi="Segoe UI" w:cs="Segoe UI"/>
                <w:b/>
                <w:spacing w:val="-1"/>
                <w:sz w:val="20"/>
              </w:rPr>
              <w:t>values)</w:t>
            </w:r>
          </w:p>
        </w:tc>
        <w:tc>
          <w:tcPr>
            <w:tcW w:w="141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28" w14:textId="77777777" w:rsidR="00B25A86" w:rsidRPr="00CE60B2" w:rsidRDefault="00B25A86" w:rsidP="00B25A86">
            <w:pPr>
              <w:pStyle w:val="TableParagraph"/>
              <w:spacing w:before="118"/>
              <w:ind w:left="199" w:right="203"/>
              <w:jc w:val="center"/>
              <w:rPr>
                <w:rFonts w:ascii="Segoe UI" w:eastAsia="Cambria" w:hAnsi="Segoe UI" w:cs="Segoe UI"/>
                <w:sz w:val="20"/>
                <w:szCs w:val="20"/>
              </w:rPr>
            </w:pPr>
            <w:r w:rsidRPr="00CE60B2">
              <w:rPr>
                <w:rFonts w:ascii="Segoe UI" w:hAnsi="Segoe UI" w:cs="Segoe UI"/>
                <w:b/>
                <w:spacing w:val="-1"/>
                <w:sz w:val="20"/>
              </w:rPr>
              <w:t>4(a)ii</w:t>
            </w:r>
          </w:p>
          <w:p w14:paraId="26ABD629" w14:textId="77777777" w:rsidR="00B25A86" w:rsidRPr="00CE60B2" w:rsidRDefault="00B25A86" w:rsidP="00B25A86">
            <w:pPr>
              <w:pStyle w:val="TableParagraph"/>
              <w:spacing w:before="120"/>
              <w:ind w:left="202" w:right="203"/>
              <w:jc w:val="center"/>
              <w:rPr>
                <w:rFonts w:ascii="Segoe UI" w:eastAsia="Cambria" w:hAnsi="Segoe UI" w:cs="Segoe UI"/>
                <w:sz w:val="20"/>
                <w:szCs w:val="20"/>
              </w:rPr>
            </w:pPr>
            <w:r w:rsidRPr="00CE60B2">
              <w:rPr>
                <w:rFonts w:ascii="Segoe UI" w:hAnsi="Segoe UI" w:cs="Segoe UI"/>
                <w:b/>
                <w:spacing w:val="-1"/>
                <w:w w:val="95"/>
                <w:sz w:val="20"/>
              </w:rPr>
              <w:t>indigenous</w:t>
            </w:r>
            <w:r w:rsidRPr="00CE60B2">
              <w:rPr>
                <w:rFonts w:ascii="Segoe UI" w:hAnsi="Segoe UI" w:cs="Segoe UI"/>
                <w:b/>
                <w:spacing w:val="23"/>
                <w:w w:val="99"/>
                <w:sz w:val="20"/>
              </w:rPr>
              <w:t xml:space="preserve"> </w:t>
            </w:r>
            <w:r w:rsidRPr="00CE60B2">
              <w:rPr>
                <w:rFonts w:ascii="Segoe UI" w:hAnsi="Segoe UI" w:cs="Segoe UI"/>
                <w:b/>
                <w:spacing w:val="-1"/>
                <w:sz w:val="20"/>
              </w:rPr>
              <w:t>heritage</w:t>
            </w:r>
            <w:r w:rsidRPr="00CE60B2">
              <w:rPr>
                <w:rFonts w:ascii="Segoe UI" w:hAnsi="Segoe UI" w:cs="Segoe UI"/>
                <w:b/>
                <w:spacing w:val="25"/>
                <w:w w:val="99"/>
                <w:sz w:val="20"/>
              </w:rPr>
              <w:t xml:space="preserve"> </w:t>
            </w:r>
            <w:r w:rsidRPr="00CE60B2">
              <w:rPr>
                <w:rFonts w:ascii="Segoe UI" w:hAnsi="Segoe UI" w:cs="Segoe UI"/>
                <w:b/>
                <w:spacing w:val="-1"/>
                <w:sz w:val="20"/>
              </w:rPr>
              <w:t>values</w:t>
            </w: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2A" w14:textId="77777777" w:rsidR="00B25A86" w:rsidRPr="00CE60B2" w:rsidRDefault="00B25A86" w:rsidP="00B25A86">
            <w:pPr>
              <w:pStyle w:val="TableParagraph"/>
              <w:spacing w:before="118"/>
              <w:ind w:left="465" w:right="472"/>
              <w:jc w:val="center"/>
              <w:rPr>
                <w:rFonts w:ascii="Segoe UI" w:eastAsia="Cambria" w:hAnsi="Segoe UI" w:cs="Segoe UI"/>
                <w:sz w:val="20"/>
                <w:szCs w:val="20"/>
              </w:rPr>
            </w:pPr>
            <w:r w:rsidRPr="00CE60B2">
              <w:rPr>
                <w:rFonts w:ascii="Segoe UI" w:hAnsi="Segoe UI" w:cs="Segoe UI"/>
                <w:b/>
                <w:spacing w:val="-1"/>
                <w:sz w:val="20"/>
              </w:rPr>
              <w:t>4(a)iii</w:t>
            </w:r>
          </w:p>
          <w:p w14:paraId="26ABD62B" w14:textId="77777777" w:rsidR="00B25A86" w:rsidRPr="00CE60B2" w:rsidRDefault="00B25A86" w:rsidP="00B25A86">
            <w:pPr>
              <w:pStyle w:val="TableParagraph"/>
              <w:spacing w:before="120"/>
              <w:ind w:left="114" w:right="117" w:hanging="3"/>
              <w:jc w:val="center"/>
              <w:rPr>
                <w:rFonts w:ascii="Segoe UI" w:eastAsia="Cambria" w:hAnsi="Segoe UI" w:cs="Segoe UI"/>
                <w:sz w:val="20"/>
                <w:szCs w:val="20"/>
              </w:rPr>
            </w:pPr>
            <w:r w:rsidRPr="00CE60B2">
              <w:rPr>
                <w:rFonts w:ascii="Segoe UI" w:hAnsi="Segoe UI" w:cs="Segoe UI"/>
                <w:b/>
                <w:spacing w:val="-1"/>
                <w:sz w:val="20"/>
              </w:rPr>
              <w:t>economic</w:t>
            </w:r>
            <w:r w:rsidRPr="00CE60B2">
              <w:rPr>
                <w:rFonts w:ascii="Segoe UI" w:hAnsi="Segoe UI" w:cs="Segoe UI"/>
                <w:b/>
                <w:spacing w:val="24"/>
                <w:w w:val="99"/>
                <w:sz w:val="20"/>
              </w:rPr>
              <w:t xml:space="preserve"> </w:t>
            </w:r>
            <w:r w:rsidRPr="00CE60B2">
              <w:rPr>
                <w:rFonts w:ascii="Segoe UI" w:hAnsi="Segoe UI" w:cs="Segoe UI"/>
                <w:b/>
                <w:spacing w:val="-1"/>
                <w:sz w:val="20"/>
              </w:rPr>
              <w:t>values</w:t>
            </w:r>
            <w:r w:rsidRPr="00CE60B2">
              <w:rPr>
                <w:rFonts w:ascii="Segoe UI" w:hAnsi="Segoe UI" w:cs="Segoe UI"/>
                <w:b/>
                <w:spacing w:val="-8"/>
                <w:sz w:val="20"/>
              </w:rPr>
              <w:t xml:space="preserve"> </w:t>
            </w:r>
            <w:r w:rsidRPr="00CE60B2">
              <w:rPr>
                <w:rFonts w:ascii="Segoe UI" w:hAnsi="Segoe UI" w:cs="Segoe UI"/>
                <w:b/>
                <w:spacing w:val="-1"/>
                <w:sz w:val="20"/>
              </w:rPr>
              <w:t>of</w:t>
            </w:r>
            <w:r w:rsidRPr="00CE60B2">
              <w:rPr>
                <w:rFonts w:ascii="Segoe UI" w:hAnsi="Segoe UI" w:cs="Segoe UI"/>
                <w:b/>
                <w:spacing w:val="23"/>
                <w:w w:val="99"/>
                <w:sz w:val="20"/>
              </w:rPr>
              <w:t xml:space="preserve"> </w:t>
            </w:r>
            <w:r w:rsidRPr="00CE60B2">
              <w:rPr>
                <w:rFonts w:ascii="Segoe UI" w:hAnsi="Segoe UI" w:cs="Segoe UI"/>
                <w:b/>
                <w:spacing w:val="-1"/>
                <w:sz w:val="20"/>
              </w:rPr>
              <w:t>forested</w:t>
            </w:r>
            <w:r w:rsidRPr="00CE60B2">
              <w:rPr>
                <w:rFonts w:ascii="Segoe UI" w:hAnsi="Segoe UI" w:cs="Segoe UI"/>
                <w:b/>
                <w:spacing w:val="-11"/>
                <w:sz w:val="20"/>
              </w:rPr>
              <w:t xml:space="preserve"> </w:t>
            </w:r>
            <w:r w:rsidRPr="00CE60B2">
              <w:rPr>
                <w:rFonts w:ascii="Segoe UI" w:hAnsi="Segoe UI" w:cs="Segoe UI"/>
                <w:b/>
                <w:spacing w:val="-1"/>
                <w:sz w:val="20"/>
              </w:rPr>
              <w:t>areas</w:t>
            </w:r>
            <w:r w:rsidRPr="00CE60B2">
              <w:rPr>
                <w:rFonts w:ascii="Segoe UI" w:hAnsi="Segoe UI" w:cs="Segoe UI"/>
                <w:b/>
                <w:spacing w:val="29"/>
                <w:w w:val="99"/>
                <w:sz w:val="20"/>
              </w:rPr>
              <w:t xml:space="preserve"> </w:t>
            </w:r>
            <w:r w:rsidRPr="00CE60B2">
              <w:rPr>
                <w:rFonts w:ascii="Segoe UI" w:hAnsi="Segoe UI" w:cs="Segoe UI"/>
                <w:b/>
                <w:spacing w:val="-1"/>
                <w:sz w:val="20"/>
              </w:rPr>
              <w:t>and</w:t>
            </w:r>
            <w:r w:rsidRPr="00CE60B2">
              <w:rPr>
                <w:rFonts w:ascii="Segoe UI" w:hAnsi="Segoe UI" w:cs="Segoe UI"/>
                <w:b/>
                <w:spacing w:val="-10"/>
                <w:sz w:val="20"/>
              </w:rPr>
              <w:t xml:space="preserve"> </w:t>
            </w:r>
            <w:r w:rsidRPr="00CE60B2">
              <w:rPr>
                <w:rFonts w:ascii="Segoe UI" w:hAnsi="Segoe UI" w:cs="Segoe UI"/>
                <w:b/>
                <w:sz w:val="20"/>
              </w:rPr>
              <w:t>forest</w:t>
            </w:r>
            <w:r w:rsidRPr="00CE60B2">
              <w:rPr>
                <w:rFonts w:ascii="Segoe UI" w:hAnsi="Segoe UI" w:cs="Segoe UI"/>
                <w:b/>
                <w:spacing w:val="21"/>
                <w:w w:val="99"/>
                <w:sz w:val="20"/>
              </w:rPr>
              <w:t xml:space="preserve"> </w:t>
            </w:r>
            <w:r w:rsidRPr="00CE60B2">
              <w:rPr>
                <w:rFonts w:ascii="Segoe UI" w:hAnsi="Segoe UI" w:cs="Segoe UI"/>
                <w:b/>
                <w:spacing w:val="-1"/>
                <w:sz w:val="20"/>
              </w:rPr>
              <w:t>industries</w:t>
            </w: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2C" w14:textId="77777777" w:rsidR="00B25A86" w:rsidRPr="00CE60B2" w:rsidRDefault="00B25A86" w:rsidP="00B25A86">
            <w:pPr>
              <w:pStyle w:val="TableParagraph"/>
              <w:spacing w:before="118"/>
              <w:ind w:left="119" w:firstLine="304"/>
              <w:rPr>
                <w:rFonts w:ascii="Segoe UI" w:eastAsia="Cambria" w:hAnsi="Segoe UI" w:cs="Segoe UI"/>
                <w:sz w:val="20"/>
                <w:szCs w:val="20"/>
              </w:rPr>
            </w:pPr>
            <w:r w:rsidRPr="00CE60B2">
              <w:rPr>
                <w:rFonts w:ascii="Segoe UI" w:hAnsi="Segoe UI" w:cs="Segoe UI"/>
                <w:b/>
                <w:spacing w:val="-1"/>
                <w:sz w:val="20"/>
              </w:rPr>
              <w:t>4(a)iv</w:t>
            </w:r>
          </w:p>
          <w:p w14:paraId="26ABD62D" w14:textId="77777777" w:rsidR="00B25A86" w:rsidRPr="00CE60B2" w:rsidRDefault="00B25A86" w:rsidP="00B25A86">
            <w:pPr>
              <w:pStyle w:val="TableParagraph"/>
              <w:spacing w:before="120"/>
              <w:ind w:left="119" w:right="125"/>
              <w:jc w:val="center"/>
              <w:rPr>
                <w:rFonts w:ascii="Segoe UI" w:eastAsia="Cambria" w:hAnsi="Segoe UI" w:cs="Segoe UI"/>
                <w:sz w:val="20"/>
                <w:szCs w:val="20"/>
              </w:rPr>
            </w:pPr>
            <w:r w:rsidRPr="00CE60B2">
              <w:rPr>
                <w:rFonts w:ascii="Segoe UI" w:hAnsi="Segoe UI" w:cs="Segoe UI"/>
                <w:b/>
                <w:spacing w:val="-1"/>
                <w:sz w:val="20"/>
              </w:rPr>
              <w:t>social</w:t>
            </w:r>
            <w:r w:rsidRPr="00CE60B2">
              <w:rPr>
                <w:rFonts w:ascii="Segoe UI" w:hAnsi="Segoe UI" w:cs="Segoe UI"/>
                <w:b/>
                <w:spacing w:val="-12"/>
                <w:sz w:val="20"/>
              </w:rPr>
              <w:t xml:space="preserve"> </w:t>
            </w:r>
            <w:r w:rsidRPr="00CE60B2">
              <w:rPr>
                <w:rFonts w:ascii="Segoe UI" w:hAnsi="Segoe UI" w:cs="Segoe UI"/>
                <w:b/>
                <w:spacing w:val="-1"/>
                <w:sz w:val="20"/>
              </w:rPr>
              <w:t>values</w:t>
            </w:r>
            <w:r w:rsidRPr="00CE60B2">
              <w:rPr>
                <w:rFonts w:ascii="Segoe UI" w:hAnsi="Segoe UI" w:cs="Segoe UI"/>
                <w:b/>
                <w:spacing w:val="29"/>
                <w:w w:val="99"/>
                <w:sz w:val="20"/>
              </w:rPr>
              <w:t xml:space="preserve"> </w:t>
            </w:r>
            <w:r w:rsidRPr="00CE60B2">
              <w:rPr>
                <w:rFonts w:ascii="Segoe UI" w:hAnsi="Segoe UI" w:cs="Segoe UI"/>
                <w:b/>
                <w:spacing w:val="-1"/>
                <w:sz w:val="20"/>
              </w:rPr>
              <w:t>(including</w:t>
            </w:r>
            <w:r w:rsidRPr="00CE60B2">
              <w:rPr>
                <w:rFonts w:ascii="Segoe UI" w:hAnsi="Segoe UI" w:cs="Segoe UI"/>
                <w:b/>
                <w:spacing w:val="23"/>
                <w:w w:val="99"/>
                <w:sz w:val="20"/>
              </w:rPr>
              <w:t xml:space="preserve"> </w:t>
            </w:r>
            <w:r w:rsidRPr="00CE60B2">
              <w:rPr>
                <w:rFonts w:ascii="Segoe UI" w:hAnsi="Segoe UI" w:cs="Segoe UI"/>
                <w:b/>
                <w:sz w:val="20"/>
              </w:rPr>
              <w:t>community</w:t>
            </w:r>
            <w:r w:rsidRPr="00CE60B2">
              <w:rPr>
                <w:rFonts w:ascii="Segoe UI" w:hAnsi="Segoe UI" w:cs="Segoe UI"/>
                <w:b/>
                <w:w w:val="99"/>
                <w:sz w:val="20"/>
              </w:rPr>
              <w:t xml:space="preserve"> </w:t>
            </w:r>
            <w:r w:rsidRPr="00CE60B2">
              <w:rPr>
                <w:rFonts w:ascii="Segoe UI" w:hAnsi="Segoe UI" w:cs="Segoe UI"/>
                <w:b/>
                <w:spacing w:val="-1"/>
                <w:sz w:val="20"/>
              </w:rPr>
              <w:t>needs)</w:t>
            </w: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2E" w14:textId="77777777" w:rsidR="00B25A86" w:rsidRPr="00CE60B2" w:rsidRDefault="00B25A86" w:rsidP="00B25A86">
            <w:pPr>
              <w:pStyle w:val="TableParagraph"/>
              <w:spacing w:before="118"/>
              <w:ind w:left="433" w:right="440"/>
              <w:jc w:val="center"/>
              <w:rPr>
                <w:rFonts w:ascii="Segoe UI" w:eastAsia="Cambria" w:hAnsi="Segoe UI" w:cs="Segoe UI"/>
                <w:sz w:val="20"/>
                <w:szCs w:val="20"/>
              </w:rPr>
            </w:pPr>
            <w:r w:rsidRPr="00CE60B2">
              <w:rPr>
                <w:rFonts w:ascii="Segoe UI" w:hAnsi="Segoe UI" w:cs="Segoe UI"/>
                <w:b/>
                <w:spacing w:val="-1"/>
                <w:sz w:val="20"/>
              </w:rPr>
              <w:t>4(a)v</w:t>
            </w:r>
          </w:p>
          <w:p w14:paraId="26ABD62F" w14:textId="77777777" w:rsidR="00B25A86" w:rsidRPr="00CE60B2" w:rsidRDefault="00B25A86" w:rsidP="00B25A86">
            <w:pPr>
              <w:pStyle w:val="TableParagraph"/>
              <w:spacing w:before="120"/>
              <w:ind w:left="99" w:right="106" w:firstLine="1"/>
              <w:jc w:val="center"/>
              <w:rPr>
                <w:rFonts w:ascii="Segoe UI" w:eastAsia="Cambria" w:hAnsi="Segoe UI" w:cs="Segoe UI"/>
                <w:sz w:val="20"/>
                <w:szCs w:val="20"/>
              </w:rPr>
            </w:pPr>
            <w:r w:rsidRPr="00CE60B2">
              <w:rPr>
                <w:rFonts w:ascii="Segoe UI" w:hAnsi="Segoe UI" w:cs="Segoe UI"/>
                <w:b/>
                <w:spacing w:val="-1"/>
                <w:sz w:val="20"/>
              </w:rPr>
              <w:t>principles</w:t>
            </w:r>
            <w:r w:rsidRPr="00CE60B2">
              <w:rPr>
                <w:rFonts w:ascii="Segoe UI" w:hAnsi="Segoe UI" w:cs="Segoe UI"/>
                <w:b/>
                <w:spacing w:val="-12"/>
                <w:sz w:val="20"/>
              </w:rPr>
              <w:t xml:space="preserve"> </w:t>
            </w:r>
            <w:r w:rsidRPr="00CE60B2">
              <w:rPr>
                <w:rFonts w:ascii="Segoe UI" w:hAnsi="Segoe UI" w:cs="Segoe UI"/>
                <w:b/>
                <w:spacing w:val="-1"/>
                <w:sz w:val="20"/>
              </w:rPr>
              <w:t>of</w:t>
            </w:r>
            <w:r w:rsidRPr="00CE60B2">
              <w:rPr>
                <w:rFonts w:ascii="Segoe UI" w:hAnsi="Segoe UI" w:cs="Segoe UI"/>
                <w:b/>
                <w:spacing w:val="26"/>
                <w:w w:val="99"/>
                <w:sz w:val="20"/>
              </w:rPr>
              <w:t xml:space="preserve"> </w:t>
            </w:r>
            <w:r w:rsidRPr="00CE60B2">
              <w:rPr>
                <w:rFonts w:ascii="Segoe UI" w:hAnsi="Segoe UI" w:cs="Segoe UI"/>
                <w:b/>
                <w:spacing w:val="-1"/>
                <w:sz w:val="20"/>
              </w:rPr>
              <w:t>ecologically</w:t>
            </w:r>
            <w:r w:rsidRPr="00CE60B2">
              <w:rPr>
                <w:rFonts w:ascii="Segoe UI" w:hAnsi="Segoe UI" w:cs="Segoe UI"/>
                <w:b/>
                <w:spacing w:val="22"/>
                <w:w w:val="99"/>
                <w:sz w:val="20"/>
              </w:rPr>
              <w:t xml:space="preserve"> </w:t>
            </w:r>
            <w:r w:rsidRPr="00CE60B2">
              <w:rPr>
                <w:rFonts w:ascii="Segoe UI" w:hAnsi="Segoe UI" w:cs="Segoe UI"/>
                <w:b/>
                <w:spacing w:val="-1"/>
                <w:sz w:val="20"/>
              </w:rPr>
              <w:t>sustainable</w:t>
            </w:r>
            <w:r w:rsidRPr="00CE60B2">
              <w:rPr>
                <w:rFonts w:ascii="Segoe UI" w:hAnsi="Segoe UI" w:cs="Segoe UI"/>
                <w:b/>
                <w:spacing w:val="27"/>
                <w:w w:val="99"/>
                <w:sz w:val="20"/>
              </w:rPr>
              <w:t xml:space="preserve"> </w:t>
            </w:r>
            <w:r w:rsidRPr="00CE60B2">
              <w:rPr>
                <w:rFonts w:ascii="Segoe UI" w:hAnsi="Segoe UI" w:cs="Segoe UI"/>
                <w:b/>
                <w:spacing w:val="-1"/>
                <w:w w:val="95"/>
                <w:sz w:val="20"/>
              </w:rPr>
              <w:t>management</w:t>
            </w:r>
          </w:p>
        </w:tc>
      </w:tr>
      <w:tr w:rsidR="00B25A86" w:rsidRPr="00CE60B2" w14:paraId="26ABD632" w14:textId="77777777" w:rsidTr="00820139">
        <w:trPr>
          <w:trHeight w:hRule="exact" w:val="529"/>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31" w14:textId="77777777" w:rsidR="00B25A86" w:rsidRPr="00CE60B2" w:rsidRDefault="00B25A86" w:rsidP="00B25A86">
            <w:pPr>
              <w:pStyle w:val="Default"/>
              <w:rPr>
                <w:rFonts w:ascii="Segoe UI" w:hAnsi="Segoe UI" w:cs="Segoe UI"/>
                <w:sz w:val="22"/>
                <w:szCs w:val="22"/>
              </w:rPr>
            </w:pPr>
            <w:r w:rsidRPr="00CE60B2">
              <w:rPr>
                <w:rFonts w:ascii="Segoe UI" w:hAnsi="Segoe UI" w:cs="Segoe UI"/>
                <w:b/>
                <w:bCs/>
                <w:sz w:val="22"/>
                <w:szCs w:val="22"/>
              </w:rPr>
              <w:t xml:space="preserve">1.1 Ecosystem diversity </w:t>
            </w:r>
          </w:p>
        </w:tc>
      </w:tr>
      <w:tr w:rsidR="00B25A86" w:rsidRPr="00CE60B2" w14:paraId="26ABD639" w14:textId="77777777" w:rsidTr="00820139">
        <w:trPr>
          <w:trHeight w:hRule="exact" w:val="430"/>
          <w:jc w:val="center"/>
        </w:trPr>
        <w:tc>
          <w:tcPr>
            <w:tcW w:w="5526" w:type="dxa"/>
            <w:tcBorders>
              <w:top w:val="single" w:sz="5" w:space="0" w:color="000000"/>
              <w:left w:val="single" w:sz="5" w:space="0" w:color="000000"/>
              <w:bottom w:val="single" w:sz="5" w:space="0" w:color="000000"/>
              <w:right w:val="single" w:sz="5" w:space="0" w:color="000000"/>
            </w:tcBorders>
          </w:tcPr>
          <w:p w14:paraId="26ABD633" w14:textId="77777777" w:rsidR="00B25A86" w:rsidRPr="00CE60B2" w:rsidRDefault="00B25A86" w:rsidP="00B25A86">
            <w:pPr>
              <w:pStyle w:val="Default"/>
              <w:rPr>
                <w:rFonts w:ascii="Segoe UI" w:hAnsi="Segoe UI" w:cs="Segoe UI"/>
                <w:spacing w:val="-5"/>
                <w:sz w:val="22"/>
                <w:szCs w:val="22"/>
              </w:rPr>
            </w:pPr>
            <w:r w:rsidRPr="00CE60B2">
              <w:rPr>
                <w:rFonts w:ascii="Segoe UI" w:hAnsi="Segoe UI" w:cs="Segoe UI"/>
                <w:sz w:val="22"/>
                <w:szCs w:val="22"/>
              </w:rPr>
              <w:t xml:space="preserve">1.1a Area of forest by forest type and tenure </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34"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35"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36"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37"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38" w14:textId="77777777" w:rsidR="00B25A86" w:rsidRPr="00CE60B2" w:rsidRDefault="00B25A86" w:rsidP="00B25A86">
            <w:pPr>
              <w:rPr>
                <w:rFonts w:cs="Segoe UI"/>
              </w:rPr>
            </w:pPr>
          </w:p>
        </w:tc>
      </w:tr>
      <w:tr w:rsidR="00B25A86" w:rsidRPr="00CE60B2" w14:paraId="26ABD640" w14:textId="77777777" w:rsidTr="00820139">
        <w:trPr>
          <w:trHeight w:hRule="exact" w:val="458"/>
          <w:jc w:val="center"/>
        </w:trPr>
        <w:tc>
          <w:tcPr>
            <w:tcW w:w="5526" w:type="dxa"/>
            <w:tcBorders>
              <w:top w:val="single" w:sz="5" w:space="0" w:color="000000"/>
              <w:left w:val="single" w:sz="5" w:space="0" w:color="000000"/>
              <w:bottom w:val="single" w:sz="5" w:space="0" w:color="000000"/>
              <w:right w:val="single" w:sz="5" w:space="0" w:color="000000"/>
            </w:tcBorders>
          </w:tcPr>
          <w:p w14:paraId="26ABD63A" w14:textId="77777777" w:rsidR="00B25A86" w:rsidRPr="00CE60B2" w:rsidRDefault="00B25A86" w:rsidP="00B25A86">
            <w:pPr>
              <w:pStyle w:val="Default"/>
              <w:rPr>
                <w:rFonts w:ascii="Segoe UI" w:hAnsi="Segoe UI" w:cs="Segoe UI"/>
                <w:sz w:val="22"/>
                <w:szCs w:val="22"/>
              </w:rPr>
            </w:pPr>
            <w:r w:rsidRPr="00CE60B2">
              <w:rPr>
                <w:rFonts w:ascii="Segoe UI" w:hAnsi="Segoe UI" w:cs="Segoe UI"/>
                <w:sz w:val="22"/>
                <w:szCs w:val="22"/>
              </w:rPr>
              <w:t xml:space="preserve">1.1b Area of forest by growth stage </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3B"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3C"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3D"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3E"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3F" w14:textId="77777777" w:rsidR="00B25A86" w:rsidRPr="00CE60B2" w:rsidRDefault="00B25A86" w:rsidP="00B25A86">
            <w:pPr>
              <w:rPr>
                <w:rFonts w:cs="Segoe UI"/>
              </w:rPr>
            </w:pPr>
          </w:p>
        </w:tc>
      </w:tr>
      <w:tr w:rsidR="00B25A86" w:rsidRPr="00CE60B2" w14:paraId="26ABD647" w14:textId="77777777" w:rsidTr="00820139">
        <w:trPr>
          <w:trHeight w:hRule="exact" w:val="499"/>
          <w:jc w:val="center"/>
        </w:trPr>
        <w:tc>
          <w:tcPr>
            <w:tcW w:w="5526" w:type="dxa"/>
            <w:tcBorders>
              <w:top w:val="single" w:sz="5" w:space="0" w:color="000000"/>
              <w:left w:val="single" w:sz="5" w:space="0" w:color="000000"/>
              <w:bottom w:val="single" w:sz="5" w:space="0" w:color="000000"/>
              <w:right w:val="single" w:sz="5" w:space="0" w:color="000000"/>
            </w:tcBorders>
          </w:tcPr>
          <w:p w14:paraId="26ABD641" w14:textId="77777777" w:rsidR="00B25A86" w:rsidRPr="00CE60B2" w:rsidRDefault="00B25A86" w:rsidP="00B25A86">
            <w:pPr>
              <w:pStyle w:val="Default"/>
              <w:rPr>
                <w:rFonts w:ascii="Segoe UI" w:hAnsi="Segoe UI" w:cs="Segoe UI"/>
                <w:sz w:val="22"/>
                <w:szCs w:val="22"/>
              </w:rPr>
            </w:pPr>
            <w:r w:rsidRPr="00CE60B2">
              <w:rPr>
                <w:rFonts w:ascii="Segoe UI" w:hAnsi="Segoe UI" w:cs="Segoe UI"/>
                <w:sz w:val="22"/>
                <w:szCs w:val="22"/>
              </w:rPr>
              <w:t xml:space="preserve">1.1c Area of forest in protected area categories </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42"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43"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44"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45"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46" w14:textId="77777777" w:rsidR="00B25A86" w:rsidRPr="00CE60B2" w:rsidRDefault="00B25A86" w:rsidP="00B25A86">
            <w:pPr>
              <w:rPr>
                <w:rFonts w:cs="Segoe UI"/>
              </w:rPr>
            </w:pPr>
          </w:p>
        </w:tc>
      </w:tr>
      <w:tr w:rsidR="00B25A86" w:rsidRPr="00CE60B2" w14:paraId="26ABD64E" w14:textId="77777777" w:rsidTr="00820139">
        <w:trPr>
          <w:trHeight w:hRule="exact" w:val="399"/>
          <w:jc w:val="center"/>
        </w:trPr>
        <w:tc>
          <w:tcPr>
            <w:tcW w:w="5526" w:type="dxa"/>
            <w:tcBorders>
              <w:top w:val="single" w:sz="5" w:space="0" w:color="000000"/>
              <w:left w:val="single" w:sz="5" w:space="0" w:color="000000"/>
              <w:bottom w:val="single" w:sz="5" w:space="0" w:color="000000"/>
              <w:right w:val="single" w:sz="5" w:space="0" w:color="000000"/>
            </w:tcBorders>
          </w:tcPr>
          <w:p w14:paraId="26ABD648" w14:textId="77777777" w:rsidR="00B25A86" w:rsidRPr="00CE60B2" w:rsidRDefault="00B25A86" w:rsidP="00B25A86">
            <w:pPr>
              <w:pStyle w:val="Default"/>
              <w:rPr>
                <w:rFonts w:ascii="Segoe UI" w:hAnsi="Segoe UI" w:cs="Segoe UI"/>
                <w:sz w:val="22"/>
                <w:szCs w:val="22"/>
              </w:rPr>
            </w:pPr>
            <w:r w:rsidRPr="00CE60B2">
              <w:rPr>
                <w:rFonts w:ascii="Segoe UI" w:hAnsi="Segoe UI" w:cs="Segoe UI"/>
                <w:sz w:val="22"/>
                <w:szCs w:val="22"/>
              </w:rPr>
              <w:t xml:space="preserve">1.1d Fragmentation of forest cover </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49"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4A"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4B"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4C"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4D" w14:textId="77777777" w:rsidR="00B25A86" w:rsidRPr="00CE60B2" w:rsidRDefault="00B25A86" w:rsidP="00B25A86">
            <w:pPr>
              <w:rPr>
                <w:rFonts w:cs="Segoe UI"/>
              </w:rPr>
            </w:pPr>
          </w:p>
        </w:tc>
      </w:tr>
      <w:tr w:rsidR="00B25A86" w:rsidRPr="00CE60B2" w14:paraId="26ABD650" w14:textId="77777777" w:rsidTr="00820139">
        <w:trPr>
          <w:trHeight w:hRule="exact" w:val="482"/>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4F" w14:textId="77777777" w:rsidR="00B25A86" w:rsidRPr="00CE60B2" w:rsidRDefault="00B25A86" w:rsidP="00B25A86">
            <w:pPr>
              <w:rPr>
                <w:rFonts w:cs="Segoe UI"/>
              </w:rPr>
            </w:pPr>
            <w:r w:rsidRPr="00CE60B2">
              <w:rPr>
                <w:rFonts w:cs="Segoe UI"/>
                <w:b/>
                <w:bCs/>
              </w:rPr>
              <w:t xml:space="preserve">1.2 Species diversity </w:t>
            </w:r>
          </w:p>
        </w:tc>
      </w:tr>
      <w:tr w:rsidR="00B25A86" w:rsidRPr="00CE60B2" w14:paraId="26ABD657"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51" w14:textId="77777777" w:rsidR="00B25A86" w:rsidRPr="00CE60B2" w:rsidRDefault="00B25A86" w:rsidP="00B25A86">
            <w:pPr>
              <w:pStyle w:val="Default"/>
              <w:rPr>
                <w:rFonts w:ascii="Segoe UI" w:hAnsi="Segoe UI" w:cs="Segoe UI"/>
                <w:sz w:val="22"/>
                <w:szCs w:val="22"/>
              </w:rPr>
            </w:pPr>
            <w:r w:rsidRPr="00CE60B2">
              <w:rPr>
                <w:rFonts w:ascii="Segoe UI" w:hAnsi="Segoe UI" w:cs="Segoe UI"/>
                <w:sz w:val="22"/>
                <w:szCs w:val="22"/>
              </w:rPr>
              <w:t xml:space="preserve">1.2a Forest-dwelling species for which ecological information is available </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52"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53"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54"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55"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56" w14:textId="77777777" w:rsidR="00B25A86" w:rsidRPr="00CE60B2" w:rsidRDefault="00B25A86" w:rsidP="00B25A86">
            <w:pPr>
              <w:rPr>
                <w:rFonts w:cs="Segoe UI"/>
              </w:rPr>
            </w:pPr>
          </w:p>
        </w:tc>
      </w:tr>
      <w:tr w:rsidR="00B25A86" w:rsidRPr="00CE60B2" w14:paraId="26ABD65E"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58" w14:textId="77777777" w:rsidR="00B25A86" w:rsidRPr="00CE60B2" w:rsidRDefault="00B25A86" w:rsidP="00B25A86">
            <w:pPr>
              <w:rPr>
                <w:rFonts w:cs="Segoe UI"/>
                <w:spacing w:val="-5"/>
              </w:rPr>
            </w:pPr>
            <w:r w:rsidRPr="00CE60B2">
              <w:rPr>
                <w:rFonts w:cs="Segoe UI"/>
                <w:spacing w:val="-5"/>
              </w:rPr>
              <w:t>1.2b The status of forest-dwelling species at risk of not maintaining viable breeding populations, as determined by legislation or scientific assessment</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59"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5A"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5B"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5C"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5D" w14:textId="77777777" w:rsidR="00B25A86" w:rsidRPr="00CE60B2" w:rsidRDefault="00B25A86" w:rsidP="00B25A86">
            <w:pPr>
              <w:rPr>
                <w:rFonts w:cs="Segoe UI"/>
              </w:rPr>
            </w:pPr>
          </w:p>
        </w:tc>
      </w:tr>
      <w:tr w:rsidR="00B25A86" w:rsidRPr="00CE60B2" w14:paraId="26ABD665"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5F" w14:textId="77777777" w:rsidR="00B25A86" w:rsidRPr="00CE60B2" w:rsidRDefault="00B25A86" w:rsidP="00B25A86">
            <w:pPr>
              <w:rPr>
                <w:rFonts w:cs="Segoe UI"/>
                <w:spacing w:val="-5"/>
              </w:rPr>
            </w:pPr>
            <w:r w:rsidRPr="00CE60B2">
              <w:rPr>
                <w:rFonts w:cs="Segoe UI"/>
                <w:spacing w:val="-5"/>
              </w:rPr>
              <w:lastRenderedPageBreak/>
              <w:t>1.2c Representative species from a range of habitats monitored at scales relevant to regional forest management</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60"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61"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62"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63"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64" w14:textId="77777777" w:rsidR="00B25A86" w:rsidRPr="00CE60B2" w:rsidRDefault="00B25A86" w:rsidP="00B25A86">
            <w:pPr>
              <w:rPr>
                <w:rFonts w:cs="Segoe UI"/>
              </w:rPr>
            </w:pPr>
          </w:p>
        </w:tc>
      </w:tr>
      <w:tr w:rsidR="00B25A86" w:rsidRPr="00CE60B2" w14:paraId="26ABD667"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66" w14:textId="77777777" w:rsidR="00B25A86" w:rsidRPr="00CE60B2" w:rsidRDefault="00B25A86" w:rsidP="00B25A86">
            <w:pPr>
              <w:rPr>
                <w:rFonts w:cs="Segoe UI"/>
                <w:spacing w:val="-5"/>
              </w:rPr>
            </w:pPr>
            <w:r w:rsidRPr="00CE60B2">
              <w:rPr>
                <w:rFonts w:cs="Segoe UI"/>
                <w:b/>
                <w:bCs/>
              </w:rPr>
              <w:t>1.3 Genetic diversity</w:t>
            </w:r>
          </w:p>
        </w:tc>
      </w:tr>
      <w:tr w:rsidR="00B25A86" w:rsidRPr="00CE60B2" w14:paraId="26ABD66E"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68" w14:textId="77777777" w:rsidR="00B25A86" w:rsidRPr="00CE60B2" w:rsidRDefault="00B25A86" w:rsidP="00B25A86">
            <w:pPr>
              <w:rPr>
                <w:rFonts w:cs="Segoe UI"/>
                <w:spacing w:val="-5"/>
              </w:rPr>
            </w:pPr>
            <w:r w:rsidRPr="00CE60B2">
              <w:rPr>
                <w:rFonts w:cs="Segoe UI"/>
                <w:spacing w:val="-5"/>
              </w:rPr>
              <w:t>1.3a Forest associated species at risk from isolation and the loss of genetic variation, and conservation efforts for those species</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69"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6A"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6B"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6C"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6D" w14:textId="77777777" w:rsidR="00B25A86" w:rsidRPr="00CE60B2" w:rsidRDefault="00B25A86" w:rsidP="00B25A86">
            <w:pPr>
              <w:rPr>
                <w:rFonts w:cs="Segoe UI"/>
              </w:rPr>
            </w:pPr>
          </w:p>
        </w:tc>
      </w:tr>
      <w:tr w:rsidR="00B25A86" w:rsidRPr="00CE60B2" w14:paraId="26ABD675"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6F" w14:textId="77777777" w:rsidR="00B25A86" w:rsidRPr="00CE60B2" w:rsidRDefault="00B25A86" w:rsidP="00B25A86">
            <w:pPr>
              <w:rPr>
                <w:rFonts w:cs="Segoe UI"/>
                <w:spacing w:val="-5"/>
              </w:rPr>
            </w:pPr>
            <w:r w:rsidRPr="00CE60B2">
              <w:rPr>
                <w:rFonts w:cs="Segoe UI"/>
                <w:spacing w:val="-5"/>
              </w:rPr>
              <w:t>1.3b Native forest and plantations of indigenous species which have genetic resource conservation mechanisms in place</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70"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71"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72"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73"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74" w14:textId="77777777" w:rsidR="00B25A86" w:rsidRPr="00CE60B2" w:rsidRDefault="00B25A86" w:rsidP="00B25A86">
            <w:pPr>
              <w:rPr>
                <w:rFonts w:cs="Segoe UI"/>
              </w:rPr>
            </w:pPr>
          </w:p>
        </w:tc>
      </w:tr>
      <w:tr w:rsidR="00B25A86" w:rsidRPr="00CE60B2" w14:paraId="26ABD677"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76" w14:textId="77777777" w:rsidR="00B25A86" w:rsidRPr="00CE60B2" w:rsidRDefault="00B25A86" w:rsidP="00B25A86">
            <w:pPr>
              <w:rPr>
                <w:rFonts w:cs="Segoe UI"/>
                <w:b/>
                <w:spacing w:val="-5"/>
              </w:rPr>
            </w:pPr>
            <w:r w:rsidRPr="00CE60B2">
              <w:rPr>
                <w:rFonts w:cs="Segoe UI"/>
                <w:b/>
                <w:spacing w:val="-5"/>
              </w:rPr>
              <w:t>2 Maintenance of productive capacity of forest ecosystems</w:t>
            </w:r>
          </w:p>
        </w:tc>
      </w:tr>
      <w:tr w:rsidR="00B25A86" w:rsidRPr="00CE60B2" w14:paraId="26ABD67E" w14:textId="77777777" w:rsidTr="00820139">
        <w:trPr>
          <w:trHeight w:val="886"/>
          <w:jc w:val="center"/>
        </w:trPr>
        <w:tc>
          <w:tcPr>
            <w:tcW w:w="5526" w:type="dxa"/>
            <w:tcBorders>
              <w:top w:val="single" w:sz="5" w:space="0" w:color="000000"/>
              <w:left w:val="single" w:sz="5" w:space="0" w:color="000000"/>
              <w:bottom w:val="single" w:sz="5" w:space="0" w:color="000000"/>
              <w:right w:val="single" w:sz="5" w:space="0" w:color="000000"/>
            </w:tcBorders>
          </w:tcPr>
          <w:p w14:paraId="26ABD678" w14:textId="77777777" w:rsidR="00B25A86" w:rsidRPr="00CE60B2" w:rsidRDefault="00B25A86" w:rsidP="00B25A86">
            <w:pPr>
              <w:rPr>
                <w:rFonts w:cs="Segoe UI"/>
                <w:spacing w:val="-5"/>
              </w:rPr>
            </w:pPr>
            <w:r w:rsidRPr="00CE60B2">
              <w:rPr>
                <w:rFonts w:cs="Segoe UI"/>
                <w:spacing w:val="-5"/>
              </w:rPr>
              <w:t>2.1a Native forest available for wood production, area harvested and growing stock of merchantable and non-merchantable tree species</w:t>
            </w:r>
          </w:p>
        </w:tc>
        <w:tc>
          <w:tcPr>
            <w:tcW w:w="2552" w:type="dxa"/>
            <w:tcBorders>
              <w:top w:val="single" w:sz="5" w:space="0" w:color="000000"/>
              <w:left w:val="single" w:sz="5" w:space="0" w:color="000000"/>
              <w:bottom w:val="single" w:sz="5" w:space="0" w:color="000000"/>
              <w:right w:val="single" w:sz="5" w:space="0" w:color="000000"/>
            </w:tcBorders>
          </w:tcPr>
          <w:p w14:paraId="26ABD679"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7A"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7B"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7C"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7D" w14:textId="77777777" w:rsidR="00B25A86" w:rsidRPr="00CE60B2" w:rsidRDefault="00B25A86" w:rsidP="00B25A86">
            <w:pPr>
              <w:rPr>
                <w:rFonts w:cs="Segoe UI"/>
              </w:rPr>
            </w:pPr>
          </w:p>
        </w:tc>
      </w:tr>
      <w:tr w:rsidR="00B25A86" w:rsidRPr="00CE60B2" w14:paraId="26ABD685"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7F" w14:textId="77777777" w:rsidR="00B25A86" w:rsidRPr="00CE60B2" w:rsidRDefault="00B25A86" w:rsidP="00B25A86">
            <w:pPr>
              <w:rPr>
                <w:rFonts w:cs="Segoe UI"/>
                <w:spacing w:val="-5"/>
              </w:rPr>
            </w:pPr>
            <w:r w:rsidRPr="00CE60B2">
              <w:rPr>
                <w:rFonts w:cs="Segoe UI"/>
                <w:spacing w:val="-5"/>
              </w:rPr>
              <w:lastRenderedPageBreak/>
              <w:t>2.1b Age class and growing stock of plantations</w:t>
            </w:r>
          </w:p>
        </w:tc>
        <w:tc>
          <w:tcPr>
            <w:tcW w:w="2552" w:type="dxa"/>
            <w:tcBorders>
              <w:top w:val="single" w:sz="5" w:space="0" w:color="000000"/>
              <w:left w:val="single" w:sz="5" w:space="0" w:color="000000"/>
              <w:bottom w:val="single" w:sz="5" w:space="0" w:color="000000"/>
              <w:right w:val="single" w:sz="5" w:space="0" w:color="000000"/>
            </w:tcBorders>
          </w:tcPr>
          <w:p w14:paraId="26ABD680"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81"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82"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83"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84" w14:textId="77777777" w:rsidR="00B25A86" w:rsidRPr="00CE60B2" w:rsidRDefault="00B25A86" w:rsidP="00B25A86">
            <w:pPr>
              <w:rPr>
                <w:rFonts w:cs="Segoe UI"/>
              </w:rPr>
            </w:pPr>
          </w:p>
        </w:tc>
      </w:tr>
      <w:tr w:rsidR="00B25A86" w:rsidRPr="00CE60B2" w14:paraId="26ABD68C" w14:textId="77777777" w:rsidTr="00820139">
        <w:trPr>
          <w:trHeight w:val="1007"/>
          <w:jc w:val="center"/>
        </w:trPr>
        <w:tc>
          <w:tcPr>
            <w:tcW w:w="5526" w:type="dxa"/>
            <w:tcBorders>
              <w:top w:val="single" w:sz="5" w:space="0" w:color="000000"/>
              <w:left w:val="single" w:sz="5" w:space="0" w:color="000000"/>
              <w:bottom w:val="single" w:sz="5" w:space="0" w:color="000000"/>
              <w:right w:val="single" w:sz="5" w:space="0" w:color="000000"/>
            </w:tcBorders>
          </w:tcPr>
          <w:p w14:paraId="26ABD686" w14:textId="77777777" w:rsidR="00B25A86" w:rsidRPr="00CE60B2" w:rsidRDefault="00B25A86" w:rsidP="00B25A86">
            <w:pPr>
              <w:rPr>
                <w:rFonts w:cs="Segoe UI"/>
                <w:spacing w:val="-5"/>
              </w:rPr>
            </w:pPr>
            <w:r w:rsidRPr="00CE60B2">
              <w:rPr>
                <w:rFonts w:cs="Segoe UI"/>
                <w:spacing w:val="-5"/>
              </w:rPr>
              <w:t>2.1c Annual removal of wood products compared to the volume determined to be sustainable for native forests and future yields for plantations</w:t>
            </w:r>
          </w:p>
        </w:tc>
        <w:tc>
          <w:tcPr>
            <w:tcW w:w="2552" w:type="dxa"/>
            <w:tcBorders>
              <w:top w:val="single" w:sz="5" w:space="0" w:color="000000"/>
              <w:left w:val="single" w:sz="5" w:space="0" w:color="000000"/>
              <w:bottom w:val="single" w:sz="5" w:space="0" w:color="000000"/>
              <w:right w:val="single" w:sz="5" w:space="0" w:color="000000"/>
            </w:tcBorders>
          </w:tcPr>
          <w:p w14:paraId="26ABD687"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88"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89"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8A"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8B" w14:textId="77777777" w:rsidR="00B25A86" w:rsidRPr="00CE60B2" w:rsidRDefault="00B25A86" w:rsidP="00B25A86">
            <w:pPr>
              <w:rPr>
                <w:rFonts w:cs="Segoe UI"/>
              </w:rPr>
            </w:pPr>
          </w:p>
        </w:tc>
      </w:tr>
      <w:tr w:rsidR="00B25A86" w:rsidRPr="00CE60B2" w14:paraId="26ABD693" w14:textId="77777777" w:rsidTr="00820139">
        <w:trPr>
          <w:trHeight w:val="726"/>
          <w:jc w:val="center"/>
        </w:trPr>
        <w:tc>
          <w:tcPr>
            <w:tcW w:w="5526" w:type="dxa"/>
            <w:tcBorders>
              <w:top w:val="single" w:sz="5" w:space="0" w:color="000000"/>
              <w:left w:val="single" w:sz="5" w:space="0" w:color="000000"/>
              <w:bottom w:val="single" w:sz="5" w:space="0" w:color="000000"/>
              <w:right w:val="single" w:sz="5" w:space="0" w:color="000000"/>
            </w:tcBorders>
          </w:tcPr>
          <w:p w14:paraId="26ABD68D" w14:textId="77777777" w:rsidR="00B25A86" w:rsidRPr="00CE60B2" w:rsidRDefault="00B25A86" w:rsidP="00B25A86">
            <w:pPr>
              <w:rPr>
                <w:rFonts w:cs="Segoe UI"/>
                <w:spacing w:val="-5"/>
              </w:rPr>
            </w:pPr>
            <w:r w:rsidRPr="00CE60B2">
              <w:rPr>
                <w:rFonts w:cs="Segoe UI"/>
                <w:spacing w:val="-5"/>
              </w:rPr>
              <w:t>2.1d Annual removal of non-wood products compared to the level determined to be sustainable</w:t>
            </w:r>
          </w:p>
        </w:tc>
        <w:tc>
          <w:tcPr>
            <w:tcW w:w="2552" w:type="dxa"/>
            <w:tcBorders>
              <w:top w:val="single" w:sz="5" w:space="0" w:color="000000"/>
              <w:left w:val="single" w:sz="5" w:space="0" w:color="000000"/>
              <w:bottom w:val="single" w:sz="5" w:space="0" w:color="000000"/>
              <w:right w:val="single" w:sz="5" w:space="0" w:color="000000"/>
            </w:tcBorders>
          </w:tcPr>
          <w:p w14:paraId="26ABD68E"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8F"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90"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91"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92" w14:textId="77777777" w:rsidR="00B25A86" w:rsidRPr="00CE60B2" w:rsidRDefault="00B25A86" w:rsidP="00B25A86">
            <w:pPr>
              <w:rPr>
                <w:rFonts w:cs="Segoe UI"/>
              </w:rPr>
            </w:pPr>
          </w:p>
        </w:tc>
      </w:tr>
      <w:tr w:rsidR="00B25A86" w:rsidRPr="00CE60B2" w14:paraId="26ABD69B" w14:textId="77777777" w:rsidTr="00820139">
        <w:trPr>
          <w:trHeight w:hRule="exact" w:val="1046"/>
          <w:jc w:val="center"/>
        </w:trPr>
        <w:tc>
          <w:tcPr>
            <w:tcW w:w="5526" w:type="dxa"/>
            <w:tcBorders>
              <w:top w:val="single" w:sz="5" w:space="0" w:color="000000"/>
              <w:left w:val="single" w:sz="5" w:space="0" w:color="000000"/>
              <w:bottom w:val="single" w:sz="5" w:space="0" w:color="000000"/>
              <w:right w:val="single" w:sz="5" w:space="0" w:color="000000"/>
            </w:tcBorders>
          </w:tcPr>
          <w:p w14:paraId="26ABD694" w14:textId="7886B11E" w:rsidR="00B25A86" w:rsidRPr="00CE60B2" w:rsidRDefault="00B25A86" w:rsidP="00B25A86">
            <w:pPr>
              <w:rPr>
                <w:rFonts w:cs="Segoe UI"/>
                <w:spacing w:val="-5"/>
              </w:rPr>
            </w:pPr>
            <w:r w:rsidRPr="00CE60B2">
              <w:rPr>
                <w:rFonts w:cs="Segoe UI"/>
                <w:spacing w:val="-5"/>
              </w:rPr>
              <w:t>2.1e The area of native forest harvested and the proportion of that effectively regenerated and the area of plantation clear-fell harvested and the proportion of that effectively</w:t>
            </w:r>
          </w:p>
          <w:p w14:paraId="26ABD695" w14:textId="77777777" w:rsidR="00B25A86" w:rsidRPr="00CE60B2" w:rsidRDefault="00B25A86" w:rsidP="00B25A86">
            <w:pPr>
              <w:rPr>
                <w:rFonts w:cs="Segoe UI"/>
                <w:spacing w:val="-5"/>
              </w:rPr>
            </w:pPr>
            <w:r w:rsidRPr="00CE60B2">
              <w:rPr>
                <w:rFonts w:cs="Segoe UI"/>
                <w:spacing w:val="-5"/>
              </w:rPr>
              <w:t>re-established</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96"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97"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98"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99"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9A" w14:textId="77777777" w:rsidR="00B25A86" w:rsidRPr="00CE60B2" w:rsidRDefault="00B25A86" w:rsidP="00B25A86">
            <w:pPr>
              <w:rPr>
                <w:rFonts w:cs="Segoe UI"/>
              </w:rPr>
            </w:pPr>
          </w:p>
        </w:tc>
      </w:tr>
      <w:tr w:rsidR="00B25A86" w:rsidRPr="00CE60B2" w14:paraId="26ABD69D"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9C" w14:textId="77777777" w:rsidR="00B25A86" w:rsidRPr="00CE60B2" w:rsidRDefault="00B25A86" w:rsidP="00B25A86">
            <w:pPr>
              <w:rPr>
                <w:rFonts w:cs="Segoe UI"/>
                <w:b/>
                <w:spacing w:val="-5"/>
              </w:rPr>
            </w:pPr>
            <w:r w:rsidRPr="00CE60B2">
              <w:rPr>
                <w:rFonts w:cs="Segoe UI"/>
                <w:b/>
                <w:spacing w:val="-5"/>
              </w:rPr>
              <w:t>3 Maintenance of ecosystem health and vitality</w:t>
            </w:r>
          </w:p>
        </w:tc>
      </w:tr>
      <w:tr w:rsidR="00B25A86" w:rsidRPr="00CE60B2" w14:paraId="26ABD6A4"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9E" w14:textId="77777777" w:rsidR="00B25A86" w:rsidRPr="00CE60B2" w:rsidRDefault="00B25A86" w:rsidP="00B25A86">
            <w:pPr>
              <w:rPr>
                <w:rFonts w:cs="Segoe UI"/>
                <w:spacing w:val="-5"/>
              </w:rPr>
            </w:pPr>
            <w:r w:rsidRPr="00CE60B2">
              <w:rPr>
                <w:rFonts w:cs="Segoe UI"/>
                <w:spacing w:val="-5"/>
              </w:rPr>
              <w:t>3.1a Scale and impact of agents and processes affecting forest health and vitality</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9F"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A0"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A1"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A2"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A3" w14:textId="77777777" w:rsidR="00B25A86" w:rsidRPr="00CE60B2" w:rsidRDefault="00B25A86" w:rsidP="00B25A86">
            <w:pPr>
              <w:rPr>
                <w:rFonts w:cs="Segoe UI"/>
              </w:rPr>
            </w:pPr>
          </w:p>
        </w:tc>
      </w:tr>
      <w:tr w:rsidR="00B25A86" w:rsidRPr="00CE60B2" w14:paraId="26ABD6AB" w14:textId="77777777" w:rsidTr="00820139">
        <w:trPr>
          <w:trHeight w:val="1339"/>
          <w:jc w:val="center"/>
        </w:trPr>
        <w:tc>
          <w:tcPr>
            <w:tcW w:w="5526" w:type="dxa"/>
            <w:tcBorders>
              <w:top w:val="single" w:sz="5" w:space="0" w:color="000000"/>
              <w:left w:val="single" w:sz="5" w:space="0" w:color="000000"/>
              <w:bottom w:val="single" w:sz="5" w:space="0" w:color="000000"/>
              <w:right w:val="single" w:sz="5" w:space="0" w:color="000000"/>
            </w:tcBorders>
          </w:tcPr>
          <w:p w14:paraId="26ABD6A5" w14:textId="77777777" w:rsidR="00B25A86" w:rsidRPr="00CE60B2" w:rsidRDefault="00B25A86" w:rsidP="00B25A86">
            <w:pPr>
              <w:rPr>
                <w:rFonts w:cs="Segoe UI"/>
                <w:spacing w:val="-5"/>
              </w:rPr>
            </w:pPr>
            <w:r w:rsidRPr="00CE60B2">
              <w:rPr>
                <w:rFonts w:cs="Segoe UI"/>
                <w:spacing w:val="-5"/>
              </w:rPr>
              <w:lastRenderedPageBreak/>
              <w:t>3.1b Area of forest burnt by planned and unplanned fire</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A6"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A7"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A8"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A9"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AA" w14:textId="77777777" w:rsidR="00B25A86" w:rsidRPr="00CE60B2" w:rsidRDefault="00B25A86" w:rsidP="00B25A86">
            <w:pPr>
              <w:rPr>
                <w:rFonts w:cs="Segoe UI"/>
              </w:rPr>
            </w:pPr>
          </w:p>
        </w:tc>
      </w:tr>
      <w:tr w:rsidR="00B25A86" w:rsidRPr="00CE60B2" w14:paraId="26ABD6AD"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AC" w14:textId="77777777" w:rsidR="00B25A86" w:rsidRPr="00CE60B2" w:rsidRDefault="00B25A86" w:rsidP="00B25A86">
            <w:pPr>
              <w:rPr>
                <w:rFonts w:cs="Segoe UI"/>
                <w:b/>
                <w:spacing w:val="-5"/>
              </w:rPr>
            </w:pPr>
            <w:r w:rsidRPr="00CE60B2">
              <w:rPr>
                <w:rFonts w:cs="Segoe UI"/>
                <w:b/>
                <w:spacing w:val="-5"/>
              </w:rPr>
              <w:t>4 Conservation and maintenance of soil and water resources</w:t>
            </w:r>
          </w:p>
        </w:tc>
      </w:tr>
      <w:tr w:rsidR="00B25A86" w:rsidRPr="00CE60B2" w14:paraId="26ABD6B4"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AE" w14:textId="77777777" w:rsidR="00B25A86" w:rsidRPr="00CE60B2" w:rsidRDefault="00B25A86" w:rsidP="00B25A86">
            <w:pPr>
              <w:rPr>
                <w:rFonts w:cs="Segoe UI"/>
                <w:spacing w:val="-5"/>
              </w:rPr>
            </w:pPr>
            <w:r w:rsidRPr="00CE60B2">
              <w:rPr>
                <w:rFonts w:cs="Segoe UI"/>
                <w:spacing w:val="-5"/>
              </w:rPr>
              <w:t>4.1a Area of forest land managed primarily for protective function</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AF"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B0"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B1"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B2"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B3" w14:textId="77777777" w:rsidR="00B25A86" w:rsidRPr="00CE60B2" w:rsidRDefault="00B25A86" w:rsidP="00B25A86">
            <w:pPr>
              <w:rPr>
                <w:rFonts w:cs="Segoe UI"/>
              </w:rPr>
            </w:pPr>
          </w:p>
        </w:tc>
      </w:tr>
      <w:tr w:rsidR="00B25A86" w:rsidRPr="00CE60B2" w14:paraId="26ABD6BB"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B5" w14:textId="77777777" w:rsidR="00B25A86" w:rsidRPr="00CE60B2" w:rsidRDefault="00B25A86" w:rsidP="00B25A86">
            <w:pPr>
              <w:rPr>
                <w:rFonts w:cs="Segoe UI"/>
                <w:spacing w:val="-5"/>
              </w:rPr>
            </w:pPr>
            <w:r w:rsidRPr="00CE60B2">
              <w:rPr>
                <w:rFonts w:cs="Segoe UI"/>
                <w:spacing w:val="-5"/>
              </w:rPr>
              <w:t>4.1b Management of the risks of soil erosion and the risks to soil physical properties, water quantity and water quality in forests</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B6"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B7"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B8"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B9"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BA" w14:textId="77777777" w:rsidR="00B25A86" w:rsidRPr="00CE60B2" w:rsidRDefault="00B25A86" w:rsidP="00B25A86">
            <w:pPr>
              <w:rPr>
                <w:rFonts w:cs="Segoe UI"/>
              </w:rPr>
            </w:pPr>
          </w:p>
        </w:tc>
      </w:tr>
      <w:tr w:rsidR="00B25A86" w:rsidRPr="00CE60B2" w14:paraId="26ABD6BD"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BC" w14:textId="77777777" w:rsidR="00B25A86" w:rsidRPr="00CE60B2" w:rsidRDefault="00B25A86" w:rsidP="00B25A86">
            <w:pPr>
              <w:rPr>
                <w:rFonts w:cs="Segoe UI"/>
                <w:b/>
                <w:spacing w:val="-5"/>
              </w:rPr>
            </w:pPr>
            <w:r w:rsidRPr="00CE60B2">
              <w:rPr>
                <w:rFonts w:cs="Segoe UI"/>
                <w:b/>
                <w:spacing w:val="-5"/>
              </w:rPr>
              <w:t>5 Maintenance of forests’ contribution to global carbon cycles</w:t>
            </w:r>
          </w:p>
        </w:tc>
      </w:tr>
      <w:tr w:rsidR="00B25A86" w:rsidRPr="00CE60B2" w14:paraId="26ABD6C4" w14:textId="77777777" w:rsidTr="00820139">
        <w:trPr>
          <w:trHeight w:hRule="exact" w:val="485"/>
          <w:jc w:val="center"/>
        </w:trPr>
        <w:tc>
          <w:tcPr>
            <w:tcW w:w="5526" w:type="dxa"/>
            <w:tcBorders>
              <w:top w:val="single" w:sz="5" w:space="0" w:color="000000"/>
              <w:left w:val="single" w:sz="5" w:space="0" w:color="000000"/>
              <w:bottom w:val="single" w:sz="5" w:space="0" w:color="000000"/>
              <w:right w:val="single" w:sz="5" w:space="0" w:color="000000"/>
            </w:tcBorders>
          </w:tcPr>
          <w:p w14:paraId="26ABD6BE" w14:textId="77777777" w:rsidR="00B25A86" w:rsidRPr="00CE60B2" w:rsidRDefault="00B25A86" w:rsidP="00B25A86">
            <w:pPr>
              <w:rPr>
                <w:rFonts w:cs="Segoe UI"/>
                <w:spacing w:val="-5"/>
              </w:rPr>
            </w:pPr>
            <w:r w:rsidRPr="00CE60B2">
              <w:rPr>
                <w:rFonts w:cs="Segoe UI"/>
                <w:spacing w:val="-5"/>
              </w:rPr>
              <w:t>5.1a Total forest ecosystem biomass and carbon pool</w:t>
            </w:r>
          </w:p>
        </w:tc>
        <w:tc>
          <w:tcPr>
            <w:tcW w:w="2552"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BF"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C0"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C1"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tcPr>
          <w:p w14:paraId="26ABD6C2"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C3" w14:textId="77777777" w:rsidR="00B25A86" w:rsidRPr="00CE60B2" w:rsidRDefault="00B25A86" w:rsidP="00B25A86">
            <w:pPr>
              <w:rPr>
                <w:rFonts w:cs="Segoe UI"/>
              </w:rPr>
            </w:pPr>
          </w:p>
        </w:tc>
      </w:tr>
      <w:tr w:rsidR="00B25A86" w:rsidRPr="00CE60B2" w14:paraId="26ABD6C6"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C5" w14:textId="77777777" w:rsidR="00B25A86" w:rsidRPr="00CE60B2" w:rsidRDefault="00B25A86" w:rsidP="00B25A86">
            <w:pPr>
              <w:rPr>
                <w:rFonts w:cs="Segoe UI"/>
                <w:b/>
                <w:spacing w:val="-5"/>
              </w:rPr>
            </w:pPr>
            <w:r w:rsidRPr="00CE60B2">
              <w:rPr>
                <w:rFonts w:cs="Segoe UI"/>
                <w:b/>
                <w:spacing w:val="-5"/>
              </w:rPr>
              <w:t>6.1 Production and consumption</w:t>
            </w:r>
          </w:p>
        </w:tc>
      </w:tr>
      <w:tr w:rsidR="00B25A86" w:rsidRPr="00CE60B2" w14:paraId="26ABD6CD"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C7" w14:textId="77777777" w:rsidR="00B25A86" w:rsidRPr="00CE60B2" w:rsidRDefault="00B25A86" w:rsidP="00B25A86">
            <w:pPr>
              <w:rPr>
                <w:rFonts w:cs="Segoe UI"/>
                <w:spacing w:val="-5"/>
              </w:rPr>
            </w:pPr>
            <w:r w:rsidRPr="00CE60B2">
              <w:rPr>
                <w:rFonts w:cs="Segoe UI"/>
                <w:spacing w:val="-5"/>
              </w:rPr>
              <w:t>6.1a Value and volume of wood and wood products</w:t>
            </w:r>
          </w:p>
        </w:tc>
        <w:tc>
          <w:tcPr>
            <w:tcW w:w="2552" w:type="dxa"/>
            <w:tcBorders>
              <w:top w:val="single" w:sz="5" w:space="0" w:color="000000"/>
              <w:left w:val="single" w:sz="5" w:space="0" w:color="000000"/>
              <w:bottom w:val="single" w:sz="5" w:space="0" w:color="000000"/>
              <w:right w:val="single" w:sz="5" w:space="0" w:color="000000"/>
            </w:tcBorders>
          </w:tcPr>
          <w:p w14:paraId="26ABD6C8"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C9"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CA"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CB"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CC" w14:textId="77777777" w:rsidR="00B25A86" w:rsidRPr="00CE60B2" w:rsidRDefault="00B25A86" w:rsidP="00B25A86">
            <w:pPr>
              <w:rPr>
                <w:rFonts w:cs="Segoe UI"/>
              </w:rPr>
            </w:pPr>
          </w:p>
        </w:tc>
      </w:tr>
      <w:tr w:rsidR="00B25A86" w:rsidRPr="00CE60B2" w14:paraId="26ABD6D4"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CE" w14:textId="77777777" w:rsidR="00B25A86" w:rsidRPr="00CE60B2" w:rsidRDefault="00B25A86" w:rsidP="00B25A86">
            <w:pPr>
              <w:rPr>
                <w:rFonts w:cs="Segoe UI"/>
                <w:spacing w:val="-5"/>
              </w:rPr>
            </w:pPr>
            <w:r w:rsidRPr="00CE60B2">
              <w:rPr>
                <w:rFonts w:cs="Segoe UI"/>
                <w:spacing w:val="-5"/>
              </w:rPr>
              <w:lastRenderedPageBreak/>
              <w:t>6.1b Values, quantities and use of non-wood forest products</w:t>
            </w:r>
          </w:p>
        </w:tc>
        <w:tc>
          <w:tcPr>
            <w:tcW w:w="2552" w:type="dxa"/>
            <w:tcBorders>
              <w:top w:val="single" w:sz="5" w:space="0" w:color="000000"/>
              <w:left w:val="single" w:sz="5" w:space="0" w:color="000000"/>
              <w:bottom w:val="single" w:sz="5" w:space="0" w:color="000000"/>
              <w:right w:val="single" w:sz="5" w:space="0" w:color="000000"/>
            </w:tcBorders>
          </w:tcPr>
          <w:p w14:paraId="26ABD6CF"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D0"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D1"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D2"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D3" w14:textId="77777777" w:rsidR="00B25A86" w:rsidRPr="00CE60B2" w:rsidRDefault="00B25A86" w:rsidP="00B25A86">
            <w:pPr>
              <w:rPr>
                <w:rFonts w:cs="Segoe UI"/>
              </w:rPr>
            </w:pPr>
          </w:p>
        </w:tc>
      </w:tr>
      <w:tr w:rsidR="00B25A86" w:rsidRPr="00CE60B2" w14:paraId="26ABD6DB"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D5" w14:textId="77777777" w:rsidR="00B25A86" w:rsidRPr="00CE60B2" w:rsidRDefault="00B25A86" w:rsidP="00B25A86">
            <w:pPr>
              <w:rPr>
                <w:rFonts w:cs="Segoe UI"/>
                <w:spacing w:val="-5"/>
              </w:rPr>
            </w:pPr>
            <w:r w:rsidRPr="00CE60B2">
              <w:rPr>
                <w:rFonts w:cs="Segoe UI"/>
                <w:spacing w:val="-5"/>
              </w:rPr>
              <w:t>6.1c Value of forest based services</w:t>
            </w:r>
          </w:p>
        </w:tc>
        <w:tc>
          <w:tcPr>
            <w:tcW w:w="2552" w:type="dxa"/>
            <w:tcBorders>
              <w:top w:val="single" w:sz="5" w:space="0" w:color="000000"/>
              <w:left w:val="single" w:sz="5" w:space="0" w:color="000000"/>
              <w:bottom w:val="single" w:sz="5" w:space="0" w:color="000000"/>
              <w:right w:val="single" w:sz="5" w:space="0" w:color="000000"/>
            </w:tcBorders>
          </w:tcPr>
          <w:p w14:paraId="26ABD6D6"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D7"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D8"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D9"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DA" w14:textId="77777777" w:rsidR="00B25A86" w:rsidRPr="00CE60B2" w:rsidRDefault="00B25A86" w:rsidP="00B25A86">
            <w:pPr>
              <w:rPr>
                <w:rFonts w:cs="Segoe UI"/>
              </w:rPr>
            </w:pPr>
          </w:p>
        </w:tc>
      </w:tr>
      <w:tr w:rsidR="00B25A86" w:rsidRPr="00CE60B2" w14:paraId="26ABD6E2"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DC" w14:textId="77777777" w:rsidR="00B25A86" w:rsidRPr="00CE60B2" w:rsidRDefault="00B25A86" w:rsidP="00B25A86">
            <w:pPr>
              <w:rPr>
                <w:rFonts w:cs="Segoe UI"/>
                <w:spacing w:val="-5"/>
              </w:rPr>
            </w:pPr>
            <w:r w:rsidRPr="00CE60B2">
              <w:rPr>
                <w:rFonts w:cs="Segoe UI"/>
                <w:spacing w:val="-5"/>
              </w:rPr>
              <w:t>6.1d Production and consumption and import/export of wood, wood products and non-wood products</w:t>
            </w:r>
          </w:p>
        </w:tc>
        <w:tc>
          <w:tcPr>
            <w:tcW w:w="2552" w:type="dxa"/>
            <w:tcBorders>
              <w:top w:val="single" w:sz="5" w:space="0" w:color="000000"/>
              <w:left w:val="single" w:sz="5" w:space="0" w:color="000000"/>
              <w:bottom w:val="single" w:sz="5" w:space="0" w:color="000000"/>
              <w:right w:val="single" w:sz="5" w:space="0" w:color="000000"/>
            </w:tcBorders>
          </w:tcPr>
          <w:p w14:paraId="26ABD6DD"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DE"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DF"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E0"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E1" w14:textId="77777777" w:rsidR="00B25A86" w:rsidRPr="00CE60B2" w:rsidRDefault="00B25A86" w:rsidP="00B25A86">
            <w:pPr>
              <w:rPr>
                <w:rFonts w:cs="Segoe UI"/>
              </w:rPr>
            </w:pPr>
          </w:p>
        </w:tc>
      </w:tr>
      <w:tr w:rsidR="00B25A86" w:rsidRPr="00CE60B2" w14:paraId="26ABD6E9"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E3" w14:textId="77777777" w:rsidR="00B25A86" w:rsidRPr="00CE60B2" w:rsidRDefault="00B25A86" w:rsidP="00B25A86">
            <w:pPr>
              <w:rPr>
                <w:rFonts w:cs="Segoe UI"/>
                <w:spacing w:val="-5"/>
              </w:rPr>
            </w:pPr>
            <w:r w:rsidRPr="00CE60B2">
              <w:rPr>
                <w:rFonts w:cs="Segoe UI"/>
                <w:spacing w:val="-5"/>
              </w:rPr>
              <w:t>6.1e Degree of recycling of forest products</w:t>
            </w:r>
          </w:p>
        </w:tc>
        <w:tc>
          <w:tcPr>
            <w:tcW w:w="2552" w:type="dxa"/>
            <w:tcBorders>
              <w:top w:val="single" w:sz="5" w:space="0" w:color="000000"/>
              <w:left w:val="single" w:sz="5" w:space="0" w:color="000000"/>
              <w:bottom w:val="single" w:sz="5" w:space="0" w:color="000000"/>
              <w:right w:val="single" w:sz="5" w:space="0" w:color="000000"/>
            </w:tcBorders>
          </w:tcPr>
          <w:p w14:paraId="26ABD6E4"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E5"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E6"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E7"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E8" w14:textId="77777777" w:rsidR="00B25A86" w:rsidRPr="00CE60B2" w:rsidRDefault="00B25A86" w:rsidP="00B25A86">
            <w:pPr>
              <w:rPr>
                <w:rFonts w:cs="Segoe UI"/>
              </w:rPr>
            </w:pPr>
          </w:p>
        </w:tc>
      </w:tr>
      <w:tr w:rsidR="00B25A86" w:rsidRPr="00CE60B2" w14:paraId="26ABD6EB"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EA" w14:textId="77777777" w:rsidR="00B25A86" w:rsidRPr="00CE60B2" w:rsidRDefault="00B25A86" w:rsidP="00B25A86">
            <w:pPr>
              <w:rPr>
                <w:rFonts w:eastAsia="Cambria" w:cs="Segoe UI"/>
                <w:b/>
                <w:szCs w:val="20"/>
              </w:rPr>
            </w:pPr>
            <w:r w:rsidRPr="00CE60B2">
              <w:rPr>
                <w:rFonts w:cs="Segoe UI"/>
                <w:b/>
                <w:spacing w:val="-1"/>
              </w:rPr>
              <w:t>6.2</w:t>
            </w:r>
            <w:r w:rsidRPr="00CE60B2">
              <w:rPr>
                <w:rFonts w:cs="Segoe UI"/>
                <w:b/>
                <w:spacing w:val="-6"/>
              </w:rPr>
              <w:t xml:space="preserve"> </w:t>
            </w:r>
            <w:r w:rsidRPr="00CE60B2">
              <w:rPr>
                <w:rFonts w:cs="Segoe UI"/>
                <w:b/>
              </w:rPr>
              <w:t>Investment</w:t>
            </w:r>
            <w:r w:rsidRPr="00CE60B2">
              <w:rPr>
                <w:rFonts w:cs="Segoe UI"/>
                <w:b/>
                <w:spacing w:val="-6"/>
              </w:rPr>
              <w:t xml:space="preserve"> </w:t>
            </w:r>
            <w:r w:rsidRPr="00CE60B2">
              <w:rPr>
                <w:rFonts w:cs="Segoe UI"/>
                <w:b/>
                <w:spacing w:val="-1"/>
              </w:rPr>
              <w:t>in</w:t>
            </w:r>
            <w:r w:rsidRPr="00CE60B2">
              <w:rPr>
                <w:rFonts w:cs="Segoe UI"/>
                <w:b/>
                <w:spacing w:val="-5"/>
              </w:rPr>
              <w:t xml:space="preserve"> </w:t>
            </w:r>
            <w:r w:rsidRPr="00CE60B2">
              <w:rPr>
                <w:rFonts w:cs="Segoe UI"/>
                <w:b/>
                <w:spacing w:val="-1"/>
              </w:rPr>
              <w:t>the</w:t>
            </w:r>
            <w:r w:rsidRPr="00CE60B2">
              <w:rPr>
                <w:rFonts w:cs="Segoe UI"/>
                <w:b/>
                <w:spacing w:val="-7"/>
              </w:rPr>
              <w:t xml:space="preserve"> </w:t>
            </w:r>
            <w:r w:rsidRPr="00CE60B2">
              <w:rPr>
                <w:rFonts w:cs="Segoe UI"/>
                <w:b/>
              </w:rPr>
              <w:t>forest</w:t>
            </w:r>
            <w:r w:rsidRPr="00CE60B2">
              <w:rPr>
                <w:rFonts w:cs="Segoe UI"/>
                <w:b/>
                <w:spacing w:val="-8"/>
              </w:rPr>
              <w:t xml:space="preserve"> </w:t>
            </w:r>
            <w:r w:rsidRPr="00CE60B2">
              <w:rPr>
                <w:rFonts w:cs="Segoe UI"/>
                <w:b/>
              </w:rPr>
              <w:t>sector</w:t>
            </w:r>
          </w:p>
        </w:tc>
      </w:tr>
      <w:tr w:rsidR="00B25A86" w:rsidRPr="00CE60B2" w14:paraId="26ABD6F2"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EC" w14:textId="77777777" w:rsidR="00B25A86" w:rsidRPr="00CE60B2" w:rsidRDefault="00B25A86" w:rsidP="00B25A86">
            <w:pPr>
              <w:rPr>
                <w:rFonts w:eastAsia="Cambria" w:cs="Segoe UI"/>
                <w:szCs w:val="20"/>
              </w:rPr>
            </w:pPr>
            <w:r w:rsidRPr="00CE60B2">
              <w:rPr>
                <w:rFonts w:cs="Segoe UI"/>
              </w:rPr>
              <w:t>6.2a</w:t>
            </w:r>
            <w:r w:rsidRPr="00CE60B2">
              <w:rPr>
                <w:rFonts w:cs="Segoe UI"/>
                <w:spacing w:val="-8"/>
              </w:rPr>
              <w:t xml:space="preserve"> </w:t>
            </w:r>
            <w:r w:rsidRPr="00CE60B2">
              <w:rPr>
                <w:rFonts w:cs="Segoe UI"/>
                <w:spacing w:val="-1"/>
              </w:rPr>
              <w:t>Investment</w:t>
            </w:r>
            <w:r w:rsidRPr="00CE60B2">
              <w:rPr>
                <w:rFonts w:cs="Segoe UI"/>
                <w:spacing w:val="-7"/>
              </w:rPr>
              <w:t xml:space="preserve"> </w:t>
            </w:r>
            <w:r w:rsidRPr="00CE60B2">
              <w:rPr>
                <w:rFonts w:cs="Segoe UI"/>
                <w:spacing w:val="-1"/>
              </w:rPr>
              <w:t>and</w:t>
            </w:r>
            <w:r w:rsidRPr="00CE60B2">
              <w:rPr>
                <w:rFonts w:cs="Segoe UI"/>
                <w:spacing w:val="-6"/>
              </w:rPr>
              <w:t xml:space="preserve"> </w:t>
            </w:r>
            <w:r w:rsidRPr="00CE60B2">
              <w:rPr>
                <w:rFonts w:cs="Segoe UI"/>
                <w:spacing w:val="-1"/>
              </w:rPr>
              <w:t>expenditure</w:t>
            </w:r>
            <w:r w:rsidRPr="00CE60B2">
              <w:rPr>
                <w:rFonts w:cs="Segoe UI"/>
                <w:spacing w:val="-8"/>
              </w:rPr>
              <w:t xml:space="preserve"> </w:t>
            </w:r>
            <w:r w:rsidRPr="00CE60B2">
              <w:rPr>
                <w:rFonts w:cs="Segoe UI"/>
                <w:spacing w:val="1"/>
              </w:rPr>
              <w:t>in</w:t>
            </w:r>
            <w:r w:rsidRPr="00CE60B2">
              <w:rPr>
                <w:rFonts w:cs="Segoe UI"/>
                <w:spacing w:val="-9"/>
              </w:rPr>
              <w:t xml:space="preserve"> </w:t>
            </w:r>
            <w:r w:rsidRPr="00CE60B2">
              <w:rPr>
                <w:rFonts w:cs="Segoe UI"/>
                <w:spacing w:val="-1"/>
              </w:rPr>
              <w:t>forest</w:t>
            </w:r>
            <w:r w:rsidRPr="00CE60B2">
              <w:rPr>
                <w:rFonts w:cs="Segoe UI"/>
                <w:spacing w:val="-6"/>
              </w:rPr>
              <w:t xml:space="preserve"> </w:t>
            </w:r>
            <w:r w:rsidRPr="00CE60B2">
              <w:rPr>
                <w:rFonts w:cs="Segoe UI"/>
              </w:rPr>
              <w:t>management</w:t>
            </w:r>
          </w:p>
        </w:tc>
        <w:tc>
          <w:tcPr>
            <w:tcW w:w="2552" w:type="dxa"/>
            <w:tcBorders>
              <w:top w:val="single" w:sz="5" w:space="0" w:color="000000"/>
              <w:left w:val="single" w:sz="5" w:space="0" w:color="000000"/>
              <w:bottom w:val="single" w:sz="5" w:space="0" w:color="000000"/>
              <w:right w:val="single" w:sz="5" w:space="0" w:color="000000"/>
            </w:tcBorders>
          </w:tcPr>
          <w:p w14:paraId="26ABD6ED"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EE"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EF"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F0"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F1" w14:textId="77777777" w:rsidR="00B25A86" w:rsidRPr="00CE60B2" w:rsidRDefault="00B25A86" w:rsidP="00B25A86">
            <w:pPr>
              <w:rPr>
                <w:rFonts w:cs="Segoe UI"/>
              </w:rPr>
            </w:pPr>
          </w:p>
        </w:tc>
      </w:tr>
      <w:tr w:rsidR="00B25A86" w:rsidRPr="00CE60B2" w14:paraId="26ABD6F9"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F3" w14:textId="77777777" w:rsidR="00B25A86" w:rsidRPr="00CE60B2" w:rsidRDefault="00B25A86" w:rsidP="00B25A86">
            <w:pPr>
              <w:rPr>
                <w:rFonts w:eastAsia="Cambria" w:cs="Segoe UI"/>
                <w:szCs w:val="20"/>
              </w:rPr>
            </w:pPr>
            <w:r w:rsidRPr="00CE60B2">
              <w:rPr>
                <w:rFonts w:cs="Segoe UI"/>
              </w:rPr>
              <w:t>6.2b</w:t>
            </w:r>
            <w:r w:rsidRPr="00CE60B2">
              <w:rPr>
                <w:rFonts w:cs="Segoe UI"/>
                <w:spacing w:val="-7"/>
              </w:rPr>
              <w:t xml:space="preserve"> </w:t>
            </w:r>
            <w:r w:rsidRPr="00CE60B2">
              <w:rPr>
                <w:rFonts w:cs="Segoe UI"/>
                <w:spacing w:val="-1"/>
              </w:rPr>
              <w:t>Investment</w:t>
            </w:r>
            <w:r w:rsidRPr="00CE60B2">
              <w:rPr>
                <w:rFonts w:cs="Segoe UI"/>
                <w:spacing w:val="-5"/>
              </w:rPr>
              <w:t xml:space="preserve"> </w:t>
            </w:r>
            <w:r w:rsidRPr="00CE60B2">
              <w:rPr>
                <w:rFonts w:cs="Segoe UI"/>
              </w:rPr>
              <w:t>in</w:t>
            </w:r>
            <w:r w:rsidRPr="00CE60B2">
              <w:rPr>
                <w:rFonts w:cs="Segoe UI"/>
                <w:spacing w:val="-5"/>
              </w:rPr>
              <w:t xml:space="preserve"> </w:t>
            </w:r>
            <w:r w:rsidRPr="00CE60B2">
              <w:rPr>
                <w:rFonts w:cs="Segoe UI"/>
                <w:spacing w:val="-1"/>
              </w:rPr>
              <w:t>extension</w:t>
            </w:r>
            <w:r w:rsidRPr="00CE60B2">
              <w:rPr>
                <w:rFonts w:cs="Segoe UI"/>
                <w:spacing w:val="-7"/>
              </w:rPr>
              <w:t xml:space="preserve"> </w:t>
            </w:r>
            <w:r w:rsidRPr="00CE60B2">
              <w:rPr>
                <w:rFonts w:cs="Segoe UI"/>
                <w:spacing w:val="-1"/>
              </w:rPr>
              <w:t>and</w:t>
            </w:r>
            <w:r w:rsidRPr="00CE60B2">
              <w:rPr>
                <w:rFonts w:cs="Segoe UI"/>
                <w:spacing w:val="-4"/>
              </w:rPr>
              <w:t xml:space="preserve"> </w:t>
            </w:r>
            <w:r w:rsidRPr="00CE60B2">
              <w:rPr>
                <w:rFonts w:cs="Segoe UI"/>
              </w:rPr>
              <w:t>use</w:t>
            </w:r>
            <w:r w:rsidRPr="00CE60B2">
              <w:rPr>
                <w:rFonts w:cs="Segoe UI"/>
                <w:spacing w:val="-6"/>
              </w:rPr>
              <w:t xml:space="preserve"> </w:t>
            </w:r>
            <w:r w:rsidRPr="00CE60B2">
              <w:rPr>
                <w:rFonts w:cs="Segoe UI"/>
              </w:rPr>
              <w:t>of</w:t>
            </w:r>
            <w:r w:rsidRPr="00CE60B2">
              <w:rPr>
                <w:rFonts w:cs="Segoe UI"/>
                <w:spacing w:val="-5"/>
              </w:rPr>
              <w:t xml:space="preserve"> </w:t>
            </w:r>
            <w:r w:rsidRPr="00CE60B2">
              <w:rPr>
                <w:rFonts w:cs="Segoe UI"/>
              </w:rPr>
              <w:t>new</w:t>
            </w:r>
            <w:r w:rsidRPr="00CE60B2">
              <w:rPr>
                <w:rFonts w:cs="Segoe UI"/>
                <w:spacing w:val="-7"/>
              </w:rPr>
              <w:t xml:space="preserve"> </w:t>
            </w:r>
            <w:r w:rsidRPr="00CE60B2">
              <w:rPr>
                <w:rFonts w:cs="Segoe UI"/>
              </w:rPr>
              <w:t>and</w:t>
            </w:r>
            <w:r w:rsidRPr="00CE60B2">
              <w:rPr>
                <w:rFonts w:cs="Segoe UI"/>
                <w:spacing w:val="-6"/>
              </w:rPr>
              <w:t xml:space="preserve"> </w:t>
            </w:r>
            <w:r w:rsidRPr="00CE60B2">
              <w:rPr>
                <w:rFonts w:cs="Segoe UI"/>
              </w:rPr>
              <w:t>improved</w:t>
            </w:r>
            <w:r w:rsidRPr="00CE60B2">
              <w:rPr>
                <w:rFonts w:cs="Segoe UI"/>
                <w:spacing w:val="48"/>
                <w:w w:val="99"/>
              </w:rPr>
              <w:t xml:space="preserve"> </w:t>
            </w:r>
            <w:r w:rsidRPr="00CE60B2">
              <w:rPr>
                <w:rFonts w:cs="Segoe UI"/>
                <w:spacing w:val="-1"/>
              </w:rPr>
              <w:t>technologies</w:t>
            </w:r>
          </w:p>
        </w:tc>
        <w:tc>
          <w:tcPr>
            <w:tcW w:w="2552" w:type="dxa"/>
            <w:tcBorders>
              <w:top w:val="single" w:sz="5" w:space="0" w:color="000000"/>
              <w:left w:val="single" w:sz="5" w:space="0" w:color="000000"/>
              <w:bottom w:val="single" w:sz="5" w:space="0" w:color="000000"/>
              <w:right w:val="single" w:sz="5" w:space="0" w:color="000000"/>
            </w:tcBorders>
          </w:tcPr>
          <w:p w14:paraId="26ABD6F4"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F5"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F6"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F7"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6F8" w14:textId="77777777" w:rsidR="00B25A86" w:rsidRPr="00CE60B2" w:rsidRDefault="00B25A86" w:rsidP="00B25A86">
            <w:pPr>
              <w:rPr>
                <w:rFonts w:cs="Segoe UI"/>
              </w:rPr>
            </w:pPr>
          </w:p>
        </w:tc>
      </w:tr>
      <w:tr w:rsidR="00B25A86" w:rsidRPr="00CE60B2" w14:paraId="26ABD6FB" w14:textId="77777777" w:rsidTr="00820139">
        <w:trPr>
          <w:trHeight w:hRule="exact" w:val="482"/>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6FA" w14:textId="77777777" w:rsidR="00B25A86" w:rsidRPr="00CE60B2" w:rsidRDefault="00B25A86" w:rsidP="00B25A86">
            <w:pPr>
              <w:rPr>
                <w:rFonts w:eastAsia="Cambria" w:cs="Segoe UI"/>
                <w:b/>
                <w:szCs w:val="20"/>
              </w:rPr>
            </w:pPr>
            <w:r w:rsidRPr="00CE60B2">
              <w:rPr>
                <w:rFonts w:cs="Segoe UI"/>
                <w:b/>
                <w:spacing w:val="-1"/>
              </w:rPr>
              <w:t>6.3</w:t>
            </w:r>
            <w:r w:rsidRPr="00CE60B2">
              <w:rPr>
                <w:rFonts w:cs="Segoe UI"/>
                <w:b/>
                <w:spacing w:val="-9"/>
              </w:rPr>
              <w:t xml:space="preserve"> </w:t>
            </w:r>
            <w:r w:rsidRPr="00CE60B2">
              <w:rPr>
                <w:rFonts w:cs="Segoe UI"/>
                <w:b/>
              </w:rPr>
              <w:t>Recreation</w:t>
            </w:r>
            <w:r w:rsidRPr="00CE60B2">
              <w:rPr>
                <w:rFonts w:cs="Segoe UI"/>
                <w:b/>
                <w:spacing w:val="-9"/>
              </w:rPr>
              <w:t xml:space="preserve"> </w:t>
            </w:r>
            <w:r w:rsidRPr="00CE60B2">
              <w:rPr>
                <w:rFonts w:cs="Segoe UI"/>
                <w:b/>
              </w:rPr>
              <w:t>and</w:t>
            </w:r>
            <w:r w:rsidRPr="00CE60B2">
              <w:rPr>
                <w:rFonts w:cs="Segoe UI"/>
                <w:b/>
                <w:spacing w:val="-9"/>
              </w:rPr>
              <w:t xml:space="preserve"> </w:t>
            </w:r>
            <w:r w:rsidRPr="00CE60B2">
              <w:rPr>
                <w:rFonts w:cs="Segoe UI"/>
                <w:b/>
                <w:spacing w:val="-1"/>
              </w:rPr>
              <w:t>tourism</w:t>
            </w:r>
          </w:p>
        </w:tc>
      </w:tr>
      <w:tr w:rsidR="00B25A86" w:rsidRPr="00CE60B2" w14:paraId="26ABD702"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6FC" w14:textId="77777777" w:rsidR="00B25A86" w:rsidRPr="00CE60B2" w:rsidRDefault="00B25A86" w:rsidP="00B25A86">
            <w:pPr>
              <w:rPr>
                <w:rFonts w:eastAsia="Cambria" w:cs="Segoe UI"/>
                <w:szCs w:val="20"/>
              </w:rPr>
            </w:pPr>
            <w:r w:rsidRPr="00CE60B2">
              <w:rPr>
                <w:rFonts w:cs="Segoe UI"/>
              </w:rPr>
              <w:lastRenderedPageBreak/>
              <w:t>6.3a</w:t>
            </w:r>
            <w:r w:rsidRPr="00CE60B2">
              <w:rPr>
                <w:rFonts w:cs="Segoe UI"/>
                <w:spacing w:val="-7"/>
              </w:rPr>
              <w:t xml:space="preserve"> </w:t>
            </w:r>
            <w:r w:rsidRPr="00CE60B2">
              <w:rPr>
                <w:rFonts w:cs="Segoe UI"/>
                <w:spacing w:val="-1"/>
              </w:rPr>
              <w:t>Area</w:t>
            </w:r>
            <w:r w:rsidRPr="00CE60B2">
              <w:rPr>
                <w:rFonts w:cs="Segoe UI"/>
                <w:spacing w:val="-5"/>
              </w:rPr>
              <w:t xml:space="preserve"> </w:t>
            </w:r>
            <w:r w:rsidRPr="00CE60B2">
              <w:rPr>
                <w:rFonts w:cs="Segoe UI"/>
              </w:rPr>
              <w:t>of</w:t>
            </w:r>
            <w:r w:rsidRPr="00CE60B2">
              <w:rPr>
                <w:rFonts w:cs="Segoe UI"/>
                <w:spacing w:val="-7"/>
              </w:rPr>
              <w:t xml:space="preserve"> </w:t>
            </w:r>
            <w:r w:rsidRPr="00CE60B2">
              <w:rPr>
                <w:rFonts w:cs="Segoe UI"/>
                <w:spacing w:val="-1"/>
              </w:rPr>
              <w:t>forest</w:t>
            </w:r>
            <w:r w:rsidRPr="00CE60B2">
              <w:rPr>
                <w:rFonts w:cs="Segoe UI"/>
                <w:spacing w:val="-9"/>
              </w:rPr>
              <w:t xml:space="preserve"> </w:t>
            </w:r>
            <w:r w:rsidRPr="00CE60B2">
              <w:rPr>
                <w:rFonts w:cs="Segoe UI"/>
                <w:spacing w:val="-1"/>
              </w:rPr>
              <w:t>available</w:t>
            </w:r>
            <w:r w:rsidRPr="00CE60B2">
              <w:rPr>
                <w:rFonts w:cs="Segoe UI"/>
                <w:spacing w:val="-7"/>
              </w:rPr>
              <w:t xml:space="preserve"> </w:t>
            </w:r>
            <w:r w:rsidRPr="00CE60B2">
              <w:rPr>
                <w:rFonts w:cs="Segoe UI"/>
              </w:rPr>
              <w:t>for</w:t>
            </w:r>
            <w:r w:rsidRPr="00CE60B2">
              <w:rPr>
                <w:rFonts w:cs="Segoe UI"/>
                <w:spacing w:val="-9"/>
              </w:rPr>
              <w:t xml:space="preserve"> </w:t>
            </w:r>
            <w:r w:rsidRPr="00CE60B2">
              <w:rPr>
                <w:rFonts w:cs="Segoe UI"/>
              </w:rPr>
              <w:t>general</w:t>
            </w:r>
            <w:r w:rsidRPr="00CE60B2">
              <w:rPr>
                <w:rFonts w:cs="Segoe UI"/>
                <w:spacing w:val="-7"/>
              </w:rPr>
              <w:t xml:space="preserve"> </w:t>
            </w:r>
            <w:r w:rsidRPr="00CE60B2">
              <w:rPr>
                <w:rFonts w:cs="Segoe UI"/>
                <w:spacing w:val="-1"/>
              </w:rPr>
              <w:t>recreation/tourism</w:t>
            </w:r>
          </w:p>
        </w:tc>
        <w:tc>
          <w:tcPr>
            <w:tcW w:w="2552" w:type="dxa"/>
            <w:tcBorders>
              <w:top w:val="single" w:sz="5" w:space="0" w:color="000000"/>
              <w:left w:val="single" w:sz="5" w:space="0" w:color="000000"/>
              <w:bottom w:val="single" w:sz="5" w:space="0" w:color="000000"/>
              <w:right w:val="single" w:sz="5" w:space="0" w:color="000000"/>
            </w:tcBorders>
          </w:tcPr>
          <w:p w14:paraId="26ABD6FD"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6FE"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6FF"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00"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01" w14:textId="77777777" w:rsidR="00B25A86" w:rsidRPr="00CE60B2" w:rsidRDefault="00B25A86" w:rsidP="00B25A86">
            <w:pPr>
              <w:rPr>
                <w:rFonts w:cs="Segoe UI"/>
              </w:rPr>
            </w:pPr>
          </w:p>
        </w:tc>
      </w:tr>
      <w:tr w:rsidR="00B25A86" w:rsidRPr="00CE60B2" w14:paraId="26ABD709" w14:textId="77777777" w:rsidTr="00820139">
        <w:trPr>
          <w:trHeight w:val="1101"/>
          <w:jc w:val="center"/>
        </w:trPr>
        <w:tc>
          <w:tcPr>
            <w:tcW w:w="5526" w:type="dxa"/>
            <w:tcBorders>
              <w:top w:val="single" w:sz="5" w:space="0" w:color="000000"/>
              <w:left w:val="single" w:sz="5" w:space="0" w:color="000000"/>
              <w:bottom w:val="single" w:sz="5" w:space="0" w:color="000000"/>
              <w:right w:val="single" w:sz="5" w:space="0" w:color="000000"/>
            </w:tcBorders>
          </w:tcPr>
          <w:p w14:paraId="26ABD703" w14:textId="77777777" w:rsidR="00B25A86" w:rsidRPr="00CE60B2" w:rsidRDefault="00B25A86" w:rsidP="00B25A86">
            <w:pPr>
              <w:rPr>
                <w:rFonts w:eastAsia="Cambria" w:cs="Segoe UI"/>
                <w:szCs w:val="20"/>
              </w:rPr>
            </w:pPr>
            <w:r w:rsidRPr="00CE60B2">
              <w:rPr>
                <w:rFonts w:cs="Segoe UI"/>
              </w:rPr>
              <w:t>6.3b</w:t>
            </w:r>
            <w:r w:rsidRPr="00CE60B2">
              <w:rPr>
                <w:rFonts w:cs="Segoe UI"/>
                <w:spacing w:val="-9"/>
              </w:rPr>
              <w:t xml:space="preserve"> </w:t>
            </w:r>
            <w:r w:rsidRPr="00CE60B2">
              <w:rPr>
                <w:rFonts w:cs="Segoe UI"/>
              </w:rPr>
              <w:t>Range</w:t>
            </w:r>
            <w:r w:rsidRPr="00CE60B2">
              <w:rPr>
                <w:rFonts w:cs="Segoe UI"/>
                <w:spacing w:val="-8"/>
              </w:rPr>
              <w:t xml:space="preserve"> </w:t>
            </w:r>
            <w:r w:rsidRPr="00CE60B2">
              <w:rPr>
                <w:rFonts w:cs="Segoe UI"/>
                <w:spacing w:val="-1"/>
              </w:rPr>
              <w:t>and</w:t>
            </w:r>
            <w:r w:rsidRPr="00CE60B2">
              <w:rPr>
                <w:rFonts w:cs="Segoe UI"/>
                <w:spacing w:val="-8"/>
              </w:rPr>
              <w:t xml:space="preserve"> </w:t>
            </w:r>
            <w:r w:rsidRPr="00CE60B2">
              <w:rPr>
                <w:rFonts w:cs="Segoe UI"/>
              </w:rPr>
              <w:t>use</w:t>
            </w:r>
            <w:r w:rsidRPr="00CE60B2">
              <w:rPr>
                <w:rFonts w:cs="Segoe UI"/>
                <w:spacing w:val="-9"/>
              </w:rPr>
              <w:t xml:space="preserve"> </w:t>
            </w:r>
            <w:r w:rsidRPr="00CE60B2">
              <w:rPr>
                <w:rFonts w:cs="Segoe UI"/>
                <w:spacing w:val="1"/>
              </w:rPr>
              <w:t>of</w:t>
            </w:r>
            <w:r w:rsidRPr="00CE60B2">
              <w:rPr>
                <w:rFonts w:cs="Segoe UI"/>
                <w:spacing w:val="-9"/>
              </w:rPr>
              <w:t xml:space="preserve"> </w:t>
            </w:r>
            <w:r w:rsidRPr="00CE60B2">
              <w:rPr>
                <w:rFonts w:cs="Segoe UI"/>
                <w:spacing w:val="-1"/>
              </w:rPr>
              <w:t>recreational/tourism</w:t>
            </w:r>
            <w:r w:rsidRPr="00CE60B2">
              <w:rPr>
                <w:rFonts w:cs="Segoe UI"/>
                <w:spacing w:val="-8"/>
              </w:rPr>
              <w:t xml:space="preserve"> </w:t>
            </w:r>
            <w:r w:rsidRPr="00CE60B2">
              <w:rPr>
                <w:rFonts w:cs="Segoe UI"/>
                <w:spacing w:val="-1"/>
              </w:rPr>
              <w:t>activities</w:t>
            </w:r>
            <w:r w:rsidRPr="00CE60B2">
              <w:rPr>
                <w:rFonts w:cs="Segoe UI"/>
                <w:spacing w:val="49"/>
                <w:w w:val="99"/>
              </w:rPr>
              <w:t xml:space="preserve"> </w:t>
            </w:r>
            <w:r w:rsidRPr="00CE60B2">
              <w:rPr>
                <w:rFonts w:cs="Segoe UI"/>
                <w:spacing w:val="-1"/>
              </w:rPr>
              <w:t>available</w:t>
            </w:r>
          </w:p>
        </w:tc>
        <w:tc>
          <w:tcPr>
            <w:tcW w:w="2552" w:type="dxa"/>
            <w:tcBorders>
              <w:top w:val="single" w:sz="5" w:space="0" w:color="000000"/>
              <w:left w:val="single" w:sz="5" w:space="0" w:color="000000"/>
              <w:bottom w:val="single" w:sz="5" w:space="0" w:color="000000"/>
              <w:right w:val="single" w:sz="5" w:space="0" w:color="000000"/>
            </w:tcBorders>
          </w:tcPr>
          <w:p w14:paraId="26ABD704"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05"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06"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07"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08" w14:textId="77777777" w:rsidR="00B25A86" w:rsidRPr="00CE60B2" w:rsidRDefault="00B25A86" w:rsidP="00B25A86">
            <w:pPr>
              <w:rPr>
                <w:rFonts w:cs="Segoe UI"/>
              </w:rPr>
            </w:pPr>
          </w:p>
        </w:tc>
      </w:tr>
      <w:tr w:rsidR="00B25A86" w:rsidRPr="00CE60B2" w14:paraId="26ABD70B"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70A" w14:textId="77777777" w:rsidR="00B25A86" w:rsidRPr="00CE60B2" w:rsidRDefault="00B25A86" w:rsidP="00B25A86">
            <w:pPr>
              <w:rPr>
                <w:rFonts w:eastAsia="Cambria" w:cs="Segoe UI"/>
                <w:b/>
                <w:szCs w:val="20"/>
              </w:rPr>
            </w:pPr>
            <w:r w:rsidRPr="00CE60B2">
              <w:rPr>
                <w:rFonts w:cs="Segoe UI"/>
                <w:b/>
                <w:spacing w:val="-1"/>
              </w:rPr>
              <w:t>6.4</w:t>
            </w:r>
            <w:r w:rsidRPr="00CE60B2">
              <w:rPr>
                <w:rFonts w:cs="Segoe UI"/>
                <w:b/>
                <w:spacing w:val="-8"/>
              </w:rPr>
              <w:t xml:space="preserve"> </w:t>
            </w:r>
            <w:r w:rsidRPr="00CE60B2">
              <w:rPr>
                <w:rFonts w:cs="Segoe UI"/>
                <w:b/>
                <w:spacing w:val="-1"/>
              </w:rPr>
              <w:t>Cultural,</w:t>
            </w:r>
            <w:r w:rsidRPr="00CE60B2">
              <w:rPr>
                <w:rFonts w:cs="Segoe UI"/>
                <w:b/>
                <w:spacing w:val="-8"/>
              </w:rPr>
              <w:t xml:space="preserve"> </w:t>
            </w:r>
            <w:r w:rsidRPr="00CE60B2">
              <w:rPr>
                <w:rFonts w:cs="Segoe UI"/>
                <w:b/>
                <w:spacing w:val="-1"/>
              </w:rPr>
              <w:t>social</w:t>
            </w:r>
            <w:r w:rsidRPr="00CE60B2">
              <w:rPr>
                <w:rFonts w:cs="Segoe UI"/>
                <w:b/>
                <w:spacing w:val="-6"/>
              </w:rPr>
              <w:t xml:space="preserve"> </w:t>
            </w:r>
            <w:r w:rsidRPr="00CE60B2">
              <w:rPr>
                <w:rFonts w:cs="Segoe UI"/>
                <w:b/>
              </w:rPr>
              <w:t>and</w:t>
            </w:r>
            <w:r w:rsidRPr="00CE60B2">
              <w:rPr>
                <w:rFonts w:cs="Segoe UI"/>
                <w:b/>
                <w:spacing w:val="-7"/>
              </w:rPr>
              <w:t xml:space="preserve"> </w:t>
            </w:r>
            <w:r w:rsidRPr="00CE60B2">
              <w:rPr>
                <w:rFonts w:cs="Segoe UI"/>
                <w:b/>
                <w:spacing w:val="-1"/>
              </w:rPr>
              <w:t>spiritual</w:t>
            </w:r>
            <w:r w:rsidRPr="00CE60B2">
              <w:rPr>
                <w:rFonts w:cs="Segoe UI"/>
                <w:b/>
                <w:spacing w:val="-5"/>
              </w:rPr>
              <w:t xml:space="preserve"> </w:t>
            </w:r>
            <w:r w:rsidRPr="00CE60B2">
              <w:rPr>
                <w:rFonts w:cs="Segoe UI"/>
                <w:b/>
                <w:spacing w:val="-1"/>
              </w:rPr>
              <w:t>needs</w:t>
            </w:r>
            <w:r w:rsidRPr="00CE60B2">
              <w:rPr>
                <w:rFonts w:cs="Segoe UI"/>
                <w:b/>
                <w:spacing w:val="-5"/>
              </w:rPr>
              <w:t xml:space="preserve"> </w:t>
            </w:r>
            <w:r w:rsidRPr="00CE60B2">
              <w:rPr>
                <w:rFonts w:cs="Segoe UI"/>
                <w:b/>
              </w:rPr>
              <w:t>and</w:t>
            </w:r>
            <w:r w:rsidRPr="00CE60B2">
              <w:rPr>
                <w:rFonts w:cs="Segoe UI"/>
                <w:b/>
                <w:spacing w:val="-7"/>
              </w:rPr>
              <w:t xml:space="preserve"> </w:t>
            </w:r>
            <w:r w:rsidRPr="00CE60B2">
              <w:rPr>
                <w:rFonts w:cs="Segoe UI"/>
                <w:b/>
                <w:spacing w:val="-1"/>
              </w:rPr>
              <w:t>values</w:t>
            </w:r>
          </w:p>
        </w:tc>
      </w:tr>
      <w:tr w:rsidR="00B25A86" w:rsidRPr="00CE60B2" w14:paraId="26ABD712"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0C" w14:textId="77777777" w:rsidR="00B25A86" w:rsidRPr="00CE60B2" w:rsidRDefault="00B25A86" w:rsidP="00B25A86">
            <w:pPr>
              <w:rPr>
                <w:rFonts w:eastAsia="Cambria" w:cs="Segoe UI"/>
                <w:szCs w:val="20"/>
              </w:rPr>
            </w:pPr>
            <w:r w:rsidRPr="00CE60B2">
              <w:rPr>
                <w:rFonts w:cs="Segoe UI"/>
              </w:rPr>
              <w:t>6.4a</w:t>
            </w:r>
            <w:r w:rsidRPr="00CE60B2">
              <w:rPr>
                <w:rFonts w:cs="Segoe UI"/>
                <w:spacing w:val="-5"/>
              </w:rPr>
              <w:t xml:space="preserve"> </w:t>
            </w:r>
            <w:r w:rsidRPr="00CE60B2">
              <w:rPr>
                <w:rFonts w:cs="Segoe UI"/>
                <w:spacing w:val="-1"/>
              </w:rPr>
              <w:t>Area</w:t>
            </w:r>
            <w:r w:rsidRPr="00CE60B2">
              <w:rPr>
                <w:rFonts w:cs="Segoe UI"/>
                <w:spacing w:val="-3"/>
              </w:rPr>
              <w:t xml:space="preserve"> </w:t>
            </w:r>
            <w:r w:rsidRPr="00CE60B2">
              <w:rPr>
                <w:rFonts w:cs="Segoe UI"/>
              </w:rPr>
              <w:t>of</w:t>
            </w:r>
            <w:r w:rsidRPr="00CE60B2">
              <w:rPr>
                <w:rFonts w:cs="Segoe UI"/>
                <w:spacing w:val="-5"/>
              </w:rPr>
              <w:t xml:space="preserve"> </w:t>
            </w:r>
            <w:r w:rsidRPr="00CE60B2">
              <w:rPr>
                <w:rFonts w:cs="Segoe UI"/>
                <w:spacing w:val="-1"/>
              </w:rPr>
              <w:t>forest</w:t>
            </w:r>
            <w:r w:rsidRPr="00CE60B2">
              <w:rPr>
                <w:rFonts w:cs="Segoe UI"/>
                <w:spacing w:val="-5"/>
              </w:rPr>
              <w:t xml:space="preserve"> </w:t>
            </w:r>
            <w:r w:rsidRPr="00CE60B2">
              <w:rPr>
                <w:rFonts w:cs="Segoe UI"/>
              </w:rPr>
              <w:t>to</w:t>
            </w:r>
            <w:r w:rsidRPr="00CE60B2">
              <w:rPr>
                <w:rFonts w:cs="Segoe UI"/>
                <w:spacing w:val="-4"/>
              </w:rPr>
              <w:t xml:space="preserve"> </w:t>
            </w:r>
            <w:r w:rsidRPr="00CE60B2">
              <w:rPr>
                <w:rFonts w:cs="Segoe UI"/>
                <w:spacing w:val="-1"/>
              </w:rPr>
              <w:t>which</w:t>
            </w:r>
            <w:r w:rsidRPr="00CE60B2">
              <w:rPr>
                <w:rFonts w:cs="Segoe UI"/>
                <w:spacing w:val="-6"/>
              </w:rPr>
              <w:t xml:space="preserve"> </w:t>
            </w:r>
            <w:r w:rsidRPr="00CE60B2">
              <w:rPr>
                <w:rFonts w:cs="Segoe UI"/>
                <w:spacing w:val="-1"/>
              </w:rPr>
              <w:t>Indigenous</w:t>
            </w:r>
            <w:r w:rsidRPr="00CE60B2">
              <w:rPr>
                <w:rFonts w:cs="Segoe UI"/>
                <w:spacing w:val="-3"/>
              </w:rPr>
              <w:t xml:space="preserve"> </w:t>
            </w:r>
            <w:r w:rsidRPr="00CE60B2">
              <w:rPr>
                <w:rFonts w:cs="Segoe UI"/>
              </w:rPr>
              <w:t>people</w:t>
            </w:r>
            <w:r w:rsidRPr="00CE60B2">
              <w:rPr>
                <w:rFonts w:cs="Segoe UI"/>
                <w:spacing w:val="-6"/>
              </w:rPr>
              <w:t xml:space="preserve"> </w:t>
            </w:r>
            <w:r w:rsidRPr="00CE60B2">
              <w:rPr>
                <w:rFonts w:cs="Segoe UI"/>
              </w:rPr>
              <w:t>have</w:t>
            </w:r>
            <w:r w:rsidRPr="00CE60B2">
              <w:rPr>
                <w:rFonts w:cs="Segoe UI"/>
                <w:spacing w:val="-5"/>
              </w:rPr>
              <w:t xml:space="preserve"> </w:t>
            </w:r>
            <w:r w:rsidRPr="00CE60B2">
              <w:rPr>
                <w:rFonts w:cs="Segoe UI"/>
              </w:rPr>
              <w:t>use</w:t>
            </w:r>
            <w:r w:rsidRPr="00CE60B2">
              <w:rPr>
                <w:rFonts w:cs="Segoe UI"/>
                <w:spacing w:val="-5"/>
              </w:rPr>
              <w:t xml:space="preserve"> </w:t>
            </w:r>
            <w:r w:rsidRPr="00CE60B2">
              <w:rPr>
                <w:rFonts w:cs="Segoe UI"/>
              </w:rPr>
              <w:t>rights</w:t>
            </w:r>
            <w:r w:rsidRPr="00CE60B2">
              <w:rPr>
                <w:rFonts w:cs="Segoe UI"/>
                <w:spacing w:val="41"/>
                <w:w w:val="99"/>
              </w:rPr>
              <w:t xml:space="preserve"> </w:t>
            </w:r>
            <w:r w:rsidRPr="00CE60B2">
              <w:rPr>
                <w:rFonts w:cs="Segoe UI"/>
                <w:spacing w:val="-1"/>
              </w:rPr>
              <w:t>that</w:t>
            </w:r>
            <w:r w:rsidRPr="00CE60B2">
              <w:rPr>
                <w:rFonts w:cs="Segoe UI"/>
                <w:spacing w:val="-8"/>
              </w:rPr>
              <w:t xml:space="preserve"> </w:t>
            </w:r>
            <w:r w:rsidRPr="00CE60B2">
              <w:rPr>
                <w:rFonts w:cs="Segoe UI"/>
                <w:spacing w:val="-1"/>
              </w:rPr>
              <w:t>protect</w:t>
            </w:r>
            <w:r w:rsidRPr="00CE60B2">
              <w:rPr>
                <w:rFonts w:cs="Segoe UI"/>
                <w:spacing w:val="-5"/>
              </w:rPr>
              <w:t xml:space="preserve"> </w:t>
            </w:r>
            <w:r w:rsidRPr="00CE60B2">
              <w:rPr>
                <w:rFonts w:cs="Segoe UI"/>
                <w:spacing w:val="-1"/>
              </w:rPr>
              <w:t>their</w:t>
            </w:r>
            <w:r w:rsidRPr="00CE60B2">
              <w:rPr>
                <w:rFonts w:cs="Segoe UI"/>
                <w:spacing w:val="-8"/>
              </w:rPr>
              <w:t xml:space="preserve"> </w:t>
            </w:r>
            <w:r w:rsidRPr="00CE60B2">
              <w:rPr>
                <w:rFonts w:cs="Segoe UI"/>
              </w:rPr>
              <w:t>special</w:t>
            </w:r>
            <w:r w:rsidRPr="00CE60B2">
              <w:rPr>
                <w:rFonts w:cs="Segoe UI"/>
                <w:spacing w:val="-6"/>
              </w:rPr>
              <w:t xml:space="preserve"> </w:t>
            </w:r>
            <w:r w:rsidRPr="00CE60B2">
              <w:rPr>
                <w:rFonts w:cs="Segoe UI"/>
                <w:spacing w:val="-1"/>
              </w:rPr>
              <w:t>values</w:t>
            </w:r>
            <w:r w:rsidRPr="00CE60B2">
              <w:rPr>
                <w:rFonts w:cs="Segoe UI"/>
                <w:spacing w:val="-7"/>
              </w:rPr>
              <w:t xml:space="preserve"> </w:t>
            </w:r>
            <w:r w:rsidRPr="00CE60B2">
              <w:rPr>
                <w:rFonts w:cs="Segoe UI"/>
                <w:spacing w:val="-1"/>
              </w:rPr>
              <w:t>and</w:t>
            </w:r>
            <w:r w:rsidRPr="00CE60B2">
              <w:rPr>
                <w:rFonts w:cs="Segoe UI"/>
                <w:spacing w:val="-5"/>
              </w:rPr>
              <w:t xml:space="preserve"> </w:t>
            </w:r>
            <w:r w:rsidRPr="00CE60B2">
              <w:rPr>
                <w:rFonts w:cs="Segoe UI"/>
                <w:spacing w:val="-1"/>
              </w:rPr>
              <w:t>are</w:t>
            </w:r>
            <w:r w:rsidRPr="00CE60B2">
              <w:rPr>
                <w:rFonts w:cs="Segoe UI"/>
                <w:spacing w:val="-6"/>
              </w:rPr>
              <w:t xml:space="preserve"> </w:t>
            </w:r>
            <w:r w:rsidRPr="00CE60B2">
              <w:rPr>
                <w:rFonts w:cs="Segoe UI"/>
              </w:rPr>
              <w:t>recognized</w:t>
            </w:r>
            <w:r w:rsidRPr="00CE60B2">
              <w:rPr>
                <w:rFonts w:cs="Segoe UI"/>
                <w:spacing w:val="-7"/>
              </w:rPr>
              <w:t xml:space="preserve"> </w:t>
            </w:r>
            <w:r w:rsidRPr="00CE60B2">
              <w:rPr>
                <w:rFonts w:cs="Segoe UI"/>
                <w:spacing w:val="-1"/>
              </w:rPr>
              <w:t>through</w:t>
            </w:r>
            <w:r w:rsidRPr="00CE60B2">
              <w:rPr>
                <w:rFonts w:cs="Segoe UI"/>
                <w:spacing w:val="50"/>
                <w:w w:val="99"/>
              </w:rPr>
              <w:t xml:space="preserve"> </w:t>
            </w:r>
            <w:r w:rsidRPr="00CE60B2">
              <w:rPr>
                <w:rFonts w:cs="Segoe UI"/>
                <w:spacing w:val="-1"/>
              </w:rPr>
              <w:t>formal</w:t>
            </w:r>
            <w:r w:rsidRPr="00CE60B2">
              <w:rPr>
                <w:rFonts w:cs="Segoe UI"/>
                <w:spacing w:val="-9"/>
              </w:rPr>
              <w:t xml:space="preserve"> </w:t>
            </w:r>
            <w:r w:rsidRPr="00CE60B2">
              <w:rPr>
                <w:rFonts w:cs="Segoe UI"/>
                <w:spacing w:val="-1"/>
              </w:rPr>
              <w:t>and</w:t>
            </w:r>
            <w:r w:rsidRPr="00CE60B2">
              <w:rPr>
                <w:rFonts w:cs="Segoe UI"/>
                <w:spacing w:val="-8"/>
              </w:rPr>
              <w:t xml:space="preserve"> </w:t>
            </w:r>
            <w:r w:rsidRPr="00CE60B2">
              <w:rPr>
                <w:rFonts w:cs="Segoe UI"/>
              </w:rPr>
              <w:t>informal</w:t>
            </w:r>
            <w:r w:rsidRPr="00CE60B2">
              <w:rPr>
                <w:rFonts w:cs="Segoe UI"/>
                <w:spacing w:val="-8"/>
              </w:rPr>
              <w:t xml:space="preserve"> </w:t>
            </w:r>
            <w:r w:rsidRPr="00CE60B2">
              <w:rPr>
                <w:rFonts w:cs="Segoe UI"/>
                <w:spacing w:val="-1"/>
              </w:rPr>
              <w:t>management</w:t>
            </w:r>
            <w:r w:rsidRPr="00CE60B2">
              <w:rPr>
                <w:rFonts w:cs="Segoe UI"/>
                <w:spacing w:val="-8"/>
              </w:rPr>
              <w:t xml:space="preserve"> </w:t>
            </w:r>
            <w:r w:rsidRPr="00CE60B2">
              <w:rPr>
                <w:rFonts w:cs="Segoe UI"/>
                <w:spacing w:val="-1"/>
              </w:rPr>
              <w:t>regimes</w:t>
            </w:r>
          </w:p>
        </w:tc>
        <w:tc>
          <w:tcPr>
            <w:tcW w:w="2552" w:type="dxa"/>
            <w:tcBorders>
              <w:top w:val="single" w:sz="5" w:space="0" w:color="000000"/>
              <w:left w:val="single" w:sz="5" w:space="0" w:color="000000"/>
              <w:bottom w:val="single" w:sz="5" w:space="0" w:color="000000"/>
              <w:right w:val="single" w:sz="5" w:space="0" w:color="000000"/>
            </w:tcBorders>
          </w:tcPr>
          <w:p w14:paraId="26ABD70D"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0E"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0F"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10"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11" w14:textId="77777777" w:rsidR="00B25A86" w:rsidRPr="00CE60B2" w:rsidRDefault="00B25A86" w:rsidP="00B25A86">
            <w:pPr>
              <w:rPr>
                <w:rFonts w:cs="Segoe UI"/>
              </w:rPr>
            </w:pPr>
          </w:p>
        </w:tc>
      </w:tr>
      <w:tr w:rsidR="00B25A86" w:rsidRPr="00CE60B2" w14:paraId="26ABD719"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13" w14:textId="77777777" w:rsidR="00B25A86" w:rsidRPr="00CE60B2" w:rsidRDefault="00B25A86" w:rsidP="00B25A86">
            <w:pPr>
              <w:rPr>
                <w:rFonts w:cs="Segoe UI"/>
                <w:spacing w:val="-1"/>
              </w:rPr>
            </w:pPr>
            <w:r w:rsidRPr="00CE60B2">
              <w:rPr>
                <w:rFonts w:cs="Segoe UI"/>
                <w:spacing w:val="-1"/>
              </w:rPr>
              <w:t>6.4b Registered places of non-indigenous cultural values in forests that are formally managed to protect those values</w:t>
            </w:r>
          </w:p>
        </w:tc>
        <w:tc>
          <w:tcPr>
            <w:tcW w:w="2552" w:type="dxa"/>
            <w:tcBorders>
              <w:top w:val="single" w:sz="5" w:space="0" w:color="000000"/>
              <w:left w:val="single" w:sz="5" w:space="0" w:color="000000"/>
              <w:bottom w:val="single" w:sz="5" w:space="0" w:color="000000"/>
              <w:right w:val="single" w:sz="5" w:space="0" w:color="000000"/>
            </w:tcBorders>
          </w:tcPr>
          <w:p w14:paraId="26ABD714"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15"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16"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17"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18" w14:textId="77777777" w:rsidR="00B25A86" w:rsidRPr="00CE60B2" w:rsidRDefault="00B25A86" w:rsidP="00B25A86">
            <w:pPr>
              <w:rPr>
                <w:rFonts w:cs="Segoe UI"/>
              </w:rPr>
            </w:pPr>
          </w:p>
        </w:tc>
      </w:tr>
      <w:tr w:rsidR="00B25A86" w:rsidRPr="00CE60B2" w14:paraId="26ABD720"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1A" w14:textId="77777777" w:rsidR="00B25A86" w:rsidRPr="00CE60B2" w:rsidRDefault="00B25A86" w:rsidP="00B25A86">
            <w:pPr>
              <w:rPr>
                <w:rFonts w:cs="Segoe UI"/>
                <w:spacing w:val="-1"/>
              </w:rPr>
            </w:pPr>
            <w:r w:rsidRPr="00CE60B2">
              <w:rPr>
                <w:rFonts w:cs="Segoe UI"/>
                <w:spacing w:val="-1"/>
              </w:rPr>
              <w:lastRenderedPageBreak/>
              <w:t>6.4c The extent to which indigenous values are protected, maintained and enhanced through indigenous participation in forest management</w:t>
            </w:r>
          </w:p>
        </w:tc>
        <w:tc>
          <w:tcPr>
            <w:tcW w:w="2552" w:type="dxa"/>
            <w:tcBorders>
              <w:top w:val="single" w:sz="5" w:space="0" w:color="000000"/>
              <w:left w:val="single" w:sz="5" w:space="0" w:color="000000"/>
              <w:bottom w:val="single" w:sz="5" w:space="0" w:color="000000"/>
              <w:right w:val="single" w:sz="5" w:space="0" w:color="000000"/>
            </w:tcBorders>
          </w:tcPr>
          <w:p w14:paraId="26ABD71B"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1C"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1D"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1E"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1F" w14:textId="77777777" w:rsidR="00B25A86" w:rsidRPr="00CE60B2" w:rsidRDefault="00B25A86" w:rsidP="00B25A86">
            <w:pPr>
              <w:rPr>
                <w:rFonts w:cs="Segoe UI"/>
              </w:rPr>
            </w:pPr>
          </w:p>
        </w:tc>
      </w:tr>
      <w:tr w:rsidR="00B25A86" w:rsidRPr="00CE60B2" w14:paraId="26ABD727"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21" w14:textId="77777777" w:rsidR="00B25A86" w:rsidRPr="00CE60B2" w:rsidRDefault="00B25A86" w:rsidP="00B25A86">
            <w:pPr>
              <w:rPr>
                <w:rFonts w:cs="Segoe UI"/>
                <w:spacing w:val="-1"/>
              </w:rPr>
            </w:pPr>
            <w:r w:rsidRPr="00CE60B2">
              <w:rPr>
                <w:rFonts w:cs="Segoe UI"/>
                <w:spacing w:val="-1"/>
              </w:rPr>
              <w:t>6.4d The importance of forests to people</w:t>
            </w:r>
          </w:p>
        </w:tc>
        <w:tc>
          <w:tcPr>
            <w:tcW w:w="2552" w:type="dxa"/>
            <w:tcBorders>
              <w:top w:val="single" w:sz="5" w:space="0" w:color="000000"/>
              <w:left w:val="single" w:sz="5" w:space="0" w:color="000000"/>
              <w:bottom w:val="single" w:sz="5" w:space="0" w:color="000000"/>
              <w:right w:val="single" w:sz="5" w:space="0" w:color="000000"/>
            </w:tcBorders>
          </w:tcPr>
          <w:p w14:paraId="26ABD722"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23"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24"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25"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26" w14:textId="77777777" w:rsidR="00B25A86" w:rsidRPr="00CE60B2" w:rsidRDefault="00B25A86" w:rsidP="00B25A86">
            <w:pPr>
              <w:rPr>
                <w:rFonts w:cs="Segoe UI"/>
              </w:rPr>
            </w:pPr>
          </w:p>
        </w:tc>
      </w:tr>
      <w:tr w:rsidR="00B25A86" w:rsidRPr="00CE60B2" w14:paraId="26ABD729"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728" w14:textId="77777777" w:rsidR="00B25A86" w:rsidRPr="00CE60B2" w:rsidRDefault="00B25A86" w:rsidP="00B25A86">
            <w:pPr>
              <w:rPr>
                <w:rFonts w:cs="Segoe UI"/>
                <w:b/>
                <w:spacing w:val="-1"/>
              </w:rPr>
            </w:pPr>
            <w:r w:rsidRPr="00CE60B2">
              <w:rPr>
                <w:rFonts w:cs="Segoe UI"/>
                <w:b/>
                <w:spacing w:val="-1"/>
              </w:rPr>
              <w:t>6.5 Employment and community needs</w:t>
            </w:r>
          </w:p>
        </w:tc>
      </w:tr>
      <w:tr w:rsidR="00B25A86" w:rsidRPr="00CE60B2" w14:paraId="26ABD730"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2A" w14:textId="77777777" w:rsidR="00B25A86" w:rsidRPr="00CE60B2" w:rsidRDefault="00B25A86" w:rsidP="00B25A86">
            <w:pPr>
              <w:rPr>
                <w:rFonts w:cs="Segoe UI"/>
                <w:spacing w:val="-1"/>
              </w:rPr>
            </w:pPr>
            <w:r w:rsidRPr="00CE60B2">
              <w:rPr>
                <w:rFonts w:cs="Segoe UI"/>
                <w:spacing w:val="-1"/>
              </w:rPr>
              <w:t>6.5a Direct and indirect employment in the forest sector</w:t>
            </w:r>
          </w:p>
        </w:tc>
        <w:tc>
          <w:tcPr>
            <w:tcW w:w="2552" w:type="dxa"/>
            <w:tcBorders>
              <w:top w:val="single" w:sz="5" w:space="0" w:color="000000"/>
              <w:left w:val="single" w:sz="5" w:space="0" w:color="000000"/>
              <w:bottom w:val="single" w:sz="5" w:space="0" w:color="000000"/>
              <w:right w:val="single" w:sz="5" w:space="0" w:color="000000"/>
            </w:tcBorders>
          </w:tcPr>
          <w:p w14:paraId="26ABD72B"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2C"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2D"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2E"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2F" w14:textId="77777777" w:rsidR="00B25A86" w:rsidRPr="00CE60B2" w:rsidRDefault="00B25A86" w:rsidP="00B25A86">
            <w:pPr>
              <w:rPr>
                <w:rFonts w:cs="Segoe UI"/>
              </w:rPr>
            </w:pPr>
          </w:p>
        </w:tc>
      </w:tr>
      <w:tr w:rsidR="00B25A86" w:rsidRPr="00CE60B2" w14:paraId="26ABD737"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31" w14:textId="77777777" w:rsidR="00B25A86" w:rsidRPr="00CE60B2" w:rsidRDefault="00B25A86" w:rsidP="00B25A86">
            <w:pPr>
              <w:rPr>
                <w:rFonts w:cs="Segoe UI"/>
                <w:spacing w:val="-1"/>
              </w:rPr>
            </w:pPr>
            <w:r w:rsidRPr="00CE60B2">
              <w:rPr>
                <w:rFonts w:cs="Segoe UI"/>
                <w:spacing w:val="-1"/>
              </w:rPr>
              <w:t>6.5b Wage rates and injury rates within the forest sector</w:t>
            </w:r>
          </w:p>
        </w:tc>
        <w:tc>
          <w:tcPr>
            <w:tcW w:w="2552" w:type="dxa"/>
            <w:tcBorders>
              <w:top w:val="single" w:sz="5" w:space="0" w:color="000000"/>
              <w:left w:val="single" w:sz="5" w:space="0" w:color="000000"/>
              <w:bottom w:val="single" w:sz="5" w:space="0" w:color="000000"/>
              <w:right w:val="single" w:sz="5" w:space="0" w:color="000000"/>
            </w:tcBorders>
          </w:tcPr>
          <w:p w14:paraId="26ABD732"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33"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34"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35"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36" w14:textId="77777777" w:rsidR="00B25A86" w:rsidRPr="00CE60B2" w:rsidRDefault="00B25A86" w:rsidP="00B25A86">
            <w:pPr>
              <w:rPr>
                <w:rFonts w:cs="Segoe UI"/>
              </w:rPr>
            </w:pPr>
          </w:p>
        </w:tc>
      </w:tr>
      <w:tr w:rsidR="00B25A86" w:rsidRPr="00CE60B2" w14:paraId="26ABD73E"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38" w14:textId="77777777" w:rsidR="00B25A86" w:rsidRPr="00CE60B2" w:rsidRDefault="00B25A86" w:rsidP="00B25A86">
            <w:pPr>
              <w:rPr>
                <w:rFonts w:cs="Segoe UI"/>
                <w:spacing w:val="-1"/>
              </w:rPr>
            </w:pPr>
            <w:r w:rsidRPr="00CE60B2">
              <w:rPr>
                <w:rFonts w:cs="Segoe UI"/>
                <w:spacing w:val="-1"/>
              </w:rPr>
              <w:t>6.5c Resilience of forest dependent communities to changing social and economic conditions</w:t>
            </w:r>
          </w:p>
        </w:tc>
        <w:tc>
          <w:tcPr>
            <w:tcW w:w="2552" w:type="dxa"/>
            <w:tcBorders>
              <w:top w:val="single" w:sz="5" w:space="0" w:color="000000"/>
              <w:left w:val="single" w:sz="5" w:space="0" w:color="000000"/>
              <w:bottom w:val="single" w:sz="5" w:space="0" w:color="000000"/>
              <w:right w:val="single" w:sz="5" w:space="0" w:color="000000"/>
            </w:tcBorders>
          </w:tcPr>
          <w:p w14:paraId="26ABD739"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3A"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3B"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3C"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3D" w14:textId="77777777" w:rsidR="00B25A86" w:rsidRPr="00CE60B2" w:rsidRDefault="00B25A86" w:rsidP="00B25A86">
            <w:pPr>
              <w:rPr>
                <w:rFonts w:cs="Segoe UI"/>
              </w:rPr>
            </w:pPr>
          </w:p>
        </w:tc>
      </w:tr>
      <w:tr w:rsidR="00B25A86" w:rsidRPr="00CE60B2" w14:paraId="26ABD745"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3F" w14:textId="77777777" w:rsidR="00B25A86" w:rsidRPr="00CE60B2" w:rsidRDefault="00B25A86" w:rsidP="00B25A86">
            <w:pPr>
              <w:rPr>
                <w:rFonts w:cs="Segoe UI"/>
                <w:spacing w:val="-1"/>
              </w:rPr>
            </w:pPr>
            <w:r w:rsidRPr="00CE60B2">
              <w:rPr>
                <w:rFonts w:cs="Segoe UI"/>
                <w:spacing w:val="-1"/>
              </w:rPr>
              <w:t>6.5d Resilience of forest dependent indigenous communities to changing social and economic conditions</w:t>
            </w:r>
          </w:p>
        </w:tc>
        <w:tc>
          <w:tcPr>
            <w:tcW w:w="2552" w:type="dxa"/>
            <w:tcBorders>
              <w:top w:val="single" w:sz="5" w:space="0" w:color="000000"/>
              <w:left w:val="single" w:sz="5" w:space="0" w:color="000000"/>
              <w:bottom w:val="single" w:sz="5" w:space="0" w:color="000000"/>
              <w:right w:val="single" w:sz="5" w:space="0" w:color="000000"/>
            </w:tcBorders>
          </w:tcPr>
          <w:p w14:paraId="26ABD740"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41"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42"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43"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44" w14:textId="77777777" w:rsidR="00B25A86" w:rsidRPr="00CE60B2" w:rsidRDefault="00B25A86" w:rsidP="00B25A86">
            <w:pPr>
              <w:rPr>
                <w:rFonts w:cs="Segoe UI"/>
              </w:rPr>
            </w:pPr>
          </w:p>
        </w:tc>
      </w:tr>
      <w:tr w:rsidR="00B25A86" w:rsidRPr="00CE60B2" w14:paraId="26ABD747" w14:textId="77777777" w:rsidTr="00820139">
        <w:trPr>
          <w:trHeight w:hRule="exact" w:val="485"/>
          <w:jc w:val="center"/>
        </w:trPr>
        <w:tc>
          <w:tcPr>
            <w:tcW w:w="13889" w:type="dxa"/>
            <w:gridSpan w:val="6"/>
            <w:tcBorders>
              <w:top w:val="single" w:sz="5" w:space="0" w:color="000000"/>
              <w:left w:val="single" w:sz="5" w:space="0" w:color="000000"/>
              <w:bottom w:val="single" w:sz="5" w:space="0" w:color="000000"/>
              <w:right w:val="single" w:sz="5" w:space="0" w:color="000000"/>
            </w:tcBorders>
          </w:tcPr>
          <w:p w14:paraId="26ABD746" w14:textId="77777777" w:rsidR="00B25A86" w:rsidRPr="00CE60B2" w:rsidRDefault="00B25A86" w:rsidP="00B25A86">
            <w:pPr>
              <w:rPr>
                <w:rFonts w:cs="Segoe UI"/>
                <w:b/>
                <w:spacing w:val="-1"/>
              </w:rPr>
            </w:pPr>
            <w:r w:rsidRPr="00CE60B2">
              <w:rPr>
                <w:rFonts w:cs="Segoe UI"/>
                <w:b/>
                <w:spacing w:val="-1"/>
              </w:rPr>
              <w:t>7 Legal, institutional and economic framework for forest conservation and sustainable management</w:t>
            </w:r>
          </w:p>
        </w:tc>
      </w:tr>
      <w:tr w:rsidR="00B25A86" w:rsidRPr="00CE60B2" w14:paraId="26ABD74E"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48" w14:textId="77777777" w:rsidR="00B25A86" w:rsidRPr="00CE60B2" w:rsidRDefault="00B25A86" w:rsidP="00B25A86">
            <w:pPr>
              <w:rPr>
                <w:rFonts w:cs="Segoe UI"/>
                <w:spacing w:val="-1"/>
              </w:rPr>
            </w:pPr>
            <w:r w:rsidRPr="00CE60B2">
              <w:rPr>
                <w:rFonts w:cs="Segoe UI"/>
                <w:spacing w:val="-1"/>
              </w:rPr>
              <w:lastRenderedPageBreak/>
              <w:t>7.1a Extent to which the legal and policy framework supports the conservation and sustainable management of forests</w:t>
            </w:r>
          </w:p>
        </w:tc>
        <w:tc>
          <w:tcPr>
            <w:tcW w:w="2552" w:type="dxa"/>
            <w:tcBorders>
              <w:top w:val="single" w:sz="5" w:space="0" w:color="000000"/>
              <w:left w:val="single" w:sz="5" w:space="0" w:color="000000"/>
              <w:bottom w:val="single" w:sz="5" w:space="0" w:color="000000"/>
              <w:right w:val="single" w:sz="5" w:space="0" w:color="000000"/>
            </w:tcBorders>
          </w:tcPr>
          <w:p w14:paraId="26ABD749"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4A"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4B"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4C"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4D" w14:textId="77777777" w:rsidR="00B25A86" w:rsidRPr="00CE60B2" w:rsidRDefault="00B25A86" w:rsidP="00B25A86">
            <w:pPr>
              <w:rPr>
                <w:rFonts w:cs="Segoe UI"/>
              </w:rPr>
            </w:pPr>
          </w:p>
        </w:tc>
      </w:tr>
      <w:tr w:rsidR="00B25A86" w:rsidRPr="00CE60B2" w14:paraId="26ABD755"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4F" w14:textId="77777777" w:rsidR="00B25A86" w:rsidRPr="00CE60B2" w:rsidRDefault="00B25A86" w:rsidP="00B25A86">
            <w:pPr>
              <w:rPr>
                <w:rFonts w:cs="Segoe UI"/>
                <w:spacing w:val="-1"/>
              </w:rPr>
            </w:pPr>
            <w:r w:rsidRPr="00CE60B2">
              <w:rPr>
                <w:rFonts w:cs="Segoe UI"/>
                <w:spacing w:val="-1"/>
              </w:rPr>
              <w:t>7.1b Extent to which the institutional framework supports the conservation and sustainable management of forests</w:t>
            </w:r>
          </w:p>
        </w:tc>
        <w:tc>
          <w:tcPr>
            <w:tcW w:w="2552" w:type="dxa"/>
            <w:tcBorders>
              <w:top w:val="single" w:sz="5" w:space="0" w:color="000000"/>
              <w:left w:val="single" w:sz="5" w:space="0" w:color="000000"/>
              <w:bottom w:val="single" w:sz="5" w:space="0" w:color="000000"/>
              <w:right w:val="single" w:sz="5" w:space="0" w:color="000000"/>
            </w:tcBorders>
          </w:tcPr>
          <w:p w14:paraId="26ABD750"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51"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52"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53"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54" w14:textId="77777777" w:rsidR="00B25A86" w:rsidRPr="00CE60B2" w:rsidRDefault="00B25A86" w:rsidP="00B25A86">
            <w:pPr>
              <w:rPr>
                <w:rFonts w:cs="Segoe UI"/>
              </w:rPr>
            </w:pPr>
          </w:p>
        </w:tc>
      </w:tr>
      <w:tr w:rsidR="00B25A86" w:rsidRPr="00CE60B2" w14:paraId="26ABD75C"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56" w14:textId="77777777" w:rsidR="00B25A86" w:rsidRPr="00CE60B2" w:rsidRDefault="00B25A86" w:rsidP="00B25A86">
            <w:pPr>
              <w:rPr>
                <w:rFonts w:cs="Segoe UI"/>
                <w:spacing w:val="-1"/>
              </w:rPr>
            </w:pPr>
            <w:r w:rsidRPr="00CE60B2">
              <w:rPr>
                <w:rFonts w:cs="Segoe UI"/>
                <w:spacing w:val="-1"/>
              </w:rPr>
              <w:t>7.1c Extent to which the economic framework supports the conservation and sustainable management of forests</w:t>
            </w:r>
          </w:p>
        </w:tc>
        <w:tc>
          <w:tcPr>
            <w:tcW w:w="2552" w:type="dxa"/>
            <w:tcBorders>
              <w:top w:val="single" w:sz="5" w:space="0" w:color="000000"/>
              <w:left w:val="single" w:sz="5" w:space="0" w:color="000000"/>
              <w:bottom w:val="single" w:sz="5" w:space="0" w:color="000000"/>
              <w:right w:val="single" w:sz="5" w:space="0" w:color="000000"/>
            </w:tcBorders>
          </w:tcPr>
          <w:p w14:paraId="26ABD757"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58"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59"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5A"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5B" w14:textId="77777777" w:rsidR="00B25A86" w:rsidRPr="00CE60B2" w:rsidRDefault="00B25A86" w:rsidP="00B25A86">
            <w:pPr>
              <w:rPr>
                <w:rFonts w:cs="Segoe UI"/>
              </w:rPr>
            </w:pPr>
          </w:p>
        </w:tc>
      </w:tr>
      <w:tr w:rsidR="00B25A86" w:rsidRPr="00CE60B2" w14:paraId="26ABD763"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5D" w14:textId="77777777" w:rsidR="00B25A86" w:rsidRPr="00CE60B2" w:rsidRDefault="00B25A86" w:rsidP="00B25A86">
            <w:pPr>
              <w:rPr>
                <w:rFonts w:cs="Segoe UI"/>
                <w:spacing w:val="-1"/>
              </w:rPr>
            </w:pPr>
            <w:r w:rsidRPr="00CE60B2">
              <w:rPr>
                <w:rFonts w:cs="Segoe UI"/>
                <w:spacing w:val="-1"/>
              </w:rPr>
              <w:t>7.1d Capacity to measure and monitor changes in the conservation and sustainable management of forests</w:t>
            </w:r>
          </w:p>
        </w:tc>
        <w:tc>
          <w:tcPr>
            <w:tcW w:w="2552" w:type="dxa"/>
            <w:tcBorders>
              <w:top w:val="single" w:sz="5" w:space="0" w:color="000000"/>
              <w:left w:val="single" w:sz="5" w:space="0" w:color="000000"/>
              <w:bottom w:val="single" w:sz="5" w:space="0" w:color="000000"/>
              <w:right w:val="single" w:sz="5" w:space="0" w:color="000000"/>
            </w:tcBorders>
          </w:tcPr>
          <w:p w14:paraId="26ABD75E"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5F"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tcPr>
          <w:p w14:paraId="26ABD760"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61"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62" w14:textId="77777777" w:rsidR="00B25A86" w:rsidRPr="00CE60B2" w:rsidRDefault="00B25A86" w:rsidP="00B25A86">
            <w:pPr>
              <w:rPr>
                <w:rFonts w:cs="Segoe UI"/>
              </w:rPr>
            </w:pPr>
          </w:p>
        </w:tc>
      </w:tr>
      <w:tr w:rsidR="00B25A86" w:rsidRPr="00CE60B2" w14:paraId="26ABD76A" w14:textId="77777777" w:rsidTr="00820139">
        <w:trPr>
          <w:jc w:val="center"/>
        </w:trPr>
        <w:tc>
          <w:tcPr>
            <w:tcW w:w="5526" w:type="dxa"/>
            <w:tcBorders>
              <w:top w:val="single" w:sz="5" w:space="0" w:color="000000"/>
              <w:left w:val="single" w:sz="5" w:space="0" w:color="000000"/>
              <w:bottom w:val="single" w:sz="5" w:space="0" w:color="000000"/>
              <w:right w:val="single" w:sz="5" w:space="0" w:color="000000"/>
            </w:tcBorders>
          </w:tcPr>
          <w:p w14:paraId="26ABD764" w14:textId="77777777" w:rsidR="00B25A86" w:rsidRPr="00CE60B2" w:rsidRDefault="00B25A86" w:rsidP="00B25A86">
            <w:pPr>
              <w:rPr>
                <w:rFonts w:cs="Segoe UI"/>
                <w:spacing w:val="-1"/>
              </w:rPr>
            </w:pPr>
            <w:r w:rsidRPr="00CE60B2">
              <w:rPr>
                <w:rFonts w:cs="Segoe UI"/>
                <w:spacing w:val="-1"/>
              </w:rPr>
              <w:t>7.1e Capacity to conduct and apply research and development aimed at improving forest management and delivery of forest goods and services</w:t>
            </w:r>
          </w:p>
        </w:tc>
        <w:tc>
          <w:tcPr>
            <w:tcW w:w="2552" w:type="dxa"/>
            <w:tcBorders>
              <w:top w:val="single" w:sz="5" w:space="0" w:color="000000"/>
              <w:left w:val="single" w:sz="5" w:space="0" w:color="000000"/>
              <w:bottom w:val="single" w:sz="5" w:space="0" w:color="000000"/>
              <w:right w:val="single" w:sz="5" w:space="0" w:color="000000"/>
            </w:tcBorders>
          </w:tcPr>
          <w:p w14:paraId="26ABD765" w14:textId="77777777" w:rsidR="00B25A86" w:rsidRPr="00CE60B2" w:rsidRDefault="00B25A86" w:rsidP="00B25A86">
            <w:pPr>
              <w:rPr>
                <w:rFonts w:cs="Segoe UI"/>
              </w:rPr>
            </w:pPr>
          </w:p>
        </w:tc>
        <w:tc>
          <w:tcPr>
            <w:tcW w:w="1418" w:type="dxa"/>
            <w:tcBorders>
              <w:top w:val="single" w:sz="5" w:space="0" w:color="000000"/>
              <w:left w:val="single" w:sz="5" w:space="0" w:color="000000"/>
              <w:bottom w:val="single" w:sz="5" w:space="0" w:color="000000"/>
              <w:right w:val="single" w:sz="5" w:space="0" w:color="000000"/>
            </w:tcBorders>
          </w:tcPr>
          <w:p w14:paraId="26ABD766" w14:textId="77777777" w:rsidR="00B25A86" w:rsidRPr="00CE60B2" w:rsidRDefault="00B25A86" w:rsidP="00B25A86">
            <w:pPr>
              <w:rPr>
                <w:rFonts w:cs="Segoe UI"/>
              </w:rPr>
            </w:pPr>
          </w:p>
        </w:tc>
        <w:tc>
          <w:tcPr>
            <w:tcW w:w="1558"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67" w14:textId="77777777" w:rsidR="00B25A86" w:rsidRPr="00CE60B2" w:rsidRDefault="00B25A86" w:rsidP="00B25A86">
            <w:pPr>
              <w:rPr>
                <w:rFonts w:cs="Segoe UI"/>
              </w:rPr>
            </w:pPr>
          </w:p>
        </w:tc>
        <w:tc>
          <w:tcPr>
            <w:tcW w:w="1419"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68" w14:textId="77777777" w:rsidR="00B25A86" w:rsidRPr="00CE60B2" w:rsidRDefault="00B25A86" w:rsidP="00B25A86">
            <w:pPr>
              <w:rPr>
                <w:rFonts w:cs="Segoe UI"/>
              </w:rPr>
            </w:pPr>
          </w:p>
        </w:tc>
        <w:tc>
          <w:tcPr>
            <w:tcW w:w="1416" w:type="dxa"/>
            <w:tcBorders>
              <w:top w:val="single" w:sz="5" w:space="0" w:color="000000"/>
              <w:left w:val="single" w:sz="5" w:space="0" w:color="000000"/>
              <w:bottom w:val="single" w:sz="5" w:space="0" w:color="000000"/>
              <w:right w:val="single" w:sz="5" w:space="0" w:color="000000"/>
            </w:tcBorders>
            <w:shd w:val="clear" w:color="auto" w:fill="DFEFE1" w:themeFill="accent3" w:themeFillTint="66"/>
          </w:tcPr>
          <w:p w14:paraId="26ABD769" w14:textId="77777777" w:rsidR="00B25A86" w:rsidRPr="00CE60B2" w:rsidRDefault="00B25A86" w:rsidP="00B25A86">
            <w:pPr>
              <w:rPr>
                <w:rFonts w:cs="Segoe UI"/>
              </w:rPr>
            </w:pPr>
          </w:p>
        </w:tc>
      </w:tr>
    </w:tbl>
    <w:p w14:paraId="26ABD76B" w14:textId="77777777" w:rsidR="00B25A86" w:rsidRPr="00CE60B2" w:rsidRDefault="00B25A86">
      <w:pPr>
        <w:spacing w:before="0" w:after="480" w:line="276" w:lineRule="auto"/>
        <w:rPr>
          <w:rFonts w:cs="Segoe UI"/>
        </w:rPr>
        <w:sectPr w:rsidR="00B25A86" w:rsidRPr="00CE60B2" w:rsidSect="00B11CAC">
          <w:pgSz w:w="16838" w:h="11906" w:orient="landscape" w:code="9"/>
          <w:pgMar w:top="1418" w:right="1418" w:bottom="1418" w:left="1134" w:header="737" w:footer="680" w:gutter="0"/>
          <w:cols w:space="708"/>
          <w:docGrid w:linePitch="360"/>
        </w:sectPr>
      </w:pPr>
    </w:p>
    <w:p w14:paraId="26ABD76C" w14:textId="77777777" w:rsidR="005100CC" w:rsidRPr="00CE60B2" w:rsidRDefault="005100CC" w:rsidP="002B601A">
      <w:pPr>
        <w:pStyle w:val="Heading4"/>
        <w:rPr>
          <w:rFonts w:cs="Segoe UI"/>
        </w:rPr>
      </w:pPr>
      <w:bookmarkStart w:id="223" w:name="_Toc524952839"/>
      <w:r w:rsidRPr="00CE60B2">
        <w:rPr>
          <w:rFonts w:cs="Segoe UI"/>
        </w:rPr>
        <w:lastRenderedPageBreak/>
        <w:t xml:space="preserve">Alignment of the international </w:t>
      </w:r>
      <w:r w:rsidR="00A515C1" w:rsidRPr="00CE60B2">
        <w:rPr>
          <w:rFonts w:cs="Segoe UI"/>
        </w:rPr>
        <w:t>Montréal</w:t>
      </w:r>
      <w:r w:rsidRPr="00CE60B2">
        <w:rPr>
          <w:rFonts w:cs="Segoe UI"/>
        </w:rPr>
        <w:t xml:space="preserve"> Process indicators with Australia's national indicators used in SOFR </w:t>
      </w:r>
      <w:bookmarkEnd w:id="219"/>
      <w:r w:rsidR="00B40388" w:rsidRPr="00CE60B2">
        <w:rPr>
          <w:rFonts w:cs="Segoe UI"/>
        </w:rPr>
        <w:t>since 2005</w:t>
      </w:r>
      <w:bookmarkEnd w:id="223"/>
    </w:p>
    <w:p w14:paraId="26ABD76D" w14:textId="77777777" w:rsidR="00B40388" w:rsidRPr="00CE60B2" w:rsidRDefault="00B40388" w:rsidP="00B40388">
      <w:pPr>
        <w:rPr>
          <w:rFonts w:cs="Segoe UI"/>
        </w:rPr>
      </w:pPr>
      <w:r w:rsidRPr="00CE60B2">
        <w:rPr>
          <w:rFonts w:cs="Segoe UI"/>
        </w:rPr>
        <w:t>Source: ABARES State of the Forests Report 2013</w:t>
      </w:r>
    </w:p>
    <w:p w14:paraId="26ABD76E" w14:textId="77777777" w:rsidR="005100CC" w:rsidRPr="00CE60B2" w:rsidRDefault="005100CC" w:rsidP="002B601A">
      <w:pPr>
        <w:pStyle w:val="Heading5"/>
        <w:rPr>
          <w:rFonts w:cs="Segoe UI"/>
        </w:rPr>
      </w:pPr>
      <w:bookmarkStart w:id="224" w:name="_Toc524952840"/>
      <w:r w:rsidRPr="00CE60B2">
        <w:rPr>
          <w:rFonts w:cs="Segoe UI"/>
        </w:rPr>
        <w:t>Criterion 1 Conservation of biological diversity</w:t>
      </w:r>
      <w:bookmarkEnd w:id="224"/>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773" w14:textId="77777777" w:rsidTr="00820139">
        <w:trPr>
          <w:cnfStyle w:val="000000010000" w:firstRow="0" w:lastRow="0" w:firstColumn="0" w:lastColumn="0" w:oddVBand="0" w:evenVBand="0" w:oddHBand="0" w:evenHBand="1" w:firstRowFirstColumn="0" w:firstRowLastColumn="0" w:lastRowFirstColumn="0" w:lastRowLastColumn="0"/>
          <w:tblHeader/>
        </w:trPr>
        <w:tc>
          <w:tcPr>
            <w:tcW w:w="1440" w:type="dxa"/>
            <w:shd w:val="clear" w:color="auto" w:fill="DFEFE1" w:themeFill="accent3" w:themeFillTint="66"/>
          </w:tcPr>
          <w:p w14:paraId="26ABD76F" w14:textId="77777777" w:rsidR="005100CC" w:rsidRPr="00CE60B2" w:rsidRDefault="005100CC" w:rsidP="005100CC">
            <w:pPr>
              <w:rPr>
                <w:rFonts w:cs="Segoe UI"/>
                <w:b/>
              </w:rPr>
            </w:pPr>
            <w:r w:rsidRPr="00CE60B2">
              <w:rPr>
                <w:rFonts w:cs="Segoe UI"/>
                <w:b/>
              </w:rPr>
              <w:t xml:space="preserve">International </w:t>
            </w:r>
            <w:r w:rsidR="00A515C1" w:rsidRPr="00CE60B2">
              <w:rPr>
                <w:rFonts w:cs="Segoe UI"/>
                <w:b/>
              </w:rPr>
              <w:t>Montréal</w:t>
            </w:r>
            <w:r w:rsidRPr="00CE60B2">
              <w:rPr>
                <w:rFonts w:cs="Segoe UI"/>
                <w:b/>
              </w:rPr>
              <w:t xml:space="preserve"> Process criteria and indicators </w:t>
            </w:r>
            <w:r w:rsidRPr="00CE60B2">
              <w:rPr>
                <w:rFonts w:cs="Segoe UI"/>
                <w:b/>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770" w14:textId="77777777" w:rsidR="005100CC" w:rsidRPr="00CE60B2" w:rsidRDefault="005100CC" w:rsidP="005100CC">
            <w:pPr>
              <w:rPr>
                <w:rFonts w:cs="Segoe UI"/>
                <w:b/>
              </w:rPr>
            </w:pPr>
            <w:r w:rsidRPr="00CE60B2">
              <w:rPr>
                <w:rFonts w:cs="Segoe UI"/>
                <w:b/>
              </w:rPr>
              <w:t xml:space="preserve">International </w:t>
            </w:r>
            <w:r w:rsidR="00A515C1" w:rsidRPr="00CE60B2">
              <w:rPr>
                <w:rFonts w:cs="Segoe UI"/>
                <w:b/>
              </w:rPr>
              <w:t>Montréal</w:t>
            </w:r>
            <w:r w:rsidRPr="00CE60B2">
              <w:rPr>
                <w:rFonts w:cs="Segoe UI"/>
                <w:b/>
              </w:rPr>
              <w:t xml:space="preserve"> Process criteria and indicators </w:t>
            </w:r>
            <w:r w:rsidRPr="00CE60B2">
              <w:rPr>
                <w:rFonts w:cs="Segoe UI"/>
                <w:b/>
              </w:rPr>
              <w:br/>
              <w:t>Indicator name</w:t>
            </w:r>
          </w:p>
        </w:tc>
        <w:tc>
          <w:tcPr>
            <w:tcW w:w="1350" w:type="dxa"/>
            <w:shd w:val="clear" w:color="auto" w:fill="DFEFE1" w:themeFill="accent3" w:themeFillTint="66"/>
          </w:tcPr>
          <w:p w14:paraId="26ABD771" w14:textId="77777777" w:rsidR="005100CC" w:rsidRPr="00CE60B2" w:rsidRDefault="005100CC" w:rsidP="005100CC">
            <w:pPr>
              <w:cnfStyle w:val="000000010000" w:firstRow="0" w:lastRow="0" w:firstColumn="0" w:lastColumn="0" w:oddVBand="0" w:evenVBand="0" w:oddHBand="0" w:evenHBand="1" w:firstRowFirstColumn="0" w:firstRowLastColumn="0" w:lastRowFirstColumn="0" w:lastRowLastColumn="0"/>
              <w:rPr>
                <w:rFonts w:cs="Segoe UI"/>
                <w:b/>
              </w:rPr>
            </w:pPr>
            <w:r w:rsidRPr="00CE60B2">
              <w:rPr>
                <w:rFonts w:cs="Segoe UI"/>
                <w:b/>
              </w:rPr>
              <w:t xml:space="preserve">Australian indicator(s) with which each </w:t>
            </w:r>
            <w:r w:rsidR="00A515C1" w:rsidRPr="00CE60B2">
              <w:rPr>
                <w:rFonts w:cs="Segoe UI"/>
                <w:b/>
              </w:rPr>
              <w:t>Montréal</w:t>
            </w:r>
            <w:r w:rsidRPr="00CE60B2">
              <w:rPr>
                <w:rFonts w:cs="Segoe UI"/>
                <w:b/>
              </w:rPr>
              <w:t xml:space="preserve"> Process indicator aligns</w:t>
            </w:r>
            <w:r w:rsidRPr="00CE60B2">
              <w:rPr>
                <w:rFonts w:cs="Segoe UI"/>
                <w:b/>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772" w14:textId="77777777" w:rsidR="005100CC" w:rsidRPr="00CE60B2" w:rsidRDefault="005100CC" w:rsidP="005100CC">
            <w:pPr>
              <w:rPr>
                <w:rFonts w:cs="Segoe UI"/>
                <w:b/>
              </w:rPr>
            </w:pPr>
            <w:r w:rsidRPr="00CE60B2">
              <w:rPr>
                <w:rFonts w:cs="Segoe UI"/>
                <w:b/>
              </w:rPr>
              <w:t xml:space="preserve">Australian indicator(s) with which each </w:t>
            </w:r>
            <w:r w:rsidR="00A515C1" w:rsidRPr="00CE60B2">
              <w:rPr>
                <w:rFonts w:cs="Segoe UI"/>
                <w:b/>
              </w:rPr>
              <w:t>Montréal</w:t>
            </w:r>
            <w:r w:rsidRPr="00CE60B2">
              <w:rPr>
                <w:rFonts w:cs="Segoe UI"/>
                <w:b/>
              </w:rPr>
              <w:t xml:space="preserve"> Process indicator aligns</w:t>
            </w:r>
            <w:r w:rsidRPr="00CE60B2">
              <w:rPr>
                <w:rFonts w:cs="Segoe UI"/>
                <w:b/>
              </w:rPr>
              <w:br/>
              <w:t>Partial alignment</w:t>
            </w:r>
          </w:p>
        </w:tc>
      </w:tr>
      <w:tr w:rsidR="005100CC" w:rsidRPr="00CE60B2" w14:paraId="26ABD778"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74" w14:textId="77777777" w:rsidR="005100CC" w:rsidRPr="00CE60B2" w:rsidRDefault="005100CC" w:rsidP="00892FEB">
            <w:pPr>
              <w:rPr>
                <w:rFonts w:cs="Segoe UI"/>
              </w:rPr>
            </w:pPr>
            <w:r w:rsidRPr="00CE60B2">
              <w:rPr>
                <w:rFonts w:cs="Segoe UI"/>
              </w:rPr>
              <w:t>1.1</w:t>
            </w:r>
          </w:p>
        </w:tc>
        <w:tc>
          <w:tcPr>
            <w:cnfStyle w:val="000001000000" w:firstRow="0" w:lastRow="0" w:firstColumn="0" w:lastColumn="0" w:oddVBand="0" w:evenVBand="1" w:oddHBand="0" w:evenHBand="0" w:firstRowFirstColumn="0" w:firstRowLastColumn="0" w:lastRowFirstColumn="0" w:lastRowLastColumn="0"/>
            <w:tcW w:w="4860" w:type="dxa"/>
          </w:tcPr>
          <w:p w14:paraId="26ABD775" w14:textId="77777777" w:rsidR="005100CC" w:rsidRPr="00CE60B2" w:rsidRDefault="005100CC" w:rsidP="00892FEB">
            <w:pPr>
              <w:rPr>
                <w:rFonts w:cs="Segoe UI"/>
              </w:rPr>
            </w:pPr>
            <w:r w:rsidRPr="00CE60B2">
              <w:rPr>
                <w:rFonts w:cs="Segoe UI"/>
              </w:rPr>
              <w:t>Ecosystem diversity</w:t>
            </w:r>
          </w:p>
        </w:tc>
        <w:tc>
          <w:tcPr>
            <w:tcW w:w="1350" w:type="dxa"/>
          </w:tcPr>
          <w:p w14:paraId="26ABD776"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77" w14:textId="77777777" w:rsidR="005100CC" w:rsidRPr="00CE60B2" w:rsidRDefault="005100CC" w:rsidP="00892FEB">
            <w:pPr>
              <w:rPr>
                <w:rFonts w:cs="Segoe UI"/>
              </w:rPr>
            </w:pPr>
            <w:r w:rsidRPr="00CE60B2">
              <w:rPr>
                <w:rFonts w:cs="Segoe UI"/>
              </w:rPr>
              <w:t>—</w:t>
            </w:r>
          </w:p>
        </w:tc>
      </w:tr>
      <w:tr w:rsidR="005100CC" w:rsidRPr="00CE60B2" w14:paraId="26ABD77D"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79" w14:textId="3484ECD9" w:rsidR="005100CC" w:rsidRPr="00CE60B2" w:rsidRDefault="005100CC" w:rsidP="00892FEB">
            <w:pPr>
              <w:rPr>
                <w:rFonts w:cs="Segoe UI"/>
              </w:rPr>
            </w:pPr>
            <w:r w:rsidRPr="00CE60B2">
              <w:rPr>
                <w:rFonts w:cs="Segoe UI"/>
              </w:rPr>
              <w:t>1.1a</w:t>
            </w:r>
          </w:p>
        </w:tc>
        <w:tc>
          <w:tcPr>
            <w:cnfStyle w:val="000001000000" w:firstRow="0" w:lastRow="0" w:firstColumn="0" w:lastColumn="0" w:oddVBand="0" w:evenVBand="1" w:oddHBand="0" w:evenHBand="0" w:firstRowFirstColumn="0" w:firstRowLastColumn="0" w:lastRowFirstColumn="0" w:lastRowLastColumn="0"/>
            <w:tcW w:w="4860" w:type="dxa"/>
          </w:tcPr>
          <w:p w14:paraId="26ABD77A" w14:textId="77777777" w:rsidR="005100CC" w:rsidRPr="00CE60B2" w:rsidRDefault="005100CC" w:rsidP="00892FEB">
            <w:pPr>
              <w:rPr>
                <w:rFonts w:cs="Segoe UI"/>
              </w:rPr>
            </w:pPr>
            <w:r w:rsidRPr="00CE60B2">
              <w:rPr>
                <w:rFonts w:cs="Segoe UI"/>
              </w:rPr>
              <w:t xml:space="preserve">Area and </w:t>
            </w:r>
            <w:r w:rsidR="00EF4C39" w:rsidRPr="00CE60B2">
              <w:rPr>
                <w:rFonts w:cs="Segoe UI"/>
              </w:rPr>
              <w:t>per cent</w:t>
            </w:r>
            <w:r w:rsidRPr="00CE60B2">
              <w:rPr>
                <w:rFonts w:cs="Segoe UI"/>
              </w:rPr>
              <w:t xml:space="preserve"> of forest by forest ecosystem type, successional stage, age class, and forest ownership or tenure</w:t>
            </w:r>
          </w:p>
        </w:tc>
        <w:tc>
          <w:tcPr>
            <w:tcW w:w="1350" w:type="dxa"/>
          </w:tcPr>
          <w:p w14:paraId="26ABD77B"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1.1a</w:t>
            </w:r>
          </w:p>
        </w:tc>
        <w:tc>
          <w:tcPr>
            <w:cnfStyle w:val="000001000000" w:firstRow="0" w:lastRow="0" w:firstColumn="0" w:lastColumn="0" w:oddVBand="0" w:evenVBand="1" w:oddHBand="0" w:evenHBand="0" w:firstRowFirstColumn="0" w:firstRowLastColumn="0" w:lastRowFirstColumn="0" w:lastRowLastColumn="0"/>
            <w:tcW w:w="1350" w:type="dxa"/>
          </w:tcPr>
          <w:p w14:paraId="26ABD77C" w14:textId="77777777" w:rsidR="005100CC" w:rsidRPr="00CE60B2" w:rsidRDefault="005100CC" w:rsidP="00892FEB">
            <w:pPr>
              <w:rPr>
                <w:rFonts w:cs="Segoe UI"/>
              </w:rPr>
            </w:pPr>
            <w:r w:rsidRPr="00CE60B2">
              <w:rPr>
                <w:rFonts w:cs="Segoe UI"/>
              </w:rPr>
              <w:t>1.1b</w:t>
            </w:r>
          </w:p>
        </w:tc>
      </w:tr>
      <w:tr w:rsidR="005100CC" w:rsidRPr="00CE60B2" w14:paraId="26ABD782"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7E" w14:textId="2F05E02F" w:rsidR="005100CC" w:rsidRPr="00CE60B2" w:rsidRDefault="005100CC" w:rsidP="00892FEB">
            <w:pPr>
              <w:rPr>
                <w:rFonts w:cs="Segoe UI"/>
              </w:rPr>
            </w:pPr>
            <w:r w:rsidRPr="00CE60B2">
              <w:rPr>
                <w:rFonts w:cs="Segoe UI"/>
              </w:rPr>
              <w:t>1.1b</w:t>
            </w:r>
          </w:p>
        </w:tc>
        <w:tc>
          <w:tcPr>
            <w:cnfStyle w:val="000001000000" w:firstRow="0" w:lastRow="0" w:firstColumn="0" w:lastColumn="0" w:oddVBand="0" w:evenVBand="1" w:oddHBand="0" w:evenHBand="0" w:firstRowFirstColumn="0" w:firstRowLastColumn="0" w:lastRowFirstColumn="0" w:lastRowLastColumn="0"/>
            <w:tcW w:w="4860" w:type="dxa"/>
          </w:tcPr>
          <w:p w14:paraId="26ABD77F" w14:textId="77777777" w:rsidR="005100CC" w:rsidRPr="00CE60B2" w:rsidRDefault="005100CC" w:rsidP="00892FEB">
            <w:pPr>
              <w:rPr>
                <w:rFonts w:cs="Segoe UI"/>
              </w:rPr>
            </w:pPr>
            <w:r w:rsidRPr="00CE60B2">
              <w:rPr>
                <w:rFonts w:cs="Segoe UI"/>
              </w:rPr>
              <w:t xml:space="preserve">Area and </w:t>
            </w:r>
            <w:r w:rsidR="00EF4C39" w:rsidRPr="00CE60B2">
              <w:rPr>
                <w:rFonts w:cs="Segoe UI"/>
              </w:rPr>
              <w:t>per cent</w:t>
            </w:r>
            <w:r w:rsidRPr="00CE60B2">
              <w:rPr>
                <w:rFonts w:cs="Segoe UI"/>
              </w:rPr>
              <w:t xml:space="preserve"> of forest in protected areas by forest ecosystem type, and by age class or successional stage</w:t>
            </w:r>
          </w:p>
        </w:tc>
        <w:tc>
          <w:tcPr>
            <w:tcW w:w="1350" w:type="dxa"/>
          </w:tcPr>
          <w:p w14:paraId="26ABD780"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1.1c</w:t>
            </w:r>
          </w:p>
        </w:tc>
        <w:tc>
          <w:tcPr>
            <w:cnfStyle w:val="000001000000" w:firstRow="0" w:lastRow="0" w:firstColumn="0" w:lastColumn="0" w:oddVBand="0" w:evenVBand="1" w:oddHBand="0" w:evenHBand="0" w:firstRowFirstColumn="0" w:firstRowLastColumn="0" w:lastRowFirstColumn="0" w:lastRowLastColumn="0"/>
            <w:tcW w:w="1350" w:type="dxa"/>
          </w:tcPr>
          <w:p w14:paraId="26ABD781" w14:textId="77777777" w:rsidR="005100CC" w:rsidRPr="00CE60B2" w:rsidRDefault="005100CC" w:rsidP="00892FEB">
            <w:pPr>
              <w:rPr>
                <w:rFonts w:cs="Segoe UI"/>
              </w:rPr>
            </w:pPr>
            <w:r w:rsidRPr="00CE60B2">
              <w:rPr>
                <w:rFonts w:cs="Segoe UI"/>
              </w:rPr>
              <w:t>1.1b</w:t>
            </w:r>
          </w:p>
        </w:tc>
      </w:tr>
      <w:tr w:rsidR="005100CC" w:rsidRPr="00CE60B2" w14:paraId="26ABD787"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83" w14:textId="77777777" w:rsidR="005100CC" w:rsidRPr="00CE60B2" w:rsidRDefault="005100CC" w:rsidP="00892FEB">
            <w:pPr>
              <w:rPr>
                <w:rFonts w:cs="Segoe UI"/>
              </w:rPr>
            </w:pPr>
            <w:r w:rsidRPr="00CE60B2">
              <w:rPr>
                <w:rFonts w:cs="Segoe UI"/>
              </w:rPr>
              <w:t>1.1.c</w:t>
            </w:r>
          </w:p>
        </w:tc>
        <w:tc>
          <w:tcPr>
            <w:cnfStyle w:val="000001000000" w:firstRow="0" w:lastRow="0" w:firstColumn="0" w:lastColumn="0" w:oddVBand="0" w:evenVBand="1" w:oddHBand="0" w:evenHBand="0" w:firstRowFirstColumn="0" w:firstRowLastColumn="0" w:lastRowFirstColumn="0" w:lastRowLastColumn="0"/>
            <w:tcW w:w="4860" w:type="dxa"/>
          </w:tcPr>
          <w:p w14:paraId="26ABD784" w14:textId="77777777" w:rsidR="005100CC" w:rsidRPr="00CE60B2" w:rsidRDefault="005100CC" w:rsidP="00892FEB">
            <w:pPr>
              <w:rPr>
                <w:rFonts w:cs="Segoe UI"/>
              </w:rPr>
            </w:pPr>
            <w:r w:rsidRPr="00CE60B2">
              <w:rPr>
                <w:rFonts w:cs="Segoe UI"/>
              </w:rPr>
              <w:t>Fragmentation of forests</w:t>
            </w:r>
          </w:p>
        </w:tc>
        <w:tc>
          <w:tcPr>
            <w:tcW w:w="1350" w:type="dxa"/>
          </w:tcPr>
          <w:p w14:paraId="26ABD785"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1.1d</w:t>
            </w:r>
          </w:p>
        </w:tc>
        <w:tc>
          <w:tcPr>
            <w:cnfStyle w:val="000001000000" w:firstRow="0" w:lastRow="0" w:firstColumn="0" w:lastColumn="0" w:oddVBand="0" w:evenVBand="1" w:oddHBand="0" w:evenHBand="0" w:firstRowFirstColumn="0" w:firstRowLastColumn="0" w:lastRowFirstColumn="0" w:lastRowLastColumn="0"/>
            <w:tcW w:w="1350" w:type="dxa"/>
          </w:tcPr>
          <w:p w14:paraId="26ABD786" w14:textId="77777777" w:rsidR="005100CC" w:rsidRPr="00CE60B2" w:rsidRDefault="005100CC" w:rsidP="00892FEB">
            <w:pPr>
              <w:rPr>
                <w:rFonts w:cs="Segoe UI"/>
              </w:rPr>
            </w:pPr>
            <w:r w:rsidRPr="00CE60B2">
              <w:rPr>
                <w:rFonts w:cs="Segoe UI"/>
              </w:rPr>
              <w:t>—</w:t>
            </w:r>
          </w:p>
        </w:tc>
      </w:tr>
      <w:tr w:rsidR="005100CC" w:rsidRPr="00CE60B2" w14:paraId="26ABD78C"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88" w14:textId="77777777" w:rsidR="005100CC" w:rsidRPr="00CE60B2" w:rsidRDefault="005100CC" w:rsidP="00892FEB">
            <w:pPr>
              <w:rPr>
                <w:rFonts w:cs="Segoe UI"/>
              </w:rPr>
            </w:pPr>
            <w:r w:rsidRPr="00CE60B2">
              <w:rPr>
                <w:rFonts w:cs="Segoe UI"/>
              </w:rPr>
              <w:t>1.2</w:t>
            </w:r>
          </w:p>
        </w:tc>
        <w:tc>
          <w:tcPr>
            <w:cnfStyle w:val="000001000000" w:firstRow="0" w:lastRow="0" w:firstColumn="0" w:lastColumn="0" w:oddVBand="0" w:evenVBand="1" w:oddHBand="0" w:evenHBand="0" w:firstRowFirstColumn="0" w:firstRowLastColumn="0" w:lastRowFirstColumn="0" w:lastRowLastColumn="0"/>
            <w:tcW w:w="4860" w:type="dxa"/>
          </w:tcPr>
          <w:p w14:paraId="26ABD789" w14:textId="77777777" w:rsidR="005100CC" w:rsidRPr="00CE60B2" w:rsidRDefault="005100CC" w:rsidP="00892FEB">
            <w:pPr>
              <w:rPr>
                <w:rFonts w:cs="Segoe UI"/>
              </w:rPr>
            </w:pPr>
            <w:r w:rsidRPr="00CE60B2">
              <w:rPr>
                <w:rFonts w:cs="Segoe UI"/>
              </w:rPr>
              <w:t>Species diversity</w:t>
            </w:r>
          </w:p>
        </w:tc>
        <w:tc>
          <w:tcPr>
            <w:tcW w:w="1350" w:type="dxa"/>
          </w:tcPr>
          <w:p w14:paraId="26ABD78A"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8B" w14:textId="77777777" w:rsidR="005100CC" w:rsidRPr="00CE60B2" w:rsidRDefault="005100CC" w:rsidP="00892FEB">
            <w:pPr>
              <w:rPr>
                <w:rFonts w:cs="Segoe UI"/>
              </w:rPr>
            </w:pPr>
            <w:r w:rsidRPr="00CE60B2">
              <w:rPr>
                <w:rFonts w:cs="Segoe UI"/>
              </w:rPr>
              <w:t>—</w:t>
            </w:r>
          </w:p>
        </w:tc>
      </w:tr>
      <w:tr w:rsidR="005100CC" w:rsidRPr="00CE60B2" w14:paraId="26ABD791"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8D" w14:textId="33C72B7C" w:rsidR="005100CC" w:rsidRPr="00CE60B2" w:rsidRDefault="005100CC" w:rsidP="00892FEB">
            <w:pPr>
              <w:rPr>
                <w:rFonts w:cs="Segoe UI"/>
              </w:rPr>
            </w:pPr>
            <w:r w:rsidRPr="00CE60B2">
              <w:rPr>
                <w:rFonts w:cs="Segoe UI"/>
              </w:rPr>
              <w:t>1.2a</w:t>
            </w:r>
          </w:p>
        </w:tc>
        <w:tc>
          <w:tcPr>
            <w:cnfStyle w:val="000001000000" w:firstRow="0" w:lastRow="0" w:firstColumn="0" w:lastColumn="0" w:oddVBand="0" w:evenVBand="1" w:oddHBand="0" w:evenHBand="0" w:firstRowFirstColumn="0" w:firstRowLastColumn="0" w:lastRowFirstColumn="0" w:lastRowLastColumn="0"/>
            <w:tcW w:w="4860" w:type="dxa"/>
          </w:tcPr>
          <w:p w14:paraId="26ABD78E" w14:textId="77777777" w:rsidR="005100CC" w:rsidRPr="00CE60B2" w:rsidRDefault="005100CC" w:rsidP="00892FEB">
            <w:pPr>
              <w:rPr>
                <w:rFonts w:cs="Segoe UI"/>
              </w:rPr>
            </w:pPr>
            <w:r w:rsidRPr="00CE60B2">
              <w:rPr>
                <w:rFonts w:cs="Segoe UI"/>
              </w:rPr>
              <w:t>Number of native forest associated species</w:t>
            </w:r>
          </w:p>
        </w:tc>
        <w:tc>
          <w:tcPr>
            <w:tcW w:w="1350" w:type="dxa"/>
          </w:tcPr>
          <w:p w14:paraId="26ABD78F"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90" w14:textId="77777777" w:rsidR="005100CC" w:rsidRPr="00CE60B2" w:rsidRDefault="005100CC" w:rsidP="00892FEB">
            <w:pPr>
              <w:rPr>
                <w:rFonts w:cs="Segoe UI"/>
              </w:rPr>
            </w:pPr>
            <w:r w:rsidRPr="00CE60B2">
              <w:rPr>
                <w:rFonts w:cs="Segoe UI"/>
              </w:rPr>
              <w:t>1.2a</w:t>
            </w:r>
          </w:p>
        </w:tc>
      </w:tr>
      <w:tr w:rsidR="005100CC" w:rsidRPr="00CE60B2" w14:paraId="26ABD796"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92" w14:textId="77777777" w:rsidR="005100CC" w:rsidRPr="00CE60B2" w:rsidRDefault="005100CC" w:rsidP="00892FEB">
            <w:pPr>
              <w:rPr>
                <w:rFonts w:cs="Segoe UI"/>
              </w:rPr>
            </w:pPr>
            <w:r w:rsidRPr="00CE60B2">
              <w:rPr>
                <w:rFonts w:cs="Segoe UI"/>
              </w:rPr>
              <w:t>1.2.b</w:t>
            </w:r>
          </w:p>
        </w:tc>
        <w:tc>
          <w:tcPr>
            <w:cnfStyle w:val="000001000000" w:firstRow="0" w:lastRow="0" w:firstColumn="0" w:lastColumn="0" w:oddVBand="0" w:evenVBand="1" w:oddHBand="0" w:evenHBand="0" w:firstRowFirstColumn="0" w:firstRowLastColumn="0" w:lastRowFirstColumn="0" w:lastRowLastColumn="0"/>
            <w:tcW w:w="4860" w:type="dxa"/>
          </w:tcPr>
          <w:p w14:paraId="26ABD793" w14:textId="77777777" w:rsidR="005100CC" w:rsidRPr="00CE60B2" w:rsidRDefault="005100CC" w:rsidP="00892FEB">
            <w:pPr>
              <w:rPr>
                <w:rFonts w:cs="Segoe UI"/>
              </w:rPr>
            </w:pPr>
            <w:r w:rsidRPr="00CE60B2">
              <w:rPr>
                <w:rFonts w:cs="Segoe UI"/>
              </w:rPr>
              <w:t>Number and status of native forest associated species at risk, as determined by legislation or scientific assessment</w:t>
            </w:r>
          </w:p>
        </w:tc>
        <w:tc>
          <w:tcPr>
            <w:tcW w:w="1350" w:type="dxa"/>
          </w:tcPr>
          <w:p w14:paraId="26ABD794"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1.2b</w:t>
            </w:r>
          </w:p>
        </w:tc>
        <w:tc>
          <w:tcPr>
            <w:cnfStyle w:val="000001000000" w:firstRow="0" w:lastRow="0" w:firstColumn="0" w:lastColumn="0" w:oddVBand="0" w:evenVBand="1" w:oddHBand="0" w:evenHBand="0" w:firstRowFirstColumn="0" w:firstRowLastColumn="0" w:lastRowFirstColumn="0" w:lastRowLastColumn="0"/>
            <w:tcW w:w="1350" w:type="dxa"/>
          </w:tcPr>
          <w:p w14:paraId="26ABD795" w14:textId="77777777" w:rsidR="005100CC" w:rsidRPr="00CE60B2" w:rsidRDefault="005100CC" w:rsidP="00892FEB">
            <w:pPr>
              <w:rPr>
                <w:rFonts w:cs="Segoe UI"/>
              </w:rPr>
            </w:pPr>
            <w:r w:rsidRPr="00CE60B2">
              <w:rPr>
                <w:rFonts w:cs="Segoe UI"/>
              </w:rPr>
              <w:t>—</w:t>
            </w:r>
          </w:p>
        </w:tc>
      </w:tr>
      <w:tr w:rsidR="005100CC" w:rsidRPr="00CE60B2" w14:paraId="26ABD79B"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97" w14:textId="77777777" w:rsidR="005100CC" w:rsidRPr="00CE60B2" w:rsidRDefault="005100CC" w:rsidP="00892FEB">
            <w:pPr>
              <w:rPr>
                <w:rFonts w:cs="Segoe UI"/>
              </w:rPr>
            </w:pPr>
            <w:r w:rsidRPr="00CE60B2">
              <w:rPr>
                <w:rFonts w:cs="Segoe UI"/>
              </w:rPr>
              <w:t>1.2.c</w:t>
            </w:r>
          </w:p>
        </w:tc>
        <w:tc>
          <w:tcPr>
            <w:cnfStyle w:val="000001000000" w:firstRow="0" w:lastRow="0" w:firstColumn="0" w:lastColumn="0" w:oddVBand="0" w:evenVBand="1" w:oddHBand="0" w:evenHBand="0" w:firstRowFirstColumn="0" w:firstRowLastColumn="0" w:lastRowFirstColumn="0" w:lastRowLastColumn="0"/>
            <w:tcW w:w="4860" w:type="dxa"/>
          </w:tcPr>
          <w:p w14:paraId="26ABD798" w14:textId="1A072BF0" w:rsidR="005100CC" w:rsidRPr="00CE60B2" w:rsidRDefault="005100CC" w:rsidP="00892FEB">
            <w:pPr>
              <w:rPr>
                <w:rFonts w:cs="Segoe UI"/>
              </w:rPr>
            </w:pPr>
            <w:r w:rsidRPr="00CE60B2">
              <w:rPr>
                <w:rFonts w:cs="Segoe UI"/>
              </w:rPr>
              <w:t xml:space="preserve">Status of on site and </w:t>
            </w:r>
            <w:r w:rsidR="00D26B91" w:rsidRPr="00CE60B2">
              <w:rPr>
                <w:rFonts w:cs="Segoe UI"/>
              </w:rPr>
              <w:t>off-site</w:t>
            </w:r>
            <w:r w:rsidRPr="00CE60B2">
              <w:rPr>
                <w:rFonts w:cs="Segoe UI"/>
              </w:rPr>
              <w:t xml:space="preserve"> efforts focused on conservation of species diversity</w:t>
            </w:r>
          </w:p>
        </w:tc>
        <w:tc>
          <w:tcPr>
            <w:tcW w:w="1350" w:type="dxa"/>
          </w:tcPr>
          <w:p w14:paraId="26ABD799"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9A" w14:textId="77777777" w:rsidR="005100CC" w:rsidRPr="00CE60B2" w:rsidRDefault="005100CC" w:rsidP="00892FEB">
            <w:pPr>
              <w:rPr>
                <w:rFonts w:cs="Segoe UI"/>
              </w:rPr>
            </w:pPr>
            <w:r w:rsidRPr="00CE60B2">
              <w:rPr>
                <w:rFonts w:cs="Segoe UI"/>
              </w:rPr>
              <w:t>—</w:t>
            </w:r>
          </w:p>
        </w:tc>
      </w:tr>
      <w:tr w:rsidR="005100CC" w:rsidRPr="00CE60B2" w14:paraId="26ABD7A0"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9C" w14:textId="77777777" w:rsidR="005100CC" w:rsidRPr="00CE60B2" w:rsidRDefault="005100CC" w:rsidP="00892FEB">
            <w:pPr>
              <w:rPr>
                <w:rFonts w:cs="Segoe UI"/>
              </w:rPr>
            </w:pPr>
            <w:r w:rsidRPr="00CE60B2">
              <w:rPr>
                <w:rFonts w:cs="Segoe UI"/>
              </w:rPr>
              <w:t>1.3</w:t>
            </w:r>
          </w:p>
        </w:tc>
        <w:tc>
          <w:tcPr>
            <w:cnfStyle w:val="000001000000" w:firstRow="0" w:lastRow="0" w:firstColumn="0" w:lastColumn="0" w:oddVBand="0" w:evenVBand="1" w:oddHBand="0" w:evenHBand="0" w:firstRowFirstColumn="0" w:firstRowLastColumn="0" w:lastRowFirstColumn="0" w:lastRowLastColumn="0"/>
            <w:tcW w:w="4860" w:type="dxa"/>
          </w:tcPr>
          <w:p w14:paraId="26ABD79D" w14:textId="77777777" w:rsidR="005100CC" w:rsidRPr="00CE60B2" w:rsidRDefault="005100CC" w:rsidP="00892FEB">
            <w:pPr>
              <w:rPr>
                <w:rFonts w:cs="Segoe UI"/>
              </w:rPr>
            </w:pPr>
            <w:r w:rsidRPr="00CE60B2">
              <w:rPr>
                <w:rFonts w:cs="Segoe UI"/>
              </w:rPr>
              <w:t>Genetic diversity</w:t>
            </w:r>
          </w:p>
        </w:tc>
        <w:tc>
          <w:tcPr>
            <w:tcW w:w="1350" w:type="dxa"/>
          </w:tcPr>
          <w:p w14:paraId="26ABD79E"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9F" w14:textId="77777777" w:rsidR="005100CC" w:rsidRPr="00CE60B2" w:rsidRDefault="005100CC" w:rsidP="00892FEB">
            <w:pPr>
              <w:rPr>
                <w:rFonts w:cs="Segoe UI"/>
              </w:rPr>
            </w:pPr>
            <w:r w:rsidRPr="00CE60B2">
              <w:rPr>
                <w:rFonts w:cs="Segoe UI"/>
              </w:rPr>
              <w:t>—</w:t>
            </w:r>
          </w:p>
        </w:tc>
      </w:tr>
      <w:tr w:rsidR="005100CC" w:rsidRPr="00CE60B2" w14:paraId="26ABD7A5"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A1" w14:textId="29E5C884" w:rsidR="005100CC" w:rsidRPr="00CE60B2" w:rsidRDefault="005100CC" w:rsidP="00892FEB">
            <w:pPr>
              <w:rPr>
                <w:rFonts w:cs="Segoe UI"/>
              </w:rPr>
            </w:pPr>
            <w:r w:rsidRPr="00CE60B2">
              <w:rPr>
                <w:rFonts w:cs="Segoe UI"/>
              </w:rPr>
              <w:t>1.3a</w:t>
            </w:r>
          </w:p>
        </w:tc>
        <w:tc>
          <w:tcPr>
            <w:cnfStyle w:val="000001000000" w:firstRow="0" w:lastRow="0" w:firstColumn="0" w:lastColumn="0" w:oddVBand="0" w:evenVBand="1" w:oddHBand="0" w:evenHBand="0" w:firstRowFirstColumn="0" w:firstRowLastColumn="0" w:lastRowFirstColumn="0" w:lastRowLastColumn="0"/>
            <w:tcW w:w="4860" w:type="dxa"/>
          </w:tcPr>
          <w:p w14:paraId="26ABD7A2" w14:textId="77777777" w:rsidR="005100CC" w:rsidRPr="00CE60B2" w:rsidRDefault="005100CC" w:rsidP="00892FEB">
            <w:pPr>
              <w:rPr>
                <w:rFonts w:cs="Segoe UI"/>
              </w:rPr>
            </w:pPr>
            <w:r w:rsidRPr="00CE60B2">
              <w:rPr>
                <w:rFonts w:cs="Segoe UI"/>
              </w:rPr>
              <w:t>Number and geographic distribution of forest associated species at risk of losing genetic variation and locally adapted genotypes</w:t>
            </w:r>
          </w:p>
        </w:tc>
        <w:tc>
          <w:tcPr>
            <w:tcW w:w="1350" w:type="dxa"/>
          </w:tcPr>
          <w:p w14:paraId="26ABD7A3"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1.3a</w:t>
            </w:r>
          </w:p>
        </w:tc>
        <w:tc>
          <w:tcPr>
            <w:cnfStyle w:val="000001000000" w:firstRow="0" w:lastRow="0" w:firstColumn="0" w:lastColumn="0" w:oddVBand="0" w:evenVBand="1" w:oddHBand="0" w:evenHBand="0" w:firstRowFirstColumn="0" w:firstRowLastColumn="0" w:lastRowFirstColumn="0" w:lastRowLastColumn="0"/>
            <w:tcW w:w="1350" w:type="dxa"/>
          </w:tcPr>
          <w:p w14:paraId="26ABD7A4" w14:textId="77777777" w:rsidR="005100CC" w:rsidRPr="00CE60B2" w:rsidRDefault="005100CC" w:rsidP="00892FEB">
            <w:pPr>
              <w:rPr>
                <w:rFonts w:cs="Segoe UI"/>
              </w:rPr>
            </w:pPr>
            <w:r w:rsidRPr="00CE60B2">
              <w:rPr>
                <w:rFonts w:cs="Segoe UI"/>
              </w:rPr>
              <w:t>—</w:t>
            </w:r>
          </w:p>
        </w:tc>
      </w:tr>
      <w:tr w:rsidR="005100CC" w:rsidRPr="00CE60B2" w14:paraId="26ABD7AA"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A6" w14:textId="2BD2766B" w:rsidR="005100CC" w:rsidRPr="00CE60B2" w:rsidRDefault="005100CC" w:rsidP="00892FEB">
            <w:pPr>
              <w:rPr>
                <w:rFonts w:cs="Segoe UI"/>
              </w:rPr>
            </w:pPr>
            <w:r w:rsidRPr="00CE60B2">
              <w:rPr>
                <w:rFonts w:cs="Segoe UI"/>
              </w:rPr>
              <w:lastRenderedPageBreak/>
              <w:t>1.3b</w:t>
            </w:r>
          </w:p>
        </w:tc>
        <w:tc>
          <w:tcPr>
            <w:cnfStyle w:val="000001000000" w:firstRow="0" w:lastRow="0" w:firstColumn="0" w:lastColumn="0" w:oddVBand="0" w:evenVBand="1" w:oddHBand="0" w:evenHBand="0" w:firstRowFirstColumn="0" w:firstRowLastColumn="0" w:lastRowFirstColumn="0" w:lastRowLastColumn="0"/>
            <w:tcW w:w="4860" w:type="dxa"/>
          </w:tcPr>
          <w:p w14:paraId="26ABD7A7" w14:textId="77777777" w:rsidR="005100CC" w:rsidRPr="00CE60B2" w:rsidRDefault="005100CC" w:rsidP="00892FEB">
            <w:pPr>
              <w:rPr>
                <w:rFonts w:cs="Segoe UI"/>
              </w:rPr>
            </w:pPr>
            <w:r w:rsidRPr="00CE60B2">
              <w:rPr>
                <w:rFonts w:cs="Segoe UI"/>
              </w:rPr>
              <w:t>Population levels of selected representative forest associated species to describe genetic diversity</w:t>
            </w:r>
          </w:p>
        </w:tc>
        <w:tc>
          <w:tcPr>
            <w:tcW w:w="1350" w:type="dxa"/>
          </w:tcPr>
          <w:p w14:paraId="26ABD7A8"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A9" w14:textId="77777777" w:rsidR="005100CC" w:rsidRPr="00CE60B2" w:rsidRDefault="005100CC" w:rsidP="00892FEB">
            <w:pPr>
              <w:rPr>
                <w:rFonts w:cs="Segoe UI"/>
              </w:rPr>
            </w:pPr>
            <w:r w:rsidRPr="00CE60B2">
              <w:rPr>
                <w:rFonts w:cs="Segoe UI"/>
              </w:rPr>
              <w:t>1.2c</w:t>
            </w:r>
          </w:p>
        </w:tc>
      </w:tr>
      <w:tr w:rsidR="005100CC" w:rsidRPr="00CE60B2" w14:paraId="26ABD7B0"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AB" w14:textId="77777777" w:rsidR="005100CC" w:rsidRPr="00CE60B2" w:rsidRDefault="005100CC" w:rsidP="00892FEB">
            <w:pPr>
              <w:rPr>
                <w:rFonts w:cs="Segoe UI"/>
              </w:rPr>
            </w:pPr>
            <w:r w:rsidRPr="00CE60B2">
              <w:rPr>
                <w:rFonts w:cs="Segoe UI"/>
              </w:rPr>
              <w:t>1.3c</w:t>
            </w:r>
          </w:p>
        </w:tc>
        <w:tc>
          <w:tcPr>
            <w:cnfStyle w:val="000001000000" w:firstRow="0" w:lastRow="0" w:firstColumn="0" w:lastColumn="0" w:oddVBand="0" w:evenVBand="1" w:oddHBand="0" w:evenHBand="0" w:firstRowFirstColumn="0" w:firstRowLastColumn="0" w:lastRowFirstColumn="0" w:lastRowLastColumn="0"/>
            <w:tcW w:w="4860" w:type="dxa"/>
          </w:tcPr>
          <w:p w14:paraId="26ABD7AC" w14:textId="074C84C6" w:rsidR="005100CC" w:rsidRPr="00CE60B2" w:rsidRDefault="005100CC" w:rsidP="00892FEB">
            <w:pPr>
              <w:rPr>
                <w:rFonts w:cs="Segoe UI"/>
              </w:rPr>
            </w:pPr>
            <w:r w:rsidRPr="00CE60B2">
              <w:rPr>
                <w:rFonts w:cs="Segoe UI"/>
              </w:rPr>
              <w:t xml:space="preserve">Status of on site and </w:t>
            </w:r>
            <w:r w:rsidR="00820139" w:rsidRPr="00CE60B2">
              <w:rPr>
                <w:rFonts w:cs="Segoe UI"/>
              </w:rPr>
              <w:t>off-site</w:t>
            </w:r>
            <w:r w:rsidRPr="00CE60B2">
              <w:rPr>
                <w:rFonts w:cs="Segoe UI"/>
              </w:rPr>
              <w:t xml:space="preserve"> efforts focused on conservation of genetic</w:t>
            </w:r>
          </w:p>
        </w:tc>
        <w:tc>
          <w:tcPr>
            <w:tcW w:w="1350" w:type="dxa"/>
          </w:tcPr>
          <w:p w14:paraId="26ABD7AD"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AE" w14:textId="77777777" w:rsidR="005100CC" w:rsidRPr="00CE60B2" w:rsidRDefault="005100CC" w:rsidP="00892FEB">
            <w:pPr>
              <w:rPr>
                <w:rFonts w:cs="Segoe UI"/>
              </w:rPr>
            </w:pPr>
            <w:r w:rsidRPr="00CE60B2">
              <w:rPr>
                <w:rFonts w:cs="Segoe UI"/>
              </w:rPr>
              <w:t>1.3a</w:t>
            </w:r>
          </w:p>
          <w:p w14:paraId="26ABD7AF" w14:textId="77777777" w:rsidR="005100CC" w:rsidRPr="00CE60B2" w:rsidRDefault="005100CC" w:rsidP="00892FEB">
            <w:pPr>
              <w:rPr>
                <w:rFonts w:cs="Segoe UI"/>
              </w:rPr>
            </w:pPr>
            <w:r w:rsidRPr="00CE60B2">
              <w:rPr>
                <w:rFonts w:cs="Segoe UI"/>
              </w:rPr>
              <w:t>1.3b</w:t>
            </w:r>
          </w:p>
        </w:tc>
      </w:tr>
    </w:tbl>
    <w:p w14:paraId="26ABD7B1" w14:textId="77777777" w:rsidR="005100CC" w:rsidRPr="00CE60B2" w:rsidRDefault="005100CC" w:rsidP="005100CC">
      <w:pPr>
        <w:rPr>
          <w:rFonts w:cs="Segoe UI"/>
        </w:rPr>
      </w:pPr>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7B6" w14:textId="77777777" w:rsidTr="00820139">
        <w:trPr>
          <w:cnfStyle w:val="000000010000" w:firstRow="0" w:lastRow="0" w:firstColumn="0" w:lastColumn="0" w:oddVBand="0" w:evenVBand="0" w:oddHBand="0" w:evenHBand="1" w:firstRowFirstColumn="0" w:firstRowLastColumn="0" w:lastRowFirstColumn="0" w:lastRowLastColumn="0"/>
          <w:tblHeader/>
        </w:trPr>
        <w:tc>
          <w:tcPr>
            <w:tcW w:w="1440" w:type="dxa"/>
            <w:shd w:val="clear" w:color="auto" w:fill="DFEFE1" w:themeFill="accent3" w:themeFillTint="66"/>
          </w:tcPr>
          <w:p w14:paraId="26ABD7B2" w14:textId="77777777" w:rsidR="005100CC" w:rsidRPr="00CE60B2" w:rsidRDefault="005100CC" w:rsidP="00892FEB">
            <w:pPr>
              <w:rPr>
                <w:rFonts w:cs="Segoe UI"/>
                <w:b/>
              </w:rPr>
            </w:pPr>
            <w:r w:rsidRPr="00CE60B2">
              <w:rPr>
                <w:rFonts w:cs="Segoe UI"/>
                <w:b/>
              </w:rPr>
              <w:t xml:space="preserve">Australia's criteria and indicators </w:t>
            </w:r>
            <w:r w:rsidRPr="00CE60B2">
              <w:rPr>
                <w:rFonts w:cs="Segoe UI"/>
                <w:b/>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7B3" w14:textId="77777777" w:rsidR="005100CC" w:rsidRPr="00CE60B2" w:rsidRDefault="005100CC" w:rsidP="00892FEB">
            <w:pPr>
              <w:rPr>
                <w:rFonts w:cs="Segoe UI"/>
                <w:b/>
              </w:rPr>
            </w:pPr>
            <w:r w:rsidRPr="00CE60B2">
              <w:rPr>
                <w:rFonts w:cs="Segoe UI"/>
                <w:b/>
              </w:rPr>
              <w:t xml:space="preserve">Australia's criteria and indicators </w:t>
            </w:r>
            <w:r w:rsidRPr="00CE60B2">
              <w:rPr>
                <w:rFonts w:cs="Segoe UI"/>
                <w:b/>
              </w:rPr>
              <w:br/>
              <w:t>Indicator name</w:t>
            </w:r>
          </w:p>
        </w:tc>
        <w:tc>
          <w:tcPr>
            <w:tcW w:w="1350" w:type="dxa"/>
            <w:shd w:val="clear" w:color="auto" w:fill="DFEFE1" w:themeFill="accent3" w:themeFillTint="66"/>
          </w:tcPr>
          <w:p w14:paraId="26ABD7B4" w14:textId="77777777" w:rsidR="005100CC" w:rsidRPr="00CE60B2" w:rsidRDefault="00A515C1" w:rsidP="00892FEB">
            <w:pPr>
              <w:cnfStyle w:val="000000010000" w:firstRow="0" w:lastRow="0" w:firstColumn="0" w:lastColumn="0" w:oddVBand="0" w:evenVBand="0" w:oddHBand="0" w:evenHBand="1" w:firstRowFirstColumn="0" w:firstRowLastColumn="0" w:lastRowFirstColumn="0" w:lastRowLastColumn="0"/>
              <w:rPr>
                <w:rFonts w:cs="Segoe UI"/>
                <w:b/>
              </w:rPr>
            </w:pPr>
            <w:r w:rsidRPr="00CE60B2">
              <w:rPr>
                <w:rFonts w:cs="Segoe UI"/>
                <w:b/>
              </w:rPr>
              <w:t>Montréal</w:t>
            </w:r>
            <w:r w:rsidR="005100CC" w:rsidRPr="00CE60B2">
              <w:rPr>
                <w:rFonts w:cs="Segoe UI"/>
                <w:b/>
              </w:rPr>
              <w:t xml:space="preserve"> Process indicator(s) with which each Australian indicator aligns</w:t>
            </w:r>
            <w:r w:rsidR="005100CC" w:rsidRPr="00CE60B2">
              <w:rPr>
                <w:rFonts w:cs="Segoe UI"/>
                <w:b/>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7B5" w14:textId="77777777" w:rsidR="005100CC" w:rsidRPr="00CE60B2" w:rsidRDefault="00A515C1" w:rsidP="00892FEB">
            <w:pPr>
              <w:rPr>
                <w:rFonts w:cs="Segoe UI"/>
                <w:b/>
              </w:rPr>
            </w:pPr>
            <w:r w:rsidRPr="00CE60B2">
              <w:rPr>
                <w:rFonts w:cs="Segoe UI"/>
                <w:b/>
              </w:rPr>
              <w:t>Montréal</w:t>
            </w:r>
            <w:r w:rsidR="005100CC" w:rsidRPr="00CE60B2">
              <w:rPr>
                <w:rFonts w:cs="Segoe UI"/>
                <w:b/>
              </w:rPr>
              <w:t xml:space="preserve"> Process indicator(s) with which each Australian indicator aligns</w:t>
            </w:r>
            <w:r w:rsidR="005100CC" w:rsidRPr="00CE60B2">
              <w:rPr>
                <w:rFonts w:cs="Segoe UI"/>
                <w:b/>
              </w:rPr>
              <w:br/>
              <w:t>Partial alignment</w:t>
            </w:r>
          </w:p>
        </w:tc>
      </w:tr>
      <w:tr w:rsidR="005100CC" w:rsidRPr="00CE60B2" w14:paraId="26ABD7BB"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B7" w14:textId="77777777" w:rsidR="005100CC" w:rsidRPr="00CE60B2" w:rsidRDefault="005100CC" w:rsidP="00892FEB">
            <w:pPr>
              <w:rPr>
                <w:rFonts w:cs="Segoe UI"/>
              </w:rPr>
            </w:pPr>
            <w:r w:rsidRPr="00CE60B2">
              <w:rPr>
                <w:rFonts w:cs="Segoe UI"/>
              </w:rPr>
              <w:t>1.1</w:t>
            </w:r>
          </w:p>
        </w:tc>
        <w:tc>
          <w:tcPr>
            <w:cnfStyle w:val="000001000000" w:firstRow="0" w:lastRow="0" w:firstColumn="0" w:lastColumn="0" w:oddVBand="0" w:evenVBand="1" w:oddHBand="0" w:evenHBand="0" w:firstRowFirstColumn="0" w:firstRowLastColumn="0" w:lastRowFirstColumn="0" w:lastRowLastColumn="0"/>
            <w:tcW w:w="4860" w:type="dxa"/>
          </w:tcPr>
          <w:p w14:paraId="26ABD7B8" w14:textId="77777777" w:rsidR="005100CC" w:rsidRPr="00CE60B2" w:rsidRDefault="005100CC" w:rsidP="00892FEB">
            <w:pPr>
              <w:rPr>
                <w:rFonts w:cs="Segoe UI"/>
              </w:rPr>
            </w:pPr>
            <w:r w:rsidRPr="00CE60B2">
              <w:rPr>
                <w:rFonts w:cs="Segoe UI"/>
              </w:rPr>
              <w:t>Ecosystem diversity</w:t>
            </w:r>
          </w:p>
        </w:tc>
        <w:tc>
          <w:tcPr>
            <w:tcW w:w="1350" w:type="dxa"/>
          </w:tcPr>
          <w:p w14:paraId="26ABD7B9"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BA" w14:textId="77777777" w:rsidR="005100CC" w:rsidRPr="00CE60B2" w:rsidRDefault="005100CC" w:rsidP="00892FEB">
            <w:pPr>
              <w:rPr>
                <w:rFonts w:cs="Segoe UI"/>
              </w:rPr>
            </w:pPr>
            <w:r w:rsidRPr="00CE60B2">
              <w:rPr>
                <w:rFonts w:cs="Segoe UI"/>
              </w:rPr>
              <w:t>—</w:t>
            </w:r>
          </w:p>
        </w:tc>
      </w:tr>
      <w:tr w:rsidR="005100CC" w:rsidRPr="00CE60B2" w14:paraId="26ABD7C0"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BC" w14:textId="77777777" w:rsidR="005100CC" w:rsidRPr="00CE60B2" w:rsidRDefault="005100CC" w:rsidP="00892FEB">
            <w:pPr>
              <w:rPr>
                <w:rFonts w:cs="Segoe UI"/>
              </w:rPr>
            </w:pPr>
            <w:r w:rsidRPr="00CE60B2">
              <w:rPr>
                <w:rFonts w:cs="Segoe UI"/>
              </w:rPr>
              <w:t>1.1a</w:t>
            </w:r>
          </w:p>
        </w:tc>
        <w:tc>
          <w:tcPr>
            <w:cnfStyle w:val="000001000000" w:firstRow="0" w:lastRow="0" w:firstColumn="0" w:lastColumn="0" w:oddVBand="0" w:evenVBand="1" w:oddHBand="0" w:evenHBand="0" w:firstRowFirstColumn="0" w:firstRowLastColumn="0" w:lastRowFirstColumn="0" w:lastRowLastColumn="0"/>
            <w:tcW w:w="4860" w:type="dxa"/>
          </w:tcPr>
          <w:p w14:paraId="26ABD7BD" w14:textId="77777777" w:rsidR="005100CC" w:rsidRPr="00CE60B2" w:rsidRDefault="005100CC" w:rsidP="00892FEB">
            <w:pPr>
              <w:rPr>
                <w:rFonts w:cs="Segoe UI"/>
              </w:rPr>
            </w:pPr>
            <w:r w:rsidRPr="00CE60B2">
              <w:rPr>
                <w:rFonts w:cs="Segoe UI"/>
              </w:rPr>
              <w:t>Area of forest by forest type and tenure</w:t>
            </w:r>
          </w:p>
        </w:tc>
        <w:tc>
          <w:tcPr>
            <w:tcW w:w="1350" w:type="dxa"/>
          </w:tcPr>
          <w:p w14:paraId="26ABD7BE" w14:textId="0D3627A3"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1.1a</w:t>
            </w:r>
          </w:p>
        </w:tc>
        <w:tc>
          <w:tcPr>
            <w:cnfStyle w:val="000001000000" w:firstRow="0" w:lastRow="0" w:firstColumn="0" w:lastColumn="0" w:oddVBand="0" w:evenVBand="1" w:oddHBand="0" w:evenHBand="0" w:firstRowFirstColumn="0" w:firstRowLastColumn="0" w:lastRowFirstColumn="0" w:lastRowLastColumn="0"/>
            <w:tcW w:w="1350" w:type="dxa"/>
          </w:tcPr>
          <w:p w14:paraId="26ABD7BF" w14:textId="77777777" w:rsidR="005100CC" w:rsidRPr="00CE60B2" w:rsidRDefault="005100CC" w:rsidP="00892FEB">
            <w:pPr>
              <w:rPr>
                <w:rFonts w:cs="Segoe UI"/>
              </w:rPr>
            </w:pPr>
            <w:r w:rsidRPr="00CE60B2">
              <w:rPr>
                <w:rFonts w:cs="Segoe UI"/>
              </w:rPr>
              <w:t>—</w:t>
            </w:r>
          </w:p>
        </w:tc>
      </w:tr>
      <w:tr w:rsidR="005100CC" w:rsidRPr="00CE60B2" w14:paraId="26ABD7C6"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C1" w14:textId="77777777" w:rsidR="005100CC" w:rsidRPr="00CE60B2" w:rsidRDefault="005100CC" w:rsidP="00892FEB">
            <w:pPr>
              <w:rPr>
                <w:rFonts w:cs="Segoe UI"/>
              </w:rPr>
            </w:pPr>
            <w:r w:rsidRPr="00CE60B2">
              <w:rPr>
                <w:rFonts w:cs="Segoe UI"/>
              </w:rPr>
              <w:t>1.1b</w:t>
            </w:r>
          </w:p>
        </w:tc>
        <w:tc>
          <w:tcPr>
            <w:cnfStyle w:val="000001000000" w:firstRow="0" w:lastRow="0" w:firstColumn="0" w:lastColumn="0" w:oddVBand="0" w:evenVBand="1" w:oddHBand="0" w:evenHBand="0" w:firstRowFirstColumn="0" w:firstRowLastColumn="0" w:lastRowFirstColumn="0" w:lastRowLastColumn="0"/>
            <w:tcW w:w="4860" w:type="dxa"/>
          </w:tcPr>
          <w:p w14:paraId="26ABD7C2" w14:textId="77777777" w:rsidR="005100CC" w:rsidRPr="00CE60B2" w:rsidRDefault="005100CC" w:rsidP="00892FEB">
            <w:pPr>
              <w:rPr>
                <w:rFonts w:cs="Segoe UI"/>
              </w:rPr>
            </w:pPr>
            <w:r w:rsidRPr="00CE60B2">
              <w:rPr>
                <w:rFonts w:cs="Segoe UI"/>
              </w:rPr>
              <w:t>Area of forest by growth stage</w:t>
            </w:r>
          </w:p>
        </w:tc>
        <w:tc>
          <w:tcPr>
            <w:tcW w:w="1350" w:type="dxa"/>
          </w:tcPr>
          <w:p w14:paraId="26ABD7C3"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C4" w14:textId="5874C815" w:rsidR="005100CC" w:rsidRPr="00CE60B2" w:rsidRDefault="005100CC" w:rsidP="00892FEB">
            <w:pPr>
              <w:rPr>
                <w:rFonts w:cs="Segoe UI"/>
              </w:rPr>
            </w:pPr>
            <w:r w:rsidRPr="00CE60B2">
              <w:rPr>
                <w:rFonts w:cs="Segoe UI"/>
              </w:rPr>
              <w:t>1.1a</w:t>
            </w:r>
          </w:p>
          <w:p w14:paraId="26ABD7C5" w14:textId="743E857B" w:rsidR="005100CC" w:rsidRPr="00CE60B2" w:rsidRDefault="005100CC" w:rsidP="00892FEB">
            <w:pPr>
              <w:rPr>
                <w:rFonts w:cs="Segoe UI"/>
              </w:rPr>
            </w:pPr>
            <w:r w:rsidRPr="00CE60B2">
              <w:rPr>
                <w:rFonts w:cs="Segoe UI"/>
              </w:rPr>
              <w:t>1.1b</w:t>
            </w:r>
          </w:p>
        </w:tc>
      </w:tr>
      <w:tr w:rsidR="005100CC" w:rsidRPr="00CE60B2" w14:paraId="26ABD7CB"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C7" w14:textId="77777777" w:rsidR="005100CC" w:rsidRPr="00CE60B2" w:rsidRDefault="005100CC" w:rsidP="00892FEB">
            <w:pPr>
              <w:rPr>
                <w:rFonts w:cs="Segoe UI"/>
              </w:rPr>
            </w:pPr>
            <w:r w:rsidRPr="00CE60B2">
              <w:rPr>
                <w:rFonts w:cs="Segoe UI"/>
              </w:rPr>
              <w:t>1.1c</w:t>
            </w:r>
          </w:p>
        </w:tc>
        <w:tc>
          <w:tcPr>
            <w:cnfStyle w:val="000001000000" w:firstRow="0" w:lastRow="0" w:firstColumn="0" w:lastColumn="0" w:oddVBand="0" w:evenVBand="1" w:oddHBand="0" w:evenHBand="0" w:firstRowFirstColumn="0" w:firstRowLastColumn="0" w:lastRowFirstColumn="0" w:lastRowLastColumn="0"/>
            <w:tcW w:w="4860" w:type="dxa"/>
          </w:tcPr>
          <w:p w14:paraId="26ABD7C8" w14:textId="77777777" w:rsidR="005100CC" w:rsidRPr="00CE60B2" w:rsidRDefault="005100CC" w:rsidP="00892FEB">
            <w:pPr>
              <w:rPr>
                <w:rFonts w:cs="Segoe UI"/>
              </w:rPr>
            </w:pPr>
            <w:r w:rsidRPr="00CE60B2">
              <w:rPr>
                <w:rFonts w:cs="Segoe UI"/>
              </w:rPr>
              <w:t>Area of forest in protected area categories</w:t>
            </w:r>
          </w:p>
        </w:tc>
        <w:tc>
          <w:tcPr>
            <w:tcW w:w="1350" w:type="dxa"/>
          </w:tcPr>
          <w:p w14:paraId="26ABD7C9" w14:textId="2FB1293D"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1.1b</w:t>
            </w:r>
          </w:p>
        </w:tc>
        <w:tc>
          <w:tcPr>
            <w:cnfStyle w:val="000001000000" w:firstRow="0" w:lastRow="0" w:firstColumn="0" w:lastColumn="0" w:oddVBand="0" w:evenVBand="1" w:oddHBand="0" w:evenHBand="0" w:firstRowFirstColumn="0" w:firstRowLastColumn="0" w:lastRowFirstColumn="0" w:lastRowLastColumn="0"/>
            <w:tcW w:w="1350" w:type="dxa"/>
          </w:tcPr>
          <w:p w14:paraId="26ABD7CA" w14:textId="77777777" w:rsidR="005100CC" w:rsidRPr="00CE60B2" w:rsidRDefault="005100CC" w:rsidP="00892FEB">
            <w:pPr>
              <w:rPr>
                <w:rFonts w:cs="Segoe UI"/>
              </w:rPr>
            </w:pPr>
            <w:r w:rsidRPr="00CE60B2">
              <w:rPr>
                <w:rFonts w:cs="Segoe UI"/>
              </w:rPr>
              <w:t>—</w:t>
            </w:r>
          </w:p>
        </w:tc>
      </w:tr>
      <w:tr w:rsidR="005100CC" w:rsidRPr="00CE60B2" w14:paraId="26ABD7D0"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CC" w14:textId="77777777" w:rsidR="005100CC" w:rsidRPr="00CE60B2" w:rsidRDefault="005100CC" w:rsidP="00892FEB">
            <w:pPr>
              <w:rPr>
                <w:rFonts w:cs="Segoe UI"/>
              </w:rPr>
            </w:pPr>
            <w:r w:rsidRPr="00CE60B2">
              <w:rPr>
                <w:rFonts w:cs="Segoe UI"/>
              </w:rPr>
              <w:t>1.1d</w:t>
            </w:r>
          </w:p>
        </w:tc>
        <w:tc>
          <w:tcPr>
            <w:cnfStyle w:val="000001000000" w:firstRow="0" w:lastRow="0" w:firstColumn="0" w:lastColumn="0" w:oddVBand="0" w:evenVBand="1" w:oddHBand="0" w:evenHBand="0" w:firstRowFirstColumn="0" w:firstRowLastColumn="0" w:lastRowFirstColumn="0" w:lastRowLastColumn="0"/>
            <w:tcW w:w="4860" w:type="dxa"/>
          </w:tcPr>
          <w:p w14:paraId="26ABD7CD" w14:textId="77777777" w:rsidR="005100CC" w:rsidRPr="00CE60B2" w:rsidRDefault="005100CC" w:rsidP="00892FEB">
            <w:pPr>
              <w:rPr>
                <w:rFonts w:cs="Segoe UI"/>
              </w:rPr>
            </w:pPr>
            <w:r w:rsidRPr="00CE60B2">
              <w:rPr>
                <w:rFonts w:cs="Segoe UI"/>
              </w:rPr>
              <w:t>Fragmentation of forest cover</w:t>
            </w:r>
          </w:p>
        </w:tc>
        <w:tc>
          <w:tcPr>
            <w:tcW w:w="1350" w:type="dxa"/>
          </w:tcPr>
          <w:p w14:paraId="26ABD7CE" w14:textId="66917473"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1.1c</w:t>
            </w:r>
          </w:p>
        </w:tc>
        <w:tc>
          <w:tcPr>
            <w:cnfStyle w:val="000001000000" w:firstRow="0" w:lastRow="0" w:firstColumn="0" w:lastColumn="0" w:oddVBand="0" w:evenVBand="1" w:oddHBand="0" w:evenHBand="0" w:firstRowFirstColumn="0" w:firstRowLastColumn="0" w:lastRowFirstColumn="0" w:lastRowLastColumn="0"/>
            <w:tcW w:w="1350" w:type="dxa"/>
          </w:tcPr>
          <w:p w14:paraId="26ABD7CF" w14:textId="77777777" w:rsidR="005100CC" w:rsidRPr="00CE60B2" w:rsidRDefault="005100CC" w:rsidP="00892FEB">
            <w:pPr>
              <w:rPr>
                <w:rFonts w:cs="Segoe UI"/>
              </w:rPr>
            </w:pPr>
            <w:r w:rsidRPr="00CE60B2">
              <w:rPr>
                <w:rFonts w:cs="Segoe UI"/>
              </w:rPr>
              <w:t>—</w:t>
            </w:r>
          </w:p>
        </w:tc>
      </w:tr>
      <w:tr w:rsidR="005100CC" w:rsidRPr="00CE60B2" w14:paraId="26ABD7D5"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D1" w14:textId="77777777" w:rsidR="005100CC" w:rsidRPr="00CE60B2" w:rsidRDefault="005100CC" w:rsidP="00892FEB">
            <w:pPr>
              <w:rPr>
                <w:rFonts w:cs="Segoe UI"/>
              </w:rPr>
            </w:pPr>
            <w:r w:rsidRPr="00CE60B2">
              <w:rPr>
                <w:rFonts w:cs="Segoe UI"/>
              </w:rPr>
              <w:t>1.2</w:t>
            </w:r>
          </w:p>
        </w:tc>
        <w:tc>
          <w:tcPr>
            <w:cnfStyle w:val="000001000000" w:firstRow="0" w:lastRow="0" w:firstColumn="0" w:lastColumn="0" w:oddVBand="0" w:evenVBand="1" w:oddHBand="0" w:evenHBand="0" w:firstRowFirstColumn="0" w:firstRowLastColumn="0" w:lastRowFirstColumn="0" w:lastRowLastColumn="0"/>
            <w:tcW w:w="4860" w:type="dxa"/>
          </w:tcPr>
          <w:p w14:paraId="26ABD7D2" w14:textId="77777777" w:rsidR="005100CC" w:rsidRPr="00CE60B2" w:rsidRDefault="005100CC" w:rsidP="00892FEB">
            <w:pPr>
              <w:rPr>
                <w:rFonts w:cs="Segoe UI"/>
              </w:rPr>
            </w:pPr>
            <w:r w:rsidRPr="00CE60B2">
              <w:rPr>
                <w:rFonts w:cs="Segoe UI"/>
              </w:rPr>
              <w:t>Species diversity</w:t>
            </w:r>
          </w:p>
        </w:tc>
        <w:tc>
          <w:tcPr>
            <w:tcW w:w="1350" w:type="dxa"/>
          </w:tcPr>
          <w:p w14:paraId="26ABD7D3"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D4" w14:textId="77777777" w:rsidR="005100CC" w:rsidRPr="00CE60B2" w:rsidRDefault="005100CC" w:rsidP="00892FEB">
            <w:pPr>
              <w:rPr>
                <w:rFonts w:cs="Segoe UI"/>
              </w:rPr>
            </w:pPr>
            <w:r w:rsidRPr="00CE60B2">
              <w:rPr>
                <w:rFonts w:cs="Segoe UI"/>
              </w:rPr>
              <w:t>—</w:t>
            </w:r>
          </w:p>
        </w:tc>
      </w:tr>
      <w:tr w:rsidR="005100CC" w:rsidRPr="00CE60B2" w14:paraId="26ABD7DA"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D6" w14:textId="77777777" w:rsidR="005100CC" w:rsidRPr="00CE60B2" w:rsidRDefault="005100CC" w:rsidP="00892FEB">
            <w:pPr>
              <w:rPr>
                <w:rFonts w:cs="Segoe UI"/>
              </w:rPr>
            </w:pPr>
            <w:r w:rsidRPr="00CE60B2">
              <w:rPr>
                <w:rFonts w:cs="Segoe UI"/>
              </w:rPr>
              <w:t>1.2a</w:t>
            </w:r>
          </w:p>
        </w:tc>
        <w:tc>
          <w:tcPr>
            <w:cnfStyle w:val="000001000000" w:firstRow="0" w:lastRow="0" w:firstColumn="0" w:lastColumn="0" w:oddVBand="0" w:evenVBand="1" w:oddHBand="0" w:evenHBand="0" w:firstRowFirstColumn="0" w:firstRowLastColumn="0" w:lastRowFirstColumn="0" w:lastRowLastColumn="0"/>
            <w:tcW w:w="4860" w:type="dxa"/>
          </w:tcPr>
          <w:p w14:paraId="26ABD7D7" w14:textId="77777777" w:rsidR="005100CC" w:rsidRPr="00CE60B2" w:rsidRDefault="005100CC" w:rsidP="00892FEB">
            <w:pPr>
              <w:rPr>
                <w:rFonts w:cs="Segoe UI"/>
              </w:rPr>
            </w:pPr>
            <w:r w:rsidRPr="00CE60B2">
              <w:rPr>
                <w:rFonts w:cs="Segoe UI"/>
              </w:rPr>
              <w:t>Forest dwelling species for which ecological information is available</w:t>
            </w:r>
          </w:p>
        </w:tc>
        <w:tc>
          <w:tcPr>
            <w:tcW w:w="1350" w:type="dxa"/>
          </w:tcPr>
          <w:p w14:paraId="26ABD7D8"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D9" w14:textId="68A878A8" w:rsidR="005100CC" w:rsidRPr="00CE60B2" w:rsidRDefault="005100CC" w:rsidP="00892FEB">
            <w:pPr>
              <w:rPr>
                <w:rFonts w:cs="Segoe UI"/>
              </w:rPr>
            </w:pPr>
            <w:r w:rsidRPr="00CE60B2">
              <w:rPr>
                <w:rFonts w:cs="Segoe UI"/>
              </w:rPr>
              <w:t>1.2a</w:t>
            </w:r>
          </w:p>
        </w:tc>
      </w:tr>
      <w:tr w:rsidR="005100CC" w:rsidRPr="00CE60B2" w14:paraId="26ABD7DF"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DB" w14:textId="77777777" w:rsidR="005100CC" w:rsidRPr="00CE60B2" w:rsidRDefault="005100CC" w:rsidP="00892FEB">
            <w:pPr>
              <w:rPr>
                <w:rFonts w:cs="Segoe UI"/>
              </w:rPr>
            </w:pPr>
            <w:r w:rsidRPr="00CE60B2">
              <w:rPr>
                <w:rFonts w:cs="Segoe UI"/>
              </w:rPr>
              <w:lastRenderedPageBreak/>
              <w:t>1.2b</w:t>
            </w:r>
          </w:p>
        </w:tc>
        <w:tc>
          <w:tcPr>
            <w:cnfStyle w:val="000001000000" w:firstRow="0" w:lastRow="0" w:firstColumn="0" w:lastColumn="0" w:oddVBand="0" w:evenVBand="1" w:oddHBand="0" w:evenHBand="0" w:firstRowFirstColumn="0" w:firstRowLastColumn="0" w:lastRowFirstColumn="0" w:lastRowLastColumn="0"/>
            <w:tcW w:w="4860" w:type="dxa"/>
          </w:tcPr>
          <w:p w14:paraId="26ABD7DC" w14:textId="77777777" w:rsidR="005100CC" w:rsidRPr="00CE60B2" w:rsidRDefault="005100CC" w:rsidP="00892FEB">
            <w:pPr>
              <w:rPr>
                <w:rFonts w:cs="Segoe UI"/>
              </w:rPr>
            </w:pPr>
            <w:r w:rsidRPr="00CE60B2">
              <w:rPr>
                <w:rFonts w:cs="Segoe UI"/>
              </w:rPr>
              <w:t>The status of forest dwelling species at risk of not maintaining viable breeding populations, as determined by legislation or scientific assessment</w:t>
            </w:r>
          </w:p>
        </w:tc>
        <w:tc>
          <w:tcPr>
            <w:tcW w:w="1350" w:type="dxa"/>
          </w:tcPr>
          <w:p w14:paraId="26ABD7DD" w14:textId="1103C590"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1.2b</w:t>
            </w:r>
          </w:p>
        </w:tc>
        <w:tc>
          <w:tcPr>
            <w:cnfStyle w:val="000001000000" w:firstRow="0" w:lastRow="0" w:firstColumn="0" w:lastColumn="0" w:oddVBand="0" w:evenVBand="1" w:oddHBand="0" w:evenHBand="0" w:firstRowFirstColumn="0" w:firstRowLastColumn="0" w:lastRowFirstColumn="0" w:lastRowLastColumn="0"/>
            <w:tcW w:w="1350" w:type="dxa"/>
          </w:tcPr>
          <w:p w14:paraId="26ABD7DE" w14:textId="77777777" w:rsidR="005100CC" w:rsidRPr="00CE60B2" w:rsidRDefault="005100CC" w:rsidP="00892FEB">
            <w:pPr>
              <w:rPr>
                <w:rFonts w:cs="Segoe UI"/>
              </w:rPr>
            </w:pPr>
            <w:r w:rsidRPr="00CE60B2">
              <w:rPr>
                <w:rFonts w:cs="Segoe UI"/>
              </w:rPr>
              <w:t>—</w:t>
            </w:r>
          </w:p>
        </w:tc>
      </w:tr>
      <w:tr w:rsidR="005100CC" w:rsidRPr="00CE60B2" w14:paraId="26ABD7E4"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E0" w14:textId="77777777" w:rsidR="005100CC" w:rsidRPr="00CE60B2" w:rsidRDefault="005100CC" w:rsidP="00892FEB">
            <w:pPr>
              <w:rPr>
                <w:rFonts w:cs="Segoe UI"/>
              </w:rPr>
            </w:pPr>
            <w:r w:rsidRPr="00CE60B2">
              <w:rPr>
                <w:rFonts w:cs="Segoe UI"/>
              </w:rPr>
              <w:t>1.2c</w:t>
            </w:r>
          </w:p>
        </w:tc>
        <w:tc>
          <w:tcPr>
            <w:cnfStyle w:val="000001000000" w:firstRow="0" w:lastRow="0" w:firstColumn="0" w:lastColumn="0" w:oddVBand="0" w:evenVBand="1" w:oddHBand="0" w:evenHBand="0" w:firstRowFirstColumn="0" w:firstRowLastColumn="0" w:lastRowFirstColumn="0" w:lastRowLastColumn="0"/>
            <w:tcW w:w="4860" w:type="dxa"/>
          </w:tcPr>
          <w:p w14:paraId="26ABD7E1" w14:textId="77777777" w:rsidR="005100CC" w:rsidRPr="00CE60B2" w:rsidRDefault="005100CC" w:rsidP="00892FEB">
            <w:pPr>
              <w:rPr>
                <w:rFonts w:cs="Segoe UI"/>
              </w:rPr>
            </w:pPr>
            <w:r w:rsidRPr="00CE60B2">
              <w:rPr>
                <w:rFonts w:cs="Segoe UI"/>
              </w:rPr>
              <w:t>Representative species from a range of habitats monitored at scales relevant to regional forest management</w:t>
            </w:r>
          </w:p>
        </w:tc>
        <w:tc>
          <w:tcPr>
            <w:tcW w:w="1350" w:type="dxa"/>
          </w:tcPr>
          <w:p w14:paraId="26ABD7E2"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E3" w14:textId="3DA14B2A" w:rsidR="005100CC" w:rsidRPr="00CE60B2" w:rsidRDefault="005100CC" w:rsidP="00892FEB">
            <w:pPr>
              <w:rPr>
                <w:rFonts w:cs="Segoe UI"/>
              </w:rPr>
            </w:pPr>
            <w:r w:rsidRPr="00CE60B2">
              <w:rPr>
                <w:rFonts w:cs="Segoe UI"/>
              </w:rPr>
              <w:t>1.3b</w:t>
            </w:r>
          </w:p>
        </w:tc>
      </w:tr>
      <w:tr w:rsidR="005100CC" w:rsidRPr="00CE60B2" w14:paraId="26ABD7E9"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E5" w14:textId="77777777" w:rsidR="005100CC" w:rsidRPr="00CE60B2" w:rsidRDefault="005100CC" w:rsidP="00892FEB">
            <w:pPr>
              <w:rPr>
                <w:rFonts w:cs="Segoe UI"/>
              </w:rPr>
            </w:pPr>
            <w:r w:rsidRPr="00CE60B2">
              <w:rPr>
                <w:rFonts w:cs="Segoe UI"/>
              </w:rPr>
              <w:t>1.3</w:t>
            </w:r>
          </w:p>
        </w:tc>
        <w:tc>
          <w:tcPr>
            <w:cnfStyle w:val="000001000000" w:firstRow="0" w:lastRow="0" w:firstColumn="0" w:lastColumn="0" w:oddVBand="0" w:evenVBand="1" w:oddHBand="0" w:evenHBand="0" w:firstRowFirstColumn="0" w:firstRowLastColumn="0" w:lastRowFirstColumn="0" w:lastRowLastColumn="0"/>
            <w:tcW w:w="4860" w:type="dxa"/>
          </w:tcPr>
          <w:p w14:paraId="26ABD7E6" w14:textId="77777777" w:rsidR="005100CC" w:rsidRPr="00CE60B2" w:rsidRDefault="005100CC" w:rsidP="00892FEB">
            <w:pPr>
              <w:rPr>
                <w:rFonts w:cs="Segoe UI"/>
              </w:rPr>
            </w:pPr>
            <w:r w:rsidRPr="00CE60B2">
              <w:rPr>
                <w:rFonts w:cs="Segoe UI"/>
              </w:rPr>
              <w:t>Genetic diversity</w:t>
            </w:r>
          </w:p>
        </w:tc>
        <w:tc>
          <w:tcPr>
            <w:tcW w:w="1350" w:type="dxa"/>
          </w:tcPr>
          <w:p w14:paraId="26ABD7E7"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E8" w14:textId="77777777" w:rsidR="005100CC" w:rsidRPr="00CE60B2" w:rsidRDefault="005100CC" w:rsidP="00892FEB">
            <w:pPr>
              <w:rPr>
                <w:rFonts w:cs="Segoe UI"/>
              </w:rPr>
            </w:pPr>
            <w:r w:rsidRPr="00CE60B2">
              <w:rPr>
                <w:rFonts w:cs="Segoe UI"/>
              </w:rPr>
              <w:t>—</w:t>
            </w:r>
          </w:p>
        </w:tc>
      </w:tr>
      <w:tr w:rsidR="005100CC" w:rsidRPr="00CE60B2" w14:paraId="26ABD7EE"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EA" w14:textId="77777777" w:rsidR="005100CC" w:rsidRPr="00CE60B2" w:rsidRDefault="005100CC" w:rsidP="00892FEB">
            <w:pPr>
              <w:rPr>
                <w:rFonts w:cs="Segoe UI"/>
              </w:rPr>
            </w:pPr>
            <w:r w:rsidRPr="00CE60B2">
              <w:rPr>
                <w:rFonts w:cs="Segoe UI"/>
              </w:rPr>
              <w:t>1.3a</w:t>
            </w:r>
          </w:p>
        </w:tc>
        <w:tc>
          <w:tcPr>
            <w:cnfStyle w:val="000001000000" w:firstRow="0" w:lastRow="0" w:firstColumn="0" w:lastColumn="0" w:oddVBand="0" w:evenVBand="1" w:oddHBand="0" w:evenHBand="0" w:firstRowFirstColumn="0" w:firstRowLastColumn="0" w:lastRowFirstColumn="0" w:lastRowLastColumn="0"/>
            <w:tcW w:w="4860" w:type="dxa"/>
          </w:tcPr>
          <w:p w14:paraId="26ABD7EB" w14:textId="77777777" w:rsidR="005100CC" w:rsidRPr="00CE60B2" w:rsidRDefault="005100CC" w:rsidP="00892FEB">
            <w:pPr>
              <w:rPr>
                <w:rFonts w:cs="Segoe UI"/>
              </w:rPr>
            </w:pPr>
            <w:r w:rsidRPr="00CE60B2">
              <w:rPr>
                <w:rFonts w:cs="Segoe UI"/>
              </w:rPr>
              <w:t>Forest associated species at risk from isolation and the loss of genetic variation, and conservation efforts for those species</w:t>
            </w:r>
          </w:p>
        </w:tc>
        <w:tc>
          <w:tcPr>
            <w:tcW w:w="1350" w:type="dxa"/>
          </w:tcPr>
          <w:p w14:paraId="26ABD7EC" w14:textId="0EFC3476"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1.3a</w:t>
            </w:r>
          </w:p>
        </w:tc>
        <w:tc>
          <w:tcPr>
            <w:cnfStyle w:val="000001000000" w:firstRow="0" w:lastRow="0" w:firstColumn="0" w:lastColumn="0" w:oddVBand="0" w:evenVBand="1" w:oddHBand="0" w:evenHBand="0" w:firstRowFirstColumn="0" w:firstRowLastColumn="0" w:lastRowFirstColumn="0" w:lastRowLastColumn="0"/>
            <w:tcW w:w="1350" w:type="dxa"/>
          </w:tcPr>
          <w:p w14:paraId="26ABD7ED" w14:textId="77777777" w:rsidR="005100CC" w:rsidRPr="00CE60B2" w:rsidRDefault="005100CC" w:rsidP="00892FEB">
            <w:pPr>
              <w:rPr>
                <w:rFonts w:cs="Segoe UI"/>
              </w:rPr>
            </w:pPr>
            <w:r w:rsidRPr="00CE60B2">
              <w:rPr>
                <w:rFonts w:cs="Segoe UI"/>
              </w:rPr>
              <w:t>1.3.c</w:t>
            </w:r>
          </w:p>
        </w:tc>
      </w:tr>
      <w:tr w:rsidR="005100CC" w:rsidRPr="00CE60B2" w14:paraId="26ABD7F3"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EF" w14:textId="77777777" w:rsidR="005100CC" w:rsidRPr="00CE60B2" w:rsidRDefault="005100CC" w:rsidP="00892FEB">
            <w:pPr>
              <w:rPr>
                <w:rFonts w:cs="Segoe UI"/>
              </w:rPr>
            </w:pPr>
            <w:r w:rsidRPr="00CE60B2">
              <w:rPr>
                <w:rFonts w:cs="Segoe UI"/>
              </w:rPr>
              <w:t>1.3b</w:t>
            </w:r>
          </w:p>
        </w:tc>
        <w:tc>
          <w:tcPr>
            <w:cnfStyle w:val="000001000000" w:firstRow="0" w:lastRow="0" w:firstColumn="0" w:lastColumn="0" w:oddVBand="0" w:evenVBand="1" w:oddHBand="0" w:evenHBand="0" w:firstRowFirstColumn="0" w:firstRowLastColumn="0" w:lastRowFirstColumn="0" w:lastRowLastColumn="0"/>
            <w:tcW w:w="4860" w:type="dxa"/>
          </w:tcPr>
          <w:p w14:paraId="26ABD7F0" w14:textId="77777777" w:rsidR="005100CC" w:rsidRPr="00CE60B2" w:rsidRDefault="005100CC" w:rsidP="00892FEB">
            <w:pPr>
              <w:rPr>
                <w:rFonts w:cs="Segoe UI"/>
              </w:rPr>
            </w:pPr>
            <w:r w:rsidRPr="00CE60B2">
              <w:rPr>
                <w:rFonts w:cs="Segoe UI"/>
              </w:rPr>
              <w:t>Native forest and plantations of indigenous timber species which have genetic resource conservation mechanisms in place</w:t>
            </w:r>
          </w:p>
        </w:tc>
        <w:tc>
          <w:tcPr>
            <w:tcW w:w="1350" w:type="dxa"/>
          </w:tcPr>
          <w:p w14:paraId="26ABD7F1"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7F2" w14:textId="77777777" w:rsidR="005100CC" w:rsidRPr="00CE60B2" w:rsidRDefault="005100CC" w:rsidP="00892FEB">
            <w:pPr>
              <w:rPr>
                <w:rFonts w:cs="Segoe UI"/>
              </w:rPr>
            </w:pPr>
            <w:r w:rsidRPr="00CE60B2">
              <w:rPr>
                <w:rFonts w:cs="Segoe UI"/>
              </w:rPr>
              <w:t>1.3.c</w:t>
            </w:r>
          </w:p>
        </w:tc>
      </w:tr>
    </w:tbl>
    <w:p w14:paraId="26ABD7F4" w14:textId="77777777" w:rsidR="005100CC" w:rsidRPr="00CE60B2" w:rsidRDefault="005100CC" w:rsidP="000F7899">
      <w:pPr>
        <w:pStyle w:val="Heading5"/>
        <w:spacing w:before="360"/>
        <w:rPr>
          <w:rFonts w:cs="Segoe UI"/>
        </w:rPr>
      </w:pPr>
      <w:bookmarkStart w:id="225" w:name="_Toc510535059"/>
      <w:bookmarkStart w:id="226" w:name="_Toc524952841"/>
      <w:r w:rsidRPr="00CE60B2">
        <w:rPr>
          <w:rFonts w:cs="Segoe UI"/>
        </w:rPr>
        <w:t>Criterion 2 Maintenance of productive capacity of forest ecosystems</w:t>
      </w:r>
      <w:bookmarkEnd w:id="225"/>
      <w:bookmarkEnd w:id="226"/>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7F9" w14:textId="77777777" w:rsidTr="00820139">
        <w:trPr>
          <w:cnfStyle w:val="000000010000" w:firstRow="0" w:lastRow="0" w:firstColumn="0" w:lastColumn="0" w:oddVBand="0" w:evenVBand="0" w:oddHBand="0" w:evenHBand="1" w:firstRowFirstColumn="0" w:firstRowLastColumn="0" w:lastRowFirstColumn="0" w:lastRowLastColumn="0"/>
          <w:tblHeader/>
        </w:trPr>
        <w:tc>
          <w:tcPr>
            <w:tcW w:w="1440" w:type="dxa"/>
            <w:shd w:val="clear" w:color="auto" w:fill="DFEFE1" w:themeFill="accent3" w:themeFillTint="66"/>
          </w:tcPr>
          <w:p w14:paraId="26ABD7F5" w14:textId="77777777" w:rsidR="005100CC" w:rsidRPr="00CE60B2" w:rsidRDefault="005100CC" w:rsidP="00892FEB">
            <w:pPr>
              <w:rPr>
                <w:rFonts w:cs="Segoe UI"/>
                <w:b/>
              </w:rPr>
            </w:pPr>
            <w:r w:rsidRPr="00CE60B2">
              <w:rPr>
                <w:rFonts w:cs="Segoe UI"/>
                <w:b/>
              </w:rPr>
              <w:t xml:space="preserve">International </w:t>
            </w:r>
            <w:r w:rsidR="00A515C1" w:rsidRPr="00CE60B2">
              <w:rPr>
                <w:rFonts w:cs="Segoe UI"/>
                <w:b/>
              </w:rPr>
              <w:t>Montréal</w:t>
            </w:r>
            <w:r w:rsidRPr="00CE60B2">
              <w:rPr>
                <w:rFonts w:cs="Segoe UI"/>
                <w:b/>
              </w:rPr>
              <w:t xml:space="preserve"> Process criteria and indicators </w:t>
            </w:r>
            <w:r w:rsidRPr="00CE60B2">
              <w:rPr>
                <w:rFonts w:cs="Segoe UI"/>
                <w:b/>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7F6" w14:textId="77777777" w:rsidR="005100CC" w:rsidRPr="00CE60B2" w:rsidRDefault="005100CC" w:rsidP="00892FEB">
            <w:pPr>
              <w:rPr>
                <w:rFonts w:cs="Segoe UI"/>
                <w:b/>
              </w:rPr>
            </w:pPr>
            <w:r w:rsidRPr="00CE60B2">
              <w:rPr>
                <w:rFonts w:cs="Segoe UI"/>
                <w:b/>
              </w:rPr>
              <w:t xml:space="preserve">International </w:t>
            </w:r>
            <w:r w:rsidR="00A515C1" w:rsidRPr="00CE60B2">
              <w:rPr>
                <w:rFonts w:cs="Segoe UI"/>
                <w:b/>
              </w:rPr>
              <w:t>Montréal</w:t>
            </w:r>
            <w:r w:rsidRPr="00CE60B2">
              <w:rPr>
                <w:rFonts w:cs="Segoe UI"/>
                <w:b/>
              </w:rPr>
              <w:t xml:space="preserve"> Process criteria and indicators </w:t>
            </w:r>
            <w:r w:rsidRPr="00CE60B2">
              <w:rPr>
                <w:rFonts w:cs="Segoe UI"/>
                <w:b/>
              </w:rPr>
              <w:br/>
              <w:t>Indicator name</w:t>
            </w:r>
          </w:p>
        </w:tc>
        <w:tc>
          <w:tcPr>
            <w:tcW w:w="1350" w:type="dxa"/>
            <w:shd w:val="clear" w:color="auto" w:fill="DFEFE1" w:themeFill="accent3" w:themeFillTint="66"/>
          </w:tcPr>
          <w:p w14:paraId="26ABD7F7"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b/>
              </w:rPr>
            </w:pPr>
            <w:r w:rsidRPr="00CE60B2">
              <w:rPr>
                <w:rFonts w:cs="Segoe UI"/>
                <w:b/>
              </w:rPr>
              <w:t xml:space="preserve">Australian indicator(s) with which each </w:t>
            </w:r>
            <w:r w:rsidR="00A515C1" w:rsidRPr="00CE60B2">
              <w:rPr>
                <w:rFonts w:cs="Segoe UI"/>
                <w:b/>
              </w:rPr>
              <w:t>Montréal</w:t>
            </w:r>
            <w:r w:rsidRPr="00CE60B2">
              <w:rPr>
                <w:rFonts w:cs="Segoe UI"/>
                <w:b/>
              </w:rPr>
              <w:t xml:space="preserve"> Process indicator aligns</w:t>
            </w:r>
            <w:r w:rsidRPr="00CE60B2">
              <w:rPr>
                <w:rFonts w:cs="Segoe UI"/>
                <w:b/>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7F8" w14:textId="77777777" w:rsidR="005100CC" w:rsidRPr="00CE60B2" w:rsidRDefault="005100CC" w:rsidP="00892FEB">
            <w:pPr>
              <w:rPr>
                <w:rFonts w:cs="Segoe UI"/>
                <w:b/>
              </w:rPr>
            </w:pPr>
            <w:r w:rsidRPr="00CE60B2">
              <w:rPr>
                <w:rFonts w:cs="Segoe UI"/>
                <w:b/>
              </w:rPr>
              <w:t xml:space="preserve">Australian indicator(s) with which each </w:t>
            </w:r>
            <w:r w:rsidR="00A515C1" w:rsidRPr="00CE60B2">
              <w:rPr>
                <w:rFonts w:cs="Segoe UI"/>
                <w:b/>
              </w:rPr>
              <w:t>Montréal</w:t>
            </w:r>
            <w:r w:rsidRPr="00CE60B2">
              <w:rPr>
                <w:rFonts w:cs="Segoe UI"/>
                <w:b/>
              </w:rPr>
              <w:t xml:space="preserve"> Process indicator aligns</w:t>
            </w:r>
            <w:r w:rsidRPr="00CE60B2">
              <w:rPr>
                <w:rFonts w:cs="Segoe UI"/>
                <w:b/>
              </w:rPr>
              <w:br/>
              <w:t>Partial alignment</w:t>
            </w:r>
          </w:p>
        </w:tc>
      </w:tr>
      <w:tr w:rsidR="005100CC" w:rsidRPr="00CE60B2" w14:paraId="26ABD7FE"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7FA" w14:textId="77777777" w:rsidR="005100CC" w:rsidRPr="00CE60B2" w:rsidRDefault="005100CC" w:rsidP="00892FEB">
            <w:pPr>
              <w:rPr>
                <w:rFonts w:cs="Segoe UI"/>
              </w:rPr>
            </w:pPr>
            <w:r w:rsidRPr="00CE60B2">
              <w:rPr>
                <w:rFonts w:cs="Segoe UI"/>
              </w:rPr>
              <w:t>2.a</w:t>
            </w:r>
          </w:p>
        </w:tc>
        <w:tc>
          <w:tcPr>
            <w:cnfStyle w:val="000001000000" w:firstRow="0" w:lastRow="0" w:firstColumn="0" w:lastColumn="0" w:oddVBand="0" w:evenVBand="1" w:oddHBand="0" w:evenHBand="0" w:firstRowFirstColumn="0" w:firstRowLastColumn="0" w:lastRowFirstColumn="0" w:lastRowLastColumn="0"/>
            <w:tcW w:w="4860" w:type="dxa"/>
          </w:tcPr>
          <w:p w14:paraId="26ABD7FB" w14:textId="77777777" w:rsidR="005100CC" w:rsidRPr="00CE60B2" w:rsidRDefault="005100CC" w:rsidP="00892FEB">
            <w:pPr>
              <w:rPr>
                <w:rFonts w:cs="Segoe UI"/>
              </w:rPr>
            </w:pPr>
            <w:r w:rsidRPr="00CE60B2">
              <w:rPr>
                <w:rFonts w:cs="Segoe UI"/>
              </w:rPr>
              <w:t xml:space="preserve">Area and </w:t>
            </w:r>
            <w:r w:rsidR="00EF4C39" w:rsidRPr="00CE60B2">
              <w:rPr>
                <w:rFonts w:cs="Segoe UI"/>
              </w:rPr>
              <w:t>per cent</w:t>
            </w:r>
            <w:r w:rsidRPr="00CE60B2">
              <w:rPr>
                <w:rFonts w:cs="Segoe UI"/>
              </w:rPr>
              <w:t xml:space="preserve"> of forest land and net areas of forest land available for wood production</w:t>
            </w:r>
          </w:p>
        </w:tc>
        <w:tc>
          <w:tcPr>
            <w:tcW w:w="1350" w:type="dxa"/>
          </w:tcPr>
          <w:p w14:paraId="26ABD7FC"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2.1a</w:t>
            </w:r>
          </w:p>
        </w:tc>
        <w:tc>
          <w:tcPr>
            <w:cnfStyle w:val="000001000000" w:firstRow="0" w:lastRow="0" w:firstColumn="0" w:lastColumn="0" w:oddVBand="0" w:evenVBand="1" w:oddHBand="0" w:evenHBand="0" w:firstRowFirstColumn="0" w:firstRowLastColumn="0" w:lastRowFirstColumn="0" w:lastRowLastColumn="0"/>
            <w:tcW w:w="1350" w:type="dxa"/>
          </w:tcPr>
          <w:p w14:paraId="26ABD7FD" w14:textId="77777777" w:rsidR="005100CC" w:rsidRPr="00CE60B2" w:rsidRDefault="005100CC" w:rsidP="00892FEB">
            <w:pPr>
              <w:rPr>
                <w:rFonts w:cs="Segoe UI"/>
              </w:rPr>
            </w:pPr>
            <w:r w:rsidRPr="00CE60B2">
              <w:rPr>
                <w:rFonts w:cs="Segoe UI"/>
              </w:rPr>
              <w:t>—</w:t>
            </w:r>
          </w:p>
        </w:tc>
      </w:tr>
      <w:tr w:rsidR="005100CC" w:rsidRPr="00CE60B2" w14:paraId="26ABD803"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7FF" w14:textId="77777777" w:rsidR="005100CC" w:rsidRPr="00CE60B2" w:rsidRDefault="005100CC" w:rsidP="00892FEB">
            <w:pPr>
              <w:rPr>
                <w:rFonts w:cs="Segoe UI"/>
              </w:rPr>
            </w:pPr>
            <w:r w:rsidRPr="00CE60B2">
              <w:rPr>
                <w:rFonts w:cs="Segoe UI"/>
              </w:rPr>
              <w:lastRenderedPageBreak/>
              <w:t>2.b</w:t>
            </w:r>
          </w:p>
        </w:tc>
        <w:tc>
          <w:tcPr>
            <w:cnfStyle w:val="000001000000" w:firstRow="0" w:lastRow="0" w:firstColumn="0" w:lastColumn="0" w:oddVBand="0" w:evenVBand="1" w:oddHBand="0" w:evenHBand="0" w:firstRowFirstColumn="0" w:firstRowLastColumn="0" w:lastRowFirstColumn="0" w:lastRowLastColumn="0"/>
            <w:tcW w:w="4860" w:type="dxa"/>
          </w:tcPr>
          <w:p w14:paraId="26ABD800" w14:textId="77777777" w:rsidR="005100CC" w:rsidRPr="00CE60B2" w:rsidRDefault="005100CC" w:rsidP="00892FEB">
            <w:pPr>
              <w:rPr>
                <w:rFonts w:cs="Segoe UI"/>
              </w:rPr>
            </w:pPr>
            <w:r w:rsidRPr="00CE60B2">
              <w:rPr>
                <w:rFonts w:cs="Segoe UI"/>
              </w:rPr>
              <w:t>Total growing stock and annual increment of both merchantable and non-merchantable tree species in forests available for wood production</w:t>
            </w:r>
          </w:p>
        </w:tc>
        <w:tc>
          <w:tcPr>
            <w:tcW w:w="1350" w:type="dxa"/>
          </w:tcPr>
          <w:p w14:paraId="26ABD801"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2.1a</w:t>
            </w:r>
          </w:p>
        </w:tc>
        <w:tc>
          <w:tcPr>
            <w:cnfStyle w:val="000001000000" w:firstRow="0" w:lastRow="0" w:firstColumn="0" w:lastColumn="0" w:oddVBand="0" w:evenVBand="1" w:oddHBand="0" w:evenHBand="0" w:firstRowFirstColumn="0" w:firstRowLastColumn="0" w:lastRowFirstColumn="0" w:lastRowLastColumn="0"/>
            <w:tcW w:w="1350" w:type="dxa"/>
          </w:tcPr>
          <w:p w14:paraId="26ABD802" w14:textId="77777777" w:rsidR="005100CC" w:rsidRPr="00CE60B2" w:rsidRDefault="005100CC" w:rsidP="00892FEB">
            <w:pPr>
              <w:rPr>
                <w:rFonts w:cs="Segoe UI"/>
              </w:rPr>
            </w:pPr>
            <w:r w:rsidRPr="00CE60B2">
              <w:rPr>
                <w:rFonts w:cs="Segoe UI"/>
              </w:rPr>
              <w:t>—</w:t>
            </w:r>
          </w:p>
        </w:tc>
      </w:tr>
      <w:tr w:rsidR="005100CC" w:rsidRPr="00CE60B2" w14:paraId="26ABD808"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04" w14:textId="77777777" w:rsidR="005100CC" w:rsidRPr="00CE60B2" w:rsidRDefault="005100CC" w:rsidP="00892FEB">
            <w:pPr>
              <w:rPr>
                <w:rFonts w:cs="Segoe UI"/>
              </w:rPr>
            </w:pPr>
            <w:r w:rsidRPr="00CE60B2">
              <w:rPr>
                <w:rFonts w:cs="Segoe UI"/>
              </w:rPr>
              <w:t>2.c</w:t>
            </w:r>
          </w:p>
        </w:tc>
        <w:tc>
          <w:tcPr>
            <w:cnfStyle w:val="000001000000" w:firstRow="0" w:lastRow="0" w:firstColumn="0" w:lastColumn="0" w:oddVBand="0" w:evenVBand="1" w:oddHBand="0" w:evenHBand="0" w:firstRowFirstColumn="0" w:firstRowLastColumn="0" w:lastRowFirstColumn="0" w:lastRowLastColumn="0"/>
            <w:tcW w:w="4860" w:type="dxa"/>
          </w:tcPr>
          <w:p w14:paraId="26ABD805" w14:textId="77777777" w:rsidR="005100CC" w:rsidRPr="00CE60B2" w:rsidRDefault="005100CC" w:rsidP="00892FEB">
            <w:pPr>
              <w:rPr>
                <w:rFonts w:cs="Segoe UI"/>
              </w:rPr>
            </w:pPr>
            <w:r w:rsidRPr="00CE60B2">
              <w:rPr>
                <w:rFonts w:cs="Segoe UI"/>
              </w:rPr>
              <w:t xml:space="preserve">Area, </w:t>
            </w:r>
            <w:r w:rsidR="00EF4C39" w:rsidRPr="00CE60B2">
              <w:rPr>
                <w:rFonts w:cs="Segoe UI"/>
              </w:rPr>
              <w:t>per cent</w:t>
            </w:r>
            <w:r w:rsidRPr="00CE60B2">
              <w:rPr>
                <w:rFonts w:cs="Segoe UI"/>
              </w:rPr>
              <w:t>, and growing stock of plantations of native and exotic species</w:t>
            </w:r>
          </w:p>
        </w:tc>
        <w:tc>
          <w:tcPr>
            <w:tcW w:w="1350" w:type="dxa"/>
          </w:tcPr>
          <w:p w14:paraId="26ABD806"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2.1b</w:t>
            </w:r>
          </w:p>
        </w:tc>
        <w:tc>
          <w:tcPr>
            <w:cnfStyle w:val="000001000000" w:firstRow="0" w:lastRow="0" w:firstColumn="0" w:lastColumn="0" w:oddVBand="0" w:evenVBand="1" w:oddHBand="0" w:evenHBand="0" w:firstRowFirstColumn="0" w:firstRowLastColumn="0" w:lastRowFirstColumn="0" w:lastRowLastColumn="0"/>
            <w:tcW w:w="1350" w:type="dxa"/>
          </w:tcPr>
          <w:p w14:paraId="26ABD807" w14:textId="77777777" w:rsidR="005100CC" w:rsidRPr="00CE60B2" w:rsidRDefault="005100CC" w:rsidP="00892FEB">
            <w:pPr>
              <w:rPr>
                <w:rFonts w:cs="Segoe UI"/>
              </w:rPr>
            </w:pPr>
            <w:r w:rsidRPr="00CE60B2">
              <w:rPr>
                <w:rFonts w:cs="Segoe UI"/>
              </w:rPr>
              <w:t>—</w:t>
            </w:r>
          </w:p>
        </w:tc>
      </w:tr>
      <w:tr w:rsidR="005100CC" w:rsidRPr="00CE60B2" w14:paraId="26ABD80D"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09" w14:textId="77777777" w:rsidR="005100CC" w:rsidRPr="00CE60B2" w:rsidRDefault="005100CC" w:rsidP="00892FEB">
            <w:pPr>
              <w:rPr>
                <w:rFonts w:cs="Segoe UI"/>
              </w:rPr>
            </w:pPr>
            <w:r w:rsidRPr="00CE60B2">
              <w:rPr>
                <w:rFonts w:cs="Segoe UI"/>
              </w:rPr>
              <w:t>2.d</w:t>
            </w:r>
          </w:p>
        </w:tc>
        <w:tc>
          <w:tcPr>
            <w:cnfStyle w:val="000001000000" w:firstRow="0" w:lastRow="0" w:firstColumn="0" w:lastColumn="0" w:oddVBand="0" w:evenVBand="1" w:oddHBand="0" w:evenHBand="0" w:firstRowFirstColumn="0" w:firstRowLastColumn="0" w:lastRowFirstColumn="0" w:lastRowLastColumn="0"/>
            <w:tcW w:w="4860" w:type="dxa"/>
          </w:tcPr>
          <w:p w14:paraId="26ABD80A" w14:textId="77777777" w:rsidR="005100CC" w:rsidRPr="00CE60B2" w:rsidRDefault="005100CC" w:rsidP="00892FEB">
            <w:pPr>
              <w:rPr>
                <w:rFonts w:cs="Segoe UI"/>
              </w:rPr>
            </w:pPr>
            <w:r w:rsidRPr="00CE60B2">
              <w:rPr>
                <w:rFonts w:cs="Segoe UI"/>
              </w:rPr>
              <w:t xml:space="preserve">Annual harvest of wood products by volume and as a </w:t>
            </w:r>
            <w:r w:rsidR="00EF4C39" w:rsidRPr="00CE60B2">
              <w:rPr>
                <w:rFonts w:cs="Segoe UI"/>
              </w:rPr>
              <w:t>per cent</w:t>
            </w:r>
            <w:r w:rsidRPr="00CE60B2">
              <w:rPr>
                <w:rFonts w:cs="Segoe UI"/>
              </w:rPr>
              <w:t>age of net growth or sustained yield</w:t>
            </w:r>
          </w:p>
        </w:tc>
        <w:tc>
          <w:tcPr>
            <w:tcW w:w="1350" w:type="dxa"/>
          </w:tcPr>
          <w:p w14:paraId="26ABD80B" w14:textId="77777777" w:rsidR="005100CC" w:rsidRPr="00CE60B2" w:rsidRDefault="005100CC" w:rsidP="00892FEB">
            <w:pPr>
              <w:cnfStyle w:val="000000010000" w:firstRow="0" w:lastRow="0" w:firstColumn="0" w:lastColumn="0" w:oddVBand="0" w:evenVBand="0" w:oddHBand="0" w:evenHBand="1" w:firstRowFirstColumn="0" w:firstRowLastColumn="0" w:lastRowFirstColumn="0" w:lastRowLastColumn="0"/>
              <w:rPr>
                <w:rFonts w:cs="Segoe UI"/>
              </w:rPr>
            </w:pPr>
            <w:r w:rsidRPr="00CE60B2">
              <w:rPr>
                <w:rFonts w:cs="Segoe UI"/>
              </w:rPr>
              <w:t>2.1c</w:t>
            </w:r>
          </w:p>
        </w:tc>
        <w:tc>
          <w:tcPr>
            <w:cnfStyle w:val="000001000000" w:firstRow="0" w:lastRow="0" w:firstColumn="0" w:lastColumn="0" w:oddVBand="0" w:evenVBand="1" w:oddHBand="0" w:evenHBand="0" w:firstRowFirstColumn="0" w:firstRowLastColumn="0" w:lastRowFirstColumn="0" w:lastRowLastColumn="0"/>
            <w:tcW w:w="1350" w:type="dxa"/>
          </w:tcPr>
          <w:p w14:paraId="26ABD80C" w14:textId="77777777" w:rsidR="005100CC" w:rsidRPr="00CE60B2" w:rsidRDefault="005100CC" w:rsidP="00892FEB">
            <w:pPr>
              <w:rPr>
                <w:rFonts w:cs="Segoe UI"/>
              </w:rPr>
            </w:pPr>
            <w:r w:rsidRPr="00CE60B2">
              <w:rPr>
                <w:rFonts w:cs="Segoe UI"/>
              </w:rPr>
              <w:t>—</w:t>
            </w:r>
          </w:p>
        </w:tc>
      </w:tr>
      <w:tr w:rsidR="005100CC" w:rsidRPr="00CE60B2" w14:paraId="26ABD812"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0E" w14:textId="77777777" w:rsidR="005100CC" w:rsidRPr="00CE60B2" w:rsidRDefault="005100CC" w:rsidP="00892FEB">
            <w:pPr>
              <w:rPr>
                <w:rFonts w:cs="Segoe UI"/>
              </w:rPr>
            </w:pPr>
            <w:r w:rsidRPr="00CE60B2">
              <w:rPr>
                <w:rFonts w:cs="Segoe UI"/>
              </w:rPr>
              <w:t>2.e</w:t>
            </w:r>
          </w:p>
        </w:tc>
        <w:tc>
          <w:tcPr>
            <w:cnfStyle w:val="000001000000" w:firstRow="0" w:lastRow="0" w:firstColumn="0" w:lastColumn="0" w:oddVBand="0" w:evenVBand="1" w:oddHBand="0" w:evenHBand="0" w:firstRowFirstColumn="0" w:firstRowLastColumn="0" w:lastRowFirstColumn="0" w:lastRowLastColumn="0"/>
            <w:tcW w:w="4860" w:type="dxa"/>
          </w:tcPr>
          <w:p w14:paraId="26ABD80F" w14:textId="77777777" w:rsidR="005100CC" w:rsidRPr="00CE60B2" w:rsidRDefault="005100CC" w:rsidP="00892FEB">
            <w:pPr>
              <w:rPr>
                <w:rFonts w:cs="Segoe UI"/>
              </w:rPr>
            </w:pPr>
            <w:r w:rsidRPr="00CE60B2">
              <w:rPr>
                <w:rFonts w:cs="Segoe UI"/>
              </w:rPr>
              <w:t>Annual harvest of non-wood forest products</w:t>
            </w:r>
          </w:p>
        </w:tc>
        <w:tc>
          <w:tcPr>
            <w:tcW w:w="1350" w:type="dxa"/>
          </w:tcPr>
          <w:p w14:paraId="26ABD810" w14:textId="77777777" w:rsidR="005100CC" w:rsidRPr="00CE60B2" w:rsidRDefault="005100CC" w:rsidP="00892FEB">
            <w:pPr>
              <w:cnfStyle w:val="000000100000" w:firstRow="0" w:lastRow="0" w:firstColumn="0" w:lastColumn="0" w:oddVBand="0" w:evenVBand="0" w:oddHBand="1" w:evenHBand="0" w:firstRowFirstColumn="0" w:firstRowLastColumn="0" w:lastRowFirstColumn="0" w:lastRowLastColumn="0"/>
              <w:rPr>
                <w:rFonts w:cs="Segoe UI"/>
              </w:rPr>
            </w:pPr>
            <w:r w:rsidRPr="00CE60B2">
              <w:rPr>
                <w:rFonts w:cs="Segoe UI"/>
              </w:rPr>
              <w:t>2.1d</w:t>
            </w:r>
          </w:p>
        </w:tc>
        <w:tc>
          <w:tcPr>
            <w:cnfStyle w:val="000001000000" w:firstRow="0" w:lastRow="0" w:firstColumn="0" w:lastColumn="0" w:oddVBand="0" w:evenVBand="1" w:oddHBand="0" w:evenHBand="0" w:firstRowFirstColumn="0" w:firstRowLastColumn="0" w:lastRowFirstColumn="0" w:lastRowLastColumn="0"/>
            <w:tcW w:w="1350" w:type="dxa"/>
          </w:tcPr>
          <w:p w14:paraId="26ABD811" w14:textId="77777777" w:rsidR="005100CC" w:rsidRPr="00CE60B2" w:rsidRDefault="005100CC" w:rsidP="00892FEB">
            <w:pPr>
              <w:rPr>
                <w:rFonts w:cs="Segoe UI"/>
              </w:rPr>
            </w:pPr>
            <w:r w:rsidRPr="00CE60B2">
              <w:rPr>
                <w:rFonts w:cs="Segoe UI"/>
              </w:rPr>
              <w:t>—</w:t>
            </w:r>
          </w:p>
        </w:tc>
      </w:tr>
    </w:tbl>
    <w:p w14:paraId="26ABD813" w14:textId="77777777" w:rsidR="005100CC" w:rsidRPr="00CE60B2" w:rsidRDefault="005100CC" w:rsidP="005100CC">
      <w:pPr>
        <w:rPr>
          <w:rFonts w:cs="Segoe UI"/>
        </w:rPr>
      </w:pPr>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0F7899" w14:paraId="26ABD818" w14:textId="77777777" w:rsidTr="00D26B91">
        <w:trPr>
          <w:cnfStyle w:val="000000010000" w:firstRow="0" w:lastRow="0" w:firstColumn="0" w:lastColumn="0" w:oddVBand="0" w:evenVBand="0" w:oddHBand="0" w:evenHBand="1" w:firstRowFirstColumn="0" w:firstRowLastColumn="0" w:lastRowFirstColumn="0" w:lastRowLastColumn="0"/>
          <w:tblHeader/>
        </w:trPr>
        <w:tc>
          <w:tcPr>
            <w:tcW w:w="1440" w:type="dxa"/>
            <w:shd w:val="clear" w:color="auto" w:fill="DFEFE1" w:themeFill="accent3" w:themeFillTint="66"/>
          </w:tcPr>
          <w:p w14:paraId="26ABD814" w14:textId="77777777" w:rsidR="005100CC" w:rsidRPr="000F7899" w:rsidRDefault="005100CC" w:rsidP="00892FEB">
            <w:pPr>
              <w:pStyle w:val="TableHeading"/>
              <w:rPr>
                <w:rFonts w:ascii="Segoe UI" w:hAnsi="Segoe UI" w:cs="Segoe UI"/>
                <w:szCs w:val="20"/>
              </w:rPr>
            </w:pPr>
            <w:r w:rsidRPr="000F7899">
              <w:rPr>
                <w:rFonts w:ascii="Segoe UI" w:hAnsi="Segoe UI" w:cs="Segoe UI"/>
                <w:szCs w:val="20"/>
              </w:rPr>
              <w:t xml:space="preserve">Australia's criteria and indicators </w:t>
            </w:r>
            <w:r w:rsidRPr="000F7899">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815" w14:textId="77777777" w:rsidR="005100CC" w:rsidRPr="000F7899" w:rsidRDefault="005100CC" w:rsidP="00892FEB">
            <w:pPr>
              <w:pStyle w:val="TableHeading"/>
              <w:rPr>
                <w:rFonts w:ascii="Segoe UI" w:hAnsi="Segoe UI" w:cs="Segoe UI"/>
                <w:szCs w:val="20"/>
              </w:rPr>
            </w:pPr>
            <w:r w:rsidRPr="000F7899">
              <w:rPr>
                <w:rFonts w:ascii="Segoe UI" w:hAnsi="Segoe UI" w:cs="Segoe UI"/>
                <w:szCs w:val="20"/>
              </w:rPr>
              <w:t xml:space="preserve">Australia's criteria and indicators </w:t>
            </w:r>
            <w:r w:rsidRPr="000F7899">
              <w:rPr>
                <w:rFonts w:ascii="Segoe UI" w:hAnsi="Segoe UI" w:cs="Segoe UI"/>
                <w:szCs w:val="20"/>
              </w:rPr>
              <w:br/>
              <w:t>Indicator name</w:t>
            </w:r>
          </w:p>
        </w:tc>
        <w:tc>
          <w:tcPr>
            <w:tcW w:w="1350" w:type="dxa"/>
            <w:shd w:val="clear" w:color="auto" w:fill="DFEFE1" w:themeFill="accent3" w:themeFillTint="66"/>
          </w:tcPr>
          <w:p w14:paraId="26ABD816" w14:textId="77777777" w:rsidR="005100CC" w:rsidRPr="000F7899" w:rsidRDefault="00A515C1" w:rsidP="00892FEB">
            <w:pPr>
              <w:pStyle w:val="TableHeading"/>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0F7899">
              <w:rPr>
                <w:rFonts w:ascii="Segoe UI" w:hAnsi="Segoe UI" w:cs="Segoe UI"/>
                <w:szCs w:val="20"/>
              </w:rPr>
              <w:t>Montréal</w:t>
            </w:r>
            <w:r w:rsidR="005100CC" w:rsidRPr="000F7899">
              <w:rPr>
                <w:rFonts w:ascii="Segoe UI" w:hAnsi="Segoe UI" w:cs="Segoe UI"/>
                <w:szCs w:val="20"/>
              </w:rPr>
              <w:t xml:space="preserve"> Process indicator(s) with which each Australian indicator aligns</w:t>
            </w:r>
            <w:r w:rsidR="005100CC" w:rsidRPr="000F7899">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817" w14:textId="77777777" w:rsidR="005100CC" w:rsidRPr="000F7899" w:rsidRDefault="00A515C1" w:rsidP="00892FEB">
            <w:pPr>
              <w:pStyle w:val="TableHeading"/>
              <w:jc w:val="right"/>
              <w:rPr>
                <w:rFonts w:ascii="Segoe UI" w:hAnsi="Segoe UI" w:cs="Segoe UI"/>
                <w:szCs w:val="20"/>
              </w:rPr>
            </w:pPr>
            <w:r w:rsidRPr="000F7899">
              <w:rPr>
                <w:rFonts w:ascii="Segoe UI" w:hAnsi="Segoe UI" w:cs="Segoe UI"/>
                <w:szCs w:val="20"/>
              </w:rPr>
              <w:t>Montréal</w:t>
            </w:r>
            <w:r w:rsidR="005100CC" w:rsidRPr="000F7899">
              <w:rPr>
                <w:rFonts w:ascii="Segoe UI" w:hAnsi="Segoe UI" w:cs="Segoe UI"/>
                <w:szCs w:val="20"/>
              </w:rPr>
              <w:t xml:space="preserve"> Process indicator(s) with which each Australian indicator aligns</w:t>
            </w:r>
            <w:r w:rsidR="005100CC" w:rsidRPr="000F7899">
              <w:rPr>
                <w:rFonts w:ascii="Segoe UI" w:hAnsi="Segoe UI" w:cs="Segoe UI"/>
                <w:szCs w:val="20"/>
              </w:rPr>
              <w:br/>
              <w:t>Partial alignment</w:t>
            </w:r>
          </w:p>
        </w:tc>
      </w:tr>
      <w:tr w:rsidR="005100CC" w:rsidRPr="00CE60B2" w14:paraId="26ABD81E"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19"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2.1a</w:t>
            </w:r>
          </w:p>
        </w:tc>
        <w:tc>
          <w:tcPr>
            <w:cnfStyle w:val="000001000000" w:firstRow="0" w:lastRow="0" w:firstColumn="0" w:lastColumn="0" w:oddVBand="0" w:evenVBand="1" w:oddHBand="0" w:evenHBand="0" w:firstRowFirstColumn="0" w:firstRowLastColumn="0" w:lastRowFirstColumn="0" w:lastRowLastColumn="0"/>
            <w:tcW w:w="4860" w:type="dxa"/>
          </w:tcPr>
          <w:p w14:paraId="26ABD81A"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Native forest available for wood production, area harvested, and growing stock of merchantable and non-merchantable tree species</w:t>
            </w:r>
          </w:p>
        </w:tc>
        <w:tc>
          <w:tcPr>
            <w:tcW w:w="1350" w:type="dxa"/>
          </w:tcPr>
          <w:p w14:paraId="26ABD81B"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2.a</w:t>
            </w:r>
          </w:p>
          <w:p w14:paraId="26ABD81C"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2.b</w:t>
            </w:r>
          </w:p>
        </w:tc>
        <w:tc>
          <w:tcPr>
            <w:cnfStyle w:val="000001000000" w:firstRow="0" w:lastRow="0" w:firstColumn="0" w:lastColumn="0" w:oddVBand="0" w:evenVBand="1" w:oddHBand="0" w:evenHBand="0" w:firstRowFirstColumn="0" w:firstRowLastColumn="0" w:lastRowFirstColumn="0" w:lastRowLastColumn="0"/>
            <w:tcW w:w="1350" w:type="dxa"/>
          </w:tcPr>
          <w:p w14:paraId="26ABD81D"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23"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1F"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2.1b</w:t>
            </w:r>
          </w:p>
        </w:tc>
        <w:tc>
          <w:tcPr>
            <w:cnfStyle w:val="000001000000" w:firstRow="0" w:lastRow="0" w:firstColumn="0" w:lastColumn="0" w:oddVBand="0" w:evenVBand="1" w:oddHBand="0" w:evenHBand="0" w:firstRowFirstColumn="0" w:firstRowLastColumn="0" w:lastRowFirstColumn="0" w:lastRowLastColumn="0"/>
            <w:tcW w:w="4860" w:type="dxa"/>
          </w:tcPr>
          <w:p w14:paraId="26ABD820"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Age class and growing stock of plantations</w:t>
            </w:r>
          </w:p>
        </w:tc>
        <w:tc>
          <w:tcPr>
            <w:tcW w:w="1350" w:type="dxa"/>
          </w:tcPr>
          <w:p w14:paraId="26ABD821"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2.c</w:t>
            </w:r>
          </w:p>
        </w:tc>
        <w:tc>
          <w:tcPr>
            <w:cnfStyle w:val="000001000000" w:firstRow="0" w:lastRow="0" w:firstColumn="0" w:lastColumn="0" w:oddVBand="0" w:evenVBand="1" w:oddHBand="0" w:evenHBand="0" w:firstRowFirstColumn="0" w:firstRowLastColumn="0" w:lastRowFirstColumn="0" w:lastRowLastColumn="0"/>
            <w:tcW w:w="1350" w:type="dxa"/>
          </w:tcPr>
          <w:p w14:paraId="26ABD822"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28"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24"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2.1c</w:t>
            </w:r>
          </w:p>
        </w:tc>
        <w:tc>
          <w:tcPr>
            <w:cnfStyle w:val="000001000000" w:firstRow="0" w:lastRow="0" w:firstColumn="0" w:lastColumn="0" w:oddVBand="0" w:evenVBand="1" w:oddHBand="0" w:evenHBand="0" w:firstRowFirstColumn="0" w:firstRowLastColumn="0" w:lastRowFirstColumn="0" w:lastRowLastColumn="0"/>
            <w:tcW w:w="4860" w:type="dxa"/>
          </w:tcPr>
          <w:p w14:paraId="26ABD825"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Annual removal of wood products compared to the volume determined to be sustainable for native forests and future yields for plantations</w:t>
            </w:r>
          </w:p>
        </w:tc>
        <w:tc>
          <w:tcPr>
            <w:tcW w:w="1350" w:type="dxa"/>
          </w:tcPr>
          <w:p w14:paraId="26ABD826"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2.d</w:t>
            </w:r>
          </w:p>
        </w:tc>
        <w:tc>
          <w:tcPr>
            <w:cnfStyle w:val="000001000000" w:firstRow="0" w:lastRow="0" w:firstColumn="0" w:lastColumn="0" w:oddVBand="0" w:evenVBand="1" w:oddHBand="0" w:evenHBand="0" w:firstRowFirstColumn="0" w:firstRowLastColumn="0" w:lastRowFirstColumn="0" w:lastRowLastColumn="0"/>
            <w:tcW w:w="1350" w:type="dxa"/>
          </w:tcPr>
          <w:p w14:paraId="26ABD827"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2D"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29"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2.1d</w:t>
            </w:r>
          </w:p>
        </w:tc>
        <w:tc>
          <w:tcPr>
            <w:cnfStyle w:val="000001000000" w:firstRow="0" w:lastRow="0" w:firstColumn="0" w:lastColumn="0" w:oddVBand="0" w:evenVBand="1" w:oddHBand="0" w:evenHBand="0" w:firstRowFirstColumn="0" w:firstRowLastColumn="0" w:lastRowFirstColumn="0" w:lastRowLastColumn="0"/>
            <w:tcW w:w="4860" w:type="dxa"/>
          </w:tcPr>
          <w:p w14:paraId="26ABD82A"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Annual removal of non-wood forest products compared to the level determined to be sustainable</w:t>
            </w:r>
          </w:p>
        </w:tc>
        <w:tc>
          <w:tcPr>
            <w:tcW w:w="1350" w:type="dxa"/>
          </w:tcPr>
          <w:p w14:paraId="26ABD82B"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2.e</w:t>
            </w:r>
          </w:p>
        </w:tc>
        <w:tc>
          <w:tcPr>
            <w:cnfStyle w:val="000001000000" w:firstRow="0" w:lastRow="0" w:firstColumn="0" w:lastColumn="0" w:oddVBand="0" w:evenVBand="1" w:oddHBand="0" w:evenHBand="0" w:firstRowFirstColumn="0" w:firstRowLastColumn="0" w:lastRowFirstColumn="0" w:lastRowLastColumn="0"/>
            <w:tcW w:w="1350" w:type="dxa"/>
          </w:tcPr>
          <w:p w14:paraId="26ABD82C"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32"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2E"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lastRenderedPageBreak/>
              <w:t>2.1e</w:t>
            </w:r>
          </w:p>
        </w:tc>
        <w:tc>
          <w:tcPr>
            <w:cnfStyle w:val="000001000000" w:firstRow="0" w:lastRow="0" w:firstColumn="0" w:lastColumn="0" w:oddVBand="0" w:evenVBand="1" w:oddHBand="0" w:evenHBand="0" w:firstRowFirstColumn="0" w:firstRowLastColumn="0" w:lastRowFirstColumn="0" w:lastRowLastColumn="0"/>
            <w:tcW w:w="4860" w:type="dxa"/>
          </w:tcPr>
          <w:p w14:paraId="26ABD82F"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The area of native forest harvested and the proportion of that effectively regenerated, and the area of plantation harvested and the proportion of that effectively re-established</w:t>
            </w:r>
          </w:p>
        </w:tc>
        <w:tc>
          <w:tcPr>
            <w:tcW w:w="1350" w:type="dxa"/>
          </w:tcPr>
          <w:p w14:paraId="26ABD830"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831"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bl>
    <w:p w14:paraId="26ABD833" w14:textId="77777777" w:rsidR="005100CC" w:rsidRPr="00CE60B2" w:rsidRDefault="005100CC" w:rsidP="002B601A">
      <w:pPr>
        <w:pStyle w:val="Heading5"/>
        <w:rPr>
          <w:rFonts w:cs="Segoe UI"/>
        </w:rPr>
      </w:pPr>
      <w:bookmarkStart w:id="227" w:name="_Toc510535060"/>
      <w:bookmarkStart w:id="228" w:name="_Toc524952842"/>
      <w:r w:rsidRPr="00CE60B2">
        <w:rPr>
          <w:rFonts w:cs="Segoe UI"/>
        </w:rPr>
        <w:t>Criterion 3 Maintenance of ecosystem health and vitality</w:t>
      </w:r>
      <w:bookmarkEnd w:id="227"/>
      <w:bookmarkEnd w:id="228"/>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838"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shd w:val="clear" w:color="auto" w:fill="DFEFE1" w:themeFill="accent3" w:themeFillTint="66"/>
          </w:tcPr>
          <w:p w14:paraId="26ABD834"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835"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836" w14:textId="77777777" w:rsidR="005100CC" w:rsidRPr="00CE60B2" w:rsidRDefault="005100CC" w:rsidP="00892FEB">
            <w:pPr>
              <w:pStyle w:val="TableHeading"/>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837" w14:textId="77777777" w:rsidR="005100CC" w:rsidRPr="00CE60B2" w:rsidRDefault="005100CC" w:rsidP="00892FEB">
            <w:pPr>
              <w:pStyle w:val="TableHeading"/>
              <w:jc w:val="right"/>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Partial alignment</w:t>
            </w:r>
          </w:p>
        </w:tc>
      </w:tr>
      <w:tr w:rsidR="005100CC" w:rsidRPr="00CE60B2" w14:paraId="26ABD83D"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39"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3.a</w:t>
            </w:r>
          </w:p>
        </w:tc>
        <w:tc>
          <w:tcPr>
            <w:cnfStyle w:val="000001000000" w:firstRow="0" w:lastRow="0" w:firstColumn="0" w:lastColumn="0" w:oddVBand="0" w:evenVBand="1" w:oddHBand="0" w:evenHBand="0" w:firstRowFirstColumn="0" w:firstRowLastColumn="0" w:lastRowFirstColumn="0" w:lastRowLastColumn="0"/>
            <w:tcW w:w="4860" w:type="dxa"/>
          </w:tcPr>
          <w:p w14:paraId="26ABD83A"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 xml:space="preserve">Area and </w:t>
            </w:r>
            <w:r w:rsidR="00EF4C39" w:rsidRPr="00CE60B2">
              <w:rPr>
                <w:rFonts w:ascii="Segoe UI" w:hAnsi="Segoe UI" w:cs="Segoe UI"/>
                <w:szCs w:val="20"/>
              </w:rPr>
              <w:t>per cent</w:t>
            </w:r>
            <w:r w:rsidRPr="00CE60B2">
              <w:rPr>
                <w:rFonts w:ascii="Segoe UI" w:hAnsi="Segoe UI" w:cs="Segoe UI"/>
                <w:szCs w:val="20"/>
              </w:rPr>
              <w:t xml:space="preserve"> of forest affected by biotic processes and agents (e.g. disease, insects, invasive species) beyond reference conditions</w:t>
            </w:r>
          </w:p>
        </w:tc>
        <w:tc>
          <w:tcPr>
            <w:tcW w:w="1350" w:type="dxa"/>
          </w:tcPr>
          <w:p w14:paraId="26ABD83B"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3.1a</w:t>
            </w:r>
          </w:p>
        </w:tc>
        <w:tc>
          <w:tcPr>
            <w:cnfStyle w:val="000001000000" w:firstRow="0" w:lastRow="0" w:firstColumn="0" w:lastColumn="0" w:oddVBand="0" w:evenVBand="1" w:oddHBand="0" w:evenHBand="0" w:firstRowFirstColumn="0" w:firstRowLastColumn="0" w:lastRowFirstColumn="0" w:lastRowLastColumn="0"/>
            <w:tcW w:w="1350" w:type="dxa"/>
          </w:tcPr>
          <w:p w14:paraId="26ABD83C"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43"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3E"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3.b</w:t>
            </w:r>
          </w:p>
        </w:tc>
        <w:tc>
          <w:tcPr>
            <w:cnfStyle w:val="000001000000" w:firstRow="0" w:lastRow="0" w:firstColumn="0" w:lastColumn="0" w:oddVBand="0" w:evenVBand="1" w:oddHBand="0" w:evenHBand="0" w:firstRowFirstColumn="0" w:firstRowLastColumn="0" w:lastRowFirstColumn="0" w:lastRowLastColumn="0"/>
            <w:tcW w:w="4860" w:type="dxa"/>
          </w:tcPr>
          <w:p w14:paraId="26ABD83F"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 xml:space="preserve">Area and </w:t>
            </w:r>
            <w:r w:rsidR="00EF4C39" w:rsidRPr="00CE60B2">
              <w:rPr>
                <w:rFonts w:ascii="Segoe UI" w:hAnsi="Segoe UI" w:cs="Segoe UI"/>
                <w:szCs w:val="20"/>
              </w:rPr>
              <w:t>per cent</w:t>
            </w:r>
            <w:r w:rsidRPr="00CE60B2">
              <w:rPr>
                <w:rFonts w:ascii="Segoe UI" w:hAnsi="Segoe UI" w:cs="Segoe UI"/>
                <w:szCs w:val="20"/>
              </w:rPr>
              <w:t xml:space="preserve"> of forest affected by abiotic agents (e.g. fire, storm, land clearance) beyond reference conditions</w:t>
            </w:r>
          </w:p>
        </w:tc>
        <w:tc>
          <w:tcPr>
            <w:tcW w:w="1350" w:type="dxa"/>
          </w:tcPr>
          <w:p w14:paraId="26ABD840"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3.1a</w:t>
            </w:r>
          </w:p>
          <w:p w14:paraId="26ABD841"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3.1b</w:t>
            </w:r>
          </w:p>
        </w:tc>
        <w:tc>
          <w:tcPr>
            <w:cnfStyle w:val="000001000000" w:firstRow="0" w:lastRow="0" w:firstColumn="0" w:lastColumn="0" w:oddVBand="0" w:evenVBand="1" w:oddHBand="0" w:evenHBand="0" w:firstRowFirstColumn="0" w:firstRowLastColumn="0" w:lastRowFirstColumn="0" w:lastRowLastColumn="0"/>
            <w:tcW w:w="1350" w:type="dxa"/>
          </w:tcPr>
          <w:p w14:paraId="26ABD842"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bl>
    <w:p w14:paraId="26ABD844" w14:textId="77777777" w:rsidR="005100CC" w:rsidRPr="000F7899" w:rsidRDefault="005100CC" w:rsidP="005100CC">
      <w:pPr>
        <w:rPr>
          <w:rFonts w:cs="Segoe UI"/>
        </w:rPr>
      </w:pPr>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849"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shd w:val="clear" w:color="auto" w:fill="DFEFE1" w:themeFill="accent3" w:themeFillTint="66"/>
          </w:tcPr>
          <w:p w14:paraId="26ABD845"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lastRenderedPageBreak/>
              <w:t xml:space="preserve">Australia's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846"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Australia's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847" w14:textId="77777777" w:rsidR="005100CC" w:rsidRPr="00CE60B2" w:rsidRDefault="00A515C1" w:rsidP="00892FEB">
            <w:pPr>
              <w:pStyle w:val="TableHeading"/>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848" w14:textId="77777777" w:rsidR="005100CC" w:rsidRPr="00CE60B2" w:rsidRDefault="00A515C1" w:rsidP="00892FEB">
            <w:pPr>
              <w:pStyle w:val="TableHeading"/>
              <w:jc w:val="right"/>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Partial alignment</w:t>
            </w:r>
          </w:p>
        </w:tc>
      </w:tr>
      <w:tr w:rsidR="005100CC" w:rsidRPr="00CE60B2" w14:paraId="26ABD84F"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4A"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3.1a</w:t>
            </w:r>
          </w:p>
        </w:tc>
        <w:tc>
          <w:tcPr>
            <w:cnfStyle w:val="000001000000" w:firstRow="0" w:lastRow="0" w:firstColumn="0" w:lastColumn="0" w:oddVBand="0" w:evenVBand="1" w:oddHBand="0" w:evenHBand="0" w:firstRowFirstColumn="0" w:firstRowLastColumn="0" w:lastRowFirstColumn="0" w:lastRowLastColumn="0"/>
            <w:tcW w:w="4860" w:type="dxa"/>
          </w:tcPr>
          <w:p w14:paraId="26ABD84B"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Scale and impact of agents and processes affecting forest health and vitality</w:t>
            </w:r>
          </w:p>
        </w:tc>
        <w:tc>
          <w:tcPr>
            <w:tcW w:w="1350" w:type="dxa"/>
          </w:tcPr>
          <w:p w14:paraId="26ABD84C"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3.a</w:t>
            </w:r>
          </w:p>
          <w:p w14:paraId="26ABD84D"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3.b</w:t>
            </w:r>
          </w:p>
        </w:tc>
        <w:tc>
          <w:tcPr>
            <w:cnfStyle w:val="000001000000" w:firstRow="0" w:lastRow="0" w:firstColumn="0" w:lastColumn="0" w:oddVBand="0" w:evenVBand="1" w:oddHBand="0" w:evenHBand="0" w:firstRowFirstColumn="0" w:firstRowLastColumn="0" w:lastRowFirstColumn="0" w:lastRowLastColumn="0"/>
            <w:tcW w:w="1350" w:type="dxa"/>
          </w:tcPr>
          <w:p w14:paraId="26ABD84E"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54"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50"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3.1b</w:t>
            </w:r>
          </w:p>
        </w:tc>
        <w:tc>
          <w:tcPr>
            <w:cnfStyle w:val="000001000000" w:firstRow="0" w:lastRow="0" w:firstColumn="0" w:lastColumn="0" w:oddVBand="0" w:evenVBand="1" w:oddHBand="0" w:evenHBand="0" w:firstRowFirstColumn="0" w:firstRowLastColumn="0" w:lastRowFirstColumn="0" w:lastRowLastColumn="0"/>
            <w:tcW w:w="4860" w:type="dxa"/>
          </w:tcPr>
          <w:p w14:paraId="26ABD851"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Area of forest burnt by planned and unplanned fire</w:t>
            </w:r>
          </w:p>
        </w:tc>
        <w:tc>
          <w:tcPr>
            <w:tcW w:w="1350" w:type="dxa"/>
          </w:tcPr>
          <w:p w14:paraId="26ABD852"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3.b</w:t>
            </w:r>
          </w:p>
        </w:tc>
        <w:tc>
          <w:tcPr>
            <w:cnfStyle w:val="000001000000" w:firstRow="0" w:lastRow="0" w:firstColumn="0" w:lastColumn="0" w:oddVBand="0" w:evenVBand="1" w:oddHBand="0" w:evenHBand="0" w:firstRowFirstColumn="0" w:firstRowLastColumn="0" w:lastRowFirstColumn="0" w:lastRowLastColumn="0"/>
            <w:tcW w:w="1350" w:type="dxa"/>
          </w:tcPr>
          <w:p w14:paraId="26ABD853"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bl>
    <w:p w14:paraId="26ABD855" w14:textId="77777777" w:rsidR="005100CC" w:rsidRPr="00CE60B2" w:rsidRDefault="005100CC" w:rsidP="002B601A">
      <w:pPr>
        <w:pStyle w:val="Heading5"/>
        <w:rPr>
          <w:rFonts w:cs="Segoe UI"/>
        </w:rPr>
      </w:pPr>
      <w:bookmarkStart w:id="229" w:name="_Toc510535061"/>
      <w:bookmarkStart w:id="230" w:name="_Toc524952843"/>
      <w:r w:rsidRPr="00CE60B2">
        <w:rPr>
          <w:rFonts w:cs="Segoe UI"/>
        </w:rPr>
        <w:t>Criterion 4 Conservation and maintenance of soil and water resources</w:t>
      </w:r>
      <w:bookmarkEnd w:id="229"/>
      <w:bookmarkEnd w:id="230"/>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85A" w14:textId="77777777" w:rsidTr="00D26B91">
        <w:trPr>
          <w:cnfStyle w:val="000000010000" w:firstRow="0" w:lastRow="0" w:firstColumn="0" w:lastColumn="0" w:oddVBand="0" w:evenVBand="0" w:oddHBand="0" w:evenHBand="1" w:firstRowFirstColumn="0" w:firstRowLastColumn="0" w:lastRowFirstColumn="0" w:lastRowLastColumn="0"/>
          <w:tblHeader/>
        </w:trPr>
        <w:tc>
          <w:tcPr>
            <w:tcW w:w="1440" w:type="dxa"/>
            <w:shd w:val="clear" w:color="auto" w:fill="DFEFE1" w:themeFill="accent3" w:themeFillTint="66"/>
          </w:tcPr>
          <w:p w14:paraId="26ABD856"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857"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858" w14:textId="77777777" w:rsidR="005100CC" w:rsidRPr="00CE60B2" w:rsidRDefault="005100CC" w:rsidP="00892FEB">
            <w:pPr>
              <w:pStyle w:val="TableHeading"/>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859" w14:textId="77777777" w:rsidR="005100CC" w:rsidRPr="00CE60B2" w:rsidRDefault="005100CC" w:rsidP="00892FEB">
            <w:pPr>
              <w:pStyle w:val="TableHeading"/>
              <w:jc w:val="right"/>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Partial alignment</w:t>
            </w:r>
          </w:p>
        </w:tc>
      </w:tr>
      <w:tr w:rsidR="005100CC" w:rsidRPr="00CE60B2" w14:paraId="26ABD85F"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5B"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4.1</w:t>
            </w:r>
          </w:p>
        </w:tc>
        <w:tc>
          <w:tcPr>
            <w:cnfStyle w:val="000001000000" w:firstRow="0" w:lastRow="0" w:firstColumn="0" w:lastColumn="0" w:oddVBand="0" w:evenVBand="1" w:oddHBand="0" w:evenHBand="0" w:firstRowFirstColumn="0" w:firstRowLastColumn="0" w:lastRowFirstColumn="0" w:lastRowLastColumn="0"/>
            <w:tcW w:w="4860" w:type="dxa"/>
          </w:tcPr>
          <w:p w14:paraId="26ABD85C"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Protective function</w:t>
            </w:r>
          </w:p>
        </w:tc>
        <w:tc>
          <w:tcPr>
            <w:tcW w:w="1350" w:type="dxa"/>
          </w:tcPr>
          <w:p w14:paraId="26ABD85D"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85E"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64"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60" w14:textId="5BEA016C"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4.1a</w:t>
            </w:r>
          </w:p>
        </w:tc>
        <w:tc>
          <w:tcPr>
            <w:cnfStyle w:val="000001000000" w:firstRow="0" w:lastRow="0" w:firstColumn="0" w:lastColumn="0" w:oddVBand="0" w:evenVBand="1" w:oddHBand="0" w:evenHBand="0" w:firstRowFirstColumn="0" w:firstRowLastColumn="0" w:lastRowFirstColumn="0" w:lastRowLastColumn="0"/>
            <w:tcW w:w="4860" w:type="dxa"/>
          </w:tcPr>
          <w:p w14:paraId="26ABD861"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 xml:space="preserve">Area and </w:t>
            </w:r>
            <w:r w:rsidR="00EF4C39" w:rsidRPr="00CE60B2">
              <w:rPr>
                <w:rFonts w:ascii="Segoe UI" w:hAnsi="Segoe UI" w:cs="Segoe UI"/>
                <w:szCs w:val="20"/>
              </w:rPr>
              <w:t>per cent</w:t>
            </w:r>
            <w:r w:rsidRPr="00CE60B2">
              <w:rPr>
                <w:rFonts w:ascii="Segoe UI" w:hAnsi="Segoe UI" w:cs="Segoe UI"/>
                <w:szCs w:val="20"/>
              </w:rPr>
              <w:t xml:space="preserve"> of forest whose designation or land management focus is the protection of soil or water resources</w:t>
            </w:r>
          </w:p>
        </w:tc>
        <w:tc>
          <w:tcPr>
            <w:tcW w:w="1350" w:type="dxa"/>
          </w:tcPr>
          <w:p w14:paraId="26ABD862"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4.1a</w:t>
            </w:r>
          </w:p>
        </w:tc>
        <w:tc>
          <w:tcPr>
            <w:cnfStyle w:val="000001000000" w:firstRow="0" w:lastRow="0" w:firstColumn="0" w:lastColumn="0" w:oddVBand="0" w:evenVBand="1" w:oddHBand="0" w:evenHBand="0" w:firstRowFirstColumn="0" w:firstRowLastColumn="0" w:lastRowFirstColumn="0" w:lastRowLastColumn="0"/>
            <w:tcW w:w="1350" w:type="dxa"/>
          </w:tcPr>
          <w:p w14:paraId="26ABD863"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69"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65"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4.2</w:t>
            </w:r>
          </w:p>
        </w:tc>
        <w:tc>
          <w:tcPr>
            <w:cnfStyle w:val="000001000000" w:firstRow="0" w:lastRow="0" w:firstColumn="0" w:lastColumn="0" w:oddVBand="0" w:evenVBand="1" w:oddHBand="0" w:evenHBand="0" w:firstRowFirstColumn="0" w:firstRowLastColumn="0" w:lastRowFirstColumn="0" w:lastRowLastColumn="0"/>
            <w:tcW w:w="4860" w:type="dxa"/>
          </w:tcPr>
          <w:p w14:paraId="26ABD866"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Soil</w:t>
            </w:r>
          </w:p>
        </w:tc>
        <w:tc>
          <w:tcPr>
            <w:tcW w:w="1350" w:type="dxa"/>
          </w:tcPr>
          <w:p w14:paraId="26ABD867"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868"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6F"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6A" w14:textId="0A7FF2BD"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4.2a</w:t>
            </w:r>
          </w:p>
        </w:tc>
        <w:tc>
          <w:tcPr>
            <w:cnfStyle w:val="000001000000" w:firstRow="0" w:lastRow="0" w:firstColumn="0" w:lastColumn="0" w:oddVBand="0" w:evenVBand="1" w:oddHBand="0" w:evenHBand="0" w:firstRowFirstColumn="0" w:firstRowLastColumn="0" w:lastRowFirstColumn="0" w:lastRowLastColumn="0"/>
            <w:tcW w:w="4860" w:type="dxa"/>
          </w:tcPr>
          <w:p w14:paraId="26ABD86B"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Proportion of forest management activities that meet best management practices or other relevant legislation to protect soil resources</w:t>
            </w:r>
          </w:p>
        </w:tc>
        <w:tc>
          <w:tcPr>
            <w:tcW w:w="1350" w:type="dxa"/>
          </w:tcPr>
          <w:p w14:paraId="26ABD86C"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4.1b</w:t>
            </w:r>
          </w:p>
          <w:p w14:paraId="26ABD86D"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4.1c</w:t>
            </w:r>
          </w:p>
        </w:tc>
        <w:tc>
          <w:tcPr>
            <w:cnfStyle w:val="000001000000" w:firstRow="0" w:lastRow="0" w:firstColumn="0" w:lastColumn="0" w:oddVBand="0" w:evenVBand="1" w:oddHBand="0" w:evenHBand="0" w:firstRowFirstColumn="0" w:firstRowLastColumn="0" w:lastRowFirstColumn="0" w:lastRowLastColumn="0"/>
            <w:tcW w:w="1350" w:type="dxa"/>
          </w:tcPr>
          <w:p w14:paraId="26ABD86E"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74"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70" w14:textId="3272E5DB"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4.2b</w:t>
            </w:r>
          </w:p>
        </w:tc>
        <w:tc>
          <w:tcPr>
            <w:cnfStyle w:val="000001000000" w:firstRow="0" w:lastRow="0" w:firstColumn="0" w:lastColumn="0" w:oddVBand="0" w:evenVBand="1" w:oddHBand="0" w:evenHBand="0" w:firstRowFirstColumn="0" w:firstRowLastColumn="0" w:lastRowFirstColumn="0" w:lastRowLastColumn="0"/>
            <w:tcW w:w="4860" w:type="dxa"/>
          </w:tcPr>
          <w:p w14:paraId="26ABD871"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 xml:space="preserve">Area and </w:t>
            </w:r>
            <w:r w:rsidR="00EF4C39" w:rsidRPr="00CE60B2">
              <w:rPr>
                <w:rFonts w:ascii="Segoe UI" w:hAnsi="Segoe UI" w:cs="Segoe UI"/>
                <w:szCs w:val="20"/>
              </w:rPr>
              <w:t>per cent</w:t>
            </w:r>
            <w:r w:rsidRPr="00CE60B2">
              <w:rPr>
                <w:rFonts w:ascii="Segoe UI" w:hAnsi="Segoe UI" w:cs="Segoe UI"/>
                <w:szCs w:val="20"/>
              </w:rPr>
              <w:t xml:space="preserve"> of forest land with significant soil degradation</w:t>
            </w:r>
          </w:p>
        </w:tc>
        <w:tc>
          <w:tcPr>
            <w:tcW w:w="1350" w:type="dxa"/>
          </w:tcPr>
          <w:p w14:paraId="26ABD872"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873"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79"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75"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4.3</w:t>
            </w:r>
          </w:p>
        </w:tc>
        <w:tc>
          <w:tcPr>
            <w:cnfStyle w:val="000001000000" w:firstRow="0" w:lastRow="0" w:firstColumn="0" w:lastColumn="0" w:oddVBand="0" w:evenVBand="1" w:oddHBand="0" w:evenHBand="0" w:firstRowFirstColumn="0" w:firstRowLastColumn="0" w:lastRowFirstColumn="0" w:lastRowLastColumn="0"/>
            <w:tcW w:w="4860" w:type="dxa"/>
          </w:tcPr>
          <w:p w14:paraId="26ABD876"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Water</w:t>
            </w:r>
          </w:p>
        </w:tc>
        <w:tc>
          <w:tcPr>
            <w:tcW w:w="1350" w:type="dxa"/>
          </w:tcPr>
          <w:p w14:paraId="26ABD877"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878"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7F"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7A" w14:textId="4E0FE101"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4.3a</w:t>
            </w:r>
          </w:p>
        </w:tc>
        <w:tc>
          <w:tcPr>
            <w:cnfStyle w:val="000001000000" w:firstRow="0" w:lastRow="0" w:firstColumn="0" w:lastColumn="0" w:oddVBand="0" w:evenVBand="1" w:oddHBand="0" w:evenHBand="0" w:firstRowFirstColumn="0" w:firstRowLastColumn="0" w:lastRowFirstColumn="0" w:lastRowLastColumn="0"/>
            <w:tcW w:w="4860" w:type="dxa"/>
          </w:tcPr>
          <w:p w14:paraId="26ABD87B"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Proportion of forest management activities that meet best management practices, or other relevant legislation, to protect water related resources</w:t>
            </w:r>
          </w:p>
        </w:tc>
        <w:tc>
          <w:tcPr>
            <w:tcW w:w="1350" w:type="dxa"/>
          </w:tcPr>
          <w:p w14:paraId="26ABD87C"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4.1d</w:t>
            </w:r>
          </w:p>
          <w:p w14:paraId="26ABD87D"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4.1e</w:t>
            </w:r>
          </w:p>
        </w:tc>
        <w:tc>
          <w:tcPr>
            <w:cnfStyle w:val="000001000000" w:firstRow="0" w:lastRow="0" w:firstColumn="0" w:lastColumn="0" w:oddVBand="0" w:evenVBand="1" w:oddHBand="0" w:evenHBand="0" w:firstRowFirstColumn="0" w:firstRowLastColumn="0" w:lastRowFirstColumn="0" w:lastRowLastColumn="0"/>
            <w:tcW w:w="1350" w:type="dxa"/>
          </w:tcPr>
          <w:p w14:paraId="26ABD87E"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84"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80" w14:textId="08C1B8C3"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lastRenderedPageBreak/>
              <w:t>4.3b</w:t>
            </w:r>
          </w:p>
        </w:tc>
        <w:tc>
          <w:tcPr>
            <w:cnfStyle w:val="000001000000" w:firstRow="0" w:lastRow="0" w:firstColumn="0" w:lastColumn="0" w:oddVBand="0" w:evenVBand="1" w:oddHBand="0" w:evenHBand="0" w:firstRowFirstColumn="0" w:firstRowLastColumn="0" w:lastRowFirstColumn="0" w:lastRowLastColumn="0"/>
            <w:tcW w:w="4860" w:type="dxa"/>
          </w:tcPr>
          <w:p w14:paraId="26ABD881"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 xml:space="preserve">Area and </w:t>
            </w:r>
            <w:r w:rsidR="00EF4C39" w:rsidRPr="00CE60B2">
              <w:rPr>
                <w:rFonts w:ascii="Segoe UI" w:hAnsi="Segoe UI" w:cs="Segoe UI"/>
                <w:szCs w:val="20"/>
              </w:rPr>
              <w:t>per cent</w:t>
            </w:r>
            <w:r w:rsidRPr="00CE60B2">
              <w:rPr>
                <w:rFonts w:ascii="Segoe UI" w:hAnsi="Segoe UI" w:cs="Segoe UI"/>
                <w:szCs w:val="20"/>
              </w:rPr>
              <w:t xml:space="preserve"> of water bodies, or stream length, in forest areas with significant change in physical, chemical or biological properties from reference conditions</w:t>
            </w:r>
          </w:p>
        </w:tc>
        <w:tc>
          <w:tcPr>
            <w:tcW w:w="1350" w:type="dxa"/>
          </w:tcPr>
          <w:p w14:paraId="26ABD882"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883"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bl>
    <w:p w14:paraId="26ABD885" w14:textId="77777777" w:rsidR="005100CC" w:rsidRPr="00CE60B2" w:rsidRDefault="005100CC" w:rsidP="005100CC">
      <w:pPr>
        <w:rPr>
          <w:rFonts w:cs="Segoe UI"/>
          <w:sz w:val="20"/>
          <w:szCs w:val="20"/>
        </w:rPr>
      </w:pPr>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88A"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shd w:val="clear" w:color="auto" w:fill="DFEFE1" w:themeFill="accent3" w:themeFillTint="66"/>
          </w:tcPr>
          <w:p w14:paraId="26ABD886"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Australia's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887"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Australia's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888" w14:textId="77777777" w:rsidR="005100CC" w:rsidRPr="00CE60B2" w:rsidRDefault="00A515C1" w:rsidP="00892FEB">
            <w:pPr>
              <w:pStyle w:val="TableHeading"/>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889" w14:textId="77777777" w:rsidR="005100CC" w:rsidRPr="00CE60B2" w:rsidRDefault="00A515C1" w:rsidP="00892FEB">
            <w:pPr>
              <w:pStyle w:val="TableHeading"/>
              <w:jc w:val="right"/>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Partial alignment</w:t>
            </w:r>
          </w:p>
        </w:tc>
      </w:tr>
      <w:tr w:rsidR="005100CC" w:rsidRPr="00CE60B2" w14:paraId="26ABD88F"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8B"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4.1a</w:t>
            </w:r>
          </w:p>
        </w:tc>
        <w:tc>
          <w:tcPr>
            <w:cnfStyle w:val="000001000000" w:firstRow="0" w:lastRow="0" w:firstColumn="0" w:lastColumn="0" w:oddVBand="0" w:evenVBand="1" w:oddHBand="0" w:evenHBand="0" w:firstRowFirstColumn="0" w:firstRowLastColumn="0" w:lastRowFirstColumn="0" w:lastRowLastColumn="0"/>
            <w:tcW w:w="4860" w:type="dxa"/>
          </w:tcPr>
          <w:p w14:paraId="26ABD88C"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Area of forest land managed primarily for protective functions</w:t>
            </w:r>
          </w:p>
        </w:tc>
        <w:tc>
          <w:tcPr>
            <w:tcW w:w="1350" w:type="dxa"/>
          </w:tcPr>
          <w:p w14:paraId="26ABD88D"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4.1.a</w:t>
            </w:r>
          </w:p>
        </w:tc>
        <w:tc>
          <w:tcPr>
            <w:cnfStyle w:val="000001000000" w:firstRow="0" w:lastRow="0" w:firstColumn="0" w:lastColumn="0" w:oddVBand="0" w:evenVBand="1" w:oddHBand="0" w:evenHBand="0" w:firstRowFirstColumn="0" w:firstRowLastColumn="0" w:lastRowFirstColumn="0" w:lastRowLastColumn="0"/>
            <w:tcW w:w="1350" w:type="dxa"/>
          </w:tcPr>
          <w:p w14:paraId="26ABD88E"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94"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90"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4.1b</w:t>
            </w:r>
          </w:p>
        </w:tc>
        <w:tc>
          <w:tcPr>
            <w:cnfStyle w:val="000001000000" w:firstRow="0" w:lastRow="0" w:firstColumn="0" w:lastColumn="0" w:oddVBand="0" w:evenVBand="1" w:oddHBand="0" w:evenHBand="0" w:firstRowFirstColumn="0" w:firstRowLastColumn="0" w:lastRowFirstColumn="0" w:lastRowLastColumn="0"/>
            <w:tcW w:w="4860" w:type="dxa"/>
          </w:tcPr>
          <w:p w14:paraId="26ABD891"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Management of the risk of soil erosion in forests</w:t>
            </w:r>
          </w:p>
        </w:tc>
        <w:tc>
          <w:tcPr>
            <w:tcW w:w="1350" w:type="dxa"/>
          </w:tcPr>
          <w:p w14:paraId="26ABD892"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4.2.a</w:t>
            </w:r>
          </w:p>
        </w:tc>
        <w:tc>
          <w:tcPr>
            <w:cnfStyle w:val="000001000000" w:firstRow="0" w:lastRow="0" w:firstColumn="0" w:lastColumn="0" w:oddVBand="0" w:evenVBand="1" w:oddHBand="0" w:evenHBand="0" w:firstRowFirstColumn="0" w:firstRowLastColumn="0" w:lastRowFirstColumn="0" w:lastRowLastColumn="0"/>
            <w:tcW w:w="1350" w:type="dxa"/>
          </w:tcPr>
          <w:p w14:paraId="26ABD893"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99"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95"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4.1c</w:t>
            </w:r>
          </w:p>
        </w:tc>
        <w:tc>
          <w:tcPr>
            <w:cnfStyle w:val="000001000000" w:firstRow="0" w:lastRow="0" w:firstColumn="0" w:lastColumn="0" w:oddVBand="0" w:evenVBand="1" w:oddHBand="0" w:evenHBand="0" w:firstRowFirstColumn="0" w:firstRowLastColumn="0" w:lastRowFirstColumn="0" w:lastRowLastColumn="0"/>
            <w:tcW w:w="4860" w:type="dxa"/>
          </w:tcPr>
          <w:p w14:paraId="26ABD896"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Management of the risks to soil physical properties in forests</w:t>
            </w:r>
          </w:p>
        </w:tc>
        <w:tc>
          <w:tcPr>
            <w:tcW w:w="1350" w:type="dxa"/>
          </w:tcPr>
          <w:p w14:paraId="26ABD897"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4.2.a</w:t>
            </w:r>
          </w:p>
        </w:tc>
        <w:tc>
          <w:tcPr>
            <w:cnfStyle w:val="000001000000" w:firstRow="0" w:lastRow="0" w:firstColumn="0" w:lastColumn="0" w:oddVBand="0" w:evenVBand="1" w:oddHBand="0" w:evenHBand="0" w:firstRowFirstColumn="0" w:firstRowLastColumn="0" w:lastRowFirstColumn="0" w:lastRowLastColumn="0"/>
            <w:tcW w:w="1350" w:type="dxa"/>
          </w:tcPr>
          <w:p w14:paraId="26ABD898"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9E"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9A"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4.1d</w:t>
            </w:r>
          </w:p>
        </w:tc>
        <w:tc>
          <w:tcPr>
            <w:cnfStyle w:val="000001000000" w:firstRow="0" w:lastRow="0" w:firstColumn="0" w:lastColumn="0" w:oddVBand="0" w:evenVBand="1" w:oddHBand="0" w:evenHBand="0" w:firstRowFirstColumn="0" w:firstRowLastColumn="0" w:lastRowFirstColumn="0" w:lastRowLastColumn="0"/>
            <w:tcW w:w="4860" w:type="dxa"/>
          </w:tcPr>
          <w:p w14:paraId="26ABD89B"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Management of the risks to water quantity from forests</w:t>
            </w:r>
          </w:p>
        </w:tc>
        <w:tc>
          <w:tcPr>
            <w:tcW w:w="1350" w:type="dxa"/>
          </w:tcPr>
          <w:p w14:paraId="26ABD89C"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4.3.a</w:t>
            </w:r>
          </w:p>
        </w:tc>
        <w:tc>
          <w:tcPr>
            <w:cnfStyle w:val="000001000000" w:firstRow="0" w:lastRow="0" w:firstColumn="0" w:lastColumn="0" w:oddVBand="0" w:evenVBand="1" w:oddHBand="0" w:evenHBand="0" w:firstRowFirstColumn="0" w:firstRowLastColumn="0" w:lastRowFirstColumn="0" w:lastRowLastColumn="0"/>
            <w:tcW w:w="1350" w:type="dxa"/>
          </w:tcPr>
          <w:p w14:paraId="26ABD89D"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A3"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9F"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4.1e</w:t>
            </w:r>
          </w:p>
        </w:tc>
        <w:tc>
          <w:tcPr>
            <w:cnfStyle w:val="000001000000" w:firstRow="0" w:lastRow="0" w:firstColumn="0" w:lastColumn="0" w:oddVBand="0" w:evenVBand="1" w:oddHBand="0" w:evenHBand="0" w:firstRowFirstColumn="0" w:firstRowLastColumn="0" w:lastRowFirstColumn="0" w:lastRowLastColumn="0"/>
            <w:tcW w:w="4860" w:type="dxa"/>
          </w:tcPr>
          <w:p w14:paraId="26ABD8A0"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Management of the risks to water quality in forests</w:t>
            </w:r>
          </w:p>
        </w:tc>
        <w:tc>
          <w:tcPr>
            <w:tcW w:w="1350" w:type="dxa"/>
          </w:tcPr>
          <w:p w14:paraId="26ABD8A1"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4.3.a</w:t>
            </w:r>
          </w:p>
        </w:tc>
        <w:tc>
          <w:tcPr>
            <w:cnfStyle w:val="000001000000" w:firstRow="0" w:lastRow="0" w:firstColumn="0" w:lastColumn="0" w:oddVBand="0" w:evenVBand="1" w:oddHBand="0" w:evenHBand="0" w:firstRowFirstColumn="0" w:firstRowLastColumn="0" w:lastRowFirstColumn="0" w:lastRowLastColumn="0"/>
            <w:tcW w:w="1350" w:type="dxa"/>
          </w:tcPr>
          <w:p w14:paraId="26ABD8A2"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bl>
    <w:p w14:paraId="26ABD8A5" w14:textId="5D52D869" w:rsidR="00B40388" w:rsidRPr="000F7899" w:rsidRDefault="00B40388" w:rsidP="000F7899">
      <w:pPr>
        <w:rPr>
          <w:rFonts w:cs="Segoe UI"/>
        </w:rPr>
      </w:pPr>
    </w:p>
    <w:p w14:paraId="26ABD8A6" w14:textId="77777777" w:rsidR="005100CC" w:rsidRPr="00CE60B2" w:rsidRDefault="005100CC" w:rsidP="002B601A">
      <w:pPr>
        <w:pStyle w:val="Heading5"/>
        <w:rPr>
          <w:rFonts w:cs="Segoe UI"/>
        </w:rPr>
      </w:pPr>
      <w:bookmarkStart w:id="231" w:name="_Toc510535062"/>
      <w:bookmarkStart w:id="232" w:name="_Toc524952844"/>
      <w:r w:rsidRPr="00CE60B2">
        <w:rPr>
          <w:rFonts w:cs="Segoe UI"/>
        </w:rPr>
        <w:lastRenderedPageBreak/>
        <w:t>Criterion 5 Maintenance of forest contribution to global carbon cycles</w:t>
      </w:r>
      <w:bookmarkEnd w:id="231"/>
      <w:bookmarkEnd w:id="232"/>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8AB"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shd w:val="clear" w:color="auto" w:fill="DFEFE1" w:themeFill="accent3" w:themeFillTint="66"/>
          </w:tcPr>
          <w:p w14:paraId="26ABD8A7"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8A8"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8A9" w14:textId="77777777" w:rsidR="005100CC" w:rsidRPr="00CE60B2" w:rsidRDefault="005100CC" w:rsidP="00892FEB">
            <w:pPr>
              <w:pStyle w:val="TableHeading"/>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8AA" w14:textId="77777777" w:rsidR="005100CC" w:rsidRPr="00CE60B2" w:rsidRDefault="005100CC" w:rsidP="00892FEB">
            <w:pPr>
              <w:pStyle w:val="TableHeading"/>
              <w:jc w:val="right"/>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Partial alignment</w:t>
            </w:r>
          </w:p>
        </w:tc>
      </w:tr>
      <w:tr w:rsidR="005100CC" w:rsidRPr="00CE60B2" w14:paraId="26ABD8B0"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AC"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5.a</w:t>
            </w:r>
          </w:p>
        </w:tc>
        <w:tc>
          <w:tcPr>
            <w:cnfStyle w:val="000001000000" w:firstRow="0" w:lastRow="0" w:firstColumn="0" w:lastColumn="0" w:oddVBand="0" w:evenVBand="1" w:oddHBand="0" w:evenHBand="0" w:firstRowFirstColumn="0" w:firstRowLastColumn="0" w:lastRowFirstColumn="0" w:lastRowLastColumn="0"/>
            <w:tcW w:w="4860" w:type="dxa"/>
          </w:tcPr>
          <w:p w14:paraId="26ABD8AD"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Total forest ecosystem carbon pools and fluxes</w:t>
            </w:r>
          </w:p>
        </w:tc>
        <w:tc>
          <w:tcPr>
            <w:tcW w:w="1350" w:type="dxa"/>
          </w:tcPr>
          <w:p w14:paraId="26ABD8AE"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5.1a</w:t>
            </w:r>
          </w:p>
        </w:tc>
        <w:tc>
          <w:tcPr>
            <w:cnfStyle w:val="000001000000" w:firstRow="0" w:lastRow="0" w:firstColumn="0" w:lastColumn="0" w:oddVBand="0" w:evenVBand="1" w:oddHBand="0" w:evenHBand="0" w:firstRowFirstColumn="0" w:firstRowLastColumn="0" w:lastRowFirstColumn="0" w:lastRowLastColumn="0"/>
            <w:tcW w:w="1350" w:type="dxa"/>
          </w:tcPr>
          <w:p w14:paraId="26ABD8AF"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B5"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B1"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5.b</w:t>
            </w:r>
          </w:p>
        </w:tc>
        <w:tc>
          <w:tcPr>
            <w:cnfStyle w:val="000001000000" w:firstRow="0" w:lastRow="0" w:firstColumn="0" w:lastColumn="0" w:oddVBand="0" w:evenVBand="1" w:oddHBand="0" w:evenHBand="0" w:firstRowFirstColumn="0" w:firstRowLastColumn="0" w:lastRowFirstColumn="0" w:lastRowLastColumn="0"/>
            <w:tcW w:w="4860" w:type="dxa"/>
          </w:tcPr>
          <w:p w14:paraId="26ABD8B2"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Total forest product carbon pools and fluxes</w:t>
            </w:r>
          </w:p>
        </w:tc>
        <w:tc>
          <w:tcPr>
            <w:tcW w:w="1350" w:type="dxa"/>
          </w:tcPr>
          <w:p w14:paraId="26ABD8B3"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5.1a</w:t>
            </w:r>
          </w:p>
        </w:tc>
        <w:tc>
          <w:tcPr>
            <w:cnfStyle w:val="000001000000" w:firstRow="0" w:lastRow="0" w:firstColumn="0" w:lastColumn="0" w:oddVBand="0" w:evenVBand="1" w:oddHBand="0" w:evenHBand="0" w:firstRowFirstColumn="0" w:firstRowLastColumn="0" w:lastRowFirstColumn="0" w:lastRowLastColumn="0"/>
            <w:tcW w:w="1350" w:type="dxa"/>
          </w:tcPr>
          <w:p w14:paraId="26ABD8B4"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BA"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B6" w14:textId="77777777" w:rsidR="005100CC" w:rsidRPr="000F7899" w:rsidRDefault="005100CC" w:rsidP="00892FEB">
            <w:pPr>
              <w:pStyle w:val="TableText0"/>
              <w:rPr>
                <w:rFonts w:ascii="Segoe UI" w:hAnsi="Segoe UI" w:cs="Segoe UI"/>
                <w:bCs/>
                <w:szCs w:val="20"/>
              </w:rPr>
            </w:pPr>
            <w:r w:rsidRPr="000F7899">
              <w:rPr>
                <w:rFonts w:ascii="Segoe UI" w:hAnsi="Segoe UI" w:cs="Segoe UI"/>
                <w:bCs/>
                <w:szCs w:val="20"/>
              </w:rPr>
              <w:t>5.c</w:t>
            </w:r>
          </w:p>
        </w:tc>
        <w:tc>
          <w:tcPr>
            <w:cnfStyle w:val="000001000000" w:firstRow="0" w:lastRow="0" w:firstColumn="0" w:lastColumn="0" w:oddVBand="0" w:evenVBand="1" w:oddHBand="0" w:evenHBand="0" w:firstRowFirstColumn="0" w:firstRowLastColumn="0" w:lastRowFirstColumn="0" w:lastRowLastColumn="0"/>
            <w:tcW w:w="4860" w:type="dxa"/>
          </w:tcPr>
          <w:p w14:paraId="26ABD8B7"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Avoided fossil fuel carbon emissions</w:t>
            </w:r>
          </w:p>
        </w:tc>
        <w:tc>
          <w:tcPr>
            <w:tcW w:w="1350" w:type="dxa"/>
          </w:tcPr>
          <w:p w14:paraId="26ABD8B8"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8B9"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5.1a</w:t>
            </w:r>
          </w:p>
        </w:tc>
      </w:tr>
    </w:tbl>
    <w:p w14:paraId="26ABD8BB" w14:textId="77777777" w:rsidR="005100CC" w:rsidRPr="00CE60B2" w:rsidRDefault="005100CC" w:rsidP="005100CC">
      <w:pPr>
        <w:rPr>
          <w:rFonts w:cs="Segoe UI"/>
          <w:sz w:val="20"/>
          <w:szCs w:val="20"/>
        </w:rPr>
      </w:pPr>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8C0"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shd w:val="clear" w:color="auto" w:fill="DFEFE1" w:themeFill="accent3" w:themeFillTint="66"/>
          </w:tcPr>
          <w:p w14:paraId="26ABD8BC"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Australia's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8BD"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Australia's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8BE" w14:textId="77777777" w:rsidR="005100CC" w:rsidRPr="00CE60B2" w:rsidRDefault="00A515C1" w:rsidP="00892FEB">
            <w:pPr>
              <w:pStyle w:val="TableHeading"/>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8BF" w14:textId="77777777" w:rsidR="005100CC" w:rsidRPr="00CE60B2" w:rsidRDefault="00A515C1" w:rsidP="00892FEB">
            <w:pPr>
              <w:pStyle w:val="TableHeading"/>
              <w:jc w:val="right"/>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Partial alignment</w:t>
            </w:r>
          </w:p>
        </w:tc>
      </w:tr>
      <w:tr w:rsidR="005100CC" w:rsidRPr="00CE60B2" w14:paraId="26ABD8C6"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C1"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5.1a</w:t>
            </w:r>
          </w:p>
        </w:tc>
        <w:tc>
          <w:tcPr>
            <w:cnfStyle w:val="000001000000" w:firstRow="0" w:lastRow="0" w:firstColumn="0" w:lastColumn="0" w:oddVBand="0" w:evenVBand="1" w:oddHBand="0" w:evenHBand="0" w:firstRowFirstColumn="0" w:firstRowLastColumn="0" w:lastRowFirstColumn="0" w:lastRowLastColumn="0"/>
            <w:tcW w:w="4860" w:type="dxa"/>
          </w:tcPr>
          <w:p w14:paraId="26ABD8C2"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Contribution of forest ecosystems and forest industries to the global greenhouse gas balance</w:t>
            </w:r>
          </w:p>
        </w:tc>
        <w:tc>
          <w:tcPr>
            <w:tcW w:w="1350" w:type="dxa"/>
          </w:tcPr>
          <w:p w14:paraId="26ABD8C3"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5.a</w:t>
            </w:r>
          </w:p>
          <w:p w14:paraId="26ABD8C4"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5.b</w:t>
            </w:r>
          </w:p>
        </w:tc>
        <w:tc>
          <w:tcPr>
            <w:cnfStyle w:val="000001000000" w:firstRow="0" w:lastRow="0" w:firstColumn="0" w:lastColumn="0" w:oddVBand="0" w:evenVBand="1" w:oddHBand="0" w:evenHBand="0" w:firstRowFirstColumn="0" w:firstRowLastColumn="0" w:lastRowFirstColumn="0" w:lastRowLastColumn="0"/>
            <w:tcW w:w="1350" w:type="dxa"/>
          </w:tcPr>
          <w:p w14:paraId="26ABD8C5"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5.c</w:t>
            </w:r>
          </w:p>
        </w:tc>
      </w:tr>
    </w:tbl>
    <w:p w14:paraId="26ABD8C7" w14:textId="3CAD93B8" w:rsidR="00D26B91" w:rsidRDefault="00D26B91" w:rsidP="00C903EE">
      <w:pPr>
        <w:pStyle w:val="Heading2"/>
        <w:spacing w:before="120" w:after="120" w:line="240" w:lineRule="auto"/>
        <w:rPr>
          <w:rStyle w:val="Heading2Char"/>
          <w:color w:val="auto"/>
          <w:sz w:val="22"/>
          <w:szCs w:val="22"/>
        </w:rPr>
      </w:pPr>
    </w:p>
    <w:p w14:paraId="6A08D7E0" w14:textId="77777777" w:rsidR="00D26B91" w:rsidRDefault="00D26B91">
      <w:pPr>
        <w:spacing w:before="0" w:after="480" w:line="276" w:lineRule="auto"/>
        <w:rPr>
          <w:rStyle w:val="Heading2Char"/>
          <w:b w:val="0"/>
          <w:color w:val="auto"/>
          <w:sz w:val="22"/>
          <w:szCs w:val="22"/>
        </w:rPr>
      </w:pPr>
      <w:r>
        <w:rPr>
          <w:rStyle w:val="Heading2Char"/>
          <w:color w:val="auto"/>
          <w:sz w:val="22"/>
          <w:szCs w:val="22"/>
        </w:rPr>
        <w:br w:type="page"/>
      </w:r>
    </w:p>
    <w:p w14:paraId="26ABD8C9" w14:textId="77777777" w:rsidR="005100CC" w:rsidRPr="00CE60B2" w:rsidRDefault="005100CC" w:rsidP="002B601A">
      <w:pPr>
        <w:pStyle w:val="Heading5"/>
        <w:rPr>
          <w:rFonts w:cs="Segoe UI"/>
        </w:rPr>
      </w:pPr>
      <w:bookmarkStart w:id="233" w:name="_Toc510535063"/>
      <w:bookmarkStart w:id="234" w:name="_Toc524952845"/>
      <w:r w:rsidRPr="00CE60B2">
        <w:rPr>
          <w:rFonts w:cs="Segoe UI"/>
        </w:rPr>
        <w:lastRenderedPageBreak/>
        <w:t>Criterion 6 Maintenance and enhancement of long-term multiple socio-economic benefits to meet the needs of societies</w:t>
      </w:r>
      <w:bookmarkEnd w:id="233"/>
      <w:bookmarkEnd w:id="234"/>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8CE" w14:textId="77777777" w:rsidTr="00C903EE">
        <w:trPr>
          <w:cnfStyle w:val="000000010000" w:firstRow="0" w:lastRow="0" w:firstColumn="0" w:lastColumn="0" w:oddVBand="0" w:evenVBand="0" w:oddHBand="0" w:evenHBand="1" w:firstRowFirstColumn="0" w:firstRowLastColumn="0" w:lastRowFirstColumn="0" w:lastRowLastColumn="0"/>
          <w:tblHeader/>
        </w:trPr>
        <w:tc>
          <w:tcPr>
            <w:tcW w:w="1440" w:type="dxa"/>
            <w:shd w:val="clear" w:color="auto" w:fill="DFEFE1" w:themeFill="accent3" w:themeFillTint="66"/>
          </w:tcPr>
          <w:p w14:paraId="26ABD8CA"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8CB"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8CC" w14:textId="77777777" w:rsidR="005100CC" w:rsidRPr="00CE60B2" w:rsidRDefault="005100CC" w:rsidP="00892FEB">
            <w:pPr>
              <w:pStyle w:val="TableHeading"/>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8CD" w14:textId="77777777" w:rsidR="005100CC" w:rsidRPr="00CE60B2" w:rsidRDefault="005100CC" w:rsidP="00892FEB">
            <w:pPr>
              <w:pStyle w:val="TableHeading"/>
              <w:jc w:val="right"/>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Partial alignment</w:t>
            </w:r>
          </w:p>
        </w:tc>
      </w:tr>
      <w:tr w:rsidR="005100CC" w:rsidRPr="00CE60B2" w14:paraId="26ABD8D3"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CF" w14:textId="77777777" w:rsidR="005100CC" w:rsidRPr="00C903EE" w:rsidRDefault="005100CC" w:rsidP="00892FEB">
            <w:pPr>
              <w:pStyle w:val="TableText0"/>
              <w:rPr>
                <w:rFonts w:ascii="Segoe UI" w:hAnsi="Segoe UI" w:cs="Segoe UI"/>
                <w:szCs w:val="20"/>
              </w:rPr>
            </w:pPr>
            <w:r w:rsidRPr="00C903EE">
              <w:rPr>
                <w:rFonts w:ascii="Segoe UI" w:hAnsi="Segoe UI" w:cs="Segoe UI"/>
                <w:bCs/>
                <w:szCs w:val="20"/>
              </w:rPr>
              <w:t>6.1</w:t>
            </w:r>
          </w:p>
        </w:tc>
        <w:tc>
          <w:tcPr>
            <w:cnfStyle w:val="000001000000" w:firstRow="0" w:lastRow="0" w:firstColumn="0" w:lastColumn="0" w:oddVBand="0" w:evenVBand="1" w:oddHBand="0" w:evenHBand="0" w:firstRowFirstColumn="0" w:firstRowLastColumn="0" w:lastRowFirstColumn="0" w:lastRowLastColumn="0"/>
            <w:tcW w:w="4860" w:type="dxa"/>
          </w:tcPr>
          <w:p w14:paraId="26ABD8D0"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Production and consumption</w:t>
            </w:r>
          </w:p>
        </w:tc>
        <w:tc>
          <w:tcPr>
            <w:tcW w:w="1350" w:type="dxa"/>
          </w:tcPr>
          <w:p w14:paraId="26ABD8D1"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8D2"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D8"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D4" w14:textId="20BFC6FF"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6.1a</w:t>
            </w:r>
          </w:p>
        </w:tc>
        <w:tc>
          <w:tcPr>
            <w:cnfStyle w:val="000001000000" w:firstRow="0" w:lastRow="0" w:firstColumn="0" w:lastColumn="0" w:oddVBand="0" w:evenVBand="1" w:oddHBand="0" w:evenHBand="0" w:firstRowFirstColumn="0" w:firstRowLastColumn="0" w:lastRowFirstColumn="0" w:lastRowLastColumn="0"/>
            <w:tcW w:w="4860" w:type="dxa"/>
          </w:tcPr>
          <w:p w14:paraId="26ABD8D5"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Value and volume of wood and wood products production, including primary and secondary processing</w:t>
            </w:r>
          </w:p>
        </w:tc>
        <w:tc>
          <w:tcPr>
            <w:tcW w:w="1350" w:type="dxa"/>
          </w:tcPr>
          <w:p w14:paraId="26ABD8D6"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6.1a</w:t>
            </w:r>
          </w:p>
        </w:tc>
        <w:tc>
          <w:tcPr>
            <w:cnfStyle w:val="000001000000" w:firstRow="0" w:lastRow="0" w:firstColumn="0" w:lastColumn="0" w:oddVBand="0" w:evenVBand="1" w:oddHBand="0" w:evenHBand="0" w:firstRowFirstColumn="0" w:firstRowLastColumn="0" w:lastRowFirstColumn="0" w:lastRowLastColumn="0"/>
            <w:tcW w:w="1350" w:type="dxa"/>
          </w:tcPr>
          <w:p w14:paraId="26ABD8D7"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DD"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D9" w14:textId="479C8A1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6.1b</w:t>
            </w:r>
          </w:p>
        </w:tc>
        <w:tc>
          <w:tcPr>
            <w:cnfStyle w:val="000001000000" w:firstRow="0" w:lastRow="0" w:firstColumn="0" w:lastColumn="0" w:oddVBand="0" w:evenVBand="1" w:oddHBand="0" w:evenHBand="0" w:firstRowFirstColumn="0" w:firstRowLastColumn="0" w:lastRowFirstColumn="0" w:lastRowLastColumn="0"/>
            <w:tcW w:w="4860" w:type="dxa"/>
          </w:tcPr>
          <w:p w14:paraId="26ABD8DA"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Value of non-wood forest products produced or collected</w:t>
            </w:r>
          </w:p>
        </w:tc>
        <w:tc>
          <w:tcPr>
            <w:tcW w:w="1350" w:type="dxa"/>
          </w:tcPr>
          <w:p w14:paraId="26ABD8DB"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6.1b</w:t>
            </w:r>
          </w:p>
        </w:tc>
        <w:tc>
          <w:tcPr>
            <w:cnfStyle w:val="000001000000" w:firstRow="0" w:lastRow="0" w:firstColumn="0" w:lastColumn="0" w:oddVBand="0" w:evenVBand="1" w:oddHBand="0" w:evenHBand="0" w:firstRowFirstColumn="0" w:firstRowLastColumn="0" w:lastRowFirstColumn="0" w:lastRowLastColumn="0"/>
            <w:tcW w:w="1350" w:type="dxa"/>
          </w:tcPr>
          <w:p w14:paraId="26ABD8DC"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E2"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DE" w14:textId="513E06E3"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6.1c</w:t>
            </w:r>
          </w:p>
        </w:tc>
        <w:tc>
          <w:tcPr>
            <w:cnfStyle w:val="000001000000" w:firstRow="0" w:lastRow="0" w:firstColumn="0" w:lastColumn="0" w:oddVBand="0" w:evenVBand="1" w:oddHBand="0" w:evenHBand="0" w:firstRowFirstColumn="0" w:firstRowLastColumn="0" w:lastRowFirstColumn="0" w:lastRowLastColumn="0"/>
            <w:tcW w:w="4860" w:type="dxa"/>
          </w:tcPr>
          <w:p w14:paraId="26ABD8DF"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Revenue from forest based environmental services</w:t>
            </w:r>
          </w:p>
        </w:tc>
        <w:tc>
          <w:tcPr>
            <w:tcW w:w="1350" w:type="dxa"/>
          </w:tcPr>
          <w:p w14:paraId="26ABD8E0"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6.1c</w:t>
            </w:r>
          </w:p>
        </w:tc>
        <w:tc>
          <w:tcPr>
            <w:cnfStyle w:val="000001000000" w:firstRow="0" w:lastRow="0" w:firstColumn="0" w:lastColumn="0" w:oddVBand="0" w:evenVBand="1" w:oddHBand="0" w:evenHBand="0" w:firstRowFirstColumn="0" w:firstRowLastColumn="0" w:lastRowFirstColumn="0" w:lastRowLastColumn="0"/>
            <w:tcW w:w="1350" w:type="dxa"/>
          </w:tcPr>
          <w:p w14:paraId="26ABD8E1"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E7"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E3" w14:textId="0DE12E35"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6.1d</w:t>
            </w:r>
          </w:p>
        </w:tc>
        <w:tc>
          <w:tcPr>
            <w:cnfStyle w:val="000001000000" w:firstRow="0" w:lastRow="0" w:firstColumn="0" w:lastColumn="0" w:oddVBand="0" w:evenVBand="1" w:oddHBand="0" w:evenHBand="0" w:firstRowFirstColumn="0" w:firstRowLastColumn="0" w:lastRowFirstColumn="0" w:lastRowLastColumn="0"/>
            <w:tcW w:w="4860" w:type="dxa"/>
          </w:tcPr>
          <w:p w14:paraId="26ABD8E4"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Total and per capita consumption of wood and wood products in round wood equivalents</w:t>
            </w:r>
          </w:p>
        </w:tc>
        <w:tc>
          <w:tcPr>
            <w:tcW w:w="1350" w:type="dxa"/>
          </w:tcPr>
          <w:p w14:paraId="26ABD8E5"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6.1d</w:t>
            </w:r>
          </w:p>
        </w:tc>
        <w:tc>
          <w:tcPr>
            <w:cnfStyle w:val="000001000000" w:firstRow="0" w:lastRow="0" w:firstColumn="0" w:lastColumn="0" w:oddVBand="0" w:evenVBand="1" w:oddHBand="0" w:evenHBand="0" w:firstRowFirstColumn="0" w:firstRowLastColumn="0" w:lastRowFirstColumn="0" w:lastRowLastColumn="0"/>
            <w:tcW w:w="1350" w:type="dxa"/>
          </w:tcPr>
          <w:p w14:paraId="26ABD8E6"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EC"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E8" w14:textId="112C7EF1"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6.1e</w:t>
            </w:r>
          </w:p>
        </w:tc>
        <w:tc>
          <w:tcPr>
            <w:cnfStyle w:val="000001000000" w:firstRow="0" w:lastRow="0" w:firstColumn="0" w:lastColumn="0" w:oddVBand="0" w:evenVBand="1" w:oddHBand="0" w:evenHBand="0" w:firstRowFirstColumn="0" w:firstRowLastColumn="0" w:lastRowFirstColumn="0" w:lastRowLastColumn="0"/>
            <w:tcW w:w="4860" w:type="dxa"/>
          </w:tcPr>
          <w:p w14:paraId="26ABD8E9"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Total and per capita consumption of non-wood products</w:t>
            </w:r>
          </w:p>
        </w:tc>
        <w:tc>
          <w:tcPr>
            <w:tcW w:w="1350" w:type="dxa"/>
          </w:tcPr>
          <w:p w14:paraId="26ABD8EA"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6.1d</w:t>
            </w:r>
          </w:p>
        </w:tc>
        <w:tc>
          <w:tcPr>
            <w:cnfStyle w:val="000001000000" w:firstRow="0" w:lastRow="0" w:firstColumn="0" w:lastColumn="0" w:oddVBand="0" w:evenVBand="1" w:oddHBand="0" w:evenHBand="0" w:firstRowFirstColumn="0" w:firstRowLastColumn="0" w:lastRowFirstColumn="0" w:lastRowLastColumn="0"/>
            <w:tcW w:w="1350" w:type="dxa"/>
          </w:tcPr>
          <w:p w14:paraId="26ABD8EB"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F1"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ED" w14:textId="4D20A4B4"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6.1f</w:t>
            </w:r>
          </w:p>
        </w:tc>
        <w:tc>
          <w:tcPr>
            <w:cnfStyle w:val="000001000000" w:firstRow="0" w:lastRow="0" w:firstColumn="0" w:lastColumn="0" w:oddVBand="0" w:evenVBand="1" w:oddHBand="0" w:evenHBand="0" w:firstRowFirstColumn="0" w:firstRowLastColumn="0" w:lastRowFirstColumn="0" w:lastRowLastColumn="0"/>
            <w:tcW w:w="4860" w:type="dxa"/>
          </w:tcPr>
          <w:p w14:paraId="26ABD8EE"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Value and volume in round wood equivalents of exports and imports of wood products</w:t>
            </w:r>
          </w:p>
        </w:tc>
        <w:tc>
          <w:tcPr>
            <w:tcW w:w="1350" w:type="dxa"/>
          </w:tcPr>
          <w:p w14:paraId="26ABD8EF"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6.1d</w:t>
            </w:r>
          </w:p>
        </w:tc>
        <w:tc>
          <w:tcPr>
            <w:cnfStyle w:val="000001000000" w:firstRow="0" w:lastRow="0" w:firstColumn="0" w:lastColumn="0" w:oddVBand="0" w:evenVBand="1" w:oddHBand="0" w:evenHBand="0" w:firstRowFirstColumn="0" w:firstRowLastColumn="0" w:lastRowFirstColumn="0" w:lastRowLastColumn="0"/>
            <w:tcW w:w="1350" w:type="dxa"/>
          </w:tcPr>
          <w:p w14:paraId="26ABD8F0"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F6"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F2" w14:textId="7D13A9E0"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6.1g</w:t>
            </w:r>
          </w:p>
        </w:tc>
        <w:tc>
          <w:tcPr>
            <w:cnfStyle w:val="000001000000" w:firstRow="0" w:lastRow="0" w:firstColumn="0" w:lastColumn="0" w:oddVBand="0" w:evenVBand="1" w:oddHBand="0" w:evenHBand="0" w:firstRowFirstColumn="0" w:firstRowLastColumn="0" w:lastRowFirstColumn="0" w:lastRowLastColumn="0"/>
            <w:tcW w:w="4860" w:type="dxa"/>
          </w:tcPr>
          <w:p w14:paraId="26ABD8F3"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Value of exports and imports of non-wood products</w:t>
            </w:r>
          </w:p>
        </w:tc>
        <w:tc>
          <w:tcPr>
            <w:tcW w:w="1350" w:type="dxa"/>
          </w:tcPr>
          <w:p w14:paraId="26ABD8F4"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6.1d</w:t>
            </w:r>
          </w:p>
        </w:tc>
        <w:tc>
          <w:tcPr>
            <w:cnfStyle w:val="000001000000" w:firstRow="0" w:lastRow="0" w:firstColumn="0" w:lastColumn="0" w:oddVBand="0" w:evenVBand="1" w:oddHBand="0" w:evenHBand="0" w:firstRowFirstColumn="0" w:firstRowLastColumn="0" w:lastRowFirstColumn="0" w:lastRowLastColumn="0"/>
            <w:tcW w:w="1350" w:type="dxa"/>
          </w:tcPr>
          <w:p w14:paraId="26ABD8F5"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8FB"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8F7" w14:textId="65D06F1F"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6.1h</w:t>
            </w:r>
          </w:p>
        </w:tc>
        <w:tc>
          <w:tcPr>
            <w:cnfStyle w:val="000001000000" w:firstRow="0" w:lastRow="0" w:firstColumn="0" w:lastColumn="0" w:oddVBand="0" w:evenVBand="1" w:oddHBand="0" w:evenHBand="0" w:firstRowFirstColumn="0" w:firstRowLastColumn="0" w:lastRowFirstColumn="0" w:lastRowLastColumn="0"/>
            <w:tcW w:w="4860" w:type="dxa"/>
          </w:tcPr>
          <w:p w14:paraId="26ABD8F8"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Exports as a share of wood and wood products production and imports as a share of wood and wood products consumption</w:t>
            </w:r>
          </w:p>
        </w:tc>
        <w:tc>
          <w:tcPr>
            <w:tcW w:w="1350" w:type="dxa"/>
          </w:tcPr>
          <w:p w14:paraId="26ABD8F9"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8FA"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6.1d</w:t>
            </w:r>
          </w:p>
        </w:tc>
      </w:tr>
      <w:tr w:rsidR="005100CC" w:rsidRPr="00CE60B2" w14:paraId="26ABD900"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8FC" w14:textId="41032F4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6.1i</w:t>
            </w:r>
          </w:p>
        </w:tc>
        <w:tc>
          <w:tcPr>
            <w:cnfStyle w:val="000001000000" w:firstRow="0" w:lastRow="0" w:firstColumn="0" w:lastColumn="0" w:oddVBand="0" w:evenVBand="1" w:oddHBand="0" w:evenHBand="0" w:firstRowFirstColumn="0" w:firstRowLastColumn="0" w:lastRowFirstColumn="0" w:lastRowLastColumn="0"/>
            <w:tcW w:w="4860" w:type="dxa"/>
          </w:tcPr>
          <w:p w14:paraId="26ABD8FD"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 xml:space="preserve">Recovery or recycling of forest products as a </w:t>
            </w:r>
            <w:r w:rsidR="00EF4C39" w:rsidRPr="00CE60B2">
              <w:rPr>
                <w:rFonts w:ascii="Segoe UI" w:hAnsi="Segoe UI" w:cs="Segoe UI"/>
                <w:szCs w:val="20"/>
              </w:rPr>
              <w:t>per cent</w:t>
            </w:r>
            <w:r w:rsidRPr="00CE60B2">
              <w:rPr>
                <w:rFonts w:ascii="Segoe UI" w:hAnsi="Segoe UI" w:cs="Segoe UI"/>
                <w:szCs w:val="20"/>
              </w:rPr>
              <w:t xml:space="preserve"> of total forest products consumption</w:t>
            </w:r>
          </w:p>
        </w:tc>
        <w:tc>
          <w:tcPr>
            <w:tcW w:w="1350" w:type="dxa"/>
          </w:tcPr>
          <w:p w14:paraId="26ABD8FE"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6.1e</w:t>
            </w:r>
          </w:p>
        </w:tc>
        <w:tc>
          <w:tcPr>
            <w:cnfStyle w:val="000001000000" w:firstRow="0" w:lastRow="0" w:firstColumn="0" w:lastColumn="0" w:oddVBand="0" w:evenVBand="1" w:oddHBand="0" w:evenHBand="0" w:firstRowFirstColumn="0" w:firstRowLastColumn="0" w:lastRowFirstColumn="0" w:lastRowLastColumn="0"/>
            <w:tcW w:w="1350" w:type="dxa"/>
          </w:tcPr>
          <w:p w14:paraId="26ABD8FF"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05"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01"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6.2</w:t>
            </w:r>
          </w:p>
        </w:tc>
        <w:tc>
          <w:tcPr>
            <w:cnfStyle w:val="000001000000" w:firstRow="0" w:lastRow="0" w:firstColumn="0" w:lastColumn="0" w:oddVBand="0" w:evenVBand="1" w:oddHBand="0" w:evenHBand="0" w:firstRowFirstColumn="0" w:firstRowLastColumn="0" w:lastRowFirstColumn="0" w:lastRowLastColumn="0"/>
            <w:tcW w:w="4860" w:type="dxa"/>
          </w:tcPr>
          <w:p w14:paraId="26ABD902"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Investment in the forest sector</w:t>
            </w:r>
          </w:p>
        </w:tc>
        <w:tc>
          <w:tcPr>
            <w:tcW w:w="1350" w:type="dxa"/>
          </w:tcPr>
          <w:p w14:paraId="26ABD903"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04"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0A"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06" w14:textId="0DC87996"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6.2a</w:t>
            </w:r>
          </w:p>
        </w:tc>
        <w:tc>
          <w:tcPr>
            <w:cnfStyle w:val="000001000000" w:firstRow="0" w:lastRow="0" w:firstColumn="0" w:lastColumn="0" w:oddVBand="0" w:evenVBand="1" w:oddHBand="0" w:evenHBand="0" w:firstRowFirstColumn="0" w:firstRowLastColumn="0" w:lastRowFirstColumn="0" w:lastRowLastColumn="0"/>
            <w:tcW w:w="4860" w:type="dxa"/>
          </w:tcPr>
          <w:p w14:paraId="26ABD907"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Value of capital investment and annual expenditure in forest management, wood and non-wood product industries, forest-based environmental services, recreation and tourism</w:t>
            </w:r>
          </w:p>
        </w:tc>
        <w:tc>
          <w:tcPr>
            <w:tcW w:w="1350" w:type="dxa"/>
          </w:tcPr>
          <w:p w14:paraId="26ABD908"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6.2a</w:t>
            </w:r>
          </w:p>
        </w:tc>
        <w:tc>
          <w:tcPr>
            <w:cnfStyle w:val="000001000000" w:firstRow="0" w:lastRow="0" w:firstColumn="0" w:lastColumn="0" w:oddVBand="0" w:evenVBand="1" w:oddHBand="0" w:evenHBand="0" w:firstRowFirstColumn="0" w:firstRowLastColumn="0" w:lastRowFirstColumn="0" w:lastRowLastColumn="0"/>
            <w:tcW w:w="1350" w:type="dxa"/>
          </w:tcPr>
          <w:p w14:paraId="26ABD909"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0F"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0B" w14:textId="27EEC523"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lastRenderedPageBreak/>
              <w:t>6.2b</w:t>
            </w:r>
          </w:p>
        </w:tc>
        <w:tc>
          <w:tcPr>
            <w:cnfStyle w:val="000001000000" w:firstRow="0" w:lastRow="0" w:firstColumn="0" w:lastColumn="0" w:oddVBand="0" w:evenVBand="1" w:oddHBand="0" w:evenHBand="0" w:firstRowFirstColumn="0" w:firstRowLastColumn="0" w:lastRowFirstColumn="0" w:lastRowLastColumn="0"/>
            <w:tcW w:w="4860" w:type="dxa"/>
          </w:tcPr>
          <w:p w14:paraId="26ABD90C"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Annual investment and expenditure in forest-related research, extension and development, and education</w:t>
            </w:r>
          </w:p>
        </w:tc>
        <w:tc>
          <w:tcPr>
            <w:tcW w:w="1350" w:type="dxa"/>
          </w:tcPr>
          <w:p w14:paraId="26ABD90D"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6.2b</w:t>
            </w:r>
          </w:p>
        </w:tc>
        <w:tc>
          <w:tcPr>
            <w:cnfStyle w:val="000001000000" w:firstRow="0" w:lastRow="0" w:firstColumn="0" w:lastColumn="0" w:oddVBand="0" w:evenVBand="1" w:oddHBand="0" w:evenHBand="0" w:firstRowFirstColumn="0" w:firstRowLastColumn="0" w:lastRowFirstColumn="0" w:lastRowLastColumn="0"/>
            <w:tcW w:w="1350" w:type="dxa"/>
          </w:tcPr>
          <w:p w14:paraId="26ABD90E"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14"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10"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6.3</w:t>
            </w:r>
          </w:p>
        </w:tc>
        <w:tc>
          <w:tcPr>
            <w:cnfStyle w:val="000001000000" w:firstRow="0" w:lastRow="0" w:firstColumn="0" w:lastColumn="0" w:oddVBand="0" w:evenVBand="1" w:oddHBand="0" w:evenHBand="0" w:firstRowFirstColumn="0" w:firstRowLastColumn="0" w:lastRowFirstColumn="0" w:lastRowLastColumn="0"/>
            <w:tcW w:w="4860" w:type="dxa"/>
          </w:tcPr>
          <w:p w14:paraId="26ABD911"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Employment and community needs</w:t>
            </w:r>
          </w:p>
        </w:tc>
        <w:tc>
          <w:tcPr>
            <w:tcW w:w="1350" w:type="dxa"/>
          </w:tcPr>
          <w:p w14:paraId="26ABD912"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13"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19"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15" w14:textId="60E4D446"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6.3a</w:t>
            </w:r>
          </w:p>
        </w:tc>
        <w:tc>
          <w:tcPr>
            <w:cnfStyle w:val="000001000000" w:firstRow="0" w:lastRow="0" w:firstColumn="0" w:lastColumn="0" w:oddVBand="0" w:evenVBand="1" w:oddHBand="0" w:evenHBand="0" w:firstRowFirstColumn="0" w:firstRowLastColumn="0" w:lastRowFirstColumn="0" w:lastRowLastColumn="0"/>
            <w:tcW w:w="4860" w:type="dxa"/>
          </w:tcPr>
          <w:p w14:paraId="26ABD916"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Employment in the forest sector</w:t>
            </w:r>
          </w:p>
        </w:tc>
        <w:tc>
          <w:tcPr>
            <w:tcW w:w="1350" w:type="dxa"/>
          </w:tcPr>
          <w:p w14:paraId="26ABD917"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6.5a</w:t>
            </w:r>
          </w:p>
        </w:tc>
        <w:tc>
          <w:tcPr>
            <w:cnfStyle w:val="000001000000" w:firstRow="0" w:lastRow="0" w:firstColumn="0" w:lastColumn="0" w:oddVBand="0" w:evenVBand="1" w:oddHBand="0" w:evenHBand="0" w:firstRowFirstColumn="0" w:firstRowLastColumn="0" w:lastRowFirstColumn="0" w:lastRowLastColumn="0"/>
            <w:tcW w:w="1350" w:type="dxa"/>
          </w:tcPr>
          <w:p w14:paraId="26ABD918"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1E"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1A" w14:textId="2A906902"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6.3b</w:t>
            </w:r>
          </w:p>
        </w:tc>
        <w:tc>
          <w:tcPr>
            <w:cnfStyle w:val="000001000000" w:firstRow="0" w:lastRow="0" w:firstColumn="0" w:lastColumn="0" w:oddVBand="0" w:evenVBand="1" w:oddHBand="0" w:evenHBand="0" w:firstRowFirstColumn="0" w:firstRowLastColumn="0" w:lastRowFirstColumn="0" w:lastRowLastColumn="0"/>
            <w:tcW w:w="4860" w:type="dxa"/>
          </w:tcPr>
          <w:p w14:paraId="26ABD91B"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Average wage rates, annual average income and annual injury rates in major forest employment categories</w:t>
            </w:r>
          </w:p>
        </w:tc>
        <w:tc>
          <w:tcPr>
            <w:tcW w:w="1350" w:type="dxa"/>
          </w:tcPr>
          <w:p w14:paraId="26ABD91C"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6.5b</w:t>
            </w:r>
          </w:p>
        </w:tc>
        <w:tc>
          <w:tcPr>
            <w:cnfStyle w:val="000001000000" w:firstRow="0" w:lastRow="0" w:firstColumn="0" w:lastColumn="0" w:oddVBand="0" w:evenVBand="1" w:oddHBand="0" w:evenHBand="0" w:firstRowFirstColumn="0" w:firstRowLastColumn="0" w:lastRowFirstColumn="0" w:lastRowLastColumn="0"/>
            <w:tcW w:w="1350" w:type="dxa"/>
          </w:tcPr>
          <w:p w14:paraId="26ABD91D"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23"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1F"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6.3.c</w:t>
            </w:r>
          </w:p>
        </w:tc>
        <w:tc>
          <w:tcPr>
            <w:cnfStyle w:val="000001000000" w:firstRow="0" w:lastRow="0" w:firstColumn="0" w:lastColumn="0" w:oddVBand="0" w:evenVBand="1" w:oddHBand="0" w:evenHBand="0" w:firstRowFirstColumn="0" w:firstRowLastColumn="0" w:lastRowFirstColumn="0" w:lastRowLastColumn="0"/>
            <w:tcW w:w="4860" w:type="dxa"/>
          </w:tcPr>
          <w:p w14:paraId="26ABD920"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Resilience of forest-dependent communities</w:t>
            </w:r>
          </w:p>
        </w:tc>
        <w:tc>
          <w:tcPr>
            <w:tcW w:w="1350" w:type="dxa"/>
          </w:tcPr>
          <w:p w14:paraId="26ABD921"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6.5c</w:t>
            </w:r>
          </w:p>
        </w:tc>
        <w:tc>
          <w:tcPr>
            <w:cnfStyle w:val="000001000000" w:firstRow="0" w:lastRow="0" w:firstColumn="0" w:lastColumn="0" w:oddVBand="0" w:evenVBand="1" w:oddHBand="0" w:evenHBand="0" w:firstRowFirstColumn="0" w:firstRowLastColumn="0" w:lastRowFirstColumn="0" w:lastRowLastColumn="0"/>
            <w:tcW w:w="1350" w:type="dxa"/>
          </w:tcPr>
          <w:p w14:paraId="26ABD922"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28"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24" w14:textId="460BA46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6.3d</w:t>
            </w:r>
          </w:p>
        </w:tc>
        <w:tc>
          <w:tcPr>
            <w:cnfStyle w:val="000001000000" w:firstRow="0" w:lastRow="0" w:firstColumn="0" w:lastColumn="0" w:oddVBand="0" w:evenVBand="1" w:oddHBand="0" w:evenHBand="0" w:firstRowFirstColumn="0" w:firstRowLastColumn="0" w:lastRowFirstColumn="0" w:lastRowLastColumn="0"/>
            <w:tcW w:w="4860" w:type="dxa"/>
          </w:tcPr>
          <w:p w14:paraId="26ABD925"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 xml:space="preserve">Area and </w:t>
            </w:r>
            <w:r w:rsidR="00EF4C39" w:rsidRPr="00CE60B2">
              <w:rPr>
                <w:rFonts w:ascii="Segoe UI" w:hAnsi="Segoe UI" w:cs="Segoe UI"/>
                <w:szCs w:val="20"/>
              </w:rPr>
              <w:t>per cent</w:t>
            </w:r>
            <w:r w:rsidRPr="00CE60B2">
              <w:rPr>
                <w:rFonts w:ascii="Segoe UI" w:hAnsi="Segoe UI" w:cs="Segoe UI"/>
                <w:szCs w:val="20"/>
              </w:rPr>
              <w:t xml:space="preserve"> of forests used for subsistence purposes</w:t>
            </w:r>
          </w:p>
        </w:tc>
        <w:tc>
          <w:tcPr>
            <w:tcW w:w="1350" w:type="dxa"/>
          </w:tcPr>
          <w:p w14:paraId="26ABD926"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27"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6.5d</w:t>
            </w:r>
          </w:p>
        </w:tc>
      </w:tr>
      <w:tr w:rsidR="005100CC" w:rsidRPr="00CE60B2" w14:paraId="26ABD92D"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29" w14:textId="571783D2"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6.3e</w:t>
            </w:r>
          </w:p>
        </w:tc>
        <w:tc>
          <w:tcPr>
            <w:cnfStyle w:val="000001000000" w:firstRow="0" w:lastRow="0" w:firstColumn="0" w:lastColumn="0" w:oddVBand="0" w:evenVBand="1" w:oddHBand="0" w:evenHBand="0" w:firstRowFirstColumn="0" w:firstRowLastColumn="0" w:lastRowFirstColumn="0" w:lastRowLastColumn="0"/>
            <w:tcW w:w="4860" w:type="dxa"/>
          </w:tcPr>
          <w:p w14:paraId="26ABD92A"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Distribution of revenues derived from forest management</w:t>
            </w:r>
          </w:p>
        </w:tc>
        <w:tc>
          <w:tcPr>
            <w:tcW w:w="1350" w:type="dxa"/>
          </w:tcPr>
          <w:p w14:paraId="26ABD92B"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2C"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32"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2E"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6.4</w:t>
            </w:r>
          </w:p>
        </w:tc>
        <w:tc>
          <w:tcPr>
            <w:cnfStyle w:val="000001000000" w:firstRow="0" w:lastRow="0" w:firstColumn="0" w:lastColumn="0" w:oddVBand="0" w:evenVBand="1" w:oddHBand="0" w:evenHBand="0" w:firstRowFirstColumn="0" w:firstRowLastColumn="0" w:lastRowFirstColumn="0" w:lastRowLastColumn="0"/>
            <w:tcW w:w="4860" w:type="dxa"/>
          </w:tcPr>
          <w:p w14:paraId="26ABD92F"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Recreation and tourism</w:t>
            </w:r>
          </w:p>
        </w:tc>
        <w:tc>
          <w:tcPr>
            <w:tcW w:w="1350" w:type="dxa"/>
          </w:tcPr>
          <w:p w14:paraId="26ABD930"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31"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37"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33" w14:textId="7A3E9235"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6.4a</w:t>
            </w:r>
          </w:p>
        </w:tc>
        <w:tc>
          <w:tcPr>
            <w:cnfStyle w:val="000001000000" w:firstRow="0" w:lastRow="0" w:firstColumn="0" w:lastColumn="0" w:oddVBand="0" w:evenVBand="1" w:oddHBand="0" w:evenHBand="0" w:firstRowFirstColumn="0" w:firstRowLastColumn="0" w:lastRowFirstColumn="0" w:lastRowLastColumn="0"/>
            <w:tcW w:w="4860" w:type="dxa"/>
          </w:tcPr>
          <w:p w14:paraId="26ABD934"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 xml:space="preserve">Area and </w:t>
            </w:r>
            <w:r w:rsidR="00EF4C39" w:rsidRPr="00CE60B2">
              <w:rPr>
                <w:rFonts w:ascii="Segoe UI" w:hAnsi="Segoe UI" w:cs="Segoe UI"/>
                <w:szCs w:val="20"/>
              </w:rPr>
              <w:t>per cent</w:t>
            </w:r>
            <w:r w:rsidRPr="00CE60B2">
              <w:rPr>
                <w:rFonts w:ascii="Segoe UI" w:hAnsi="Segoe UI" w:cs="Segoe UI"/>
                <w:szCs w:val="20"/>
              </w:rPr>
              <w:t xml:space="preserve"> of forests available and/or managed for public recreation and tourism</w:t>
            </w:r>
          </w:p>
        </w:tc>
        <w:tc>
          <w:tcPr>
            <w:tcW w:w="1350" w:type="dxa"/>
          </w:tcPr>
          <w:p w14:paraId="26ABD935"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6.3a</w:t>
            </w:r>
          </w:p>
        </w:tc>
        <w:tc>
          <w:tcPr>
            <w:cnfStyle w:val="000001000000" w:firstRow="0" w:lastRow="0" w:firstColumn="0" w:lastColumn="0" w:oddVBand="0" w:evenVBand="1" w:oddHBand="0" w:evenHBand="0" w:firstRowFirstColumn="0" w:firstRowLastColumn="0" w:lastRowFirstColumn="0" w:lastRowLastColumn="0"/>
            <w:tcW w:w="1350" w:type="dxa"/>
          </w:tcPr>
          <w:p w14:paraId="26ABD936"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3C"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38" w14:textId="05CCF9F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6.4b</w:t>
            </w:r>
          </w:p>
        </w:tc>
        <w:tc>
          <w:tcPr>
            <w:cnfStyle w:val="000001000000" w:firstRow="0" w:lastRow="0" w:firstColumn="0" w:lastColumn="0" w:oddVBand="0" w:evenVBand="1" w:oddHBand="0" w:evenHBand="0" w:firstRowFirstColumn="0" w:firstRowLastColumn="0" w:lastRowFirstColumn="0" w:lastRowLastColumn="0"/>
            <w:tcW w:w="4860" w:type="dxa"/>
          </w:tcPr>
          <w:p w14:paraId="26ABD939"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Number, type, and geographic distribution of visits attributed to</w:t>
            </w:r>
          </w:p>
        </w:tc>
        <w:tc>
          <w:tcPr>
            <w:tcW w:w="1350" w:type="dxa"/>
          </w:tcPr>
          <w:p w14:paraId="26ABD93A"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6.3b</w:t>
            </w:r>
          </w:p>
        </w:tc>
        <w:tc>
          <w:tcPr>
            <w:cnfStyle w:val="000001000000" w:firstRow="0" w:lastRow="0" w:firstColumn="0" w:lastColumn="0" w:oddVBand="0" w:evenVBand="1" w:oddHBand="0" w:evenHBand="0" w:firstRowFirstColumn="0" w:firstRowLastColumn="0" w:lastRowFirstColumn="0" w:lastRowLastColumn="0"/>
            <w:tcW w:w="1350" w:type="dxa"/>
          </w:tcPr>
          <w:p w14:paraId="26ABD93B"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41"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3D" w14:textId="77777777" w:rsidR="005100CC" w:rsidRPr="00C903EE" w:rsidRDefault="005100CC" w:rsidP="00892FEB">
            <w:pPr>
              <w:pStyle w:val="TableText0"/>
              <w:rPr>
                <w:rFonts w:ascii="Segoe UI" w:hAnsi="Segoe UI" w:cs="Segoe UI"/>
                <w:szCs w:val="20"/>
              </w:rPr>
            </w:pPr>
            <w:r w:rsidRPr="00C903EE">
              <w:rPr>
                <w:rFonts w:ascii="Segoe UI" w:hAnsi="Segoe UI" w:cs="Segoe UI"/>
                <w:bCs/>
                <w:szCs w:val="20"/>
              </w:rPr>
              <w:t>6.5</w:t>
            </w:r>
          </w:p>
        </w:tc>
        <w:tc>
          <w:tcPr>
            <w:cnfStyle w:val="000001000000" w:firstRow="0" w:lastRow="0" w:firstColumn="0" w:lastColumn="0" w:oddVBand="0" w:evenVBand="1" w:oddHBand="0" w:evenHBand="0" w:firstRowFirstColumn="0" w:firstRowLastColumn="0" w:lastRowFirstColumn="0" w:lastRowLastColumn="0"/>
            <w:tcW w:w="4860" w:type="dxa"/>
          </w:tcPr>
          <w:p w14:paraId="26ABD93E"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Cultural, social and spiritual needs and values</w:t>
            </w:r>
          </w:p>
        </w:tc>
        <w:tc>
          <w:tcPr>
            <w:tcW w:w="1350" w:type="dxa"/>
          </w:tcPr>
          <w:p w14:paraId="26ABD93F"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40"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48"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42" w14:textId="4289CA0D"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6.5a</w:t>
            </w:r>
          </w:p>
        </w:tc>
        <w:tc>
          <w:tcPr>
            <w:cnfStyle w:val="000001000000" w:firstRow="0" w:lastRow="0" w:firstColumn="0" w:lastColumn="0" w:oddVBand="0" w:evenVBand="1" w:oddHBand="0" w:evenHBand="0" w:firstRowFirstColumn="0" w:firstRowLastColumn="0" w:lastRowFirstColumn="0" w:lastRowLastColumn="0"/>
            <w:tcW w:w="4860" w:type="dxa"/>
          </w:tcPr>
          <w:p w14:paraId="26ABD943"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 xml:space="preserve">Area and </w:t>
            </w:r>
            <w:r w:rsidR="00EF4C39" w:rsidRPr="00CE60B2">
              <w:rPr>
                <w:rFonts w:ascii="Segoe UI" w:hAnsi="Segoe UI" w:cs="Segoe UI"/>
                <w:szCs w:val="20"/>
              </w:rPr>
              <w:t>per cent</w:t>
            </w:r>
            <w:r w:rsidRPr="00CE60B2">
              <w:rPr>
                <w:rFonts w:ascii="Segoe UI" w:hAnsi="Segoe UI" w:cs="Segoe UI"/>
                <w:szCs w:val="20"/>
              </w:rPr>
              <w:t xml:space="preserve"> of forests managed primarily to protect the range of cultural, social and spiritual needs and values</w:t>
            </w:r>
          </w:p>
        </w:tc>
        <w:tc>
          <w:tcPr>
            <w:tcW w:w="1350" w:type="dxa"/>
          </w:tcPr>
          <w:p w14:paraId="26ABD944"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6.4a</w:t>
            </w:r>
          </w:p>
          <w:p w14:paraId="26ABD945"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6.4b</w:t>
            </w:r>
          </w:p>
          <w:p w14:paraId="26ABD946"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6.4c</w:t>
            </w:r>
          </w:p>
        </w:tc>
        <w:tc>
          <w:tcPr>
            <w:cnfStyle w:val="000001000000" w:firstRow="0" w:lastRow="0" w:firstColumn="0" w:lastColumn="0" w:oddVBand="0" w:evenVBand="1" w:oddHBand="0" w:evenHBand="0" w:firstRowFirstColumn="0" w:firstRowLastColumn="0" w:lastRowFirstColumn="0" w:lastRowLastColumn="0"/>
            <w:tcW w:w="1350" w:type="dxa"/>
          </w:tcPr>
          <w:p w14:paraId="26ABD947"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4D"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49" w14:textId="2A426589"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6.5b</w:t>
            </w:r>
          </w:p>
        </w:tc>
        <w:tc>
          <w:tcPr>
            <w:cnfStyle w:val="000001000000" w:firstRow="0" w:lastRow="0" w:firstColumn="0" w:lastColumn="0" w:oddVBand="0" w:evenVBand="1" w:oddHBand="0" w:evenHBand="0" w:firstRowFirstColumn="0" w:firstRowLastColumn="0" w:lastRowFirstColumn="0" w:lastRowLastColumn="0"/>
            <w:tcW w:w="4860" w:type="dxa"/>
          </w:tcPr>
          <w:p w14:paraId="26ABD94A"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The importance of forests to people</w:t>
            </w:r>
          </w:p>
        </w:tc>
        <w:tc>
          <w:tcPr>
            <w:tcW w:w="1350" w:type="dxa"/>
          </w:tcPr>
          <w:p w14:paraId="26ABD94B"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6.4d</w:t>
            </w:r>
          </w:p>
        </w:tc>
        <w:tc>
          <w:tcPr>
            <w:cnfStyle w:val="000001000000" w:firstRow="0" w:lastRow="0" w:firstColumn="0" w:lastColumn="0" w:oddVBand="0" w:evenVBand="1" w:oddHBand="0" w:evenHBand="0" w:firstRowFirstColumn="0" w:firstRowLastColumn="0" w:lastRowFirstColumn="0" w:lastRowLastColumn="0"/>
            <w:tcW w:w="1350" w:type="dxa"/>
          </w:tcPr>
          <w:p w14:paraId="26ABD94C"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bl>
    <w:p w14:paraId="26ABD94E" w14:textId="77777777" w:rsidR="00B40388" w:rsidRPr="00CE60B2" w:rsidRDefault="00B40388" w:rsidP="005100CC">
      <w:pPr>
        <w:rPr>
          <w:rFonts w:cs="Segoe UI"/>
          <w:sz w:val="20"/>
          <w:szCs w:val="20"/>
        </w:rPr>
      </w:pPr>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955" w14:textId="77777777" w:rsidTr="00C903EE">
        <w:trPr>
          <w:cnfStyle w:val="000000010000" w:firstRow="0" w:lastRow="0" w:firstColumn="0" w:lastColumn="0" w:oddVBand="0" w:evenVBand="0" w:oddHBand="0" w:evenHBand="1" w:firstRowFirstColumn="0" w:firstRowLastColumn="0" w:lastRowFirstColumn="0" w:lastRowLastColumn="0"/>
          <w:tblHeader/>
        </w:trPr>
        <w:tc>
          <w:tcPr>
            <w:tcW w:w="1440" w:type="dxa"/>
            <w:shd w:val="clear" w:color="auto" w:fill="DFEFE1" w:themeFill="accent3" w:themeFillTint="66"/>
          </w:tcPr>
          <w:p w14:paraId="26ABD951"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lastRenderedPageBreak/>
              <w:t xml:space="preserve">Australia's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952"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Australia's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953" w14:textId="77777777" w:rsidR="005100CC" w:rsidRPr="00CE60B2" w:rsidRDefault="00A515C1" w:rsidP="00892FEB">
            <w:pPr>
              <w:pStyle w:val="TableHeading"/>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954" w14:textId="77777777" w:rsidR="005100CC" w:rsidRPr="00CE60B2" w:rsidRDefault="00A515C1" w:rsidP="00892FEB">
            <w:pPr>
              <w:pStyle w:val="TableHeading"/>
              <w:jc w:val="right"/>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Partial alignment</w:t>
            </w:r>
          </w:p>
        </w:tc>
      </w:tr>
      <w:tr w:rsidR="005100CC" w:rsidRPr="00CE60B2" w14:paraId="26ABD95A"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56"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w:t>
            </w:r>
          </w:p>
        </w:tc>
        <w:tc>
          <w:tcPr>
            <w:cnfStyle w:val="000001000000" w:firstRow="0" w:lastRow="0" w:firstColumn="0" w:lastColumn="0" w:oddVBand="0" w:evenVBand="1" w:oddHBand="0" w:evenHBand="0" w:firstRowFirstColumn="0" w:firstRowLastColumn="0" w:lastRowFirstColumn="0" w:lastRowLastColumn="0"/>
            <w:tcW w:w="4860" w:type="dxa"/>
          </w:tcPr>
          <w:p w14:paraId="26ABD957"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Production and consumption</w:t>
            </w:r>
          </w:p>
        </w:tc>
        <w:tc>
          <w:tcPr>
            <w:tcW w:w="1350" w:type="dxa"/>
          </w:tcPr>
          <w:p w14:paraId="26ABD958"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59"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5F"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5B"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6.1a</w:t>
            </w:r>
          </w:p>
        </w:tc>
        <w:tc>
          <w:tcPr>
            <w:cnfStyle w:val="000001000000" w:firstRow="0" w:lastRow="0" w:firstColumn="0" w:lastColumn="0" w:oddVBand="0" w:evenVBand="1" w:oddHBand="0" w:evenHBand="0" w:firstRowFirstColumn="0" w:firstRowLastColumn="0" w:lastRowFirstColumn="0" w:lastRowLastColumn="0"/>
            <w:tcW w:w="4860" w:type="dxa"/>
          </w:tcPr>
          <w:p w14:paraId="26ABD95C"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Value and volume of wood and wood products</w:t>
            </w:r>
          </w:p>
        </w:tc>
        <w:tc>
          <w:tcPr>
            <w:tcW w:w="1350" w:type="dxa"/>
          </w:tcPr>
          <w:p w14:paraId="26ABD95D" w14:textId="1B7BDE50"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6.1a</w:t>
            </w:r>
          </w:p>
        </w:tc>
        <w:tc>
          <w:tcPr>
            <w:cnfStyle w:val="000001000000" w:firstRow="0" w:lastRow="0" w:firstColumn="0" w:lastColumn="0" w:oddVBand="0" w:evenVBand="1" w:oddHBand="0" w:evenHBand="0" w:firstRowFirstColumn="0" w:firstRowLastColumn="0" w:lastRowFirstColumn="0" w:lastRowLastColumn="0"/>
            <w:tcW w:w="1350" w:type="dxa"/>
          </w:tcPr>
          <w:p w14:paraId="26ABD95E"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64"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60"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6.1b</w:t>
            </w:r>
          </w:p>
        </w:tc>
        <w:tc>
          <w:tcPr>
            <w:cnfStyle w:val="000001000000" w:firstRow="0" w:lastRow="0" w:firstColumn="0" w:lastColumn="0" w:oddVBand="0" w:evenVBand="1" w:oddHBand="0" w:evenHBand="0" w:firstRowFirstColumn="0" w:firstRowLastColumn="0" w:lastRowFirstColumn="0" w:lastRowLastColumn="0"/>
            <w:tcW w:w="4860" w:type="dxa"/>
          </w:tcPr>
          <w:p w14:paraId="26ABD961"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Values, quantities and use of non-wood forest products</w:t>
            </w:r>
          </w:p>
        </w:tc>
        <w:tc>
          <w:tcPr>
            <w:tcW w:w="1350" w:type="dxa"/>
          </w:tcPr>
          <w:p w14:paraId="26ABD962" w14:textId="37331369"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6.1b</w:t>
            </w:r>
          </w:p>
        </w:tc>
        <w:tc>
          <w:tcPr>
            <w:cnfStyle w:val="000001000000" w:firstRow="0" w:lastRow="0" w:firstColumn="0" w:lastColumn="0" w:oddVBand="0" w:evenVBand="1" w:oddHBand="0" w:evenHBand="0" w:firstRowFirstColumn="0" w:firstRowLastColumn="0" w:lastRowFirstColumn="0" w:lastRowLastColumn="0"/>
            <w:tcW w:w="1350" w:type="dxa"/>
          </w:tcPr>
          <w:p w14:paraId="26ABD963"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69"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65"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6.1c</w:t>
            </w:r>
          </w:p>
        </w:tc>
        <w:tc>
          <w:tcPr>
            <w:cnfStyle w:val="000001000000" w:firstRow="0" w:lastRow="0" w:firstColumn="0" w:lastColumn="0" w:oddVBand="0" w:evenVBand="1" w:oddHBand="0" w:evenHBand="0" w:firstRowFirstColumn="0" w:firstRowLastColumn="0" w:lastRowFirstColumn="0" w:lastRowLastColumn="0"/>
            <w:tcW w:w="4860" w:type="dxa"/>
          </w:tcPr>
          <w:p w14:paraId="26ABD966"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Value of forest based services</w:t>
            </w:r>
          </w:p>
        </w:tc>
        <w:tc>
          <w:tcPr>
            <w:tcW w:w="1350" w:type="dxa"/>
          </w:tcPr>
          <w:p w14:paraId="26ABD967" w14:textId="70E90B22"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6.1c</w:t>
            </w:r>
          </w:p>
        </w:tc>
        <w:tc>
          <w:tcPr>
            <w:cnfStyle w:val="000001000000" w:firstRow="0" w:lastRow="0" w:firstColumn="0" w:lastColumn="0" w:oddVBand="0" w:evenVBand="1" w:oddHBand="0" w:evenHBand="0" w:firstRowFirstColumn="0" w:firstRowLastColumn="0" w:lastRowFirstColumn="0" w:lastRowLastColumn="0"/>
            <w:tcW w:w="1350" w:type="dxa"/>
          </w:tcPr>
          <w:p w14:paraId="26ABD968"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71"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6A"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6.1d</w:t>
            </w:r>
          </w:p>
        </w:tc>
        <w:tc>
          <w:tcPr>
            <w:cnfStyle w:val="000001000000" w:firstRow="0" w:lastRow="0" w:firstColumn="0" w:lastColumn="0" w:oddVBand="0" w:evenVBand="1" w:oddHBand="0" w:evenHBand="0" w:firstRowFirstColumn="0" w:firstRowLastColumn="0" w:lastRowFirstColumn="0" w:lastRowLastColumn="0"/>
            <w:tcW w:w="4860" w:type="dxa"/>
          </w:tcPr>
          <w:p w14:paraId="26ABD96B"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Production and consumption and import/export of wood, wood products and non-wood products</w:t>
            </w:r>
          </w:p>
        </w:tc>
        <w:tc>
          <w:tcPr>
            <w:tcW w:w="1350" w:type="dxa"/>
          </w:tcPr>
          <w:p w14:paraId="26ABD96C" w14:textId="77C9AF86"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6.1d</w:t>
            </w:r>
          </w:p>
          <w:p w14:paraId="26ABD96D" w14:textId="789FBE4E"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6.1e</w:t>
            </w:r>
          </w:p>
          <w:p w14:paraId="26ABD96E" w14:textId="7A7FE47C"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6.1f</w:t>
            </w:r>
          </w:p>
          <w:p w14:paraId="26ABD96F" w14:textId="592D07FA"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6.1g</w:t>
            </w:r>
          </w:p>
        </w:tc>
        <w:tc>
          <w:tcPr>
            <w:cnfStyle w:val="000001000000" w:firstRow="0" w:lastRow="0" w:firstColumn="0" w:lastColumn="0" w:oddVBand="0" w:evenVBand="1" w:oddHBand="0" w:evenHBand="0" w:firstRowFirstColumn="0" w:firstRowLastColumn="0" w:lastRowFirstColumn="0" w:lastRowLastColumn="0"/>
            <w:tcW w:w="1350" w:type="dxa"/>
          </w:tcPr>
          <w:p w14:paraId="26ABD970" w14:textId="33A59A24"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6.1h</w:t>
            </w:r>
          </w:p>
        </w:tc>
      </w:tr>
      <w:tr w:rsidR="005100CC" w:rsidRPr="00CE60B2" w14:paraId="26ABD976"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72"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6.1e</w:t>
            </w:r>
          </w:p>
        </w:tc>
        <w:tc>
          <w:tcPr>
            <w:cnfStyle w:val="000001000000" w:firstRow="0" w:lastRow="0" w:firstColumn="0" w:lastColumn="0" w:oddVBand="0" w:evenVBand="1" w:oddHBand="0" w:evenHBand="0" w:firstRowFirstColumn="0" w:firstRowLastColumn="0" w:lastRowFirstColumn="0" w:lastRowLastColumn="0"/>
            <w:tcW w:w="4860" w:type="dxa"/>
          </w:tcPr>
          <w:p w14:paraId="26ABD973"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Degree of recycling of forest products</w:t>
            </w:r>
          </w:p>
        </w:tc>
        <w:tc>
          <w:tcPr>
            <w:tcW w:w="1350" w:type="dxa"/>
          </w:tcPr>
          <w:p w14:paraId="26ABD974" w14:textId="1452DB6B"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6.1i</w:t>
            </w:r>
          </w:p>
        </w:tc>
        <w:tc>
          <w:tcPr>
            <w:cnfStyle w:val="000001000000" w:firstRow="0" w:lastRow="0" w:firstColumn="0" w:lastColumn="0" w:oddVBand="0" w:evenVBand="1" w:oddHBand="0" w:evenHBand="0" w:firstRowFirstColumn="0" w:firstRowLastColumn="0" w:lastRowFirstColumn="0" w:lastRowLastColumn="0"/>
            <w:tcW w:w="1350" w:type="dxa"/>
          </w:tcPr>
          <w:p w14:paraId="26ABD975"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7B"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77"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6.2</w:t>
            </w:r>
          </w:p>
        </w:tc>
        <w:tc>
          <w:tcPr>
            <w:cnfStyle w:val="000001000000" w:firstRow="0" w:lastRow="0" w:firstColumn="0" w:lastColumn="0" w:oddVBand="0" w:evenVBand="1" w:oddHBand="0" w:evenHBand="0" w:firstRowFirstColumn="0" w:firstRowLastColumn="0" w:lastRowFirstColumn="0" w:lastRowLastColumn="0"/>
            <w:tcW w:w="4860" w:type="dxa"/>
          </w:tcPr>
          <w:p w14:paraId="26ABD978"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Investment in the forest sector</w:t>
            </w:r>
          </w:p>
        </w:tc>
        <w:tc>
          <w:tcPr>
            <w:tcW w:w="1350" w:type="dxa"/>
          </w:tcPr>
          <w:p w14:paraId="26ABD979"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7A"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80"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7C"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6.2a</w:t>
            </w:r>
          </w:p>
        </w:tc>
        <w:tc>
          <w:tcPr>
            <w:cnfStyle w:val="000001000000" w:firstRow="0" w:lastRow="0" w:firstColumn="0" w:lastColumn="0" w:oddVBand="0" w:evenVBand="1" w:oddHBand="0" w:evenHBand="0" w:firstRowFirstColumn="0" w:firstRowLastColumn="0" w:lastRowFirstColumn="0" w:lastRowLastColumn="0"/>
            <w:tcW w:w="4860" w:type="dxa"/>
          </w:tcPr>
          <w:p w14:paraId="26ABD97D"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Investment and expenditure in forest management</w:t>
            </w:r>
          </w:p>
        </w:tc>
        <w:tc>
          <w:tcPr>
            <w:tcW w:w="1350" w:type="dxa"/>
          </w:tcPr>
          <w:p w14:paraId="26ABD97E" w14:textId="6E9067DB"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6.2a</w:t>
            </w:r>
          </w:p>
        </w:tc>
        <w:tc>
          <w:tcPr>
            <w:cnfStyle w:val="000001000000" w:firstRow="0" w:lastRow="0" w:firstColumn="0" w:lastColumn="0" w:oddVBand="0" w:evenVBand="1" w:oddHBand="0" w:evenHBand="0" w:firstRowFirstColumn="0" w:firstRowLastColumn="0" w:lastRowFirstColumn="0" w:lastRowLastColumn="0"/>
            <w:tcW w:w="1350" w:type="dxa"/>
          </w:tcPr>
          <w:p w14:paraId="26ABD97F"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85"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81" w14:textId="64BFDF1A"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6.2b</w:t>
            </w:r>
          </w:p>
        </w:tc>
        <w:tc>
          <w:tcPr>
            <w:cnfStyle w:val="000001000000" w:firstRow="0" w:lastRow="0" w:firstColumn="0" w:lastColumn="0" w:oddVBand="0" w:evenVBand="1" w:oddHBand="0" w:evenHBand="0" w:firstRowFirstColumn="0" w:firstRowLastColumn="0" w:lastRowFirstColumn="0" w:lastRowLastColumn="0"/>
            <w:tcW w:w="4860" w:type="dxa"/>
          </w:tcPr>
          <w:p w14:paraId="26ABD982"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Investment in research, development, extension and use of new and improved technologies</w:t>
            </w:r>
          </w:p>
        </w:tc>
        <w:tc>
          <w:tcPr>
            <w:tcW w:w="1350" w:type="dxa"/>
          </w:tcPr>
          <w:p w14:paraId="26ABD983" w14:textId="6AA7223C"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6.2b</w:t>
            </w:r>
          </w:p>
        </w:tc>
        <w:tc>
          <w:tcPr>
            <w:cnfStyle w:val="000001000000" w:firstRow="0" w:lastRow="0" w:firstColumn="0" w:lastColumn="0" w:oddVBand="0" w:evenVBand="1" w:oddHBand="0" w:evenHBand="0" w:firstRowFirstColumn="0" w:firstRowLastColumn="0" w:lastRowFirstColumn="0" w:lastRowLastColumn="0"/>
            <w:tcW w:w="1350" w:type="dxa"/>
          </w:tcPr>
          <w:p w14:paraId="26ABD984"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8A"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86"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6.5</w:t>
            </w:r>
          </w:p>
        </w:tc>
        <w:tc>
          <w:tcPr>
            <w:cnfStyle w:val="000001000000" w:firstRow="0" w:lastRow="0" w:firstColumn="0" w:lastColumn="0" w:oddVBand="0" w:evenVBand="1" w:oddHBand="0" w:evenHBand="0" w:firstRowFirstColumn="0" w:firstRowLastColumn="0" w:lastRowFirstColumn="0" w:lastRowLastColumn="0"/>
            <w:tcW w:w="4860" w:type="dxa"/>
          </w:tcPr>
          <w:p w14:paraId="26ABD987"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Employment and community needs</w:t>
            </w:r>
          </w:p>
        </w:tc>
        <w:tc>
          <w:tcPr>
            <w:tcW w:w="1350" w:type="dxa"/>
          </w:tcPr>
          <w:p w14:paraId="26ABD988"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89"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8F"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8B"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6.5a</w:t>
            </w:r>
          </w:p>
        </w:tc>
        <w:tc>
          <w:tcPr>
            <w:cnfStyle w:val="000001000000" w:firstRow="0" w:lastRow="0" w:firstColumn="0" w:lastColumn="0" w:oddVBand="0" w:evenVBand="1" w:oddHBand="0" w:evenHBand="0" w:firstRowFirstColumn="0" w:firstRowLastColumn="0" w:lastRowFirstColumn="0" w:lastRowLastColumn="0"/>
            <w:tcW w:w="4860" w:type="dxa"/>
          </w:tcPr>
          <w:p w14:paraId="26ABD98C"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Direct and indirect employment in the forest sector</w:t>
            </w:r>
          </w:p>
        </w:tc>
        <w:tc>
          <w:tcPr>
            <w:tcW w:w="1350" w:type="dxa"/>
          </w:tcPr>
          <w:p w14:paraId="26ABD98D" w14:textId="04BD0BB9"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6.3a</w:t>
            </w:r>
          </w:p>
        </w:tc>
        <w:tc>
          <w:tcPr>
            <w:cnfStyle w:val="000001000000" w:firstRow="0" w:lastRow="0" w:firstColumn="0" w:lastColumn="0" w:oddVBand="0" w:evenVBand="1" w:oddHBand="0" w:evenHBand="0" w:firstRowFirstColumn="0" w:firstRowLastColumn="0" w:lastRowFirstColumn="0" w:lastRowLastColumn="0"/>
            <w:tcW w:w="1350" w:type="dxa"/>
          </w:tcPr>
          <w:p w14:paraId="26ABD98E"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94"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90" w14:textId="2416C796"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6.5b</w:t>
            </w:r>
          </w:p>
        </w:tc>
        <w:tc>
          <w:tcPr>
            <w:cnfStyle w:val="000001000000" w:firstRow="0" w:lastRow="0" w:firstColumn="0" w:lastColumn="0" w:oddVBand="0" w:evenVBand="1" w:oddHBand="0" w:evenHBand="0" w:firstRowFirstColumn="0" w:firstRowLastColumn="0" w:lastRowFirstColumn="0" w:lastRowLastColumn="0"/>
            <w:tcW w:w="4860" w:type="dxa"/>
          </w:tcPr>
          <w:p w14:paraId="26ABD991"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Wage rates and injury rates within the forest sector</w:t>
            </w:r>
          </w:p>
        </w:tc>
        <w:tc>
          <w:tcPr>
            <w:tcW w:w="1350" w:type="dxa"/>
          </w:tcPr>
          <w:p w14:paraId="26ABD992" w14:textId="2627738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6.3b</w:t>
            </w:r>
          </w:p>
        </w:tc>
        <w:tc>
          <w:tcPr>
            <w:cnfStyle w:val="000001000000" w:firstRow="0" w:lastRow="0" w:firstColumn="0" w:lastColumn="0" w:oddVBand="0" w:evenVBand="1" w:oddHBand="0" w:evenHBand="0" w:firstRowFirstColumn="0" w:firstRowLastColumn="0" w:lastRowFirstColumn="0" w:lastRowLastColumn="0"/>
            <w:tcW w:w="1350" w:type="dxa"/>
          </w:tcPr>
          <w:p w14:paraId="26ABD993"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99"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95"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6.5c</w:t>
            </w:r>
          </w:p>
        </w:tc>
        <w:tc>
          <w:tcPr>
            <w:cnfStyle w:val="000001000000" w:firstRow="0" w:lastRow="0" w:firstColumn="0" w:lastColumn="0" w:oddVBand="0" w:evenVBand="1" w:oddHBand="0" w:evenHBand="0" w:firstRowFirstColumn="0" w:firstRowLastColumn="0" w:lastRowFirstColumn="0" w:lastRowLastColumn="0"/>
            <w:tcW w:w="4860" w:type="dxa"/>
          </w:tcPr>
          <w:p w14:paraId="26ABD996"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Resilience of forest dependent communities to changing social and economic conditions</w:t>
            </w:r>
          </w:p>
        </w:tc>
        <w:tc>
          <w:tcPr>
            <w:tcW w:w="1350" w:type="dxa"/>
          </w:tcPr>
          <w:p w14:paraId="26ABD997"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6.3.c</w:t>
            </w:r>
          </w:p>
        </w:tc>
        <w:tc>
          <w:tcPr>
            <w:cnfStyle w:val="000001000000" w:firstRow="0" w:lastRow="0" w:firstColumn="0" w:lastColumn="0" w:oddVBand="0" w:evenVBand="1" w:oddHBand="0" w:evenHBand="0" w:firstRowFirstColumn="0" w:firstRowLastColumn="0" w:lastRowFirstColumn="0" w:lastRowLastColumn="0"/>
            <w:tcW w:w="1350" w:type="dxa"/>
          </w:tcPr>
          <w:p w14:paraId="26ABD998"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9E"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9A"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6.5d</w:t>
            </w:r>
          </w:p>
        </w:tc>
        <w:tc>
          <w:tcPr>
            <w:cnfStyle w:val="000001000000" w:firstRow="0" w:lastRow="0" w:firstColumn="0" w:lastColumn="0" w:oddVBand="0" w:evenVBand="1" w:oddHBand="0" w:evenHBand="0" w:firstRowFirstColumn="0" w:firstRowLastColumn="0" w:lastRowFirstColumn="0" w:lastRowLastColumn="0"/>
            <w:tcW w:w="4860" w:type="dxa"/>
          </w:tcPr>
          <w:p w14:paraId="26ABD99B"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Resilience of forest dependent Indigenous communities to changing social and economic conditions</w:t>
            </w:r>
          </w:p>
        </w:tc>
        <w:tc>
          <w:tcPr>
            <w:tcW w:w="1350" w:type="dxa"/>
          </w:tcPr>
          <w:p w14:paraId="26ABD99C"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9D" w14:textId="4046D12A"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6.3d</w:t>
            </w:r>
          </w:p>
        </w:tc>
      </w:tr>
      <w:tr w:rsidR="005100CC" w:rsidRPr="00CE60B2" w14:paraId="26ABD9A3"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9F"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6.3</w:t>
            </w:r>
          </w:p>
        </w:tc>
        <w:tc>
          <w:tcPr>
            <w:cnfStyle w:val="000001000000" w:firstRow="0" w:lastRow="0" w:firstColumn="0" w:lastColumn="0" w:oddVBand="0" w:evenVBand="1" w:oddHBand="0" w:evenHBand="0" w:firstRowFirstColumn="0" w:firstRowLastColumn="0" w:lastRowFirstColumn="0" w:lastRowLastColumn="0"/>
            <w:tcW w:w="4860" w:type="dxa"/>
          </w:tcPr>
          <w:p w14:paraId="26ABD9A0"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Recreation and tourism</w:t>
            </w:r>
          </w:p>
        </w:tc>
        <w:tc>
          <w:tcPr>
            <w:tcW w:w="1350" w:type="dxa"/>
          </w:tcPr>
          <w:p w14:paraId="26ABD9A1"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A2"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A8"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A4"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lastRenderedPageBreak/>
              <w:t>6.3a</w:t>
            </w:r>
          </w:p>
        </w:tc>
        <w:tc>
          <w:tcPr>
            <w:cnfStyle w:val="000001000000" w:firstRow="0" w:lastRow="0" w:firstColumn="0" w:lastColumn="0" w:oddVBand="0" w:evenVBand="1" w:oddHBand="0" w:evenHBand="0" w:firstRowFirstColumn="0" w:firstRowLastColumn="0" w:lastRowFirstColumn="0" w:lastRowLastColumn="0"/>
            <w:tcW w:w="4860" w:type="dxa"/>
          </w:tcPr>
          <w:p w14:paraId="26ABD9A5"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Area of forest available for public recreation/ tourism</w:t>
            </w:r>
          </w:p>
        </w:tc>
        <w:tc>
          <w:tcPr>
            <w:tcW w:w="1350" w:type="dxa"/>
          </w:tcPr>
          <w:p w14:paraId="26ABD9A6" w14:textId="69C4D491"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6.4a</w:t>
            </w:r>
          </w:p>
        </w:tc>
        <w:tc>
          <w:tcPr>
            <w:cnfStyle w:val="000001000000" w:firstRow="0" w:lastRow="0" w:firstColumn="0" w:lastColumn="0" w:oddVBand="0" w:evenVBand="1" w:oddHBand="0" w:evenHBand="0" w:firstRowFirstColumn="0" w:firstRowLastColumn="0" w:lastRowFirstColumn="0" w:lastRowLastColumn="0"/>
            <w:tcW w:w="1350" w:type="dxa"/>
          </w:tcPr>
          <w:p w14:paraId="26ABD9A7"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AD"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A9"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6.3b</w:t>
            </w:r>
          </w:p>
        </w:tc>
        <w:tc>
          <w:tcPr>
            <w:cnfStyle w:val="000001000000" w:firstRow="0" w:lastRow="0" w:firstColumn="0" w:lastColumn="0" w:oddVBand="0" w:evenVBand="1" w:oddHBand="0" w:evenHBand="0" w:firstRowFirstColumn="0" w:firstRowLastColumn="0" w:lastRowFirstColumn="0" w:lastRowLastColumn="0"/>
            <w:tcW w:w="4860" w:type="dxa"/>
          </w:tcPr>
          <w:p w14:paraId="26ABD9AA"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Range and use of recreation/ tourism activities available</w:t>
            </w:r>
          </w:p>
        </w:tc>
        <w:tc>
          <w:tcPr>
            <w:tcW w:w="1350" w:type="dxa"/>
          </w:tcPr>
          <w:p w14:paraId="26ABD9AB" w14:textId="095A6E64"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6.4b</w:t>
            </w:r>
          </w:p>
        </w:tc>
        <w:tc>
          <w:tcPr>
            <w:cnfStyle w:val="000001000000" w:firstRow="0" w:lastRow="0" w:firstColumn="0" w:lastColumn="0" w:oddVBand="0" w:evenVBand="1" w:oddHBand="0" w:evenHBand="0" w:firstRowFirstColumn="0" w:firstRowLastColumn="0" w:lastRowFirstColumn="0" w:lastRowLastColumn="0"/>
            <w:tcW w:w="1350" w:type="dxa"/>
          </w:tcPr>
          <w:p w14:paraId="26ABD9AC"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B2"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AE"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6.4</w:t>
            </w:r>
          </w:p>
        </w:tc>
        <w:tc>
          <w:tcPr>
            <w:cnfStyle w:val="000001000000" w:firstRow="0" w:lastRow="0" w:firstColumn="0" w:lastColumn="0" w:oddVBand="0" w:evenVBand="1" w:oddHBand="0" w:evenHBand="0" w:firstRowFirstColumn="0" w:firstRowLastColumn="0" w:lastRowFirstColumn="0" w:lastRowLastColumn="0"/>
            <w:tcW w:w="4860" w:type="dxa"/>
          </w:tcPr>
          <w:p w14:paraId="26ABD9AF" w14:textId="77777777" w:rsidR="005100CC" w:rsidRPr="00CE60B2" w:rsidRDefault="005100CC" w:rsidP="00892FEB">
            <w:pPr>
              <w:pStyle w:val="TableText0"/>
              <w:rPr>
                <w:rFonts w:ascii="Segoe UI" w:hAnsi="Segoe UI" w:cs="Segoe UI"/>
                <w:b/>
                <w:bCs/>
                <w:szCs w:val="20"/>
              </w:rPr>
            </w:pPr>
            <w:r w:rsidRPr="00CE60B2">
              <w:rPr>
                <w:rFonts w:ascii="Segoe UI" w:hAnsi="Segoe UI" w:cs="Segoe UI"/>
                <w:b/>
                <w:bCs/>
                <w:szCs w:val="20"/>
              </w:rPr>
              <w:t>Cultural, social and spiritual needs and values</w:t>
            </w:r>
          </w:p>
        </w:tc>
        <w:tc>
          <w:tcPr>
            <w:tcW w:w="1350" w:type="dxa"/>
          </w:tcPr>
          <w:p w14:paraId="26ABD9B0"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B1"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B7"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B3"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6.4a</w:t>
            </w:r>
          </w:p>
        </w:tc>
        <w:tc>
          <w:tcPr>
            <w:cnfStyle w:val="000001000000" w:firstRow="0" w:lastRow="0" w:firstColumn="0" w:lastColumn="0" w:oddVBand="0" w:evenVBand="1" w:oddHBand="0" w:evenHBand="0" w:firstRowFirstColumn="0" w:firstRowLastColumn="0" w:lastRowFirstColumn="0" w:lastRowLastColumn="0"/>
            <w:tcW w:w="4860" w:type="dxa"/>
          </w:tcPr>
          <w:p w14:paraId="26ABD9B4"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Area of forest to which Indigenous people have use and rights that protect their special values and are recognised through formal and informal management regimes</w:t>
            </w:r>
          </w:p>
        </w:tc>
        <w:tc>
          <w:tcPr>
            <w:tcW w:w="1350" w:type="dxa"/>
          </w:tcPr>
          <w:p w14:paraId="26ABD9B5" w14:textId="44273CB1"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6.5a</w:t>
            </w:r>
          </w:p>
        </w:tc>
        <w:tc>
          <w:tcPr>
            <w:cnfStyle w:val="000001000000" w:firstRow="0" w:lastRow="0" w:firstColumn="0" w:lastColumn="0" w:oddVBand="0" w:evenVBand="1" w:oddHBand="0" w:evenHBand="0" w:firstRowFirstColumn="0" w:firstRowLastColumn="0" w:lastRowFirstColumn="0" w:lastRowLastColumn="0"/>
            <w:tcW w:w="1350" w:type="dxa"/>
          </w:tcPr>
          <w:p w14:paraId="26ABD9B6"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BC"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B8"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6.4b</w:t>
            </w:r>
          </w:p>
        </w:tc>
        <w:tc>
          <w:tcPr>
            <w:cnfStyle w:val="000001000000" w:firstRow="0" w:lastRow="0" w:firstColumn="0" w:lastColumn="0" w:oddVBand="0" w:evenVBand="1" w:oddHBand="0" w:evenHBand="0" w:firstRowFirstColumn="0" w:firstRowLastColumn="0" w:lastRowFirstColumn="0" w:lastRowLastColumn="0"/>
            <w:tcW w:w="4860" w:type="dxa"/>
          </w:tcPr>
          <w:p w14:paraId="26ABD9B9"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Registered places of non-Indigenous cultural value in forests that are formally managed to protect those values</w:t>
            </w:r>
          </w:p>
        </w:tc>
        <w:tc>
          <w:tcPr>
            <w:tcW w:w="1350" w:type="dxa"/>
          </w:tcPr>
          <w:p w14:paraId="26ABD9BA" w14:textId="4095C866"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6.5a</w:t>
            </w:r>
          </w:p>
        </w:tc>
        <w:tc>
          <w:tcPr>
            <w:cnfStyle w:val="000001000000" w:firstRow="0" w:lastRow="0" w:firstColumn="0" w:lastColumn="0" w:oddVBand="0" w:evenVBand="1" w:oddHBand="0" w:evenHBand="0" w:firstRowFirstColumn="0" w:firstRowLastColumn="0" w:lastRowFirstColumn="0" w:lastRowLastColumn="0"/>
            <w:tcW w:w="1350" w:type="dxa"/>
          </w:tcPr>
          <w:p w14:paraId="26ABD9BB"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C1" w14:textId="77777777" w:rsidTr="003272A7">
        <w:trPr>
          <w:cnfStyle w:val="000000100000" w:firstRow="0" w:lastRow="0" w:firstColumn="0" w:lastColumn="0" w:oddVBand="0" w:evenVBand="0" w:oddHBand="1" w:evenHBand="0" w:firstRowFirstColumn="0" w:firstRowLastColumn="0" w:lastRowFirstColumn="0" w:lastRowLastColumn="0"/>
        </w:trPr>
        <w:tc>
          <w:tcPr>
            <w:tcW w:w="1440" w:type="dxa"/>
          </w:tcPr>
          <w:p w14:paraId="26ABD9BD"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6.4c</w:t>
            </w:r>
          </w:p>
        </w:tc>
        <w:tc>
          <w:tcPr>
            <w:cnfStyle w:val="000001000000" w:firstRow="0" w:lastRow="0" w:firstColumn="0" w:lastColumn="0" w:oddVBand="0" w:evenVBand="1" w:oddHBand="0" w:evenHBand="0" w:firstRowFirstColumn="0" w:firstRowLastColumn="0" w:lastRowFirstColumn="0" w:lastRowLastColumn="0"/>
            <w:tcW w:w="4860" w:type="dxa"/>
          </w:tcPr>
          <w:p w14:paraId="26ABD9BE"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The extent to which Indigenous values are protected, maintained and enhanced through Indigenous participation in forest management</w:t>
            </w:r>
          </w:p>
        </w:tc>
        <w:tc>
          <w:tcPr>
            <w:tcW w:w="1350" w:type="dxa"/>
          </w:tcPr>
          <w:p w14:paraId="26ABD9BF" w14:textId="1B8A0F86"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6.5a</w:t>
            </w:r>
          </w:p>
        </w:tc>
        <w:tc>
          <w:tcPr>
            <w:cnfStyle w:val="000001000000" w:firstRow="0" w:lastRow="0" w:firstColumn="0" w:lastColumn="0" w:oddVBand="0" w:evenVBand="1" w:oddHBand="0" w:evenHBand="0" w:firstRowFirstColumn="0" w:firstRowLastColumn="0" w:lastRowFirstColumn="0" w:lastRowLastColumn="0"/>
            <w:tcW w:w="1350" w:type="dxa"/>
          </w:tcPr>
          <w:p w14:paraId="26ABD9C0"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C6" w14:textId="77777777" w:rsidTr="003272A7">
        <w:trPr>
          <w:cnfStyle w:val="000000010000" w:firstRow="0" w:lastRow="0" w:firstColumn="0" w:lastColumn="0" w:oddVBand="0" w:evenVBand="0" w:oddHBand="0" w:evenHBand="1" w:firstRowFirstColumn="0" w:firstRowLastColumn="0" w:lastRowFirstColumn="0" w:lastRowLastColumn="0"/>
        </w:trPr>
        <w:tc>
          <w:tcPr>
            <w:tcW w:w="1440" w:type="dxa"/>
            <w:tcBorders>
              <w:top w:val="single" w:sz="4" w:space="0" w:color="000000" w:themeColor="text1"/>
              <w:bottom w:val="single" w:sz="4" w:space="0" w:color="auto"/>
            </w:tcBorders>
          </w:tcPr>
          <w:p w14:paraId="26ABD9C2"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6.4d</w:t>
            </w:r>
          </w:p>
        </w:tc>
        <w:tc>
          <w:tcPr>
            <w:cnfStyle w:val="000001000000" w:firstRow="0" w:lastRow="0" w:firstColumn="0" w:lastColumn="0" w:oddVBand="0" w:evenVBand="1" w:oddHBand="0" w:evenHBand="0" w:firstRowFirstColumn="0" w:firstRowLastColumn="0" w:lastRowFirstColumn="0" w:lastRowLastColumn="0"/>
            <w:tcW w:w="4860" w:type="dxa"/>
            <w:tcBorders>
              <w:top w:val="single" w:sz="4" w:space="0" w:color="000000" w:themeColor="text1"/>
              <w:bottom w:val="single" w:sz="4" w:space="0" w:color="auto"/>
            </w:tcBorders>
          </w:tcPr>
          <w:p w14:paraId="26ABD9C3"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The importance of forests to people</w:t>
            </w:r>
          </w:p>
        </w:tc>
        <w:tc>
          <w:tcPr>
            <w:tcW w:w="1350" w:type="dxa"/>
            <w:tcBorders>
              <w:top w:val="single" w:sz="4" w:space="0" w:color="000000" w:themeColor="text1"/>
              <w:bottom w:val="single" w:sz="4" w:space="0" w:color="auto"/>
            </w:tcBorders>
          </w:tcPr>
          <w:p w14:paraId="26ABD9C4" w14:textId="03926156"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6.5b</w:t>
            </w:r>
          </w:p>
        </w:tc>
        <w:tc>
          <w:tcPr>
            <w:cnfStyle w:val="000001000000" w:firstRow="0" w:lastRow="0" w:firstColumn="0" w:lastColumn="0" w:oddVBand="0" w:evenVBand="1" w:oddHBand="0" w:evenHBand="0" w:firstRowFirstColumn="0" w:firstRowLastColumn="0" w:lastRowFirstColumn="0" w:lastRowLastColumn="0"/>
            <w:tcW w:w="1350" w:type="dxa"/>
            <w:tcBorders>
              <w:top w:val="single" w:sz="4" w:space="0" w:color="000000" w:themeColor="text1"/>
              <w:bottom w:val="single" w:sz="4" w:space="0" w:color="auto"/>
            </w:tcBorders>
          </w:tcPr>
          <w:p w14:paraId="26ABD9C5"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bl>
    <w:p w14:paraId="26ABD9C8" w14:textId="4EF43846" w:rsidR="00B40388" w:rsidRPr="00C903EE" w:rsidRDefault="00B40388" w:rsidP="00C903EE">
      <w:pPr>
        <w:rPr>
          <w:rFonts w:cs="Segoe UI"/>
        </w:rPr>
      </w:pPr>
    </w:p>
    <w:p w14:paraId="26ABD9C9" w14:textId="77777777" w:rsidR="005100CC" w:rsidRPr="00CE60B2" w:rsidRDefault="005100CC" w:rsidP="002B601A">
      <w:pPr>
        <w:pStyle w:val="Heading5"/>
        <w:rPr>
          <w:rFonts w:cs="Segoe UI"/>
        </w:rPr>
      </w:pPr>
      <w:bookmarkStart w:id="235" w:name="_Toc510535064"/>
      <w:bookmarkStart w:id="236" w:name="_Toc524952846"/>
      <w:r w:rsidRPr="00CE60B2">
        <w:rPr>
          <w:rFonts w:cs="Segoe UI"/>
        </w:rPr>
        <w:lastRenderedPageBreak/>
        <w:t>Criterion 7 Legal, institutional and economic framework for forest conservation and sustainable management</w:t>
      </w:r>
      <w:bookmarkEnd w:id="235"/>
      <w:bookmarkEnd w:id="236"/>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9CE" w14:textId="77777777" w:rsidTr="00C903EE">
        <w:trPr>
          <w:cnfStyle w:val="000000010000" w:firstRow="0" w:lastRow="0" w:firstColumn="0" w:lastColumn="0" w:oddVBand="0" w:evenVBand="0" w:oddHBand="0" w:evenHBand="1" w:firstRowFirstColumn="0" w:firstRowLastColumn="0" w:lastRowFirstColumn="0" w:lastRowLastColumn="0"/>
          <w:tblHeader/>
        </w:trPr>
        <w:tc>
          <w:tcPr>
            <w:tcW w:w="1440" w:type="dxa"/>
            <w:shd w:val="clear" w:color="auto" w:fill="DFEFE1" w:themeFill="accent3" w:themeFillTint="66"/>
          </w:tcPr>
          <w:p w14:paraId="26ABD9CA"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9CB"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International </w:t>
            </w:r>
            <w:r w:rsidR="00A515C1" w:rsidRPr="00CE60B2">
              <w:rPr>
                <w:rFonts w:ascii="Segoe UI" w:hAnsi="Segoe UI" w:cs="Segoe UI"/>
                <w:szCs w:val="20"/>
              </w:rPr>
              <w:t>Montréal</w:t>
            </w:r>
            <w:r w:rsidRPr="00CE60B2">
              <w:rPr>
                <w:rFonts w:ascii="Segoe UI" w:hAnsi="Segoe UI" w:cs="Segoe UI"/>
                <w:szCs w:val="20"/>
              </w:rPr>
              <w:t xml:space="preserve"> Process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9CC" w14:textId="77777777" w:rsidR="005100CC" w:rsidRPr="00CE60B2" w:rsidRDefault="005100CC" w:rsidP="00892FEB">
            <w:pPr>
              <w:pStyle w:val="TableHeading"/>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9CD" w14:textId="77777777" w:rsidR="005100CC" w:rsidRPr="00CE60B2" w:rsidRDefault="005100CC" w:rsidP="00892FEB">
            <w:pPr>
              <w:pStyle w:val="TableHeading"/>
              <w:jc w:val="right"/>
              <w:rPr>
                <w:rFonts w:ascii="Segoe UI" w:hAnsi="Segoe UI" w:cs="Segoe UI"/>
                <w:szCs w:val="20"/>
              </w:rPr>
            </w:pPr>
            <w:r w:rsidRPr="00CE60B2">
              <w:rPr>
                <w:rFonts w:ascii="Segoe UI" w:hAnsi="Segoe UI" w:cs="Segoe UI"/>
                <w:szCs w:val="20"/>
              </w:rPr>
              <w:t xml:space="preserve">Australian indicator(s) with which each </w:t>
            </w:r>
            <w:r w:rsidR="00A515C1" w:rsidRPr="00CE60B2">
              <w:rPr>
                <w:rFonts w:ascii="Segoe UI" w:hAnsi="Segoe UI" w:cs="Segoe UI"/>
                <w:szCs w:val="20"/>
              </w:rPr>
              <w:t>Montréal</w:t>
            </w:r>
            <w:r w:rsidRPr="00CE60B2">
              <w:rPr>
                <w:rFonts w:ascii="Segoe UI" w:hAnsi="Segoe UI" w:cs="Segoe UI"/>
                <w:szCs w:val="20"/>
              </w:rPr>
              <w:t xml:space="preserve"> Process indicator aligns</w:t>
            </w:r>
            <w:r w:rsidRPr="00CE60B2">
              <w:rPr>
                <w:rFonts w:ascii="Segoe UI" w:hAnsi="Segoe UI" w:cs="Segoe UI"/>
                <w:szCs w:val="20"/>
              </w:rPr>
              <w:br/>
              <w:t>Partial alignment</w:t>
            </w:r>
          </w:p>
        </w:tc>
      </w:tr>
      <w:tr w:rsidR="005100CC" w:rsidRPr="00CE60B2" w14:paraId="26ABD9D3"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CF" w14:textId="63271080"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7.1a</w:t>
            </w:r>
          </w:p>
        </w:tc>
        <w:tc>
          <w:tcPr>
            <w:cnfStyle w:val="000001000000" w:firstRow="0" w:lastRow="0" w:firstColumn="0" w:lastColumn="0" w:oddVBand="0" w:evenVBand="1" w:oddHBand="0" w:evenHBand="0" w:firstRowFirstColumn="0" w:firstRowLastColumn="0" w:lastRowFirstColumn="0" w:lastRowLastColumn="0"/>
            <w:tcW w:w="4860" w:type="dxa"/>
          </w:tcPr>
          <w:p w14:paraId="26ABD9D0"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Legislation and policies supporting the sustainable management of forests</w:t>
            </w:r>
          </w:p>
        </w:tc>
        <w:tc>
          <w:tcPr>
            <w:tcW w:w="1350" w:type="dxa"/>
          </w:tcPr>
          <w:p w14:paraId="26ABD9D1"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7.1a</w:t>
            </w:r>
          </w:p>
        </w:tc>
        <w:tc>
          <w:tcPr>
            <w:cnfStyle w:val="000001000000" w:firstRow="0" w:lastRow="0" w:firstColumn="0" w:lastColumn="0" w:oddVBand="0" w:evenVBand="1" w:oddHBand="0" w:evenHBand="0" w:firstRowFirstColumn="0" w:firstRowLastColumn="0" w:lastRowFirstColumn="0" w:lastRowLastColumn="0"/>
            <w:tcW w:w="1350" w:type="dxa"/>
          </w:tcPr>
          <w:p w14:paraId="26ABD9D2"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7.1b</w:t>
            </w:r>
          </w:p>
        </w:tc>
      </w:tr>
      <w:tr w:rsidR="005100CC" w:rsidRPr="00CE60B2" w14:paraId="26ABD9D9"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D4" w14:textId="21CDA81E"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7.1b</w:t>
            </w:r>
          </w:p>
        </w:tc>
        <w:tc>
          <w:tcPr>
            <w:cnfStyle w:val="000001000000" w:firstRow="0" w:lastRow="0" w:firstColumn="0" w:lastColumn="0" w:oddVBand="0" w:evenVBand="1" w:oddHBand="0" w:evenHBand="0" w:firstRowFirstColumn="0" w:firstRowLastColumn="0" w:lastRowFirstColumn="0" w:lastRowLastColumn="0"/>
            <w:tcW w:w="4860" w:type="dxa"/>
          </w:tcPr>
          <w:p w14:paraId="26ABD9D5"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Cross-sectoral policy and programme coordination</w:t>
            </w:r>
          </w:p>
        </w:tc>
        <w:tc>
          <w:tcPr>
            <w:tcW w:w="1350" w:type="dxa"/>
          </w:tcPr>
          <w:p w14:paraId="26ABD9D6"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D7"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7.1a</w:t>
            </w:r>
          </w:p>
          <w:p w14:paraId="26ABD9D8"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7.1b</w:t>
            </w:r>
          </w:p>
        </w:tc>
      </w:tr>
      <w:tr w:rsidR="005100CC" w:rsidRPr="00CE60B2" w14:paraId="26ABD9DE"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DA" w14:textId="73B1D524"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7.2a</w:t>
            </w:r>
          </w:p>
        </w:tc>
        <w:tc>
          <w:tcPr>
            <w:cnfStyle w:val="000001000000" w:firstRow="0" w:lastRow="0" w:firstColumn="0" w:lastColumn="0" w:oddVBand="0" w:evenVBand="1" w:oddHBand="0" w:evenHBand="0" w:firstRowFirstColumn="0" w:firstRowLastColumn="0" w:lastRowFirstColumn="0" w:lastRowLastColumn="0"/>
            <w:tcW w:w="4860" w:type="dxa"/>
          </w:tcPr>
          <w:p w14:paraId="26ABD9DB"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Taxation and other economic strategies that affect the sustainable management of forests</w:t>
            </w:r>
          </w:p>
        </w:tc>
        <w:tc>
          <w:tcPr>
            <w:tcW w:w="1350" w:type="dxa"/>
          </w:tcPr>
          <w:p w14:paraId="26ABD9DC"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7.1c</w:t>
            </w:r>
          </w:p>
        </w:tc>
        <w:tc>
          <w:tcPr>
            <w:cnfStyle w:val="000001000000" w:firstRow="0" w:lastRow="0" w:firstColumn="0" w:lastColumn="0" w:oddVBand="0" w:evenVBand="1" w:oddHBand="0" w:evenHBand="0" w:firstRowFirstColumn="0" w:firstRowLastColumn="0" w:lastRowFirstColumn="0" w:lastRowLastColumn="0"/>
            <w:tcW w:w="1350" w:type="dxa"/>
          </w:tcPr>
          <w:p w14:paraId="26ABD9DD"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E3"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DF" w14:textId="009C8F9F"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7.3a</w:t>
            </w:r>
          </w:p>
        </w:tc>
        <w:tc>
          <w:tcPr>
            <w:cnfStyle w:val="000001000000" w:firstRow="0" w:lastRow="0" w:firstColumn="0" w:lastColumn="0" w:oddVBand="0" w:evenVBand="1" w:oddHBand="0" w:evenHBand="0" w:firstRowFirstColumn="0" w:firstRowLastColumn="0" w:lastRowFirstColumn="0" w:lastRowLastColumn="0"/>
            <w:tcW w:w="4860" w:type="dxa"/>
          </w:tcPr>
          <w:p w14:paraId="26ABD9E0"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Clarity and security of land and resource tenure and property rights</w:t>
            </w:r>
          </w:p>
        </w:tc>
        <w:tc>
          <w:tcPr>
            <w:tcW w:w="1350" w:type="dxa"/>
          </w:tcPr>
          <w:p w14:paraId="26ABD9E1"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E2"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7.1a</w:t>
            </w:r>
          </w:p>
        </w:tc>
      </w:tr>
      <w:tr w:rsidR="005100CC" w:rsidRPr="00CE60B2" w14:paraId="26ABD9E8"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E4"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7.3b</w:t>
            </w:r>
          </w:p>
        </w:tc>
        <w:tc>
          <w:tcPr>
            <w:cnfStyle w:val="000001000000" w:firstRow="0" w:lastRow="0" w:firstColumn="0" w:lastColumn="0" w:oddVBand="0" w:evenVBand="1" w:oddHBand="0" w:evenHBand="0" w:firstRowFirstColumn="0" w:firstRowLastColumn="0" w:lastRowFirstColumn="0" w:lastRowLastColumn="0"/>
            <w:tcW w:w="4860" w:type="dxa"/>
          </w:tcPr>
          <w:p w14:paraId="26ABD9E5"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Enforcement of laws related to forests</w:t>
            </w:r>
          </w:p>
        </w:tc>
        <w:tc>
          <w:tcPr>
            <w:tcW w:w="1350" w:type="dxa"/>
          </w:tcPr>
          <w:p w14:paraId="26ABD9E6"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E7"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7.1a</w:t>
            </w:r>
          </w:p>
        </w:tc>
      </w:tr>
      <w:tr w:rsidR="005100CC" w:rsidRPr="00CE60B2" w14:paraId="26ABD9ED"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E9" w14:textId="7637A002"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7.4a</w:t>
            </w:r>
          </w:p>
        </w:tc>
        <w:tc>
          <w:tcPr>
            <w:cnfStyle w:val="000001000000" w:firstRow="0" w:lastRow="0" w:firstColumn="0" w:lastColumn="0" w:oddVBand="0" w:evenVBand="1" w:oddHBand="0" w:evenHBand="0" w:firstRowFirstColumn="0" w:firstRowLastColumn="0" w:lastRowFirstColumn="0" w:lastRowLastColumn="0"/>
            <w:tcW w:w="4860" w:type="dxa"/>
          </w:tcPr>
          <w:p w14:paraId="26ABD9EA"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Programmes, services and other resources supporting the sustainable management of forests</w:t>
            </w:r>
          </w:p>
        </w:tc>
        <w:tc>
          <w:tcPr>
            <w:tcW w:w="1350" w:type="dxa"/>
          </w:tcPr>
          <w:p w14:paraId="26ABD9EB"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EC"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7.1b</w:t>
            </w:r>
          </w:p>
        </w:tc>
      </w:tr>
      <w:tr w:rsidR="005100CC" w:rsidRPr="00CE60B2" w14:paraId="26ABD9F2"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EE" w14:textId="6D6E39AD"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7.4b</w:t>
            </w:r>
          </w:p>
        </w:tc>
        <w:tc>
          <w:tcPr>
            <w:cnfStyle w:val="000001000000" w:firstRow="0" w:lastRow="0" w:firstColumn="0" w:lastColumn="0" w:oddVBand="0" w:evenVBand="1" w:oddHBand="0" w:evenHBand="0" w:firstRowFirstColumn="0" w:firstRowLastColumn="0" w:lastRowFirstColumn="0" w:lastRowLastColumn="0"/>
            <w:tcW w:w="4860" w:type="dxa"/>
          </w:tcPr>
          <w:p w14:paraId="26ABD9EF"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Development and application of research and technologies for the sustainable management of forests</w:t>
            </w:r>
          </w:p>
        </w:tc>
        <w:tc>
          <w:tcPr>
            <w:tcW w:w="1350" w:type="dxa"/>
          </w:tcPr>
          <w:p w14:paraId="26ABD9F0"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7.1e</w:t>
            </w:r>
          </w:p>
        </w:tc>
        <w:tc>
          <w:tcPr>
            <w:cnfStyle w:val="000001000000" w:firstRow="0" w:lastRow="0" w:firstColumn="0" w:lastColumn="0" w:oddVBand="0" w:evenVBand="1" w:oddHBand="0" w:evenHBand="0" w:firstRowFirstColumn="0" w:firstRowLastColumn="0" w:lastRowFirstColumn="0" w:lastRowLastColumn="0"/>
            <w:tcW w:w="1350" w:type="dxa"/>
          </w:tcPr>
          <w:p w14:paraId="26ABD9F1"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F7"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F3" w14:textId="388CCAF8"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7.5a</w:t>
            </w:r>
          </w:p>
        </w:tc>
        <w:tc>
          <w:tcPr>
            <w:cnfStyle w:val="000001000000" w:firstRow="0" w:lastRow="0" w:firstColumn="0" w:lastColumn="0" w:oddVBand="0" w:evenVBand="1" w:oddHBand="0" w:evenHBand="0" w:firstRowFirstColumn="0" w:firstRowLastColumn="0" w:lastRowFirstColumn="0" w:lastRowLastColumn="0"/>
            <w:tcW w:w="4860" w:type="dxa"/>
          </w:tcPr>
          <w:p w14:paraId="26ABD9F4"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Partnerships to support the sustainable management of forests</w:t>
            </w:r>
          </w:p>
        </w:tc>
        <w:tc>
          <w:tcPr>
            <w:tcW w:w="1350" w:type="dxa"/>
          </w:tcPr>
          <w:p w14:paraId="26ABD9F5"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F6"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9FC"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9F8" w14:textId="6A4248BF"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7.5b</w:t>
            </w:r>
          </w:p>
        </w:tc>
        <w:tc>
          <w:tcPr>
            <w:cnfStyle w:val="000001000000" w:firstRow="0" w:lastRow="0" w:firstColumn="0" w:lastColumn="0" w:oddVBand="0" w:evenVBand="1" w:oddHBand="0" w:evenHBand="0" w:firstRowFirstColumn="0" w:firstRowLastColumn="0" w:lastRowFirstColumn="0" w:lastRowLastColumn="0"/>
            <w:tcW w:w="4860" w:type="dxa"/>
          </w:tcPr>
          <w:p w14:paraId="26ABD9F9"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Public participation and conflict resolution in forest-related decision making</w:t>
            </w:r>
          </w:p>
        </w:tc>
        <w:tc>
          <w:tcPr>
            <w:tcW w:w="1350" w:type="dxa"/>
          </w:tcPr>
          <w:p w14:paraId="26ABD9FA" w14:textId="7777777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9FB"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7.1b</w:t>
            </w:r>
          </w:p>
        </w:tc>
      </w:tr>
      <w:tr w:rsidR="005100CC" w:rsidRPr="00CE60B2" w14:paraId="26ABDA01"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9FD" w14:textId="48090570"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7.5c</w:t>
            </w:r>
          </w:p>
        </w:tc>
        <w:tc>
          <w:tcPr>
            <w:cnfStyle w:val="000001000000" w:firstRow="0" w:lastRow="0" w:firstColumn="0" w:lastColumn="0" w:oddVBand="0" w:evenVBand="1" w:oddHBand="0" w:evenHBand="0" w:firstRowFirstColumn="0" w:firstRowLastColumn="0" w:lastRowFirstColumn="0" w:lastRowLastColumn="0"/>
            <w:tcW w:w="4860" w:type="dxa"/>
          </w:tcPr>
          <w:p w14:paraId="26ABD9FE"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Monitoring, assessment and reporting on progress towards sustainable management of forests</w:t>
            </w:r>
          </w:p>
        </w:tc>
        <w:tc>
          <w:tcPr>
            <w:tcW w:w="1350" w:type="dxa"/>
          </w:tcPr>
          <w:p w14:paraId="26ABD9FF"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7.1d</w:t>
            </w:r>
          </w:p>
        </w:tc>
        <w:tc>
          <w:tcPr>
            <w:cnfStyle w:val="000001000000" w:firstRow="0" w:lastRow="0" w:firstColumn="0" w:lastColumn="0" w:oddVBand="0" w:evenVBand="1" w:oddHBand="0" w:evenHBand="0" w:firstRowFirstColumn="0" w:firstRowLastColumn="0" w:lastRowFirstColumn="0" w:lastRowLastColumn="0"/>
            <w:tcW w:w="1350" w:type="dxa"/>
          </w:tcPr>
          <w:p w14:paraId="26ABDA00"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bl>
    <w:p w14:paraId="26ABDA02" w14:textId="77777777" w:rsidR="00B40388" w:rsidRPr="00CE60B2" w:rsidRDefault="00B40388" w:rsidP="005100CC">
      <w:pPr>
        <w:rPr>
          <w:rFonts w:cs="Segoe UI"/>
          <w:sz w:val="20"/>
          <w:szCs w:val="20"/>
        </w:rPr>
      </w:pPr>
    </w:p>
    <w:tbl>
      <w:tblPr>
        <w:tblStyle w:val="dpitablestyle"/>
        <w:tblW w:w="0" w:type="auto"/>
        <w:tblLayout w:type="fixed"/>
        <w:tblLook w:val="0000" w:firstRow="0" w:lastRow="0" w:firstColumn="0" w:lastColumn="0" w:noHBand="0" w:noVBand="0"/>
      </w:tblPr>
      <w:tblGrid>
        <w:gridCol w:w="1440"/>
        <w:gridCol w:w="4860"/>
        <w:gridCol w:w="1350"/>
        <w:gridCol w:w="1350"/>
      </w:tblGrid>
      <w:tr w:rsidR="005100CC" w:rsidRPr="00CE60B2" w14:paraId="26ABDA07" w14:textId="77777777" w:rsidTr="00C903EE">
        <w:trPr>
          <w:cnfStyle w:val="000000010000" w:firstRow="0" w:lastRow="0" w:firstColumn="0" w:lastColumn="0" w:oddVBand="0" w:evenVBand="0" w:oddHBand="0" w:evenHBand="1" w:firstRowFirstColumn="0" w:firstRowLastColumn="0" w:lastRowFirstColumn="0" w:lastRowLastColumn="0"/>
          <w:tblHeader/>
        </w:trPr>
        <w:tc>
          <w:tcPr>
            <w:tcW w:w="1440" w:type="dxa"/>
            <w:shd w:val="clear" w:color="auto" w:fill="DFEFE1" w:themeFill="accent3" w:themeFillTint="66"/>
          </w:tcPr>
          <w:p w14:paraId="26ABDA03"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lastRenderedPageBreak/>
              <w:t xml:space="preserve">Australia's criteria and indicators </w:t>
            </w:r>
            <w:r w:rsidRPr="00CE60B2">
              <w:rPr>
                <w:rFonts w:ascii="Segoe UI" w:hAnsi="Segoe UI" w:cs="Segoe UI"/>
                <w:szCs w:val="20"/>
              </w:rPr>
              <w:br/>
              <w:t>Indicator number</w:t>
            </w:r>
          </w:p>
        </w:tc>
        <w:tc>
          <w:tcPr>
            <w:cnfStyle w:val="000001000000" w:firstRow="0" w:lastRow="0" w:firstColumn="0" w:lastColumn="0" w:oddVBand="0" w:evenVBand="1" w:oddHBand="0" w:evenHBand="0" w:firstRowFirstColumn="0" w:firstRowLastColumn="0" w:lastRowFirstColumn="0" w:lastRowLastColumn="0"/>
            <w:tcW w:w="4860" w:type="dxa"/>
            <w:shd w:val="clear" w:color="auto" w:fill="DFEFE1" w:themeFill="accent3" w:themeFillTint="66"/>
          </w:tcPr>
          <w:p w14:paraId="26ABDA04" w14:textId="77777777" w:rsidR="005100CC" w:rsidRPr="00CE60B2" w:rsidRDefault="005100CC" w:rsidP="00892FEB">
            <w:pPr>
              <w:pStyle w:val="TableHeading"/>
              <w:rPr>
                <w:rFonts w:ascii="Segoe UI" w:hAnsi="Segoe UI" w:cs="Segoe UI"/>
                <w:szCs w:val="20"/>
              </w:rPr>
            </w:pPr>
            <w:r w:rsidRPr="00CE60B2">
              <w:rPr>
                <w:rFonts w:ascii="Segoe UI" w:hAnsi="Segoe UI" w:cs="Segoe UI"/>
                <w:szCs w:val="20"/>
              </w:rPr>
              <w:t xml:space="preserve">Australia's criteria and indicators </w:t>
            </w:r>
            <w:r w:rsidRPr="00CE60B2">
              <w:rPr>
                <w:rFonts w:ascii="Segoe UI" w:hAnsi="Segoe UI" w:cs="Segoe UI"/>
                <w:szCs w:val="20"/>
              </w:rPr>
              <w:br/>
              <w:t>Indicator name</w:t>
            </w:r>
          </w:p>
        </w:tc>
        <w:tc>
          <w:tcPr>
            <w:tcW w:w="1350" w:type="dxa"/>
            <w:shd w:val="clear" w:color="auto" w:fill="DFEFE1" w:themeFill="accent3" w:themeFillTint="66"/>
          </w:tcPr>
          <w:p w14:paraId="26ABDA05" w14:textId="77777777" w:rsidR="005100CC" w:rsidRPr="00CE60B2" w:rsidRDefault="00A515C1" w:rsidP="00892FEB">
            <w:pPr>
              <w:pStyle w:val="TableHeading"/>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Strong alignment</w:t>
            </w:r>
          </w:p>
        </w:tc>
        <w:tc>
          <w:tcPr>
            <w:cnfStyle w:val="000001000000" w:firstRow="0" w:lastRow="0" w:firstColumn="0" w:lastColumn="0" w:oddVBand="0" w:evenVBand="1" w:oddHBand="0" w:evenHBand="0" w:firstRowFirstColumn="0" w:firstRowLastColumn="0" w:lastRowFirstColumn="0" w:lastRowLastColumn="0"/>
            <w:tcW w:w="1350" w:type="dxa"/>
            <w:shd w:val="clear" w:color="auto" w:fill="DFEFE1" w:themeFill="accent3" w:themeFillTint="66"/>
          </w:tcPr>
          <w:p w14:paraId="26ABDA06" w14:textId="77777777" w:rsidR="005100CC" w:rsidRPr="00CE60B2" w:rsidRDefault="00A515C1" w:rsidP="00892FEB">
            <w:pPr>
              <w:pStyle w:val="TableHeading"/>
              <w:jc w:val="right"/>
              <w:rPr>
                <w:rFonts w:ascii="Segoe UI" w:hAnsi="Segoe UI" w:cs="Segoe UI"/>
                <w:szCs w:val="20"/>
              </w:rPr>
            </w:pPr>
            <w:r w:rsidRPr="00CE60B2">
              <w:rPr>
                <w:rFonts w:ascii="Segoe UI" w:hAnsi="Segoe UI" w:cs="Segoe UI"/>
                <w:szCs w:val="20"/>
              </w:rPr>
              <w:t>Montréal</w:t>
            </w:r>
            <w:r w:rsidR="005100CC" w:rsidRPr="00CE60B2">
              <w:rPr>
                <w:rFonts w:ascii="Segoe UI" w:hAnsi="Segoe UI" w:cs="Segoe UI"/>
                <w:szCs w:val="20"/>
              </w:rPr>
              <w:t xml:space="preserve"> Process indicator(s) with which each Australian indicator aligns</w:t>
            </w:r>
            <w:r w:rsidR="005100CC" w:rsidRPr="00CE60B2">
              <w:rPr>
                <w:rFonts w:ascii="Segoe UI" w:hAnsi="Segoe UI" w:cs="Segoe UI"/>
                <w:szCs w:val="20"/>
              </w:rPr>
              <w:br/>
              <w:t>Partial alignment</w:t>
            </w:r>
          </w:p>
        </w:tc>
      </w:tr>
      <w:tr w:rsidR="005100CC" w:rsidRPr="00CE60B2" w14:paraId="26ABDA0D"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A08"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7.1a</w:t>
            </w:r>
          </w:p>
        </w:tc>
        <w:tc>
          <w:tcPr>
            <w:cnfStyle w:val="000001000000" w:firstRow="0" w:lastRow="0" w:firstColumn="0" w:lastColumn="0" w:oddVBand="0" w:evenVBand="1" w:oddHBand="0" w:evenHBand="0" w:firstRowFirstColumn="0" w:firstRowLastColumn="0" w:lastRowFirstColumn="0" w:lastRowLastColumn="0"/>
            <w:tcW w:w="4860" w:type="dxa"/>
          </w:tcPr>
          <w:p w14:paraId="26ABDA09"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Extent to which the legal framework supports the conservation and sustainable management of forests</w:t>
            </w:r>
          </w:p>
        </w:tc>
        <w:tc>
          <w:tcPr>
            <w:tcW w:w="1350" w:type="dxa"/>
          </w:tcPr>
          <w:p w14:paraId="26ABDA0A" w14:textId="57118FBB"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7.1a</w:t>
            </w:r>
          </w:p>
        </w:tc>
        <w:tc>
          <w:tcPr>
            <w:cnfStyle w:val="000001000000" w:firstRow="0" w:lastRow="0" w:firstColumn="0" w:lastColumn="0" w:oddVBand="0" w:evenVBand="1" w:oddHBand="0" w:evenHBand="0" w:firstRowFirstColumn="0" w:firstRowLastColumn="0" w:lastRowFirstColumn="0" w:lastRowLastColumn="0"/>
            <w:tcW w:w="1350" w:type="dxa"/>
          </w:tcPr>
          <w:p w14:paraId="26ABDA0B"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7.3.a</w:t>
            </w:r>
          </w:p>
          <w:p w14:paraId="26ABDA0C" w14:textId="331FAE3C"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7.3b</w:t>
            </w:r>
          </w:p>
        </w:tc>
      </w:tr>
      <w:tr w:rsidR="005100CC" w:rsidRPr="00CE60B2" w14:paraId="26ABDA14"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A0E"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7.1b</w:t>
            </w:r>
          </w:p>
        </w:tc>
        <w:tc>
          <w:tcPr>
            <w:cnfStyle w:val="000001000000" w:firstRow="0" w:lastRow="0" w:firstColumn="0" w:lastColumn="0" w:oddVBand="0" w:evenVBand="1" w:oddHBand="0" w:evenHBand="0" w:firstRowFirstColumn="0" w:firstRowLastColumn="0" w:lastRowFirstColumn="0" w:lastRowLastColumn="0"/>
            <w:tcW w:w="4860" w:type="dxa"/>
          </w:tcPr>
          <w:p w14:paraId="26ABDA0F"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Extent to which the institutional framework supports the conservation and sustainable management of forests</w:t>
            </w:r>
          </w:p>
        </w:tc>
        <w:tc>
          <w:tcPr>
            <w:tcW w:w="1350" w:type="dxa"/>
          </w:tcPr>
          <w:p w14:paraId="26ABDA10" w14:textId="77777777"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w:t>
            </w:r>
          </w:p>
        </w:tc>
        <w:tc>
          <w:tcPr>
            <w:cnfStyle w:val="000001000000" w:firstRow="0" w:lastRow="0" w:firstColumn="0" w:lastColumn="0" w:oddVBand="0" w:evenVBand="1" w:oddHBand="0" w:evenHBand="0" w:firstRowFirstColumn="0" w:firstRowLastColumn="0" w:lastRowFirstColumn="0" w:lastRowLastColumn="0"/>
            <w:tcW w:w="1350" w:type="dxa"/>
          </w:tcPr>
          <w:p w14:paraId="26ABDA11" w14:textId="6D651292"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7.1a</w:t>
            </w:r>
          </w:p>
          <w:p w14:paraId="26ABDA12" w14:textId="6668AE51"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7.4a</w:t>
            </w:r>
          </w:p>
          <w:p w14:paraId="26ABDA13" w14:textId="4FB644F9"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7.5b</w:t>
            </w:r>
          </w:p>
        </w:tc>
      </w:tr>
      <w:tr w:rsidR="005100CC" w:rsidRPr="00CE60B2" w14:paraId="26ABDA19"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A15"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7.1c</w:t>
            </w:r>
          </w:p>
        </w:tc>
        <w:tc>
          <w:tcPr>
            <w:cnfStyle w:val="000001000000" w:firstRow="0" w:lastRow="0" w:firstColumn="0" w:lastColumn="0" w:oddVBand="0" w:evenVBand="1" w:oddHBand="0" w:evenHBand="0" w:firstRowFirstColumn="0" w:firstRowLastColumn="0" w:lastRowFirstColumn="0" w:lastRowLastColumn="0"/>
            <w:tcW w:w="4860" w:type="dxa"/>
          </w:tcPr>
          <w:p w14:paraId="26ABDA16"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Extent to which the economic framework supports the conservation and sustainable management of forests</w:t>
            </w:r>
          </w:p>
        </w:tc>
        <w:tc>
          <w:tcPr>
            <w:tcW w:w="1350" w:type="dxa"/>
          </w:tcPr>
          <w:p w14:paraId="26ABDA17" w14:textId="642B43D7"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7.2a</w:t>
            </w:r>
          </w:p>
        </w:tc>
        <w:tc>
          <w:tcPr>
            <w:cnfStyle w:val="000001000000" w:firstRow="0" w:lastRow="0" w:firstColumn="0" w:lastColumn="0" w:oddVBand="0" w:evenVBand="1" w:oddHBand="0" w:evenHBand="0" w:firstRowFirstColumn="0" w:firstRowLastColumn="0" w:lastRowFirstColumn="0" w:lastRowLastColumn="0"/>
            <w:tcW w:w="1350" w:type="dxa"/>
          </w:tcPr>
          <w:p w14:paraId="26ABDA18"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A1E" w14:textId="77777777" w:rsidTr="00892FEB">
        <w:trPr>
          <w:cnfStyle w:val="000000010000" w:firstRow="0" w:lastRow="0" w:firstColumn="0" w:lastColumn="0" w:oddVBand="0" w:evenVBand="0" w:oddHBand="0" w:evenHBand="1" w:firstRowFirstColumn="0" w:firstRowLastColumn="0" w:lastRowFirstColumn="0" w:lastRowLastColumn="0"/>
        </w:trPr>
        <w:tc>
          <w:tcPr>
            <w:tcW w:w="1440" w:type="dxa"/>
          </w:tcPr>
          <w:p w14:paraId="26ABDA1A"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7.1d</w:t>
            </w:r>
          </w:p>
        </w:tc>
        <w:tc>
          <w:tcPr>
            <w:cnfStyle w:val="000001000000" w:firstRow="0" w:lastRow="0" w:firstColumn="0" w:lastColumn="0" w:oddVBand="0" w:evenVBand="1" w:oddHBand="0" w:evenHBand="0" w:firstRowFirstColumn="0" w:firstRowLastColumn="0" w:lastRowFirstColumn="0" w:lastRowLastColumn="0"/>
            <w:tcW w:w="4860" w:type="dxa"/>
          </w:tcPr>
          <w:p w14:paraId="26ABDA1B"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Capacity to measure and monitor changes in the conservation and sustainable management of forests</w:t>
            </w:r>
          </w:p>
        </w:tc>
        <w:tc>
          <w:tcPr>
            <w:tcW w:w="1350" w:type="dxa"/>
          </w:tcPr>
          <w:p w14:paraId="26ABDA1C" w14:textId="7A9B4633" w:rsidR="005100CC" w:rsidRPr="00CE60B2" w:rsidRDefault="005100CC" w:rsidP="00892FEB">
            <w:pPr>
              <w:pStyle w:val="TableText0"/>
              <w:jc w:val="right"/>
              <w:cnfStyle w:val="000000010000" w:firstRow="0" w:lastRow="0" w:firstColumn="0" w:lastColumn="0" w:oddVBand="0" w:evenVBand="0" w:oddHBand="0" w:evenHBand="1" w:firstRowFirstColumn="0" w:firstRowLastColumn="0" w:lastRowFirstColumn="0" w:lastRowLastColumn="0"/>
              <w:rPr>
                <w:rFonts w:ascii="Segoe UI" w:hAnsi="Segoe UI" w:cs="Segoe UI"/>
                <w:szCs w:val="20"/>
              </w:rPr>
            </w:pPr>
            <w:r w:rsidRPr="00CE60B2">
              <w:rPr>
                <w:rFonts w:ascii="Segoe UI" w:hAnsi="Segoe UI" w:cs="Segoe UI"/>
                <w:szCs w:val="20"/>
              </w:rPr>
              <w:t>7.5c</w:t>
            </w:r>
          </w:p>
        </w:tc>
        <w:tc>
          <w:tcPr>
            <w:cnfStyle w:val="000001000000" w:firstRow="0" w:lastRow="0" w:firstColumn="0" w:lastColumn="0" w:oddVBand="0" w:evenVBand="1" w:oddHBand="0" w:evenHBand="0" w:firstRowFirstColumn="0" w:firstRowLastColumn="0" w:lastRowFirstColumn="0" w:lastRowLastColumn="0"/>
            <w:tcW w:w="1350" w:type="dxa"/>
          </w:tcPr>
          <w:p w14:paraId="26ABDA1D"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r w:rsidR="005100CC" w:rsidRPr="00CE60B2" w14:paraId="26ABDA23" w14:textId="77777777" w:rsidTr="00892FEB">
        <w:trPr>
          <w:cnfStyle w:val="000000100000" w:firstRow="0" w:lastRow="0" w:firstColumn="0" w:lastColumn="0" w:oddVBand="0" w:evenVBand="0" w:oddHBand="1" w:evenHBand="0" w:firstRowFirstColumn="0" w:firstRowLastColumn="0" w:lastRowFirstColumn="0" w:lastRowLastColumn="0"/>
        </w:trPr>
        <w:tc>
          <w:tcPr>
            <w:tcW w:w="1440" w:type="dxa"/>
          </w:tcPr>
          <w:p w14:paraId="26ABDA1F" w14:textId="77777777" w:rsidR="005100CC" w:rsidRPr="00C903EE" w:rsidRDefault="005100CC" w:rsidP="00892FEB">
            <w:pPr>
              <w:pStyle w:val="TableText0"/>
              <w:rPr>
                <w:rFonts w:ascii="Segoe UI" w:hAnsi="Segoe UI" w:cs="Segoe UI"/>
                <w:bCs/>
                <w:szCs w:val="20"/>
              </w:rPr>
            </w:pPr>
            <w:r w:rsidRPr="00C903EE">
              <w:rPr>
                <w:rFonts w:ascii="Segoe UI" w:hAnsi="Segoe UI" w:cs="Segoe UI"/>
                <w:bCs/>
                <w:szCs w:val="20"/>
              </w:rPr>
              <w:t>7.1e</w:t>
            </w:r>
          </w:p>
        </w:tc>
        <w:tc>
          <w:tcPr>
            <w:cnfStyle w:val="000001000000" w:firstRow="0" w:lastRow="0" w:firstColumn="0" w:lastColumn="0" w:oddVBand="0" w:evenVBand="1" w:oddHBand="0" w:evenHBand="0" w:firstRowFirstColumn="0" w:firstRowLastColumn="0" w:lastRowFirstColumn="0" w:lastRowLastColumn="0"/>
            <w:tcW w:w="4860" w:type="dxa"/>
          </w:tcPr>
          <w:p w14:paraId="26ABDA20" w14:textId="77777777" w:rsidR="005100CC" w:rsidRPr="00CE60B2" w:rsidRDefault="005100CC" w:rsidP="00892FEB">
            <w:pPr>
              <w:pStyle w:val="TableText0"/>
              <w:rPr>
                <w:rFonts w:ascii="Segoe UI" w:hAnsi="Segoe UI" w:cs="Segoe UI"/>
                <w:szCs w:val="20"/>
              </w:rPr>
            </w:pPr>
            <w:r w:rsidRPr="00CE60B2">
              <w:rPr>
                <w:rFonts w:ascii="Segoe UI" w:hAnsi="Segoe UI" w:cs="Segoe UI"/>
                <w:szCs w:val="20"/>
              </w:rPr>
              <w:t>Capacity to conduct and apply research and development aimed at improving forest management and delivery of forest goods and services</w:t>
            </w:r>
          </w:p>
        </w:tc>
        <w:tc>
          <w:tcPr>
            <w:tcW w:w="1350" w:type="dxa"/>
          </w:tcPr>
          <w:p w14:paraId="26ABDA21" w14:textId="1292AD90" w:rsidR="005100CC" w:rsidRPr="00CE60B2" w:rsidRDefault="005100CC" w:rsidP="00892FEB">
            <w:pPr>
              <w:pStyle w:val="TableText0"/>
              <w:jc w:val="right"/>
              <w:cnfStyle w:val="000000100000" w:firstRow="0" w:lastRow="0" w:firstColumn="0" w:lastColumn="0" w:oddVBand="0" w:evenVBand="0" w:oddHBand="1" w:evenHBand="0" w:firstRowFirstColumn="0" w:firstRowLastColumn="0" w:lastRowFirstColumn="0" w:lastRowLastColumn="0"/>
              <w:rPr>
                <w:rFonts w:ascii="Segoe UI" w:hAnsi="Segoe UI" w:cs="Segoe UI"/>
                <w:szCs w:val="20"/>
              </w:rPr>
            </w:pPr>
            <w:r w:rsidRPr="00CE60B2">
              <w:rPr>
                <w:rFonts w:ascii="Segoe UI" w:hAnsi="Segoe UI" w:cs="Segoe UI"/>
                <w:szCs w:val="20"/>
              </w:rPr>
              <w:t>7.4b</w:t>
            </w:r>
          </w:p>
        </w:tc>
        <w:tc>
          <w:tcPr>
            <w:cnfStyle w:val="000001000000" w:firstRow="0" w:lastRow="0" w:firstColumn="0" w:lastColumn="0" w:oddVBand="0" w:evenVBand="1" w:oddHBand="0" w:evenHBand="0" w:firstRowFirstColumn="0" w:firstRowLastColumn="0" w:lastRowFirstColumn="0" w:lastRowLastColumn="0"/>
            <w:tcW w:w="1350" w:type="dxa"/>
          </w:tcPr>
          <w:p w14:paraId="26ABDA22" w14:textId="77777777" w:rsidR="005100CC" w:rsidRPr="00CE60B2" w:rsidRDefault="005100CC" w:rsidP="00892FEB">
            <w:pPr>
              <w:pStyle w:val="TableText0"/>
              <w:jc w:val="right"/>
              <w:rPr>
                <w:rFonts w:ascii="Segoe UI" w:hAnsi="Segoe UI" w:cs="Segoe UI"/>
                <w:szCs w:val="20"/>
              </w:rPr>
            </w:pPr>
            <w:r w:rsidRPr="00CE60B2">
              <w:rPr>
                <w:rFonts w:ascii="Segoe UI" w:hAnsi="Segoe UI" w:cs="Segoe UI"/>
                <w:szCs w:val="20"/>
              </w:rPr>
              <w:t>—</w:t>
            </w:r>
          </w:p>
        </w:tc>
      </w:tr>
    </w:tbl>
    <w:p w14:paraId="26ABDA24" w14:textId="77777777" w:rsidR="005100CC" w:rsidRPr="00CE60B2" w:rsidRDefault="005100CC" w:rsidP="005100CC">
      <w:pPr>
        <w:pStyle w:val="Footnote"/>
        <w:rPr>
          <w:rFonts w:ascii="Segoe UI" w:hAnsi="Segoe UI" w:cs="Segoe UI"/>
          <w:sz w:val="20"/>
          <w:szCs w:val="20"/>
        </w:rPr>
      </w:pPr>
      <w:r w:rsidRPr="00CE60B2">
        <w:rPr>
          <w:rFonts w:ascii="Segoe UI" w:hAnsi="Segoe UI" w:cs="Segoe UI"/>
          <w:sz w:val="20"/>
          <w:szCs w:val="20"/>
        </w:rPr>
        <w:t>— = no such alignment</w:t>
      </w:r>
    </w:p>
    <w:p w14:paraId="26ABDA25" w14:textId="77777777" w:rsidR="00D74234" w:rsidRPr="00CE60B2" w:rsidRDefault="00D74234" w:rsidP="00FF6024">
      <w:pPr>
        <w:rPr>
          <w:rFonts w:cs="Segoe UI"/>
        </w:rPr>
      </w:pPr>
    </w:p>
    <w:p w14:paraId="26ABDA26" w14:textId="77777777" w:rsidR="00EF1CDE" w:rsidRPr="00CE60B2" w:rsidRDefault="00EF1CDE" w:rsidP="00EF1CDE">
      <w:pPr>
        <w:jc w:val="right"/>
        <w:rPr>
          <w:rFonts w:cs="Segoe UI"/>
        </w:rPr>
        <w:sectPr w:rsidR="00EF1CDE" w:rsidRPr="00CE60B2" w:rsidSect="006554DE">
          <w:pgSz w:w="11906" w:h="16838" w:code="9"/>
          <w:pgMar w:top="1418" w:right="1418" w:bottom="1418" w:left="1418" w:header="737" w:footer="680" w:gutter="0"/>
          <w:cols w:space="708"/>
          <w:docGrid w:linePitch="360"/>
        </w:sectPr>
      </w:pPr>
    </w:p>
    <w:p w14:paraId="26ABDA28" w14:textId="704000F4" w:rsidR="005507C7" w:rsidRPr="00CE60B2" w:rsidRDefault="00EF1CDE" w:rsidP="00DC7A18">
      <w:pPr>
        <w:pStyle w:val="Heading3"/>
        <w:spacing w:after="120"/>
        <w:jc w:val="right"/>
      </w:pPr>
      <w:bookmarkStart w:id="237" w:name="_Toc2776090"/>
      <w:r w:rsidRPr="00CE60B2">
        <w:lastRenderedPageBreak/>
        <w:t xml:space="preserve">Appendix </w:t>
      </w:r>
      <w:r w:rsidR="00BE03FA" w:rsidRPr="00CE60B2">
        <w:t>B</w:t>
      </w:r>
      <w:r w:rsidR="00F90324">
        <w:t xml:space="preserve">:  </w:t>
      </w:r>
      <w:bookmarkStart w:id="238" w:name="_Toc524952847"/>
      <w:bookmarkEnd w:id="238"/>
      <w:r w:rsidR="00042410">
        <w:t>Threatened species and ecological communities</w:t>
      </w:r>
      <w:r w:rsidR="00DC7A18">
        <w:t xml:space="preserve"> </w:t>
      </w:r>
      <w:r w:rsidR="00042410">
        <w:t>in the</w:t>
      </w:r>
      <w:r w:rsidR="00F90324">
        <w:t xml:space="preserve"> </w:t>
      </w:r>
      <w:r w:rsidR="00042410">
        <w:t>WA RFA region</w:t>
      </w:r>
      <w:bookmarkEnd w:id="237"/>
    </w:p>
    <w:p w14:paraId="26ABDA29" w14:textId="77777777" w:rsidR="006536D5" w:rsidRPr="006536D5" w:rsidRDefault="006536D5" w:rsidP="006536D5">
      <w:pPr>
        <w:pStyle w:val="Heading5"/>
      </w:pPr>
      <w:bookmarkStart w:id="239" w:name="_Toc524952848"/>
      <w:bookmarkStart w:id="240" w:name="_Hlk2765193"/>
      <w:r w:rsidRPr="006536D5">
        <w:t>Threatened fauna</w:t>
      </w:r>
    </w:p>
    <w:tbl>
      <w:tblPr>
        <w:tblW w:w="8953" w:type="dxa"/>
        <w:tblInd w:w="118" w:type="dxa"/>
        <w:tblLook w:val="04A0" w:firstRow="1" w:lastRow="0" w:firstColumn="1" w:lastColumn="0" w:noHBand="0" w:noVBand="1"/>
      </w:tblPr>
      <w:tblGrid>
        <w:gridCol w:w="1373"/>
        <w:gridCol w:w="1276"/>
        <w:gridCol w:w="1068"/>
        <w:gridCol w:w="1068"/>
        <w:gridCol w:w="1102"/>
        <w:gridCol w:w="1330"/>
        <w:gridCol w:w="1736"/>
      </w:tblGrid>
      <w:tr w:rsidR="006536D5" w:rsidRPr="00E72278" w14:paraId="26ABDA31" w14:textId="77777777" w:rsidTr="00536C3B">
        <w:trPr>
          <w:cantSplit/>
          <w:trHeight w:val="420"/>
          <w:tblHeader/>
        </w:trPr>
        <w:tc>
          <w:tcPr>
            <w:tcW w:w="1373" w:type="dxa"/>
            <w:vMerge w:val="restart"/>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A2A" w14:textId="77777777" w:rsidR="006536D5" w:rsidRPr="00E72278" w:rsidRDefault="006536D5" w:rsidP="006536D5">
            <w:pPr>
              <w:jc w:val="center"/>
              <w:rPr>
                <w:b/>
                <w:bCs/>
                <w:color w:val="000000"/>
                <w:sz w:val="16"/>
                <w:szCs w:val="16"/>
              </w:rPr>
            </w:pPr>
            <w:r w:rsidRPr="00E72278">
              <w:rPr>
                <w:b/>
                <w:bCs/>
                <w:color w:val="000000"/>
                <w:sz w:val="16"/>
                <w:szCs w:val="16"/>
              </w:rPr>
              <w:t>Taxon</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A2B" w14:textId="77777777" w:rsidR="006536D5" w:rsidRPr="00E72278" w:rsidRDefault="006536D5" w:rsidP="006536D5">
            <w:pPr>
              <w:jc w:val="center"/>
              <w:rPr>
                <w:b/>
                <w:bCs/>
                <w:color w:val="000000"/>
                <w:sz w:val="16"/>
                <w:szCs w:val="16"/>
              </w:rPr>
            </w:pPr>
            <w:r w:rsidRPr="00E72278">
              <w:rPr>
                <w:b/>
                <w:bCs/>
                <w:color w:val="000000"/>
                <w:sz w:val="16"/>
                <w:szCs w:val="16"/>
              </w:rPr>
              <w:t>Common name</w:t>
            </w:r>
          </w:p>
        </w:tc>
        <w:tc>
          <w:tcPr>
            <w:tcW w:w="1068" w:type="dxa"/>
            <w:tcBorders>
              <w:top w:val="single" w:sz="8" w:space="0" w:color="auto"/>
              <w:left w:val="nil"/>
              <w:bottom w:val="nil"/>
              <w:right w:val="single" w:sz="8" w:space="0" w:color="auto"/>
            </w:tcBorders>
            <w:shd w:val="clear" w:color="auto" w:fill="DFEFE1" w:themeFill="accent3" w:themeFillTint="66"/>
            <w:vAlign w:val="center"/>
            <w:hideMark/>
          </w:tcPr>
          <w:p w14:paraId="26ABDA2C" w14:textId="77777777" w:rsidR="006536D5" w:rsidRPr="00E72278" w:rsidRDefault="006536D5" w:rsidP="006536D5">
            <w:pPr>
              <w:jc w:val="center"/>
              <w:rPr>
                <w:b/>
                <w:bCs/>
                <w:color w:val="000000"/>
                <w:sz w:val="16"/>
                <w:szCs w:val="16"/>
              </w:rPr>
            </w:pPr>
            <w:r w:rsidRPr="00E72278">
              <w:rPr>
                <w:b/>
                <w:bCs/>
                <w:color w:val="000000"/>
                <w:sz w:val="16"/>
                <w:szCs w:val="16"/>
              </w:rPr>
              <w:t>1998</w:t>
            </w:r>
          </w:p>
        </w:tc>
        <w:tc>
          <w:tcPr>
            <w:tcW w:w="1068" w:type="dxa"/>
            <w:tcBorders>
              <w:top w:val="single" w:sz="8" w:space="0" w:color="auto"/>
              <w:left w:val="nil"/>
              <w:bottom w:val="nil"/>
              <w:right w:val="single" w:sz="8" w:space="0" w:color="auto"/>
            </w:tcBorders>
            <w:shd w:val="clear" w:color="auto" w:fill="DFEFE1" w:themeFill="accent3" w:themeFillTint="66"/>
            <w:vAlign w:val="center"/>
            <w:hideMark/>
          </w:tcPr>
          <w:p w14:paraId="26ABDA2D" w14:textId="77777777" w:rsidR="006536D5" w:rsidRPr="00E72278" w:rsidRDefault="006536D5" w:rsidP="006536D5">
            <w:pPr>
              <w:jc w:val="center"/>
              <w:rPr>
                <w:b/>
                <w:bCs/>
                <w:color w:val="000000"/>
                <w:sz w:val="16"/>
                <w:szCs w:val="16"/>
              </w:rPr>
            </w:pPr>
            <w:r w:rsidRPr="00E72278">
              <w:rPr>
                <w:b/>
                <w:bCs/>
                <w:color w:val="000000"/>
                <w:sz w:val="16"/>
                <w:szCs w:val="16"/>
              </w:rPr>
              <w:t>2018</w:t>
            </w:r>
          </w:p>
        </w:tc>
        <w:tc>
          <w:tcPr>
            <w:tcW w:w="1102" w:type="dxa"/>
            <w:tcBorders>
              <w:top w:val="single" w:sz="8" w:space="0" w:color="auto"/>
              <w:left w:val="nil"/>
              <w:bottom w:val="nil"/>
              <w:right w:val="single" w:sz="8" w:space="0" w:color="auto"/>
            </w:tcBorders>
            <w:shd w:val="clear" w:color="auto" w:fill="DFEFE1" w:themeFill="accent3" w:themeFillTint="66"/>
            <w:vAlign w:val="center"/>
            <w:hideMark/>
          </w:tcPr>
          <w:p w14:paraId="26ABDA2E" w14:textId="77777777" w:rsidR="006536D5" w:rsidRPr="00E72278" w:rsidRDefault="006536D5" w:rsidP="006536D5">
            <w:pPr>
              <w:jc w:val="center"/>
              <w:rPr>
                <w:b/>
                <w:bCs/>
                <w:color w:val="000000"/>
                <w:sz w:val="16"/>
                <w:szCs w:val="16"/>
              </w:rPr>
            </w:pPr>
            <w:r w:rsidRPr="00E72278">
              <w:rPr>
                <w:b/>
                <w:bCs/>
                <w:color w:val="000000"/>
                <w:sz w:val="16"/>
                <w:szCs w:val="16"/>
              </w:rPr>
              <w:t>1998</w:t>
            </w:r>
          </w:p>
        </w:tc>
        <w:tc>
          <w:tcPr>
            <w:tcW w:w="1330" w:type="dxa"/>
            <w:tcBorders>
              <w:top w:val="single" w:sz="8" w:space="0" w:color="auto"/>
              <w:left w:val="nil"/>
              <w:bottom w:val="nil"/>
              <w:right w:val="single" w:sz="8" w:space="0" w:color="auto"/>
            </w:tcBorders>
            <w:shd w:val="clear" w:color="auto" w:fill="DFEFE1" w:themeFill="accent3" w:themeFillTint="66"/>
            <w:vAlign w:val="center"/>
            <w:hideMark/>
          </w:tcPr>
          <w:p w14:paraId="26ABDA2F" w14:textId="77777777" w:rsidR="006536D5" w:rsidRPr="00E72278" w:rsidRDefault="006536D5" w:rsidP="006536D5">
            <w:pPr>
              <w:jc w:val="center"/>
              <w:rPr>
                <w:b/>
                <w:bCs/>
                <w:color w:val="000000"/>
                <w:sz w:val="16"/>
                <w:szCs w:val="16"/>
              </w:rPr>
            </w:pPr>
            <w:r w:rsidRPr="00E72278">
              <w:rPr>
                <w:b/>
                <w:bCs/>
                <w:color w:val="000000"/>
                <w:sz w:val="16"/>
                <w:szCs w:val="16"/>
              </w:rPr>
              <w:t>2018</w:t>
            </w:r>
          </w:p>
        </w:tc>
        <w:tc>
          <w:tcPr>
            <w:tcW w:w="1736" w:type="dxa"/>
            <w:vMerge w:val="restart"/>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A30" w14:textId="77777777" w:rsidR="006536D5" w:rsidRPr="00E72278" w:rsidRDefault="006536D5" w:rsidP="006536D5">
            <w:pPr>
              <w:jc w:val="center"/>
              <w:rPr>
                <w:b/>
                <w:bCs/>
                <w:color w:val="000000"/>
                <w:sz w:val="16"/>
                <w:szCs w:val="16"/>
              </w:rPr>
            </w:pPr>
            <w:r w:rsidRPr="00E72278">
              <w:rPr>
                <w:b/>
                <w:bCs/>
                <w:color w:val="000000"/>
                <w:sz w:val="16"/>
                <w:szCs w:val="16"/>
              </w:rPr>
              <w:t>Status of recovery plan (including interim recovery plans) under EPBC Act or WA State plan</w:t>
            </w:r>
          </w:p>
        </w:tc>
      </w:tr>
      <w:tr w:rsidR="006536D5" w:rsidRPr="00E72278" w14:paraId="26ABDA39" w14:textId="77777777" w:rsidTr="00536C3B">
        <w:trPr>
          <w:cantSplit/>
          <w:trHeight w:val="1080"/>
          <w:tblHeader/>
        </w:trPr>
        <w:tc>
          <w:tcPr>
            <w:tcW w:w="1373" w:type="dxa"/>
            <w:vMerge/>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A32" w14:textId="77777777" w:rsidR="006536D5" w:rsidRPr="00E72278" w:rsidRDefault="006536D5" w:rsidP="006536D5">
            <w:pPr>
              <w:jc w:val="center"/>
              <w:rPr>
                <w:b/>
                <w:bCs/>
                <w:color w:val="000000"/>
                <w:sz w:val="16"/>
                <w:szCs w:val="16"/>
              </w:rPr>
            </w:pPr>
          </w:p>
        </w:tc>
        <w:tc>
          <w:tcPr>
            <w:tcW w:w="1276" w:type="dxa"/>
            <w:vMerge/>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A33" w14:textId="77777777" w:rsidR="006536D5" w:rsidRPr="00E72278" w:rsidRDefault="006536D5" w:rsidP="006536D5">
            <w:pPr>
              <w:jc w:val="center"/>
              <w:rPr>
                <w:b/>
                <w:bCs/>
                <w:color w:val="000000"/>
                <w:sz w:val="16"/>
                <w:szCs w:val="16"/>
              </w:rPr>
            </w:pPr>
          </w:p>
        </w:tc>
        <w:tc>
          <w:tcPr>
            <w:tcW w:w="1068" w:type="dxa"/>
            <w:tcBorders>
              <w:top w:val="nil"/>
              <w:left w:val="nil"/>
              <w:bottom w:val="single" w:sz="8" w:space="0" w:color="auto"/>
              <w:right w:val="single" w:sz="8" w:space="0" w:color="auto"/>
            </w:tcBorders>
            <w:shd w:val="clear" w:color="auto" w:fill="DFEFE1" w:themeFill="accent3" w:themeFillTint="66"/>
            <w:vAlign w:val="center"/>
            <w:hideMark/>
          </w:tcPr>
          <w:p w14:paraId="26ABDA34" w14:textId="77777777" w:rsidR="006536D5" w:rsidRPr="00E72278" w:rsidRDefault="006536D5" w:rsidP="006536D5">
            <w:pPr>
              <w:jc w:val="center"/>
              <w:rPr>
                <w:b/>
                <w:bCs/>
                <w:color w:val="000000"/>
                <w:sz w:val="16"/>
                <w:szCs w:val="16"/>
              </w:rPr>
            </w:pPr>
            <w:r w:rsidRPr="00E72278">
              <w:rPr>
                <w:b/>
                <w:bCs/>
                <w:color w:val="000000"/>
                <w:sz w:val="16"/>
                <w:szCs w:val="16"/>
              </w:rPr>
              <w:t>Western Australian threat status</w:t>
            </w:r>
          </w:p>
        </w:tc>
        <w:tc>
          <w:tcPr>
            <w:tcW w:w="1068" w:type="dxa"/>
            <w:tcBorders>
              <w:top w:val="nil"/>
              <w:left w:val="nil"/>
              <w:bottom w:val="single" w:sz="8" w:space="0" w:color="auto"/>
              <w:right w:val="single" w:sz="8" w:space="0" w:color="auto"/>
            </w:tcBorders>
            <w:shd w:val="clear" w:color="auto" w:fill="DFEFE1" w:themeFill="accent3" w:themeFillTint="66"/>
            <w:vAlign w:val="center"/>
            <w:hideMark/>
          </w:tcPr>
          <w:p w14:paraId="26ABDA35" w14:textId="77777777" w:rsidR="006536D5" w:rsidRPr="00E72278" w:rsidRDefault="006536D5" w:rsidP="006536D5">
            <w:pPr>
              <w:jc w:val="center"/>
              <w:rPr>
                <w:b/>
                <w:bCs/>
                <w:color w:val="000000"/>
                <w:sz w:val="16"/>
                <w:szCs w:val="16"/>
              </w:rPr>
            </w:pPr>
            <w:r w:rsidRPr="00E72278">
              <w:rPr>
                <w:b/>
                <w:bCs/>
                <w:color w:val="000000"/>
                <w:sz w:val="16"/>
                <w:szCs w:val="16"/>
              </w:rPr>
              <w:t>Western Australian threat status</w:t>
            </w:r>
          </w:p>
        </w:tc>
        <w:tc>
          <w:tcPr>
            <w:tcW w:w="1102" w:type="dxa"/>
            <w:tcBorders>
              <w:top w:val="nil"/>
              <w:left w:val="nil"/>
              <w:bottom w:val="single" w:sz="8" w:space="0" w:color="auto"/>
              <w:right w:val="single" w:sz="8" w:space="0" w:color="auto"/>
            </w:tcBorders>
            <w:shd w:val="clear" w:color="auto" w:fill="DFEFE1" w:themeFill="accent3" w:themeFillTint="66"/>
            <w:vAlign w:val="center"/>
            <w:hideMark/>
          </w:tcPr>
          <w:p w14:paraId="26ABDA36" w14:textId="77777777" w:rsidR="006536D5" w:rsidRPr="00E72278" w:rsidRDefault="006536D5" w:rsidP="006536D5">
            <w:pPr>
              <w:jc w:val="center"/>
              <w:rPr>
                <w:b/>
                <w:bCs/>
                <w:color w:val="000000"/>
                <w:sz w:val="16"/>
                <w:szCs w:val="16"/>
              </w:rPr>
            </w:pPr>
            <w:r w:rsidRPr="00E72278">
              <w:rPr>
                <w:b/>
                <w:bCs/>
                <w:color w:val="000000"/>
                <w:sz w:val="16"/>
                <w:szCs w:val="16"/>
              </w:rPr>
              <w:t xml:space="preserve">C’wlth </w:t>
            </w:r>
            <w:r w:rsidRPr="00E72278">
              <w:rPr>
                <w:b/>
                <w:bCs/>
                <w:i/>
                <w:iCs/>
                <w:color w:val="000000"/>
                <w:sz w:val="16"/>
                <w:szCs w:val="16"/>
              </w:rPr>
              <w:t>Endangered Species Protection Act</w:t>
            </w:r>
            <w:r w:rsidRPr="00E72278">
              <w:rPr>
                <w:b/>
                <w:bCs/>
                <w:color w:val="000000"/>
                <w:sz w:val="16"/>
                <w:szCs w:val="16"/>
              </w:rPr>
              <w:t xml:space="preserve"> status #</w:t>
            </w:r>
          </w:p>
        </w:tc>
        <w:tc>
          <w:tcPr>
            <w:tcW w:w="1330" w:type="dxa"/>
            <w:tcBorders>
              <w:top w:val="nil"/>
              <w:left w:val="nil"/>
              <w:bottom w:val="single" w:sz="8" w:space="0" w:color="auto"/>
              <w:right w:val="single" w:sz="8" w:space="0" w:color="auto"/>
            </w:tcBorders>
            <w:shd w:val="clear" w:color="auto" w:fill="DFEFE1" w:themeFill="accent3" w:themeFillTint="66"/>
            <w:vAlign w:val="center"/>
            <w:hideMark/>
          </w:tcPr>
          <w:p w14:paraId="26ABDA37" w14:textId="77777777" w:rsidR="006536D5" w:rsidRPr="00E72278" w:rsidRDefault="006536D5" w:rsidP="006536D5">
            <w:pPr>
              <w:jc w:val="center"/>
              <w:rPr>
                <w:b/>
                <w:bCs/>
                <w:color w:val="000000"/>
                <w:sz w:val="16"/>
                <w:szCs w:val="16"/>
              </w:rPr>
            </w:pPr>
            <w:r w:rsidRPr="00E72278">
              <w:rPr>
                <w:b/>
                <w:bCs/>
                <w:color w:val="000000"/>
                <w:sz w:val="16"/>
                <w:szCs w:val="16"/>
              </w:rPr>
              <w:t>listing of species under EPBC Act</w:t>
            </w:r>
          </w:p>
        </w:tc>
        <w:tc>
          <w:tcPr>
            <w:tcW w:w="1736" w:type="dxa"/>
            <w:vMerge/>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A38" w14:textId="77777777" w:rsidR="006536D5" w:rsidRPr="00E72278" w:rsidRDefault="006536D5" w:rsidP="006536D5">
            <w:pPr>
              <w:jc w:val="center"/>
              <w:rPr>
                <w:b/>
                <w:bCs/>
                <w:color w:val="000000"/>
                <w:sz w:val="16"/>
                <w:szCs w:val="16"/>
              </w:rPr>
            </w:pPr>
          </w:p>
        </w:tc>
      </w:tr>
      <w:tr w:rsidR="006536D5" w:rsidRPr="00E72278" w14:paraId="26ABDA3B" w14:textId="77777777" w:rsidTr="006536D5">
        <w:trPr>
          <w:cantSplit/>
          <w:trHeight w:val="276"/>
        </w:trPr>
        <w:tc>
          <w:tcPr>
            <w:tcW w:w="8953"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6ABDA3A" w14:textId="77777777" w:rsidR="006536D5" w:rsidRPr="00E72278" w:rsidRDefault="006536D5" w:rsidP="006536D5">
            <w:pPr>
              <w:rPr>
                <w:b/>
                <w:bCs/>
                <w:color w:val="000000"/>
                <w:sz w:val="16"/>
                <w:szCs w:val="16"/>
              </w:rPr>
            </w:pPr>
            <w:r w:rsidRPr="00E72278">
              <w:rPr>
                <w:b/>
                <w:bCs/>
                <w:color w:val="000000"/>
                <w:sz w:val="16"/>
                <w:szCs w:val="16"/>
              </w:rPr>
              <w:t>Taxa with recovery plan published and being implemented</w:t>
            </w:r>
          </w:p>
        </w:tc>
      </w:tr>
      <w:tr w:rsidR="006536D5" w:rsidRPr="00E72278" w14:paraId="26ABDA43" w14:textId="77777777" w:rsidTr="006536D5">
        <w:trPr>
          <w:cantSplit/>
          <w:trHeight w:val="624"/>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A3C" w14:textId="77777777" w:rsidR="006536D5" w:rsidRPr="00E72278" w:rsidRDefault="006536D5" w:rsidP="006536D5">
            <w:pPr>
              <w:jc w:val="center"/>
              <w:rPr>
                <w:i/>
                <w:iCs/>
                <w:color w:val="000000"/>
                <w:sz w:val="16"/>
                <w:szCs w:val="16"/>
              </w:rPr>
            </w:pPr>
            <w:r w:rsidRPr="00E72278">
              <w:rPr>
                <w:i/>
                <w:iCs/>
                <w:color w:val="000000"/>
                <w:sz w:val="16"/>
                <w:szCs w:val="16"/>
              </w:rPr>
              <w:t>Bettongia penicillata ogilbyi</w:t>
            </w:r>
          </w:p>
        </w:tc>
        <w:tc>
          <w:tcPr>
            <w:tcW w:w="1276" w:type="dxa"/>
            <w:tcBorders>
              <w:top w:val="nil"/>
              <w:left w:val="nil"/>
              <w:bottom w:val="single" w:sz="8" w:space="0" w:color="auto"/>
              <w:right w:val="single" w:sz="8" w:space="0" w:color="auto"/>
            </w:tcBorders>
            <w:shd w:val="clear" w:color="auto" w:fill="auto"/>
            <w:vAlign w:val="center"/>
            <w:hideMark/>
          </w:tcPr>
          <w:p w14:paraId="26ABDA3D" w14:textId="77777777" w:rsidR="006536D5" w:rsidRPr="00E72278" w:rsidRDefault="006536D5" w:rsidP="006536D5">
            <w:pPr>
              <w:jc w:val="center"/>
              <w:rPr>
                <w:color w:val="000000"/>
                <w:sz w:val="16"/>
                <w:szCs w:val="16"/>
              </w:rPr>
            </w:pPr>
            <w:r w:rsidRPr="00E72278">
              <w:rPr>
                <w:color w:val="000000"/>
                <w:sz w:val="16"/>
                <w:szCs w:val="16"/>
              </w:rPr>
              <w:t>Woylie</w:t>
            </w:r>
          </w:p>
        </w:tc>
        <w:tc>
          <w:tcPr>
            <w:tcW w:w="1068" w:type="dxa"/>
            <w:tcBorders>
              <w:top w:val="nil"/>
              <w:left w:val="nil"/>
              <w:bottom w:val="single" w:sz="8" w:space="0" w:color="auto"/>
              <w:right w:val="single" w:sz="8" w:space="0" w:color="auto"/>
            </w:tcBorders>
            <w:shd w:val="clear" w:color="auto" w:fill="auto"/>
            <w:vAlign w:val="center"/>
            <w:hideMark/>
          </w:tcPr>
          <w:p w14:paraId="26ABDA3E"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A3F"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102" w:type="dxa"/>
            <w:tcBorders>
              <w:top w:val="nil"/>
              <w:left w:val="nil"/>
              <w:bottom w:val="single" w:sz="8" w:space="0" w:color="auto"/>
              <w:right w:val="single" w:sz="8" w:space="0" w:color="auto"/>
            </w:tcBorders>
            <w:shd w:val="clear" w:color="auto" w:fill="auto"/>
            <w:vAlign w:val="center"/>
            <w:hideMark/>
          </w:tcPr>
          <w:p w14:paraId="26ABDA40"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A41"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single" w:sz="8" w:space="0" w:color="auto"/>
              <w:right w:val="single" w:sz="8" w:space="0" w:color="auto"/>
            </w:tcBorders>
            <w:shd w:val="clear" w:color="auto" w:fill="auto"/>
            <w:vAlign w:val="center"/>
            <w:hideMark/>
          </w:tcPr>
          <w:p w14:paraId="26ABDA42"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t>Endorsed as national recovery plan</w:t>
            </w:r>
          </w:p>
        </w:tc>
      </w:tr>
      <w:tr w:rsidR="006536D5" w:rsidRPr="00E72278" w14:paraId="26ABDA4B" w14:textId="77777777" w:rsidTr="006536D5">
        <w:trPr>
          <w:cantSplit/>
          <w:trHeight w:val="816"/>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44" w14:textId="77777777" w:rsidR="006536D5" w:rsidRPr="00E72278" w:rsidRDefault="006536D5" w:rsidP="006536D5">
            <w:pPr>
              <w:jc w:val="center"/>
              <w:rPr>
                <w:i/>
                <w:iCs/>
                <w:color w:val="000000"/>
                <w:sz w:val="16"/>
                <w:szCs w:val="16"/>
              </w:rPr>
            </w:pPr>
            <w:r w:rsidRPr="00E72278">
              <w:rPr>
                <w:i/>
                <w:iCs/>
                <w:color w:val="000000"/>
                <w:sz w:val="16"/>
                <w:szCs w:val="16"/>
              </w:rPr>
              <w:t>Botaurus poiciloptilus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45" w14:textId="77777777" w:rsidR="006536D5" w:rsidRPr="00E72278" w:rsidRDefault="006536D5" w:rsidP="006536D5">
            <w:pPr>
              <w:jc w:val="center"/>
              <w:rPr>
                <w:color w:val="000000"/>
                <w:sz w:val="16"/>
                <w:szCs w:val="16"/>
              </w:rPr>
            </w:pPr>
            <w:r w:rsidRPr="00E72278">
              <w:rPr>
                <w:color w:val="000000"/>
                <w:sz w:val="16"/>
                <w:szCs w:val="16"/>
              </w:rPr>
              <w:t>Australasian bittern</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46"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47"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48" w14:textId="77777777" w:rsidR="006536D5" w:rsidRPr="00E72278" w:rsidRDefault="006536D5" w:rsidP="006536D5">
            <w:pPr>
              <w:jc w:val="center"/>
              <w:rPr>
                <w:color w:val="000000"/>
                <w:sz w:val="16"/>
                <w:szCs w:val="16"/>
              </w:rPr>
            </w:pP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49"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nil"/>
              <w:right w:val="single" w:sz="8" w:space="0" w:color="auto"/>
            </w:tcBorders>
            <w:shd w:val="clear" w:color="auto" w:fill="auto"/>
            <w:vAlign w:val="center"/>
            <w:hideMark/>
          </w:tcPr>
          <w:p w14:paraId="26ABDA4A"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r>
            <w:r w:rsidRPr="00E72278">
              <w:rPr>
                <w:color w:val="000000"/>
                <w:sz w:val="16"/>
                <w:szCs w:val="16"/>
              </w:rPr>
              <w:br/>
              <w:t>National recovery plan being prepared</w:t>
            </w:r>
          </w:p>
        </w:tc>
      </w:tr>
      <w:tr w:rsidR="006536D5" w:rsidRPr="00E72278" w14:paraId="26ABDA53" w14:textId="77777777" w:rsidTr="006536D5">
        <w:trPr>
          <w:cantSplit/>
          <w:trHeight w:val="420"/>
        </w:trPr>
        <w:tc>
          <w:tcPr>
            <w:tcW w:w="1373" w:type="dxa"/>
            <w:vMerge/>
            <w:tcBorders>
              <w:top w:val="nil"/>
              <w:left w:val="single" w:sz="8" w:space="0" w:color="auto"/>
              <w:bottom w:val="single" w:sz="8" w:space="0" w:color="000000"/>
              <w:right w:val="single" w:sz="8" w:space="0" w:color="auto"/>
            </w:tcBorders>
            <w:vAlign w:val="center"/>
            <w:hideMark/>
          </w:tcPr>
          <w:p w14:paraId="26ABDA4C"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4D"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4E"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4F"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50"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51"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A52" w14:textId="77777777" w:rsidR="006536D5" w:rsidRPr="00E72278" w:rsidRDefault="006536D5" w:rsidP="006536D5">
            <w:pPr>
              <w:jc w:val="center"/>
              <w:rPr>
                <w:color w:val="000000"/>
                <w:sz w:val="16"/>
                <w:szCs w:val="16"/>
              </w:rPr>
            </w:pPr>
            <w:r w:rsidRPr="00303009">
              <w:rPr>
                <w:color w:val="000000"/>
                <w:sz w:val="16"/>
                <w:szCs w:val="16"/>
              </w:rPr>
              <w:t>Conservation advice approved 01/02/2011</w:t>
            </w:r>
          </w:p>
        </w:tc>
      </w:tr>
      <w:tr w:rsidR="006536D5" w:rsidRPr="00E72278" w14:paraId="26ABDA5B" w14:textId="77777777" w:rsidTr="006536D5">
        <w:trPr>
          <w:cantSplit/>
          <w:trHeight w:val="624"/>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A54" w14:textId="77777777" w:rsidR="006536D5" w:rsidRPr="00E72278" w:rsidRDefault="006536D5" w:rsidP="006536D5">
            <w:pPr>
              <w:jc w:val="center"/>
              <w:rPr>
                <w:i/>
                <w:iCs/>
                <w:color w:val="000000"/>
                <w:sz w:val="16"/>
                <w:szCs w:val="16"/>
              </w:rPr>
            </w:pPr>
            <w:r w:rsidRPr="00E72278">
              <w:rPr>
                <w:i/>
                <w:iCs/>
                <w:color w:val="000000"/>
                <w:sz w:val="16"/>
                <w:szCs w:val="16"/>
              </w:rPr>
              <w:t>Calyptorhynchus banksii naso</w:t>
            </w:r>
          </w:p>
        </w:tc>
        <w:tc>
          <w:tcPr>
            <w:tcW w:w="1276" w:type="dxa"/>
            <w:tcBorders>
              <w:top w:val="nil"/>
              <w:left w:val="nil"/>
              <w:bottom w:val="single" w:sz="8" w:space="0" w:color="auto"/>
              <w:right w:val="single" w:sz="8" w:space="0" w:color="auto"/>
            </w:tcBorders>
            <w:shd w:val="clear" w:color="auto" w:fill="auto"/>
            <w:vAlign w:val="center"/>
            <w:hideMark/>
          </w:tcPr>
          <w:p w14:paraId="26ABDA55" w14:textId="77777777" w:rsidR="006536D5" w:rsidRPr="00E72278" w:rsidRDefault="006536D5" w:rsidP="006536D5">
            <w:pPr>
              <w:jc w:val="center"/>
              <w:rPr>
                <w:color w:val="000000"/>
                <w:sz w:val="16"/>
                <w:szCs w:val="16"/>
              </w:rPr>
            </w:pPr>
            <w:r w:rsidRPr="00E72278">
              <w:rPr>
                <w:color w:val="000000"/>
                <w:sz w:val="16"/>
                <w:szCs w:val="16"/>
              </w:rPr>
              <w:t>Forest red-tailed black cockatoo</w:t>
            </w:r>
          </w:p>
        </w:tc>
        <w:tc>
          <w:tcPr>
            <w:tcW w:w="1068" w:type="dxa"/>
            <w:tcBorders>
              <w:top w:val="nil"/>
              <w:left w:val="nil"/>
              <w:bottom w:val="single" w:sz="8" w:space="0" w:color="auto"/>
              <w:right w:val="single" w:sz="8" w:space="0" w:color="auto"/>
            </w:tcBorders>
            <w:shd w:val="clear" w:color="auto" w:fill="auto"/>
            <w:vAlign w:val="center"/>
            <w:hideMark/>
          </w:tcPr>
          <w:p w14:paraId="26ABDA56"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A57"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hideMark/>
          </w:tcPr>
          <w:p w14:paraId="26ABDA58"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A59"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736" w:type="dxa"/>
            <w:tcBorders>
              <w:top w:val="nil"/>
              <w:left w:val="nil"/>
              <w:bottom w:val="single" w:sz="8" w:space="0" w:color="auto"/>
              <w:right w:val="single" w:sz="8" w:space="0" w:color="auto"/>
            </w:tcBorders>
            <w:shd w:val="clear" w:color="auto" w:fill="auto"/>
            <w:vAlign w:val="center"/>
            <w:hideMark/>
          </w:tcPr>
          <w:p w14:paraId="26ABDA5A"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t>Endorsed as national recovery plan</w:t>
            </w:r>
          </w:p>
        </w:tc>
      </w:tr>
      <w:tr w:rsidR="006536D5" w:rsidRPr="00E72278" w14:paraId="26ABDA63" w14:textId="77777777" w:rsidTr="006536D5">
        <w:trPr>
          <w:cantSplit/>
          <w:trHeight w:val="828"/>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A5C" w14:textId="77777777" w:rsidR="006536D5" w:rsidRPr="00E72278" w:rsidRDefault="006536D5" w:rsidP="006536D5">
            <w:pPr>
              <w:jc w:val="center"/>
              <w:rPr>
                <w:i/>
                <w:iCs/>
                <w:color w:val="000000"/>
                <w:sz w:val="16"/>
                <w:szCs w:val="16"/>
              </w:rPr>
            </w:pPr>
            <w:r w:rsidRPr="00E72278">
              <w:rPr>
                <w:i/>
                <w:iCs/>
                <w:color w:val="000000"/>
                <w:sz w:val="16"/>
                <w:szCs w:val="16"/>
              </w:rPr>
              <w:t>Calyptorhynchus baudinii</w:t>
            </w:r>
          </w:p>
        </w:tc>
        <w:tc>
          <w:tcPr>
            <w:tcW w:w="1276" w:type="dxa"/>
            <w:tcBorders>
              <w:top w:val="nil"/>
              <w:left w:val="nil"/>
              <w:bottom w:val="single" w:sz="8" w:space="0" w:color="auto"/>
              <w:right w:val="single" w:sz="8" w:space="0" w:color="auto"/>
            </w:tcBorders>
            <w:shd w:val="clear" w:color="auto" w:fill="auto"/>
            <w:vAlign w:val="center"/>
            <w:hideMark/>
          </w:tcPr>
          <w:p w14:paraId="26ABDA5D" w14:textId="77777777" w:rsidR="006536D5" w:rsidRPr="00E72278" w:rsidRDefault="006536D5" w:rsidP="006536D5">
            <w:pPr>
              <w:jc w:val="center"/>
              <w:rPr>
                <w:color w:val="000000"/>
                <w:sz w:val="16"/>
                <w:szCs w:val="16"/>
              </w:rPr>
            </w:pPr>
            <w:r w:rsidRPr="00E72278">
              <w:rPr>
                <w:color w:val="000000"/>
                <w:sz w:val="16"/>
                <w:szCs w:val="16"/>
              </w:rPr>
              <w:t>Baudin’s cockatoo or forest black cockatoo</w:t>
            </w:r>
          </w:p>
        </w:tc>
        <w:tc>
          <w:tcPr>
            <w:tcW w:w="1068" w:type="dxa"/>
            <w:tcBorders>
              <w:top w:val="nil"/>
              <w:left w:val="nil"/>
              <w:bottom w:val="single" w:sz="8" w:space="0" w:color="auto"/>
              <w:right w:val="single" w:sz="8" w:space="0" w:color="auto"/>
            </w:tcBorders>
            <w:shd w:val="clear" w:color="auto" w:fill="auto"/>
            <w:vAlign w:val="center"/>
            <w:hideMark/>
          </w:tcPr>
          <w:p w14:paraId="26ABDA5E"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tcBorders>
              <w:top w:val="nil"/>
              <w:left w:val="nil"/>
              <w:bottom w:val="single" w:sz="8" w:space="0" w:color="auto"/>
              <w:right w:val="single" w:sz="8" w:space="0" w:color="auto"/>
            </w:tcBorders>
            <w:shd w:val="clear" w:color="auto" w:fill="auto"/>
            <w:vAlign w:val="center"/>
            <w:hideMark/>
          </w:tcPr>
          <w:p w14:paraId="26ABDA5F"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tcBorders>
              <w:top w:val="nil"/>
              <w:left w:val="nil"/>
              <w:bottom w:val="single" w:sz="8" w:space="0" w:color="auto"/>
              <w:right w:val="single" w:sz="8" w:space="0" w:color="auto"/>
            </w:tcBorders>
            <w:shd w:val="clear" w:color="auto" w:fill="auto"/>
            <w:vAlign w:val="center"/>
            <w:hideMark/>
          </w:tcPr>
          <w:p w14:paraId="26ABDA60"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A61"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single" w:sz="8" w:space="0" w:color="auto"/>
              <w:right w:val="single" w:sz="8" w:space="0" w:color="auto"/>
            </w:tcBorders>
            <w:shd w:val="clear" w:color="auto" w:fill="auto"/>
            <w:vAlign w:val="center"/>
            <w:hideMark/>
          </w:tcPr>
          <w:p w14:paraId="26ABDA62"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t>Endorsed as national recovery plan</w:t>
            </w:r>
          </w:p>
        </w:tc>
      </w:tr>
      <w:tr w:rsidR="006536D5" w:rsidRPr="00E72278" w14:paraId="26ABDA6B" w14:textId="77777777" w:rsidTr="006536D5">
        <w:trPr>
          <w:cantSplit/>
          <w:trHeight w:val="624"/>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A64" w14:textId="77777777" w:rsidR="006536D5" w:rsidRPr="00E72278" w:rsidRDefault="006536D5" w:rsidP="006536D5">
            <w:pPr>
              <w:jc w:val="center"/>
              <w:rPr>
                <w:i/>
                <w:iCs/>
                <w:color w:val="000000"/>
                <w:sz w:val="16"/>
                <w:szCs w:val="16"/>
              </w:rPr>
            </w:pPr>
            <w:r w:rsidRPr="00E72278">
              <w:rPr>
                <w:i/>
                <w:iCs/>
                <w:color w:val="000000"/>
                <w:sz w:val="16"/>
                <w:szCs w:val="16"/>
              </w:rPr>
              <w:t>Calyptorhynchus latirostris</w:t>
            </w:r>
          </w:p>
        </w:tc>
        <w:tc>
          <w:tcPr>
            <w:tcW w:w="1276" w:type="dxa"/>
            <w:tcBorders>
              <w:top w:val="nil"/>
              <w:left w:val="nil"/>
              <w:bottom w:val="single" w:sz="8" w:space="0" w:color="auto"/>
              <w:right w:val="single" w:sz="8" w:space="0" w:color="auto"/>
            </w:tcBorders>
            <w:shd w:val="clear" w:color="auto" w:fill="auto"/>
            <w:vAlign w:val="center"/>
            <w:hideMark/>
          </w:tcPr>
          <w:p w14:paraId="26ABDA65" w14:textId="77777777" w:rsidR="006536D5" w:rsidRPr="00E72278" w:rsidRDefault="006536D5" w:rsidP="006536D5">
            <w:pPr>
              <w:jc w:val="center"/>
              <w:rPr>
                <w:color w:val="000000"/>
                <w:sz w:val="16"/>
                <w:szCs w:val="16"/>
              </w:rPr>
            </w:pPr>
            <w:r w:rsidRPr="00E72278">
              <w:rPr>
                <w:color w:val="000000"/>
                <w:sz w:val="16"/>
                <w:szCs w:val="16"/>
              </w:rPr>
              <w:t>Carnaby’s black cockatoo</w:t>
            </w:r>
          </w:p>
        </w:tc>
        <w:tc>
          <w:tcPr>
            <w:tcW w:w="1068" w:type="dxa"/>
            <w:tcBorders>
              <w:top w:val="nil"/>
              <w:left w:val="nil"/>
              <w:bottom w:val="single" w:sz="8" w:space="0" w:color="auto"/>
              <w:right w:val="single" w:sz="8" w:space="0" w:color="auto"/>
            </w:tcBorders>
            <w:shd w:val="clear" w:color="auto" w:fill="auto"/>
            <w:vAlign w:val="center"/>
            <w:hideMark/>
          </w:tcPr>
          <w:p w14:paraId="26ABDA66"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tcBorders>
              <w:top w:val="nil"/>
              <w:left w:val="nil"/>
              <w:bottom w:val="single" w:sz="8" w:space="0" w:color="auto"/>
              <w:right w:val="single" w:sz="8" w:space="0" w:color="auto"/>
            </w:tcBorders>
            <w:shd w:val="clear" w:color="auto" w:fill="auto"/>
            <w:vAlign w:val="center"/>
            <w:hideMark/>
          </w:tcPr>
          <w:p w14:paraId="26ABDA67"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tcBorders>
              <w:top w:val="nil"/>
              <w:left w:val="nil"/>
              <w:bottom w:val="single" w:sz="8" w:space="0" w:color="auto"/>
              <w:right w:val="single" w:sz="8" w:space="0" w:color="auto"/>
            </w:tcBorders>
            <w:shd w:val="clear" w:color="auto" w:fill="auto"/>
            <w:vAlign w:val="center"/>
            <w:hideMark/>
          </w:tcPr>
          <w:p w14:paraId="26ABDA68"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A69"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single" w:sz="8" w:space="0" w:color="auto"/>
              <w:right w:val="single" w:sz="8" w:space="0" w:color="auto"/>
            </w:tcBorders>
            <w:shd w:val="clear" w:color="auto" w:fill="auto"/>
            <w:vAlign w:val="center"/>
            <w:hideMark/>
          </w:tcPr>
          <w:p w14:paraId="26ABDA6A"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t>Endorsed as national recovery plan</w:t>
            </w:r>
          </w:p>
        </w:tc>
      </w:tr>
      <w:tr w:rsidR="006536D5" w:rsidRPr="00E72278" w14:paraId="26ABDA73" w14:textId="77777777" w:rsidTr="006536D5">
        <w:trPr>
          <w:cantSplit/>
          <w:trHeight w:val="624"/>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A6C" w14:textId="77777777" w:rsidR="006536D5" w:rsidRPr="00E72278" w:rsidRDefault="006536D5" w:rsidP="006536D5">
            <w:pPr>
              <w:jc w:val="center"/>
              <w:rPr>
                <w:i/>
                <w:iCs/>
                <w:color w:val="000000"/>
                <w:sz w:val="16"/>
                <w:szCs w:val="16"/>
              </w:rPr>
            </w:pPr>
            <w:r w:rsidRPr="00E72278">
              <w:rPr>
                <w:i/>
                <w:iCs/>
                <w:color w:val="000000"/>
                <w:sz w:val="16"/>
                <w:szCs w:val="16"/>
              </w:rPr>
              <w:t>Dasyurus geoffroii</w:t>
            </w:r>
          </w:p>
        </w:tc>
        <w:tc>
          <w:tcPr>
            <w:tcW w:w="1276" w:type="dxa"/>
            <w:tcBorders>
              <w:top w:val="nil"/>
              <w:left w:val="nil"/>
              <w:bottom w:val="single" w:sz="8" w:space="0" w:color="auto"/>
              <w:right w:val="single" w:sz="8" w:space="0" w:color="auto"/>
            </w:tcBorders>
            <w:shd w:val="clear" w:color="auto" w:fill="auto"/>
            <w:vAlign w:val="center"/>
            <w:hideMark/>
          </w:tcPr>
          <w:p w14:paraId="26ABDA6D" w14:textId="77777777" w:rsidR="006536D5" w:rsidRPr="00E72278" w:rsidRDefault="006536D5" w:rsidP="006536D5">
            <w:pPr>
              <w:jc w:val="center"/>
              <w:rPr>
                <w:color w:val="000000"/>
                <w:sz w:val="16"/>
                <w:szCs w:val="16"/>
              </w:rPr>
            </w:pPr>
            <w:r w:rsidRPr="00E72278">
              <w:rPr>
                <w:color w:val="000000"/>
                <w:sz w:val="16"/>
                <w:szCs w:val="16"/>
              </w:rPr>
              <w:t>Chuditch</w:t>
            </w:r>
          </w:p>
        </w:tc>
        <w:tc>
          <w:tcPr>
            <w:tcW w:w="1068" w:type="dxa"/>
            <w:tcBorders>
              <w:top w:val="nil"/>
              <w:left w:val="nil"/>
              <w:bottom w:val="single" w:sz="8" w:space="0" w:color="auto"/>
              <w:right w:val="single" w:sz="8" w:space="0" w:color="auto"/>
            </w:tcBorders>
            <w:shd w:val="clear" w:color="auto" w:fill="auto"/>
            <w:vAlign w:val="center"/>
            <w:hideMark/>
          </w:tcPr>
          <w:p w14:paraId="26ABDA6E"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tcBorders>
              <w:top w:val="nil"/>
              <w:left w:val="nil"/>
              <w:bottom w:val="single" w:sz="8" w:space="0" w:color="auto"/>
              <w:right w:val="single" w:sz="8" w:space="0" w:color="auto"/>
            </w:tcBorders>
            <w:shd w:val="clear" w:color="auto" w:fill="auto"/>
            <w:vAlign w:val="center"/>
            <w:hideMark/>
          </w:tcPr>
          <w:p w14:paraId="26ABDA6F"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hideMark/>
          </w:tcPr>
          <w:p w14:paraId="26ABDA70"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330" w:type="dxa"/>
            <w:tcBorders>
              <w:top w:val="nil"/>
              <w:left w:val="nil"/>
              <w:bottom w:val="single" w:sz="8" w:space="0" w:color="auto"/>
              <w:right w:val="single" w:sz="8" w:space="0" w:color="auto"/>
            </w:tcBorders>
            <w:shd w:val="clear" w:color="auto" w:fill="auto"/>
            <w:vAlign w:val="center"/>
            <w:hideMark/>
          </w:tcPr>
          <w:p w14:paraId="26ABDA71"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736" w:type="dxa"/>
            <w:tcBorders>
              <w:top w:val="nil"/>
              <w:left w:val="nil"/>
              <w:bottom w:val="single" w:sz="8" w:space="0" w:color="auto"/>
              <w:right w:val="single" w:sz="8" w:space="0" w:color="auto"/>
            </w:tcBorders>
            <w:shd w:val="clear" w:color="auto" w:fill="auto"/>
            <w:vAlign w:val="center"/>
            <w:hideMark/>
          </w:tcPr>
          <w:p w14:paraId="26ABDA72"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r>
            <w:r w:rsidRPr="00C659F3">
              <w:rPr>
                <w:color w:val="000000"/>
                <w:sz w:val="16"/>
                <w:szCs w:val="16"/>
              </w:rPr>
              <w:t>Endorsed as national recovery plan</w:t>
            </w:r>
          </w:p>
        </w:tc>
      </w:tr>
      <w:tr w:rsidR="006536D5" w:rsidRPr="00E72278" w14:paraId="26ABDA7D" w14:textId="77777777" w:rsidTr="006536D5">
        <w:trPr>
          <w:cantSplit/>
          <w:trHeight w:val="624"/>
        </w:trPr>
        <w:tc>
          <w:tcPr>
            <w:tcW w:w="1373" w:type="dxa"/>
            <w:tcBorders>
              <w:top w:val="nil"/>
              <w:left w:val="single" w:sz="8" w:space="0" w:color="auto"/>
              <w:bottom w:val="single" w:sz="8" w:space="0" w:color="auto"/>
              <w:right w:val="single" w:sz="8" w:space="0" w:color="auto"/>
            </w:tcBorders>
            <w:shd w:val="clear" w:color="auto" w:fill="auto"/>
            <w:vAlign w:val="center"/>
          </w:tcPr>
          <w:p w14:paraId="26ABDA74" w14:textId="77777777" w:rsidR="006536D5" w:rsidRPr="00DA32F0" w:rsidRDefault="006536D5" w:rsidP="006536D5">
            <w:pPr>
              <w:jc w:val="center"/>
              <w:rPr>
                <w:i/>
                <w:iCs/>
                <w:sz w:val="16"/>
                <w:szCs w:val="16"/>
              </w:rPr>
            </w:pPr>
            <w:r w:rsidRPr="00DA32F0">
              <w:rPr>
                <w:i/>
                <w:iCs/>
                <w:sz w:val="16"/>
                <w:szCs w:val="16"/>
              </w:rPr>
              <w:t>Dasyornis longirostris</w:t>
            </w:r>
          </w:p>
          <w:p w14:paraId="26ABDA75" w14:textId="77777777" w:rsidR="006536D5" w:rsidRPr="00DA32F0" w:rsidRDefault="006536D5" w:rsidP="006536D5">
            <w:pPr>
              <w:jc w:val="center"/>
              <w:rPr>
                <w:i/>
                <w:iCs/>
                <w:sz w:val="16"/>
                <w:szCs w:val="16"/>
              </w:rPr>
            </w:pPr>
          </w:p>
        </w:tc>
        <w:tc>
          <w:tcPr>
            <w:tcW w:w="1276" w:type="dxa"/>
            <w:tcBorders>
              <w:top w:val="nil"/>
              <w:left w:val="nil"/>
              <w:bottom w:val="single" w:sz="8" w:space="0" w:color="auto"/>
              <w:right w:val="single" w:sz="8" w:space="0" w:color="auto"/>
            </w:tcBorders>
            <w:shd w:val="clear" w:color="auto" w:fill="auto"/>
            <w:vAlign w:val="center"/>
          </w:tcPr>
          <w:p w14:paraId="26ABDA76" w14:textId="77777777" w:rsidR="006536D5" w:rsidRPr="00DA32F0" w:rsidRDefault="006536D5" w:rsidP="006536D5">
            <w:pPr>
              <w:jc w:val="center"/>
              <w:rPr>
                <w:sz w:val="16"/>
                <w:szCs w:val="16"/>
              </w:rPr>
            </w:pPr>
            <w:r w:rsidRPr="00DA32F0">
              <w:rPr>
                <w:sz w:val="16"/>
                <w:szCs w:val="16"/>
              </w:rPr>
              <w:t>Western Bristlebird</w:t>
            </w:r>
            <w:r w:rsidRPr="00DA32F0">
              <w:rPr>
                <w:sz w:val="16"/>
                <w:szCs w:val="16"/>
                <w:vertAlign w:val="superscript"/>
              </w:rPr>
              <w:t>1</w:t>
            </w:r>
          </w:p>
          <w:p w14:paraId="26ABDA77" w14:textId="77777777" w:rsidR="006536D5" w:rsidRPr="00DA32F0" w:rsidRDefault="006536D5" w:rsidP="006536D5">
            <w:pPr>
              <w:jc w:val="center"/>
              <w:rPr>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A78"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A79"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tcPr>
          <w:p w14:paraId="26ABDA7A"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330" w:type="dxa"/>
            <w:tcBorders>
              <w:top w:val="nil"/>
              <w:left w:val="nil"/>
              <w:bottom w:val="single" w:sz="8" w:space="0" w:color="auto"/>
              <w:right w:val="single" w:sz="8" w:space="0" w:color="auto"/>
            </w:tcBorders>
            <w:shd w:val="clear" w:color="auto" w:fill="auto"/>
            <w:vAlign w:val="center"/>
          </w:tcPr>
          <w:p w14:paraId="26ABDA7B"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single" w:sz="8" w:space="0" w:color="auto"/>
              <w:right w:val="single" w:sz="8" w:space="0" w:color="auto"/>
            </w:tcBorders>
            <w:shd w:val="clear" w:color="auto" w:fill="auto"/>
            <w:vAlign w:val="center"/>
          </w:tcPr>
          <w:p w14:paraId="26ABDA7C"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r>
            <w:r w:rsidRPr="00C659F3">
              <w:rPr>
                <w:color w:val="000000"/>
                <w:sz w:val="16"/>
                <w:szCs w:val="16"/>
              </w:rPr>
              <w:t>Endorsed as national recovery plan</w:t>
            </w:r>
          </w:p>
        </w:tc>
      </w:tr>
      <w:tr w:rsidR="006536D5" w:rsidRPr="00E72278" w14:paraId="26ABDA85"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7E" w14:textId="77777777" w:rsidR="006536D5" w:rsidRPr="00E72278" w:rsidRDefault="006536D5" w:rsidP="006536D5">
            <w:pPr>
              <w:jc w:val="center"/>
              <w:rPr>
                <w:i/>
                <w:iCs/>
                <w:color w:val="000000"/>
                <w:sz w:val="16"/>
                <w:szCs w:val="16"/>
              </w:rPr>
            </w:pPr>
            <w:r w:rsidRPr="00E72278">
              <w:rPr>
                <w:i/>
                <w:iCs/>
                <w:color w:val="000000"/>
                <w:sz w:val="16"/>
                <w:szCs w:val="16"/>
              </w:rPr>
              <w:t>Engaewa pseudoreducta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7F" w14:textId="77777777" w:rsidR="006536D5" w:rsidRPr="00E72278" w:rsidRDefault="006536D5" w:rsidP="006536D5">
            <w:pPr>
              <w:jc w:val="center"/>
              <w:rPr>
                <w:color w:val="000000"/>
                <w:sz w:val="16"/>
                <w:szCs w:val="16"/>
              </w:rPr>
            </w:pPr>
            <w:r w:rsidRPr="00E72278">
              <w:rPr>
                <w:color w:val="000000"/>
                <w:sz w:val="16"/>
                <w:szCs w:val="16"/>
              </w:rPr>
              <w:t>Margaret River burrowing crayfish</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80" w14:textId="77777777" w:rsidR="006536D5" w:rsidRPr="00DF68C5" w:rsidRDefault="006536D5" w:rsidP="006536D5">
            <w:pPr>
              <w:jc w:val="center"/>
              <w:rPr>
                <w:color w:val="000000"/>
                <w:sz w:val="16"/>
                <w:szCs w:val="16"/>
              </w:rPr>
            </w:pP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81"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82" w14:textId="77777777" w:rsidR="006536D5" w:rsidRPr="00E72278" w:rsidRDefault="006536D5" w:rsidP="006536D5">
            <w:pPr>
              <w:jc w:val="center"/>
              <w:rPr>
                <w:color w:val="000000"/>
                <w:sz w:val="16"/>
                <w:szCs w:val="16"/>
              </w:rPr>
            </w:pP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83"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736" w:type="dxa"/>
            <w:tcBorders>
              <w:top w:val="nil"/>
              <w:left w:val="nil"/>
              <w:bottom w:val="nil"/>
              <w:right w:val="single" w:sz="8" w:space="0" w:color="auto"/>
            </w:tcBorders>
            <w:shd w:val="clear" w:color="auto" w:fill="auto"/>
            <w:vAlign w:val="center"/>
            <w:hideMark/>
          </w:tcPr>
          <w:p w14:paraId="26ABDA84"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A8D" w14:textId="77777777" w:rsidTr="006536D5">
        <w:trPr>
          <w:cantSplit/>
          <w:trHeight w:val="408"/>
        </w:trPr>
        <w:tc>
          <w:tcPr>
            <w:tcW w:w="1373" w:type="dxa"/>
            <w:vMerge/>
            <w:tcBorders>
              <w:top w:val="nil"/>
              <w:left w:val="single" w:sz="8" w:space="0" w:color="auto"/>
              <w:bottom w:val="single" w:sz="8" w:space="0" w:color="000000"/>
              <w:right w:val="single" w:sz="8" w:space="0" w:color="auto"/>
            </w:tcBorders>
            <w:vAlign w:val="center"/>
            <w:hideMark/>
          </w:tcPr>
          <w:p w14:paraId="26ABDA8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8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8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8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8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8B" w14:textId="77777777" w:rsidR="006536D5" w:rsidRPr="00E72278" w:rsidRDefault="006536D5" w:rsidP="006536D5">
            <w:pPr>
              <w:jc w:val="center"/>
              <w:rPr>
                <w:color w:val="000000"/>
                <w:sz w:val="16"/>
                <w:szCs w:val="16"/>
              </w:rPr>
            </w:pPr>
          </w:p>
        </w:tc>
        <w:tc>
          <w:tcPr>
            <w:tcW w:w="1736" w:type="dxa"/>
            <w:tcBorders>
              <w:top w:val="nil"/>
              <w:left w:val="nil"/>
              <w:bottom w:val="nil"/>
              <w:right w:val="single" w:sz="8" w:space="0" w:color="auto"/>
            </w:tcBorders>
            <w:shd w:val="clear" w:color="auto" w:fill="auto"/>
            <w:vAlign w:val="center"/>
            <w:hideMark/>
          </w:tcPr>
          <w:p w14:paraId="26ABDA8C" w14:textId="77777777" w:rsidR="006536D5" w:rsidRPr="00E72278" w:rsidRDefault="006536D5" w:rsidP="006536D5">
            <w:pPr>
              <w:jc w:val="center"/>
              <w:rPr>
                <w:color w:val="000000"/>
                <w:sz w:val="16"/>
                <w:szCs w:val="16"/>
              </w:rPr>
            </w:pPr>
            <w:r w:rsidRPr="00E72278">
              <w:rPr>
                <w:color w:val="000000"/>
                <w:sz w:val="16"/>
                <w:szCs w:val="16"/>
              </w:rPr>
              <w:t>National recovery plan not required</w:t>
            </w:r>
          </w:p>
        </w:tc>
      </w:tr>
      <w:tr w:rsidR="006536D5" w:rsidRPr="00E72278" w14:paraId="26ABDA95" w14:textId="77777777" w:rsidTr="006536D5">
        <w:trPr>
          <w:cantSplit/>
          <w:trHeight w:val="420"/>
        </w:trPr>
        <w:tc>
          <w:tcPr>
            <w:tcW w:w="1373" w:type="dxa"/>
            <w:vMerge/>
            <w:tcBorders>
              <w:top w:val="nil"/>
              <w:left w:val="single" w:sz="8" w:space="0" w:color="auto"/>
              <w:bottom w:val="single" w:sz="8" w:space="0" w:color="000000"/>
              <w:right w:val="single" w:sz="8" w:space="0" w:color="auto"/>
            </w:tcBorders>
            <w:vAlign w:val="center"/>
            <w:hideMark/>
          </w:tcPr>
          <w:p w14:paraId="26ABDA8E"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8F"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90"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91"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92"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93"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A94" w14:textId="77777777" w:rsidR="006536D5" w:rsidRPr="00E72278" w:rsidRDefault="006536D5" w:rsidP="006536D5">
            <w:pPr>
              <w:jc w:val="center"/>
              <w:rPr>
                <w:color w:val="000000"/>
                <w:sz w:val="16"/>
                <w:szCs w:val="16"/>
              </w:rPr>
            </w:pPr>
            <w:r w:rsidRPr="00E72278">
              <w:rPr>
                <w:color w:val="000000"/>
                <w:sz w:val="16"/>
                <w:szCs w:val="16"/>
              </w:rPr>
              <w:t>Conservation advice approved 14/04/2009</w:t>
            </w:r>
          </w:p>
        </w:tc>
      </w:tr>
      <w:tr w:rsidR="006536D5" w:rsidRPr="00E72278" w14:paraId="26ABDA9D"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96" w14:textId="77777777" w:rsidR="006536D5" w:rsidRPr="00E72278" w:rsidRDefault="006536D5" w:rsidP="006536D5">
            <w:pPr>
              <w:jc w:val="center"/>
              <w:rPr>
                <w:i/>
                <w:iCs/>
                <w:color w:val="000000"/>
                <w:sz w:val="16"/>
                <w:szCs w:val="16"/>
              </w:rPr>
            </w:pPr>
            <w:r w:rsidRPr="00E72278">
              <w:rPr>
                <w:i/>
                <w:iCs/>
                <w:color w:val="000000"/>
                <w:sz w:val="16"/>
                <w:szCs w:val="16"/>
              </w:rPr>
              <w:t>Engaewa reducta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97" w14:textId="77777777" w:rsidR="006536D5" w:rsidRPr="00E72278" w:rsidRDefault="006536D5" w:rsidP="006536D5">
            <w:pPr>
              <w:jc w:val="center"/>
              <w:rPr>
                <w:color w:val="000000"/>
                <w:sz w:val="16"/>
                <w:szCs w:val="16"/>
              </w:rPr>
            </w:pPr>
            <w:r w:rsidRPr="00E72278">
              <w:rPr>
                <w:color w:val="000000"/>
                <w:sz w:val="16"/>
                <w:szCs w:val="16"/>
              </w:rPr>
              <w:t>Dunsborough burrowing crayfish</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98" w14:textId="77777777" w:rsidR="006536D5" w:rsidRPr="00E72278" w:rsidRDefault="006536D5" w:rsidP="006536D5">
            <w:pPr>
              <w:jc w:val="center"/>
              <w:rPr>
                <w:color w:val="000000"/>
                <w:sz w:val="16"/>
                <w:szCs w:val="16"/>
              </w:rPr>
            </w:pP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99"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9A" w14:textId="77777777" w:rsidR="006536D5" w:rsidRPr="00E72278" w:rsidRDefault="006536D5" w:rsidP="006536D5">
            <w:pPr>
              <w:jc w:val="center"/>
              <w:rPr>
                <w:color w:val="000000"/>
                <w:sz w:val="16"/>
                <w:szCs w:val="16"/>
              </w:rPr>
            </w:pP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9B"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736" w:type="dxa"/>
            <w:tcBorders>
              <w:top w:val="nil"/>
              <w:left w:val="nil"/>
              <w:bottom w:val="nil"/>
              <w:right w:val="single" w:sz="8" w:space="0" w:color="auto"/>
            </w:tcBorders>
            <w:shd w:val="clear" w:color="auto" w:fill="auto"/>
            <w:vAlign w:val="center"/>
            <w:hideMark/>
          </w:tcPr>
          <w:p w14:paraId="26ABDA9C"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AA5" w14:textId="77777777" w:rsidTr="006536D5">
        <w:trPr>
          <w:cantSplit/>
          <w:trHeight w:val="408"/>
        </w:trPr>
        <w:tc>
          <w:tcPr>
            <w:tcW w:w="1373" w:type="dxa"/>
            <w:vMerge/>
            <w:tcBorders>
              <w:top w:val="nil"/>
              <w:left w:val="single" w:sz="8" w:space="0" w:color="auto"/>
              <w:bottom w:val="single" w:sz="8" w:space="0" w:color="000000"/>
              <w:right w:val="single" w:sz="8" w:space="0" w:color="auto"/>
            </w:tcBorders>
            <w:vAlign w:val="center"/>
            <w:hideMark/>
          </w:tcPr>
          <w:p w14:paraId="26ABDA9E"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9F"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A0"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A1"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A2"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A3" w14:textId="77777777" w:rsidR="006536D5" w:rsidRPr="00E72278" w:rsidRDefault="006536D5" w:rsidP="006536D5">
            <w:pPr>
              <w:jc w:val="center"/>
              <w:rPr>
                <w:color w:val="000000"/>
                <w:sz w:val="16"/>
                <w:szCs w:val="16"/>
              </w:rPr>
            </w:pPr>
          </w:p>
        </w:tc>
        <w:tc>
          <w:tcPr>
            <w:tcW w:w="1736" w:type="dxa"/>
            <w:tcBorders>
              <w:top w:val="nil"/>
              <w:left w:val="nil"/>
              <w:bottom w:val="nil"/>
              <w:right w:val="single" w:sz="8" w:space="0" w:color="auto"/>
            </w:tcBorders>
            <w:shd w:val="clear" w:color="auto" w:fill="auto"/>
            <w:vAlign w:val="center"/>
            <w:hideMark/>
          </w:tcPr>
          <w:p w14:paraId="26ABDAA4" w14:textId="77777777" w:rsidR="006536D5" w:rsidRPr="00E72278" w:rsidRDefault="006536D5" w:rsidP="006536D5">
            <w:pPr>
              <w:jc w:val="center"/>
              <w:rPr>
                <w:color w:val="000000"/>
                <w:sz w:val="16"/>
                <w:szCs w:val="16"/>
              </w:rPr>
            </w:pPr>
            <w:r w:rsidRPr="00E72278">
              <w:rPr>
                <w:color w:val="000000"/>
                <w:sz w:val="16"/>
                <w:szCs w:val="16"/>
              </w:rPr>
              <w:t>National recovery plan not required</w:t>
            </w:r>
          </w:p>
        </w:tc>
      </w:tr>
      <w:tr w:rsidR="006536D5" w:rsidRPr="00E72278" w14:paraId="26ABDAAD" w14:textId="77777777" w:rsidTr="006536D5">
        <w:trPr>
          <w:cantSplit/>
          <w:trHeight w:val="420"/>
        </w:trPr>
        <w:tc>
          <w:tcPr>
            <w:tcW w:w="1373" w:type="dxa"/>
            <w:vMerge/>
            <w:tcBorders>
              <w:top w:val="nil"/>
              <w:left w:val="single" w:sz="8" w:space="0" w:color="auto"/>
              <w:bottom w:val="single" w:sz="8" w:space="0" w:color="000000"/>
              <w:right w:val="single" w:sz="8" w:space="0" w:color="auto"/>
            </w:tcBorders>
            <w:vAlign w:val="center"/>
            <w:hideMark/>
          </w:tcPr>
          <w:p w14:paraId="26ABDAA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A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A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A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A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AB"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AAC" w14:textId="77777777" w:rsidR="006536D5" w:rsidRPr="00E72278" w:rsidRDefault="006536D5" w:rsidP="006536D5">
            <w:pPr>
              <w:jc w:val="center"/>
              <w:rPr>
                <w:color w:val="000000"/>
                <w:sz w:val="16"/>
                <w:szCs w:val="16"/>
              </w:rPr>
            </w:pPr>
            <w:r w:rsidRPr="00E72278">
              <w:rPr>
                <w:color w:val="000000"/>
                <w:sz w:val="16"/>
                <w:szCs w:val="16"/>
              </w:rPr>
              <w:t>Conservation advice approved 14/04/2009</w:t>
            </w:r>
          </w:p>
        </w:tc>
      </w:tr>
      <w:tr w:rsidR="006536D5" w:rsidRPr="00E72278" w14:paraId="26ABDAB5" w14:textId="77777777" w:rsidTr="006536D5">
        <w:trPr>
          <w:cantSplit/>
          <w:trHeight w:val="408"/>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AE" w14:textId="77777777" w:rsidR="006536D5" w:rsidRPr="00E72278" w:rsidRDefault="006536D5" w:rsidP="006536D5">
            <w:pPr>
              <w:jc w:val="center"/>
              <w:rPr>
                <w:i/>
                <w:iCs/>
                <w:color w:val="000000"/>
                <w:sz w:val="16"/>
                <w:szCs w:val="16"/>
              </w:rPr>
            </w:pPr>
            <w:r w:rsidRPr="00E72278">
              <w:rPr>
                <w:i/>
                <w:iCs/>
                <w:color w:val="000000"/>
                <w:sz w:val="16"/>
                <w:szCs w:val="16"/>
              </w:rPr>
              <w:t>Engaewa walpolea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AF" w14:textId="77777777" w:rsidR="006536D5" w:rsidRPr="00E72278" w:rsidRDefault="006536D5" w:rsidP="006536D5">
            <w:pPr>
              <w:jc w:val="center"/>
              <w:rPr>
                <w:color w:val="000000"/>
                <w:sz w:val="16"/>
                <w:szCs w:val="16"/>
              </w:rPr>
            </w:pPr>
            <w:r w:rsidRPr="00E72278">
              <w:rPr>
                <w:color w:val="000000"/>
                <w:sz w:val="16"/>
                <w:szCs w:val="16"/>
              </w:rPr>
              <w:t>Walpole burrowing crayfish</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B0" w14:textId="77777777" w:rsidR="006536D5" w:rsidRPr="00E72278" w:rsidRDefault="006536D5" w:rsidP="006536D5">
            <w:pPr>
              <w:jc w:val="center"/>
              <w:rPr>
                <w:color w:val="000000"/>
                <w:sz w:val="16"/>
                <w:szCs w:val="16"/>
              </w:rPr>
            </w:pP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B1"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B2" w14:textId="77777777" w:rsidR="006536D5" w:rsidRPr="00E72278" w:rsidRDefault="006536D5" w:rsidP="006536D5">
            <w:pPr>
              <w:jc w:val="center"/>
              <w:rPr>
                <w:color w:val="000000"/>
                <w:sz w:val="16"/>
                <w:szCs w:val="16"/>
              </w:rPr>
            </w:pP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B3"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nil"/>
              <w:right w:val="single" w:sz="8" w:space="0" w:color="auto"/>
            </w:tcBorders>
            <w:shd w:val="clear" w:color="auto" w:fill="auto"/>
            <w:vAlign w:val="center"/>
            <w:hideMark/>
          </w:tcPr>
          <w:p w14:paraId="26ABDAB4"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ABD" w14:textId="77777777" w:rsidTr="006536D5">
        <w:trPr>
          <w:cantSplit/>
          <w:trHeight w:val="612"/>
        </w:trPr>
        <w:tc>
          <w:tcPr>
            <w:tcW w:w="1373" w:type="dxa"/>
            <w:vMerge/>
            <w:tcBorders>
              <w:top w:val="nil"/>
              <w:left w:val="single" w:sz="8" w:space="0" w:color="auto"/>
              <w:bottom w:val="single" w:sz="8" w:space="0" w:color="000000"/>
              <w:right w:val="single" w:sz="8" w:space="0" w:color="auto"/>
            </w:tcBorders>
            <w:vAlign w:val="center"/>
            <w:hideMark/>
          </w:tcPr>
          <w:p w14:paraId="26ABDAB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B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B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B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B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BB" w14:textId="77777777" w:rsidR="006536D5" w:rsidRPr="00E72278" w:rsidRDefault="006536D5" w:rsidP="006536D5">
            <w:pPr>
              <w:jc w:val="center"/>
              <w:rPr>
                <w:color w:val="000000"/>
                <w:sz w:val="16"/>
                <w:szCs w:val="16"/>
              </w:rPr>
            </w:pPr>
          </w:p>
        </w:tc>
        <w:tc>
          <w:tcPr>
            <w:tcW w:w="1736" w:type="dxa"/>
            <w:tcBorders>
              <w:top w:val="nil"/>
              <w:left w:val="nil"/>
              <w:bottom w:val="nil"/>
              <w:right w:val="single" w:sz="8" w:space="0" w:color="auto"/>
            </w:tcBorders>
            <w:shd w:val="clear" w:color="auto" w:fill="auto"/>
            <w:vAlign w:val="center"/>
            <w:hideMark/>
          </w:tcPr>
          <w:p w14:paraId="26ABDABC" w14:textId="77777777" w:rsidR="006536D5" w:rsidRPr="00E72278" w:rsidRDefault="006536D5" w:rsidP="006536D5">
            <w:pPr>
              <w:jc w:val="center"/>
              <w:rPr>
                <w:color w:val="000000"/>
                <w:sz w:val="16"/>
                <w:szCs w:val="16"/>
              </w:rPr>
            </w:pPr>
            <w:r w:rsidRPr="00E72278">
              <w:rPr>
                <w:color w:val="000000"/>
                <w:sz w:val="16"/>
                <w:szCs w:val="16"/>
              </w:rPr>
              <w:t>National recovery plan not required</w:t>
            </w:r>
          </w:p>
        </w:tc>
      </w:tr>
      <w:tr w:rsidR="006536D5" w:rsidRPr="00E72278" w14:paraId="26ABDAC5" w14:textId="77777777" w:rsidTr="006536D5">
        <w:trPr>
          <w:cantSplit/>
          <w:trHeight w:val="828"/>
        </w:trPr>
        <w:tc>
          <w:tcPr>
            <w:tcW w:w="1373" w:type="dxa"/>
            <w:vMerge/>
            <w:tcBorders>
              <w:top w:val="nil"/>
              <w:left w:val="single" w:sz="8" w:space="0" w:color="auto"/>
              <w:bottom w:val="single" w:sz="8" w:space="0" w:color="000000"/>
              <w:right w:val="single" w:sz="8" w:space="0" w:color="auto"/>
            </w:tcBorders>
            <w:vAlign w:val="center"/>
            <w:hideMark/>
          </w:tcPr>
          <w:p w14:paraId="26ABDABE"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BF"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C0"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C1"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C2"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C3"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AC4" w14:textId="77777777" w:rsidR="006536D5" w:rsidRPr="00E72278" w:rsidRDefault="006536D5" w:rsidP="006536D5">
            <w:pPr>
              <w:jc w:val="center"/>
              <w:rPr>
                <w:color w:val="000000"/>
                <w:sz w:val="16"/>
                <w:szCs w:val="16"/>
              </w:rPr>
            </w:pPr>
            <w:r w:rsidRPr="00E72278">
              <w:rPr>
                <w:color w:val="000000"/>
                <w:sz w:val="16"/>
                <w:szCs w:val="16"/>
              </w:rPr>
              <w:t>Conservation advice approved 14/04/2009</w:t>
            </w:r>
          </w:p>
        </w:tc>
      </w:tr>
      <w:tr w:rsidR="006536D5" w:rsidRPr="00E72278" w14:paraId="26ABDACD"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C6" w14:textId="77777777" w:rsidR="006536D5" w:rsidRPr="00E72278" w:rsidRDefault="006536D5" w:rsidP="006536D5">
            <w:pPr>
              <w:jc w:val="center"/>
              <w:rPr>
                <w:i/>
                <w:iCs/>
                <w:color w:val="000000"/>
                <w:sz w:val="16"/>
                <w:szCs w:val="16"/>
              </w:rPr>
            </w:pPr>
            <w:r w:rsidRPr="00E72278">
              <w:rPr>
                <w:i/>
                <w:iCs/>
                <w:color w:val="000000"/>
                <w:sz w:val="16"/>
                <w:szCs w:val="16"/>
              </w:rPr>
              <w:t>Galaxias truttaceus hesperius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C7" w14:textId="77777777" w:rsidR="006536D5" w:rsidRPr="00E72278" w:rsidRDefault="006536D5" w:rsidP="006536D5">
            <w:pPr>
              <w:jc w:val="center"/>
              <w:rPr>
                <w:color w:val="000000"/>
                <w:sz w:val="16"/>
                <w:szCs w:val="16"/>
              </w:rPr>
            </w:pPr>
            <w:r w:rsidRPr="00E72278">
              <w:rPr>
                <w:color w:val="000000"/>
                <w:sz w:val="16"/>
                <w:szCs w:val="16"/>
              </w:rPr>
              <w:t>Western trout minnow</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C8" w14:textId="77777777" w:rsidR="006536D5" w:rsidRPr="00E72278" w:rsidRDefault="006536D5" w:rsidP="006536D5">
            <w:pPr>
              <w:jc w:val="center"/>
              <w:rPr>
                <w:color w:val="000000"/>
                <w:sz w:val="16"/>
                <w:szCs w:val="16"/>
              </w:rPr>
            </w:pP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C9"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CA" w14:textId="77777777" w:rsidR="006536D5" w:rsidRPr="00E72278" w:rsidRDefault="006536D5" w:rsidP="006536D5">
            <w:pPr>
              <w:jc w:val="center"/>
              <w:rPr>
                <w:color w:val="000000"/>
                <w:sz w:val="16"/>
                <w:szCs w:val="16"/>
              </w:rPr>
            </w:pP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CB"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736" w:type="dxa"/>
            <w:tcBorders>
              <w:top w:val="nil"/>
              <w:left w:val="nil"/>
              <w:bottom w:val="nil"/>
              <w:right w:val="single" w:sz="8" w:space="0" w:color="auto"/>
            </w:tcBorders>
            <w:shd w:val="clear" w:color="auto" w:fill="auto"/>
            <w:vAlign w:val="center"/>
            <w:hideMark/>
          </w:tcPr>
          <w:p w14:paraId="26ABDACC"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AD5" w14:textId="77777777" w:rsidTr="006536D5">
        <w:trPr>
          <w:cantSplit/>
          <w:trHeight w:val="408"/>
        </w:trPr>
        <w:tc>
          <w:tcPr>
            <w:tcW w:w="1373" w:type="dxa"/>
            <w:vMerge/>
            <w:tcBorders>
              <w:top w:val="nil"/>
              <w:left w:val="single" w:sz="8" w:space="0" w:color="auto"/>
              <w:bottom w:val="single" w:sz="8" w:space="0" w:color="000000"/>
              <w:right w:val="single" w:sz="8" w:space="0" w:color="auto"/>
            </w:tcBorders>
            <w:vAlign w:val="center"/>
            <w:hideMark/>
          </w:tcPr>
          <w:p w14:paraId="26ABDACE"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CF"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D0"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D1"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D2"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D3" w14:textId="77777777" w:rsidR="006536D5" w:rsidRPr="00E72278" w:rsidRDefault="006536D5" w:rsidP="006536D5">
            <w:pPr>
              <w:jc w:val="center"/>
              <w:rPr>
                <w:color w:val="000000"/>
                <w:sz w:val="16"/>
                <w:szCs w:val="16"/>
              </w:rPr>
            </w:pPr>
          </w:p>
        </w:tc>
        <w:tc>
          <w:tcPr>
            <w:tcW w:w="1736" w:type="dxa"/>
            <w:tcBorders>
              <w:top w:val="nil"/>
              <w:left w:val="nil"/>
              <w:bottom w:val="nil"/>
              <w:right w:val="single" w:sz="8" w:space="0" w:color="auto"/>
            </w:tcBorders>
            <w:shd w:val="clear" w:color="auto" w:fill="auto"/>
            <w:vAlign w:val="center"/>
            <w:hideMark/>
          </w:tcPr>
          <w:p w14:paraId="26ABDAD4" w14:textId="77777777" w:rsidR="006536D5" w:rsidRPr="00E72278" w:rsidRDefault="006536D5" w:rsidP="006536D5">
            <w:pPr>
              <w:jc w:val="center"/>
              <w:rPr>
                <w:color w:val="000000"/>
                <w:sz w:val="16"/>
                <w:szCs w:val="16"/>
              </w:rPr>
            </w:pPr>
            <w:r w:rsidRPr="00E72278">
              <w:rPr>
                <w:color w:val="000000"/>
                <w:sz w:val="16"/>
                <w:szCs w:val="16"/>
              </w:rPr>
              <w:t>National recovery plan not required</w:t>
            </w:r>
          </w:p>
        </w:tc>
      </w:tr>
      <w:tr w:rsidR="006536D5" w:rsidRPr="00E72278" w14:paraId="26ABDADD" w14:textId="77777777" w:rsidTr="006536D5">
        <w:trPr>
          <w:cantSplit/>
          <w:trHeight w:val="420"/>
        </w:trPr>
        <w:tc>
          <w:tcPr>
            <w:tcW w:w="1373" w:type="dxa"/>
            <w:vMerge/>
            <w:tcBorders>
              <w:top w:val="nil"/>
              <w:left w:val="single" w:sz="8" w:space="0" w:color="auto"/>
              <w:bottom w:val="single" w:sz="8" w:space="0" w:color="000000"/>
              <w:right w:val="single" w:sz="8" w:space="0" w:color="auto"/>
            </w:tcBorders>
            <w:vAlign w:val="center"/>
            <w:hideMark/>
          </w:tcPr>
          <w:p w14:paraId="26ABDAD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D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D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D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D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DB"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ADC" w14:textId="77777777" w:rsidR="006536D5" w:rsidRPr="00E72278" w:rsidRDefault="006536D5" w:rsidP="006536D5">
            <w:pPr>
              <w:jc w:val="center"/>
              <w:rPr>
                <w:color w:val="000000"/>
                <w:sz w:val="16"/>
                <w:szCs w:val="16"/>
              </w:rPr>
            </w:pPr>
            <w:r w:rsidRPr="00E72278">
              <w:rPr>
                <w:color w:val="000000"/>
                <w:sz w:val="16"/>
                <w:szCs w:val="16"/>
              </w:rPr>
              <w:t>Conservation advice approved 03/07/2008</w:t>
            </w:r>
          </w:p>
        </w:tc>
      </w:tr>
      <w:tr w:rsidR="006536D5" w:rsidRPr="00E72278" w14:paraId="26ABDAE5"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DE" w14:textId="77777777" w:rsidR="006536D5" w:rsidRPr="00E72278" w:rsidRDefault="006536D5" w:rsidP="006536D5">
            <w:pPr>
              <w:jc w:val="center"/>
              <w:rPr>
                <w:i/>
                <w:iCs/>
                <w:color w:val="000000"/>
                <w:sz w:val="16"/>
                <w:szCs w:val="16"/>
              </w:rPr>
            </w:pPr>
            <w:r w:rsidRPr="00E72278">
              <w:rPr>
                <w:i/>
                <w:iCs/>
                <w:color w:val="000000"/>
                <w:sz w:val="16"/>
                <w:szCs w:val="16"/>
              </w:rPr>
              <w:t>Geocrinia alba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DF" w14:textId="77777777" w:rsidR="006536D5" w:rsidRPr="00E72278" w:rsidRDefault="006536D5" w:rsidP="006536D5">
            <w:pPr>
              <w:jc w:val="center"/>
              <w:rPr>
                <w:color w:val="000000"/>
                <w:sz w:val="16"/>
                <w:szCs w:val="16"/>
              </w:rPr>
            </w:pPr>
            <w:r w:rsidRPr="00E72278">
              <w:rPr>
                <w:color w:val="000000"/>
                <w:sz w:val="16"/>
                <w:szCs w:val="16"/>
              </w:rPr>
              <w:t>White-bellied frog</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E0"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E1"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E2"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E3"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nil"/>
              <w:right w:val="single" w:sz="8" w:space="0" w:color="auto"/>
            </w:tcBorders>
            <w:shd w:val="clear" w:color="auto" w:fill="auto"/>
            <w:vAlign w:val="center"/>
            <w:hideMark/>
          </w:tcPr>
          <w:p w14:paraId="26ABDAE4"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AED" w14:textId="77777777" w:rsidTr="006536D5">
        <w:trPr>
          <w:cantSplit/>
          <w:trHeight w:val="828"/>
        </w:trPr>
        <w:tc>
          <w:tcPr>
            <w:tcW w:w="1373" w:type="dxa"/>
            <w:vMerge/>
            <w:tcBorders>
              <w:top w:val="nil"/>
              <w:left w:val="single" w:sz="8" w:space="0" w:color="auto"/>
              <w:bottom w:val="single" w:sz="8" w:space="0" w:color="000000"/>
              <w:right w:val="single" w:sz="8" w:space="0" w:color="auto"/>
            </w:tcBorders>
            <w:vAlign w:val="center"/>
            <w:hideMark/>
          </w:tcPr>
          <w:p w14:paraId="26ABDAE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E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E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E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E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EB"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AEC" w14:textId="77777777" w:rsidR="006536D5" w:rsidRPr="00E72278" w:rsidRDefault="006536D5" w:rsidP="006536D5">
            <w:pPr>
              <w:jc w:val="center"/>
              <w:rPr>
                <w:color w:val="000000"/>
                <w:sz w:val="16"/>
                <w:szCs w:val="16"/>
              </w:rPr>
            </w:pPr>
            <w:r w:rsidRPr="00E72278">
              <w:rPr>
                <w:color w:val="000000"/>
                <w:sz w:val="16"/>
                <w:szCs w:val="16"/>
              </w:rPr>
              <w:t>Endorsed as national recovery plan</w:t>
            </w:r>
          </w:p>
        </w:tc>
      </w:tr>
      <w:tr w:rsidR="006536D5" w:rsidRPr="00E72278" w14:paraId="26ABDAF5"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EE" w14:textId="77777777" w:rsidR="006536D5" w:rsidRPr="00E72278" w:rsidRDefault="006536D5" w:rsidP="006536D5">
            <w:pPr>
              <w:jc w:val="center"/>
              <w:rPr>
                <w:i/>
                <w:iCs/>
                <w:color w:val="000000"/>
                <w:sz w:val="16"/>
                <w:szCs w:val="16"/>
              </w:rPr>
            </w:pPr>
            <w:r w:rsidRPr="00E72278">
              <w:rPr>
                <w:i/>
                <w:iCs/>
                <w:color w:val="000000"/>
                <w:sz w:val="16"/>
                <w:szCs w:val="16"/>
              </w:rPr>
              <w:t>Geocrinia vitellina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EF" w14:textId="77777777" w:rsidR="006536D5" w:rsidRPr="00E72278" w:rsidRDefault="006536D5" w:rsidP="006536D5">
            <w:pPr>
              <w:jc w:val="center"/>
              <w:rPr>
                <w:color w:val="000000"/>
                <w:sz w:val="16"/>
                <w:szCs w:val="16"/>
              </w:rPr>
            </w:pPr>
            <w:r w:rsidRPr="00E72278">
              <w:rPr>
                <w:color w:val="000000"/>
                <w:sz w:val="16"/>
                <w:szCs w:val="16"/>
              </w:rPr>
              <w:t>Orange-bellied frog</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F0"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F1"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F2"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F3"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736" w:type="dxa"/>
            <w:tcBorders>
              <w:top w:val="nil"/>
              <w:left w:val="nil"/>
              <w:bottom w:val="nil"/>
              <w:right w:val="single" w:sz="8" w:space="0" w:color="auto"/>
            </w:tcBorders>
            <w:shd w:val="clear" w:color="auto" w:fill="auto"/>
            <w:vAlign w:val="center"/>
            <w:hideMark/>
          </w:tcPr>
          <w:p w14:paraId="26ABDAF4"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AFD" w14:textId="77777777" w:rsidTr="006536D5">
        <w:trPr>
          <w:cantSplit/>
          <w:trHeight w:val="828"/>
        </w:trPr>
        <w:tc>
          <w:tcPr>
            <w:tcW w:w="1373" w:type="dxa"/>
            <w:vMerge/>
            <w:tcBorders>
              <w:top w:val="nil"/>
              <w:left w:val="single" w:sz="8" w:space="0" w:color="auto"/>
              <w:bottom w:val="single" w:sz="8" w:space="0" w:color="000000"/>
              <w:right w:val="single" w:sz="8" w:space="0" w:color="auto"/>
            </w:tcBorders>
            <w:vAlign w:val="center"/>
            <w:hideMark/>
          </w:tcPr>
          <w:p w14:paraId="26ABDAF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AF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F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AF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AF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AFB"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AFC" w14:textId="77777777" w:rsidR="006536D5" w:rsidRPr="00E72278" w:rsidRDefault="006536D5" w:rsidP="006536D5">
            <w:pPr>
              <w:jc w:val="center"/>
              <w:rPr>
                <w:color w:val="000000"/>
                <w:sz w:val="16"/>
                <w:szCs w:val="16"/>
              </w:rPr>
            </w:pPr>
            <w:r w:rsidRPr="00E72278">
              <w:rPr>
                <w:color w:val="000000"/>
                <w:sz w:val="16"/>
                <w:szCs w:val="16"/>
              </w:rPr>
              <w:t>Endorsed as national recovery plan</w:t>
            </w:r>
          </w:p>
        </w:tc>
      </w:tr>
      <w:tr w:rsidR="006536D5" w:rsidRPr="00E72278" w14:paraId="26ABDB05"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FE" w14:textId="77777777" w:rsidR="006536D5" w:rsidRPr="00E72278" w:rsidRDefault="006536D5" w:rsidP="006536D5">
            <w:pPr>
              <w:jc w:val="center"/>
              <w:rPr>
                <w:i/>
                <w:iCs/>
                <w:color w:val="000000"/>
                <w:sz w:val="16"/>
                <w:szCs w:val="16"/>
              </w:rPr>
            </w:pPr>
            <w:r w:rsidRPr="00E72278">
              <w:rPr>
                <w:i/>
                <w:iCs/>
                <w:color w:val="000000"/>
                <w:sz w:val="16"/>
                <w:szCs w:val="16"/>
              </w:rPr>
              <w:t>Myrmecobius fasciatus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AFF" w14:textId="77777777" w:rsidR="006536D5" w:rsidRPr="00E72278" w:rsidRDefault="006536D5" w:rsidP="006536D5">
            <w:pPr>
              <w:jc w:val="center"/>
              <w:rPr>
                <w:color w:val="000000"/>
                <w:sz w:val="16"/>
                <w:szCs w:val="16"/>
              </w:rPr>
            </w:pPr>
            <w:r w:rsidRPr="00E72278">
              <w:rPr>
                <w:color w:val="000000"/>
                <w:sz w:val="16"/>
                <w:szCs w:val="16"/>
              </w:rPr>
              <w:t>Numbat</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00"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01"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02"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03"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nil"/>
              <w:right w:val="single" w:sz="8" w:space="0" w:color="auto"/>
            </w:tcBorders>
            <w:shd w:val="clear" w:color="auto" w:fill="auto"/>
            <w:vAlign w:val="center"/>
            <w:hideMark/>
          </w:tcPr>
          <w:p w14:paraId="26ABDB04"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B0D" w14:textId="77777777" w:rsidTr="006536D5">
        <w:trPr>
          <w:cantSplit/>
          <w:trHeight w:val="828"/>
        </w:trPr>
        <w:tc>
          <w:tcPr>
            <w:tcW w:w="1373" w:type="dxa"/>
            <w:vMerge/>
            <w:tcBorders>
              <w:top w:val="nil"/>
              <w:left w:val="single" w:sz="8" w:space="0" w:color="auto"/>
              <w:bottom w:val="single" w:sz="8" w:space="0" w:color="000000"/>
              <w:right w:val="single" w:sz="8" w:space="0" w:color="auto"/>
            </w:tcBorders>
            <w:vAlign w:val="center"/>
            <w:hideMark/>
          </w:tcPr>
          <w:p w14:paraId="26ABDB0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B0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0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0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B0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B0B"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B0C" w14:textId="77777777" w:rsidR="006536D5" w:rsidRPr="00E72278" w:rsidRDefault="006536D5" w:rsidP="006536D5">
            <w:pPr>
              <w:jc w:val="center"/>
              <w:rPr>
                <w:color w:val="000000"/>
                <w:sz w:val="16"/>
                <w:szCs w:val="16"/>
              </w:rPr>
            </w:pPr>
            <w:r w:rsidRPr="00E72278">
              <w:rPr>
                <w:color w:val="000000"/>
                <w:sz w:val="16"/>
                <w:szCs w:val="16"/>
              </w:rPr>
              <w:t>Endorsed as national recovery plan</w:t>
            </w:r>
            <w:r w:rsidRPr="00E72278">
              <w:rPr>
                <w:color w:val="000000"/>
                <w:sz w:val="16"/>
                <w:szCs w:val="16"/>
              </w:rPr>
              <w:br/>
              <w:t>Conservation advice approved 11/04/2014</w:t>
            </w:r>
          </w:p>
        </w:tc>
      </w:tr>
      <w:tr w:rsidR="006536D5" w:rsidRPr="00E72278" w14:paraId="26ABDB15"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0E" w14:textId="77777777" w:rsidR="006536D5" w:rsidRPr="00E72278" w:rsidRDefault="006536D5" w:rsidP="006536D5">
            <w:pPr>
              <w:jc w:val="center"/>
              <w:rPr>
                <w:i/>
                <w:iCs/>
                <w:color w:val="000000"/>
                <w:sz w:val="16"/>
                <w:szCs w:val="16"/>
              </w:rPr>
            </w:pPr>
            <w:r w:rsidRPr="00E72278">
              <w:rPr>
                <w:i/>
                <w:iCs/>
                <w:color w:val="000000"/>
                <w:sz w:val="16"/>
                <w:szCs w:val="16"/>
              </w:rPr>
              <w:t>Pezoporus wallicus flaviventris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0F" w14:textId="77777777" w:rsidR="006536D5" w:rsidRPr="00E72278" w:rsidRDefault="006536D5" w:rsidP="006536D5">
            <w:pPr>
              <w:jc w:val="center"/>
              <w:rPr>
                <w:color w:val="000000"/>
                <w:sz w:val="16"/>
                <w:szCs w:val="16"/>
              </w:rPr>
            </w:pPr>
            <w:r w:rsidRPr="00E72278">
              <w:rPr>
                <w:color w:val="000000"/>
                <w:sz w:val="16"/>
                <w:szCs w:val="16"/>
              </w:rPr>
              <w:t>Western ground parrot</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10"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11"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12" w14:textId="77777777" w:rsidR="006536D5" w:rsidRPr="00E72278" w:rsidRDefault="006536D5" w:rsidP="006536D5">
            <w:pPr>
              <w:jc w:val="center"/>
              <w:rPr>
                <w:color w:val="000000"/>
                <w:sz w:val="16"/>
                <w:szCs w:val="16"/>
              </w:rPr>
            </w:pP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13"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736" w:type="dxa"/>
            <w:tcBorders>
              <w:top w:val="nil"/>
              <w:left w:val="nil"/>
              <w:bottom w:val="nil"/>
              <w:right w:val="single" w:sz="8" w:space="0" w:color="auto"/>
            </w:tcBorders>
            <w:shd w:val="clear" w:color="auto" w:fill="auto"/>
            <w:vAlign w:val="center"/>
            <w:hideMark/>
          </w:tcPr>
          <w:p w14:paraId="26ABDB14"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B1D" w14:textId="77777777" w:rsidTr="006536D5">
        <w:trPr>
          <w:cantSplit/>
          <w:trHeight w:val="420"/>
        </w:trPr>
        <w:tc>
          <w:tcPr>
            <w:tcW w:w="1373" w:type="dxa"/>
            <w:vMerge/>
            <w:tcBorders>
              <w:top w:val="nil"/>
              <w:left w:val="single" w:sz="8" w:space="0" w:color="auto"/>
              <w:bottom w:val="single" w:sz="8" w:space="0" w:color="000000"/>
              <w:right w:val="single" w:sz="8" w:space="0" w:color="auto"/>
            </w:tcBorders>
            <w:vAlign w:val="center"/>
            <w:hideMark/>
          </w:tcPr>
          <w:p w14:paraId="26ABDB1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B1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1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1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B1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B1B"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B1C" w14:textId="77777777" w:rsidR="006536D5" w:rsidRPr="00E72278" w:rsidRDefault="006536D5" w:rsidP="006536D5">
            <w:pPr>
              <w:jc w:val="center"/>
              <w:rPr>
                <w:color w:val="000000"/>
                <w:sz w:val="16"/>
                <w:szCs w:val="16"/>
              </w:rPr>
            </w:pPr>
            <w:r w:rsidRPr="00E72278">
              <w:rPr>
                <w:color w:val="000000"/>
                <w:sz w:val="16"/>
                <w:szCs w:val="16"/>
              </w:rPr>
              <w:t>Endorsed as national recovery plan</w:t>
            </w:r>
          </w:p>
        </w:tc>
      </w:tr>
      <w:tr w:rsidR="006536D5" w:rsidRPr="00E72278" w14:paraId="26ABDB25" w14:textId="77777777" w:rsidTr="006536D5">
        <w:trPr>
          <w:cantSplit/>
          <w:trHeight w:val="420"/>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1E" w14:textId="77777777" w:rsidR="006536D5" w:rsidRPr="00E72278" w:rsidRDefault="006536D5" w:rsidP="006536D5">
            <w:pPr>
              <w:jc w:val="center"/>
              <w:rPr>
                <w:i/>
                <w:iCs/>
                <w:color w:val="000000"/>
                <w:sz w:val="16"/>
                <w:szCs w:val="16"/>
              </w:rPr>
            </w:pPr>
            <w:r w:rsidRPr="00E72278">
              <w:rPr>
                <w:i/>
                <w:iCs/>
                <w:color w:val="000000"/>
                <w:sz w:val="16"/>
                <w:szCs w:val="16"/>
              </w:rPr>
              <w:t>Potorous gilbertii</w:t>
            </w:r>
          </w:p>
        </w:tc>
        <w:tc>
          <w:tcPr>
            <w:tcW w:w="1276" w:type="dxa"/>
            <w:tcBorders>
              <w:top w:val="nil"/>
              <w:left w:val="nil"/>
              <w:bottom w:val="single" w:sz="8" w:space="0" w:color="auto"/>
              <w:right w:val="single" w:sz="8" w:space="0" w:color="auto"/>
            </w:tcBorders>
            <w:shd w:val="clear" w:color="auto" w:fill="auto"/>
            <w:vAlign w:val="center"/>
            <w:hideMark/>
          </w:tcPr>
          <w:p w14:paraId="26ABDB1F" w14:textId="77777777" w:rsidR="006536D5" w:rsidRPr="00E72278" w:rsidRDefault="006536D5" w:rsidP="006536D5">
            <w:pPr>
              <w:jc w:val="center"/>
              <w:rPr>
                <w:color w:val="000000"/>
                <w:sz w:val="16"/>
                <w:szCs w:val="16"/>
              </w:rPr>
            </w:pPr>
            <w:r w:rsidRPr="00E72278">
              <w:rPr>
                <w:color w:val="000000"/>
                <w:sz w:val="16"/>
                <w:szCs w:val="16"/>
              </w:rPr>
              <w:t>Gilbert’s potoroo</w:t>
            </w:r>
          </w:p>
        </w:tc>
        <w:tc>
          <w:tcPr>
            <w:tcW w:w="1068" w:type="dxa"/>
            <w:tcBorders>
              <w:top w:val="nil"/>
              <w:left w:val="nil"/>
              <w:bottom w:val="single" w:sz="8" w:space="0" w:color="auto"/>
              <w:right w:val="single" w:sz="8" w:space="0" w:color="auto"/>
            </w:tcBorders>
            <w:shd w:val="clear" w:color="auto" w:fill="auto"/>
            <w:vAlign w:val="center"/>
            <w:hideMark/>
          </w:tcPr>
          <w:p w14:paraId="26ABDB20"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068" w:type="dxa"/>
            <w:tcBorders>
              <w:top w:val="nil"/>
              <w:left w:val="nil"/>
              <w:bottom w:val="single" w:sz="8" w:space="0" w:color="auto"/>
              <w:right w:val="single" w:sz="8" w:space="0" w:color="auto"/>
            </w:tcBorders>
            <w:shd w:val="clear" w:color="auto" w:fill="auto"/>
            <w:vAlign w:val="center"/>
            <w:hideMark/>
          </w:tcPr>
          <w:p w14:paraId="26ABDB21"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102" w:type="dxa"/>
            <w:tcBorders>
              <w:top w:val="nil"/>
              <w:left w:val="nil"/>
              <w:bottom w:val="single" w:sz="8" w:space="0" w:color="auto"/>
              <w:right w:val="single" w:sz="8" w:space="0" w:color="auto"/>
            </w:tcBorders>
            <w:shd w:val="clear" w:color="auto" w:fill="auto"/>
            <w:vAlign w:val="center"/>
            <w:hideMark/>
          </w:tcPr>
          <w:p w14:paraId="26ABDB22"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B23"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736" w:type="dxa"/>
            <w:tcBorders>
              <w:top w:val="nil"/>
              <w:left w:val="nil"/>
              <w:bottom w:val="single" w:sz="8" w:space="0" w:color="auto"/>
              <w:right w:val="single" w:sz="8" w:space="0" w:color="auto"/>
            </w:tcBorders>
            <w:shd w:val="clear" w:color="auto" w:fill="auto"/>
            <w:vAlign w:val="center"/>
            <w:hideMark/>
          </w:tcPr>
          <w:p w14:paraId="26ABDB24"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B2D" w14:textId="77777777" w:rsidTr="006536D5">
        <w:trPr>
          <w:cantSplit/>
          <w:trHeight w:val="624"/>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26" w14:textId="77777777" w:rsidR="006536D5" w:rsidRPr="00E72278" w:rsidRDefault="006536D5" w:rsidP="006536D5">
            <w:pPr>
              <w:jc w:val="center"/>
              <w:rPr>
                <w:i/>
                <w:iCs/>
                <w:color w:val="000000"/>
                <w:sz w:val="16"/>
                <w:szCs w:val="16"/>
              </w:rPr>
            </w:pPr>
            <w:r w:rsidRPr="00E72278">
              <w:rPr>
                <w:i/>
                <w:iCs/>
                <w:color w:val="000000"/>
                <w:sz w:val="16"/>
                <w:szCs w:val="16"/>
              </w:rPr>
              <w:t>Pseudemydura umbrina</w:t>
            </w:r>
          </w:p>
        </w:tc>
        <w:tc>
          <w:tcPr>
            <w:tcW w:w="1276" w:type="dxa"/>
            <w:tcBorders>
              <w:top w:val="nil"/>
              <w:left w:val="nil"/>
              <w:bottom w:val="single" w:sz="8" w:space="0" w:color="auto"/>
              <w:right w:val="single" w:sz="8" w:space="0" w:color="auto"/>
            </w:tcBorders>
            <w:shd w:val="clear" w:color="auto" w:fill="auto"/>
            <w:vAlign w:val="center"/>
            <w:hideMark/>
          </w:tcPr>
          <w:p w14:paraId="26ABDB27" w14:textId="77777777" w:rsidR="006536D5" w:rsidRPr="00E72278" w:rsidRDefault="006536D5" w:rsidP="006536D5">
            <w:pPr>
              <w:jc w:val="center"/>
              <w:rPr>
                <w:color w:val="000000"/>
                <w:sz w:val="16"/>
                <w:szCs w:val="16"/>
              </w:rPr>
            </w:pPr>
            <w:r w:rsidRPr="00E72278">
              <w:rPr>
                <w:color w:val="000000"/>
                <w:sz w:val="16"/>
                <w:szCs w:val="16"/>
              </w:rPr>
              <w:t>Western swamp tortoise</w:t>
            </w:r>
          </w:p>
        </w:tc>
        <w:tc>
          <w:tcPr>
            <w:tcW w:w="1068" w:type="dxa"/>
            <w:tcBorders>
              <w:top w:val="nil"/>
              <w:left w:val="nil"/>
              <w:bottom w:val="single" w:sz="8" w:space="0" w:color="auto"/>
              <w:right w:val="single" w:sz="8" w:space="0" w:color="auto"/>
            </w:tcBorders>
            <w:shd w:val="clear" w:color="auto" w:fill="auto"/>
            <w:vAlign w:val="center"/>
            <w:hideMark/>
          </w:tcPr>
          <w:p w14:paraId="26ABDB28"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068" w:type="dxa"/>
            <w:tcBorders>
              <w:top w:val="nil"/>
              <w:left w:val="nil"/>
              <w:bottom w:val="single" w:sz="8" w:space="0" w:color="auto"/>
              <w:right w:val="single" w:sz="8" w:space="0" w:color="auto"/>
            </w:tcBorders>
            <w:shd w:val="clear" w:color="auto" w:fill="auto"/>
            <w:vAlign w:val="center"/>
            <w:hideMark/>
          </w:tcPr>
          <w:p w14:paraId="26ABDB29"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102" w:type="dxa"/>
            <w:tcBorders>
              <w:top w:val="nil"/>
              <w:left w:val="nil"/>
              <w:bottom w:val="single" w:sz="8" w:space="0" w:color="auto"/>
              <w:right w:val="single" w:sz="8" w:space="0" w:color="auto"/>
            </w:tcBorders>
            <w:shd w:val="clear" w:color="auto" w:fill="auto"/>
            <w:vAlign w:val="center"/>
            <w:hideMark/>
          </w:tcPr>
          <w:p w14:paraId="26ABDB2A"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B2B"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736" w:type="dxa"/>
            <w:tcBorders>
              <w:top w:val="nil"/>
              <w:left w:val="nil"/>
              <w:bottom w:val="single" w:sz="8" w:space="0" w:color="auto"/>
              <w:right w:val="single" w:sz="8" w:space="0" w:color="auto"/>
            </w:tcBorders>
            <w:shd w:val="clear" w:color="auto" w:fill="auto"/>
            <w:vAlign w:val="center"/>
            <w:hideMark/>
          </w:tcPr>
          <w:p w14:paraId="26ABDB2C"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t>Endorsed as national recovery plan</w:t>
            </w:r>
          </w:p>
        </w:tc>
      </w:tr>
      <w:tr w:rsidR="006536D5" w:rsidRPr="00E72278" w14:paraId="26ABDB35"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2E" w14:textId="77777777" w:rsidR="006536D5" w:rsidRPr="00E72278" w:rsidRDefault="006536D5" w:rsidP="006536D5">
            <w:pPr>
              <w:jc w:val="center"/>
              <w:rPr>
                <w:i/>
                <w:iCs/>
                <w:color w:val="000000"/>
                <w:sz w:val="16"/>
                <w:szCs w:val="16"/>
              </w:rPr>
            </w:pPr>
            <w:r w:rsidRPr="00E72278">
              <w:rPr>
                <w:i/>
                <w:iCs/>
                <w:color w:val="000000"/>
                <w:sz w:val="16"/>
                <w:szCs w:val="16"/>
              </w:rPr>
              <w:t>Pseudocheirus occidentalis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2F" w14:textId="77777777" w:rsidR="006536D5" w:rsidRPr="00E72278" w:rsidRDefault="006536D5" w:rsidP="006536D5">
            <w:pPr>
              <w:jc w:val="center"/>
              <w:rPr>
                <w:color w:val="000000"/>
                <w:sz w:val="16"/>
                <w:szCs w:val="16"/>
              </w:rPr>
            </w:pPr>
            <w:r w:rsidRPr="00E72278">
              <w:rPr>
                <w:color w:val="000000"/>
                <w:sz w:val="16"/>
                <w:szCs w:val="16"/>
              </w:rPr>
              <w:t>Western ringtail possum</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30"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31"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32"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33" w14:textId="77777777" w:rsidR="006536D5" w:rsidRPr="00E72278" w:rsidRDefault="006536D5" w:rsidP="006536D5">
            <w:pPr>
              <w:jc w:val="center"/>
              <w:rPr>
                <w:color w:val="000000"/>
                <w:sz w:val="16"/>
                <w:szCs w:val="16"/>
              </w:rPr>
            </w:pPr>
            <w:r>
              <w:rPr>
                <w:color w:val="000000"/>
                <w:sz w:val="16"/>
                <w:szCs w:val="16"/>
              </w:rPr>
              <w:t>Critically endangered</w:t>
            </w:r>
          </w:p>
        </w:tc>
        <w:tc>
          <w:tcPr>
            <w:tcW w:w="1736" w:type="dxa"/>
            <w:tcBorders>
              <w:top w:val="nil"/>
              <w:left w:val="nil"/>
              <w:bottom w:val="nil"/>
              <w:right w:val="single" w:sz="8" w:space="0" w:color="auto"/>
            </w:tcBorders>
            <w:shd w:val="clear" w:color="auto" w:fill="auto"/>
            <w:vAlign w:val="center"/>
            <w:hideMark/>
          </w:tcPr>
          <w:p w14:paraId="26ABDB34"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B3D" w14:textId="77777777" w:rsidTr="006536D5">
        <w:trPr>
          <w:cantSplit/>
          <w:trHeight w:val="492"/>
        </w:trPr>
        <w:tc>
          <w:tcPr>
            <w:tcW w:w="1373" w:type="dxa"/>
            <w:vMerge/>
            <w:tcBorders>
              <w:top w:val="nil"/>
              <w:left w:val="single" w:sz="8" w:space="0" w:color="auto"/>
              <w:bottom w:val="single" w:sz="8" w:space="0" w:color="000000"/>
              <w:right w:val="single" w:sz="8" w:space="0" w:color="auto"/>
            </w:tcBorders>
            <w:vAlign w:val="center"/>
            <w:hideMark/>
          </w:tcPr>
          <w:p w14:paraId="26ABDB3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B3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3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3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B3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B3B"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B3C" w14:textId="77777777" w:rsidR="006536D5" w:rsidRPr="00E72278" w:rsidRDefault="006536D5" w:rsidP="006536D5">
            <w:pPr>
              <w:jc w:val="center"/>
              <w:rPr>
                <w:color w:val="000000"/>
                <w:sz w:val="16"/>
                <w:szCs w:val="16"/>
              </w:rPr>
            </w:pPr>
            <w:r w:rsidRPr="00E72278">
              <w:rPr>
                <w:color w:val="000000"/>
                <w:sz w:val="16"/>
                <w:szCs w:val="16"/>
              </w:rPr>
              <w:t>Endorsed as national recovery plan</w:t>
            </w:r>
          </w:p>
        </w:tc>
      </w:tr>
      <w:tr w:rsidR="006536D5" w:rsidRPr="00E72278" w14:paraId="26ABDB45"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3E" w14:textId="77777777" w:rsidR="006536D5" w:rsidRPr="00E72278" w:rsidRDefault="006536D5" w:rsidP="006536D5">
            <w:pPr>
              <w:jc w:val="center"/>
              <w:rPr>
                <w:i/>
                <w:iCs/>
                <w:color w:val="000000"/>
                <w:sz w:val="16"/>
                <w:szCs w:val="16"/>
              </w:rPr>
            </w:pPr>
            <w:r w:rsidRPr="00E72278">
              <w:rPr>
                <w:i/>
                <w:iCs/>
                <w:color w:val="000000"/>
                <w:sz w:val="16"/>
                <w:szCs w:val="16"/>
              </w:rPr>
              <w:t>Psophodes nigrogularis nigrogularis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3F" w14:textId="77777777" w:rsidR="006536D5" w:rsidRPr="00E72278" w:rsidRDefault="006536D5" w:rsidP="006536D5">
            <w:pPr>
              <w:jc w:val="center"/>
              <w:rPr>
                <w:color w:val="000000"/>
                <w:sz w:val="16"/>
                <w:szCs w:val="16"/>
              </w:rPr>
            </w:pPr>
            <w:r w:rsidRPr="00E72278">
              <w:rPr>
                <w:color w:val="000000"/>
                <w:sz w:val="16"/>
                <w:szCs w:val="16"/>
              </w:rPr>
              <w:t>Western whipbird</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40"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41"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42" w14:textId="77777777" w:rsidR="006536D5" w:rsidRPr="00E72278" w:rsidRDefault="006536D5" w:rsidP="006536D5">
            <w:pPr>
              <w:jc w:val="center"/>
              <w:rPr>
                <w:color w:val="000000"/>
                <w:sz w:val="16"/>
                <w:szCs w:val="16"/>
              </w:rPr>
            </w:pP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43"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nil"/>
              <w:right w:val="single" w:sz="8" w:space="0" w:color="auto"/>
            </w:tcBorders>
            <w:shd w:val="clear" w:color="auto" w:fill="auto"/>
            <w:vAlign w:val="center"/>
            <w:hideMark/>
          </w:tcPr>
          <w:p w14:paraId="26ABDB44"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B4D" w14:textId="77777777" w:rsidTr="006536D5">
        <w:trPr>
          <w:cantSplit/>
          <w:trHeight w:val="420"/>
        </w:trPr>
        <w:tc>
          <w:tcPr>
            <w:tcW w:w="1373" w:type="dxa"/>
            <w:vMerge/>
            <w:tcBorders>
              <w:top w:val="nil"/>
              <w:left w:val="single" w:sz="8" w:space="0" w:color="auto"/>
              <w:bottom w:val="single" w:sz="8" w:space="0" w:color="000000"/>
              <w:right w:val="single" w:sz="8" w:space="0" w:color="auto"/>
            </w:tcBorders>
            <w:vAlign w:val="center"/>
            <w:hideMark/>
          </w:tcPr>
          <w:p w14:paraId="26ABDB46"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B47"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48"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49"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B4A"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B4B"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B4C" w14:textId="77777777" w:rsidR="006536D5" w:rsidRPr="00E72278" w:rsidRDefault="006536D5" w:rsidP="006536D5">
            <w:pPr>
              <w:jc w:val="center"/>
              <w:rPr>
                <w:color w:val="000000"/>
                <w:sz w:val="16"/>
                <w:szCs w:val="16"/>
              </w:rPr>
            </w:pPr>
            <w:r w:rsidRPr="00E72278">
              <w:rPr>
                <w:color w:val="000000"/>
                <w:sz w:val="16"/>
                <w:szCs w:val="16"/>
              </w:rPr>
              <w:t>Endorsed as national recovery plan</w:t>
            </w:r>
          </w:p>
        </w:tc>
      </w:tr>
      <w:tr w:rsidR="006536D5" w:rsidRPr="00E72278" w14:paraId="26ABDB55" w14:textId="77777777" w:rsidTr="006536D5">
        <w:trPr>
          <w:cantSplit/>
          <w:trHeight w:val="624"/>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4E" w14:textId="77777777" w:rsidR="006536D5" w:rsidRPr="00E72278" w:rsidRDefault="006536D5" w:rsidP="006536D5">
            <w:pPr>
              <w:jc w:val="center"/>
              <w:rPr>
                <w:i/>
                <w:iCs/>
                <w:color w:val="000000"/>
                <w:sz w:val="16"/>
                <w:szCs w:val="16"/>
              </w:rPr>
            </w:pPr>
            <w:r w:rsidRPr="00E72278">
              <w:rPr>
                <w:i/>
                <w:iCs/>
                <w:color w:val="000000"/>
                <w:sz w:val="16"/>
                <w:szCs w:val="16"/>
              </w:rPr>
              <w:t>Setonix brachyurus</w:t>
            </w:r>
          </w:p>
        </w:tc>
        <w:tc>
          <w:tcPr>
            <w:tcW w:w="1276" w:type="dxa"/>
            <w:tcBorders>
              <w:top w:val="nil"/>
              <w:left w:val="nil"/>
              <w:bottom w:val="single" w:sz="8" w:space="0" w:color="auto"/>
              <w:right w:val="single" w:sz="8" w:space="0" w:color="auto"/>
            </w:tcBorders>
            <w:shd w:val="clear" w:color="auto" w:fill="auto"/>
            <w:vAlign w:val="center"/>
            <w:hideMark/>
          </w:tcPr>
          <w:p w14:paraId="26ABDB4F" w14:textId="77777777" w:rsidR="006536D5" w:rsidRPr="00E72278" w:rsidRDefault="006536D5" w:rsidP="006536D5">
            <w:pPr>
              <w:jc w:val="center"/>
              <w:rPr>
                <w:color w:val="000000"/>
                <w:sz w:val="16"/>
                <w:szCs w:val="16"/>
              </w:rPr>
            </w:pPr>
            <w:r w:rsidRPr="00E72278">
              <w:rPr>
                <w:color w:val="000000"/>
                <w:sz w:val="16"/>
                <w:szCs w:val="16"/>
              </w:rPr>
              <w:t>Quokka</w:t>
            </w:r>
          </w:p>
        </w:tc>
        <w:tc>
          <w:tcPr>
            <w:tcW w:w="1068" w:type="dxa"/>
            <w:tcBorders>
              <w:top w:val="nil"/>
              <w:left w:val="nil"/>
              <w:bottom w:val="single" w:sz="8" w:space="0" w:color="auto"/>
              <w:right w:val="single" w:sz="8" w:space="0" w:color="auto"/>
            </w:tcBorders>
            <w:shd w:val="clear" w:color="auto" w:fill="auto"/>
            <w:vAlign w:val="center"/>
            <w:hideMark/>
          </w:tcPr>
          <w:p w14:paraId="26ABDB50"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tcBorders>
              <w:top w:val="nil"/>
              <w:left w:val="nil"/>
              <w:bottom w:val="single" w:sz="8" w:space="0" w:color="auto"/>
              <w:right w:val="single" w:sz="8" w:space="0" w:color="auto"/>
            </w:tcBorders>
            <w:shd w:val="clear" w:color="auto" w:fill="auto"/>
            <w:vAlign w:val="center"/>
            <w:hideMark/>
          </w:tcPr>
          <w:p w14:paraId="26ABDB51"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hideMark/>
          </w:tcPr>
          <w:p w14:paraId="26ABDB52"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B53"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736" w:type="dxa"/>
            <w:tcBorders>
              <w:top w:val="nil"/>
              <w:left w:val="nil"/>
              <w:bottom w:val="single" w:sz="8" w:space="0" w:color="auto"/>
              <w:right w:val="single" w:sz="8" w:space="0" w:color="auto"/>
            </w:tcBorders>
            <w:shd w:val="clear" w:color="auto" w:fill="auto"/>
            <w:vAlign w:val="center"/>
            <w:hideMark/>
          </w:tcPr>
          <w:p w14:paraId="26ABDB54"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t>Endorsed as national recovery plan</w:t>
            </w:r>
          </w:p>
        </w:tc>
      </w:tr>
      <w:tr w:rsidR="006536D5" w:rsidRPr="00E72278" w14:paraId="26ABDB5D" w14:textId="77777777" w:rsidTr="006536D5">
        <w:trPr>
          <w:cantSplit/>
          <w:trHeight w:val="264"/>
        </w:trPr>
        <w:tc>
          <w:tcPr>
            <w:tcW w:w="1373"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56" w14:textId="77777777" w:rsidR="006536D5" w:rsidRPr="00E72278" w:rsidRDefault="006536D5" w:rsidP="006536D5">
            <w:pPr>
              <w:jc w:val="center"/>
              <w:rPr>
                <w:i/>
                <w:iCs/>
                <w:color w:val="000000"/>
                <w:sz w:val="16"/>
                <w:szCs w:val="16"/>
              </w:rPr>
            </w:pPr>
            <w:r w:rsidRPr="00E72278">
              <w:rPr>
                <w:i/>
                <w:iCs/>
                <w:color w:val="000000"/>
                <w:sz w:val="16"/>
                <w:szCs w:val="16"/>
              </w:rPr>
              <w:t>Spicospina flammocaerulea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57" w14:textId="77777777" w:rsidR="006536D5" w:rsidRPr="00E72278" w:rsidRDefault="006536D5" w:rsidP="006536D5">
            <w:pPr>
              <w:jc w:val="center"/>
              <w:rPr>
                <w:color w:val="000000"/>
                <w:sz w:val="16"/>
                <w:szCs w:val="16"/>
              </w:rPr>
            </w:pPr>
            <w:r w:rsidRPr="00E72278">
              <w:rPr>
                <w:color w:val="000000"/>
                <w:sz w:val="16"/>
                <w:szCs w:val="16"/>
              </w:rPr>
              <w:t>Sunset frog</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58"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59"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5A" w14:textId="77777777" w:rsidR="006536D5" w:rsidRPr="00E72278" w:rsidRDefault="006536D5" w:rsidP="006536D5">
            <w:pPr>
              <w:jc w:val="center"/>
              <w:rPr>
                <w:color w:val="000000"/>
                <w:sz w:val="16"/>
                <w:szCs w:val="16"/>
              </w:rPr>
            </w:pPr>
          </w:p>
        </w:tc>
        <w:tc>
          <w:tcPr>
            <w:tcW w:w="1330" w:type="dxa"/>
            <w:vMerge w:val="restart"/>
            <w:tcBorders>
              <w:top w:val="nil"/>
              <w:left w:val="single" w:sz="8" w:space="0" w:color="auto"/>
              <w:bottom w:val="single" w:sz="8" w:space="0" w:color="000000"/>
              <w:right w:val="single" w:sz="8" w:space="0" w:color="auto"/>
            </w:tcBorders>
            <w:shd w:val="clear" w:color="auto" w:fill="auto"/>
            <w:vAlign w:val="center"/>
            <w:hideMark/>
          </w:tcPr>
          <w:p w14:paraId="26ABDB5B"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nil"/>
              <w:right w:val="single" w:sz="8" w:space="0" w:color="auto"/>
            </w:tcBorders>
            <w:shd w:val="clear" w:color="auto" w:fill="auto"/>
            <w:vAlign w:val="center"/>
            <w:hideMark/>
          </w:tcPr>
          <w:p w14:paraId="26ABDB5C"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B65" w14:textId="77777777" w:rsidTr="006536D5">
        <w:trPr>
          <w:cantSplit/>
          <w:trHeight w:val="972"/>
        </w:trPr>
        <w:tc>
          <w:tcPr>
            <w:tcW w:w="1373" w:type="dxa"/>
            <w:vMerge/>
            <w:tcBorders>
              <w:top w:val="nil"/>
              <w:left w:val="single" w:sz="8" w:space="0" w:color="auto"/>
              <w:bottom w:val="single" w:sz="8" w:space="0" w:color="000000"/>
              <w:right w:val="single" w:sz="8" w:space="0" w:color="auto"/>
            </w:tcBorders>
            <w:vAlign w:val="center"/>
            <w:hideMark/>
          </w:tcPr>
          <w:p w14:paraId="26ABDB5E" w14:textId="77777777" w:rsidR="006536D5" w:rsidRPr="00E72278" w:rsidRDefault="006536D5" w:rsidP="006536D5">
            <w:pPr>
              <w:jc w:val="center"/>
              <w:rPr>
                <w:i/>
                <w:i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26ABDB5F"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60" w14:textId="77777777" w:rsidR="006536D5" w:rsidRPr="00E72278" w:rsidRDefault="006536D5" w:rsidP="006536D5">
            <w:pPr>
              <w:jc w:val="center"/>
              <w:rPr>
                <w:color w:val="000000"/>
                <w:sz w:val="16"/>
                <w:szCs w:val="16"/>
              </w:rPr>
            </w:pPr>
          </w:p>
        </w:tc>
        <w:tc>
          <w:tcPr>
            <w:tcW w:w="1068" w:type="dxa"/>
            <w:vMerge/>
            <w:tcBorders>
              <w:top w:val="nil"/>
              <w:left w:val="single" w:sz="8" w:space="0" w:color="auto"/>
              <w:bottom w:val="single" w:sz="8" w:space="0" w:color="000000"/>
              <w:right w:val="single" w:sz="8" w:space="0" w:color="auto"/>
            </w:tcBorders>
            <w:vAlign w:val="center"/>
            <w:hideMark/>
          </w:tcPr>
          <w:p w14:paraId="26ABDB61" w14:textId="77777777" w:rsidR="006536D5" w:rsidRPr="00E72278" w:rsidRDefault="006536D5" w:rsidP="006536D5">
            <w:pPr>
              <w:jc w:val="center"/>
              <w:rPr>
                <w:color w:val="000000"/>
                <w:sz w:val="16"/>
                <w:szCs w:val="16"/>
              </w:rPr>
            </w:pPr>
          </w:p>
        </w:tc>
        <w:tc>
          <w:tcPr>
            <w:tcW w:w="1102" w:type="dxa"/>
            <w:vMerge/>
            <w:tcBorders>
              <w:top w:val="nil"/>
              <w:left w:val="single" w:sz="8" w:space="0" w:color="auto"/>
              <w:bottom w:val="single" w:sz="8" w:space="0" w:color="000000"/>
              <w:right w:val="single" w:sz="8" w:space="0" w:color="auto"/>
            </w:tcBorders>
            <w:vAlign w:val="center"/>
            <w:hideMark/>
          </w:tcPr>
          <w:p w14:paraId="26ABDB62" w14:textId="77777777" w:rsidR="006536D5" w:rsidRPr="00E72278" w:rsidRDefault="006536D5" w:rsidP="006536D5">
            <w:pPr>
              <w:jc w:val="center"/>
              <w:rPr>
                <w:color w:val="000000"/>
                <w:sz w:val="16"/>
                <w:szCs w:val="16"/>
              </w:rPr>
            </w:pPr>
          </w:p>
        </w:tc>
        <w:tc>
          <w:tcPr>
            <w:tcW w:w="1330" w:type="dxa"/>
            <w:vMerge/>
            <w:tcBorders>
              <w:top w:val="nil"/>
              <w:left w:val="single" w:sz="8" w:space="0" w:color="auto"/>
              <w:bottom w:val="single" w:sz="8" w:space="0" w:color="000000"/>
              <w:right w:val="single" w:sz="8" w:space="0" w:color="auto"/>
            </w:tcBorders>
            <w:vAlign w:val="center"/>
            <w:hideMark/>
          </w:tcPr>
          <w:p w14:paraId="26ABDB63" w14:textId="77777777" w:rsidR="006536D5" w:rsidRPr="00E72278" w:rsidRDefault="006536D5" w:rsidP="006536D5">
            <w:pPr>
              <w:jc w:val="center"/>
              <w:rPr>
                <w:color w:val="000000"/>
                <w:sz w:val="16"/>
                <w:szCs w:val="16"/>
              </w:rPr>
            </w:pPr>
          </w:p>
        </w:tc>
        <w:tc>
          <w:tcPr>
            <w:tcW w:w="1736" w:type="dxa"/>
            <w:tcBorders>
              <w:top w:val="nil"/>
              <w:left w:val="nil"/>
              <w:bottom w:val="single" w:sz="8" w:space="0" w:color="auto"/>
              <w:right w:val="single" w:sz="8" w:space="0" w:color="auto"/>
            </w:tcBorders>
            <w:shd w:val="clear" w:color="auto" w:fill="auto"/>
            <w:vAlign w:val="center"/>
            <w:hideMark/>
          </w:tcPr>
          <w:p w14:paraId="26ABDB64" w14:textId="77777777" w:rsidR="006536D5" w:rsidRPr="00E72278" w:rsidRDefault="006536D5" w:rsidP="006536D5">
            <w:pPr>
              <w:jc w:val="center"/>
              <w:rPr>
                <w:color w:val="000000"/>
                <w:sz w:val="16"/>
                <w:szCs w:val="16"/>
              </w:rPr>
            </w:pPr>
            <w:r w:rsidRPr="00E72278">
              <w:rPr>
                <w:color w:val="000000"/>
                <w:sz w:val="16"/>
                <w:szCs w:val="16"/>
              </w:rPr>
              <w:t>National recovery plan not required Conservation advice approved 29/04/2014</w:t>
            </w:r>
          </w:p>
        </w:tc>
      </w:tr>
      <w:tr w:rsidR="006536D5" w:rsidRPr="00E72278" w14:paraId="26ABDB67" w14:textId="77777777" w:rsidTr="006536D5">
        <w:trPr>
          <w:cantSplit/>
          <w:trHeight w:val="276"/>
        </w:trPr>
        <w:tc>
          <w:tcPr>
            <w:tcW w:w="8953"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6ABDB66" w14:textId="77777777" w:rsidR="006536D5" w:rsidRPr="00E72278" w:rsidRDefault="006536D5" w:rsidP="006536D5">
            <w:pPr>
              <w:rPr>
                <w:b/>
                <w:bCs/>
                <w:color w:val="000000"/>
                <w:sz w:val="16"/>
                <w:szCs w:val="16"/>
              </w:rPr>
            </w:pPr>
            <w:r w:rsidRPr="00E72278">
              <w:rPr>
                <w:b/>
                <w:bCs/>
                <w:color w:val="000000"/>
                <w:sz w:val="16"/>
                <w:szCs w:val="16"/>
              </w:rPr>
              <w:t>Recovery plan being prepared, recovery action being identified</w:t>
            </w:r>
          </w:p>
        </w:tc>
      </w:tr>
      <w:tr w:rsidR="006536D5" w:rsidRPr="00E72278" w14:paraId="26ABDB6F" w14:textId="77777777" w:rsidTr="006536D5">
        <w:trPr>
          <w:cantSplit/>
          <w:trHeight w:val="636"/>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68" w14:textId="77777777" w:rsidR="006536D5" w:rsidRPr="00E72278" w:rsidRDefault="006536D5" w:rsidP="006536D5">
            <w:pPr>
              <w:jc w:val="center"/>
              <w:rPr>
                <w:i/>
                <w:iCs/>
                <w:color w:val="000000"/>
                <w:sz w:val="16"/>
                <w:szCs w:val="16"/>
              </w:rPr>
            </w:pPr>
            <w:r w:rsidRPr="00E72278">
              <w:rPr>
                <w:i/>
                <w:iCs/>
                <w:color w:val="000000"/>
                <w:sz w:val="16"/>
                <w:szCs w:val="16"/>
              </w:rPr>
              <w:t>Cherax tenuimanus</w:t>
            </w:r>
          </w:p>
        </w:tc>
        <w:tc>
          <w:tcPr>
            <w:tcW w:w="1276" w:type="dxa"/>
            <w:tcBorders>
              <w:top w:val="nil"/>
              <w:left w:val="nil"/>
              <w:bottom w:val="single" w:sz="8" w:space="0" w:color="auto"/>
              <w:right w:val="single" w:sz="8" w:space="0" w:color="auto"/>
            </w:tcBorders>
            <w:shd w:val="clear" w:color="auto" w:fill="auto"/>
            <w:vAlign w:val="center"/>
            <w:hideMark/>
          </w:tcPr>
          <w:p w14:paraId="26ABDB69" w14:textId="77777777" w:rsidR="006536D5" w:rsidRPr="00E72278" w:rsidRDefault="006536D5" w:rsidP="006536D5">
            <w:pPr>
              <w:jc w:val="center"/>
              <w:rPr>
                <w:color w:val="000000"/>
                <w:sz w:val="16"/>
                <w:szCs w:val="16"/>
              </w:rPr>
            </w:pPr>
            <w:r w:rsidRPr="00E72278">
              <w:rPr>
                <w:color w:val="000000"/>
                <w:sz w:val="16"/>
                <w:szCs w:val="16"/>
              </w:rPr>
              <w:t>Margaret River hairy marron</w:t>
            </w:r>
          </w:p>
        </w:tc>
        <w:tc>
          <w:tcPr>
            <w:tcW w:w="1068" w:type="dxa"/>
            <w:tcBorders>
              <w:top w:val="nil"/>
              <w:left w:val="nil"/>
              <w:bottom w:val="single" w:sz="8" w:space="0" w:color="auto"/>
              <w:right w:val="single" w:sz="8" w:space="0" w:color="auto"/>
            </w:tcBorders>
            <w:shd w:val="clear" w:color="auto" w:fill="auto"/>
            <w:vAlign w:val="center"/>
            <w:hideMark/>
          </w:tcPr>
          <w:p w14:paraId="26ABDB6A"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B6B"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102" w:type="dxa"/>
            <w:tcBorders>
              <w:top w:val="nil"/>
              <w:left w:val="nil"/>
              <w:bottom w:val="single" w:sz="8" w:space="0" w:color="auto"/>
              <w:right w:val="single" w:sz="8" w:space="0" w:color="auto"/>
            </w:tcBorders>
            <w:shd w:val="clear" w:color="auto" w:fill="auto"/>
            <w:vAlign w:val="center"/>
            <w:hideMark/>
          </w:tcPr>
          <w:p w14:paraId="26ABDB6C"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B6D" w14:textId="77777777" w:rsidR="006536D5" w:rsidRPr="00E72278" w:rsidRDefault="006536D5" w:rsidP="006536D5">
            <w:pPr>
              <w:jc w:val="center"/>
              <w:rPr>
                <w:color w:val="000000"/>
                <w:sz w:val="16"/>
                <w:szCs w:val="16"/>
              </w:rPr>
            </w:pPr>
            <w:r w:rsidRPr="00E72278">
              <w:rPr>
                <w:color w:val="000000"/>
                <w:sz w:val="16"/>
                <w:szCs w:val="16"/>
              </w:rPr>
              <w:t>Critically endangered</w:t>
            </w:r>
          </w:p>
        </w:tc>
        <w:tc>
          <w:tcPr>
            <w:tcW w:w="1736" w:type="dxa"/>
            <w:tcBorders>
              <w:top w:val="nil"/>
              <w:left w:val="nil"/>
              <w:bottom w:val="single" w:sz="4" w:space="0" w:color="auto"/>
              <w:right w:val="single" w:sz="8" w:space="0" w:color="auto"/>
            </w:tcBorders>
            <w:shd w:val="clear" w:color="auto" w:fill="auto"/>
            <w:vAlign w:val="center"/>
            <w:hideMark/>
          </w:tcPr>
          <w:p w14:paraId="26ABDB6E" w14:textId="77777777" w:rsidR="006536D5" w:rsidRPr="00E72278" w:rsidRDefault="006536D5" w:rsidP="006536D5">
            <w:pPr>
              <w:jc w:val="center"/>
              <w:rPr>
                <w:color w:val="000000"/>
                <w:sz w:val="16"/>
                <w:szCs w:val="16"/>
              </w:rPr>
            </w:pPr>
            <w:r w:rsidRPr="00E72278">
              <w:rPr>
                <w:color w:val="000000"/>
                <w:sz w:val="16"/>
                <w:szCs w:val="16"/>
              </w:rPr>
              <w:t>WA recovery plan in preparation</w:t>
            </w:r>
          </w:p>
        </w:tc>
      </w:tr>
      <w:tr w:rsidR="006536D5" w:rsidRPr="00E72278" w14:paraId="26ABDB7A" w14:textId="77777777" w:rsidTr="006536D5">
        <w:trPr>
          <w:cantSplit/>
          <w:trHeight w:val="264"/>
        </w:trPr>
        <w:tc>
          <w:tcPr>
            <w:tcW w:w="1373" w:type="dxa"/>
            <w:tcBorders>
              <w:top w:val="nil"/>
              <w:left w:val="single" w:sz="8" w:space="0" w:color="auto"/>
              <w:bottom w:val="single" w:sz="8" w:space="0" w:color="000000"/>
              <w:right w:val="single" w:sz="8" w:space="0" w:color="auto"/>
            </w:tcBorders>
            <w:shd w:val="clear" w:color="auto" w:fill="auto"/>
            <w:vAlign w:val="center"/>
          </w:tcPr>
          <w:p w14:paraId="26ABDB70" w14:textId="77777777" w:rsidR="006536D5" w:rsidRPr="00DA32F0" w:rsidRDefault="006536D5" w:rsidP="006536D5">
            <w:pPr>
              <w:jc w:val="center"/>
              <w:rPr>
                <w:i/>
                <w:iCs/>
                <w:sz w:val="16"/>
                <w:szCs w:val="16"/>
              </w:rPr>
            </w:pPr>
            <w:r w:rsidRPr="00DA32F0">
              <w:rPr>
                <w:i/>
                <w:iCs/>
                <w:sz w:val="16"/>
                <w:szCs w:val="16"/>
              </w:rPr>
              <w:lastRenderedPageBreak/>
              <w:t>Pachyptila turtur subantarctica</w:t>
            </w:r>
          </w:p>
          <w:p w14:paraId="26ABDB71" w14:textId="77777777" w:rsidR="006536D5" w:rsidRPr="00DA32F0" w:rsidRDefault="006536D5" w:rsidP="006536D5">
            <w:pPr>
              <w:jc w:val="center"/>
              <w:rPr>
                <w:i/>
                <w:iCs/>
                <w:sz w:val="16"/>
                <w:szCs w:val="16"/>
              </w:rPr>
            </w:pPr>
          </w:p>
        </w:tc>
        <w:tc>
          <w:tcPr>
            <w:tcW w:w="1276" w:type="dxa"/>
            <w:tcBorders>
              <w:top w:val="nil"/>
              <w:left w:val="single" w:sz="8" w:space="0" w:color="auto"/>
              <w:bottom w:val="single" w:sz="8" w:space="0" w:color="000000"/>
              <w:right w:val="single" w:sz="8" w:space="0" w:color="auto"/>
            </w:tcBorders>
            <w:shd w:val="clear" w:color="auto" w:fill="auto"/>
            <w:vAlign w:val="center"/>
          </w:tcPr>
          <w:p w14:paraId="26ABDB72" w14:textId="77777777" w:rsidR="006536D5" w:rsidRPr="00DA32F0" w:rsidRDefault="006536D5" w:rsidP="006536D5">
            <w:pPr>
              <w:jc w:val="center"/>
              <w:rPr>
                <w:sz w:val="16"/>
                <w:szCs w:val="16"/>
              </w:rPr>
            </w:pPr>
            <w:r w:rsidRPr="00DA32F0">
              <w:rPr>
                <w:sz w:val="16"/>
                <w:szCs w:val="16"/>
              </w:rPr>
              <w:t>Fairy Prion (southern)</w:t>
            </w:r>
            <w:r w:rsidRPr="00DA32F0">
              <w:rPr>
                <w:sz w:val="16"/>
                <w:szCs w:val="16"/>
                <w:vertAlign w:val="superscript"/>
              </w:rPr>
              <w:t>1</w:t>
            </w:r>
          </w:p>
          <w:p w14:paraId="26ABDB73" w14:textId="77777777" w:rsidR="006536D5" w:rsidRPr="00DA32F0" w:rsidRDefault="006536D5" w:rsidP="006536D5">
            <w:pPr>
              <w:jc w:val="center"/>
              <w:rPr>
                <w:sz w:val="16"/>
                <w:szCs w:val="16"/>
              </w:rPr>
            </w:pP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B74" w14:textId="77777777" w:rsidR="006536D5" w:rsidRPr="00E72278" w:rsidRDefault="006536D5" w:rsidP="006536D5">
            <w:pPr>
              <w:jc w:val="center"/>
              <w:rPr>
                <w:color w:val="000000"/>
                <w:sz w:val="16"/>
                <w:szCs w:val="16"/>
              </w:rPr>
            </w:pP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B75" w14:textId="77777777" w:rsidR="006536D5" w:rsidRPr="00E72278" w:rsidRDefault="006536D5" w:rsidP="006536D5">
            <w:pPr>
              <w:jc w:val="center"/>
              <w:rPr>
                <w:color w:val="000000"/>
                <w:sz w:val="16"/>
                <w:szCs w:val="16"/>
              </w:rPr>
            </w:pPr>
          </w:p>
        </w:tc>
        <w:tc>
          <w:tcPr>
            <w:tcW w:w="1102" w:type="dxa"/>
            <w:tcBorders>
              <w:top w:val="nil"/>
              <w:left w:val="single" w:sz="8" w:space="0" w:color="auto"/>
              <w:bottom w:val="single" w:sz="8" w:space="0" w:color="000000"/>
              <w:right w:val="single" w:sz="8" w:space="0" w:color="auto"/>
            </w:tcBorders>
            <w:shd w:val="clear" w:color="auto" w:fill="auto"/>
            <w:vAlign w:val="center"/>
          </w:tcPr>
          <w:p w14:paraId="26ABDB76"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330" w:type="dxa"/>
            <w:tcBorders>
              <w:top w:val="nil"/>
              <w:left w:val="single" w:sz="8" w:space="0" w:color="auto"/>
              <w:bottom w:val="single" w:sz="8" w:space="0" w:color="000000"/>
              <w:right w:val="single" w:sz="4" w:space="0" w:color="auto"/>
            </w:tcBorders>
            <w:shd w:val="clear" w:color="auto" w:fill="auto"/>
            <w:vAlign w:val="center"/>
          </w:tcPr>
          <w:p w14:paraId="26ABDB77"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26ABDB78" w14:textId="77777777" w:rsidR="006536D5" w:rsidRDefault="006536D5" w:rsidP="006536D5">
            <w:pPr>
              <w:jc w:val="center"/>
              <w:rPr>
                <w:color w:val="000000"/>
                <w:sz w:val="16"/>
                <w:szCs w:val="16"/>
              </w:rPr>
            </w:pPr>
            <w:r w:rsidRPr="00E72278">
              <w:rPr>
                <w:color w:val="000000"/>
                <w:sz w:val="16"/>
                <w:szCs w:val="16"/>
              </w:rPr>
              <w:t>Conservation advice approved</w:t>
            </w:r>
            <w:r>
              <w:rPr>
                <w:color w:val="000000"/>
                <w:sz w:val="16"/>
                <w:szCs w:val="16"/>
              </w:rPr>
              <w:t xml:space="preserve"> 1/10/2015</w:t>
            </w:r>
          </w:p>
          <w:p w14:paraId="26ABDB79" w14:textId="77777777" w:rsidR="006536D5" w:rsidRPr="00E72278" w:rsidRDefault="006536D5" w:rsidP="006536D5">
            <w:pPr>
              <w:jc w:val="center"/>
              <w:rPr>
                <w:color w:val="000000"/>
                <w:sz w:val="16"/>
                <w:szCs w:val="16"/>
              </w:rPr>
            </w:pPr>
            <w:r>
              <w:rPr>
                <w:color w:val="000000"/>
                <w:sz w:val="16"/>
                <w:szCs w:val="16"/>
              </w:rPr>
              <w:t>National recovery plan required.</w:t>
            </w:r>
          </w:p>
        </w:tc>
      </w:tr>
      <w:tr w:rsidR="006536D5" w:rsidRPr="00E72278" w14:paraId="26ABDB83" w14:textId="77777777" w:rsidTr="00A90358">
        <w:trPr>
          <w:cantSplit/>
          <w:trHeight w:val="264"/>
        </w:trPr>
        <w:tc>
          <w:tcPr>
            <w:tcW w:w="1373" w:type="dxa"/>
            <w:tcBorders>
              <w:top w:val="nil"/>
              <w:left w:val="single" w:sz="8" w:space="0" w:color="auto"/>
              <w:bottom w:val="single" w:sz="8" w:space="0" w:color="000000"/>
              <w:right w:val="single" w:sz="8" w:space="0" w:color="auto"/>
            </w:tcBorders>
            <w:shd w:val="clear" w:color="auto" w:fill="auto"/>
            <w:vAlign w:val="center"/>
          </w:tcPr>
          <w:p w14:paraId="26ABDB7B" w14:textId="77777777" w:rsidR="006536D5" w:rsidRPr="00DA32F0" w:rsidRDefault="006536D5" w:rsidP="006536D5">
            <w:pPr>
              <w:jc w:val="center"/>
              <w:rPr>
                <w:i/>
                <w:iCs/>
                <w:sz w:val="16"/>
                <w:szCs w:val="16"/>
              </w:rPr>
            </w:pPr>
            <w:r w:rsidRPr="00DA32F0">
              <w:rPr>
                <w:i/>
                <w:iCs/>
                <w:sz w:val="16"/>
                <w:szCs w:val="16"/>
              </w:rPr>
              <w:t>Parantechinus apicalis</w:t>
            </w:r>
          </w:p>
        </w:tc>
        <w:tc>
          <w:tcPr>
            <w:tcW w:w="1276" w:type="dxa"/>
            <w:tcBorders>
              <w:top w:val="nil"/>
              <w:left w:val="single" w:sz="8" w:space="0" w:color="auto"/>
              <w:bottom w:val="single" w:sz="8" w:space="0" w:color="000000"/>
              <w:right w:val="single" w:sz="8" w:space="0" w:color="auto"/>
            </w:tcBorders>
            <w:shd w:val="clear" w:color="auto" w:fill="auto"/>
            <w:vAlign w:val="center"/>
          </w:tcPr>
          <w:p w14:paraId="26ABDB7C" w14:textId="77777777" w:rsidR="006536D5" w:rsidRPr="00DA32F0" w:rsidRDefault="006536D5" w:rsidP="006536D5">
            <w:pPr>
              <w:jc w:val="center"/>
              <w:rPr>
                <w:sz w:val="16"/>
                <w:szCs w:val="16"/>
              </w:rPr>
            </w:pPr>
            <w:r w:rsidRPr="00DA32F0">
              <w:rPr>
                <w:sz w:val="16"/>
                <w:szCs w:val="16"/>
              </w:rPr>
              <w:t>Dibbler</w:t>
            </w:r>
            <w:r w:rsidRPr="00DA32F0">
              <w:rPr>
                <w:sz w:val="16"/>
                <w:szCs w:val="16"/>
                <w:vertAlign w:val="superscript"/>
              </w:rPr>
              <w:t>1</w:t>
            </w: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B7D" w14:textId="77777777" w:rsidR="006536D5" w:rsidRPr="00E72278" w:rsidRDefault="006536D5" w:rsidP="006536D5">
            <w:pPr>
              <w:jc w:val="center"/>
              <w:rPr>
                <w:color w:val="000000"/>
                <w:sz w:val="16"/>
                <w:szCs w:val="16"/>
              </w:rPr>
            </w:pP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B7E" w14:textId="77777777" w:rsidR="006536D5" w:rsidRPr="00E72278" w:rsidRDefault="006536D5" w:rsidP="006536D5">
            <w:pPr>
              <w:jc w:val="center"/>
              <w:rPr>
                <w:color w:val="000000"/>
                <w:sz w:val="16"/>
                <w:szCs w:val="16"/>
              </w:rPr>
            </w:pPr>
            <w:r>
              <w:rPr>
                <w:color w:val="000000"/>
                <w:sz w:val="16"/>
                <w:szCs w:val="16"/>
              </w:rPr>
              <w:t>Endangered</w:t>
            </w:r>
          </w:p>
        </w:tc>
        <w:tc>
          <w:tcPr>
            <w:tcW w:w="1102" w:type="dxa"/>
            <w:tcBorders>
              <w:top w:val="nil"/>
              <w:left w:val="single" w:sz="8" w:space="0" w:color="auto"/>
              <w:bottom w:val="single" w:sz="8" w:space="0" w:color="000000"/>
              <w:right w:val="single" w:sz="8" w:space="0" w:color="auto"/>
            </w:tcBorders>
            <w:shd w:val="clear" w:color="auto" w:fill="auto"/>
            <w:vAlign w:val="center"/>
          </w:tcPr>
          <w:p w14:paraId="26ABDB7F" w14:textId="77777777" w:rsidR="006536D5" w:rsidRPr="00E72278" w:rsidRDefault="006536D5" w:rsidP="006536D5">
            <w:pPr>
              <w:jc w:val="center"/>
              <w:rPr>
                <w:color w:val="000000"/>
                <w:sz w:val="16"/>
                <w:szCs w:val="16"/>
              </w:rPr>
            </w:pPr>
          </w:p>
        </w:tc>
        <w:tc>
          <w:tcPr>
            <w:tcW w:w="1330" w:type="dxa"/>
            <w:tcBorders>
              <w:top w:val="nil"/>
              <w:left w:val="single" w:sz="8" w:space="0" w:color="auto"/>
              <w:bottom w:val="single" w:sz="8" w:space="0" w:color="000000"/>
              <w:right w:val="single" w:sz="4" w:space="0" w:color="auto"/>
            </w:tcBorders>
            <w:shd w:val="clear" w:color="auto" w:fill="auto"/>
            <w:vAlign w:val="center"/>
          </w:tcPr>
          <w:p w14:paraId="26ABDB80" w14:textId="77777777" w:rsidR="006536D5" w:rsidRPr="00E72278" w:rsidRDefault="006536D5" w:rsidP="006536D5">
            <w:pPr>
              <w:jc w:val="center"/>
              <w:rPr>
                <w:color w:val="000000"/>
                <w:sz w:val="16"/>
                <w:szCs w:val="16"/>
              </w:rPr>
            </w:pPr>
            <w:r>
              <w:rPr>
                <w:color w:val="000000"/>
                <w:sz w:val="16"/>
                <w:szCs w:val="16"/>
              </w:rPr>
              <w:t>Endangered</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26ABDB81" w14:textId="77777777" w:rsidR="006536D5" w:rsidRDefault="006536D5" w:rsidP="006536D5">
            <w:pPr>
              <w:jc w:val="center"/>
              <w:rPr>
                <w:color w:val="000000"/>
                <w:sz w:val="16"/>
                <w:szCs w:val="16"/>
              </w:rPr>
            </w:pPr>
            <w:r w:rsidRPr="00E72278">
              <w:rPr>
                <w:color w:val="000000"/>
                <w:sz w:val="16"/>
                <w:szCs w:val="16"/>
              </w:rPr>
              <w:t>Conservation advice approved</w:t>
            </w:r>
            <w:r>
              <w:rPr>
                <w:color w:val="000000"/>
                <w:sz w:val="16"/>
                <w:szCs w:val="16"/>
              </w:rPr>
              <w:t xml:space="preserve"> 1/10/2015</w:t>
            </w:r>
          </w:p>
          <w:p w14:paraId="26ABDB82" w14:textId="77777777" w:rsidR="006536D5" w:rsidRPr="00E72278" w:rsidRDefault="006536D5" w:rsidP="006536D5">
            <w:pPr>
              <w:jc w:val="center"/>
              <w:rPr>
                <w:color w:val="000000"/>
                <w:sz w:val="16"/>
                <w:szCs w:val="16"/>
              </w:rPr>
            </w:pPr>
            <w:r>
              <w:rPr>
                <w:color w:val="000000"/>
                <w:sz w:val="16"/>
                <w:szCs w:val="16"/>
              </w:rPr>
              <w:t>National recovery plan required.</w:t>
            </w:r>
          </w:p>
        </w:tc>
      </w:tr>
      <w:tr w:rsidR="006536D5" w:rsidRPr="00E72278" w14:paraId="26ABDB8C" w14:textId="77777777" w:rsidTr="00A90358">
        <w:trPr>
          <w:cantSplit/>
          <w:trHeight w:val="264"/>
        </w:trPr>
        <w:tc>
          <w:tcPr>
            <w:tcW w:w="1373" w:type="dxa"/>
            <w:tcBorders>
              <w:top w:val="nil"/>
              <w:left w:val="single" w:sz="8" w:space="0" w:color="auto"/>
              <w:bottom w:val="single" w:sz="8" w:space="0" w:color="000000"/>
              <w:right w:val="single" w:sz="8" w:space="0" w:color="auto"/>
            </w:tcBorders>
            <w:shd w:val="clear" w:color="auto" w:fill="auto"/>
            <w:vAlign w:val="center"/>
          </w:tcPr>
          <w:p w14:paraId="26ABDB84" w14:textId="77777777" w:rsidR="006536D5" w:rsidRPr="00DA32F0" w:rsidRDefault="006536D5" w:rsidP="006536D5">
            <w:pPr>
              <w:jc w:val="center"/>
              <w:rPr>
                <w:i/>
                <w:iCs/>
                <w:sz w:val="16"/>
                <w:szCs w:val="16"/>
              </w:rPr>
            </w:pPr>
            <w:r w:rsidRPr="00DA32F0">
              <w:rPr>
                <w:i/>
                <w:iCs/>
                <w:sz w:val="16"/>
                <w:szCs w:val="16"/>
              </w:rPr>
              <w:t>Phascogale calura</w:t>
            </w:r>
          </w:p>
        </w:tc>
        <w:tc>
          <w:tcPr>
            <w:tcW w:w="1276" w:type="dxa"/>
            <w:tcBorders>
              <w:top w:val="nil"/>
              <w:left w:val="single" w:sz="8" w:space="0" w:color="auto"/>
              <w:bottom w:val="single" w:sz="8" w:space="0" w:color="000000"/>
              <w:right w:val="single" w:sz="8" w:space="0" w:color="auto"/>
            </w:tcBorders>
            <w:shd w:val="clear" w:color="auto" w:fill="auto"/>
            <w:vAlign w:val="center"/>
          </w:tcPr>
          <w:p w14:paraId="26ABDB85" w14:textId="77777777" w:rsidR="006536D5" w:rsidRPr="00DA32F0" w:rsidRDefault="006536D5" w:rsidP="006536D5">
            <w:pPr>
              <w:jc w:val="center"/>
              <w:rPr>
                <w:sz w:val="16"/>
                <w:szCs w:val="16"/>
              </w:rPr>
            </w:pPr>
            <w:r w:rsidRPr="00DA32F0">
              <w:rPr>
                <w:sz w:val="16"/>
                <w:szCs w:val="16"/>
              </w:rPr>
              <w:t>Red-tailed phascogale</w:t>
            </w:r>
            <w:r w:rsidRPr="00DA32F0">
              <w:rPr>
                <w:sz w:val="16"/>
                <w:szCs w:val="16"/>
                <w:vertAlign w:val="superscript"/>
              </w:rPr>
              <w:t>1</w:t>
            </w: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B86" w14:textId="77777777" w:rsidR="006536D5" w:rsidRPr="00E72278" w:rsidRDefault="006536D5" w:rsidP="006536D5">
            <w:pPr>
              <w:jc w:val="center"/>
              <w:rPr>
                <w:color w:val="000000"/>
                <w:sz w:val="16"/>
                <w:szCs w:val="16"/>
              </w:rPr>
            </w:pPr>
            <w:r>
              <w:rPr>
                <w:color w:val="000000"/>
                <w:sz w:val="16"/>
                <w:szCs w:val="16"/>
              </w:rPr>
              <w:t>Endangered</w:t>
            </w: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B87" w14:textId="77777777" w:rsidR="006536D5" w:rsidRPr="00E72278" w:rsidRDefault="006536D5" w:rsidP="006536D5">
            <w:pPr>
              <w:jc w:val="center"/>
              <w:rPr>
                <w:color w:val="000000"/>
                <w:sz w:val="16"/>
                <w:szCs w:val="16"/>
              </w:rPr>
            </w:pPr>
            <w:r>
              <w:rPr>
                <w:color w:val="000000"/>
                <w:sz w:val="16"/>
                <w:szCs w:val="16"/>
              </w:rPr>
              <w:t>Other specially protected</w:t>
            </w:r>
          </w:p>
        </w:tc>
        <w:tc>
          <w:tcPr>
            <w:tcW w:w="1102" w:type="dxa"/>
            <w:tcBorders>
              <w:top w:val="nil"/>
              <w:left w:val="single" w:sz="8" w:space="0" w:color="auto"/>
              <w:bottom w:val="single" w:sz="8" w:space="0" w:color="000000"/>
              <w:right w:val="single" w:sz="8" w:space="0" w:color="auto"/>
            </w:tcBorders>
            <w:shd w:val="clear" w:color="auto" w:fill="auto"/>
            <w:vAlign w:val="center"/>
          </w:tcPr>
          <w:p w14:paraId="26ABDB88" w14:textId="77777777" w:rsidR="006536D5" w:rsidRPr="00E72278" w:rsidRDefault="006536D5" w:rsidP="006536D5">
            <w:pPr>
              <w:jc w:val="center"/>
              <w:rPr>
                <w:color w:val="000000"/>
                <w:sz w:val="16"/>
                <w:szCs w:val="16"/>
              </w:rPr>
            </w:pPr>
            <w:r>
              <w:rPr>
                <w:color w:val="000000"/>
                <w:sz w:val="16"/>
                <w:szCs w:val="16"/>
              </w:rPr>
              <w:t>Endangered</w:t>
            </w:r>
          </w:p>
        </w:tc>
        <w:tc>
          <w:tcPr>
            <w:tcW w:w="1330" w:type="dxa"/>
            <w:tcBorders>
              <w:top w:val="nil"/>
              <w:left w:val="single" w:sz="8" w:space="0" w:color="auto"/>
              <w:bottom w:val="single" w:sz="8" w:space="0" w:color="000000"/>
              <w:right w:val="single" w:sz="4" w:space="0" w:color="auto"/>
            </w:tcBorders>
            <w:shd w:val="clear" w:color="auto" w:fill="auto"/>
            <w:vAlign w:val="center"/>
          </w:tcPr>
          <w:p w14:paraId="26ABDB89" w14:textId="77777777" w:rsidR="006536D5" w:rsidRPr="00E72278" w:rsidRDefault="006536D5" w:rsidP="006536D5">
            <w:pPr>
              <w:jc w:val="center"/>
              <w:rPr>
                <w:color w:val="000000"/>
                <w:sz w:val="16"/>
                <w:szCs w:val="16"/>
              </w:rPr>
            </w:pPr>
            <w:r>
              <w:rPr>
                <w:color w:val="000000"/>
                <w:sz w:val="16"/>
                <w:szCs w:val="16"/>
              </w:rPr>
              <w:t>Vulnerable</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26ABDB8A" w14:textId="77777777" w:rsidR="006536D5" w:rsidRDefault="006536D5" w:rsidP="006536D5">
            <w:pPr>
              <w:jc w:val="center"/>
              <w:rPr>
                <w:color w:val="000000"/>
                <w:sz w:val="16"/>
                <w:szCs w:val="16"/>
              </w:rPr>
            </w:pPr>
            <w:r w:rsidRPr="00E72278">
              <w:rPr>
                <w:color w:val="000000"/>
                <w:sz w:val="16"/>
                <w:szCs w:val="16"/>
              </w:rPr>
              <w:t>Conservation advice approved</w:t>
            </w:r>
            <w:r>
              <w:rPr>
                <w:color w:val="000000"/>
                <w:sz w:val="16"/>
                <w:szCs w:val="16"/>
              </w:rPr>
              <w:t xml:space="preserve"> 7/12/2016</w:t>
            </w:r>
          </w:p>
          <w:p w14:paraId="26ABDB8B" w14:textId="77777777" w:rsidR="006536D5" w:rsidRPr="00E72278" w:rsidRDefault="006536D5" w:rsidP="006536D5">
            <w:pPr>
              <w:jc w:val="center"/>
              <w:rPr>
                <w:color w:val="000000"/>
                <w:sz w:val="16"/>
                <w:szCs w:val="16"/>
              </w:rPr>
            </w:pPr>
            <w:r>
              <w:rPr>
                <w:color w:val="000000"/>
                <w:sz w:val="16"/>
                <w:szCs w:val="16"/>
              </w:rPr>
              <w:t>National recovery plan required.</w:t>
            </w:r>
          </w:p>
        </w:tc>
      </w:tr>
      <w:tr w:rsidR="006536D5" w:rsidRPr="00E72278" w14:paraId="26ABDB95" w14:textId="77777777" w:rsidTr="00A90358">
        <w:trPr>
          <w:cantSplit/>
          <w:trHeight w:val="264"/>
        </w:trPr>
        <w:tc>
          <w:tcPr>
            <w:tcW w:w="1373" w:type="dxa"/>
            <w:tcBorders>
              <w:top w:val="nil"/>
              <w:left w:val="single" w:sz="8" w:space="0" w:color="auto"/>
              <w:bottom w:val="single" w:sz="8" w:space="0" w:color="000000"/>
              <w:right w:val="single" w:sz="8" w:space="0" w:color="auto"/>
            </w:tcBorders>
            <w:shd w:val="clear" w:color="auto" w:fill="auto"/>
            <w:vAlign w:val="center"/>
          </w:tcPr>
          <w:p w14:paraId="26ABDB8D" w14:textId="77777777" w:rsidR="006536D5" w:rsidRPr="00DA32F0" w:rsidRDefault="006536D5" w:rsidP="006536D5">
            <w:pPr>
              <w:jc w:val="center"/>
              <w:rPr>
                <w:i/>
                <w:iCs/>
                <w:sz w:val="16"/>
                <w:szCs w:val="16"/>
              </w:rPr>
            </w:pPr>
            <w:r w:rsidRPr="00DA32F0">
              <w:rPr>
                <w:i/>
                <w:iCs/>
                <w:sz w:val="16"/>
                <w:szCs w:val="16"/>
              </w:rPr>
              <w:t>Sternula nereis nereis</w:t>
            </w:r>
          </w:p>
        </w:tc>
        <w:tc>
          <w:tcPr>
            <w:tcW w:w="1276" w:type="dxa"/>
            <w:tcBorders>
              <w:top w:val="nil"/>
              <w:left w:val="single" w:sz="8" w:space="0" w:color="auto"/>
              <w:bottom w:val="single" w:sz="8" w:space="0" w:color="000000"/>
              <w:right w:val="single" w:sz="8" w:space="0" w:color="auto"/>
            </w:tcBorders>
            <w:shd w:val="clear" w:color="auto" w:fill="auto"/>
            <w:vAlign w:val="center"/>
          </w:tcPr>
          <w:p w14:paraId="26ABDB8E" w14:textId="611C411A" w:rsidR="006536D5" w:rsidRPr="00DA32F0" w:rsidRDefault="00AD0B4B" w:rsidP="006536D5">
            <w:pPr>
              <w:jc w:val="center"/>
              <w:rPr>
                <w:sz w:val="16"/>
                <w:szCs w:val="16"/>
              </w:rPr>
            </w:pPr>
            <w:r w:rsidRPr="00DA32F0">
              <w:rPr>
                <w:sz w:val="16"/>
                <w:szCs w:val="16"/>
              </w:rPr>
              <w:t>Australian Fairy</w:t>
            </w:r>
            <w:r w:rsidR="006536D5" w:rsidRPr="00DA32F0">
              <w:rPr>
                <w:sz w:val="16"/>
                <w:szCs w:val="16"/>
              </w:rPr>
              <w:t xml:space="preserve"> Tern</w:t>
            </w:r>
            <w:r w:rsidR="006536D5" w:rsidRPr="00DA32F0">
              <w:rPr>
                <w:sz w:val="16"/>
                <w:szCs w:val="16"/>
                <w:vertAlign w:val="superscript"/>
              </w:rPr>
              <w:t>1</w:t>
            </w: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B8F" w14:textId="77777777" w:rsidR="006536D5" w:rsidRPr="00E72278" w:rsidRDefault="006536D5" w:rsidP="006536D5">
            <w:pPr>
              <w:jc w:val="center"/>
              <w:rPr>
                <w:color w:val="000000"/>
                <w:sz w:val="16"/>
                <w:szCs w:val="16"/>
              </w:rPr>
            </w:pP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B90" w14:textId="77777777" w:rsidR="006536D5" w:rsidRPr="00E72278" w:rsidRDefault="006536D5" w:rsidP="006536D5">
            <w:pPr>
              <w:jc w:val="center"/>
              <w:rPr>
                <w:color w:val="000000"/>
                <w:sz w:val="16"/>
                <w:szCs w:val="16"/>
              </w:rPr>
            </w:pPr>
            <w:r>
              <w:rPr>
                <w:color w:val="000000"/>
                <w:sz w:val="16"/>
                <w:szCs w:val="16"/>
              </w:rPr>
              <w:t>Vulnerable</w:t>
            </w:r>
          </w:p>
        </w:tc>
        <w:tc>
          <w:tcPr>
            <w:tcW w:w="1102" w:type="dxa"/>
            <w:tcBorders>
              <w:top w:val="nil"/>
              <w:left w:val="single" w:sz="8" w:space="0" w:color="auto"/>
              <w:bottom w:val="single" w:sz="8" w:space="0" w:color="000000"/>
              <w:right w:val="single" w:sz="8" w:space="0" w:color="auto"/>
            </w:tcBorders>
            <w:shd w:val="clear" w:color="auto" w:fill="auto"/>
            <w:vAlign w:val="center"/>
          </w:tcPr>
          <w:p w14:paraId="26ABDB91" w14:textId="77777777" w:rsidR="006536D5" w:rsidRPr="00E72278" w:rsidRDefault="006536D5" w:rsidP="006536D5">
            <w:pPr>
              <w:jc w:val="center"/>
              <w:rPr>
                <w:color w:val="000000"/>
                <w:sz w:val="16"/>
                <w:szCs w:val="16"/>
              </w:rPr>
            </w:pPr>
          </w:p>
        </w:tc>
        <w:tc>
          <w:tcPr>
            <w:tcW w:w="1330" w:type="dxa"/>
            <w:tcBorders>
              <w:top w:val="nil"/>
              <w:left w:val="single" w:sz="8" w:space="0" w:color="auto"/>
              <w:bottom w:val="single" w:sz="8" w:space="0" w:color="000000"/>
              <w:right w:val="single" w:sz="4" w:space="0" w:color="auto"/>
            </w:tcBorders>
            <w:shd w:val="clear" w:color="auto" w:fill="auto"/>
            <w:vAlign w:val="center"/>
          </w:tcPr>
          <w:p w14:paraId="26ABDB92" w14:textId="77777777" w:rsidR="006536D5" w:rsidRPr="00E72278" w:rsidRDefault="006536D5" w:rsidP="006536D5">
            <w:pPr>
              <w:jc w:val="center"/>
              <w:rPr>
                <w:color w:val="000000"/>
                <w:sz w:val="16"/>
                <w:szCs w:val="16"/>
              </w:rPr>
            </w:pPr>
            <w:r>
              <w:rPr>
                <w:color w:val="000000"/>
                <w:sz w:val="16"/>
                <w:szCs w:val="16"/>
              </w:rPr>
              <w:t>Vulnerable</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26ABDB93" w14:textId="77777777" w:rsidR="006536D5" w:rsidRDefault="006536D5" w:rsidP="006536D5">
            <w:pPr>
              <w:jc w:val="center"/>
              <w:rPr>
                <w:color w:val="000000"/>
                <w:sz w:val="16"/>
                <w:szCs w:val="16"/>
              </w:rPr>
            </w:pPr>
            <w:r w:rsidRPr="00E72278">
              <w:rPr>
                <w:color w:val="000000"/>
                <w:sz w:val="16"/>
                <w:szCs w:val="16"/>
              </w:rPr>
              <w:t>Conservation advice approved</w:t>
            </w:r>
            <w:r>
              <w:rPr>
                <w:color w:val="000000"/>
                <w:sz w:val="16"/>
                <w:szCs w:val="16"/>
              </w:rPr>
              <w:t xml:space="preserve"> 3/3/2011</w:t>
            </w:r>
          </w:p>
          <w:p w14:paraId="26ABDB94" w14:textId="77777777" w:rsidR="006536D5" w:rsidRPr="00E72278" w:rsidRDefault="006536D5" w:rsidP="006536D5">
            <w:pPr>
              <w:jc w:val="center"/>
              <w:rPr>
                <w:color w:val="000000"/>
                <w:sz w:val="16"/>
                <w:szCs w:val="16"/>
              </w:rPr>
            </w:pPr>
            <w:r>
              <w:rPr>
                <w:color w:val="000000"/>
                <w:sz w:val="16"/>
                <w:szCs w:val="16"/>
              </w:rPr>
              <w:t>National recovery plan required.</w:t>
            </w:r>
          </w:p>
        </w:tc>
      </w:tr>
      <w:tr w:rsidR="006536D5" w:rsidRPr="00E72278" w14:paraId="26ABDB97" w14:textId="77777777" w:rsidTr="006536D5">
        <w:trPr>
          <w:cantSplit/>
          <w:trHeight w:val="276"/>
        </w:trPr>
        <w:tc>
          <w:tcPr>
            <w:tcW w:w="8953" w:type="dxa"/>
            <w:gridSpan w:val="7"/>
            <w:tcBorders>
              <w:top w:val="nil"/>
              <w:left w:val="single" w:sz="8" w:space="0" w:color="auto"/>
              <w:bottom w:val="single" w:sz="8" w:space="0" w:color="auto"/>
              <w:right w:val="single" w:sz="8" w:space="0" w:color="000000"/>
            </w:tcBorders>
            <w:shd w:val="clear" w:color="auto" w:fill="auto"/>
            <w:vAlign w:val="center"/>
            <w:hideMark/>
          </w:tcPr>
          <w:p w14:paraId="26ABDB96" w14:textId="77777777" w:rsidR="006536D5" w:rsidRPr="00E72278" w:rsidRDefault="006536D5" w:rsidP="006536D5">
            <w:pPr>
              <w:rPr>
                <w:b/>
                <w:bCs/>
                <w:color w:val="000000"/>
                <w:sz w:val="16"/>
                <w:szCs w:val="16"/>
              </w:rPr>
            </w:pPr>
            <w:r w:rsidRPr="00E72278">
              <w:rPr>
                <w:b/>
                <w:bCs/>
                <w:color w:val="000000"/>
                <w:sz w:val="16"/>
                <w:szCs w:val="16"/>
              </w:rPr>
              <w:t>No recovery plan in place or in preparation</w:t>
            </w:r>
          </w:p>
        </w:tc>
      </w:tr>
      <w:tr w:rsidR="006536D5" w:rsidRPr="00E72278" w14:paraId="26ABDB9F" w14:textId="77777777" w:rsidTr="006536D5">
        <w:trPr>
          <w:cantSplit/>
          <w:trHeight w:val="840"/>
        </w:trPr>
        <w:tc>
          <w:tcPr>
            <w:tcW w:w="1373" w:type="dxa"/>
            <w:tcBorders>
              <w:top w:val="nil"/>
              <w:left w:val="single" w:sz="8" w:space="0" w:color="auto"/>
              <w:bottom w:val="single" w:sz="8" w:space="0" w:color="auto"/>
              <w:right w:val="single" w:sz="8" w:space="0" w:color="auto"/>
            </w:tcBorders>
            <w:shd w:val="clear" w:color="auto" w:fill="auto"/>
            <w:vAlign w:val="center"/>
          </w:tcPr>
          <w:p w14:paraId="26ABDB98" w14:textId="77777777" w:rsidR="006536D5" w:rsidRPr="00E72278" w:rsidRDefault="006536D5" w:rsidP="006536D5">
            <w:pPr>
              <w:jc w:val="center"/>
              <w:rPr>
                <w:i/>
                <w:iCs/>
                <w:color w:val="000000"/>
                <w:sz w:val="16"/>
                <w:szCs w:val="16"/>
              </w:rPr>
            </w:pPr>
            <w:r>
              <w:rPr>
                <w:i/>
                <w:iCs/>
                <w:color w:val="000000"/>
                <w:sz w:val="16"/>
                <w:szCs w:val="16"/>
              </w:rPr>
              <w:t>Actitis hypoleucos</w:t>
            </w:r>
          </w:p>
        </w:tc>
        <w:tc>
          <w:tcPr>
            <w:tcW w:w="1276" w:type="dxa"/>
            <w:tcBorders>
              <w:top w:val="nil"/>
              <w:left w:val="nil"/>
              <w:bottom w:val="single" w:sz="8" w:space="0" w:color="auto"/>
              <w:right w:val="single" w:sz="8" w:space="0" w:color="auto"/>
            </w:tcBorders>
            <w:shd w:val="clear" w:color="auto" w:fill="auto"/>
            <w:vAlign w:val="center"/>
          </w:tcPr>
          <w:p w14:paraId="26ABDB99" w14:textId="77777777" w:rsidR="006536D5" w:rsidRPr="00E72278" w:rsidRDefault="006536D5" w:rsidP="006536D5">
            <w:pPr>
              <w:jc w:val="center"/>
              <w:rPr>
                <w:color w:val="000000"/>
                <w:sz w:val="16"/>
                <w:szCs w:val="16"/>
              </w:rPr>
            </w:pPr>
            <w:r>
              <w:rPr>
                <w:color w:val="000000"/>
                <w:sz w:val="16"/>
                <w:szCs w:val="16"/>
              </w:rPr>
              <w:t>Common Sandpiper</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B9A"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B9B" w14:textId="77777777" w:rsidR="006536D5" w:rsidRPr="00E72278" w:rsidRDefault="006536D5" w:rsidP="006536D5">
            <w:pPr>
              <w:jc w:val="center"/>
              <w:rPr>
                <w:color w:val="000000"/>
                <w:sz w:val="16"/>
                <w:szCs w:val="16"/>
              </w:rPr>
            </w:pPr>
          </w:p>
        </w:tc>
        <w:tc>
          <w:tcPr>
            <w:tcW w:w="1102" w:type="dxa"/>
            <w:tcBorders>
              <w:top w:val="nil"/>
              <w:left w:val="nil"/>
              <w:bottom w:val="single" w:sz="8" w:space="0" w:color="auto"/>
              <w:right w:val="single" w:sz="8" w:space="0" w:color="auto"/>
            </w:tcBorders>
            <w:shd w:val="clear" w:color="auto" w:fill="auto"/>
            <w:vAlign w:val="center"/>
          </w:tcPr>
          <w:p w14:paraId="26ABDB9C"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B9D"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B9E" w14:textId="77777777" w:rsidR="006536D5" w:rsidRPr="00E72278" w:rsidRDefault="006536D5" w:rsidP="006536D5">
            <w:pPr>
              <w:jc w:val="center"/>
              <w:rPr>
                <w:b/>
                <w:bCs/>
                <w:color w:val="000000"/>
                <w:sz w:val="16"/>
                <w:szCs w:val="16"/>
              </w:rPr>
            </w:pPr>
            <w:r>
              <w:rPr>
                <w:color w:val="000000"/>
                <w:sz w:val="16"/>
                <w:szCs w:val="16"/>
              </w:rPr>
              <w:t>No conservation advice or recovery plan required</w:t>
            </w:r>
          </w:p>
        </w:tc>
      </w:tr>
      <w:tr w:rsidR="006536D5" w:rsidRPr="00E72278" w14:paraId="26ABDBA7" w14:textId="77777777" w:rsidTr="006536D5">
        <w:trPr>
          <w:cantSplit/>
          <w:trHeight w:val="840"/>
        </w:trPr>
        <w:tc>
          <w:tcPr>
            <w:tcW w:w="1373" w:type="dxa"/>
            <w:tcBorders>
              <w:top w:val="nil"/>
              <w:left w:val="single" w:sz="8" w:space="0" w:color="auto"/>
              <w:bottom w:val="single" w:sz="8" w:space="0" w:color="auto"/>
              <w:right w:val="single" w:sz="8" w:space="0" w:color="auto"/>
            </w:tcBorders>
            <w:shd w:val="clear" w:color="auto" w:fill="auto"/>
            <w:vAlign w:val="center"/>
          </w:tcPr>
          <w:p w14:paraId="26ABDBA0" w14:textId="77777777" w:rsidR="006536D5" w:rsidRPr="00E72278" w:rsidRDefault="006536D5" w:rsidP="006536D5">
            <w:pPr>
              <w:jc w:val="center"/>
              <w:rPr>
                <w:i/>
                <w:iCs/>
                <w:color w:val="000000"/>
                <w:sz w:val="16"/>
                <w:szCs w:val="16"/>
              </w:rPr>
            </w:pPr>
            <w:r>
              <w:rPr>
                <w:i/>
                <w:iCs/>
                <w:color w:val="000000"/>
                <w:sz w:val="16"/>
                <w:szCs w:val="16"/>
              </w:rPr>
              <w:t>Ardenna caneipes</w:t>
            </w:r>
          </w:p>
        </w:tc>
        <w:tc>
          <w:tcPr>
            <w:tcW w:w="1276" w:type="dxa"/>
            <w:tcBorders>
              <w:top w:val="nil"/>
              <w:left w:val="nil"/>
              <w:bottom w:val="single" w:sz="8" w:space="0" w:color="auto"/>
              <w:right w:val="single" w:sz="8" w:space="0" w:color="auto"/>
            </w:tcBorders>
            <w:shd w:val="clear" w:color="auto" w:fill="auto"/>
            <w:vAlign w:val="center"/>
          </w:tcPr>
          <w:p w14:paraId="26ABDBA1" w14:textId="77777777" w:rsidR="006536D5" w:rsidRPr="00E72278" w:rsidRDefault="006536D5" w:rsidP="006536D5">
            <w:pPr>
              <w:jc w:val="center"/>
              <w:rPr>
                <w:color w:val="000000"/>
                <w:sz w:val="16"/>
                <w:szCs w:val="16"/>
              </w:rPr>
            </w:pPr>
            <w:r>
              <w:rPr>
                <w:color w:val="000000"/>
                <w:sz w:val="16"/>
                <w:szCs w:val="16"/>
              </w:rPr>
              <w:t>Flesh-footed Shearwater, Fleshy-footed Shearwater</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BA2"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BA3" w14:textId="77777777" w:rsidR="006536D5" w:rsidRPr="00E72278" w:rsidRDefault="006536D5" w:rsidP="006536D5">
            <w:pPr>
              <w:jc w:val="center"/>
              <w:rPr>
                <w:color w:val="000000"/>
                <w:sz w:val="16"/>
                <w:szCs w:val="16"/>
              </w:rPr>
            </w:pPr>
          </w:p>
        </w:tc>
        <w:tc>
          <w:tcPr>
            <w:tcW w:w="1102" w:type="dxa"/>
            <w:tcBorders>
              <w:top w:val="nil"/>
              <w:left w:val="nil"/>
              <w:bottom w:val="single" w:sz="8" w:space="0" w:color="auto"/>
              <w:right w:val="single" w:sz="8" w:space="0" w:color="auto"/>
            </w:tcBorders>
            <w:shd w:val="clear" w:color="auto" w:fill="auto"/>
            <w:vAlign w:val="center"/>
          </w:tcPr>
          <w:p w14:paraId="26ABDBA4"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BA5"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BA6" w14:textId="77777777" w:rsidR="006536D5" w:rsidRPr="00E72278" w:rsidRDefault="006536D5" w:rsidP="006536D5">
            <w:pPr>
              <w:jc w:val="center"/>
              <w:rPr>
                <w:b/>
                <w:bCs/>
                <w:color w:val="000000"/>
                <w:sz w:val="16"/>
                <w:szCs w:val="16"/>
              </w:rPr>
            </w:pPr>
            <w:r>
              <w:rPr>
                <w:color w:val="000000"/>
                <w:sz w:val="16"/>
                <w:szCs w:val="16"/>
              </w:rPr>
              <w:t>No conservation advice or recovery plan required</w:t>
            </w:r>
          </w:p>
        </w:tc>
      </w:tr>
      <w:tr w:rsidR="006536D5" w:rsidRPr="00E72278" w14:paraId="26ABDBAF" w14:textId="77777777" w:rsidTr="006536D5">
        <w:trPr>
          <w:cantSplit/>
          <w:trHeight w:val="840"/>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A8" w14:textId="77777777" w:rsidR="006536D5" w:rsidRPr="00E72278" w:rsidRDefault="006536D5" w:rsidP="006536D5">
            <w:pPr>
              <w:jc w:val="center"/>
              <w:rPr>
                <w:i/>
                <w:iCs/>
                <w:color w:val="000000"/>
                <w:sz w:val="16"/>
                <w:szCs w:val="16"/>
              </w:rPr>
            </w:pPr>
            <w:r w:rsidRPr="00E72278">
              <w:rPr>
                <w:i/>
                <w:iCs/>
                <w:color w:val="000000"/>
                <w:sz w:val="16"/>
                <w:szCs w:val="16"/>
              </w:rPr>
              <w:t>Austroassiminea letha</w:t>
            </w:r>
          </w:p>
        </w:tc>
        <w:tc>
          <w:tcPr>
            <w:tcW w:w="1276" w:type="dxa"/>
            <w:tcBorders>
              <w:top w:val="nil"/>
              <w:left w:val="nil"/>
              <w:bottom w:val="single" w:sz="8" w:space="0" w:color="auto"/>
              <w:right w:val="single" w:sz="8" w:space="0" w:color="auto"/>
            </w:tcBorders>
            <w:shd w:val="clear" w:color="auto" w:fill="auto"/>
            <w:vAlign w:val="center"/>
            <w:hideMark/>
          </w:tcPr>
          <w:p w14:paraId="26ABDBA9" w14:textId="77777777" w:rsidR="006536D5" w:rsidRPr="00E72278" w:rsidRDefault="006536D5" w:rsidP="006536D5">
            <w:pPr>
              <w:jc w:val="center"/>
              <w:rPr>
                <w:color w:val="000000"/>
                <w:sz w:val="16"/>
                <w:szCs w:val="16"/>
              </w:rPr>
            </w:pPr>
            <w:r w:rsidRPr="00E72278">
              <w:rPr>
                <w:color w:val="000000"/>
                <w:sz w:val="16"/>
                <w:szCs w:val="16"/>
              </w:rPr>
              <w:t>Cape Leeuwin freshwater snail</w:t>
            </w:r>
          </w:p>
        </w:tc>
        <w:tc>
          <w:tcPr>
            <w:tcW w:w="1068" w:type="dxa"/>
            <w:tcBorders>
              <w:top w:val="nil"/>
              <w:left w:val="nil"/>
              <w:bottom w:val="single" w:sz="8" w:space="0" w:color="auto"/>
              <w:right w:val="single" w:sz="8" w:space="0" w:color="auto"/>
            </w:tcBorders>
            <w:shd w:val="clear" w:color="auto" w:fill="auto"/>
            <w:vAlign w:val="center"/>
            <w:hideMark/>
          </w:tcPr>
          <w:p w14:paraId="26ABDBAA"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BAB"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hideMark/>
          </w:tcPr>
          <w:p w14:paraId="26ABDBAC"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BAD" w14:textId="77777777" w:rsidR="006536D5" w:rsidRPr="00E72278" w:rsidRDefault="006536D5" w:rsidP="006536D5">
            <w:pPr>
              <w:jc w:val="center"/>
              <w:rPr>
                <w:color w:val="000000"/>
                <w:sz w:val="16"/>
                <w:szCs w:val="16"/>
              </w:rPr>
            </w:pPr>
            <w:r w:rsidRPr="00E72278">
              <w:rPr>
                <w:color w:val="000000"/>
                <w:sz w:val="16"/>
                <w:szCs w:val="16"/>
              </w:rPr>
              <w:t>Not listed</w:t>
            </w:r>
          </w:p>
        </w:tc>
        <w:tc>
          <w:tcPr>
            <w:tcW w:w="1736" w:type="dxa"/>
            <w:tcBorders>
              <w:top w:val="nil"/>
              <w:left w:val="nil"/>
              <w:bottom w:val="single" w:sz="8" w:space="0" w:color="auto"/>
              <w:right w:val="single" w:sz="8" w:space="0" w:color="auto"/>
            </w:tcBorders>
            <w:shd w:val="clear" w:color="auto" w:fill="auto"/>
            <w:vAlign w:val="center"/>
            <w:hideMark/>
          </w:tcPr>
          <w:p w14:paraId="26ABDBAE" w14:textId="77777777" w:rsidR="006536D5" w:rsidRPr="00E72278" w:rsidRDefault="006536D5" w:rsidP="006536D5">
            <w:pPr>
              <w:jc w:val="center"/>
              <w:rPr>
                <w:b/>
                <w:bCs/>
                <w:color w:val="000000"/>
                <w:sz w:val="16"/>
                <w:szCs w:val="16"/>
              </w:rPr>
            </w:pPr>
          </w:p>
        </w:tc>
      </w:tr>
      <w:tr w:rsidR="006536D5" w:rsidRPr="00E72278" w14:paraId="26ABDBB8" w14:textId="77777777" w:rsidTr="006536D5">
        <w:trPr>
          <w:cantSplit/>
          <w:trHeight w:val="840"/>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B0" w14:textId="77777777" w:rsidR="006536D5" w:rsidRPr="00E72278" w:rsidRDefault="006536D5" w:rsidP="006536D5">
            <w:pPr>
              <w:jc w:val="center"/>
              <w:rPr>
                <w:i/>
                <w:iCs/>
                <w:color w:val="000000"/>
                <w:sz w:val="16"/>
                <w:szCs w:val="16"/>
              </w:rPr>
            </w:pPr>
            <w:r w:rsidRPr="00E72278">
              <w:rPr>
                <w:i/>
                <w:iCs/>
                <w:color w:val="000000"/>
                <w:sz w:val="16"/>
                <w:szCs w:val="16"/>
              </w:rPr>
              <w:t>Bertmainius tingle</w:t>
            </w:r>
          </w:p>
        </w:tc>
        <w:tc>
          <w:tcPr>
            <w:tcW w:w="1276" w:type="dxa"/>
            <w:tcBorders>
              <w:top w:val="nil"/>
              <w:left w:val="nil"/>
              <w:bottom w:val="single" w:sz="8" w:space="0" w:color="auto"/>
              <w:right w:val="single" w:sz="8" w:space="0" w:color="auto"/>
            </w:tcBorders>
            <w:shd w:val="clear" w:color="auto" w:fill="auto"/>
            <w:vAlign w:val="center"/>
            <w:hideMark/>
          </w:tcPr>
          <w:p w14:paraId="26ABDBB1" w14:textId="77777777" w:rsidR="006536D5" w:rsidRPr="00E72278" w:rsidRDefault="006536D5" w:rsidP="006536D5">
            <w:pPr>
              <w:jc w:val="center"/>
              <w:rPr>
                <w:color w:val="000000"/>
                <w:sz w:val="16"/>
                <w:szCs w:val="16"/>
              </w:rPr>
            </w:pPr>
            <w:r w:rsidRPr="00E72278">
              <w:rPr>
                <w:color w:val="000000"/>
                <w:sz w:val="16"/>
                <w:szCs w:val="16"/>
              </w:rPr>
              <w:t>Tingle pygmy trapdoor spider</w:t>
            </w:r>
          </w:p>
        </w:tc>
        <w:tc>
          <w:tcPr>
            <w:tcW w:w="1068" w:type="dxa"/>
            <w:tcBorders>
              <w:top w:val="nil"/>
              <w:left w:val="nil"/>
              <w:bottom w:val="single" w:sz="8" w:space="0" w:color="auto"/>
              <w:right w:val="single" w:sz="8" w:space="0" w:color="auto"/>
            </w:tcBorders>
            <w:shd w:val="clear" w:color="auto" w:fill="auto"/>
            <w:vAlign w:val="center"/>
            <w:hideMark/>
          </w:tcPr>
          <w:p w14:paraId="26ABDBB2"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BB3"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tcBorders>
              <w:top w:val="nil"/>
              <w:left w:val="nil"/>
              <w:bottom w:val="single" w:sz="8" w:space="0" w:color="auto"/>
              <w:right w:val="single" w:sz="8" w:space="0" w:color="auto"/>
            </w:tcBorders>
            <w:shd w:val="clear" w:color="auto" w:fill="auto"/>
            <w:vAlign w:val="center"/>
            <w:hideMark/>
          </w:tcPr>
          <w:p w14:paraId="26ABDBB4"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BB5" w14:textId="77777777" w:rsidR="006536D5" w:rsidRPr="00E72278" w:rsidRDefault="006536D5" w:rsidP="006536D5">
            <w:pPr>
              <w:jc w:val="center"/>
              <w:rPr>
                <w:color w:val="000000"/>
                <w:sz w:val="16"/>
                <w:szCs w:val="16"/>
              </w:rPr>
            </w:pPr>
            <w:r>
              <w:rPr>
                <w:color w:val="000000"/>
                <w:sz w:val="16"/>
                <w:szCs w:val="16"/>
              </w:rPr>
              <w:t>Endangered</w:t>
            </w:r>
          </w:p>
        </w:tc>
        <w:tc>
          <w:tcPr>
            <w:tcW w:w="1736" w:type="dxa"/>
            <w:tcBorders>
              <w:top w:val="nil"/>
              <w:left w:val="nil"/>
              <w:bottom w:val="single" w:sz="8" w:space="0" w:color="auto"/>
              <w:right w:val="single" w:sz="8" w:space="0" w:color="auto"/>
            </w:tcBorders>
            <w:shd w:val="clear" w:color="auto" w:fill="auto"/>
            <w:vAlign w:val="center"/>
            <w:hideMark/>
          </w:tcPr>
          <w:p w14:paraId="26ABDBB6" w14:textId="77777777" w:rsidR="006536D5" w:rsidRDefault="006536D5" w:rsidP="006536D5">
            <w:pPr>
              <w:jc w:val="center"/>
              <w:rPr>
                <w:color w:val="000000"/>
                <w:sz w:val="16"/>
                <w:szCs w:val="16"/>
              </w:rPr>
            </w:pPr>
            <w:r>
              <w:rPr>
                <w:color w:val="000000"/>
                <w:sz w:val="16"/>
                <w:szCs w:val="16"/>
              </w:rPr>
              <w:t>No recovery plan required</w:t>
            </w:r>
          </w:p>
          <w:p w14:paraId="26ABDBB7" w14:textId="77777777" w:rsidR="006536D5" w:rsidRPr="00E72278" w:rsidRDefault="006536D5" w:rsidP="006536D5">
            <w:pPr>
              <w:jc w:val="center"/>
              <w:rPr>
                <w:b/>
                <w:bCs/>
                <w:color w:val="000000"/>
                <w:sz w:val="16"/>
                <w:szCs w:val="16"/>
              </w:rPr>
            </w:pPr>
            <w:r>
              <w:rPr>
                <w:color w:val="000000"/>
                <w:sz w:val="16"/>
                <w:szCs w:val="16"/>
              </w:rPr>
              <w:t>Conservation advice approved 11/5/2018</w:t>
            </w:r>
          </w:p>
        </w:tc>
      </w:tr>
      <w:tr w:rsidR="006536D5" w:rsidRPr="00E72278" w14:paraId="26ABDBC1" w14:textId="77777777" w:rsidTr="006536D5">
        <w:trPr>
          <w:cantSplit/>
          <w:trHeight w:val="636"/>
        </w:trPr>
        <w:tc>
          <w:tcPr>
            <w:tcW w:w="1373" w:type="dxa"/>
            <w:tcBorders>
              <w:top w:val="nil"/>
              <w:left w:val="single" w:sz="8" w:space="0" w:color="auto"/>
              <w:bottom w:val="single" w:sz="8" w:space="0" w:color="auto"/>
              <w:right w:val="single" w:sz="8" w:space="0" w:color="auto"/>
            </w:tcBorders>
            <w:shd w:val="clear" w:color="auto" w:fill="auto"/>
            <w:vAlign w:val="center"/>
          </w:tcPr>
          <w:p w14:paraId="26ABDBB9" w14:textId="77777777" w:rsidR="006536D5" w:rsidRPr="00E72278" w:rsidRDefault="006536D5" w:rsidP="006536D5">
            <w:pPr>
              <w:jc w:val="center"/>
              <w:rPr>
                <w:i/>
                <w:iCs/>
                <w:color w:val="000000"/>
                <w:sz w:val="16"/>
                <w:szCs w:val="16"/>
              </w:rPr>
            </w:pPr>
            <w:r>
              <w:rPr>
                <w:i/>
                <w:iCs/>
                <w:color w:val="000000"/>
                <w:sz w:val="16"/>
                <w:szCs w:val="16"/>
              </w:rPr>
              <w:t>Calidris canutus</w:t>
            </w:r>
          </w:p>
        </w:tc>
        <w:tc>
          <w:tcPr>
            <w:tcW w:w="1276" w:type="dxa"/>
            <w:tcBorders>
              <w:top w:val="nil"/>
              <w:left w:val="nil"/>
              <w:bottom w:val="single" w:sz="8" w:space="0" w:color="auto"/>
              <w:right w:val="single" w:sz="8" w:space="0" w:color="auto"/>
            </w:tcBorders>
            <w:shd w:val="clear" w:color="auto" w:fill="auto"/>
            <w:vAlign w:val="center"/>
          </w:tcPr>
          <w:p w14:paraId="26ABDBBA" w14:textId="77777777" w:rsidR="006536D5" w:rsidRPr="00E72278" w:rsidRDefault="006536D5" w:rsidP="006536D5">
            <w:pPr>
              <w:jc w:val="center"/>
              <w:rPr>
                <w:color w:val="000000"/>
                <w:sz w:val="16"/>
                <w:szCs w:val="16"/>
              </w:rPr>
            </w:pPr>
            <w:r>
              <w:rPr>
                <w:color w:val="000000"/>
                <w:sz w:val="16"/>
                <w:szCs w:val="16"/>
              </w:rPr>
              <w:t>Red Knot, Knot</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BBB"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BBC" w14:textId="77777777" w:rsidR="006536D5" w:rsidRPr="00E72278" w:rsidRDefault="006536D5" w:rsidP="006536D5">
            <w:pPr>
              <w:jc w:val="center"/>
              <w:rPr>
                <w:color w:val="000000"/>
                <w:sz w:val="16"/>
                <w:szCs w:val="16"/>
              </w:rPr>
            </w:pPr>
            <w:r>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tcPr>
          <w:p w14:paraId="26ABDBBD"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BBE" w14:textId="77777777" w:rsidR="006536D5" w:rsidRPr="00E72278" w:rsidRDefault="006536D5" w:rsidP="006536D5">
            <w:pPr>
              <w:jc w:val="center"/>
              <w:rPr>
                <w:color w:val="000000"/>
                <w:sz w:val="16"/>
                <w:szCs w:val="16"/>
              </w:rPr>
            </w:pPr>
            <w:r>
              <w:rPr>
                <w:color w:val="000000"/>
                <w:sz w:val="16"/>
                <w:szCs w:val="16"/>
              </w:rPr>
              <w:t>Endangered; Migratory</w:t>
            </w:r>
          </w:p>
        </w:tc>
        <w:tc>
          <w:tcPr>
            <w:tcW w:w="1736" w:type="dxa"/>
            <w:tcBorders>
              <w:top w:val="nil"/>
              <w:left w:val="nil"/>
              <w:bottom w:val="single" w:sz="8" w:space="0" w:color="auto"/>
              <w:right w:val="single" w:sz="8" w:space="0" w:color="auto"/>
            </w:tcBorders>
            <w:shd w:val="clear" w:color="auto" w:fill="auto"/>
            <w:vAlign w:val="center"/>
          </w:tcPr>
          <w:p w14:paraId="26ABDBBF" w14:textId="77777777" w:rsidR="006536D5" w:rsidRDefault="006536D5" w:rsidP="006536D5">
            <w:pPr>
              <w:jc w:val="center"/>
              <w:rPr>
                <w:color w:val="000000"/>
                <w:sz w:val="16"/>
                <w:szCs w:val="16"/>
              </w:rPr>
            </w:pPr>
            <w:r>
              <w:rPr>
                <w:color w:val="000000"/>
                <w:sz w:val="16"/>
                <w:szCs w:val="16"/>
              </w:rPr>
              <w:t>No recovery plan required</w:t>
            </w:r>
          </w:p>
          <w:p w14:paraId="26ABDBC0" w14:textId="77777777" w:rsidR="006536D5" w:rsidRPr="00E72278" w:rsidRDefault="006536D5" w:rsidP="006536D5">
            <w:pPr>
              <w:jc w:val="center"/>
              <w:rPr>
                <w:b/>
                <w:bCs/>
                <w:color w:val="000000"/>
                <w:sz w:val="16"/>
                <w:szCs w:val="16"/>
              </w:rPr>
            </w:pPr>
            <w:r>
              <w:rPr>
                <w:color w:val="000000"/>
                <w:sz w:val="16"/>
                <w:szCs w:val="16"/>
              </w:rPr>
              <w:t>Conservation advice approved 5/5/2016</w:t>
            </w:r>
          </w:p>
        </w:tc>
      </w:tr>
      <w:tr w:rsidR="006536D5" w:rsidRPr="00E72278" w14:paraId="26ABDBCA" w14:textId="77777777" w:rsidTr="006536D5">
        <w:trPr>
          <w:cantSplit/>
          <w:trHeight w:val="636"/>
        </w:trPr>
        <w:tc>
          <w:tcPr>
            <w:tcW w:w="1373" w:type="dxa"/>
            <w:tcBorders>
              <w:top w:val="nil"/>
              <w:left w:val="single" w:sz="8" w:space="0" w:color="auto"/>
              <w:bottom w:val="single" w:sz="8" w:space="0" w:color="auto"/>
              <w:right w:val="single" w:sz="8" w:space="0" w:color="auto"/>
            </w:tcBorders>
            <w:shd w:val="clear" w:color="auto" w:fill="auto"/>
            <w:vAlign w:val="center"/>
          </w:tcPr>
          <w:p w14:paraId="26ABDBC2" w14:textId="77777777" w:rsidR="006536D5" w:rsidRPr="00E72278" w:rsidRDefault="006536D5" w:rsidP="006536D5">
            <w:pPr>
              <w:jc w:val="center"/>
              <w:rPr>
                <w:i/>
                <w:iCs/>
                <w:color w:val="000000"/>
                <w:sz w:val="16"/>
                <w:szCs w:val="16"/>
              </w:rPr>
            </w:pPr>
            <w:r>
              <w:rPr>
                <w:i/>
                <w:iCs/>
                <w:color w:val="000000"/>
                <w:sz w:val="16"/>
                <w:szCs w:val="16"/>
              </w:rPr>
              <w:t>Calidris ferruginea</w:t>
            </w:r>
          </w:p>
        </w:tc>
        <w:tc>
          <w:tcPr>
            <w:tcW w:w="1276" w:type="dxa"/>
            <w:tcBorders>
              <w:top w:val="nil"/>
              <w:left w:val="nil"/>
              <w:bottom w:val="single" w:sz="8" w:space="0" w:color="auto"/>
              <w:right w:val="single" w:sz="8" w:space="0" w:color="auto"/>
            </w:tcBorders>
            <w:shd w:val="clear" w:color="auto" w:fill="auto"/>
            <w:vAlign w:val="center"/>
          </w:tcPr>
          <w:p w14:paraId="26ABDBC3" w14:textId="77777777" w:rsidR="006536D5" w:rsidRPr="00E72278" w:rsidRDefault="006536D5" w:rsidP="006536D5">
            <w:pPr>
              <w:jc w:val="center"/>
              <w:rPr>
                <w:color w:val="000000"/>
                <w:sz w:val="16"/>
                <w:szCs w:val="16"/>
              </w:rPr>
            </w:pPr>
            <w:r>
              <w:rPr>
                <w:color w:val="000000"/>
                <w:sz w:val="16"/>
                <w:szCs w:val="16"/>
              </w:rPr>
              <w:t>Curlew Sandpiper</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BC4"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BC5" w14:textId="77777777" w:rsidR="006536D5" w:rsidRPr="00E72278" w:rsidRDefault="006536D5" w:rsidP="006536D5">
            <w:pPr>
              <w:jc w:val="center"/>
              <w:rPr>
                <w:color w:val="000000"/>
                <w:sz w:val="16"/>
                <w:szCs w:val="16"/>
              </w:rPr>
            </w:pPr>
            <w:r>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tcPr>
          <w:p w14:paraId="26ABDBC6"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BC7" w14:textId="77777777" w:rsidR="006536D5" w:rsidRPr="00E72278" w:rsidRDefault="006536D5" w:rsidP="006536D5">
            <w:pPr>
              <w:jc w:val="center"/>
              <w:rPr>
                <w:color w:val="000000"/>
                <w:sz w:val="16"/>
                <w:szCs w:val="16"/>
              </w:rPr>
            </w:pPr>
            <w:r>
              <w:rPr>
                <w:color w:val="000000"/>
                <w:sz w:val="16"/>
                <w:szCs w:val="16"/>
              </w:rPr>
              <w:t>Critically Endangered; Migratory</w:t>
            </w:r>
          </w:p>
        </w:tc>
        <w:tc>
          <w:tcPr>
            <w:tcW w:w="1736" w:type="dxa"/>
            <w:tcBorders>
              <w:top w:val="nil"/>
              <w:left w:val="nil"/>
              <w:bottom w:val="single" w:sz="8" w:space="0" w:color="auto"/>
              <w:right w:val="single" w:sz="8" w:space="0" w:color="auto"/>
            </w:tcBorders>
            <w:shd w:val="clear" w:color="auto" w:fill="auto"/>
            <w:vAlign w:val="center"/>
          </w:tcPr>
          <w:p w14:paraId="26ABDBC8" w14:textId="77777777" w:rsidR="006536D5" w:rsidRDefault="006536D5" w:rsidP="006536D5">
            <w:pPr>
              <w:jc w:val="center"/>
              <w:rPr>
                <w:color w:val="000000"/>
                <w:sz w:val="16"/>
                <w:szCs w:val="16"/>
              </w:rPr>
            </w:pPr>
            <w:r>
              <w:rPr>
                <w:color w:val="000000"/>
                <w:sz w:val="16"/>
                <w:szCs w:val="16"/>
              </w:rPr>
              <w:t>No recovery plan required</w:t>
            </w:r>
          </w:p>
          <w:p w14:paraId="26ABDBC9" w14:textId="77777777" w:rsidR="006536D5" w:rsidRPr="00E72278" w:rsidRDefault="006536D5" w:rsidP="006536D5">
            <w:pPr>
              <w:jc w:val="center"/>
              <w:rPr>
                <w:b/>
                <w:bCs/>
                <w:color w:val="000000"/>
                <w:sz w:val="16"/>
                <w:szCs w:val="16"/>
              </w:rPr>
            </w:pPr>
            <w:r>
              <w:rPr>
                <w:color w:val="000000"/>
                <w:sz w:val="16"/>
                <w:szCs w:val="16"/>
              </w:rPr>
              <w:t>Conservation advice approved 26/5/2016</w:t>
            </w:r>
          </w:p>
        </w:tc>
      </w:tr>
      <w:tr w:rsidR="006536D5" w:rsidRPr="00E72278" w14:paraId="26ABDBD2" w14:textId="77777777" w:rsidTr="006536D5">
        <w:trPr>
          <w:cantSplit/>
          <w:trHeight w:val="636"/>
        </w:trPr>
        <w:tc>
          <w:tcPr>
            <w:tcW w:w="1373" w:type="dxa"/>
            <w:tcBorders>
              <w:top w:val="nil"/>
              <w:left w:val="single" w:sz="8" w:space="0" w:color="auto"/>
              <w:bottom w:val="single" w:sz="8" w:space="0" w:color="auto"/>
              <w:right w:val="single" w:sz="8" w:space="0" w:color="auto"/>
            </w:tcBorders>
            <w:shd w:val="clear" w:color="auto" w:fill="auto"/>
            <w:vAlign w:val="center"/>
          </w:tcPr>
          <w:p w14:paraId="26ABDBCB" w14:textId="77777777" w:rsidR="006536D5" w:rsidRPr="00E72278" w:rsidRDefault="006536D5" w:rsidP="006536D5">
            <w:pPr>
              <w:jc w:val="center"/>
              <w:rPr>
                <w:i/>
                <w:iCs/>
                <w:color w:val="000000"/>
                <w:sz w:val="16"/>
                <w:szCs w:val="16"/>
              </w:rPr>
            </w:pPr>
            <w:r>
              <w:rPr>
                <w:i/>
                <w:iCs/>
                <w:color w:val="000000"/>
                <w:sz w:val="16"/>
                <w:szCs w:val="16"/>
              </w:rPr>
              <w:lastRenderedPageBreak/>
              <w:t>Calidris melanotos</w:t>
            </w:r>
          </w:p>
        </w:tc>
        <w:tc>
          <w:tcPr>
            <w:tcW w:w="1276" w:type="dxa"/>
            <w:tcBorders>
              <w:top w:val="nil"/>
              <w:left w:val="nil"/>
              <w:bottom w:val="single" w:sz="8" w:space="0" w:color="auto"/>
              <w:right w:val="single" w:sz="8" w:space="0" w:color="auto"/>
            </w:tcBorders>
            <w:shd w:val="clear" w:color="auto" w:fill="auto"/>
            <w:vAlign w:val="center"/>
          </w:tcPr>
          <w:p w14:paraId="26ABDBCC" w14:textId="77777777" w:rsidR="006536D5" w:rsidRPr="00E72278" w:rsidRDefault="006536D5" w:rsidP="006536D5">
            <w:pPr>
              <w:jc w:val="center"/>
              <w:rPr>
                <w:color w:val="000000"/>
                <w:sz w:val="16"/>
                <w:szCs w:val="16"/>
              </w:rPr>
            </w:pPr>
            <w:r>
              <w:rPr>
                <w:color w:val="000000"/>
                <w:sz w:val="16"/>
                <w:szCs w:val="16"/>
              </w:rPr>
              <w:t>Pectoral Sandpiper</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BCD"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BCE" w14:textId="77777777" w:rsidR="006536D5" w:rsidRPr="00E72278" w:rsidRDefault="006536D5" w:rsidP="006536D5">
            <w:pPr>
              <w:jc w:val="center"/>
              <w:rPr>
                <w:color w:val="000000"/>
                <w:sz w:val="16"/>
                <w:szCs w:val="16"/>
              </w:rPr>
            </w:pPr>
          </w:p>
        </w:tc>
        <w:tc>
          <w:tcPr>
            <w:tcW w:w="1102" w:type="dxa"/>
            <w:tcBorders>
              <w:top w:val="nil"/>
              <w:left w:val="nil"/>
              <w:bottom w:val="single" w:sz="8" w:space="0" w:color="auto"/>
              <w:right w:val="single" w:sz="8" w:space="0" w:color="auto"/>
            </w:tcBorders>
            <w:shd w:val="clear" w:color="auto" w:fill="auto"/>
            <w:vAlign w:val="center"/>
          </w:tcPr>
          <w:p w14:paraId="26ABDBCF"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BD0"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BD1" w14:textId="77777777" w:rsidR="006536D5" w:rsidRPr="00E72278" w:rsidRDefault="006536D5" w:rsidP="006536D5">
            <w:pPr>
              <w:jc w:val="center"/>
              <w:rPr>
                <w:b/>
                <w:bCs/>
                <w:color w:val="000000"/>
                <w:sz w:val="16"/>
                <w:szCs w:val="16"/>
              </w:rPr>
            </w:pPr>
            <w:r>
              <w:rPr>
                <w:color w:val="000000"/>
                <w:sz w:val="16"/>
                <w:szCs w:val="16"/>
              </w:rPr>
              <w:t>No conservation advice or recovery plan required</w:t>
            </w:r>
          </w:p>
        </w:tc>
      </w:tr>
      <w:tr w:rsidR="006536D5" w:rsidRPr="00E72278" w14:paraId="26ABDBDA" w14:textId="77777777" w:rsidTr="006536D5">
        <w:trPr>
          <w:cantSplit/>
          <w:trHeight w:val="636"/>
        </w:trPr>
        <w:tc>
          <w:tcPr>
            <w:tcW w:w="1373" w:type="dxa"/>
            <w:tcBorders>
              <w:top w:val="nil"/>
              <w:left w:val="single" w:sz="8" w:space="0" w:color="auto"/>
              <w:bottom w:val="single" w:sz="8" w:space="0" w:color="auto"/>
              <w:right w:val="single" w:sz="8" w:space="0" w:color="auto"/>
            </w:tcBorders>
            <w:shd w:val="clear" w:color="auto" w:fill="auto"/>
            <w:vAlign w:val="center"/>
          </w:tcPr>
          <w:p w14:paraId="26ABDBD3" w14:textId="77777777" w:rsidR="006536D5" w:rsidRPr="00E72278" w:rsidRDefault="006536D5" w:rsidP="006536D5">
            <w:pPr>
              <w:jc w:val="center"/>
              <w:rPr>
                <w:i/>
                <w:iCs/>
                <w:color w:val="000000"/>
                <w:sz w:val="16"/>
                <w:szCs w:val="16"/>
              </w:rPr>
            </w:pPr>
            <w:r>
              <w:rPr>
                <w:i/>
                <w:iCs/>
                <w:color w:val="000000"/>
                <w:sz w:val="16"/>
                <w:szCs w:val="16"/>
              </w:rPr>
              <w:t>Caldris subminuta</w:t>
            </w:r>
          </w:p>
        </w:tc>
        <w:tc>
          <w:tcPr>
            <w:tcW w:w="1276" w:type="dxa"/>
            <w:tcBorders>
              <w:top w:val="nil"/>
              <w:left w:val="nil"/>
              <w:bottom w:val="single" w:sz="8" w:space="0" w:color="auto"/>
              <w:right w:val="single" w:sz="8" w:space="0" w:color="auto"/>
            </w:tcBorders>
            <w:shd w:val="clear" w:color="auto" w:fill="auto"/>
            <w:vAlign w:val="center"/>
          </w:tcPr>
          <w:p w14:paraId="26ABDBD4" w14:textId="77777777" w:rsidR="006536D5" w:rsidRPr="00E72278" w:rsidRDefault="006536D5" w:rsidP="006536D5">
            <w:pPr>
              <w:jc w:val="center"/>
              <w:rPr>
                <w:color w:val="000000"/>
                <w:sz w:val="16"/>
                <w:szCs w:val="16"/>
              </w:rPr>
            </w:pPr>
            <w:r>
              <w:rPr>
                <w:color w:val="000000"/>
                <w:sz w:val="16"/>
                <w:szCs w:val="16"/>
              </w:rPr>
              <w:t>Long-toed Stint</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BD5"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BD6" w14:textId="77777777" w:rsidR="006536D5" w:rsidRPr="00E72278" w:rsidRDefault="006536D5" w:rsidP="006536D5">
            <w:pPr>
              <w:jc w:val="center"/>
              <w:rPr>
                <w:color w:val="000000"/>
                <w:sz w:val="16"/>
                <w:szCs w:val="16"/>
              </w:rPr>
            </w:pPr>
          </w:p>
        </w:tc>
        <w:tc>
          <w:tcPr>
            <w:tcW w:w="1102" w:type="dxa"/>
            <w:tcBorders>
              <w:top w:val="nil"/>
              <w:left w:val="nil"/>
              <w:bottom w:val="single" w:sz="8" w:space="0" w:color="auto"/>
              <w:right w:val="single" w:sz="8" w:space="0" w:color="auto"/>
            </w:tcBorders>
            <w:shd w:val="clear" w:color="auto" w:fill="auto"/>
            <w:vAlign w:val="center"/>
          </w:tcPr>
          <w:p w14:paraId="26ABDBD7"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BD8"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BD9" w14:textId="77777777" w:rsidR="006536D5" w:rsidRPr="00E72278" w:rsidRDefault="006536D5" w:rsidP="006536D5">
            <w:pPr>
              <w:jc w:val="center"/>
              <w:rPr>
                <w:b/>
                <w:bCs/>
                <w:color w:val="000000"/>
                <w:sz w:val="16"/>
                <w:szCs w:val="16"/>
              </w:rPr>
            </w:pPr>
            <w:r>
              <w:rPr>
                <w:color w:val="000000"/>
                <w:sz w:val="16"/>
                <w:szCs w:val="16"/>
              </w:rPr>
              <w:t>No conservation advice or recovery plan required</w:t>
            </w:r>
          </w:p>
        </w:tc>
      </w:tr>
      <w:tr w:rsidR="006536D5" w:rsidRPr="00E72278" w14:paraId="26ABDBE2" w14:textId="77777777" w:rsidTr="006536D5">
        <w:trPr>
          <w:cantSplit/>
          <w:trHeight w:val="636"/>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DB" w14:textId="77777777" w:rsidR="006536D5" w:rsidRPr="00E72278" w:rsidRDefault="006536D5" w:rsidP="006536D5">
            <w:pPr>
              <w:jc w:val="center"/>
              <w:rPr>
                <w:i/>
                <w:iCs/>
                <w:color w:val="000000"/>
                <w:sz w:val="16"/>
                <w:szCs w:val="16"/>
              </w:rPr>
            </w:pPr>
            <w:r w:rsidRPr="00E72278">
              <w:rPr>
                <w:i/>
                <w:iCs/>
                <w:color w:val="000000"/>
                <w:sz w:val="16"/>
                <w:szCs w:val="16"/>
              </w:rPr>
              <w:t>Cynotelopus notabilis</w:t>
            </w:r>
          </w:p>
        </w:tc>
        <w:tc>
          <w:tcPr>
            <w:tcW w:w="1276" w:type="dxa"/>
            <w:tcBorders>
              <w:top w:val="nil"/>
              <w:left w:val="nil"/>
              <w:bottom w:val="single" w:sz="8" w:space="0" w:color="auto"/>
              <w:right w:val="single" w:sz="8" w:space="0" w:color="auto"/>
            </w:tcBorders>
            <w:shd w:val="clear" w:color="auto" w:fill="auto"/>
            <w:vAlign w:val="center"/>
            <w:hideMark/>
          </w:tcPr>
          <w:p w14:paraId="26ABDBDC" w14:textId="77777777" w:rsidR="006536D5" w:rsidRPr="00E72278" w:rsidRDefault="006536D5" w:rsidP="006536D5">
            <w:pPr>
              <w:jc w:val="center"/>
              <w:rPr>
                <w:color w:val="000000"/>
                <w:sz w:val="16"/>
                <w:szCs w:val="16"/>
              </w:rPr>
            </w:pPr>
            <w:r w:rsidRPr="00E72278">
              <w:rPr>
                <w:color w:val="000000"/>
                <w:sz w:val="16"/>
                <w:szCs w:val="16"/>
              </w:rPr>
              <w:t>Western Australian pill millipede</w:t>
            </w:r>
          </w:p>
        </w:tc>
        <w:tc>
          <w:tcPr>
            <w:tcW w:w="1068" w:type="dxa"/>
            <w:tcBorders>
              <w:top w:val="nil"/>
              <w:left w:val="nil"/>
              <w:bottom w:val="single" w:sz="8" w:space="0" w:color="auto"/>
              <w:right w:val="single" w:sz="8" w:space="0" w:color="auto"/>
            </w:tcBorders>
            <w:shd w:val="clear" w:color="auto" w:fill="auto"/>
            <w:vAlign w:val="center"/>
            <w:hideMark/>
          </w:tcPr>
          <w:p w14:paraId="26ABDBDD"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BDE"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tcBorders>
              <w:top w:val="nil"/>
              <w:left w:val="nil"/>
              <w:bottom w:val="single" w:sz="8" w:space="0" w:color="auto"/>
              <w:right w:val="single" w:sz="8" w:space="0" w:color="auto"/>
            </w:tcBorders>
            <w:shd w:val="clear" w:color="auto" w:fill="auto"/>
            <w:vAlign w:val="center"/>
            <w:hideMark/>
          </w:tcPr>
          <w:p w14:paraId="26ABDBDF"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BE0" w14:textId="77777777" w:rsidR="006536D5" w:rsidRPr="00E72278" w:rsidRDefault="006536D5" w:rsidP="006536D5">
            <w:pPr>
              <w:jc w:val="center"/>
              <w:rPr>
                <w:color w:val="000000"/>
                <w:sz w:val="16"/>
                <w:szCs w:val="16"/>
              </w:rPr>
            </w:pPr>
            <w:r w:rsidRPr="00E72278">
              <w:rPr>
                <w:color w:val="000000"/>
                <w:sz w:val="16"/>
                <w:szCs w:val="16"/>
              </w:rPr>
              <w:t>Not listed</w:t>
            </w:r>
          </w:p>
        </w:tc>
        <w:tc>
          <w:tcPr>
            <w:tcW w:w="1736" w:type="dxa"/>
            <w:tcBorders>
              <w:top w:val="nil"/>
              <w:left w:val="nil"/>
              <w:bottom w:val="single" w:sz="8" w:space="0" w:color="auto"/>
              <w:right w:val="single" w:sz="8" w:space="0" w:color="auto"/>
            </w:tcBorders>
            <w:shd w:val="clear" w:color="auto" w:fill="auto"/>
            <w:vAlign w:val="center"/>
            <w:hideMark/>
          </w:tcPr>
          <w:p w14:paraId="26ABDBE1" w14:textId="77777777" w:rsidR="006536D5" w:rsidRPr="00E72278" w:rsidRDefault="006536D5" w:rsidP="006536D5">
            <w:pPr>
              <w:jc w:val="center"/>
              <w:rPr>
                <w:b/>
                <w:bCs/>
                <w:color w:val="000000"/>
                <w:sz w:val="16"/>
                <w:szCs w:val="16"/>
              </w:rPr>
            </w:pPr>
          </w:p>
        </w:tc>
      </w:tr>
      <w:tr w:rsidR="006536D5" w:rsidRPr="00E72278" w14:paraId="26ABDBEA" w14:textId="77777777" w:rsidTr="006536D5">
        <w:trPr>
          <w:cantSplit/>
          <w:trHeight w:val="840"/>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E3" w14:textId="77777777" w:rsidR="006536D5" w:rsidRPr="00E72278" w:rsidRDefault="006536D5" w:rsidP="006536D5">
            <w:pPr>
              <w:jc w:val="center"/>
              <w:rPr>
                <w:i/>
                <w:iCs/>
                <w:color w:val="000000"/>
                <w:sz w:val="16"/>
                <w:szCs w:val="16"/>
              </w:rPr>
            </w:pPr>
            <w:r w:rsidRPr="00E72278">
              <w:rPr>
                <w:i/>
                <w:iCs/>
                <w:color w:val="000000"/>
                <w:sz w:val="16"/>
                <w:szCs w:val="16"/>
              </w:rPr>
              <w:t>Galaxiella munda</w:t>
            </w:r>
          </w:p>
        </w:tc>
        <w:tc>
          <w:tcPr>
            <w:tcW w:w="1276" w:type="dxa"/>
            <w:tcBorders>
              <w:top w:val="nil"/>
              <w:left w:val="nil"/>
              <w:bottom w:val="single" w:sz="8" w:space="0" w:color="auto"/>
              <w:right w:val="single" w:sz="8" w:space="0" w:color="auto"/>
            </w:tcBorders>
            <w:shd w:val="clear" w:color="auto" w:fill="auto"/>
            <w:vAlign w:val="center"/>
            <w:hideMark/>
          </w:tcPr>
          <w:p w14:paraId="26ABDBE4" w14:textId="77777777" w:rsidR="006536D5" w:rsidRPr="00E72278" w:rsidRDefault="006536D5" w:rsidP="006536D5">
            <w:pPr>
              <w:jc w:val="center"/>
              <w:rPr>
                <w:color w:val="000000"/>
                <w:sz w:val="16"/>
                <w:szCs w:val="16"/>
              </w:rPr>
            </w:pPr>
            <w:r w:rsidRPr="00E72278">
              <w:rPr>
                <w:color w:val="000000"/>
                <w:sz w:val="16"/>
                <w:szCs w:val="16"/>
              </w:rPr>
              <w:t>mud minnow, western dwarf galaxias</w:t>
            </w:r>
          </w:p>
        </w:tc>
        <w:tc>
          <w:tcPr>
            <w:tcW w:w="1068" w:type="dxa"/>
            <w:tcBorders>
              <w:top w:val="nil"/>
              <w:left w:val="nil"/>
              <w:bottom w:val="single" w:sz="8" w:space="0" w:color="auto"/>
              <w:right w:val="single" w:sz="8" w:space="0" w:color="auto"/>
            </w:tcBorders>
            <w:shd w:val="clear" w:color="auto" w:fill="auto"/>
            <w:vAlign w:val="center"/>
            <w:hideMark/>
          </w:tcPr>
          <w:p w14:paraId="26ABDBE5"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BE6"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hideMark/>
          </w:tcPr>
          <w:p w14:paraId="26ABDBE7"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BE8" w14:textId="77777777" w:rsidR="006536D5" w:rsidRPr="00E72278" w:rsidRDefault="006536D5" w:rsidP="006536D5">
            <w:pPr>
              <w:jc w:val="center"/>
              <w:rPr>
                <w:color w:val="000000"/>
                <w:sz w:val="16"/>
                <w:szCs w:val="16"/>
              </w:rPr>
            </w:pPr>
            <w:r w:rsidRPr="00E72278">
              <w:rPr>
                <w:color w:val="000000"/>
                <w:sz w:val="16"/>
                <w:szCs w:val="16"/>
              </w:rPr>
              <w:t>Not listed</w:t>
            </w:r>
          </w:p>
        </w:tc>
        <w:tc>
          <w:tcPr>
            <w:tcW w:w="1736" w:type="dxa"/>
            <w:tcBorders>
              <w:top w:val="nil"/>
              <w:left w:val="nil"/>
              <w:bottom w:val="single" w:sz="8" w:space="0" w:color="auto"/>
              <w:right w:val="single" w:sz="8" w:space="0" w:color="auto"/>
            </w:tcBorders>
            <w:shd w:val="clear" w:color="auto" w:fill="auto"/>
            <w:vAlign w:val="center"/>
            <w:hideMark/>
          </w:tcPr>
          <w:p w14:paraId="26ABDBE9" w14:textId="77777777" w:rsidR="006536D5" w:rsidRPr="00E72278" w:rsidRDefault="006536D5" w:rsidP="006536D5">
            <w:pPr>
              <w:jc w:val="center"/>
              <w:rPr>
                <w:b/>
                <w:bCs/>
                <w:color w:val="000000"/>
                <w:sz w:val="16"/>
                <w:szCs w:val="16"/>
              </w:rPr>
            </w:pPr>
          </w:p>
        </w:tc>
      </w:tr>
      <w:tr w:rsidR="006536D5" w:rsidRPr="00E72278" w14:paraId="26ABDBF3" w14:textId="77777777" w:rsidTr="006536D5">
        <w:trPr>
          <w:cantSplit/>
          <w:trHeight w:val="1044"/>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EB" w14:textId="77777777" w:rsidR="006536D5" w:rsidRPr="00E72278" w:rsidRDefault="006536D5" w:rsidP="006536D5">
            <w:pPr>
              <w:jc w:val="center"/>
              <w:rPr>
                <w:i/>
                <w:iCs/>
                <w:color w:val="000000"/>
                <w:sz w:val="16"/>
                <w:szCs w:val="16"/>
              </w:rPr>
            </w:pPr>
            <w:r w:rsidRPr="00E72278">
              <w:rPr>
                <w:i/>
                <w:iCs/>
                <w:color w:val="000000"/>
                <w:sz w:val="16"/>
                <w:szCs w:val="16"/>
              </w:rPr>
              <w:t>Galaxiella nigrostriata</w:t>
            </w:r>
          </w:p>
        </w:tc>
        <w:tc>
          <w:tcPr>
            <w:tcW w:w="1276" w:type="dxa"/>
            <w:tcBorders>
              <w:top w:val="nil"/>
              <w:left w:val="nil"/>
              <w:bottom w:val="single" w:sz="8" w:space="0" w:color="auto"/>
              <w:right w:val="single" w:sz="8" w:space="0" w:color="auto"/>
            </w:tcBorders>
            <w:shd w:val="clear" w:color="auto" w:fill="auto"/>
            <w:vAlign w:val="center"/>
            <w:hideMark/>
          </w:tcPr>
          <w:p w14:paraId="26ABDBEC" w14:textId="77777777" w:rsidR="006536D5" w:rsidRPr="00E72278" w:rsidRDefault="006536D5" w:rsidP="006536D5">
            <w:pPr>
              <w:jc w:val="center"/>
              <w:rPr>
                <w:color w:val="000000"/>
                <w:sz w:val="16"/>
                <w:szCs w:val="16"/>
              </w:rPr>
            </w:pPr>
            <w:r w:rsidRPr="00E72278">
              <w:rPr>
                <w:color w:val="000000"/>
                <w:sz w:val="16"/>
                <w:szCs w:val="16"/>
              </w:rPr>
              <w:t>black-stripe minnow, black-striped dwarf galaxias</w:t>
            </w:r>
          </w:p>
        </w:tc>
        <w:tc>
          <w:tcPr>
            <w:tcW w:w="1068" w:type="dxa"/>
            <w:tcBorders>
              <w:top w:val="nil"/>
              <w:left w:val="nil"/>
              <w:bottom w:val="single" w:sz="8" w:space="0" w:color="auto"/>
              <w:right w:val="single" w:sz="8" w:space="0" w:color="auto"/>
            </w:tcBorders>
            <w:shd w:val="clear" w:color="auto" w:fill="auto"/>
            <w:vAlign w:val="center"/>
            <w:hideMark/>
          </w:tcPr>
          <w:p w14:paraId="26ABDBED"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BEE"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tcBorders>
              <w:top w:val="nil"/>
              <w:left w:val="nil"/>
              <w:bottom w:val="single" w:sz="8" w:space="0" w:color="auto"/>
              <w:right w:val="single" w:sz="8" w:space="0" w:color="auto"/>
            </w:tcBorders>
            <w:shd w:val="clear" w:color="auto" w:fill="auto"/>
            <w:vAlign w:val="center"/>
            <w:hideMark/>
          </w:tcPr>
          <w:p w14:paraId="26ABDBEF"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BF0" w14:textId="77777777" w:rsidR="006536D5" w:rsidRPr="00E72278" w:rsidRDefault="006536D5" w:rsidP="006536D5">
            <w:pPr>
              <w:jc w:val="center"/>
              <w:rPr>
                <w:color w:val="000000"/>
                <w:sz w:val="16"/>
                <w:szCs w:val="16"/>
              </w:rPr>
            </w:pPr>
            <w:r>
              <w:rPr>
                <w:color w:val="000000"/>
                <w:sz w:val="16"/>
                <w:szCs w:val="16"/>
              </w:rPr>
              <w:t>Endangered</w:t>
            </w:r>
          </w:p>
        </w:tc>
        <w:tc>
          <w:tcPr>
            <w:tcW w:w="1736" w:type="dxa"/>
            <w:tcBorders>
              <w:top w:val="nil"/>
              <w:left w:val="nil"/>
              <w:bottom w:val="single" w:sz="8" w:space="0" w:color="auto"/>
              <w:right w:val="single" w:sz="8" w:space="0" w:color="auto"/>
            </w:tcBorders>
            <w:shd w:val="clear" w:color="auto" w:fill="auto"/>
            <w:vAlign w:val="center"/>
            <w:hideMark/>
          </w:tcPr>
          <w:p w14:paraId="26ABDBF1" w14:textId="77777777" w:rsidR="006536D5" w:rsidRDefault="006536D5" w:rsidP="006536D5">
            <w:pPr>
              <w:jc w:val="center"/>
              <w:rPr>
                <w:color w:val="000000"/>
                <w:sz w:val="16"/>
                <w:szCs w:val="16"/>
              </w:rPr>
            </w:pPr>
            <w:r>
              <w:rPr>
                <w:color w:val="000000"/>
                <w:sz w:val="16"/>
                <w:szCs w:val="16"/>
              </w:rPr>
              <w:t>No recovery plan required</w:t>
            </w:r>
          </w:p>
          <w:p w14:paraId="26ABDBF2" w14:textId="77777777" w:rsidR="006536D5" w:rsidRPr="00E72278" w:rsidRDefault="006536D5" w:rsidP="006536D5">
            <w:pPr>
              <w:jc w:val="center"/>
              <w:rPr>
                <w:b/>
                <w:bCs/>
                <w:color w:val="000000"/>
                <w:sz w:val="16"/>
                <w:szCs w:val="16"/>
              </w:rPr>
            </w:pPr>
            <w:r>
              <w:rPr>
                <w:color w:val="000000"/>
                <w:sz w:val="16"/>
                <w:szCs w:val="16"/>
              </w:rPr>
              <w:t>Conservation advice approved 11/5/2018</w:t>
            </w:r>
          </w:p>
        </w:tc>
      </w:tr>
      <w:tr w:rsidR="006536D5" w:rsidRPr="00E72278" w14:paraId="26ABDBFB" w14:textId="77777777" w:rsidTr="006536D5">
        <w:trPr>
          <w:cantSplit/>
          <w:trHeight w:val="840"/>
        </w:trPr>
        <w:tc>
          <w:tcPr>
            <w:tcW w:w="1373" w:type="dxa"/>
            <w:tcBorders>
              <w:top w:val="nil"/>
              <w:left w:val="single" w:sz="8" w:space="0" w:color="auto"/>
              <w:bottom w:val="single" w:sz="8" w:space="0" w:color="auto"/>
              <w:right w:val="single" w:sz="8" w:space="0" w:color="auto"/>
            </w:tcBorders>
            <w:shd w:val="clear" w:color="auto" w:fill="auto"/>
            <w:vAlign w:val="center"/>
          </w:tcPr>
          <w:p w14:paraId="26ABDBF4" w14:textId="77777777" w:rsidR="006536D5" w:rsidRPr="00E72278" w:rsidRDefault="006536D5" w:rsidP="006536D5">
            <w:pPr>
              <w:jc w:val="center"/>
              <w:rPr>
                <w:i/>
                <w:iCs/>
                <w:color w:val="000000"/>
                <w:sz w:val="16"/>
                <w:szCs w:val="16"/>
              </w:rPr>
            </w:pPr>
            <w:r>
              <w:rPr>
                <w:i/>
                <w:iCs/>
                <w:color w:val="000000"/>
                <w:sz w:val="16"/>
                <w:szCs w:val="16"/>
              </w:rPr>
              <w:t>Gallinago stenura</w:t>
            </w:r>
          </w:p>
        </w:tc>
        <w:tc>
          <w:tcPr>
            <w:tcW w:w="1276" w:type="dxa"/>
            <w:tcBorders>
              <w:top w:val="nil"/>
              <w:left w:val="nil"/>
              <w:bottom w:val="single" w:sz="8" w:space="0" w:color="auto"/>
              <w:right w:val="single" w:sz="8" w:space="0" w:color="auto"/>
            </w:tcBorders>
            <w:shd w:val="clear" w:color="auto" w:fill="auto"/>
            <w:vAlign w:val="center"/>
          </w:tcPr>
          <w:p w14:paraId="26ABDBF5" w14:textId="77777777" w:rsidR="006536D5" w:rsidRPr="00E72278" w:rsidRDefault="006536D5" w:rsidP="006536D5">
            <w:pPr>
              <w:jc w:val="center"/>
              <w:rPr>
                <w:color w:val="000000"/>
                <w:sz w:val="16"/>
                <w:szCs w:val="16"/>
              </w:rPr>
            </w:pPr>
            <w:r>
              <w:rPr>
                <w:color w:val="000000"/>
                <w:sz w:val="16"/>
                <w:szCs w:val="16"/>
              </w:rPr>
              <w:t>Pin-tailed Snipe</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BF6"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BF7" w14:textId="77777777" w:rsidR="006536D5" w:rsidRPr="00E72278" w:rsidRDefault="006536D5" w:rsidP="006536D5">
            <w:pPr>
              <w:jc w:val="center"/>
              <w:rPr>
                <w:color w:val="000000"/>
                <w:sz w:val="16"/>
                <w:szCs w:val="16"/>
              </w:rPr>
            </w:pPr>
          </w:p>
        </w:tc>
        <w:tc>
          <w:tcPr>
            <w:tcW w:w="1102" w:type="dxa"/>
            <w:tcBorders>
              <w:top w:val="nil"/>
              <w:left w:val="nil"/>
              <w:bottom w:val="single" w:sz="8" w:space="0" w:color="auto"/>
              <w:right w:val="single" w:sz="8" w:space="0" w:color="auto"/>
            </w:tcBorders>
            <w:shd w:val="clear" w:color="auto" w:fill="auto"/>
            <w:vAlign w:val="center"/>
          </w:tcPr>
          <w:p w14:paraId="26ABDBF8"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BF9"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BFA" w14:textId="77777777" w:rsidR="006536D5" w:rsidRPr="00E72278" w:rsidRDefault="006536D5" w:rsidP="006536D5">
            <w:pPr>
              <w:jc w:val="center"/>
              <w:rPr>
                <w:b/>
                <w:bCs/>
                <w:color w:val="000000"/>
                <w:sz w:val="16"/>
                <w:szCs w:val="16"/>
              </w:rPr>
            </w:pPr>
            <w:r>
              <w:rPr>
                <w:color w:val="000000"/>
                <w:sz w:val="16"/>
                <w:szCs w:val="16"/>
              </w:rPr>
              <w:t>No conservation advice or recovery plan required</w:t>
            </w:r>
          </w:p>
        </w:tc>
      </w:tr>
      <w:tr w:rsidR="006536D5" w:rsidRPr="00E72278" w14:paraId="26ABDC03" w14:textId="77777777" w:rsidTr="006536D5">
        <w:trPr>
          <w:cantSplit/>
          <w:trHeight w:val="840"/>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BFC" w14:textId="77777777" w:rsidR="006536D5" w:rsidRPr="00E72278" w:rsidRDefault="006536D5" w:rsidP="006536D5">
            <w:pPr>
              <w:jc w:val="center"/>
              <w:rPr>
                <w:i/>
                <w:iCs/>
                <w:color w:val="000000"/>
                <w:sz w:val="16"/>
                <w:szCs w:val="16"/>
              </w:rPr>
            </w:pPr>
            <w:r w:rsidRPr="00E72278">
              <w:rPr>
                <w:i/>
                <w:iCs/>
                <w:color w:val="000000"/>
                <w:sz w:val="16"/>
                <w:szCs w:val="16"/>
              </w:rPr>
              <w:t>Lepidogalaxias salamandroides</w:t>
            </w:r>
          </w:p>
        </w:tc>
        <w:tc>
          <w:tcPr>
            <w:tcW w:w="1276" w:type="dxa"/>
            <w:tcBorders>
              <w:top w:val="nil"/>
              <w:left w:val="nil"/>
              <w:bottom w:val="single" w:sz="8" w:space="0" w:color="auto"/>
              <w:right w:val="single" w:sz="8" w:space="0" w:color="auto"/>
            </w:tcBorders>
            <w:shd w:val="clear" w:color="auto" w:fill="auto"/>
            <w:vAlign w:val="center"/>
            <w:hideMark/>
          </w:tcPr>
          <w:p w14:paraId="26ABDBFD" w14:textId="77777777" w:rsidR="006536D5" w:rsidRPr="00E72278" w:rsidRDefault="006536D5" w:rsidP="006536D5">
            <w:pPr>
              <w:jc w:val="center"/>
              <w:rPr>
                <w:color w:val="000000"/>
                <w:sz w:val="16"/>
                <w:szCs w:val="16"/>
              </w:rPr>
            </w:pPr>
            <w:r w:rsidRPr="00E72278">
              <w:rPr>
                <w:color w:val="000000"/>
                <w:sz w:val="16"/>
                <w:szCs w:val="16"/>
              </w:rPr>
              <w:t>salamanderfish</w:t>
            </w:r>
          </w:p>
        </w:tc>
        <w:tc>
          <w:tcPr>
            <w:tcW w:w="1068" w:type="dxa"/>
            <w:tcBorders>
              <w:top w:val="nil"/>
              <w:left w:val="nil"/>
              <w:bottom w:val="single" w:sz="8" w:space="0" w:color="auto"/>
              <w:right w:val="single" w:sz="8" w:space="0" w:color="auto"/>
            </w:tcBorders>
            <w:shd w:val="clear" w:color="auto" w:fill="auto"/>
            <w:vAlign w:val="center"/>
            <w:hideMark/>
          </w:tcPr>
          <w:p w14:paraId="26ABDBFE"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BFF"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tcBorders>
              <w:top w:val="nil"/>
              <w:left w:val="nil"/>
              <w:bottom w:val="single" w:sz="8" w:space="0" w:color="auto"/>
              <w:right w:val="single" w:sz="8" w:space="0" w:color="auto"/>
            </w:tcBorders>
            <w:shd w:val="clear" w:color="auto" w:fill="auto"/>
            <w:vAlign w:val="center"/>
            <w:hideMark/>
          </w:tcPr>
          <w:p w14:paraId="26ABDC00"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C01" w14:textId="77777777" w:rsidR="006536D5" w:rsidRPr="00E72278" w:rsidRDefault="006536D5" w:rsidP="006536D5">
            <w:pPr>
              <w:jc w:val="center"/>
              <w:rPr>
                <w:color w:val="000000"/>
                <w:sz w:val="16"/>
                <w:szCs w:val="16"/>
              </w:rPr>
            </w:pPr>
            <w:r w:rsidRPr="00E72278">
              <w:rPr>
                <w:color w:val="000000"/>
                <w:sz w:val="16"/>
                <w:szCs w:val="16"/>
              </w:rPr>
              <w:t>Not listed</w:t>
            </w:r>
          </w:p>
        </w:tc>
        <w:tc>
          <w:tcPr>
            <w:tcW w:w="1736" w:type="dxa"/>
            <w:tcBorders>
              <w:top w:val="nil"/>
              <w:left w:val="nil"/>
              <w:bottom w:val="single" w:sz="8" w:space="0" w:color="auto"/>
              <w:right w:val="single" w:sz="8" w:space="0" w:color="auto"/>
            </w:tcBorders>
            <w:shd w:val="clear" w:color="auto" w:fill="auto"/>
            <w:vAlign w:val="center"/>
            <w:hideMark/>
          </w:tcPr>
          <w:p w14:paraId="26ABDC02" w14:textId="77777777" w:rsidR="006536D5" w:rsidRPr="00E72278" w:rsidRDefault="006536D5" w:rsidP="006536D5">
            <w:pPr>
              <w:jc w:val="center"/>
              <w:rPr>
                <w:b/>
                <w:bCs/>
                <w:color w:val="000000"/>
                <w:sz w:val="16"/>
                <w:szCs w:val="16"/>
              </w:rPr>
            </w:pPr>
          </w:p>
        </w:tc>
      </w:tr>
      <w:tr w:rsidR="006536D5" w:rsidRPr="00E72278" w14:paraId="26ABDC0B" w14:textId="77777777" w:rsidTr="006536D5">
        <w:trPr>
          <w:cantSplit/>
          <w:trHeight w:val="840"/>
        </w:trPr>
        <w:tc>
          <w:tcPr>
            <w:tcW w:w="1373" w:type="dxa"/>
            <w:tcBorders>
              <w:top w:val="nil"/>
              <w:left w:val="single" w:sz="8" w:space="0" w:color="auto"/>
              <w:bottom w:val="single" w:sz="8" w:space="0" w:color="auto"/>
              <w:right w:val="single" w:sz="8" w:space="0" w:color="auto"/>
            </w:tcBorders>
            <w:shd w:val="clear" w:color="auto" w:fill="auto"/>
            <w:vAlign w:val="center"/>
          </w:tcPr>
          <w:p w14:paraId="26ABDC04" w14:textId="77777777" w:rsidR="006536D5" w:rsidRPr="00E72278" w:rsidRDefault="006536D5" w:rsidP="006536D5">
            <w:pPr>
              <w:jc w:val="center"/>
              <w:rPr>
                <w:i/>
                <w:iCs/>
                <w:color w:val="000000"/>
                <w:sz w:val="16"/>
                <w:szCs w:val="16"/>
              </w:rPr>
            </w:pPr>
            <w:r>
              <w:rPr>
                <w:i/>
                <w:iCs/>
                <w:color w:val="000000"/>
                <w:sz w:val="16"/>
                <w:szCs w:val="16"/>
              </w:rPr>
              <w:t>Glareola maldivarum</w:t>
            </w:r>
          </w:p>
        </w:tc>
        <w:tc>
          <w:tcPr>
            <w:tcW w:w="1276" w:type="dxa"/>
            <w:tcBorders>
              <w:top w:val="nil"/>
              <w:left w:val="nil"/>
              <w:bottom w:val="single" w:sz="8" w:space="0" w:color="auto"/>
              <w:right w:val="single" w:sz="8" w:space="0" w:color="auto"/>
            </w:tcBorders>
            <w:shd w:val="clear" w:color="auto" w:fill="auto"/>
            <w:vAlign w:val="center"/>
          </w:tcPr>
          <w:p w14:paraId="26ABDC05" w14:textId="77777777" w:rsidR="006536D5" w:rsidRPr="00E72278" w:rsidRDefault="006536D5" w:rsidP="006536D5">
            <w:pPr>
              <w:jc w:val="center"/>
              <w:rPr>
                <w:color w:val="000000"/>
                <w:sz w:val="16"/>
                <w:szCs w:val="16"/>
              </w:rPr>
            </w:pPr>
            <w:r>
              <w:rPr>
                <w:color w:val="000000"/>
                <w:sz w:val="16"/>
                <w:szCs w:val="16"/>
              </w:rPr>
              <w:t>Oriental Pratincole</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C06"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C07" w14:textId="77777777" w:rsidR="006536D5" w:rsidRPr="00E72278" w:rsidRDefault="006536D5" w:rsidP="006536D5">
            <w:pPr>
              <w:jc w:val="center"/>
              <w:rPr>
                <w:color w:val="000000"/>
                <w:sz w:val="16"/>
                <w:szCs w:val="16"/>
              </w:rPr>
            </w:pPr>
          </w:p>
        </w:tc>
        <w:tc>
          <w:tcPr>
            <w:tcW w:w="1102" w:type="dxa"/>
            <w:tcBorders>
              <w:top w:val="nil"/>
              <w:left w:val="nil"/>
              <w:bottom w:val="single" w:sz="8" w:space="0" w:color="auto"/>
              <w:right w:val="single" w:sz="8" w:space="0" w:color="auto"/>
            </w:tcBorders>
            <w:shd w:val="clear" w:color="auto" w:fill="auto"/>
            <w:vAlign w:val="center"/>
          </w:tcPr>
          <w:p w14:paraId="26ABDC08"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C09"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C0A" w14:textId="77777777" w:rsidR="006536D5" w:rsidRPr="00E72278" w:rsidRDefault="006536D5" w:rsidP="006536D5">
            <w:pPr>
              <w:jc w:val="center"/>
              <w:rPr>
                <w:b/>
                <w:bCs/>
                <w:color w:val="000000"/>
                <w:sz w:val="16"/>
                <w:szCs w:val="16"/>
              </w:rPr>
            </w:pPr>
            <w:r>
              <w:rPr>
                <w:color w:val="000000"/>
                <w:sz w:val="16"/>
                <w:szCs w:val="16"/>
              </w:rPr>
              <w:t>No conservation advice or recovery plan required</w:t>
            </w:r>
          </w:p>
        </w:tc>
      </w:tr>
      <w:tr w:rsidR="006536D5" w:rsidRPr="00E72278" w14:paraId="26ABDC13" w14:textId="77777777" w:rsidTr="006536D5">
        <w:trPr>
          <w:cantSplit/>
          <w:trHeight w:val="432"/>
        </w:trPr>
        <w:tc>
          <w:tcPr>
            <w:tcW w:w="1373" w:type="dxa"/>
            <w:tcBorders>
              <w:top w:val="nil"/>
              <w:left w:val="single" w:sz="8" w:space="0" w:color="auto"/>
              <w:bottom w:val="single" w:sz="8" w:space="0" w:color="auto"/>
              <w:right w:val="single" w:sz="8" w:space="0" w:color="auto"/>
            </w:tcBorders>
            <w:shd w:val="clear" w:color="auto" w:fill="auto"/>
            <w:vAlign w:val="center"/>
          </w:tcPr>
          <w:p w14:paraId="26ABDC0C" w14:textId="77777777" w:rsidR="006536D5" w:rsidRPr="00E72278" w:rsidRDefault="006536D5" w:rsidP="006536D5">
            <w:pPr>
              <w:jc w:val="center"/>
              <w:rPr>
                <w:i/>
                <w:iCs/>
                <w:color w:val="000000"/>
                <w:sz w:val="16"/>
                <w:szCs w:val="16"/>
              </w:rPr>
            </w:pPr>
            <w:r>
              <w:rPr>
                <w:i/>
                <w:iCs/>
                <w:color w:val="000000"/>
                <w:sz w:val="16"/>
                <w:szCs w:val="16"/>
              </w:rPr>
              <w:t>Hydroprogne caspia</w:t>
            </w:r>
          </w:p>
        </w:tc>
        <w:tc>
          <w:tcPr>
            <w:tcW w:w="1276" w:type="dxa"/>
            <w:tcBorders>
              <w:top w:val="nil"/>
              <w:left w:val="nil"/>
              <w:bottom w:val="single" w:sz="8" w:space="0" w:color="auto"/>
              <w:right w:val="single" w:sz="8" w:space="0" w:color="auto"/>
            </w:tcBorders>
            <w:shd w:val="clear" w:color="auto" w:fill="auto"/>
            <w:vAlign w:val="center"/>
          </w:tcPr>
          <w:p w14:paraId="26ABDC0D" w14:textId="77777777" w:rsidR="006536D5" w:rsidRPr="00E72278" w:rsidRDefault="006536D5" w:rsidP="006536D5">
            <w:pPr>
              <w:jc w:val="center"/>
              <w:rPr>
                <w:color w:val="000000"/>
                <w:sz w:val="16"/>
                <w:szCs w:val="16"/>
              </w:rPr>
            </w:pPr>
            <w:r>
              <w:rPr>
                <w:color w:val="000000"/>
                <w:sz w:val="16"/>
                <w:szCs w:val="16"/>
              </w:rPr>
              <w:t>Caspian Tern</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C0E"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C0F" w14:textId="77777777" w:rsidR="006536D5" w:rsidRPr="00E72278" w:rsidRDefault="006536D5" w:rsidP="006536D5">
            <w:pPr>
              <w:jc w:val="center"/>
              <w:rPr>
                <w:color w:val="000000"/>
                <w:sz w:val="16"/>
                <w:szCs w:val="16"/>
              </w:rPr>
            </w:pPr>
          </w:p>
        </w:tc>
        <w:tc>
          <w:tcPr>
            <w:tcW w:w="1102" w:type="dxa"/>
            <w:tcBorders>
              <w:top w:val="nil"/>
              <w:left w:val="nil"/>
              <w:bottom w:val="single" w:sz="8" w:space="0" w:color="auto"/>
              <w:right w:val="single" w:sz="8" w:space="0" w:color="auto"/>
            </w:tcBorders>
            <w:shd w:val="clear" w:color="auto" w:fill="auto"/>
            <w:vAlign w:val="center"/>
          </w:tcPr>
          <w:p w14:paraId="26ABDC10"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C11"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C12" w14:textId="77777777" w:rsidR="006536D5" w:rsidRPr="00E72278" w:rsidRDefault="006536D5" w:rsidP="006536D5">
            <w:pPr>
              <w:jc w:val="center"/>
              <w:rPr>
                <w:b/>
                <w:bCs/>
                <w:color w:val="000000"/>
                <w:sz w:val="16"/>
                <w:szCs w:val="16"/>
              </w:rPr>
            </w:pPr>
            <w:r>
              <w:rPr>
                <w:color w:val="000000"/>
                <w:sz w:val="16"/>
                <w:szCs w:val="16"/>
              </w:rPr>
              <w:t>No conservation advice or recovery plan required</w:t>
            </w:r>
          </w:p>
        </w:tc>
      </w:tr>
      <w:tr w:rsidR="006536D5" w:rsidRPr="00E72278" w14:paraId="26ABDC1B" w14:textId="77777777" w:rsidTr="006536D5">
        <w:trPr>
          <w:cantSplit/>
          <w:trHeight w:val="432"/>
        </w:trPr>
        <w:tc>
          <w:tcPr>
            <w:tcW w:w="1373" w:type="dxa"/>
            <w:tcBorders>
              <w:top w:val="nil"/>
              <w:left w:val="single" w:sz="8" w:space="0" w:color="auto"/>
              <w:bottom w:val="single" w:sz="8" w:space="0" w:color="auto"/>
              <w:right w:val="single" w:sz="8" w:space="0" w:color="auto"/>
            </w:tcBorders>
            <w:shd w:val="clear" w:color="auto" w:fill="auto"/>
            <w:vAlign w:val="center"/>
          </w:tcPr>
          <w:p w14:paraId="26ABDC14" w14:textId="77777777" w:rsidR="006536D5" w:rsidRPr="00E72278" w:rsidRDefault="006536D5" w:rsidP="006536D5">
            <w:pPr>
              <w:jc w:val="center"/>
              <w:rPr>
                <w:i/>
                <w:iCs/>
                <w:color w:val="000000"/>
                <w:sz w:val="16"/>
                <w:szCs w:val="16"/>
              </w:rPr>
            </w:pPr>
            <w:r>
              <w:rPr>
                <w:i/>
                <w:iCs/>
                <w:color w:val="000000"/>
                <w:sz w:val="16"/>
                <w:szCs w:val="16"/>
              </w:rPr>
              <w:t>Limosa lapponica</w:t>
            </w:r>
          </w:p>
        </w:tc>
        <w:tc>
          <w:tcPr>
            <w:tcW w:w="1276" w:type="dxa"/>
            <w:tcBorders>
              <w:top w:val="nil"/>
              <w:left w:val="nil"/>
              <w:bottom w:val="single" w:sz="8" w:space="0" w:color="auto"/>
              <w:right w:val="single" w:sz="8" w:space="0" w:color="auto"/>
            </w:tcBorders>
            <w:shd w:val="clear" w:color="auto" w:fill="auto"/>
            <w:vAlign w:val="center"/>
          </w:tcPr>
          <w:p w14:paraId="26ABDC15" w14:textId="77777777" w:rsidR="006536D5" w:rsidRPr="00E72278" w:rsidRDefault="006536D5" w:rsidP="006536D5">
            <w:pPr>
              <w:jc w:val="center"/>
              <w:rPr>
                <w:color w:val="000000"/>
                <w:sz w:val="16"/>
                <w:szCs w:val="16"/>
              </w:rPr>
            </w:pPr>
            <w:r>
              <w:rPr>
                <w:color w:val="000000"/>
                <w:sz w:val="16"/>
                <w:szCs w:val="16"/>
              </w:rPr>
              <w:t>Bar-tailed Godwit</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C16"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C17" w14:textId="77777777" w:rsidR="006536D5" w:rsidRPr="00E72278" w:rsidRDefault="006536D5" w:rsidP="006536D5">
            <w:pPr>
              <w:jc w:val="center"/>
              <w:rPr>
                <w:color w:val="000000"/>
                <w:sz w:val="16"/>
                <w:szCs w:val="16"/>
              </w:rPr>
            </w:pPr>
            <w:r>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tcPr>
          <w:p w14:paraId="26ABDC18"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C19"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C1A" w14:textId="77777777" w:rsidR="006536D5" w:rsidRPr="00E72278" w:rsidRDefault="006536D5" w:rsidP="006536D5">
            <w:pPr>
              <w:jc w:val="center"/>
              <w:rPr>
                <w:b/>
                <w:bCs/>
                <w:color w:val="000000"/>
                <w:sz w:val="16"/>
                <w:szCs w:val="16"/>
              </w:rPr>
            </w:pPr>
            <w:r>
              <w:rPr>
                <w:color w:val="000000"/>
                <w:sz w:val="16"/>
                <w:szCs w:val="16"/>
              </w:rPr>
              <w:t>No conservation advice or recovery plan required</w:t>
            </w:r>
          </w:p>
        </w:tc>
      </w:tr>
      <w:tr w:rsidR="006536D5" w:rsidRPr="00E72278" w14:paraId="26ABDC23" w14:textId="77777777" w:rsidTr="006536D5">
        <w:trPr>
          <w:cantSplit/>
          <w:trHeight w:val="432"/>
        </w:trPr>
        <w:tc>
          <w:tcPr>
            <w:tcW w:w="1373" w:type="dxa"/>
            <w:tcBorders>
              <w:top w:val="nil"/>
              <w:left w:val="single" w:sz="8" w:space="0" w:color="auto"/>
              <w:bottom w:val="single" w:sz="8" w:space="0" w:color="auto"/>
              <w:right w:val="single" w:sz="8" w:space="0" w:color="auto"/>
            </w:tcBorders>
            <w:shd w:val="clear" w:color="auto" w:fill="auto"/>
            <w:vAlign w:val="center"/>
          </w:tcPr>
          <w:p w14:paraId="26ABDC1C" w14:textId="77777777" w:rsidR="006536D5" w:rsidRPr="00E72278" w:rsidRDefault="006536D5" w:rsidP="006536D5">
            <w:pPr>
              <w:jc w:val="center"/>
              <w:rPr>
                <w:i/>
                <w:iCs/>
                <w:color w:val="000000"/>
                <w:sz w:val="16"/>
                <w:szCs w:val="16"/>
              </w:rPr>
            </w:pPr>
            <w:r>
              <w:rPr>
                <w:i/>
                <w:iCs/>
                <w:color w:val="000000"/>
                <w:sz w:val="16"/>
                <w:szCs w:val="16"/>
              </w:rPr>
              <w:t>Motacilla cinerea</w:t>
            </w:r>
          </w:p>
        </w:tc>
        <w:tc>
          <w:tcPr>
            <w:tcW w:w="1276" w:type="dxa"/>
            <w:tcBorders>
              <w:top w:val="nil"/>
              <w:left w:val="nil"/>
              <w:bottom w:val="single" w:sz="8" w:space="0" w:color="auto"/>
              <w:right w:val="single" w:sz="8" w:space="0" w:color="auto"/>
            </w:tcBorders>
            <w:shd w:val="clear" w:color="auto" w:fill="auto"/>
            <w:vAlign w:val="center"/>
          </w:tcPr>
          <w:p w14:paraId="26ABDC1D" w14:textId="77777777" w:rsidR="006536D5" w:rsidRPr="00E72278" w:rsidRDefault="006536D5" w:rsidP="006536D5">
            <w:pPr>
              <w:jc w:val="center"/>
              <w:rPr>
                <w:color w:val="000000"/>
                <w:sz w:val="16"/>
                <w:szCs w:val="16"/>
              </w:rPr>
            </w:pPr>
            <w:r>
              <w:rPr>
                <w:color w:val="000000"/>
                <w:sz w:val="16"/>
                <w:szCs w:val="16"/>
              </w:rPr>
              <w:t>Grey Wagtail</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C1E"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C1F" w14:textId="77777777" w:rsidR="006536D5" w:rsidRPr="00E72278" w:rsidRDefault="006536D5" w:rsidP="006536D5">
            <w:pPr>
              <w:jc w:val="center"/>
              <w:rPr>
                <w:color w:val="000000"/>
                <w:sz w:val="16"/>
                <w:szCs w:val="16"/>
              </w:rPr>
            </w:pPr>
          </w:p>
        </w:tc>
        <w:tc>
          <w:tcPr>
            <w:tcW w:w="1102" w:type="dxa"/>
            <w:tcBorders>
              <w:top w:val="nil"/>
              <w:left w:val="nil"/>
              <w:bottom w:val="single" w:sz="8" w:space="0" w:color="auto"/>
              <w:right w:val="single" w:sz="8" w:space="0" w:color="auto"/>
            </w:tcBorders>
            <w:shd w:val="clear" w:color="auto" w:fill="auto"/>
            <w:vAlign w:val="center"/>
          </w:tcPr>
          <w:p w14:paraId="26ABDC20"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C21"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C22" w14:textId="77777777" w:rsidR="006536D5" w:rsidRPr="00E72278" w:rsidRDefault="006536D5" w:rsidP="006536D5">
            <w:pPr>
              <w:jc w:val="center"/>
              <w:rPr>
                <w:b/>
                <w:bCs/>
                <w:color w:val="000000"/>
                <w:sz w:val="16"/>
                <w:szCs w:val="16"/>
              </w:rPr>
            </w:pPr>
            <w:r>
              <w:rPr>
                <w:color w:val="000000"/>
                <w:sz w:val="16"/>
                <w:szCs w:val="16"/>
              </w:rPr>
              <w:t>No conservation advice or recovery plan required</w:t>
            </w:r>
          </w:p>
        </w:tc>
      </w:tr>
      <w:tr w:rsidR="006536D5" w:rsidRPr="00E72278" w14:paraId="26ABDC2C" w14:textId="77777777" w:rsidTr="006536D5">
        <w:trPr>
          <w:cantSplit/>
          <w:trHeight w:val="432"/>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C24" w14:textId="77777777" w:rsidR="006536D5" w:rsidRPr="00E72278" w:rsidRDefault="006536D5" w:rsidP="006536D5">
            <w:pPr>
              <w:jc w:val="center"/>
              <w:rPr>
                <w:i/>
                <w:iCs/>
                <w:color w:val="000000"/>
                <w:sz w:val="16"/>
                <w:szCs w:val="16"/>
              </w:rPr>
            </w:pPr>
            <w:r w:rsidRPr="00E72278">
              <w:rPr>
                <w:i/>
                <w:iCs/>
                <w:color w:val="000000"/>
                <w:sz w:val="16"/>
                <w:szCs w:val="16"/>
              </w:rPr>
              <w:t>Nannatherina balstoni</w:t>
            </w:r>
          </w:p>
        </w:tc>
        <w:tc>
          <w:tcPr>
            <w:tcW w:w="1276" w:type="dxa"/>
            <w:tcBorders>
              <w:top w:val="nil"/>
              <w:left w:val="nil"/>
              <w:bottom w:val="single" w:sz="8" w:space="0" w:color="auto"/>
              <w:right w:val="single" w:sz="8" w:space="0" w:color="auto"/>
            </w:tcBorders>
            <w:shd w:val="clear" w:color="auto" w:fill="auto"/>
            <w:vAlign w:val="center"/>
            <w:hideMark/>
          </w:tcPr>
          <w:p w14:paraId="26ABDC25" w14:textId="77777777" w:rsidR="006536D5" w:rsidRPr="00E72278" w:rsidRDefault="006536D5" w:rsidP="006536D5">
            <w:pPr>
              <w:jc w:val="center"/>
              <w:rPr>
                <w:color w:val="000000"/>
                <w:sz w:val="16"/>
                <w:szCs w:val="16"/>
              </w:rPr>
            </w:pPr>
            <w:r w:rsidRPr="00E72278">
              <w:rPr>
                <w:color w:val="000000"/>
                <w:sz w:val="16"/>
                <w:szCs w:val="16"/>
              </w:rPr>
              <w:t>Balston's pygmy perch</w:t>
            </w:r>
          </w:p>
        </w:tc>
        <w:tc>
          <w:tcPr>
            <w:tcW w:w="1068" w:type="dxa"/>
            <w:tcBorders>
              <w:top w:val="nil"/>
              <w:left w:val="nil"/>
              <w:bottom w:val="single" w:sz="8" w:space="0" w:color="auto"/>
              <w:right w:val="single" w:sz="8" w:space="0" w:color="auto"/>
            </w:tcBorders>
            <w:shd w:val="clear" w:color="auto" w:fill="auto"/>
            <w:vAlign w:val="center"/>
            <w:hideMark/>
          </w:tcPr>
          <w:p w14:paraId="26ABDC26"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C27"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hideMark/>
          </w:tcPr>
          <w:p w14:paraId="26ABDC28"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C29"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736" w:type="dxa"/>
            <w:tcBorders>
              <w:top w:val="nil"/>
              <w:left w:val="nil"/>
              <w:bottom w:val="single" w:sz="8" w:space="0" w:color="auto"/>
              <w:right w:val="single" w:sz="8" w:space="0" w:color="auto"/>
            </w:tcBorders>
            <w:shd w:val="clear" w:color="auto" w:fill="auto"/>
            <w:vAlign w:val="center"/>
            <w:hideMark/>
          </w:tcPr>
          <w:p w14:paraId="26ABDC2A" w14:textId="77777777" w:rsidR="006536D5" w:rsidRDefault="006536D5" w:rsidP="006536D5">
            <w:pPr>
              <w:jc w:val="center"/>
              <w:rPr>
                <w:color w:val="000000"/>
                <w:sz w:val="16"/>
                <w:szCs w:val="16"/>
              </w:rPr>
            </w:pPr>
            <w:r>
              <w:rPr>
                <w:color w:val="000000"/>
                <w:sz w:val="16"/>
                <w:szCs w:val="16"/>
              </w:rPr>
              <w:t>No recovery plan required</w:t>
            </w:r>
          </w:p>
          <w:p w14:paraId="26ABDC2B" w14:textId="77777777" w:rsidR="006536D5" w:rsidRPr="00E72278" w:rsidRDefault="006536D5" w:rsidP="006536D5">
            <w:pPr>
              <w:jc w:val="center"/>
              <w:rPr>
                <w:b/>
                <w:bCs/>
                <w:color w:val="000000"/>
                <w:sz w:val="16"/>
                <w:szCs w:val="16"/>
              </w:rPr>
            </w:pPr>
            <w:r>
              <w:rPr>
                <w:color w:val="000000"/>
                <w:sz w:val="16"/>
                <w:szCs w:val="16"/>
              </w:rPr>
              <w:t>Conservation advice approved 3/7/2008</w:t>
            </w:r>
          </w:p>
        </w:tc>
      </w:tr>
      <w:tr w:rsidR="006536D5" w:rsidRPr="00E72278" w14:paraId="26ABDC34" w14:textId="77777777" w:rsidTr="006536D5">
        <w:trPr>
          <w:cantSplit/>
          <w:trHeight w:val="432"/>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C2D" w14:textId="77777777" w:rsidR="006536D5" w:rsidRPr="00E72278" w:rsidRDefault="006536D5" w:rsidP="006536D5">
            <w:pPr>
              <w:jc w:val="center"/>
              <w:rPr>
                <w:i/>
                <w:iCs/>
                <w:color w:val="000000"/>
                <w:sz w:val="16"/>
                <w:szCs w:val="16"/>
              </w:rPr>
            </w:pPr>
            <w:r w:rsidRPr="00E72278">
              <w:rPr>
                <w:i/>
                <w:iCs/>
                <w:color w:val="000000"/>
                <w:sz w:val="16"/>
                <w:szCs w:val="16"/>
              </w:rPr>
              <w:t>Nannoperca pygmaea</w:t>
            </w:r>
          </w:p>
        </w:tc>
        <w:tc>
          <w:tcPr>
            <w:tcW w:w="1276" w:type="dxa"/>
            <w:tcBorders>
              <w:top w:val="nil"/>
              <w:left w:val="nil"/>
              <w:bottom w:val="single" w:sz="8" w:space="0" w:color="auto"/>
              <w:right w:val="single" w:sz="8" w:space="0" w:color="auto"/>
            </w:tcBorders>
            <w:shd w:val="clear" w:color="auto" w:fill="auto"/>
            <w:vAlign w:val="center"/>
            <w:hideMark/>
          </w:tcPr>
          <w:p w14:paraId="26ABDC2E" w14:textId="77777777" w:rsidR="006536D5" w:rsidRPr="00E72278" w:rsidRDefault="006536D5" w:rsidP="006536D5">
            <w:pPr>
              <w:jc w:val="center"/>
              <w:rPr>
                <w:color w:val="000000"/>
                <w:sz w:val="16"/>
                <w:szCs w:val="16"/>
              </w:rPr>
            </w:pPr>
            <w:r>
              <w:rPr>
                <w:color w:val="000000"/>
                <w:sz w:val="16"/>
                <w:szCs w:val="16"/>
              </w:rPr>
              <w:t>L</w:t>
            </w:r>
            <w:r w:rsidRPr="00E72278">
              <w:rPr>
                <w:color w:val="000000"/>
                <w:sz w:val="16"/>
                <w:szCs w:val="16"/>
              </w:rPr>
              <w:t>ittle pygmy perch</w:t>
            </w:r>
          </w:p>
        </w:tc>
        <w:tc>
          <w:tcPr>
            <w:tcW w:w="1068" w:type="dxa"/>
            <w:tcBorders>
              <w:top w:val="nil"/>
              <w:left w:val="nil"/>
              <w:bottom w:val="single" w:sz="8" w:space="0" w:color="auto"/>
              <w:right w:val="single" w:sz="8" w:space="0" w:color="auto"/>
            </w:tcBorders>
            <w:shd w:val="clear" w:color="auto" w:fill="auto"/>
            <w:vAlign w:val="center"/>
            <w:hideMark/>
          </w:tcPr>
          <w:p w14:paraId="26ABDC2F"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C30"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tcBorders>
              <w:top w:val="nil"/>
              <w:left w:val="nil"/>
              <w:bottom w:val="single" w:sz="8" w:space="0" w:color="auto"/>
              <w:right w:val="single" w:sz="8" w:space="0" w:color="auto"/>
            </w:tcBorders>
            <w:shd w:val="clear" w:color="auto" w:fill="auto"/>
            <w:vAlign w:val="center"/>
            <w:hideMark/>
          </w:tcPr>
          <w:p w14:paraId="26ABDC31"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C32" w14:textId="77777777" w:rsidR="006536D5" w:rsidRPr="00E72278" w:rsidRDefault="006536D5" w:rsidP="006536D5">
            <w:pPr>
              <w:jc w:val="center"/>
              <w:rPr>
                <w:color w:val="000000"/>
                <w:sz w:val="16"/>
                <w:szCs w:val="16"/>
              </w:rPr>
            </w:pPr>
            <w:r w:rsidRPr="00E72278">
              <w:rPr>
                <w:color w:val="000000"/>
                <w:sz w:val="16"/>
                <w:szCs w:val="16"/>
              </w:rPr>
              <w:t>Not listed</w:t>
            </w:r>
          </w:p>
        </w:tc>
        <w:tc>
          <w:tcPr>
            <w:tcW w:w="1736" w:type="dxa"/>
            <w:tcBorders>
              <w:top w:val="nil"/>
              <w:left w:val="nil"/>
              <w:bottom w:val="single" w:sz="4" w:space="0" w:color="auto"/>
              <w:right w:val="single" w:sz="8" w:space="0" w:color="auto"/>
            </w:tcBorders>
            <w:shd w:val="clear" w:color="auto" w:fill="auto"/>
            <w:vAlign w:val="center"/>
            <w:hideMark/>
          </w:tcPr>
          <w:p w14:paraId="26ABDC33" w14:textId="77777777" w:rsidR="006536D5" w:rsidRPr="00E72278" w:rsidRDefault="006536D5" w:rsidP="006536D5">
            <w:pPr>
              <w:jc w:val="center"/>
              <w:rPr>
                <w:b/>
                <w:bCs/>
                <w:color w:val="000000"/>
                <w:sz w:val="16"/>
                <w:szCs w:val="16"/>
              </w:rPr>
            </w:pPr>
          </w:p>
        </w:tc>
      </w:tr>
      <w:tr w:rsidR="006536D5" w:rsidRPr="00E72278" w14:paraId="26ABDC3C" w14:textId="77777777" w:rsidTr="006536D5">
        <w:trPr>
          <w:cantSplit/>
          <w:trHeight w:val="264"/>
        </w:trPr>
        <w:tc>
          <w:tcPr>
            <w:tcW w:w="1373" w:type="dxa"/>
            <w:tcBorders>
              <w:top w:val="nil"/>
              <w:left w:val="single" w:sz="8" w:space="0" w:color="auto"/>
              <w:bottom w:val="single" w:sz="8" w:space="0" w:color="000000"/>
              <w:right w:val="single" w:sz="8" w:space="0" w:color="auto"/>
            </w:tcBorders>
            <w:shd w:val="clear" w:color="auto" w:fill="auto"/>
            <w:vAlign w:val="center"/>
          </w:tcPr>
          <w:p w14:paraId="26ABDC35" w14:textId="77777777" w:rsidR="006536D5" w:rsidRPr="00E72278" w:rsidRDefault="006536D5" w:rsidP="006536D5">
            <w:pPr>
              <w:jc w:val="center"/>
              <w:rPr>
                <w:i/>
                <w:iCs/>
                <w:color w:val="000000"/>
                <w:sz w:val="16"/>
                <w:szCs w:val="16"/>
              </w:rPr>
            </w:pPr>
            <w:r>
              <w:rPr>
                <w:i/>
                <w:iCs/>
                <w:color w:val="000000"/>
                <w:sz w:val="16"/>
                <w:szCs w:val="16"/>
              </w:rPr>
              <w:lastRenderedPageBreak/>
              <w:t>Onychoprion anaethetus</w:t>
            </w:r>
          </w:p>
        </w:tc>
        <w:tc>
          <w:tcPr>
            <w:tcW w:w="1276" w:type="dxa"/>
            <w:tcBorders>
              <w:top w:val="nil"/>
              <w:left w:val="single" w:sz="8" w:space="0" w:color="auto"/>
              <w:bottom w:val="single" w:sz="8" w:space="0" w:color="000000"/>
              <w:right w:val="single" w:sz="8" w:space="0" w:color="auto"/>
            </w:tcBorders>
            <w:shd w:val="clear" w:color="auto" w:fill="auto"/>
            <w:vAlign w:val="center"/>
          </w:tcPr>
          <w:p w14:paraId="26ABDC36" w14:textId="77777777" w:rsidR="006536D5" w:rsidRPr="00E72278" w:rsidRDefault="006536D5" w:rsidP="006536D5">
            <w:pPr>
              <w:jc w:val="center"/>
              <w:rPr>
                <w:color w:val="000000"/>
                <w:sz w:val="16"/>
                <w:szCs w:val="16"/>
              </w:rPr>
            </w:pPr>
            <w:r>
              <w:rPr>
                <w:color w:val="000000"/>
                <w:sz w:val="16"/>
                <w:szCs w:val="16"/>
              </w:rPr>
              <w:t>Bridled Tern</w:t>
            </w:r>
            <w:r w:rsidRPr="00132B84">
              <w:rPr>
                <w:color w:val="008080"/>
                <w:sz w:val="16"/>
                <w:szCs w:val="16"/>
                <w:u w:val="single"/>
                <w:vertAlign w:val="superscript"/>
              </w:rPr>
              <w:t>1</w:t>
            </w: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C37" w14:textId="77777777" w:rsidR="006536D5" w:rsidRPr="00E72278" w:rsidRDefault="006536D5" w:rsidP="006536D5">
            <w:pPr>
              <w:jc w:val="center"/>
              <w:rPr>
                <w:color w:val="000000"/>
                <w:sz w:val="16"/>
                <w:szCs w:val="16"/>
              </w:rPr>
            </w:pP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C38" w14:textId="77777777" w:rsidR="006536D5" w:rsidRPr="00E72278" w:rsidRDefault="006536D5" w:rsidP="006536D5">
            <w:pPr>
              <w:jc w:val="center"/>
              <w:rPr>
                <w:color w:val="000000"/>
                <w:sz w:val="16"/>
                <w:szCs w:val="16"/>
              </w:rPr>
            </w:pPr>
          </w:p>
        </w:tc>
        <w:tc>
          <w:tcPr>
            <w:tcW w:w="1102" w:type="dxa"/>
            <w:tcBorders>
              <w:top w:val="nil"/>
              <w:left w:val="single" w:sz="8" w:space="0" w:color="auto"/>
              <w:bottom w:val="single" w:sz="8" w:space="0" w:color="000000"/>
              <w:right w:val="single" w:sz="8" w:space="0" w:color="auto"/>
            </w:tcBorders>
            <w:shd w:val="clear" w:color="auto" w:fill="auto"/>
            <w:vAlign w:val="center"/>
          </w:tcPr>
          <w:p w14:paraId="26ABDC39" w14:textId="77777777" w:rsidR="006536D5" w:rsidRPr="00E72278" w:rsidRDefault="006536D5" w:rsidP="006536D5">
            <w:pPr>
              <w:jc w:val="center"/>
              <w:rPr>
                <w:color w:val="000000"/>
                <w:sz w:val="16"/>
                <w:szCs w:val="16"/>
              </w:rPr>
            </w:pPr>
          </w:p>
        </w:tc>
        <w:tc>
          <w:tcPr>
            <w:tcW w:w="1330" w:type="dxa"/>
            <w:tcBorders>
              <w:top w:val="nil"/>
              <w:left w:val="single" w:sz="8" w:space="0" w:color="auto"/>
              <w:bottom w:val="single" w:sz="8" w:space="0" w:color="000000"/>
              <w:right w:val="single" w:sz="4" w:space="0" w:color="auto"/>
            </w:tcBorders>
            <w:shd w:val="clear" w:color="auto" w:fill="auto"/>
            <w:vAlign w:val="center"/>
          </w:tcPr>
          <w:p w14:paraId="26ABDC3A"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26ABDC3B" w14:textId="77777777" w:rsidR="006536D5" w:rsidRPr="00E72278" w:rsidRDefault="006536D5" w:rsidP="006536D5">
            <w:pPr>
              <w:jc w:val="center"/>
              <w:rPr>
                <w:color w:val="000000"/>
                <w:sz w:val="16"/>
                <w:szCs w:val="16"/>
              </w:rPr>
            </w:pPr>
            <w:r>
              <w:rPr>
                <w:color w:val="000000"/>
                <w:sz w:val="16"/>
                <w:szCs w:val="16"/>
              </w:rPr>
              <w:t>No conservation advice or recovery plan required</w:t>
            </w:r>
          </w:p>
        </w:tc>
      </w:tr>
      <w:tr w:rsidR="006536D5" w:rsidRPr="00E72278" w14:paraId="26ABDC44" w14:textId="77777777" w:rsidTr="00A90358">
        <w:trPr>
          <w:cantSplit/>
          <w:trHeight w:val="264"/>
        </w:trPr>
        <w:tc>
          <w:tcPr>
            <w:tcW w:w="1373" w:type="dxa"/>
            <w:tcBorders>
              <w:top w:val="nil"/>
              <w:left w:val="single" w:sz="8" w:space="0" w:color="auto"/>
              <w:bottom w:val="single" w:sz="8" w:space="0" w:color="000000"/>
              <w:right w:val="single" w:sz="8" w:space="0" w:color="auto"/>
            </w:tcBorders>
            <w:shd w:val="clear" w:color="auto" w:fill="auto"/>
            <w:vAlign w:val="center"/>
          </w:tcPr>
          <w:p w14:paraId="26ABDC3D" w14:textId="77777777" w:rsidR="006536D5" w:rsidRPr="00E72278" w:rsidRDefault="006536D5" w:rsidP="006536D5">
            <w:pPr>
              <w:jc w:val="center"/>
              <w:rPr>
                <w:i/>
                <w:iCs/>
                <w:color w:val="000000"/>
                <w:sz w:val="16"/>
                <w:szCs w:val="16"/>
              </w:rPr>
            </w:pPr>
            <w:r>
              <w:rPr>
                <w:i/>
                <w:iCs/>
                <w:color w:val="000000"/>
                <w:sz w:val="16"/>
                <w:szCs w:val="16"/>
              </w:rPr>
              <w:t>Pandion cristatus</w:t>
            </w:r>
          </w:p>
        </w:tc>
        <w:tc>
          <w:tcPr>
            <w:tcW w:w="1276" w:type="dxa"/>
            <w:tcBorders>
              <w:top w:val="nil"/>
              <w:left w:val="single" w:sz="8" w:space="0" w:color="auto"/>
              <w:bottom w:val="single" w:sz="8" w:space="0" w:color="000000"/>
              <w:right w:val="single" w:sz="8" w:space="0" w:color="auto"/>
            </w:tcBorders>
            <w:shd w:val="clear" w:color="auto" w:fill="auto"/>
            <w:vAlign w:val="center"/>
          </w:tcPr>
          <w:p w14:paraId="26ABDC3E" w14:textId="77777777" w:rsidR="006536D5" w:rsidRPr="00E72278" w:rsidRDefault="006536D5" w:rsidP="006536D5">
            <w:pPr>
              <w:jc w:val="center"/>
              <w:rPr>
                <w:color w:val="000000"/>
                <w:sz w:val="16"/>
                <w:szCs w:val="16"/>
              </w:rPr>
            </w:pPr>
            <w:r>
              <w:rPr>
                <w:color w:val="000000"/>
                <w:sz w:val="16"/>
                <w:szCs w:val="16"/>
              </w:rPr>
              <w:t>Eastern Osprey</w:t>
            </w:r>
            <w:r w:rsidRPr="00132B84">
              <w:rPr>
                <w:color w:val="008080"/>
                <w:sz w:val="16"/>
                <w:szCs w:val="16"/>
                <w:u w:val="single"/>
                <w:vertAlign w:val="superscript"/>
              </w:rPr>
              <w:t>1</w:t>
            </w: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C3F" w14:textId="77777777" w:rsidR="006536D5" w:rsidRPr="00E72278" w:rsidRDefault="006536D5" w:rsidP="006536D5">
            <w:pPr>
              <w:jc w:val="center"/>
              <w:rPr>
                <w:color w:val="000000"/>
                <w:sz w:val="16"/>
                <w:szCs w:val="16"/>
              </w:rPr>
            </w:pPr>
          </w:p>
        </w:tc>
        <w:tc>
          <w:tcPr>
            <w:tcW w:w="1068" w:type="dxa"/>
            <w:tcBorders>
              <w:top w:val="nil"/>
              <w:left w:val="single" w:sz="8" w:space="0" w:color="auto"/>
              <w:bottom w:val="single" w:sz="8" w:space="0" w:color="000000"/>
              <w:right w:val="single" w:sz="8" w:space="0" w:color="auto"/>
            </w:tcBorders>
            <w:shd w:val="clear" w:color="auto" w:fill="auto"/>
            <w:vAlign w:val="center"/>
          </w:tcPr>
          <w:p w14:paraId="26ABDC40" w14:textId="77777777" w:rsidR="006536D5" w:rsidRPr="00E72278" w:rsidRDefault="006536D5" w:rsidP="006536D5">
            <w:pPr>
              <w:jc w:val="center"/>
              <w:rPr>
                <w:color w:val="000000"/>
                <w:sz w:val="16"/>
                <w:szCs w:val="16"/>
              </w:rPr>
            </w:pPr>
          </w:p>
        </w:tc>
        <w:tc>
          <w:tcPr>
            <w:tcW w:w="1102" w:type="dxa"/>
            <w:tcBorders>
              <w:top w:val="nil"/>
              <w:left w:val="single" w:sz="8" w:space="0" w:color="auto"/>
              <w:bottom w:val="single" w:sz="8" w:space="0" w:color="000000"/>
              <w:right w:val="single" w:sz="8" w:space="0" w:color="auto"/>
            </w:tcBorders>
            <w:shd w:val="clear" w:color="auto" w:fill="auto"/>
            <w:vAlign w:val="center"/>
          </w:tcPr>
          <w:p w14:paraId="26ABDC41" w14:textId="77777777" w:rsidR="006536D5" w:rsidRPr="00E72278" w:rsidRDefault="006536D5" w:rsidP="006536D5">
            <w:pPr>
              <w:jc w:val="center"/>
              <w:rPr>
                <w:color w:val="000000"/>
                <w:sz w:val="16"/>
                <w:szCs w:val="16"/>
              </w:rPr>
            </w:pPr>
          </w:p>
        </w:tc>
        <w:tc>
          <w:tcPr>
            <w:tcW w:w="1330" w:type="dxa"/>
            <w:tcBorders>
              <w:top w:val="nil"/>
              <w:left w:val="single" w:sz="8" w:space="0" w:color="auto"/>
              <w:bottom w:val="single" w:sz="8" w:space="0" w:color="000000"/>
              <w:right w:val="single" w:sz="8" w:space="0" w:color="auto"/>
            </w:tcBorders>
            <w:shd w:val="clear" w:color="auto" w:fill="auto"/>
            <w:vAlign w:val="center"/>
          </w:tcPr>
          <w:p w14:paraId="26ABDC42"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single" w:sz="4" w:space="0" w:color="auto"/>
              <w:left w:val="nil"/>
              <w:bottom w:val="nil"/>
              <w:right w:val="single" w:sz="8" w:space="0" w:color="auto"/>
            </w:tcBorders>
            <w:shd w:val="clear" w:color="auto" w:fill="auto"/>
            <w:vAlign w:val="center"/>
          </w:tcPr>
          <w:p w14:paraId="26ABDC43" w14:textId="77777777" w:rsidR="006536D5" w:rsidRPr="00E72278" w:rsidRDefault="006536D5" w:rsidP="006536D5">
            <w:pPr>
              <w:jc w:val="center"/>
              <w:rPr>
                <w:color w:val="000000"/>
                <w:sz w:val="16"/>
                <w:szCs w:val="16"/>
              </w:rPr>
            </w:pPr>
            <w:r>
              <w:rPr>
                <w:color w:val="000000"/>
                <w:sz w:val="16"/>
                <w:szCs w:val="16"/>
              </w:rPr>
              <w:t>No conservation advice or recovery plan required</w:t>
            </w:r>
          </w:p>
        </w:tc>
      </w:tr>
      <w:tr w:rsidR="006536D5" w:rsidRPr="00E72278" w14:paraId="26ABDC4C" w14:textId="77777777" w:rsidTr="006536D5">
        <w:trPr>
          <w:cantSplit/>
          <w:trHeight w:val="636"/>
        </w:trPr>
        <w:tc>
          <w:tcPr>
            <w:tcW w:w="1373" w:type="dxa"/>
            <w:tcBorders>
              <w:top w:val="nil"/>
              <w:left w:val="single" w:sz="8" w:space="0" w:color="auto"/>
              <w:bottom w:val="single" w:sz="8" w:space="0" w:color="auto"/>
              <w:right w:val="single" w:sz="8" w:space="0" w:color="auto"/>
            </w:tcBorders>
            <w:shd w:val="clear" w:color="auto" w:fill="auto"/>
            <w:vAlign w:val="center"/>
          </w:tcPr>
          <w:p w14:paraId="26ABDC45" w14:textId="77777777" w:rsidR="006536D5" w:rsidRPr="00E72278" w:rsidRDefault="006536D5" w:rsidP="006536D5">
            <w:pPr>
              <w:jc w:val="center"/>
              <w:rPr>
                <w:i/>
                <w:iCs/>
                <w:color w:val="000000"/>
                <w:sz w:val="16"/>
                <w:szCs w:val="16"/>
              </w:rPr>
            </w:pPr>
            <w:r>
              <w:rPr>
                <w:i/>
                <w:iCs/>
                <w:color w:val="000000"/>
                <w:sz w:val="16"/>
                <w:szCs w:val="16"/>
              </w:rPr>
              <w:t>Tringa nebularia</w:t>
            </w:r>
          </w:p>
        </w:tc>
        <w:tc>
          <w:tcPr>
            <w:tcW w:w="1276" w:type="dxa"/>
            <w:tcBorders>
              <w:top w:val="nil"/>
              <w:left w:val="nil"/>
              <w:bottom w:val="single" w:sz="8" w:space="0" w:color="auto"/>
              <w:right w:val="single" w:sz="8" w:space="0" w:color="auto"/>
            </w:tcBorders>
            <w:shd w:val="clear" w:color="auto" w:fill="auto"/>
            <w:vAlign w:val="center"/>
          </w:tcPr>
          <w:p w14:paraId="26ABDC46" w14:textId="77777777" w:rsidR="006536D5" w:rsidRPr="00E72278" w:rsidRDefault="006536D5" w:rsidP="006536D5">
            <w:pPr>
              <w:jc w:val="center"/>
              <w:rPr>
                <w:color w:val="000000"/>
                <w:sz w:val="16"/>
                <w:szCs w:val="16"/>
              </w:rPr>
            </w:pPr>
            <w:r>
              <w:rPr>
                <w:color w:val="000000"/>
                <w:sz w:val="16"/>
                <w:szCs w:val="16"/>
              </w:rPr>
              <w:t>Common Greenshank, Greenshank</w:t>
            </w:r>
            <w:r w:rsidRPr="00132B84">
              <w:rPr>
                <w:color w:val="008080"/>
                <w:sz w:val="16"/>
                <w:szCs w:val="16"/>
                <w:u w:val="single"/>
                <w:vertAlign w:val="superscript"/>
              </w:rPr>
              <w:t>1</w:t>
            </w:r>
          </w:p>
        </w:tc>
        <w:tc>
          <w:tcPr>
            <w:tcW w:w="1068" w:type="dxa"/>
            <w:tcBorders>
              <w:top w:val="nil"/>
              <w:left w:val="nil"/>
              <w:bottom w:val="single" w:sz="8" w:space="0" w:color="auto"/>
              <w:right w:val="single" w:sz="8" w:space="0" w:color="auto"/>
            </w:tcBorders>
            <w:shd w:val="clear" w:color="auto" w:fill="auto"/>
            <w:vAlign w:val="center"/>
          </w:tcPr>
          <w:p w14:paraId="26ABDC47"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tcPr>
          <w:p w14:paraId="26ABDC48" w14:textId="77777777" w:rsidR="006536D5" w:rsidRPr="00E72278" w:rsidRDefault="006536D5" w:rsidP="006536D5">
            <w:pPr>
              <w:jc w:val="center"/>
              <w:rPr>
                <w:color w:val="000000"/>
                <w:sz w:val="16"/>
                <w:szCs w:val="16"/>
              </w:rPr>
            </w:pPr>
          </w:p>
        </w:tc>
        <w:tc>
          <w:tcPr>
            <w:tcW w:w="1102" w:type="dxa"/>
            <w:tcBorders>
              <w:top w:val="nil"/>
              <w:left w:val="nil"/>
              <w:bottom w:val="single" w:sz="8" w:space="0" w:color="auto"/>
              <w:right w:val="single" w:sz="8" w:space="0" w:color="auto"/>
            </w:tcBorders>
            <w:shd w:val="clear" w:color="auto" w:fill="auto"/>
            <w:vAlign w:val="center"/>
          </w:tcPr>
          <w:p w14:paraId="26ABDC49"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tcPr>
          <w:p w14:paraId="26ABDC4A" w14:textId="77777777" w:rsidR="006536D5" w:rsidRPr="00E72278" w:rsidRDefault="006536D5" w:rsidP="006536D5">
            <w:pPr>
              <w:jc w:val="center"/>
              <w:rPr>
                <w:color w:val="000000"/>
                <w:sz w:val="16"/>
                <w:szCs w:val="16"/>
              </w:rPr>
            </w:pPr>
            <w:r>
              <w:rPr>
                <w:color w:val="000000"/>
                <w:sz w:val="16"/>
                <w:szCs w:val="16"/>
              </w:rPr>
              <w:t>Migratory</w:t>
            </w:r>
          </w:p>
        </w:tc>
        <w:tc>
          <w:tcPr>
            <w:tcW w:w="1736" w:type="dxa"/>
            <w:tcBorders>
              <w:top w:val="nil"/>
              <w:left w:val="nil"/>
              <w:bottom w:val="single" w:sz="8" w:space="0" w:color="auto"/>
              <w:right w:val="single" w:sz="8" w:space="0" w:color="auto"/>
            </w:tcBorders>
            <w:shd w:val="clear" w:color="auto" w:fill="auto"/>
            <w:vAlign w:val="center"/>
          </w:tcPr>
          <w:p w14:paraId="26ABDC4B" w14:textId="77777777" w:rsidR="006536D5" w:rsidRPr="00E72278" w:rsidRDefault="006536D5" w:rsidP="006536D5">
            <w:pPr>
              <w:jc w:val="center"/>
              <w:rPr>
                <w:color w:val="000000"/>
                <w:sz w:val="16"/>
                <w:szCs w:val="16"/>
              </w:rPr>
            </w:pPr>
            <w:r>
              <w:rPr>
                <w:color w:val="000000"/>
                <w:sz w:val="16"/>
                <w:szCs w:val="16"/>
              </w:rPr>
              <w:t>No conservation advice or recovery plan</w:t>
            </w:r>
          </w:p>
        </w:tc>
      </w:tr>
      <w:tr w:rsidR="006536D5" w:rsidRPr="00E72278" w14:paraId="26ABDC55" w14:textId="77777777" w:rsidTr="006536D5">
        <w:trPr>
          <w:cantSplit/>
          <w:trHeight w:val="636"/>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C4D" w14:textId="77777777" w:rsidR="006536D5" w:rsidRPr="00E72278" w:rsidRDefault="006536D5" w:rsidP="006536D5">
            <w:pPr>
              <w:jc w:val="center"/>
              <w:rPr>
                <w:i/>
                <w:iCs/>
                <w:color w:val="000000"/>
                <w:sz w:val="16"/>
                <w:szCs w:val="16"/>
              </w:rPr>
            </w:pPr>
            <w:r w:rsidRPr="00E72278">
              <w:rPr>
                <w:i/>
                <w:iCs/>
                <w:color w:val="000000"/>
                <w:sz w:val="16"/>
                <w:szCs w:val="16"/>
              </w:rPr>
              <w:t>Westralunio carteri</w:t>
            </w:r>
          </w:p>
        </w:tc>
        <w:tc>
          <w:tcPr>
            <w:tcW w:w="1276" w:type="dxa"/>
            <w:tcBorders>
              <w:top w:val="nil"/>
              <w:left w:val="nil"/>
              <w:bottom w:val="single" w:sz="8" w:space="0" w:color="auto"/>
              <w:right w:val="single" w:sz="8" w:space="0" w:color="auto"/>
            </w:tcBorders>
            <w:shd w:val="clear" w:color="auto" w:fill="auto"/>
            <w:vAlign w:val="center"/>
            <w:hideMark/>
          </w:tcPr>
          <w:p w14:paraId="26ABDC4E" w14:textId="77777777" w:rsidR="006536D5" w:rsidRPr="00E72278" w:rsidRDefault="006536D5" w:rsidP="006536D5">
            <w:pPr>
              <w:jc w:val="center"/>
              <w:rPr>
                <w:color w:val="000000"/>
                <w:sz w:val="16"/>
                <w:szCs w:val="16"/>
              </w:rPr>
            </w:pPr>
            <w:r w:rsidRPr="00E72278">
              <w:rPr>
                <w:color w:val="000000"/>
                <w:sz w:val="16"/>
                <w:szCs w:val="16"/>
              </w:rPr>
              <w:t>Carter's freshwater mussel</w:t>
            </w:r>
          </w:p>
        </w:tc>
        <w:tc>
          <w:tcPr>
            <w:tcW w:w="1068" w:type="dxa"/>
            <w:tcBorders>
              <w:top w:val="nil"/>
              <w:left w:val="nil"/>
              <w:bottom w:val="single" w:sz="8" w:space="0" w:color="auto"/>
              <w:right w:val="single" w:sz="8" w:space="0" w:color="auto"/>
            </w:tcBorders>
            <w:shd w:val="clear" w:color="auto" w:fill="auto"/>
            <w:vAlign w:val="center"/>
            <w:hideMark/>
          </w:tcPr>
          <w:p w14:paraId="26ABDC4F"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C50"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hideMark/>
          </w:tcPr>
          <w:p w14:paraId="26ABDC51"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C52"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736" w:type="dxa"/>
            <w:tcBorders>
              <w:top w:val="nil"/>
              <w:left w:val="nil"/>
              <w:bottom w:val="single" w:sz="8" w:space="0" w:color="auto"/>
              <w:right w:val="single" w:sz="8" w:space="0" w:color="auto"/>
            </w:tcBorders>
            <w:shd w:val="clear" w:color="auto" w:fill="auto"/>
            <w:vAlign w:val="center"/>
            <w:hideMark/>
          </w:tcPr>
          <w:p w14:paraId="26ABDC53" w14:textId="77777777" w:rsidR="006536D5" w:rsidRDefault="006536D5" w:rsidP="006536D5">
            <w:pPr>
              <w:jc w:val="center"/>
              <w:rPr>
                <w:color w:val="000000"/>
                <w:sz w:val="16"/>
                <w:szCs w:val="16"/>
              </w:rPr>
            </w:pPr>
            <w:r>
              <w:rPr>
                <w:color w:val="000000"/>
                <w:sz w:val="16"/>
                <w:szCs w:val="16"/>
              </w:rPr>
              <w:t>No recovery plan required</w:t>
            </w:r>
          </w:p>
          <w:p w14:paraId="26ABDC54" w14:textId="77777777" w:rsidR="006536D5" w:rsidRPr="00E72278" w:rsidRDefault="006536D5" w:rsidP="006536D5">
            <w:pPr>
              <w:jc w:val="center"/>
              <w:rPr>
                <w:color w:val="000000"/>
                <w:sz w:val="16"/>
                <w:szCs w:val="16"/>
              </w:rPr>
            </w:pPr>
            <w:r>
              <w:rPr>
                <w:color w:val="000000"/>
                <w:sz w:val="16"/>
                <w:szCs w:val="16"/>
              </w:rPr>
              <w:t>Conservation advice approved 15/2/2018</w:t>
            </w:r>
          </w:p>
        </w:tc>
      </w:tr>
      <w:tr w:rsidR="006536D5" w:rsidRPr="00E72278" w14:paraId="26ABDC5D" w14:textId="77777777" w:rsidTr="006536D5">
        <w:trPr>
          <w:cantSplit/>
          <w:trHeight w:val="636"/>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C56" w14:textId="77777777" w:rsidR="006536D5" w:rsidRPr="00E72278" w:rsidRDefault="006536D5" w:rsidP="006536D5">
            <w:pPr>
              <w:jc w:val="center"/>
              <w:rPr>
                <w:i/>
                <w:iCs/>
                <w:color w:val="000000"/>
                <w:sz w:val="16"/>
                <w:szCs w:val="16"/>
              </w:rPr>
            </w:pPr>
            <w:r w:rsidRPr="00E72278">
              <w:rPr>
                <w:i/>
                <w:iCs/>
                <w:color w:val="000000"/>
                <w:sz w:val="16"/>
                <w:szCs w:val="16"/>
              </w:rPr>
              <w:t>Zephyrarchaea mainae</w:t>
            </w:r>
          </w:p>
        </w:tc>
        <w:tc>
          <w:tcPr>
            <w:tcW w:w="1276" w:type="dxa"/>
            <w:tcBorders>
              <w:top w:val="nil"/>
              <w:left w:val="nil"/>
              <w:bottom w:val="single" w:sz="8" w:space="0" w:color="auto"/>
              <w:right w:val="single" w:sz="8" w:space="0" w:color="auto"/>
            </w:tcBorders>
            <w:shd w:val="clear" w:color="auto" w:fill="auto"/>
            <w:vAlign w:val="center"/>
            <w:hideMark/>
          </w:tcPr>
          <w:p w14:paraId="26ABDC57" w14:textId="77777777" w:rsidR="006536D5" w:rsidRPr="00E72278" w:rsidRDefault="006536D5" w:rsidP="006536D5">
            <w:pPr>
              <w:jc w:val="center"/>
              <w:rPr>
                <w:color w:val="000000"/>
                <w:sz w:val="16"/>
                <w:szCs w:val="16"/>
              </w:rPr>
            </w:pPr>
            <w:r w:rsidRPr="00E72278">
              <w:rPr>
                <w:color w:val="000000"/>
                <w:sz w:val="16"/>
                <w:szCs w:val="16"/>
              </w:rPr>
              <w:t>Main's assassin spider</w:t>
            </w:r>
          </w:p>
        </w:tc>
        <w:tc>
          <w:tcPr>
            <w:tcW w:w="1068" w:type="dxa"/>
            <w:tcBorders>
              <w:top w:val="nil"/>
              <w:left w:val="nil"/>
              <w:bottom w:val="single" w:sz="8" w:space="0" w:color="auto"/>
              <w:right w:val="single" w:sz="8" w:space="0" w:color="auto"/>
            </w:tcBorders>
            <w:shd w:val="clear" w:color="auto" w:fill="auto"/>
            <w:vAlign w:val="center"/>
            <w:hideMark/>
          </w:tcPr>
          <w:p w14:paraId="26ABDC58"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C59"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hideMark/>
          </w:tcPr>
          <w:p w14:paraId="26ABDC5A"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C5B" w14:textId="77777777" w:rsidR="006536D5" w:rsidRPr="00E72278" w:rsidRDefault="006536D5" w:rsidP="006536D5">
            <w:pPr>
              <w:jc w:val="center"/>
              <w:rPr>
                <w:color w:val="000000"/>
                <w:sz w:val="16"/>
                <w:szCs w:val="16"/>
              </w:rPr>
            </w:pPr>
            <w:r w:rsidRPr="00E72278">
              <w:rPr>
                <w:color w:val="000000"/>
                <w:sz w:val="16"/>
                <w:szCs w:val="16"/>
              </w:rPr>
              <w:t>Not listed</w:t>
            </w:r>
          </w:p>
        </w:tc>
        <w:tc>
          <w:tcPr>
            <w:tcW w:w="1736" w:type="dxa"/>
            <w:tcBorders>
              <w:top w:val="nil"/>
              <w:left w:val="nil"/>
              <w:bottom w:val="single" w:sz="8" w:space="0" w:color="auto"/>
              <w:right w:val="single" w:sz="8" w:space="0" w:color="auto"/>
            </w:tcBorders>
            <w:shd w:val="clear" w:color="auto" w:fill="auto"/>
            <w:vAlign w:val="center"/>
            <w:hideMark/>
          </w:tcPr>
          <w:p w14:paraId="26ABDC5C" w14:textId="77777777" w:rsidR="006536D5" w:rsidRPr="00E72278" w:rsidRDefault="006536D5" w:rsidP="006536D5">
            <w:pPr>
              <w:jc w:val="center"/>
              <w:rPr>
                <w:color w:val="000000"/>
                <w:sz w:val="16"/>
                <w:szCs w:val="16"/>
              </w:rPr>
            </w:pPr>
          </w:p>
        </w:tc>
      </w:tr>
      <w:tr w:rsidR="006536D5" w:rsidRPr="00E72278" w14:paraId="26ABDC5F" w14:textId="77777777" w:rsidTr="006536D5">
        <w:trPr>
          <w:cantSplit/>
          <w:trHeight w:val="276"/>
        </w:trPr>
        <w:tc>
          <w:tcPr>
            <w:tcW w:w="8953"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6ABDC5E" w14:textId="77777777" w:rsidR="006536D5" w:rsidRPr="00E72278" w:rsidRDefault="006536D5" w:rsidP="006536D5">
            <w:pPr>
              <w:rPr>
                <w:b/>
                <w:bCs/>
                <w:color w:val="000000"/>
                <w:sz w:val="16"/>
                <w:szCs w:val="16"/>
              </w:rPr>
            </w:pPr>
            <w:r w:rsidRPr="00E72278">
              <w:rPr>
                <w:b/>
                <w:bCs/>
                <w:color w:val="000000"/>
                <w:sz w:val="16"/>
                <w:szCs w:val="16"/>
              </w:rPr>
              <w:t>Taxa with distribu</w:t>
            </w:r>
            <w:r>
              <w:rPr>
                <w:b/>
                <w:bCs/>
                <w:color w:val="000000"/>
                <w:sz w:val="16"/>
                <w:szCs w:val="16"/>
              </w:rPr>
              <w:t xml:space="preserve">tion principally outside the </w:t>
            </w:r>
            <w:r w:rsidRPr="00F157FF">
              <w:rPr>
                <w:b/>
                <w:bCs/>
                <w:color w:val="000000"/>
                <w:sz w:val="16"/>
                <w:szCs w:val="16"/>
              </w:rPr>
              <w:t>RFA region,</w:t>
            </w:r>
            <w:r w:rsidRPr="00E72278">
              <w:rPr>
                <w:b/>
                <w:bCs/>
                <w:color w:val="000000"/>
                <w:sz w:val="16"/>
                <w:szCs w:val="16"/>
              </w:rPr>
              <w:t xml:space="preserve"> research program undertaken</w:t>
            </w:r>
          </w:p>
        </w:tc>
      </w:tr>
      <w:tr w:rsidR="006536D5" w:rsidRPr="00E72278" w14:paraId="26ABDC67" w14:textId="77777777" w:rsidTr="006536D5">
        <w:trPr>
          <w:cantSplit/>
          <w:trHeight w:val="420"/>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C60" w14:textId="77777777" w:rsidR="006536D5" w:rsidRPr="00E72278" w:rsidRDefault="006536D5" w:rsidP="006536D5">
            <w:pPr>
              <w:jc w:val="center"/>
              <w:rPr>
                <w:i/>
                <w:iCs/>
                <w:color w:val="000000"/>
                <w:sz w:val="16"/>
                <w:szCs w:val="16"/>
              </w:rPr>
            </w:pPr>
            <w:r w:rsidRPr="00E72278">
              <w:rPr>
                <w:i/>
                <w:iCs/>
                <w:color w:val="000000"/>
                <w:sz w:val="16"/>
                <w:szCs w:val="16"/>
              </w:rPr>
              <w:t>Leipoa ocellata</w:t>
            </w:r>
          </w:p>
        </w:tc>
        <w:tc>
          <w:tcPr>
            <w:tcW w:w="1276" w:type="dxa"/>
            <w:tcBorders>
              <w:top w:val="nil"/>
              <w:left w:val="nil"/>
              <w:bottom w:val="single" w:sz="8" w:space="0" w:color="auto"/>
              <w:right w:val="single" w:sz="8" w:space="0" w:color="auto"/>
            </w:tcBorders>
            <w:shd w:val="clear" w:color="auto" w:fill="auto"/>
            <w:vAlign w:val="center"/>
            <w:hideMark/>
          </w:tcPr>
          <w:p w14:paraId="26ABDC61" w14:textId="77777777" w:rsidR="006536D5" w:rsidRPr="00E72278" w:rsidRDefault="006536D5" w:rsidP="006536D5">
            <w:pPr>
              <w:jc w:val="center"/>
              <w:rPr>
                <w:color w:val="000000"/>
                <w:sz w:val="16"/>
                <w:szCs w:val="16"/>
              </w:rPr>
            </w:pPr>
            <w:r w:rsidRPr="00E72278">
              <w:rPr>
                <w:color w:val="000000"/>
                <w:sz w:val="16"/>
                <w:szCs w:val="16"/>
              </w:rPr>
              <w:t>Malleefowl</w:t>
            </w:r>
          </w:p>
        </w:tc>
        <w:tc>
          <w:tcPr>
            <w:tcW w:w="1068" w:type="dxa"/>
            <w:tcBorders>
              <w:top w:val="nil"/>
              <w:left w:val="nil"/>
              <w:bottom w:val="single" w:sz="8" w:space="0" w:color="auto"/>
              <w:right w:val="single" w:sz="8" w:space="0" w:color="auto"/>
            </w:tcBorders>
            <w:shd w:val="clear" w:color="auto" w:fill="auto"/>
            <w:vAlign w:val="center"/>
            <w:hideMark/>
          </w:tcPr>
          <w:p w14:paraId="26ABDC62"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tcBorders>
              <w:top w:val="nil"/>
              <w:left w:val="nil"/>
              <w:bottom w:val="single" w:sz="8" w:space="0" w:color="auto"/>
              <w:right w:val="single" w:sz="8" w:space="0" w:color="auto"/>
            </w:tcBorders>
            <w:shd w:val="clear" w:color="auto" w:fill="auto"/>
            <w:vAlign w:val="center"/>
            <w:hideMark/>
          </w:tcPr>
          <w:p w14:paraId="26ABDC63"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102" w:type="dxa"/>
            <w:tcBorders>
              <w:top w:val="nil"/>
              <w:left w:val="nil"/>
              <w:bottom w:val="single" w:sz="8" w:space="0" w:color="auto"/>
              <w:right w:val="single" w:sz="8" w:space="0" w:color="auto"/>
            </w:tcBorders>
            <w:shd w:val="clear" w:color="auto" w:fill="auto"/>
            <w:vAlign w:val="center"/>
            <w:hideMark/>
          </w:tcPr>
          <w:p w14:paraId="26ABDC64"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330" w:type="dxa"/>
            <w:tcBorders>
              <w:top w:val="nil"/>
              <w:left w:val="nil"/>
              <w:bottom w:val="single" w:sz="8" w:space="0" w:color="auto"/>
              <w:right w:val="single" w:sz="8" w:space="0" w:color="auto"/>
            </w:tcBorders>
            <w:shd w:val="clear" w:color="auto" w:fill="auto"/>
            <w:vAlign w:val="center"/>
            <w:hideMark/>
          </w:tcPr>
          <w:p w14:paraId="26ABDC65"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736" w:type="dxa"/>
            <w:tcBorders>
              <w:top w:val="nil"/>
              <w:left w:val="nil"/>
              <w:bottom w:val="single" w:sz="8" w:space="0" w:color="auto"/>
              <w:right w:val="single" w:sz="8" w:space="0" w:color="auto"/>
            </w:tcBorders>
            <w:shd w:val="clear" w:color="auto" w:fill="auto"/>
            <w:vAlign w:val="center"/>
            <w:hideMark/>
          </w:tcPr>
          <w:p w14:paraId="26ABDC66" w14:textId="77777777" w:rsidR="006536D5" w:rsidRPr="00E72278" w:rsidRDefault="006536D5" w:rsidP="006536D5">
            <w:pPr>
              <w:jc w:val="center"/>
              <w:rPr>
                <w:color w:val="000000"/>
                <w:sz w:val="16"/>
                <w:szCs w:val="16"/>
              </w:rPr>
            </w:pPr>
            <w:r w:rsidRPr="00E72278">
              <w:rPr>
                <w:color w:val="000000"/>
                <w:sz w:val="16"/>
                <w:szCs w:val="16"/>
              </w:rPr>
              <w:t>National recovery plan in place</w:t>
            </w:r>
          </w:p>
        </w:tc>
      </w:tr>
      <w:tr w:rsidR="006536D5" w:rsidRPr="00E72278" w14:paraId="26ABDC6F" w14:textId="77777777" w:rsidTr="006536D5">
        <w:trPr>
          <w:cantSplit/>
          <w:trHeight w:val="1236"/>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C68" w14:textId="77777777" w:rsidR="006536D5" w:rsidRPr="00E72278" w:rsidRDefault="006536D5" w:rsidP="006536D5">
            <w:pPr>
              <w:jc w:val="center"/>
              <w:rPr>
                <w:i/>
                <w:iCs/>
                <w:color w:val="000000"/>
                <w:sz w:val="16"/>
                <w:szCs w:val="16"/>
              </w:rPr>
            </w:pPr>
            <w:r w:rsidRPr="00E72278">
              <w:rPr>
                <w:i/>
                <w:iCs/>
                <w:color w:val="000000"/>
                <w:sz w:val="16"/>
                <w:szCs w:val="16"/>
              </w:rPr>
              <w:t xml:space="preserve">Petrogale lateralis lateralis </w:t>
            </w:r>
            <w:r w:rsidRPr="00E72278">
              <w:rPr>
                <w:color w:val="000000"/>
                <w:sz w:val="16"/>
                <w:szCs w:val="16"/>
              </w:rPr>
              <w:t>(and four other rock wallaby taxa)</w:t>
            </w:r>
          </w:p>
        </w:tc>
        <w:tc>
          <w:tcPr>
            <w:tcW w:w="1276" w:type="dxa"/>
            <w:tcBorders>
              <w:top w:val="nil"/>
              <w:left w:val="nil"/>
              <w:bottom w:val="single" w:sz="8" w:space="0" w:color="auto"/>
              <w:right w:val="single" w:sz="8" w:space="0" w:color="auto"/>
            </w:tcBorders>
            <w:shd w:val="clear" w:color="auto" w:fill="auto"/>
            <w:vAlign w:val="center"/>
            <w:hideMark/>
          </w:tcPr>
          <w:p w14:paraId="26ABDC69" w14:textId="77777777" w:rsidR="006536D5" w:rsidRPr="00E72278" w:rsidRDefault="006536D5" w:rsidP="006536D5">
            <w:pPr>
              <w:jc w:val="center"/>
              <w:rPr>
                <w:color w:val="000000"/>
                <w:sz w:val="16"/>
                <w:szCs w:val="16"/>
              </w:rPr>
            </w:pPr>
            <w:r w:rsidRPr="00E72278">
              <w:rPr>
                <w:color w:val="000000"/>
                <w:sz w:val="16"/>
                <w:szCs w:val="16"/>
              </w:rPr>
              <w:t>Black-flanked rock-wallaby</w:t>
            </w:r>
          </w:p>
        </w:tc>
        <w:tc>
          <w:tcPr>
            <w:tcW w:w="1068" w:type="dxa"/>
            <w:tcBorders>
              <w:top w:val="nil"/>
              <w:left w:val="nil"/>
              <w:bottom w:val="single" w:sz="8" w:space="0" w:color="auto"/>
              <w:right w:val="single" w:sz="8" w:space="0" w:color="auto"/>
            </w:tcBorders>
            <w:shd w:val="clear" w:color="auto" w:fill="auto"/>
            <w:vAlign w:val="center"/>
            <w:hideMark/>
          </w:tcPr>
          <w:p w14:paraId="26ABDC6A" w14:textId="77777777" w:rsidR="006536D5" w:rsidRPr="00E72278" w:rsidRDefault="006536D5" w:rsidP="006536D5">
            <w:pPr>
              <w:jc w:val="center"/>
              <w:rPr>
                <w:color w:val="000000"/>
                <w:sz w:val="16"/>
                <w:szCs w:val="16"/>
              </w:rPr>
            </w:pPr>
            <w:r w:rsidRPr="00E72278">
              <w:rPr>
                <w:color w:val="000000"/>
                <w:sz w:val="16"/>
                <w:szCs w:val="16"/>
              </w:rPr>
              <w:t>Vulnerable</w:t>
            </w:r>
          </w:p>
        </w:tc>
        <w:tc>
          <w:tcPr>
            <w:tcW w:w="1068" w:type="dxa"/>
            <w:tcBorders>
              <w:top w:val="nil"/>
              <w:left w:val="nil"/>
              <w:bottom w:val="single" w:sz="8" w:space="0" w:color="auto"/>
              <w:right w:val="single" w:sz="8" w:space="0" w:color="auto"/>
            </w:tcBorders>
            <w:shd w:val="clear" w:color="auto" w:fill="auto"/>
            <w:vAlign w:val="center"/>
            <w:hideMark/>
          </w:tcPr>
          <w:p w14:paraId="26ABDC6B"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102" w:type="dxa"/>
            <w:tcBorders>
              <w:top w:val="nil"/>
              <w:left w:val="nil"/>
              <w:bottom w:val="single" w:sz="8" w:space="0" w:color="auto"/>
              <w:right w:val="single" w:sz="8" w:space="0" w:color="auto"/>
            </w:tcBorders>
            <w:shd w:val="clear" w:color="auto" w:fill="auto"/>
            <w:vAlign w:val="center"/>
            <w:hideMark/>
          </w:tcPr>
          <w:p w14:paraId="26ABDC6C"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330" w:type="dxa"/>
            <w:tcBorders>
              <w:top w:val="nil"/>
              <w:left w:val="nil"/>
              <w:bottom w:val="single" w:sz="8" w:space="0" w:color="auto"/>
              <w:right w:val="single" w:sz="8" w:space="0" w:color="auto"/>
            </w:tcBorders>
            <w:shd w:val="clear" w:color="auto" w:fill="auto"/>
            <w:vAlign w:val="center"/>
            <w:hideMark/>
          </w:tcPr>
          <w:p w14:paraId="26ABDC6D" w14:textId="77777777" w:rsidR="006536D5" w:rsidRPr="00E72278" w:rsidRDefault="006536D5" w:rsidP="006536D5">
            <w:pPr>
              <w:jc w:val="center"/>
              <w:rPr>
                <w:color w:val="000000"/>
                <w:sz w:val="16"/>
                <w:szCs w:val="16"/>
              </w:rPr>
            </w:pPr>
            <w:r w:rsidRPr="00E72278">
              <w:rPr>
                <w:color w:val="000000"/>
                <w:sz w:val="16"/>
                <w:szCs w:val="16"/>
              </w:rPr>
              <w:t>Endangered</w:t>
            </w:r>
          </w:p>
        </w:tc>
        <w:tc>
          <w:tcPr>
            <w:tcW w:w="1736" w:type="dxa"/>
            <w:tcBorders>
              <w:top w:val="nil"/>
              <w:left w:val="nil"/>
              <w:bottom w:val="single" w:sz="8" w:space="0" w:color="auto"/>
              <w:right w:val="single" w:sz="8" w:space="0" w:color="auto"/>
            </w:tcBorders>
            <w:shd w:val="clear" w:color="auto" w:fill="auto"/>
            <w:vAlign w:val="center"/>
            <w:hideMark/>
          </w:tcPr>
          <w:p w14:paraId="26ABDC6E" w14:textId="77777777" w:rsidR="006536D5" w:rsidRPr="00E72278" w:rsidRDefault="006536D5" w:rsidP="006536D5">
            <w:pPr>
              <w:jc w:val="center"/>
              <w:rPr>
                <w:color w:val="000000"/>
                <w:sz w:val="16"/>
                <w:szCs w:val="16"/>
              </w:rPr>
            </w:pPr>
            <w:r w:rsidRPr="00E72278">
              <w:rPr>
                <w:color w:val="000000"/>
                <w:sz w:val="16"/>
                <w:szCs w:val="16"/>
              </w:rPr>
              <w:t>WA recovery plan in place</w:t>
            </w:r>
            <w:r w:rsidRPr="00E72278">
              <w:rPr>
                <w:color w:val="000000"/>
                <w:sz w:val="16"/>
                <w:szCs w:val="16"/>
              </w:rPr>
              <w:br/>
              <w:t>Endorsed as national recovery plan</w:t>
            </w:r>
          </w:p>
        </w:tc>
      </w:tr>
      <w:tr w:rsidR="006536D5" w:rsidRPr="00E72278" w14:paraId="26ABDC71" w14:textId="77777777" w:rsidTr="006536D5">
        <w:trPr>
          <w:cantSplit/>
          <w:trHeight w:val="276"/>
        </w:trPr>
        <w:tc>
          <w:tcPr>
            <w:tcW w:w="8953"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6ABDC70" w14:textId="77777777" w:rsidR="006536D5" w:rsidRPr="00E72278" w:rsidRDefault="006536D5" w:rsidP="006536D5">
            <w:pPr>
              <w:rPr>
                <w:b/>
                <w:bCs/>
                <w:color w:val="000000"/>
                <w:sz w:val="16"/>
                <w:szCs w:val="16"/>
              </w:rPr>
            </w:pPr>
            <w:r w:rsidRPr="00E72278">
              <w:rPr>
                <w:b/>
                <w:bCs/>
                <w:color w:val="000000"/>
                <w:sz w:val="16"/>
                <w:szCs w:val="16"/>
              </w:rPr>
              <w:t>Taxa requiring no further action</w:t>
            </w:r>
          </w:p>
        </w:tc>
      </w:tr>
      <w:tr w:rsidR="006536D5" w:rsidRPr="00E72278" w14:paraId="26ABDC79" w14:textId="77777777" w:rsidTr="006536D5">
        <w:trPr>
          <w:cantSplit/>
          <w:trHeight w:val="624"/>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C72" w14:textId="77777777" w:rsidR="006536D5" w:rsidRPr="00E72278" w:rsidRDefault="006536D5" w:rsidP="006536D5">
            <w:pPr>
              <w:jc w:val="center"/>
              <w:rPr>
                <w:i/>
                <w:iCs/>
                <w:color w:val="000000"/>
                <w:sz w:val="16"/>
                <w:szCs w:val="16"/>
              </w:rPr>
            </w:pPr>
            <w:r w:rsidRPr="00E72278">
              <w:rPr>
                <w:i/>
                <w:iCs/>
                <w:color w:val="000000"/>
                <w:sz w:val="16"/>
                <w:szCs w:val="16"/>
              </w:rPr>
              <w:t>Rallus pectoralis clelandi</w:t>
            </w:r>
          </w:p>
        </w:tc>
        <w:tc>
          <w:tcPr>
            <w:tcW w:w="1276" w:type="dxa"/>
            <w:tcBorders>
              <w:top w:val="nil"/>
              <w:left w:val="nil"/>
              <w:bottom w:val="single" w:sz="8" w:space="0" w:color="auto"/>
              <w:right w:val="single" w:sz="8" w:space="0" w:color="auto"/>
            </w:tcBorders>
            <w:shd w:val="clear" w:color="auto" w:fill="auto"/>
            <w:vAlign w:val="center"/>
            <w:hideMark/>
          </w:tcPr>
          <w:p w14:paraId="26ABDC73" w14:textId="77777777" w:rsidR="006536D5" w:rsidRPr="00E72278" w:rsidRDefault="006536D5" w:rsidP="006536D5">
            <w:pPr>
              <w:jc w:val="center"/>
              <w:rPr>
                <w:color w:val="000000"/>
                <w:sz w:val="16"/>
                <w:szCs w:val="16"/>
              </w:rPr>
            </w:pPr>
            <w:r w:rsidRPr="00E72278">
              <w:rPr>
                <w:color w:val="000000"/>
                <w:sz w:val="16"/>
                <w:szCs w:val="16"/>
              </w:rPr>
              <w:t>Lewin’s water rail</w:t>
            </w:r>
          </w:p>
        </w:tc>
        <w:tc>
          <w:tcPr>
            <w:tcW w:w="1068" w:type="dxa"/>
            <w:tcBorders>
              <w:top w:val="nil"/>
              <w:left w:val="nil"/>
              <w:bottom w:val="single" w:sz="8" w:space="0" w:color="auto"/>
              <w:right w:val="single" w:sz="8" w:space="0" w:color="auto"/>
            </w:tcBorders>
            <w:shd w:val="clear" w:color="auto" w:fill="auto"/>
            <w:vAlign w:val="center"/>
            <w:hideMark/>
          </w:tcPr>
          <w:p w14:paraId="26ABDC74" w14:textId="77777777" w:rsidR="006536D5" w:rsidRPr="00E72278" w:rsidRDefault="006536D5" w:rsidP="006536D5">
            <w:pPr>
              <w:jc w:val="center"/>
              <w:rPr>
                <w:color w:val="000000"/>
                <w:sz w:val="16"/>
                <w:szCs w:val="16"/>
              </w:rPr>
            </w:pPr>
            <w:r w:rsidRPr="00E72278">
              <w:rPr>
                <w:color w:val="000000"/>
                <w:sz w:val="16"/>
                <w:szCs w:val="16"/>
              </w:rPr>
              <w:t>Presumed extinct</w:t>
            </w:r>
          </w:p>
        </w:tc>
        <w:tc>
          <w:tcPr>
            <w:tcW w:w="1068" w:type="dxa"/>
            <w:tcBorders>
              <w:top w:val="nil"/>
              <w:left w:val="nil"/>
              <w:bottom w:val="single" w:sz="8" w:space="0" w:color="auto"/>
              <w:right w:val="single" w:sz="8" w:space="0" w:color="auto"/>
            </w:tcBorders>
            <w:shd w:val="clear" w:color="auto" w:fill="auto"/>
            <w:vAlign w:val="center"/>
            <w:hideMark/>
          </w:tcPr>
          <w:p w14:paraId="26ABDC75" w14:textId="77777777" w:rsidR="006536D5" w:rsidRPr="00E72278" w:rsidRDefault="006536D5" w:rsidP="006536D5">
            <w:pPr>
              <w:jc w:val="center"/>
              <w:rPr>
                <w:color w:val="000000"/>
                <w:sz w:val="16"/>
                <w:szCs w:val="16"/>
              </w:rPr>
            </w:pPr>
            <w:r w:rsidRPr="00E72278">
              <w:rPr>
                <w:color w:val="000000"/>
                <w:sz w:val="16"/>
                <w:szCs w:val="16"/>
              </w:rPr>
              <w:t>Presumed extinct</w:t>
            </w:r>
          </w:p>
        </w:tc>
        <w:tc>
          <w:tcPr>
            <w:tcW w:w="1102" w:type="dxa"/>
            <w:tcBorders>
              <w:top w:val="nil"/>
              <w:left w:val="nil"/>
              <w:bottom w:val="single" w:sz="8" w:space="0" w:color="auto"/>
              <w:right w:val="single" w:sz="8" w:space="0" w:color="auto"/>
            </w:tcBorders>
            <w:shd w:val="clear" w:color="auto" w:fill="auto"/>
            <w:vAlign w:val="center"/>
            <w:hideMark/>
          </w:tcPr>
          <w:p w14:paraId="26ABDC76" w14:textId="77777777" w:rsidR="006536D5" w:rsidRPr="00E72278" w:rsidRDefault="006536D5" w:rsidP="006536D5">
            <w:pPr>
              <w:jc w:val="center"/>
              <w:rPr>
                <w:color w:val="000000"/>
                <w:sz w:val="16"/>
                <w:szCs w:val="16"/>
              </w:rPr>
            </w:pPr>
            <w:r w:rsidRPr="00E72278">
              <w:rPr>
                <w:color w:val="000000"/>
                <w:sz w:val="16"/>
                <w:szCs w:val="16"/>
              </w:rPr>
              <w:t>Presumed extinct</w:t>
            </w:r>
          </w:p>
        </w:tc>
        <w:tc>
          <w:tcPr>
            <w:tcW w:w="1330" w:type="dxa"/>
            <w:tcBorders>
              <w:top w:val="nil"/>
              <w:left w:val="nil"/>
              <w:bottom w:val="single" w:sz="8" w:space="0" w:color="auto"/>
              <w:right w:val="single" w:sz="8" w:space="0" w:color="auto"/>
            </w:tcBorders>
            <w:shd w:val="clear" w:color="auto" w:fill="auto"/>
            <w:vAlign w:val="center"/>
            <w:hideMark/>
          </w:tcPr>
          <w:p w14:paraId="26ABDC77" w14:textId="77777777" w:rsidR="006536D5" w:rsidRPr="00E72278" w:rsidRDefault="006536D5" w:rsidP="006536D5">
            <w:pPr>
              <w:jc w:val="center"/>
              <w:rPr>
                <w:color w:val="000000"/>
                <w:sz w:val="16"/>
                <w:szCs w:val="16"/>
              </w:rPr>
            </w:pPr>
            <w:r>
              <w:rPr>
                <w:color w:val="000000"/>
                <w:sz w:val="16"/>
                <w:szCs w:val="16"/>
              </w:rPr>
              <w:t>E</w:t>
            </w:r>
            <w:r w:rsidRPr="00E72278">
              <w:rPr>
                <w:color w:val="000000"/>
                <w:sz w:val="16"/>
                <w:szCs w:val="16"/>
              </w:rPr>
              <w:t>xtinct</w:t>
            </w:r>
          </w:p>
        </w:tc>
        <w:tc>
          <w:tcPr>
            <w:tcW w:w="1736" w:type="dxa"/>
            <w:tcBorders>
              <w:top w:val="nil"/>
              <w:left w:val="nil"/>
              <w:bottom w:val="single" w:sz="8" w:space="0" w:color="auto"/>
              <w:right w:val="single" w:sz="8" w:space="0" w:color="auto"/>
            </w:tcBorders>
            <w:shd w:val="clear" w:color="auto" w:fill="auto"/>
            <w:vAlign w:val="center"/>
            <w:hideMark/>
          </w:tcPr>
          <w:p w14:paraId="26ABDC78" w14:textId="77777777" w:rsidR="006536D5" w:rsidRPr="00E72278" w:rsidRDefault="006536D5" w:rsidP="006536D5">
            <w:pPr>
              <w:jc w:val="center"/>
              <w:rPr>
                <w:color w:val="000000"/>
                <w:sz w:val="16"/>
                <w:szCs w:val="16"/>
              </w:rPr>
            </w:pPr>
          </w:p>
        </w:tc>
      </w:tr>
      <w:tr w:rsidR="006536D5" w:rsidRPr="00E72278" w14:paraId="26ABDC7C" w14:textId="77777777" w:rsidTr="006536D5">
        <w:trPr>
          <w:cantSplit/>
          <w:trHeight w:val="420"/>
        </w:trPr>
        <w:tc>
          <w:tcPr>
            <w:tcW w:w="7217" w:type="dxa"/>
            <w:gridSpan w:val="6"/>
            <w:tcBorders>
              <w:top w:val="single" w:sz="8" w:space="0" w:color="auto"/>
              <w:left w:val="single" w:sz="8" w:space="0" w:color="auto"/>
              <w:bottom w:val="single" w:sz="8" w:space="0" w:color="auto"/>
              <w:right w:val="nil"/>
            </w:tcBorders>
            <w:shd w:val="clear" w:color="auto" w:fill="auto"/>
            <w:vAlign w:val="center"/>
            <w:hideMark/>
          </w:tcPr>
          <w:p w14:paraId="26ABDC7A" w14:textId="77777777" w:rsidR="006536D5" w:rsidRPr="00E72278" w:rsidRDefault="006536D5" w:rsidP="006536D5">
            <w:pPr>
              <w:rPr>
                <w:b/>
                <w:bCs/>
                <w:color w:val="000000"/>
                <w:sz w:val="16"/>
                <w:szCs w:val="16"/>
              </w:rPr>
            </w:pPr>
            <w:r w:rsidRPr="00E72278">
              <w:rPr>
                <w:b/>
                <w:bCs/>
                <w:color w:val="000000"/>
                <w:sz w:val="16"/>
                <w:szCs w:val="16"/>
              </w:rPr>
              <w:t xml:space="preserve">Taxa removed from the Western Australian list and the Schedules to the </w:t>
            </w:r>
            <w:r w:rsidRPr="00E72278">
              <w:rPr>
                <w:b/>
                <w:bCs/>
                <w:i/>
                <w:iCs/>
                <w:color w:val="000000"/>
                <w:sz w:val="16"/>
                <w:szCs w:val="16"/>
              </w:rPr>
              <w:t xml:space="preserve">Endangered Species Protection Act </w:t>
            </w:r>
            <w:r w:rsidRPr="00E72278">
              <w:rPr>
                <w:b/>
                <w:bCs/>
                <w:color w:val="000000"/>
                <w:sz w:val="16"/>
                <w:szCs w:val="16"/>
              </w:rPr>
              <w:t>**</w:t>
            </w:r>
          </w:p>
        </w:tc>
        <w:tc>
          <w:tcPr>
            <w:tcW w:w="1736" w:type="dxa"/>
            <w:tcBorders>
              <w:top w:val="nil"/>
              <w:left w:val="nil"/>
              <w:bottom w:val="nil"/>
              <w:right w:val="single" w:sz="8" w:space="0" w:color="auto"/>
            </w:tcBorders>
            <w:shd w:val="clear" w:color="auto" w:fill="auto"/>
            <w:noWrap/>
            <w:vAlign w:val="center"/>
            <w:hideMark/>
          </w:tcPr>
          <w:p w14:paraId="26ABDC7B" w14:textId="77777777" w:rsidR="006536D5" w:rsidRPr="00E72278" w:rsidRDefault="006536D5" w:rsidP="006536D5">
            <w:pPr>
              <w:jc w:val="center"/>
              <w:rPr>
                <w:rFonts w:ascii="Arial" w:hAnsi="Arial" w:cs="Arial"/>
                <w:color w:val="000000"/>
                <w:sz w:val="20"/>
              </w:rPr>
            </w:pPr>
          </w:p>
        </w:tc>
      </w:tr>
      <w:tr w:rsidR="006536D5" w:rsidRPr="00E72278" w14:paraId="26ABDC84" w14:textId="77777777" w:rsidTr="006536D5">
        <w:trPr>
          <w:cantSplit/>
          <w:trHeight w:val="624"/>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C7D" w14:textId="77777777" w:rsidR="006536D5" w:rsidRPr="00E72278" w:rsidRDefault="006536D5" w:rsidP="006536D5">
            <w:pPr>
              <w:jc w:val="center"/>
              <w:rPr>
                <w:i/>
                <w:iCs/>
                <w:color w:val="000000"/>
                <w:sz w:val="16"/>
                <w:szCs w:val="16"/>
              </w:rPr>
            </w:pPr>
            <w:r w:rsidRPr="00E72278">
              <w:rPr>
                <w:i/>
                <w:iCs/>
                <w:color w:val="000000"/>
                <w:sz w:val="16"/>
                <w:szCs w:val="16"/>
              </w:rPr>
              <w:t>Cacatua pastinator pastinator</w:t>
            </w:r>
          </w:p>
        </w:tc>
        <w:tc>
          <w:tcPr>
            <w:tcW w:w="1276" w:type="dxa"/>
            <w:tcBorders>
              <w:top w:val="nil"/>
              <w:left w:val="nil"/>
              <w:bottom w:val="single" w:sz="8" w:space="0" w:color="auto"/>
              <w:right w:val="single" w:sz="8" w:space="0" w:color="auto"/>
            </w:tcBorders>
            <w:shd w:val="clear" w:color="auto" w:fill="auto"/>
            <w:vAlign w:val="center"/>
            <w:hideMark/>
          </w:tcPr>
          <w:p w14:paraId="26ABDC7E" w14:textId="77777777" w:rsidR="006536D5" w:rsidRPr="00E72278" w:rsidRDefault="006536D5" w:rsidP="006536D5">
            <w:pPr>
              <w:jc w:val="center"/>
              <w:rPr>
                <w:color w:val="000000"/>
                <w:sz w:val="16"/>
                <w:szCs w:val="16"/>
              </w:rPr>
            </w:pPr>
            <w:r w:rsidRPr="00E72278">
              <w:rPr>
                <w:color w:val="000000"/>
                <w:sz w:val="16"/>
                <w:szCs w:val="16"/>
              </w:rPr>
              <w:t>Muir’s corella</w:t>
            </w:r>
          </w:p>
        </w:tc>
        <w:tc>
          <w:tcPr>
            <w:tcW w:w="1068" w:type="dxa"/>
            <w:tcBorders>
              <w:top w:val="nil"/>
              <w:left w:val="nil"/>
              <w:bottom w:val="single" w:sz="8" w:space="0" w:color="auto"/>
              <w:right w:val="single" w:sz="8" w:space="0" w:color="auto"/>
            </w:tcBorders>
            <w:shd w:val="clear" w:color="auto" w:fill="auto"/>
            <w:vAlign w:val="center"/>
            <w:hideMark/>
          </w:tcPr>
          <w:p w14:paraId="26ABDC7F"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C80" w14:textId="77777777" w:rsidR="006536D5" w:rsidRPr="00E72278" w:rsidRDefault="006536D5" w:rsidP="006536D5">
            <w:pPr>
              <w:jc w:val="center"/>
              <w:rPr>
                <w:color w:val="000000"/>
                <w:sz w:val="16"/>
                <w:szCs w:val="16"/>
              </w:rPr>
            </w:pPr>
            <w:r w:rsidRPr="00E72278">
              <w:rPr>
                <w:color w:val="000000"/>
                <w:sz w:val="16"/>
                <w:szCs w:val="16"/>
              </w:rPr>
              <w:t>Other specially protected</w:t>
            </w:r>
          </w:p>
        </w:tc>
        <w:tc>
          <w:tcPr>
            <w:tcW w:w="1102" w:type="dxa"/>
            <w:tcBorders>
              <w:top w:val="nil"/>
              <w:left w:val="nil"/>
              <w:bottom w:val="single" w:sz="8" w:space="0" w:color="auto"/>
              <w:right w:val="single" w:sz="8" w:space="0" w:color="auto"/>
            </w:tcBorders>
            <w:shd w:val="clear" w:color="auto" w:fill="auto"/>
            <w:vAlign w:val="center"/>
            <w:hideMark/>
          </w:tcPr>
          <w:p w14:paraId="26ABDC81"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C82" w14:textId="77777777" w:rsidR="006536D5" w:rsidRPr="00E72278" w:rsidRDefault="006536D5" w:rsidP="006536D5">
            <w:pPr>
              <w:jc w:val="center"/>
              <w:rPr>
                <w:color w:val="000000"/>
                <w:sz w:val="16"/>
                <w:szCs w:val="16"/>
              </w:rPr>
            </w:pPr>
            <w:r w:rsidRPr="00E72278">
              <w:rPr>
                <w:color w:val="000000"/>
                <w:sz w:val="16"/>
                <w:szCs w:val="16"/>
              </w:rPr>
              <w:t>Not listed</w:t>
            </w:r>
          </w:p>
        </w:tc>
        <w:tc>
          <w:tcPr>
            <w:tcW w:w="1736" w:type="dxa"/>
            <w:tcBorders>
              <w:top w:val="single" w:sz="8" w:space="0" w:color="auto"/>
              <w:left w:val="nil"/>
              <w:bottom w:val="single" w:sz="8" w:space="0" w:color="auto"/>
              <w:right w:val="single" w:sz="8" w:space="0" w:color="auto"/>
            </w:tcBorders>
            <w:shd w:val="clear" w:color="auto" w:fill="auto"/>
            <w:vAlign w:val="center"/>
            <w:hideMark/>
          </w:tcPr>
          <w:p w14:paraId="26ABDC83" w14:textId="77777777" w:rsidR="006536D5" w:rsidRPr="00E72278" w:rsidRDefault="006536D5" w:rsidP="006536D5">
            <w:pPr>
              <w:jc w:val="center"/>
              <w:rPr>
                <w:color w:val="000000"/>
                <w:sz w:val="16"/>
                <w:szCs w:val="16"/>
              </w:rPr>
            </w:pPr>
            <w:r w:rsidRPr="00E72278">
              <w:rPr>
                <w:color w:val="000000"/>
                <w:sz w:val="16"/>
                <w:szCs w:val="16"/>
              </w:rPr>
              <w:t>WA recovery plan in place</w:t>
            </w:r>
          </w:p>
        </w:tc>
      </w:tr>
      <w:tr w:rsidR="006536D5" w:rsidRPr="00E72278" w14:paraId="26ABDC8C" w14:textId="77777777" w:rsidTr="006536D5">
        <w:trPr>
          <w:cantSplit/>
          <w:trHeight w:val="828"/>
        </w:trPr>
        <w:tc>
          <w:tcPr>
            <w:tcW w:w="1373" w:type="dxa"/>
            <w:tcBorders>
              <w:top w:val="nil"/>
              <w:left w:val="single" w:sz="8" w:space="0" w:color="auto"/>
              <w:bottom w:val="single" w:sz="8" w:space="0" w:color="auto"/>
              <w:right w:val="single" w:sz="8" w:space="0" w:color="auto"/>
            </w:tcBorders>
            <w:shd w:val="clear" w:color="auto" w:fill="auto"/>
            <w:vAlign w:val="center"/>
            <w:hideMark/>
          </w:tcPr>
          <w:p w14:paraId="26ABDC85" w14:textId="77777777" w:rsidR="006536D5" w:rsidRPr="00E72278" w:rsidRDefault="006536D5" w:rsidP="006536D5">
            <w:pPr>
              <w:jc w:val="center"/>
              <w:rPr>
                <w:i/>
                <w:iCs/>
                <w:color w:val="000000"/>
                <w:sz w:val="16"/>
                <w:szCs w:val="16"/>
              </w:rPr>
            </w:pPr>
            <w:r w:rsidRPr="00E72278">
              <w:rPr>
                <w:i/>
                <w:iCs/>
                <w:color w:val="000000"/>
                <w:sz w:val="16"/>
                <w:szCs w:val="16"/>
              </w:rPr>
              <w:t>Phascogale tapoatafa subsp (WAM M434)</w:t>
            </w:r>
          </w:p>
        </w:tc>
        <w:tc>
          <w:tcPr>
            <w:tcW w:w="1276" w:type="dxa"/>
            <w:tcBorders>
              <w:top w:val="nil"/>
              <w:left w:val="nil"/>
              <w:bottom w:val="single" w:sz="8" w:space="0" w:color="auto"/>
              <w:right w:val="single" w:sz="8" w:space="0" w:color="auto"/>
            </w:tcBorders>
            <w:shd w:val="clear" w:color="auto" w:fill="auto"/>
            <w:vAlign w:val="center"/>
            <w:hideMark/>
          </w:tcPr>
          <w:p w14:paraId="26ABDC86" w14:textId="77777777" w:rsidR="006536D5" w:rsidRPr="00E72278" w:rsidRDefault="006536D5" w:rsidP="006536D5">
            <w:pPr>
              <w:jc w:val="center"/>
              <w:rPr>
                <w:color w:val="000000"/>
                <w:sz w:val="16"/>
                <w:szCs w:val="16"/>
              </w:rPr>
            </w:pPr>
            <w:r w:rsidRPr="00E72278">
              <w:rPr>
                <w:color w:val="000000"/>
                <w:sz w:val="16"/>
                <w:szCs w:val="16"/>
              </w:rPr>
              <w:t>Brushtail phascogale</w:t>
            </w:r>
          </w:p>
        </w:tc>
        <w:tc>
          <w:tcPr>
            <w:tcW w:w="1068" w:type="dxa"/>
            <w:tcBorders>
              <w:top w:val="nil"/>
              <w:left w:val="nil"/>
              <w:bottom w:val="single" w:sz="8" w:space="0" w:color="auto"/>
              <w:right w:val="single" w:sz="8" w:space="0" w:color="auto"/>
            </w:tcBorders>
            <w:shd w:val="clear" w:color="auto" w:fill="auto"/>
            <w:vAlign w:val="center"/>
            <w:hideMark/>
          </w:tcPr>
          <w:p w14:paraId="26ABDC87" w14:textId="77777777" w:rsidR="006536D5" w:rsidRPr="00E72278" w:rsidRDefault="006536D5" w:rsidP="006536D5">
            <w:pPr>
              <w:jc w:val="center"/>
              <w:rPr>
                <w:color w:val="000000"/>
                <w:sz w:val="16"/>
                <w:szCs w:val="16"/>
              </w:rPr>
            </w:pPr>
          </w:p>
        </w:tc>
        <w:tc>
          <w:tcPr>
            <w:tcW w:w="1068" w:type="dxa"/>
            <w:tcBorders>
              <w:top w:val="nil"/>
              <w:left w:val="nil"/>
              <w:bottom w:val="single" w:sz="8" w:space="0" w:color="auto"/>
              <w:right w:val="single" w:sz="8" w:space="0" w:color="auto"/>
            </w:tcBorders>
            <w:shd w:val="clear" w:color="auto" w:fill="auto"/>
            <w:vAlign w:val="center"/>
            <w:hideMark/>
          </w:tcPr>
          <w:p w14:paraId="26ABDC88" w14:textId="77777777" w:rsidR="006536D5" w:rsidRPr="00E72278" w:rsidRDefault="006536D5" w:rsidP="006536D5">
            <w:pPr>
              <w:jc w:val="center"/>
              <w:rPr>
                <w:color w:val="000000"/>
                <w:sz w:val="16"/>
                <w:szCs w:val="16"/>
              </w:rPr>
            </w:pPr>
            <w:r w:rsidRPr="00E72278">
              <w:rPr>
                <w:color w:val="000000"/>
                <w:sz w:val="16"/>
                <w:szCs w:val="16"/>
              </w:rPr>
              <w:t>Other specially protected</w:t>
            </w:r>
          </w:p>
        </w:tc>
        <w:tc>
          <w:tcPr>
            <w:tcW w:w="1102" w:type="dxa"/>
            <w:tcBorders>
              <w:top w:val="nil"/>
              <w:left w:val="nil"/>
              <w:bottom w:val="single" w:sz="8" w:space="0" w:color="auto"/>
              <w:right w:val="single" w:sz="8" w:space="0" w:color="auto"/>
            </w:tcBorders>
            <w:shd w:val="clear" w:color="auto" w:fill="auto"/>
            <w:vAlign w:val="center"/>
            <w:hideMark/>
          </w:tcPr>
          <w:p w14:paraId="26ABDC89" w14:textId="77777777" w:rsidR="006536D5" w:rsidRPr="00E72278" w:rsidRDefault="006536D5" w:rsidP="006536D5">
            <w:pPr>
              <w:jc w:val="center"/>
              <w:rPr>
                <w:color w:val="000000"/>
                <w:sz w:val="16"/>
                <w:szCs w:val="16"/>
              </w:rPr>
            </w:pPr>
          </w:p>
        </w:tc>
        <w:tc>
          <w:tcPr>
            <w:tcW w:w="1330" w:type="dxa"/>
            <w:tcBorders>
              <w:top w:val="nil"/>
              <w:left w:val="nil"/>
              <w:bottom w:val="single" w:sz="8" w:space="0" w:color="auto"/>
              <w:right w:val="single" w:sz="8" w:space="0" w:color="auto"/>
            </w:tcBorders>
            <w:shd w:val="clear" w:color="auto" w:fill="auto"/>
            <w:vAlign w:val="center"/>
            <w:hideMark/>
          </w:tcPr>
          <w:p w14:paraId="26ABDC8A" w14:textId="77777777" w:rsidR="006536D5" w:rsidRPr="00E72278" w:rsidRDefault="006536D5" w:rsidP="006536D5">
            <w:pPr>
              <w:jc w:val="center"/>
              <w:rPr>
                <w:color w:val="000000"/>
                <w:sz w:val="16"/>
                <w:szCs w:val="16"/>
              </w:rPr>
            </w:pPr>
            <w:r w:rsidRPr="00E72278">
              <w:rPr>
                <w:color w:val="000000"/>
                <w:sz w:val="16"/>
                <w:szCs w:val="16"/>
              </w:rPr>
              <w:t>Not listed</w:t>
            </w:r>
          </w:p>
        </w:tc>
        <w:tc>
          <w:tcPr>
            <w:tcW w:w="1736" w:type="dxa"/>
            <w:tcBorders>
              <w:top w:val="nil"/>
              <w:left w:val="nil"/>
              <w:bottom w:val="single" w:sz="8" w:space="0" w:color="auto"/>
              <w:right w:val="single" w:sz="8" w:space="0" w:color="auto"/>
            </w:tcBorders>
            <w:shd w:val="clear" w:color="auto" w:fill="auto"/>
            <w:vAlign w:val="center"/>
            <w:hideMark/>
          </w:tcPr>
          <w:p w14:paraId="26ABDC8B" w14:textId="77777777" w:rsidR="006536D5" w:rsidRPr="00E72278" w:rsidRDefault="006536D5" w:rsidP="006536D5">
            <w:pPr>
              <w:jc w:val="center"/>
              <w:rPr>
                <w:color w:val="000000"/>
                <w:sz w:val="16"/>
                <w:szCs w:val="16"/>
              </w:rPr>
            </w:pPr>
          </w:p>
        </w:tc>
      </w:tr>
    </w:tbl>
    <w:p w14:paraId="26ABDC8D" w14:textId="77777777" w:rsidR="006536D5" w:rsidRPr="00CE60B2" w:rsidRDefault="006536D5" w:rsidP="006536D5">
      <w:pPr>
        <w:rPr>
          <w:rFonts w:cs="Segoe UI"/>
          <w:sz w:val="16"/>
          <w:szCs w:val="16"/>
        </w:rPr>
      </w:pPr>
      <w:r w:rsidRPr="00CE60B2">
        <w:rPr>
          <w:rFonts w:cs="Segoe UI"/>
          <w:sz w:val="16"/>
          <w:szCs w:val="16"/>
        </w:rPr>
        <w:t xml:space="preserve">Notes: </w:t>
      </w:r>
    </w:p>
    <w:p w14:paraId="26ABDC8E" w14:textId="77777777" w:rsidR="006536D5" w:rsidRPr="006536D5" w:rsidRDefault="006536D5" w:rsidP="006536D5">
      <w:pPr>
        <w:spacing w:before="0" w:after="0"/>
        <w:rPr>
          <w:rFonts w:cs="Segoe UI"/>
          <w:sz w:val="16"/>
          <w:szCs w:val="16"/>
        </w:rPr>
      </w:pPr>
      <w:r>
        <w:rPr>
          <w:rFonts w:cs="Segoe UI"/>
          <w:sz w:val="16"/>
          <w:szCs w:val="16"/>
        </w:rPr>
        <w:t xml:space="preserve">1) </w:t>
      </w:r>
      <w:r w:rsidRPr="006536D5">
        <w:rPr>
          <w:rFonts w:cs="Segoe UI"/>
          <w:sz w:val="16"/>
          <w:szCs w:val="16"/>
        </w:rPr>
        <w:t>Species has less than 20 per cent chance of being present in suitable habitat within the RFA region. Many of the migratory birds are coastal shorebirds. Source: Department of the Environment and Energy, Environmental Resources Information Network Species Profile and Threats (SPRaT) Database, July 2018. Note: WA records indicate the Western Bristlebird and Dibbler no longer occur in the RFA region.</w:t>
      </w:r>
    </w:p>
    <w:p w14:paraId="26ABDC8F" w14:textId="77777777" w:rsidR="006536D5" w:rsidRDefault="006536D5" w:rsidP="006536D5">
      <w:pPr>
        <w:spacing w:before="0" w:after="0"/>
        <w:rPr>
          <w:rFonts w:cs="Segoe UI"/>
          <w:sz w:val="16"/>
          <w:szCs w:val="16"/>
        </w:rPr>
      </w:pPr>
      <w:r>
        <w:rPr>
          <w:rFonts w:cs="Segoe UI"/>
          <w:sz w:val="16"/>
          <w:szCs w:val="16"/>
        </w:rPr>
        <w:lastRenderedPageBreak/>
        <w:t xml:space="preserve">2) </w:t>
      </w:r>
      <w:r w:rsidRPr="006536D5">
        <w:rPr>
          <w:rFonts w:cs="Segoe UI"/>
          <w:sz w:val="16"/>
          <w:szCs w:val="16"/>
        </w:rPr>
        <w:t>Source: Department of the Environment and Energy, Environmental Resources Information Network Species Profile and Threats (SPRaT) Database, July 2018.</w:t>
      </w:r>
    </w:p>
    <w:p w14:paraId="26ABDC90" w14:textId="77777777" w:rsidR="006536D5" w:rsidRDefault="006536D5" w:rsidP="006536D5">
      <w:pPr>
        <w:spacing w:before="0" w:after="0"/>
        <w:rPr>
          <w:rFonts w:cs="Segoe UI"/>
          <w:sz w:val="16"/>
          <w:szCs w:val="16"/>
        </w:rPr>
      </w:pPr>
      <w:r w:rsidRPr="006536D5">
        <w:rPr>
          <w:sz w:val="16"/>
          <w:szCs w:val="16"/>
        </w:rPr>
        <w:t># Commonwealth Endangered category also includes species listed by WA and the IUCN as Critically Endangered.</w:t>
      </w:r>
    </w:p>
    <w:p w14:paraId="26ABDC91" w14:textId="77777777" w:rsidR="006536D5" w:rsidRPr="006536D5" w:rsidRDefault="006536D5" w:rsidP="006536D5">
      <w:pPr>
        <w:spacing w:before="0" w:after="0"/>
        <w:rPr>
          <w:rFonts w:cs="Segoe UI"/>
          <w:sz w:val="16"/>
          <w:szCs w:val="16"/>
        </w:rPr>
      </w:pPr>
      <w:r w:rsidRPr="006536D5">
        <w:rPr>
          <w:sz w:val="16"/>
          <w:szCs w:val="16"/>
        </w:rPr>
        <w:t xml:space="preserve">** This Act ceased on 16 July 2000 as it was repealed by the </w:t>
      </w:r>
      <w:r w:rsidRPr="006536D5">
        <w:rPr>
          <w:i/>
          <w:iCs/>
          <w:sz w:val="16"/>
          <w:szCs w:val="16"/>
        </w:rPr>
        <w:t>Environment Reform (Consequential Provisions) Act 1999</w:t>
      </w:r>
      <w:r w:rsidRPr="006536D5">
        <w:rPr>
          <w:sz w:val="16"/>
          <w:szCs w:val="16"/>
        </w:rPr>
        <w:t>. It was replaced by the EPBC Act 1999.</w:t>
      </w:r>
    </w:p>
    <w:p w14:paraId="26ABDC92" w14:textId="77777777" w:rsidR="00042410" w:rsidRPr="00CE60B2" w:rsidRDefault="00042410" w:rsidP="00042410"/>
    <w:p w14:paraId="26ABDC93" w14:textId="77777777" w:rsidR="00A90358" w:rsidRDefault="00A90358">
      <w:pPr>
        <w:spacing w:before="0" w:after="480" w:line="276" w:lineRule="auto"/>
        <w:rPr>
          <w:rFonts w:eastAsiaTheme="majorEastAsia" w:cstheme="majorBidi"/>
          <w:i/>
          <w:color w:val="13345C" w:themeColor="accent1" w:themeShade="7F"/>
        </w:rPr>
      </w:pPr>
      <w:r>
        <w:br w:type="page"/>
      </w:r>
    </w:p>
    <w:p w14:paraId="26ABDC94" w14:textId="77777777" w:rsidR="00A90358" w:rsidRPr="00A90358" w:rsidRDefault="00A90358" w:rsidP="00A90358">
      <w:pPr>
        <w:pStyle w:val="Heading5"/>
      </w:pPr>
      <w:r w:rsidRPr="00A90358">
        <w:lastRenderedPageBreak/>
        <w:t xml:space="preserve">Threatened Flora </w:t>
      </w:r>
    </w:p>
    <w:tbl>
      <w:tblPr>
        <w:tblW w:w="8944" w:type="dxa"/>
        <w:tblInd w:w="118" w:type="dxa"/>
        <w:tblLook w:val="04A0" w:firstRow="1" w:lastRow="0" w:firstColumn="1" w:lastColumn="0" w:noHBand="0" w:noVBand="1"/>
      </w:tblPr>
      <w:tblGrid>
        <w:gridCol w:w="1620"/>
        <w:gridCol w:w="1203"/>
        <w:gridCol w:w="1203"/>
        <w:gridCol w:w="1370"/>
        <w:gridCol w:w="1519"/>
        <w:gridCol w:w="2029"/>
      </w:tblGrid>
      <w:tr w:rsidR="00A90358" w:rsidRPr="00DD3A6D" w14:paraId="26ABDC9B" w14:textId="77777777" w:rsidTr="00736CC4">
        <w:trPr>
          <w:trHeight w:val="8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C95" w14:textId="77777777" w:rsidR="00A90358" w:rsidRPr="00DD3A6D" w:rsidRDefault="00A90358" w:rsidP="000E2E5F">
            <w:pPr>
              <w:ind w:firstLineChars="100" w:firstLine="161"/>
              <w:jc w:val="center"/>
              <w:rPr>
                <w:b/>
                <w:bCs/>
                <w:color w:val="000000"/>
                <w:sz w:val="16"/>
                <w:szCs w:val="16"/>
              </w:rPr>
            </w:pPr>
            <w:r w:rsidRPr="00DD3A6D">
              <w:rPr>
                <w:b/>
                <w:bCs/>
                <w:color w:val="000000"/>
                <w:sz w:val="16"/>
                <w:szCs w:val="16"/>
              </w:rPr>
              <w:t>Taxon</w:t>
            </w:r>
          </w:p>
        </w:tc>
        <w:tc>
          <w:tcPr>
            <w:tcW w:w="0" w:type="auto"/>
            <w:tcBorders>
              <w:top w:val="single" w:sz="8" w:space="0" w:color="auto"/>
              <w:left w:val="nil"/>
              <w:bottom w:val="nil"/>
              <w:right w:val="single" w:sz="8" w:space="0" w:color="auto"/>
            </w:tcBorders>
            <w:shd w:val="clear" w:color="auto" w:fill="DFEFE1" w:themeFill="accent3" w:themeFillTint="66"/>
            <w:vAlign w:val="center"/>
            <w:hideMark/>
          </w:tcPr>
          <w:p w14:paraId="26ABDC96" w14:textId="77777777" w:rsidR="00A90358" w:rsidRPr="00DD3A6D" w:rsidRDefault="00A90358" w:rsidP="000E2E5F">
            <w:pPr>
              <w:jc w:val="center"/>
              <w:rPr>
                <w:b/>
                <w:bCs/>
                <w:color w:val="000000"/>
                <w:sz w:val="16"/>
                <w:szCs w:val="16"/>
              </w:rPr>
            </w:pPr>
            <w:r w:rsidRPr="00DD3A6D">
              <w:rPr>
                <w:b/>
                <w:bCs/>
                <w:color w:val="000000"/>
                <w:sz w:val="16"/>
                <w:szCs w:val="16"/>
              </w:rPr>
              <w:t>1998</w:t>
            </w:r>
          </w:p>
        </w:tc>
        <w:tc>
          <w:tcPr>
            <w:tcW w:w="0" w:type="auto"/>
            <w:tcBorders>
              <w:top w:val="single" w:sz="8" w:space="0" w:color="auto"/>
              <w:left w:val="nil"/>
              <w:bottom w:val="nil"/>
              <w:right w:val="single" w:sz="8" w:space="0" w:color="auto"/>
            </w:tcBorders>
            <w:shd w:val="clear" w:color="auto" w:fill="DFEFE1" w:themeFill="accent3" w:themeFillTint="66"/>
            <w:vAlign w:val="center"/>
            <w:hideMark/>
          </w:tcPr>
          <w:p w14:paraId="26ABDC97" w14:textId="77777777" w:rsidR="00A90358" w:rsidRPr="00DD3A6D" w:rsidRDefault="00A90358" w:rsidP="000E2E5F">
            <w:pPr>
              <w:jc w:val="center"/>
              <w:rPr>
                <w:b/>
                <w:bCs/>
                <w:color w:val="000000"/>
                <w:sz w:val="16"/>
                <w:szCs w:val="16"/>
              </w:rPr>
            </w:pPr>
            <w:r w:rsidRPr="00DD3A6D">
              <w:rPr>
                <w:b/>
                <w:bCs/>
                <w:color w:val="000000"/>
                <w:sz w:val="16"/>
                <w:szCs w:val="16"/>
              </w:rPr>
              <w:t>2018</w:t>
            </w:r>
          </w:p>
        </w:tc>
        <w:tc>
          <w:tcPr>
            <w:tcW w:w="0" w:type="auto"/>
            <w:tcBorders>
              <w:top w:val="single" w:sz="8" w:space="0" w:color="auto"/>
              <w:left w:val="nil"/>
              <w:bottom w:val="nil"/>
              <w:right w:val="single" w:sz="8" w:space="0" w:color="auto"/>
            </w:tcBorders>
            <w:shd w:val="clear" w:color="auto" w:fill="DFEFE1" w:themeFill="accent3" w:themeFillTint="66"/>
            <w:vAlign w:val="center"/>
            <w:hideMark/>
          </w:tcPr>
          <w:p w14:paraId="26ABDC98" w14:textId="77777777" w:rsidR="00A90358" w:rsidRPr="00DD3A6D" w:rsidRDefault="00A90358" w:rsidP="000E2E5F">
            <w:pPr>
              <w:jc w:val="center"/>
              <w:rPr>
                <w:b/>
                <w:bCs/>
                <w:color w:val="000000"/>
                <w:sz w:val="16"/>
                <w:szCs w:val="16"/>
              </w:rPr>
            </w:pPr>
            <w:r w:rsidRPr="00DD3A6D">
              <w:rPr>
                <w:b/>
                <w:bCs/>
                <w:color w:val="000000"/>
                <w:sz w:val="16"/>
                <w:szCs w:val="16"/>
              </w:rPr>
              <w:t>1998</w:t>
            </w:r>
          </w:p>
        </w:tc>
        <w:tc>
          <w:tcPr>
            <w:tcW w:w="0" w:type="auto"/>
            <w:tcBorders>
              <w:top w:val="single" w:sz="8" w:space="0" w:color="auto"/>
              <w:left w:val="nil"/>
              <w:bottom w:val="nil"/>
              <w:right w:val="single" w:sz="8" w:space="0" w:color="auto"/>
            </w:tcBorders>
            <w:shd w:val="clear" w:color="auto" w:fill="DFEFE1" w:themeFill="accent3" w:themeFillTint="66"/>
            <w:vAlign w:val="center"/>
            <w:hideMark/>
          </w:tcPr>
          <w:p w14:paraId="26ABDC99" w14:textId="77777777" w:rsidR="00A90358" w:rsidRPr="00DD3A6D" w:rsidRDefault="00A90358" w:rsidP="000E2E5F">
            <w:pPr>
              <w:jc w:val="center"/>
              <w:rPr>
                <w:b/>
                <w:bCs/>
                <w:color w:val="000000"/>
                <w:sz w:val="16"/>
                <w:szCs w:val="16"/>
              </w:rPr>
            </w:pPr>
            <w:r w:rsidRPr="00DD3A6D">
              <w:rPr>
                <w:b/>
                <w:bCs/>
                <w:color w:val="000000"/>
                <w:sz w:val="16"/>
                <w:szCs w:val="16"/>
              </w:rPr>
              <w:t>2018</w:t>
            </w:r>
          </w:p>
        </w:tc>
        <w:tc>
          <w:tcPr>
            <w:tcW w:w="2029" w:type="dxa"/>
            <w:vMerge w:val="restart"/>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C9A" w14:textId="77777777" w:rsidR="00A90358" w:rsidRPr="00DD3A6D" w:rsidRDefault="00A90358" w:rsidP="000E2E5F">
            <w:pPr>
              <w:jc w:val="center"/>
              <w:rPr>
                <w:b/>
                <w:bCs/>
                <w:color w:val="000000"/>
                <w:sz w:val="16"/>
                <w:szCs w:val="16"/>
              </w:rPr>
            </w:pPr>
            <w:r w:rsidRPr="00DD3A6D">
              <w:rPr>
                <w:b/>
                <w:bCs/>
                <w:color w:val="000000"/>
                <w:sz w:val="16"/>
                <w:szCs w:val="16"/>
              </w:rPr>
              <w:t>Status of recovery plan (including interim recovery plans) under either EPBC Act or WA State plan</w:t>
            </w:r>
          </w:p>
        </w:tc>
      </w:tr>
      <w:tr w:rsidR="00A90358" w:rsidRPr="00DD3A6D" w14:paraId="26ABDCA2" w14:textId="77777777" w:rsidTr="00736CC4">
        <w:trPr>
          <w:trHeight w:val="1092"/>
          <w:tblHeader/>
        </w:trPr>
        <w:tc>
          <w:tcPr>
            <w:tcW w:w="0" w:type="auto"/>
            <w:vMerge/>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C9C" w14:textId="77777777" w:rsidR="00A90358" w:rsidRPr="00DD3A6D" w:rsidRDefault="00A90358" w:rsidP="000E2E5F">
            <w:pPr>
              <w:rPr>
                <w:b/>
                <w:bCs/>
                <w:color w:val="000000"/>
                <w:sz w:val="16"/>
                <w:szCs w:val="16"/>
              </w:rPr>
            </w:pPr>
          </w:p>
        </w:tc>
        <w:tc>
          <w:tcPr>
            <w:tcW w:w="0" w:type="auto"/>
            <w:tcBorders>
              <w:top w:val="nil"/>
              <w:left w:val="nil"/>
              <w:bottom w:val="single" w:sz="8" w:space="0" w:color="auto"/>
              <w:right w:val="single" w:sz="8" w:space="0" w:color="auto"/>
            </w:tcBorders>
            <w:shd w:val="clear" w:color="auto" w:fill="DFEFE1" w:themeFill="accent3" w:themeFillTint="66"/>
            <w:vAlign w:val="center"/>
            <w:hideMark/>
          </w:tcPr>
          <w:p w14:paraId="26ABDC9D" w14:textId="77777777" w:rsidR="00A90358" w:rsidRPr="00DD3A6D" w:rsidRDefault="00A90358" w:rsidP="000E2E5F">
            <w:pPr>
              <w:rPr>
                <w:b/>
                <w:bCs/>
                <w:color w:val="000000"/>
                <w:sz w:val="16"/>
                <w:szCs w:val="16"/>
              </w:rPr>
            </w:pPr>
            <w:r w:rsidRPr="00DD3A6D">
              <w:rPr>
                <w:b/>
                <w:bCs/>
                <w:color w:val="000000"/>
                <w:sz w:val="16"/>
                <w:szCs w:val="16"/>
              </w:rPr>
              <w:t>Western Australian threat status</w:t>
            </w:r>
          </w:p>
        </w:tc>
        <w:tc>
          <w:tcPr>
            <w:tcW w:w="0" w:type="auto"/>
            <w:tcBorders>
              <w:top w:val="nil"/>
              <w:left w:val="nil"/>
              <w:bottom w:val="single" w:sz="8" w:space="0" w:color="auto"/>
              <w:right w:val="single" w:sz="8" w:space="0" w:color="auto"/>
            </w:tcBorders>
            <w:shd w:val="clear" w:color="auto" w:fill="DFEFE1" w:themeFill="accent3" w:themeFillTint="66"/>
            <w:vAlign w:val="center"/>
            <w:hideMark/>
          </w:tcPr>
          <w:p w14:paraId="26ABDC9E" w14:textId="77777777" w:rsidR="00A90358" w:rsidRPr="00DD3A6D" w:rsidRDefault="00A90358" w:rsidP="000E2E5F">
            <w:pPr>
              <w:rPr>
                <w:b/>
                <w:bCs/>
                <w:color w:val="000000"/>
                <w:sz w:val="16"/>
                <w:szCs w:val="16"/>
              </w:rPr>
            </w:pPr>
            <w:r w:rsidRPr="00DD3A6D">
              <w:rPr>
                <w:b/>
                <w:bCs/>
                <w:color w:val="000000"/>
                <w:sz w:val="16"/>
                <w:szCs w:val="16"/>
              </w:rPr>
              <w:t>Western Australian threat status</w:t>
            </w:r>
          </w:p>
        </w:tc>
        <w:tc>
          <w:tcPr>
            <w:tcW w:w="0" w:type="auto"/>
            <w:tcBorders>
              <w:top w:val="nil"/>
              <w:left w:val="nil"/>
              <w:bottom w:val="single" w:sz="8" w:space="0" w:color="auto"/>
              <w:right w:val="single" w:sz="8" w:space="0" w:color="auto"/>
            </w:tcBorders>
            <w:shd w:val="clear" w:color="auto" w:fill="DFEFE1" w:themeFill="accent3" w:themeFillTint="66"/>
            <w:vAlign w:val="center"/>
            <w:hideMark/>
          </w:tcPr>
          <w:p w14:paraId="26ABDC9F" w14:textId="77777777" w:rsidR="00A90358" w:rsidRPr="00DD3A6D" w:rsidRDefault="00A90358" w:rsidP="000E2E5F">
            <w:pPr>
              <w:jc w:val="center"/>
              <w:rPr>
                <w:b/>
                <w:bCs/>
                <w:color w:val="000000"/>
                <w:sz w:val="16"/>
                <w:szCs w:val="16"/>
              </w:rPr>
            </w:pPr>
            <w:r w:rsidRPr="00DD3A6D">
              <w:rPr>
                <w:b/>
                <w:bCs/>
                <w:color w:val="000000"/>
                <w:sz w:val="16"/>
                <w:szCs w:val="16"/>
              </w:rPr>
              <w:t xml:space="preserve"> C'wlth </w:t>
            </w:r>
            <w:r w:rsidRPr="00DD3A6D">
              <w:rPr>
                <w:b/>
                <w:bCs/>
                <w:i/>
                <w:iCs/>
                <w:color w:val="000000"/>
                <w:sz w:val="16"/>
                <w:szCs w:val="16"/>
              </w:rPr>
              <w:t>Endangered Species Protection Act</w:t>
            </w:r>
            <w:r w:rsidRPr="00DD3A6D">
              <w:rPr>
                <w:b/>
                <w:bCs/>
                <w:color w:val="000000"/>
                <w:sz w:val="16"/>
                <w:szCs w:val="16"/>
              </w:rPr>
              <w:t xml:space="preserve"> status #</w:t>
            </w:r>
          </w:p>
        </w:tc>
        <w:tc>
          <w:tcPr>
            <w:tcW w:w="0" w:type="auto"/>
            <w:tcBorders>
              <w:top w:val="nil"/>
              <w:left w:val="nil"/>
              <w:bottom w:val="single" w:sz="8" w:space="0" w:color="auto"/>
              <w:right w:val="single" w:sz="8" w:space="0" w:color="auto"/>
            </w:tcBorders>
            <w:shd w:val="clear" w:color="auto" w:fill="DFEFE1" w:themeFill="accent3" w:themeFillTint="66"/>
            <w:vAlign w:val="center"/>
            <w:hideMark/>
          </w:tcPr>
          <w:p w14:paraId="26ABDCA0" w14:textId="77777777" w:rsidR="00A90358" w:rsidRPr="00DD3A6D" w:rsidRDefault="00A90358" w:rsidP="000E2E5F">
            <w:pPr>
              <w:rPr>
                <w:b/>
                <w:bCs/>
                <w:color w:val="000000"/>
                <w:sz w:val="16"/>
                <w:szCs w:val="16"/>
              </w:rPr>
            </w:pPr>
            <w:r w:rsidRPr="00DD3A6D">
              <w:rPr>
                <w:b/>
                <w:bCs/>
                <w:color w:val="000000"/>
                <w:sz w:val="16"/>
                <w:szCs w:val="16"/>
              </w:rPr>
              <w:t>listing of species under EPBC Act</w:t>
            </w:r>
          </w:p>
        </w:tc>
        <w:tc>
          <w:tcPr>
            <w:tcW w:w="2029" w:type="dxa"/>
            <w:vMerge/>
            <w:tcBorders>
              <w:top w:val="single" w:sz="8" w:space="0" w:color="auto"/>
              <w:left w:val="single" w:sz="8" w:space="0" w:color="auto"/>
              <w:bottom w:val="single" w:sz="8" w:space="0" w:color="000000"/>
              <w:right w:val="single" w:sz="8" w:space="0" w:color="auto"/>
            </w:tcBorders>
            <w:shd w:val="clear" w:color="auto" w:fill="DFEFE1" w:themeFill="accent3" w:themeFillTint="66"/>
            <w:vAlign w:val="center"/>
            <w:hideMark/>
          </w:tcPr>
          <w:p w14:paraId="26ABDCA1" w14:textId="77777777" w:rsidR="00A90358" w:rsidRPr="00DD3A6D" w:rsidRDefault="00A90358" w:rsidP="000E2E5F">
            <w:pPr>
              <w:rPr>
                <w:b/>
                <w:bCs/>
                <w:color w:val="000000"/>
                <w:sz w:val="16"/>
                <w:szCs w:val="16"/>
              </w:rPr>
            </w:pPr>
          </w:p>
        </w:tc>
      </w:tr>
      <w:tr w:rsidR="00A90358" w:rsidRPr="00DD3A6D" w14:paraId="26ABDCA4" w14:textId="77777777" w:rsidTr="00A90358">
        <w:trPr>
          <w:trHeight w:val="276"/>
        </w:trPr>
        <w:tc>
          <w:tcPr>
            <w:tcW w:w="894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6ABDCA3" w14:textId="77777777" w:rsidR="00A90358" w:rsidRPr="00DD3A6D" w:rsidRDefault="00A90358" w:rsidP="000E2E5F">
            <w:pPr>
              <w:jc w:val="both"/>
              <w:rPr>
                <w:b/>
                <w:bCs/>
                <w:color w:val="000000"/>
                <w:sz w:val="16"/>
                <w:szCs w:val="16"/>
              </w:rPr>
            </w:pPr>
            <w:r w:rsidRPr="00DD3A6D">
              <w:rPr>
                <w:b/>
                <w:bCs/>
                <w:color w:val="000000"/>
                <w:sz w:val="16"/>
                <w:szCs w:val="16"/>
              </w:rPr>
              <w:t>Taxa with recovery plan published and being implemented</w:t>
            </w:r>
          </w:p>
        </w:tc>
      </w:tr>
      <w:tr w:rsidR="00A90358" w:rsidRPr="00DD3A6D" w14:paraId="26ABDCAB" w14:textId="77777777" w:rsidTr="00A90358">
        <w:trPr>
          <w:trHeight w:val="123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CA5" w14:textId="77777777" w:rsidR="00A90358" w:rsidRPr="00DD3A6D" w:rsidRDefault="00A90358" w:rsidP="000E2E5F">
            <w:pPr>
              <w:rPr>
                <w:i/>
                <w:iCs/>
                <w:color w:val="000000"/>
                <w:sz w:val="16"/>
                <w:szCs w:val="16"/>
              </w:rPr>
            </w:pPr>
            <w:r w:rsidRPr="00DD3A6D">
              <w:rPr>
                <w:i/>
                <w:iCs/>
                <w:color w:val="000000"/>
                <w:sz w:val="16"/>
                <w:szCs w:val="16"/>
              </w:rPr>
              <w:t xml:space="preserve">Acacia chapmanii </w:t>
            </w:r>
            <w:r w:rsidRPr="00DD3A6D">
              <w:rPr>
                <w:color w:val="000000"/>
                <w:sz w:val="16"/>
                <w:szCs w:val="16"/>
              </w:rPr>
              <w:t>subsp</w:t>
            </w:r>
            <w:r w:rsidRPr="00DD3A6D">
              <w:rPr>
                <w:i/>
                <w:iCs/>
                <w:color w:val="000000"/>
                <w:sz w:val="16"/>
                <w:szCs w:val="16"/>
              </w:rPr>
              <w:t>. australis</w:t>
            </w:r>
          </w:p>
        </w:tc>
        <w:tc>
          <w:tcPr>
            <w:tcW w:w="0" w:type="auto"/>
            <w:tcBorders>
              <w:top w:val="nil"/>
              <w:left w:val="nil"/>
              <w:bottom w:val="single" w:sz="8" w:space="0" w:color="auto"/>
              <w:right w:val="single" w:sz="8" w:space="0" w:color="auto"/>
            </w:tcBorders>
            <w:shd w:val="clear" w:color="auto" w:fill="auto"/>
            <w:vAlign w:val="center"/>
            <w:hideMark/>
          </w:tcPr>
          <w:p w14:paraId="26ABDCA6" w14:textId="77777777" w:rsidR="00A90358" w:rsidRPr="00DD3A6D" w:rsidRDefault="00A90358" w:rsidP="000E2E5F">
            <w:pPr>
              <w:rPr>
                <w:color w:val="000000"/>
                <w:sz w:val="16"/>
                <w:szCs w:val="16"/>
              </w:rPr>
            </w:pPr>
            <w:r w:rsidRPr="00DD3A6D">
              <w:rPr>
                <w:color w:val="000000"/>
                <w:sz w:val="16"/>
                <w:szCs w:val="16"/>
              </w:rPr>
              <w:t>Not listed</w:t>
            </w:r>
          </w:p>
        </w:tc>
        <w:tc>
          <w:tcPr>
            <w:tcW w:w="0" w:type="auto"/>
            <w:tcBorders>
              <w:top w:val="nil"/>
              <w:left w:val="nil"/>
              <w:bottom w:val="single" w:sz="8" w:space="0" w:color="auto"/>
              <w:right w:val="single" w:sz="8" w:space="0" w:color="auto"/>
            </w:tcBorders>
            <w:shd w:val="clear" w:color="auto" w:fill="auto"/>
            <w:vAlign w:val="center"/>
            <w:hideMark/>
          </w:tcPr>
          <w:p w14:paraId="26ABDCA7"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CA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CA9"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CAA" w14:textId="77777777" w:rsidR="00A90358" w:rsidRPr="00DD3A6D" w:rsidRDefault="00A90358" w:rsidP="000E2E5F">
            <w:pPr>
              <w:rPr>
                <w:color w:val="000000"/>
                <w:sz w:val="16"/>
                <w:szCs w:val="16"/>
              </w:rPr>
            </w:pPr>
            <w:r w:rsidRPr="00DD3A6D">
              <w:rPr>
                <w:color w:val="000000"/>
                <w:sz w:val="16"/>
                <w:szCs w:val="16"/>
              </w:rPr>
              <w:t>WA recovery plan in place 2015</w:t>
            </w:r>
            <w:r w:rsidRPr="00DD3A6D">
              <w:rPr>
                <w:color w:val="000000"/>
                <w:sz w:val="16"/>
                <w:szCs w:val="16"/>
              </w:rPr>
              <w:br/>
              <w:t>National recovery plan not required Conservation advice approved 03/07/2008</w:t>
            </w:r>
          </w:p>
        </w:tc>
      </w:tr>
      <w:tr w:rsidR="00A90358" w:rsidRPr="00DD3A6D" w14:paraId="26ABDCB2"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CAC" w14:textId="77777777" w:rsidR="00A90358" w:rsidRPr="00DD3A6D" w:rsidRDefault="00A90358" w:rsidP="000E2E5F">
            <w:pPr>
              <w:rPr>
                <w:i/>
                <w:iCs/>
                <w:color w:val="000000"/>
                <w:sz w:val="16"/>
                <w:szCs w:val="16"/>
              </w:rPr>
            </w:pPr>
            <w:r>
              <w:rPr>
                <w:i/>
                <w:iCs/>
                <w:color w:val="000000"/>
                <w:sz w:val="16"/>
                <w:szCs w:val="16"/>
              </w:rPr>
              <w:t>Adenanthos pungens subsp. effuses</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CAD"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CAE"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CAF"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CB0"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CB1" w14:textId="77777777" w:rsidR="00A90358" w:rsidRPr="00DD3A6D" w:rsidRDefault="00A90358" w:rsidP="000E2E5F">
            <w:pPr>
              <w:rPr>
                <w:color w:val="000000"/>
                <w:sz w:val="16"/>
                <w:szCs w:val="16"/>
              </w:rPr>
            </w:pPr>
            <w:r>
              <w:rPr>
                <w:color w:val="000000"/>
                <w:sz w:val="16"/>
                <w:szCs w:val="16"/>
              </w:rPr>
              <w:t>WA recovery plan e</w:t>
            </w:r>
            <w:r w:rsidRPr="00E72278">
              <w:rPr>
                <w:color w:val="000000"/>
                <w:sz w:val="16"/>
                <w:szCs w:val="16"/>
              </w:rPr>
              <w:t>ndorsed as national recovery plan</w:t>
            </w:r>
          </w:p>
        </w:tc>
      </w:tr>
      <w:tr w:rsidR="00A90358" w:rsidRPr="00DD3A6D" w14:paraId="26ABDCBA"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CB3" w14:textId="77777777" w:rsidR="00A90358" w:rsidRPr="00DD3A6D" w:rsidRDefault="00A90358" w:rsidP="000E2E5F">
            <w:pPr>
              <w:rPr>
                <w:i/>
                <w:iCs/>
                <w:color w:val="000000"/>
                <w:sz w:val="16"/>
                <w:szCs w:val="16"/>
              </w:rPr>
            </w:pPr>
            <w:r w:rsidRPr="00DD3A6D">
              <w:rPr>
                <w:i/>
                <w:iCs/>
                <w:color w:val="000000"/>
                <w:sz w:val="16"/>
                <w:szCs w:val="16"/>
              </w:rPr>
              <w:t>Andersonia annelsii</w:t>
            </w:r>
          </w:p>
        </w:tc>
        <w:tc>
          <w:tcPr>
            <w:tcW w:w="0" w:type="auto"/>
            <w:tcBorders>
              <w:top w:val="nil"/>
              <w:left w:val="nil"/>
              <w:bottom w:val="single" w:sz="8" w:space="0" w:color="auto"/>
              <w:right w:val="single" w:sz="8" w:space="0" w:color="auto"/>
            </w:tcBorders>
            <w:shd w:val="clear" w:color="auto" w:fill="auto"/>
            <w:vAlign w:val="center"/>
            <w:hideMark/>
          </w:tcPr>
          <w:p w14:paraId="26ABDCB4"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CB5"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CB6"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CB7"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CB8" w14:textId="77777777" w:rsidR="00A90358" w:rsidRDefault="00A90358" w:rsidP="000E2E5F">
            <w:pPr>
              <w:rPr>
                <w:color w:val="000000"/>
                <w:sz w:val="16"/>
                <w:szCs w:val="16"/>
              </w:rPr>
            </w:pPr>
            <w:r w:rsidRPr="00DD3A6D">
              <w:rPr>
                <w:color w:val="000000"/>
                <w:sz w:val="16"/>
                <w:szCs w:val="16"/>
              </w:rPr>
              <w:t>WA recovery plan in place 2012</w:t>
            </w:r>
          </w:p>
          <w:p w14:paraId="26ABDCB9"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11/05/201</w:t>
            </w:r>
            <w:r w:rsidRPr="00DD3A6D">
              <w:rPr>
                <w:color w:val="000000"/>
                <w:sz w:val="16"/>
                <w:szCs w:val="16"/>
              </w:rPr>
              <w:t>8</w:t>
            </w:r>
          </w:p>
        </w:tc>
      </w:tr>
      <w:tr w:rsidR="00A90358" w:rsidRPr="00DD3A6D" w14:paraId="26ABDCC1"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CBB" w14:textId="77777777" w:rsidR="00A90358" w:rsidRPr="00DD3A6D" w:rsidRDefault="00A90358" w:rsidP="000E2E5F">
            <w:pPr>
              <w:rPr>
                <w:i/>
                <w:iCs/>
                <w:color w:val="000000"/>
                <w:sz w:val="16"/>
                <w:szCs w:val="16"/>
              </w:rPr>
            </w:pPr>
            <w:r>
              <w:rPr>
                <w:i/>
                <w:iCs/>
                <w:color w:val="000000"/>
                <w:sz w:val="16"/>
                <w:szCs w:val="16"/>
              </w:rPr>
              <w:t>Andersonia gracilis</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CBC"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CBD"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CBE"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CBF"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CC0" w14:textId="77777777" w:rsidR="00A90358" w:rsidRPr="00DD3A6D" w:rsidRDefault="00A90358" w:rsidP="000E2E5F">
            <w:pPr>
              <w:rPr>
                <w:color w:val="000000"/>
                <w:sz w:val="16"/>
                <w:szCs w:val="16"/>
              </w:rPr>
            </w:pPr>
            <w:r>
              <w:rPr>
                <w:color w:val="000000"/>
                <w:sz w:val="16"/>
                <w:szCs w:val="16"/>
              </w:rPr>
              <w:t>WA recovery plan e</w:t>
            </w:r>
            <w:r w:rsidRPr="00E72278">
              <w:rPr>
                <w:color w:val="000000"/>
                <w:sz w:val="16"/>
                <w:szCs w:val="16"/>
              </w:rPr>
              <w:t>ndorsed as national recovery plan</w:t>
            </w:r>
            <w:r>
              <w:rPr>
                <w:color w:val="000000"/>
                <w:sz w:val="16"/>
                <w:szCs w:val="16"/>
              </w:rPr>
              <w:t xml:space="preserve"> 2008</w:t>
            </w:r>
          </w:p>
        </w:tc>
      </w:tr>
      <w:tr w:rsidR="00A90358" w:rsidRPr="00DD3A6D" w14:paraId="26ABDCC8"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CC2" w14:textId="77777777" w:rsidR="00A90358" w:rsidRDefault="00A90358" w:rsidP="000E2E5F">
            <w:pPr>
              <w:rPr>
                <w:i/>
                <w:iCs/>
                <w:color w:val="000000"/>
                <w:sz w:val="16"/>
                <w:szCs w:val="16"/>
              </w:rPr>
            </w:pPr>
            <w:r>
              <w:rPr>
                <w:i/>
                <w:iCs/>
                <w:color w:val="000000"/>
                <w:sz w:val="16"/>
                <w:szCs w:val="16"/>
              </w:rPr>
              <w:t>Banksia brownii</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CC3"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CC4" w14:textId="77777777" w:rsidR="00A90358"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CC5"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CC6" w14:textId="77777777" w:rsidR="00A90358"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CC7" w14:textId="77777777" w:rsidR="00A90358" w:rsidRPr="00DD3A6D" w:rsidRDefault="00A90358" w:rsidP="000E2E5F">
            <w:pPr>
              <w:rPr>
                <w:color w:val="000000"/>
                <w:sz w:val="16"/>
                <w:szCs w:val="16"/>
              </w:rPr>
            </w:pPr>
            <w:r>
              <w:rPr>
                <w:color w:val="000000"/>
                <w:sz w:val="16"/>
                <w:szCs w:val="16"/>
              </w:rPr>
              <w:t>WA recovery plan endorsed as national recovery plan 2008</w:t>
            </w:r>
          </w:p>
        </w:tc>
      </w:tr>
      <w:tr w:rsidR="00A90358" w:rsidRPr="00DD3A6D" w14:paraId="26ABDCD0"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CC9" w14:textId="77777777" w:rsidR="00A90358" w:rsidRPr="00DD3A6D" w:rsidRDefault="00A90358" w:rsidP="000E2E5F">
            <w:pPr>
              <w:rPr>
                <w:i/>
                <w:iCs/>
                <w:color w:val="000000"/>
                <w:sz w:val="16"/>
                <w:szCs w:val="16"/>
              </w:rPr>
            </w:pPr>
            <w:r w:rsidRPr="00DD3A6D">
              <w:rPr>
                <w:i/>
                <w:iCs/>
                <w:color w:val="000000"/>
                <w:sz w:val="16"/>
                <w:szCs w:val="16"/>
              </w:rPr>
              <w:t>Banksia</w:t>
            </w:r>
            <w:r w:rsidRPr="00DD3A6D">
              <w:rPr>
                <w:color w:val="000000"/>
                <w:sz w:val="16"/>
                <w:szCs w:val="16"/>
              </w:rPr>
              <w:t xml:space="preserve"> (previously</w:t>
            </w:r>
            <w:r w:rsidRPr="00DD3A6D">
              <w:rPr>
                <w:i/>
                <w:iCs/>
                <w:color w:val="000000"/>
                <w:sz w:val="16"/>
                <w:szCs w:val="16"/>
              </w:rPr>
              <w:t xml:space="preserve"> Dryandra</w:t>
            </w:r>
            <w:r w:rsidRPr="00DD3A6D">
              <w:rPr>
                <w:color w:val="000000"/>
                <w:sz w:val="16"/>
                <w:szCs w:val="16"/>
              </w:rPr>
              <w:t>)</w:t>
            </w:r>
            <w:r w:rsidRPr="00DD3A6D">
              <w:rPr>
                <w:i/>
                <w:iCs/>
                <w:color w:val="000000"/>
                <w:sz w:val="16"/>
                <w:szCs w:val="16"/>
              </w:rPr>
              <w:t xml:space="preserve"> nivea </w:t>
            </w:r>
            <w:r w:rsidRPr="00DD3A6D">
              <w:rPr>
                <w:color w:val="000000"/>
                <w:sz w:val="16"/>
                <w:szCs w:val="16"/>
              </w:rPr>
              <w:t>subsp</w:t>
            </w:r>
            <w:r w:rsidRPr="00DD3A6D">
              <w:rPr>
                <w:i/>
                <w:iCs/>
                <w:color w:val="000000"/>
                <w:sz w:val="16"/>
                <w:szCs w:val="16"/>
              </w:rPr>
              <w:t xml:space="preserve">. uliginosa </w:t>
            </w:r>
          </w:p>
        </w:tc>
        <w:tc>
          <w:tcPr>
            <w:tcW w:w="0" w:type="auto"/>
            <w:tcBorders>
              <w:top w:val="nil"/>
              <w:left w:val="nil"/>
              <w:bottom w:val="single" w:sz="8" w:space="0" w:color="auto"/>
              <w:right w:val="single" w:sz="8" w:space="0" w:color="auto"/>
            </w:tcBorders>
            <w:shd w:val="clear" w:color="auto" w:fill="auto"/>
            <w:vAlign w:val="center"/>
            <w:hideMark/>
          </w:tcPr>
          <w:p w14:paraId="26ABDCCA"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CCB"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CCC"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CCD"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CCE" w14:textId="77777777" w:rsidR="00A90358" w:rsidRDefault="00A90358" w:rsidP="000E2E5F">
            <w:pPr>
              <w:rPr>
                <w:color w:val="000000"/>
                <w:sz w:val="16"/>
                <w:szCs w:val="16"/>
              </w:rPr>
            </w:pPr>
            <w:r w:rsidRPr="00DD3A6D">
              <w:rPr>
                <w:color w:val="000000"/>
                <w:sz w:val="16"/>
                <w:szCs w:val="16"/>
              </w:rPr>
              <w:t>WA recovery plan in place 2010</w:t>
            </w:r>
          </w:p>
          <w:p w14:paraId="26ABDCCF" w14:textId="77777777" w:rsidR="00A90358" w:rsidRPr="00DD3A6D" w:rsidRDefault="00A90358" w:rsidP="000E2E5F">
            <w:pPr>
              <w:rPr>
                <w:color w:val="000000"/>
                <w:sz w:val="16"/>
                <w:szCs w:val="16"/>
              </w:rPr>
            </w:pPr>
            <w:r>
              <w:rPr>
                <w:color w:val="000000"/>
                <w:sz w:val="16"/>
                <w:szCs w:val="16"/>
              </w:rPr>
              <w:t>Endorsed as national recovery plan</w:t>
            </w:r>
          </w:p>
        </w:tc>
      </w:tr>
      <w:tr w:rsidR="00A90358" w:rsidRPr="00DD3A6D" w14:paraId="26ABDCD7" w14:textId="77777777" w:rsidTr="00A90358">
        <w:trPr>
          <w:trHeight w:val="1236"/>
        </w:trPr>
        <w:tc>
          <w:tcPr>
            <w:tcW w:w="0" w:type="auto"/>
            <w:tcBorders>
              <w:top w:val="nil"/>
              <w:left w:val="single" w:sz="8" w:space="0" w:color="auto"/>
              <w:bottom w:val="single" w:sz="8" w:space="0" w:color="auto"/>
              <w:right w:val="single" w:sz="8" w:space="0" w:color="auto"/>
            </w:tcBorders>
            <w:shd w:val="clear" w:color="auto" w:fill="auto"/>
            <w:vAlign w:val="center"/>
          </w:tcPr>
          <w:p w14:paraId="26ABDCD1" w14:textId="77777777" w:rsidR="00A90358" w:rsidRPr="00DD3A6D" w:rsidRDefault="00A90358" w:rsidP="000E2E5F">
            <w:pPr>
              <w:rPr>
                <w:i/>
                <w:iCs/>
                <w:color w:val="000000"/>
                <w:sz w:val="16"/>
                <w:szCs w:val="16"/>
              </w:rPr>
            </w:pPr>
            <w:r>
              <w:rPr>
                <w:i/>
                <w:iCs/>
                <w:color w:val="000000"/>
                <w:sz w:val="16"/>
                <w:szCs w:val="16"/>
              </w:rPr>
              <w:t>Banksia oligantha</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CD2"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CD3"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CD4"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CD5"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CD6" w14:textId="77777777" w:rsidR="00A90358" w:rsidRPr="00DD3A6D" w:rsidRDefault="00A90358" w:rsidP="000E2E5F">
            <w:pPr>
              <w:rPr>
                <w:color w:val="000000"/>
                <w:sz w:val="16"/>
                <w:szCs w:val="16"/>
              </w:rPr>
            </w:pPr>
            <w:r>
              <w:rPr>
                <w:color w:val="000000"/>
                <w:sz w:val="16"/>
                <w:szCs w:val="16"/>
              </w:rPr>
              <w:t>WA recovery plan endorsed as national recovery plan 2008</w:t>
            </w:r>
          </w:p>
        </w:tc>
      </w:tr>
      <w:tr w:rsidR="00A90358" w:rsidRPr="00DD3A6D" w14:paraId="26ABDCDF" w14:textId="77777777" w:rsidTr="00A90358">
        <w:trPr>
          <w:trHeight w:val="123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CD8" w14:textId="77777777" w:rsidR="00A90358" w:rsidRPr="00DD3A6D" w:rsidRDefault="00A90358" w:rsidP="000E2E5F">
            <w:pPr>
              <w:rPr>
                <w:i/>
                <w:iCs/>
                <w:color w:val="000000"/>
                <w:sz w:val="16"/>
                <w:szCs w:val="16"/>
              </w:rPr>
            </w:pPr>
            <w:r w:rsidRPr="00DD3A6D">
              <w:rPr>
                <w:i/>
                <w:iCs/>
                <w:color w:val="000000"/>
                <w:sz w:val="16"/>
                <w:szCs w:val="16"/>
              </w:rPr>
              <w:t xml:space="preserve">Banksia </w:t>
            </w:r>
            <w:r w:rsidRPr="00DD3A6D">
              <w:rPr>
                <w:color w:val="000000"/>
                <w:sz w:val="16"/>
                <w:szCs w:val="16"/>
              </w:rPr>
              <w:t>(previously</w:t>
            </w:r>
            <w:r w:rsidRPr="00DD3A6D">
              <w:rPr>
                <w:i/>
                <w:iCs/>
                <w:color w:val="000000"/>
                <w:sz w:val="16"/>
                <w:szCs w:val="16"/>
              </w:rPr>
              <w:t xml:space="preserve"> Dryandra</w:t>
            </w:r>
            <w:r w:rsidRPr="00DD3A6D">
              <w:rPr>
                <w:color w:val="000000"/>
                <w:sz w:val="16"/>
                <w:szCs w:val="16"/>
              </w:rPr>
              <w:t xml:space="preserve">) </w:t>
            </w:r>
            <w:r w:rsidRPr="00DD3A6D">
              <w:rPr>
                <w:i/>
                <w:iCs/>
                <w:color w:val="000000"/>
                <w:sz w:val="16"/>
                <w:szCs w:val="16"/>
              </w:rPr>
              <w:t xml:space="preserve">squarrosa </w:t>
            </w:r>
            <w:r w:rsidRPr="00DD3A6D">
              <w:rPr>
                <w:color w:val="000000"/>
                <w:sz w:val="16"/>
                <w:szCs w:val="16"/>
              </w:rPr>
              <w:t>subsp</w:t>
            </w:r>
            <w:r w:rsidRPr="00DD3A6D">
              <w:rPr>
                <w:i/>
                <w:iCs/>
                <w:color w:val="000000"/>
                <w:sz w:val="16"/>
                <w:szCs w:val="16"/>
              </w:rPr>
              <w:t>. argillacea</w:t>
            </w:r>
          </w:p>
        </w:tc>
        <w:tc>
          <w:tcPr>
            <w:tcW w:w="0" w:type="auto"/>
            <w:tcBorders>
              <w:top w:val="nil"/>
              <w:left w:val="nil"/>
              <w:bottom w:val="single" w:sz="8" w:space="0" w:color="auto"/>
              <w:right w:val="single" w:sz="8" w:space="0" w:color="auto"/>
            </w:tcBorders>
            <w:shd w:val="clear" w:color="auto" w:fill="auto"/>
            <w:vAlign w:val="center"/>
            <w:hideMark/>
          </w:tcPr>
          <w:p w14:paraId="26ABDCD9"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CDA"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CDB"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CDC"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CDD" w14:textId="77777777" w:rsidR="00A90358" w:rsidRDefault="00A90358" w:rsidP="000E2E5F">
            <w:pPr>
              <w:rPr>
                <w:color w:val="000000"/>
                <w:sz w:val="16"/>
                <w:szCs w:val="16"/>
              </w:rPr>
            </w:pPr>
            <w:r w:rsidRPr="00DD3A6D">
              <w:rPr>
                <w:color w:val="000000"/>
                <w:sz w:val="16"/>
                <w:szCs w:val="16"/>
              </w:rPr>
              <w:t>WA recovery plan in place 2005</w:t>
            </w:r>
          </w:p>
          <w:p w14:paraId="26ABDCDE" w14:textId="77777777" w:rsidR="00A90358" w:rsidRPr="00DD3A6D" w:rsidRDefault="00A90358" w:rsidP="000E2E5F">
            <w:pPr>
              <w:rPr>
                <w:color w:val="000000"/>
                <w:sz w:val="16"/>
                <w:szCs w:val="16"/>
              </w:rPr>
            </w:pPr>
            <w:r>
              <w:rPr>
                <w:color w:val="000000"/>
                <w:sz w:val="16"/>
                <w:szCs w:val="16"/>
              </w:rPr>
              <w:t>National recovery plan required</w:t>
            </w:r>
          </w:p>
        </w:tc>
      </w:tr>
      <w:tr w:rsidR="00A90358" w:rsidRPr="00DD3A6D" w14:paraId="26ABDCE6" w14:textId="77777777" w:rsidTr="00A90358">
        <w:trPr>
          <w:trHeight w:val="123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CE0" w14:textId="77777777" w:rsidR="00A90358" w:rsidRPr="00DD3A6D" w:rsidRDefault="00A90358" w:rsidP="000E2E5F">
            <w:pPr>
              <w:rPr>
                <w:i/>
                <w:iCs/>
                <w:color w:val="000000"/>
                <w:sz w:val="16"/>
                <w:szCs w:val="16"/>
              </w:rPr>
            </w:pPr>
            <w:r w:rsidRPr="00DD3A6D">
              <w:rPr>
                <w:i/>
                <w:iCs/>
                <w:color w:val="000000"/>
                <w:sz w:val="16"/>
                <w:szCs w:val="16"/>
              </w:rPr>
              <w:lastRenderedPageBreak/>
              <w:t>Banksia verticillata *</w:t>
            </w:r>
          </w:p>
        </w:tc>
        <w:tc>
          <w:tcPr>
            <w:tcW w:w="0" w:type="auto"/>
            <w:tcBorders>
              <w:top w:val="nil"/>
              <w:left w:val="nil"/>
              <w:bottom w:val="single" w:sz="8" w:space="0" w:color="auto"/>
              <w:right w:val="single" w:sz="8" w:space="0" w:color="auto"/>
            </w:tcBorders>
            <w:shd w:val="clear" w:color="auto" w:fill="auto"/>
            <w:vAlign w:val="center"/>
            <w:hideMark/>
          </w:tcPr>
          <w:p w14:paraId="26ABDCE1"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CE2"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CE3"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CE4"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CE5" w14:textId="77777777" w:rsidR="00A90358" w:rsidRPr="00DD3A6D" w:rsidRDefault="00A90358" w:rsidP="000E2E5F">
            <w:pPr>
              <w:rPr>
                <w:color w:val="000000"/>
                <w:sz w:val="16"/>
                <w:szCs w:val="16"/>
              </w:rPr>
            </w:pPr>
            <w:r w:rsidRPr="00DD3A6D">
              <w:rPr>
                <w:color w:val="000000"/>
                <w:sz w:val="16"/>
                <w:szCs w:val="16"/>
              </w:rPr>
              <w:t>WA recovery plan in place 2017</w:t>
            </w:r>
            <w:r w:rsidRPr="00DD3A6D">
              <w:rPr>
                <w:color w:val="000000"/>
                <w:sz w:val="16"/>
                <w:szCs w:val="16"/>
              </w:rPr>
              <w:br/>
              <w:t>National recovery plan not required Conservation advice approved 26/03/2008</w:t>
            </w:r>
          </w:p>
        </w:tc>
      </w:tr>
      <w:tr w:rsidR="00A90358" w:rsidRPr="00DD3A6D" w14:paraId="26ABDCEE"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CE7" w14:textId="77777777" w:rsidR="00A90358" w:rsidRPr="00DD3A6D" w:rsidRDefault="00A90358" w:rsidP="000E2E5F">
            <w:pPr>
              <w:rPr>
                <w:i/>
                <w:iCs/>
                <w:color w:val="000000"/>
                <w:sz w:val="16"/>
                <w:szCs w:val="16"/>
              </w:rPr>
            </w:pPr>
            <w:r w:rsidRPr="00DD3A6D">
              <w:rPr>
                <w:i/>
                <w:iCs/>
                <w:color w:val="000000"/>
                <w:sz w:val="16"/>
                <w:szCs w:val="16"/>
              </w:rPr>
              <w:t>Boronia exilis</w:t>
            </w:r>
          </w:p>
        </w:tc>
        <w:tc>
          <w:tcPr>
            <w:tcW w:w="0" w:type="auto"/>
            <w:tcBorders>
              <w:top w:val="nil"/>
              <w:left w:val="nil"/>
              <w:bottom w:val="single" w:sz="8" w:space="0" w:color="auto"/>
              <w:right w:val="single" w:sz="8" w:space="0" w:color="auto"/>
            </w:tcBorders>
            <w:shd w:val="clear" w:color="auto" w:fill="auto"/>
            <w:vAlign w:val="center"/>
            <w:hideMark/>
          </w:tcPr>
          <w:p w14:paraId="26ABDCE8"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CE9"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CEA"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CEB"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CEC" w14:textId="77777777" w:rsidR="00A90358" w:rsidRDefault="00A90358" w:rsidP="000E2E5F">
            <w:pPr>
              <w:rPr>
                <w:color w:val="000000"/>
                <w:sz w:val="16"/>
                <w:szCs w:val="16"/>
              </w:rPr>
            </w:pPr>
            <w:r w:rsidRPr="00DD3A6D">
              <w:rPr>
                <w:color w:val="000000"/>
                <w:sz w:val="16"/>
                <w:szCs w:val="16"/>
              </w:rPr>
              <w:t>WA recovery plan in place 2004</w:t>
            </w:r>
          </w:p>
          <w:p w14:paraId="26ABDCED" w14:textId="77777777" w:rsidR="00A90358" w:rsidRPr="00DD3A6D" w:rsidRDefault="00A90358" w:rsidP="000E2E5F">
            <w:pPr>
              <w:rPr>
                <w:color w:val="000000"/>
                <w:sz w:val="16"/>
                <w:szCs w:val="16"/>
              </w:rPr>
            </w:pPr>
            <w:r>
              <w:rPr>
                <w:color w:val="000000"/>
                <w:sz w:val="16"/>
                <w:szCs w:val="16"/>
              </w:rPr>
              <w:t xml:space="preserve">National recovery plan </w:t>
            </w:r>
            <w:r w:rsidRPr="00DD3A6D">
              <w:rPr>
                <w:color w:val="000000"/>
                <w:sz w:val="16"/>
                <w:szCs w:val="16"/>
              </w:rPr>
              <w:t>required</w:t>
            </w:r>
          </w:p>
        </w:tc>
      </w:tr>
      <w:tr w:rsidR="00A90358" w:rsidRPr="00DD3A6D" w14:paraId="26ABDCF5" w14:textId="77777777" w:rsidTr="00A90358">
        <w:trPr>
          <w:trHeight w:val="123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CEF" w14:textId="77777777" w:rsidR="00A90358" w:rsidRPr="00DD3A6D" w:rsidRDefault="00A90358" w:rsidP="000E2E5F">
            <w:pPr>
              <w:rPr>
                <w:i/>
                <w:iCs/>
                <w:color w:val="000000"/>
                <w:sz w:val="16"/>
                <w:szCs w:val="16"/>
              </w:rPr>
            </w:pPr>
            <w:r w:rsidRPr="00DD3A6D">
              <w:rPr>
                <w:i/>
                <w:iCs/>
                <w:color w:val="000000"/>
                <w:sz w:val="16"/>
                <w:szCs w:val="16"/>
              </w:rPr>
              <w:t>Brachyscias verecundus</w:t>
            </w:r>
          </w:p>
        </w:tc>
        <w:tc>
          <w:tcPr>
            <w:tcW w:w="0" w:type="auto"/>
            <w:tcBorders>
              <w:top w:val="nil"/>
              <w:left w:val="nil"/>
              <w:bottom w:val="single" w:sz="8" w:space="0" w:color="auto"/>
              <w:right w:val="single" w:sz="8" w:space="0" w:color="auto"/>
            </w:tcBorders>
            <w:shd w:val="clear" w:color="auto" w:fill="auto"/>
            <w:vAlign w:val="center"/>
            <w:hideMark/>
          </w:tcPr>
          <w:p w14:paraId="26ABDCF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CF1"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CF2"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CF3"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CF4" w14:textId="77777777" w:rsidR="00A90358" w:rsidRPr="00DD3A6D" w:rsidRDefault="00A90358" w:rsidP="000E2E5F">
            <w:pPr>
              <w:rPr>
                <w:color w:val="000000"/>
                <w:sz w:val="16"/>
                <w:szCs w:val="16"/>
              </w:rPr>
            </w:pPr>
            <w:r w:rsidRPr="00DD3A6D">
              <w:rPr>
                <w:color w:val="000000"/>
                <w:sz w:val="16"/>
                <w:szCs w:val="16"/>
              </w:rPr>
              <w:t>WA recovery plan in place 2004</w:t>
            </w:r>
            <w:r w:rsidRPr="00DD3A6D">
              <w:rPr>
                <w:color w:val="000000"/>
                <w:sz w:val="16"/>
                <w:szCs w:val="16"/>
              </w:rPr>
              <w:br/>
              <w:t>National recovery plan not required Conservation advice approved 01/10/2008</w:t>
            </w:r>
          </w:p>
        </w:tc>
      </w:tr>
      <w:tr w:rsidR="00A90358" w:rsidRPr="00DD3A6D" w14:paraId="26ABDCFD"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CF6" w14:textId="77777777" w:rsidR="00A90358" w:rsidRPr="00DD3A6D" w:rsidRDefault="00A90358" w:rsidP="000E2E5F">
            <w:pPr>
              <w:rPr>
                <w:i/>
                <w:iCs/>
                <w:color w:val="000000"/>
                <w:sz w:val="16"/>
                <w:szCs w:val="16"/>
              </w:rPr>
            </w:pPr>
            <w:r w:rsidRPr="00DD3A6D">
              <w:rPr>
                <w:i/>
                <w:iCs/>
                <w:color w:val="000000"/>
                <w:sz w:val="16"/>
                <w:szCs w:val="16"/>
              </w:rPr>
              <w:t xml:space="preserve">Caladenia bryceana </w:t>
            </w:r>
            <w:r w:rsidRPr="00DD3A6D">
              <w:rPr>
                <w:color w:val="000000"/>
                <w:sz w:val="16"/>
                <w:szCs w:val="16"/>
              </w:rPr>
              <w:t>subsp</w:t>
            </w:r>
            <w:r w:rsidRPr="00DD3A6D">
              <w:rPr>
                <w:i/>
                <w:iCs/>
                <w:color w:val="000000"/>
                <w:sz w:val="16"/>
                <w:szCs w:val="16"/>
              </w:rPr>
              <w:t>. bryceana</w:t>
            </w:r>
          </w:p>
        </w:tc>
        <w:tc>
          <w:tcPr>
            <w:tcW w:w="0" w:type="auto"/>
            <w:tcBorders>
              <w:top w:val="nil"/>
              <w:left w:val="nil"/>
              <w:bottom w:val="single" w:sz="8" w:space="0" w:color="auto"/>
              <w:right w:val="single" w:sz="8" w:space="0" w:color="auto"/>
            </w:tcBorders>
            <w:shd w:val="clear" w:color="auto" w:fill="auto"/>
            <w:vAlign w:val="center"/>
            <w:hideMark/>
          </w:tcPr>
          <w:p w14:paraId="26ABDCF7"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CF8"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CF9"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CFA"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CFB" w14:textId="77777777" w:rsidR="00A90358" w:rsidRDefault="00A90358" w:rsidP="000E2E5F">
            <w:pPr>
              <w:rPr>
                <w:color w:val="000000"/>
                <w:sz w:val="16"/>
                <w:szCs w:val="16"/>
              </w:rPr>
            </w:pPr>
            <w:r w:rsidRPr="00DD3A6D">
              <w:rPr>
                <w:color w:val="000000"/>
                <w:sz w:val="16"/>
                <w:szCs w:val="16"/>
              </w:rPr>
              <w:t>WA recovery plan in place 2009</w:t>
            </w:r>
          </w:p>
          <w:p w14:paraId="26ABDCFC" w14:textId="77777777" w:rsidR="00A90358" w:rsidRPr="00DD3A6D" w:rsidRDefault="00A90358" w:rsidP="000E2E5F">
            <w:pPr>
              <w:rPr>
                <w:color w:val="000000"/>
                <w:sz w:val="16"/>
                <w:szCs w:val="16"/>
              </w:rPr>
            </w:pPr>
            <w:r>
              <w:rPr>
                <w:color w:val="000000"/>
                <w:sz w:val="16"/>
                <w:szCs w:val="16"/>
              </w:rPr>
              <w:t>National recovery required</w:t>
            </w:r>
          </w:p>
        </w:tc>
      </w:tr>
      <w:tr w:rsidR="00A90358" w:rsidRPr="00DD3A6D" w14:paraId="26ABDD05"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CFE" w14:textId="77777777" w:rsidR="00A90358" w:rsidRPr="00DD3A6D" w:rsidRDefault="00A90358" w:rsidP="000E2E5F">
            <w:pPr>
              <w:rPr>
                <w:i/>
                <w:iCs/>
                <w:color w:val="000000"/>
                <w:sz w:val="16"/>
                <w:szCs w:val="16"/>
              </w:rPr>
            </w:pPr>
            <w:r w:rsidRPr="00DD3A6D">
              <w:rPr>
                <w:i/>
                <w:iCs/>
                <w:color w:val="000000"/>
                <w:sz w:val="16"/>
                <w:szCs w:val="16"/>
              </w:rPr>
              <w:t>Caladenia busselliana</w:t>
            </w:r>
          </w:p>
        </w:tc>
        <w:tc>
          <w:tcPr>
            <w:tcW w:w="0" w:type="auto"/>
            <w:tcBorders>
              <w:top w:val="nil"/>
              <w:left w:val="nil"/>
              <w:bottom w:val="single" w:sz="8" w:space="0" w:color="auto"/>
              <w:right w:val="single" w:sz="8" w:space="0" w:color="auto"/>
            </w:tcBorders>
            <w:shd w:val="clear" w:color="auto" w:fill="auto"/>
            <w:vAlign w:val="center"/>
            <w:hideMark/>
          </w:tcPr>
          <w:p w14:paraId="26ABDCFF"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00"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01"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02"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03" w14:textId="77777777" w:rsidR="00A90358" w:rsidRDefault="00A90358" w:rsidP="000E2E5F">
            <w:pPr>
              <w:rPr>
                <w:color w:val="000000"/>
                <w:sz w:val="16"/>
                <w:szCs w:val="16"/>
              </w:rPr>
            </w:pPr>
            <w:r w:rsidRPr="00DD3A6D">
              <w:rPr>
                <w:color w:val="000000"/>
                <w:sz w:val="16"/>
                <w:szCs w:val="16"/>
              </w:rPr>
              <w:t>WA recovery plan in place 2008</w:t>
            </w:r>
          </w:p>
          <w:p w14:paraId="26ABDD04" w14:textId="77777777" w:rsidR="00A90358" w:rsidRPr="00DD3A6D" w:rsidRDefault="00A90358" w:rsidP="000E2E5F">
            <w:pPr>
              <w:rPr>
                <w:color w:val="000000"/>
                <w:sz w:val="16"/>
                <w:szCs w:val="16"/>
              </w:rPr>
            </w:pPr>
            <w:r>
              <w:rPr>
                <w:color w:val="000000"/>
                <w:sz w:val="16"/>
                <w:szCs w:val="16"/>
              </w:rPr>
              <w:t>Naitonal recovery required</w:t>
            </w:r>
          </w:p>
        </w:tc>
      </w:tr>
      <w:tr w:rsidR="00A90358" w:rsidRPr="00DD3A6D" w14:paraId="26ABDD0C"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D06" w14:textId="77777777" w:rsidR="00A90358" w:rsidRPr="00DD3A6D" w:rsidRDefault="00A90358" w:rsidP="000E2E5F">
            <w:pPr>
              <w:rPr>
                <w:i/>
                <w:iCs/>
                <w:color w:val="000000"/>
                <w:sz w:val="16"/>
                <w:szCs w:val="16"/>
              </w:rPr>
            </w:pPr>
            <w:r>
              <w:rPr>
                <w:i/>
                <w:iCs/>
                <w:color w:val="000000"/>
                <w:sz w:val="16"/>
                <w:szCs w:val="16"/>
              </w:rPr>
              <w:t>Caladenia caesarea subsp. maritima</w:t>
            </w:r>
            <w:r w:rsidRPr="000C5057">
              <w:rPr>
                <w:i/>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D07"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08"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D09"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0A"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D0B" w14:textId="77777777" w:rsidR="00A90358" w:rsidRPr="00DD3A6D" w:rsidRDefault="00A90358" w:rsidP="000E2E5F">
            <w:pPr>
              <w:rPr>
                <w:color w:val="000000"/>
                <w:sz w:val="16"/>
                <w:szCs w:val="16"/>
              </w:rPr>
            </w:pPr>
            <w:r>
              <w:rPr>
                <w:color w:val="000000"/>
                <w:sz w:val="16"/>
                <w:szCs w:val="16"/>
              </w:rPr>
              <w:t>WA recovery plan andorsed as national recovery plan 2010</w:t>
            </w:r>
          </w:p>
        </w:tc>
      </w:tr>
      <w:tr w:rsidR="00A90358" w:rsidRPr="00DD3A6D" w14:paraId="26ABDD14"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0D" w14:textId="77777777" w:rsidR="00A90358" w:rsidRPr="00DD3A6D" w:rsidRDefault="00A90358" w:rsidP="000E2E5F">
            <w:pPr>
              <w:rPr>
                <w:i/>
                <w:iCs/>
                <w:color w:val="000000"/>
                <w:sz w:val="16"/>
                <w:szCs w:val="16"/>
              </w:rPr>
            </w:pPr>
            <w:r w:rsidRPr="00DD3A6D">
              <w:rPr>
                <w:i/>
                <w:iCs/>
                <w:color w:val="000000"/>
                <w:sz w:val="16"/>
                <w:szCs w:val="16"/>
              </w:rPr>
              <w:t>Caladenia hopperiana</w:t>
            </w:r>
          </w:p>
        </w:tc>
        <w:tc>
          <w:tcPr>
            <w:tcW w:w="0" w:type="auto"/>
            <w:tcBorders>
              <w:top w:val="nil"/>
              <w:left w:val="nil"/>
              <w:bottom w:val="single" w:sz="8" w:space="0" w:color="auto"/>
              <w:right w:val="single" w:sz="8" w:space="0" w:color="auto"/>
            </w:tcBorders>
            <w:shd w:val="clear" w:color="auto" w:fill="auto"/>
            <w:vAlign w:val="center"/>
            <w:hideMark/>
          </w:tcPr>
          <w:p w14:paraId="26ABDD0E"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0F"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1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11"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12" w14:textId="77777777" w:rsidR="00A90358" w:rsidRDefault="00A90358" w:rsidP="000E2E5F">
            <w:pPr>
              <w:rPr>
                <w:color w:val="000000"/>
                <w:sz w:val="16"/>
                <w:szCs w:val="16"/>
              </w:rPr>
            </w:pPr>
            <w:r w:rsidRPr="00DD3A6D">
              <w:rPr>
                <w:color w:val="000000"/>
                <w:sz w:val="16"/>
                <w:szCs w:val="16"/>
              </w:rPr>
              <w:t>WA recovery plan in place 2013</w:t>
            </w:r>
          </w:p>
          <w:p w14:paraId="26ABDD13"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15/2/201</w:t>
            </w:r>
            <w:r w:rsidRPr="00DD3A6D">
              <w:rPr>
                <w:color w:val="000000"/>
                <w:sz w:val="16"/>
                <w:szCs w:val="16"/>
              </w:rPr>
              <w:t>8</w:t>
            </w:r>
          </w:p>
        </w:tc>
      </w:tr>
      <w:tr w:rsidR="00A90358" w:rsidRPr="00DD3A6D" w14:paraId="26ABDD1C"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15" w14:textId="77777777" w:rsidR="00A90358" w:rsidRPr="00DD3A6D" w:rsidRDefault="00A90358" w:rsidP="000E2E5F">
            <w:pPr>
              <w:rPr>
                <w:i/>
                <w:iCs/>
                <w:color w:val="000000"/>
                <w:sz w:val="16"/>
                <w:szCs w:val="16"/>
              </w:rPr>
            </w:pPr>
            <w:r w:rsidRPr="00DD3A6D">
              <w:rPr>
                <w:i/>
                <w:iCs/>
                <w:color w:val="000000"/>
                <w:sz w:val="16"/>
                <w:szCs w:val="16"/>
              </w:rPr>
              <w:t>Caladenia huegelii</w:t>
            </w:r>
          </w:p>
        </w:tc>
        <w:tc>
          <w:tcPr>
            <w:tcW w:w="0" w:type="auto"/>
            <w:tcBorders>
              <w:top w:val="nil"/>
              <w:left w:val="nil"/>
              <w:bottom w:val="single" w:sz="8" w:space="0" w:color="auto"/>
              <w:right w:val="single" w:sz="8" w:space="0" w:color="auto"/>
            </w:tcBorders>
            <w:shd w:val="clear" w:color="auto" w:fill="auto"/>
            <w:vAlign w:val="center"/>
            <w:hideMark/>
          </w:tcPr>
          <w:p w14:paraId="26ABDD16"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17"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18"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19"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1A" w14:textId="77777777" w:rsidR="00A90358" w:rsidRDefault="00A90358" w:rsidP="000E2E5F">
            <w:pPr>
              <w:rPr>
                <w:color w:val="000000"/>
                <w:sz w:val="16"/>
                <w:szCs w:val="16"/>
              </w:rPr>
            </w:pPr>
            <w:r w:rsidRPr="00DD3A6D">
              <w:rPr>
                <w:color w:val="000000"/>
                <w:sz w:val="16"/>
                <w:szCs w:val="16"/>
              </w:rPr>
              <w:t>WA recovery plan in place 2009</w:t>
            </w:r>
          </w:p>
          <w:p w14:paraId="26ABDD1B" w14:textId="77777777" w:rsidR="00A90358" w:rsidRPr="00DD3A6D" w:rsidRDefault="00A90358" w:rsidP="000E2E5F">
            <w:pPr>
              <w:rPr>
                <w:color w:val="000000"/>
                <w:sz w:val="16"/>
                <w:szCs w:val="16"/>
              </w:rPr>
            </w:pPr>
            <w:r>
              <w:rPr>
                <w:color w:val="000000"/>
                <w:sz w:val="16"/>
                <w:szCs w:val="16"/>
              </w:rPr>
              <w:t>National recovery required</w:t>
            </w:r>
          </w:p>
        </w:tc>
      </w:tr>
      <w:tr w:rsidR="00A90358" w:rsidRPr="00DD3A6D" w14:paraId="26ABDD24"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1D" w14:textId="77777777" w:rsidR="00A90358" w:rsidRPr="00DD3A6D" w:rsidRDefault="00A90358" w:rsidP="000E2E5F">
            <w:pPr>
              <w:rPr>
                <w:i/>
                <w:iCs/>
                <w:color w:val="000000"/>
                <w:sz w:val="16"/>
                <w:szCs w:val="16"/>
              </w:rPr>
            </w:pPr>
            <w:r w:rsidRPr="00DD3A6D">
              <w:rPr>
                <w:i/>
                <w:iCs/>
                <w:color w:val="000000"/>
                <w:sz w:val="16"/>
                <w:szCs w:val="16"/>
              </w:rPr>
              <w:t>Caladenia leucochila</w:t>
            </w:r>
          </w:p>
        </w:tc>
        <w:tc>
          <w:tcPr>
            <w:tcW w:w="0" w:type="auto"/>
            <w:tcBorders>
              <w:top w:val="nil"/>
              <w:left w:val="nil"/>
              <w:bottom w:val="single" w:sz="8" w:space="0" w:color="auto"/>
              <w:right w:val="single" w:sz="8" w:space="0" w:color="auto"/>
            </w:tcBorders>
            <w:shd w:val="clear" w:color="auto" w:fill="auto"/>
            <w:vAlign w:val="center"/>
            <w:hideMark/>
          </w:tcPr>
          <w:p w14:paraId="26ABDD1E"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1F"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2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21"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22" w14:textId="77777777" w:rsidR="00A90358" w:rsidRDefault="00A90358" w:rsidP="000E2E5F">
            <w:pPr>
              <w:rPr>
                <w:color w:val="000000"/>
                <w:sz w:val="16"/>
                <w:szCs w:val="16"/>
              </w:rPr>
            </w:pPr>
            <w:r w:rsidRPr="00DD3A6D">
              <w:rPr>
                <w:color w:val="000000"/>
                <w:sz w:val="16"/>
                <w:szCs w:val="16"/>
              </w:rPr>
              <w:t>WA recovery plan in place 2017</w:t>
            </w:r>
          </w:p>
          <w:p w14:paraId="26ABDD23"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w:t>
            </w:r>
            <w:r>
              <w:rPr>
                <w:color w:val="000000"/>
                <w:sz w:val="16"/>
                <w:szCs w:val="16"/>
              </w:rPr>
              <w:lastRenderedPageBreak/>
              <w:t>Conservation advice approved 11/5/201</w:t>
            </w:r>
            <w:r w:rsidRPr="00DD3A6D">
              <w:rPr>
                <w:color w:val="000000"/>
                <w:sz w:val="16"/>
                <w:szCs w:val="16"/>
              </w:rPr>
              <w:t>8</w:t>
            </w:r>
          </w:p>
        </w:tc>
      </w:tr>
      <w:tr w:rsidR="00A90358" w:rsidRPr="00DD3A6D" w14:paraId="26ABDD2B" w14:textId="77777777" w:rsidTr="00A90358">
        <w:trPr>
          <w:trHeight w:val="123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25" w14:textId="77777777" w:rsidR="00A90358" w:rsidRPr="00DD3A6D" w:rsidRDefault="00A90358" w:rsidP="000E2E5F">
            <w:pPr>
              <w:rPr>
                <w:i/>
                <w:iCs/>
                <w:color w:val="000000"/>
                <w:sz w:val="16"/>
                <w:szCs w:val="16"/>
              </w:rPr>
            </w:pPr>
            <w:r w:rsidRPr="00DD3A6D">
              <w:rPr>
                <w:i/>
                <w:iCs/>
                <w:color w:val="000000"/>
                <w:sz w:val="16"/>
                <w:szCs w:val="16"/>
              </w:rPr>
              <w:lastRenderedPageBreak/>
              <w:t>Caladenia lodgeana</w:t>
            </w:r>
          </w:p>
        </w:tc>
        <w:tc>
          <w:tcPr>
            <w:tcW w:w="0" w:type="auto"/>
            <w:tcBorders>
              <w:top w:val="nil"/>
              <w:left w:val="nil"/>
              <w:bottom w:val="single" w:sz="8" w:space="0" w:color="auto"/>
              <w:right w:val="single" w:sz="8" w:space="0" w:color="auto"/>
            </w:tcBorders>
            <w:shd w:val="clear" w:color="auto" w:fill="auto"/>
            <w:vAlign w:val="center"/>
            <w:hideMark/>
          </w:tcPr>
          <w:p w14:paraId="26ABDD26"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27"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2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29"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D2A" w14:textId="77777777" w:rsidR="00A90358" w:rsidRPr="00DD3A6D" w:rsidRDefault="00A90358" w:rsidP="000E2E5F">
            <w:pPr>
              <w:rPr>
                <w:color w:val="000000"/>
                <w:sz w:val="16"/>
                <w:szCs w:val="16"/>
              </w:rPr>
            </w:pPr>
            <w:r w:rsidRPr="00DD3A6D">
              <w:rPr>
                <w:color w:val="000000"/>
                <w:sz w:val="16"/>
                <w:szCs w:val="16"/>
              </w:rPr>
              <w:t xml:space="preserve">WA recovery plan in place 2014 </w:t>
            </w:r>
            <w:r w:rsidRPr="00DD3A6D">
              <w:rPr>
                <w:color w:val="000000"/>
                <w:sz w:val="16"/>
                <w:szCs w:val="16"/>
              </w:rPr>
              <w:br/>
              <w:t>National recovery plan not required</w:t>
            </w:r>
            <w:r w:rsidRPr="00DD3A6D">
              <w:rPr>
                <w:color w:val="000000"/>
                <w:sz w:val="16"/>
                <w:szCs w:val="16"/>
              </w:rPr>
              <w:br/>
              <w:t>Conservation advice approved 30/01/2013</w:t>
            </w:r>
          </w:p>
        </w:tc>
      </w:tr>
      <w:tr w:rsidR="00A90358" w:rsidRPr="00DD3A6D" w14:paraId="26ABDD33"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2C" w14:textId="77777777" w:rsidR="00A90358" w:rsidRPr="00DD3A6D" w:rsidRDefault="00A90358" w:rsidP="000E2E5F">
            <w:pPr>
              <w:rPr>
                <w:i/>
                <w:iCs/>
                <w:color w:val="000000"/>
                <w:sz w:val="16"/>
                <w:szCs w:val="16"/>
              </w:rPr>
            </w:pPr>
            <w:r w:rsidRPr="00DD3A6D">
              <w:rPr>
                <w:i/>
                <w:iCs/>
                <w:color w:val="000000"/>
                <w:sz w:val="16"/>
                <w:szCs w:val="16"/>
              </w:rPr>
              <w:t>Caladenia procera</w:t>
            </w:r>
          </w:p>
        </w:tc>
        <w:tc>
          <w:tcPr>
            <w:tcW w:w="0" w:type="auto"/>
            <w:tcBorders>
              <w:top w:val="nil"/>
              <w:left w:val="nil"/>
              <w:bottom w:val="single" w:sz="8" w:space="0" w:color="auto"/>
              <w:right w:val="single" w:sz="8" w:space="0" w:color="auto"/>
            </w:tcBorders>
            <w:shd w:val="clear" w:color="auto" w:fill="auto"/>
            <w:vAlign w:val="center"/>
            <w:hideMark/>
          </w:tcPr>
          <w:p w14:paraId="26ABDD2D"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2E"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2F"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30"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D31" w14:textId="77777777" w:rsidR="00A90358" w:rsidRDefault="00A90358" w:rsidP="000E2E5F">
            <w:pPr>
              <w:rPr>
                <w:color w:val="000000"/>
                <w:sz w:val="16"/>
                <w:szCs w:val="16"/>
              </w:rPr>
            </w:pPr>
            <w:r w:rsidRPr="00DD3A6D">
              <w:rPr>
                <w:color w:val="000000"/>
                <w:sz w:val="16"/>
                <w:szCs w:val="16"/>
              </w:rPr>
              <w:t>WA recovery plan in place 2012</w:t>
            </w:r>
          </w:p>
          <w:p w14:paraId="26ABDD32" w14:textId="77777777" w:rsidR="00A90358" w:rsidRPr="00DD3A6D" w:rsidRDefault="00A90358" w:rsidP="000E2E5F">
            <w:pPr>
              <w:rPr>
                <w:color w:val="000000"/>
                <w:sz w:val="16"/>
                <w:szCs w:val="16"/>
              </w:rPr>
            </w:pPr>
            <w:r>
              <w:rPr>
                <w:color w:val="000000"/>
                <w:sz w:val="16"/>
                <w:szCs w:val="16"/>
              </w:rPr>
              <w:t>National recovery required</w:t>
            </w:r>
          </w:p>
        </w:tc>
      </w:tr>
      <w:tr w:rsidR="00A90358" w:rsidRPr="00DD3A6D" w14:paraId="26ABDD3B"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34" w14:textId="77777777" w:rsidR="00A90358" w:rsidRPr="00DD3A6D" w:rsidRDefault="00A90358" w:rsidP="000E2E5F">
            <w:pPr>
              <w:rPr>
                <w:i/>
                <w:iCs/>
                <w:color w:val="000000"/>
                <w:sz w:val="16"/>
                <w:szCs w:val="16"/>
              </w:rPr>
            </w:pPr>
            <w:r w:rsidRPr="00DD3A6D">
              <w:rPr>
                <w:i/>
                <w:iCs/>
                <w:color w:val="000000"/>
                <w:sz w:val="16"/>
                <w:szCs w:val="16"/>
              </w:rPr>
              <w:t>Caladenia viridescens</w:t>
            </w:r>
          </w:p>
        </w:tc>
        <w:tc>
          <w:tcPr>
            <w:tcW w:w="0" w:type="auto"/>
            <w:tcBorders>
              <w:top w:val="nil"/>
              <w:left w:val="nil"/>
              <w:bottom w:val="single" w:sz="8" w:space="0" w:color="auto"/>
              <w:right w:val="single" w:sz="8" w:space="0" w:color="auto"/>
            </w:tcBorders>
            <w:shd w:val="clear" w:color="auto" w:fill="auto"/>
            <w:vAlign w:val="center"/>
            <w:hideMark/>
          </w:tcPr>
          <w:p w14:paraId="26ABDD35"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36"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37"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38"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39" w14:textId="77777777" w:rsidR="00A90358" w:rsidRDefault="00A90358" w:rsidP="000E2E5F">
            <w:pPr>
              <w:rPr>
                <w:color w:val="000000"/>
                <w:sz w:val="16"/>
                <w:szCs w:val="16"/>
              </w:rPr>
            </w:pPr>
            <w:r w:rsidRPr="00DD3A6D">
              <w:rPr>
                <w:color w:val="000000"/>
                <w:sz w:val="16"/>
                <w:szCs w:val="16"/>
              </w:rPr>
              <w:t>WA recovery plan in place 2008</w:t>
            </w:r>
          </w:p>
          <w:p w14:paraId="26ABDD3A" w14:textId="77777777" w:rsidR="00A90358" w:rsidRPr="00DD3A6D" w:rsidRDefault="00A90358" w:rsidP="000E2E5F">
            <w:pPr>
              <w:rPr>
                <w:color w:val="000000"/>
                <w:sz w:val="16"/>
                <w:szCs w:val="16"/>
              </w:rPr>
            </w:pPr>
            <w:r w:rsidRPr="00E72278">
              <w:rPr>
                <w:color w:val="000000"/>
                <w:sz w:val="16"/>
                <w:szCs w:val="16"/>
              </w:rPr>
              <w:t>Endorsed as national recovery plan</w:t>
            </w:r>
          </w:p>
        </w:tc>
      </w:tr>
      <w:tr w:rsidR="00A90358" w:rsidRPr="00DD3A6D" w14:paraId="26ABDD43"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3C" w14:textId="77777777" w:rsidR="00A90358" w:rsidRPr="00DD3A6D" w:rsidRDefault="00A90358" w:rsidP="000E2E5F">
            <w:pPr>
              <w:rPr>
                <w:i/>
                <w:iCs/>
                <w:color w:val="000000"/>
                <w:sz w:val="16"/>
                <w:szCs w:val="16"/>
              </w:rPr>
            </w:pPr>
            <w:r w:rsidRPr="00DD3A6D">
              <w:rPr>
                <w:i/>
                <w:iCs/>
                <w:color w:val="000000"/>
                <w:sz w:val="16"/>
                <w:szCs w:val="16"/>
              </w:rPr>
              <w:t>Caladenia winfieldii</w:t>
            </w:r>
          </w:p>
        </w:tc>
        <w:tc>
          <w:tcPr>
            <w:tcW w:w="0" w:type="auto"/>
            <w:tcBorders>
              <w:top w:val="nil"/>
              <w:left w:val="nil"/>
              <w:bottom w:val="single" w:sz="8" w:space="0" w:color="auto"/>
              <w:right w:val="single" w:sz="8" w:space="0" w:color="auto"/>
            </w:tcBorders>
            <w:shd w:val="clear" w:color="auto" w:fill="auto"/>
            <w:vAlign w:val="center"/>
            <w:hideMark/>
          </w:tcPr>
          <w:p w14:paraId="26ABDD3D"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3E"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3F"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40"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41" w14:textId="77777777" w:rsidR="00A90358" w:rsidRDefault="00A90358" w:rsidP="000E2E5F">
            <w:pPr>
              <w:rPr>
                <w:color w:val="000000"/>
                <w:sz w:val="16"/>
                <w:szCs w:val="16"/>
              </w:rPr>
            </w:pPr>
            <w:r w:rsidRPr="00DD3A6D">
              <w:rPr>
                <w:color w:val="000000"/>
                <w:sz w:val="16"/>
                <w:szCs w:val="16"/>
              </w:rPr>
              <w:t>WA recovery plan in place 2009</w:t>
            </w:r>
          </w:p>
          <w:p w14:paraId="26ABDD42" w14:textId="77777777" w:rsidR="00A90358" w:rsidRPr="00DD3A6D" w:rsidRDefault="00A90358" w:rsidP="000E2E5F">
            <w:pPr>
              <w:rPr>
                <w:color w:val="000000"/>
                <w:sz w:val="16"/>
                <w:szCs w:val="16"/>
              </w:rPr>
            </w:pPr>
            <w:r w:rsidRPr="00E72278">
              <w:rPr>
                <w:color w:val="000000"/>
                <w:sz w:val="16"/>
                <w:szCs w:val="16"/>
              </w:rPr>
              <w:t>Endorsed as national recovery plan</w:t>
            </w:r>
          </w:p>
        </w:tc>
      </w:tr>
      <w:tr w:rsidR="00A90358" w:rsidRPr="00DD3A6D" w14:paraId="26ABDD4A"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D44" w14:textId="77777777" w:rsidR="00A90358" w:rsidRPr="00DD3A6D" w:rsidRDefault="00A90358" w:rsidP="000E2E5F">
            <w:pPr>
              <w:rPr>
                <w:i/>
                <w:iCs/>
                <w:color w:val="000000"/>
                <w:sz w:val="16"/>
                <w:szCs w:val="16"/>
              </w:rPr>
            </w:pPr>
            <w:r>
              <w:rPr>
                <w:i/>
                <w:iCs/>
                <w:color w:val="000000"/>
                <w:sz w:val="16"/>
                <w:szCs w:val="16"/>
              </w:rPr>
              <w:t>Calectasia cyanea</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D45"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46"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D47"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48" w14:textId="77777777" w:rsidR="00A90358" w:rsidRPr="00DD3A6D" w:rsidRDefault="00A90358" w:rsidP="000E2E5F">
            <w:pPr>
              <w:rPr>
                <w:color w:val="000000"/>
                <w:sz w:val="16"/>
                <w:szCs w:val="16"/>
              </w:rPr>
            </w:pPr>
            <w:r>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tcPr>
          <w:p w14:paraId="26ABDD49" w14:textId="77777777" w:rsidR="00A90358" w:rsidRPr="00DD3A6D" w:rsidRDefault="00A90358" w:rsidP="000E2E5F">
            <w:pPr>
              <w:rPr>
                <w:color w:val="000000"/>
                <w:sz w:val="16"/>
                <w:szCs w:val="16"/>
              </w:rPr>
            </w:pPr>
            <w:r>
              <w:rPr>
                <w:color w:val="000000"/>
                <w:sz w:val="16"/>
                <w:szCs w:val="16"/>
              </w:rPr>
              <w:t>WA recovery plan endorsed as national recovery plan 2010</w:t>
            </w:r>
          </w:p>
        </w:tc>
      </w:tr>
      <w:tr w:rsidR="00A90358" w:rsidRPr="00DD3A6D" w14:paraId="26ABDD51"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D4B" w14:textId="77777777" w:rsidR="00A90358" w:rsidRPr="00DD3A6D" w:rsidRDefault="00A90358" w:rsidP="000E2E5F">
            <w:pPr>
              <w:rPr>
                <w:i/>
                <w:iCs/>
                <w:color w:val="000000"/>
                <w:sz w:val="16"/>
                <w:szCs w:val="16"/>
              </w:rPr>
            </w:pPr>
            <w:r>
              <w:rPr>
                <w:i/>
                <w:iCs/>
                <w:color w:val="000000"/>
                <w:sz w:val="16"/>
                <w:szCs w:val="16"/>
              </w:rPr>
              <w:t>Chamelaucium sp. Gingin (N.G.Marchant 6)</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D4C"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4D"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D4E"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D4F"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D50" w14:textId="77777777" w:rsidR="00A90358" w:rsidRPr="00DD3A6D" w:rsidRDefault="00A90358" w:rsidP="000E2E5F">
            <w:pPr>
              <w:rPr>
                <w:color w:val="000000"/>
                <w:sz w:val="16"/>
                <w:szCs w:val="16"/>
              </w:rPr>
            </w:pPr>
            <w:r>
              <w:rPr>
                <w:color w:val="000000"/>
                <w:sz w:val="16"/>
                <w:szCs w:val="16"/>
              </w:rPr>
              <w:t>WA recovery plan endorsed as national recovery plan 2004</w:t>
            </w:r>
          </w:p>
        </w:tc>
      </w:tr>
      <w:tr w:rsidR="00A90358" w:rsidRPr="00DD3A6D" w14:paraId="26ABDD59"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52" w14:textId="77777777" w:rsidR="00A90358" w:rsidRPr="00DD3A6D" w:rsidRDefault="00A90358" w:rsidP="000E2E5F">
            <w:pPr>
              <w:rPr>
                <w:i/>
                <w:iCs/>
                <w:color w:val="000000"/>
                <w:sz w:val="16"/>
                <w:szCs w:val="16"/>
              </w:rPr>
            </w:pPr>
            <w:r w:rsidRPr="00DD3A6D">
              <w:rPr>
                <w:i/>
                <w:iCs/>
                <w:color w:val="000000"/>
                <w:sz w:val="16"/>
                <w:szCs w:val="16"/>
              </w:rPr>
              <w:t>Commersonia apella</w:t>
            </w:r>
          </w:p>
        </w:tc>
        <w:tc>
          <w:tcPr>
            <w:tcW w:w="0" w:type="auto"/>
            <w:tcBorders>
              <w:top w:val="nil"/>
              <w:left w:val="nil"/>
              <w:bottom w:val="single" w:sz="8" w:space="0" w:color="auto"/>
              <w:right w:val="single" w:sz="8" w:space="0" w:color="auto"/>
            </w:tcBorders>
            <w:shd w:val="clear" w:color="auto" w:fill="auto"/>
            <w:vAlign w:val="center"/>
            <w:hideMark/>
          </w:tcPr>
          <w:p w14:paraId="26ABDD53"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54"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55"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56"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D57" w14:textId="77777777" w:rsidR="00A90358" w:rsidRDefault="00A90358" w:rsidP="000E2E5F">
            <w:pPr>
              <w:rPr>
                <w:color w:val="000000"/>
                <w:sz w:val="16"/>
                <w:szCs w:val="16"/>
              </w:rPr>
            </w:pPr>
            <w:r w:rsidRPr="00DD3A6D">
              <w:rPr>
                <w:color w:val="000000"/>
                <w:sz w:val="16"/>
                <w:szCs w:val="16"/>
              </w:rPr>
              <w:t>WA recovery plan in place 2016</w:t>
            </w:r>
          </w:p>
          <w:p w14:paraId="26ABDD58"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15/2/201</w:t>
            </w:r>
            <w:r w:rsidRPr="00DD3A6D">
              <w:rPr>
                <w:color w:val="000000"/>
                <w:sz w:val="16"/>
                <w:szCs w:val="16"/>
              </w:rPr>
              <w:t>8</w:t>
            </w:r>
          </w:p>
        </w:tc>
      </w:tr>
      <w:tr w:rsidR="00A90358" w:rsidRPr="00DD3A6D" w14:paraId="26ABDD61" w14:textId="77777777" w:rsidTr="00A90358">
        <w:trPr>
          <w:trHeight w:val="14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5A" w14:textId="77777777" w:rsidR="00A90358" w:rsidRPr="00DD3A6D" w:rsidRDefault="00A90358" w:rsidP="000E2E5F">
            <w:pPr>
              <w:rPr>
                <w:i/>
                <w:iCs/>
                <w:color w:val="000000"/>
                <w:sz w:val="16"/>
                <w:szCs w:val="16"/>
              </w:rPr>
            </w:pPr>
            <w:r w:rsidRPr="00DD3A6D">
              <w:rPr>
                <w:i/>
                <w:iCs/>
                <w:color w:val="000000"/>
                <w:sz w:val="16"/>
                <w:szCs w:val="16"/>
              </w:rPr>
              <w:t xml:space="preserve">Commersonia erythrogyna </w:t>
            </w:r>
            <w:r w:rsidRPr="00DD3A6D">
              <w:rPr>
                <w:color w:val="000000"/>
                <w:sz w:val="16"/>
                <w:szCs w:val="16"/>
              </w:rPr>
              <w:t xml:space="preserve">(previously </w:t>
            </w:r>
            <w:r w:rsidRPr="00DD3A6D">
              <w:rPr>
                <w:i/>
                <w:iCs/>
                <w:color w:val="000000"/>
                <w:sz w:val="16"/>
                <w:szCs w:val="16"/>
              </w:rPr>
              <w:t xml:space="preserve">Rulingia </w:t>
            </w:r>
            <w:r w:rsidRPr="00DD3A6D">
              <w:rPr>
                <w:color w:val="000000"/>
                <w:sz w:val="16"/>
                <w:szCs w:val="16"/>
              </w:rPr>
              <w:t>sp. Trigwell Bridge)</w:t>
            </w:r>
          </w:p>
        </w:tc>
        <w:tc>
          <w:tcPr>
            <w:tcW w:w="0" w:type="auto"/>
            <w:tcBorders>
              <w:top w:val="nil"/>
              <w:left w:val="nil"/>
              <w:bottom w:val="single" w:sz="8" w:space="0" w:color="auto"/>
              <w:right w:val="single" w:sz="8" w:space="0" w:color="auto"/>
            </w:tcBorders>
            <w:shd w:val="clear" w:color="auto" w:fill="auto"/>
            <w:vAlign w:val="center"/>
            <w:hideMark/>
          </w:tcPr>
          <w:p w14:paraId="26ABDD5B"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5C"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5D"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5E"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5F" w14:textId="77777777" w:rsidR="00A90358" w:rsidRDefault="00A90358" w:rsidP="000E2E5F">
            <w:pPr>
              <w:rPr>
                <w:color w:val="000000"/>
                <w:sz w:val="16"/>
                <w:szCs w:val="16"/>
              </w:rPr>
            </w:pPr>
            <w:r w:rsidRPr="00DD3A6D">
              <w:rPr>
                <w:color w:val="000000"/>
                <w:sz w:val="16"/>
                <w:szCs w:val="16"/>
              </w:rPr>
              <w:t>WA recovery plan in place 2004</w:t>
            </w:r>
          </w:p>
          <w:p w14:paraId="26ABDD60" w14:textId="77777777" w:rsidR="00A90358" w:rsidRPr="00DD3A6D" w:rsidRDefault="00A90358" w:rsidP="000E2E5F">
            <w:pPr>
              <w:rPr>
                <w:color w:val="000000"/>
                <w:sz w:val="16"/>
                <w:szCs w:val="16"/>
              </w:rPr>
            </w:pPr>
            <w:r w:rsidRPr="00E72278">
              <w:rPr>
                <w:color w:val="000000"/>
                <w:sz w:val="16"/>
                <w:szCs w:val="16"/>
              </w:rPr>
              <w:t>Endorsed as national recovery plan</w:t>
            </w:r>
          </w:p>
        </w:tc>
      </w:tr>
      <w:tr w:rsidR="00A90358" w:rsidRPr="00DD3A6D" w14:paraId="26ABDD69"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62" w14:textId="77777777" w:rsidR="00A90358" w:rsidRPr="00DD3A6D" w:rsidRDefault="00A90358" w:rsidP="000E2E5F">
            <w:pPr>
              <w:rPr>
                <w:i/>
                <w:iCs/>
                <w:color w:val="000000"/>
                <w:sz w:val="16"/>
                <w:szCs w:val="16"/>
              </w:rPr>
            </w:pPr>
            <w:r w:rsidRPr="00DD3A6D">
              <w:rPr>
                <w:i/>
                <w:iCs/>
                <w:color w:val="000000"/>
                <w:sz w:val="16"/>
                <w:szCs w:val="16"/>
              </w:rPr>
              <w:t>Conospermum undulatum</w:t>
            </w:r>
          </w:p>
        </w:tc>
        <w:tc>
          <w:tcPr>
            <w:tcW w:w="0" w:type="auto"/>
            <w:tcBorders>
              <w:top w:val="nil"/>
              <w:left w:val="nil"/>
              <w:bottom w:val="single" w:sz="8" w:space="0" w:color="auto"/>
              <w:right w:val="single" w:sz="8" w:space="0" w:color="auto"/>
            </w:tcBorders>
            <w:shd w:val="clear" w:color="auto" w:fill="auto"/>
            <w:vAlign w:val="center"/>
            <w:hideMark/>
          </w:tcPr>
          <w:p w14:paraId="26ABDD63"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64"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65"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66"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D67" w14:textId="77777777" w:rsidR="00A90358" w:rsidRDefault="00A90358" w:rsidP="000E2E5F">
            <w:pPr>
              <w:rPr>
                <w:color w:val="000000"/>
                <w:sz w:val="16"/>
                <w:szCs w:val="16"/>
              </w:rPr>
            </w:pPr>
            <w:r w:rsidRPr="00DD3A6D">
              <w:rPr>
                <w:color w:val="000000"/>
                <w:sz w:val="16"/>
                <w:szCs w:val="16"/>
              </w:rPr>
              <w:t>WA recovery plan in place 2009</w:t>
            </w:r>
          </w:p>
          <w:p w14:paraId="26ABDD68" w14:textId="77777777" w:rsidR="00A90358" w:rsidRPr="00DD3A6D" w:rsidRDefault="00A90358" w:rsidP="000E2E5F">
            <w:pPr>
              <w:rPr>
                <w:color w:val="000000"/>
                <w:sz w:val="16"/>
                <w:szCs w:val="16"/>
              </w:rPr>
            </w:pPr>
            <w:r w:rsidRPr="00E72278">
              <w:rPr>
                <w:color w:val="000000"/>
                <w:sz w:val="16"/>
                <w:szCs w:val="16"/>
              </w:rPr>
              <w:lastRenderedPageBreak/>
              <w:t>Endorsed as national recovery plan</w:t>
            </w:r>
          </w:p>
        </w:tc>
      </w:tr>
      <w:tr w:rsidR="00A90358" w:rsidRPr="00DD3A6D" w14:paraId="26ABDD71"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6A" w14:textId="77777777" w:rsidR="00A90358" w:rsidRPr="00DD3A6D" w:rsidRDefault="00A90358" w:rsidP="000E2E5F">
            <w:pPr>
              <w:rPr>
                <w:i/>
                <w:iCs/>
                <w:color w:val="000000"/>
                <w:sz w:val="16"/>
                <w:szCs w:val="16"/>
              </w:rPr>
            </w:pPr>
            <w:r w:rsidRPr="00DD3A6D">
              <w:rPr>
                <w:i/>
                <w:iCs/>
                <w:color w:val="000000"/>
                <w:sz w:val="16"/>
                <w:szCs w:val="16"/>
              </w:rPr>
              <w:lastRenderedPageBreak/>
              <w:t>Conostylis misera</w:t>
            </w:r>
          </w:p>
        </w:tc>
        <w:tc>
          <w:tcPr>
            <w:tcW w:w="0" w:type="auto"/>
            <w:tcBorders>
              <w:top w:val="nil"/>
              <w:left w:val="nil"/>
              <w:bottom w:val="single" w:sz="8" w:space="0" w:color="auto"/>
              <w:right w:val="single" w:sz="8" w:space="0" w:color="auto"/>
            </w:tcBorders>
            <w:shd w:val="clear" w:color="auto" w:fill="auto"/>
            <w:vAlign w:val="center"/>
            <w:hideMark/>
          </w:tcPr>
          <w:p w14:paraId="26ABDD6B"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6C"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6D"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6E"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6F" w14:textId="77777777" w:rsidR="00A90358" w:rsidRDefault="00A90358" w:rsidP="000E2E5F">
            <w:pPr>
              <w:rPr>
                <w:color w:val="000000"/>
                <w:sz w:val="16"/>
                <w:szCs w:val="16"/>
              </w:rPr>
            </w:pPr>
            <w:r w:rsidRPr="00DD3A6D">
              <w:rPr>
                <w:color w:val="000000"/>
                <w:sz w:val="16"/>
                <w:szCs w:val="16"/>
              </w:rPr>
              <w:t>WA recovery plan in place 2008</w:t>
            </w:r>
          </w:p>
          <w:p w14:paraId="26ABDD70" w14:textId="77777777" w:rsidR="00A90358" w:rsidRPr="00DD3A6D" w:rsidRDefault="00A90358" w:rsidP="000E2E5F">
            <w:pPr>
              <w:rPr>
                <w:color w:val="000000"/>
                <w:sz w:val="16"/>
                <w:szCs w:val="16"/>
              </w:rPr>
            </w:pPr>
            <w:r w:rsidRPr="00E72278">
              <w:rPr>
                <w:color w:val="000000"/>
                <w:sz w:val="16"/>
                <w:szCs w:val="16"/>
              </w:rPr>
              <w:t>Endorsed as national recovery plan</w:t>
            </w:r>
          </w:p>
        </w:tc>
      </w:tr>
      <w:tr w:rsidR="00A90358" w:rsidRPr="00DD3A6D" w14:paraId="26ABDD79" w14:textId="77777777" w:rsidTr="00A90358">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72" w14:textId="77777777" w:rsidR="00A90358" w:rsidRPr="00DD3A6D" w:rsidRDefault="00A90358" w:rsidP="000E2E5F">
            <w:pPr>
              <w:rPr>
                <w:i/>
                <w:iCs/>
                <w:color w:val="000000"/>
                <w:sz w:val="16"/>
                <w:szCs w:val="16"/>
              </w:rPr>
            </w:pPr>
            <w:r w:rsidRPr="00DD3A6D">
              <w:rPr>
                <w:i/>
                <w:iCs/>
                <w:color w:val="000000"/>
                <w:sz w:val="16"/>
                <w:szCs w:val="16"/>
              </w:rPr>
              <w:t>Darwinia apiculata *</w:t>
            </w:r>
          </w:p>
        </w:tc>
        <w:tc>
          <w:tcPr>
            <w:tcW w:w="0" w:type="auto"/>
            <w:tcBorders>
              <w:top w:val="nil"/>
              <w:left w:val="nil"/>
              <w:bottom w:val="single" w:sz="8" w:space="0" w:color="auto"/>
              <w:right w:val="single" w:sz="8" w:space="0" w:color="auto"/>
            </w:tcBorders>
            <w:shd w:val="clear" w:color="auto" w:fill="auto"/>
            <w:vAlign w:val="center"/>
            <w:hideMark/>
          </w:tcPr>
          <w:p w14:paraId="26ABDD73"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74"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75"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76"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77" w14:textId="77777777" w:rsidR="00A90358" w:rsidRDefault="00A90358" w:rsidP="000E2E5F">
            <w:pPr>
              <w:rPr>
                <w:color w:val="000000"/>
                <w:sz w:val="16"/>
                <w:szCs w:val="16"/>
              </w:rPr>
            </w:pPr>
            <w:r w:rsidRPr="00DD3A6D">
              <w:rPr>
                <w:color w:val="000000"/>
                <w:sz w:val="16"/>
                <w:szCs w:val="16"/>
              </w:rPr>
              <w:t>WA recovery plan in place 2010</w:t>
            </w:r>
          </w:p>
          <w:p w14:paraId="26ABDD78" w14:textId="77777777" w:rsidR="00A90358" w:rsidRPr="00DD3A6D" w:rsidRDefault="00A90358" w:rsidP="000E2E5F">
            <w:pPr>
              <w:rPr>
                <w:color w:val="000000"/>
                <w:sz w:val="16"/>
                <w:szCs w:val="16"/>
              </w:rPr>
            </w:pPr>
            <w:r w:rsidRPr="00E72278">
              <w:rPr>
                <w:color w:val="000000"/>
                <w:sz w:val="16"/>
                <w:szCs w:val="16"/>
              </w:rPr>
              <w:t>Endorsed as national recovery plan</w:t>
            </w:r>
            <w:r w:rsidRPr="00DD3A6D">
              <w:rPr>
                <w:i/>
                <w:iCs/>
                <w:color w:val="000000"/>
                <w:sz w:val="16"/>
                <w:szCs w:val="16"/>
              </w:rPr>
              <w:t xml:space="preserve"> </w:t>
            </w:r>
          </w:p>
        </w:tc>
      </w:tr>
      <w:tr w:rsidR="00A90358" w:rsidRPr="00DD3A6D" w14:paraId="26ABDD80"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D7A" w14:textId="77777777" w:rsidR="00A90358" w:rsidRPr="00DD3A6D" w:rsidRDefault="00A90358" w:rsidP="000E2E5F">
            <w:pPr>
              <w:rPr>
                <w:i/>
                <w:iCs/>
                <w:color w:val="000000"/>
                <w:sz w:val="16"/>
                <w:szCs w:val="16"/>
              </w:rPr>
            </w:pPr>
            <w:r>
              <w:rPr>
                <w:i/>
                <w:iCs/>
                <w:color w:val="000000"/>
                <w:sz w:val="16"/>
                <w:szCs w:val="16"/>
              </w:rPr>
              <w:t>Darwinia carnea</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D7B"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7C"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D7D"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D7E"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D7F" w14:textId="77777777" w:rsidR="00A90358" w:rsidRPr="00DD3A6D" w:rsidRDefault="00A90358" w:rsidP="000E2E5F">
            <w:pPr>
              <w:rPr>
                <w:color w:val="000000"/>
                <w:sz w:val="16"/>
                <w:szCs w:val="16"/>
              </w:rPr>
            </w:pPr>
            <w:r>
              <w:rPr>
                <w:color w:val="000000"/>
                <w:sz w:val="16"/>
                <w:szCs w:val="16"/>
              </w:rPr>
              <w:t>WA recovery plan endorsed as national recovery plan 2010</w:t>
            </w:r>
          </w:p>
        </w:tc>
      </w:tr>
      <w:tr w:rsidR="00A90358" w:rsidRPr="00DD3A6D" w14:paraId="26ABDD87"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D81" w14:textId="77777777" w:rsidR="00A90358" w:rsidRPr="00DD3A6D" w:rsidRDefault="00A90358" w:rsidP="000E2E5F">
            <w:pPr>
              <w:rPr>
                <w:i/>
                <w:iCs/>
                <w:color w:val="000000"/>
                <w:sz w:val="16"/>
                <w:szCs w:val="16"/>
              </w:rPr>
            </w:pPr>
            <w:r>
              <w:rPr>
                <w:i/>
                <w:iCs/>
                <w:color w:val="000000"/>
                <w:sz w:val="16"/>
                <w:szCs w:val="16"/>
              </w:rPr>
              <w:t>Darwinia collina</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D82"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83"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D84"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D85"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D86" w14:textId="77777777" w:rsidR="00A90358" w:rsidRPr="00DD3A6D" w:rsidRDefault="00A90358" w:rsidP="000E2E5F">
            <w:pPr>
              <w:rPr>
                <w:color w:val="000000"/>
                <w:sz w:val="16"/>
                <w:szCs w:val="16"/>
              </w:rPr>
            </w:pPr>
            <w:r>
              <w:rPr>
                <w:color w:val="000000"/>
                <w:sz w:val="16"/>
                <w:szCs w:val="16"/>
              </w:rPr>
              <w:t>WA recovery plan endorsed as national recovery plan 2008</w:t>
            </w:r>
          </w:p>
        </w:tc>
      </w:tr>
      <w:tr w:rsidR="00A90358" w:rsidRPr="00DD3A6D" w14:paraId="26ABDD8F"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88" w14:textId="77777777" w:rsidR="00A90358" w:rsidRPr="00DD3A6D" w:rsidRDefault="00A90358" w:rsidP="000E2E5F">
            <w:pPr>
              <w:rPr>
                <w:i/>
                <w:iCs/>
                <w:color w:val="000000"/>
                <w:sz w:val="16"/>
                <w:szCs w:val="16"/>
              </w:rPr>
            </w:pPr>
            <w:r w:rsidRPr="00DD3A6D">
              <w:rPr>
                <w:i/>
                <w:iCs/>
                <w:color w:val="000000"/>
                <w:sz w:val="16"/>
                <w:szCs w:val="16"/>
              </w:rPr>
              <w:t>Darwinia ferricola *</w:t>
            </w:r>
          </w:p>
        </w:tc>
        <w:tc>
          <w:tcPr>
            <w:tcW w:w="0" w:type="auto"/>
            <w:tcBorders>
              <w:top w:val="nil"/>
              <w:left w:val="nil"/>
              <w:bottom w:val="single" w:sz="8" w:space="0" w:color="auto"/>
              <w:right w:val="single" w:sz="8" w:space="0" w:color="auto"/>
            </w:tcBorders>
            <w:shd w:val="clear" w:color="auto" w:fill="auto"/>
            <w:vAlign w:val="center"/>
            <w:hideMark/>
          </w:tcPr>
          <w:p w14:paraId="26ABDD89"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8A"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8B"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8C"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8D" w14:textId="77777777" w:rsidR="00A90358" w:rsidRDefault="00A90358" w:rsidP="000E2E5F">
            <w:pPr>
              <w:rPr>
                <w:color w:val="000000"/>
                <w:sz w:val="16"/>
                <w:szCs w:val="16"/>
              </w:rPr>
            </w:pPr>
            <w:r w:rsidRPr="00DD3A6D">
              <w:rPr>
                <w:color w:val="000000"/>
                <w:sz w:val="16"/>
                <w:szCs w:val="16"/>
              </w:rPr>
              <w:t>WA recovery plan in place 2008</w:t>
            </w:r>
          </w:p>
          <w:p w14:paraId="26ABDD8E" w14:textId="77777777" w:rsidR="00A90358" w:rsidRPr="00DD3A6D" w:rsidRDefault="00A90358" w:rsidP="000E2E5F">
            <w:pPr>
              <w:rPr>
                <w:color w:val="000000"/>
                <w:sz w:val="16"/>
                <w:szCs w:val="16"/>
              </w:rPr>
            </w:pPr>
            <w:r w:rsidRPr="00E72278">
              <w:rPr>
                <w:color w:val="000000"/>
                <w:sz w:val="16"/>
                <w:szCs w:val="16"/>
              </w:rPr>
              <w:t>Endorsed as national recovery plan</w:t>
            </w:r>
          </w:p>
        </w:tc>
      </w:tr>
      <w:tr w:rsidR="00A90358" w:rsidRPr="00DD3A6D" w14:paraId="26ABDD96"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D90" w14:textId="77777777" w:rsidR="00A90358" w:rsidRPr="00DD3A6D" w:rsidRDefault="00A90358" w:rsidP="000E2E5F">
            <w:pPr>
              <w:rPr>
                <w:i/>
                <w:iCs/>
                <w:color w:val="000000"/>
                <w:sz w:val="16"/>
                <w:szCs w:val="16"/>
              </w:rPr>
            </w:pPr>
            <w:r>
              <w:rPr>
                <w:i/>
                <w:iCs/>
                <w:color w:val="000000"/>
                <w:sz w:val="16"/>
                <w:szCs w:val="16"/>
              </w:rPr>
              <w:t>Darwinia whicherensis</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D91"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92"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D93"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D94" w14:textId="77777777" w:rsidR="00A90358"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D95" w14:textId="77777777" w:rsidR="00A90358" w:rsidRPr="00DD3A6D" w:rsidRDefault="00A90358" w:rsidP="000E2E5F">
            <w:pPr>
              <w:rPr>
                <w:color w:val="000000"/>
                <w:sz w:val="16"/>
                <w:szCs w:val="16"/>
              </w:rPr>
            </w:pPr>
            <w:r>
              <w:rPr>
                <w:color w:val="000000"/>
                <w:sz w:val="16"/>
                <w:szCs w:val="16"/>
              </w:rPr>
              <w:t>WA recovery plan endorsed as national recovery plan 2004</w:t>
            </w:r>
          </w:p>
        </w:tc>
      </w:tr>
      <w:tr w:rsidR="00A90358" w:rsidRPr="00DD3A6D" w14:paraId="26ABDD9E"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97" w14:textId="77777777" w:rsidR="00A90358" w:rsidRPr="00DD3A6D" w:rsidRDefault="00A90358" w:rsidP="000E2E5F">
            <w:pPr>
              <w:rPr>
                <w:i/>
                <w:iCs/>
                <w:color w:val="000000"/>
                <w:sz w:val="16"/>
                <w:szCs w:val="16"/>
              </w:rPr>
            </w:pPr>
            <w:r w:rsidRPr="00DD3A6D">
              <w:rPr>
                <w:i/>
                <w:iCs/>
                <w:color w:val="000000"/>
                <w:sz w:val="16"/>
                <w:szCs w:val="16"/>
              </w:rPr>
              <w:t>Diplolaena andrewsii</w:t>
            </w:r>
          </w:p>
        </w:tc>
        <w:tc>
          <w:tcPr>
            <w:tcW w:w="0" w:type="auto"/>
            <w:tcBorders>
              <w:top w:val="nil"/>
              <w:left w:val="nil"/>
              <w:bottom w:val="single" w:sz="8" w:space="0" w:color="auto"/>
              <w:right w:val="single" w:sz="8" w:space="0" w:color="auto"/>
            </w:tcBorders>
            <w:shd w:val="clear" w:color="auto" w:fill="auto"/>
            <w:vAlign w:val="center"/>
            <w:hideMark/>
          </w:tcPr>
          <w:p w14:paraId="26ABDD9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99"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9A" w14:textId="77777777" w:rsidR="00A90358" w:rsidRPr="00DD3A6D" w:rsidRDefault="00A90358" w:rsidP="000E2E5F">
            <w:pPr>
              <w:rPr>
                <w:i/>
                <w:iCs/>
                <w:color w:val="000000"/>
                <w:sz w:val="16"/>
                <w:szCs w:val="16"/>
              </w:rPr>
            </w:pPr>
            <w:r w:rsidRPr="00DD3A6D">
              <w:rPr>
                <w:i/>
                <w:iCs/>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9B"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9C" w14:textId="77777777" w:rsidR="00A90358" w:rsidRDefault="00A90358" w:rsidP="000E2E5F">
            <w:pPr>
              <w:rPr>
                <w:color w:val="000000"/>
                <w:sz w:val="16"/>
                <w:szCs w:val="16"/>
              </w:rPr>
            </w:pPr>
            <w:r w:rsidRPr="00DD3A6D">
              <w:rPr>
                <w:color w:val="000000"/>
                <w:sz w:val="16"/>
                <w:szCs w:val="16"/>
              </w:rPr>
              <w:t>WA recovery plan in place 2015.</w:t>
            </w:r>
            <w:r w:rsidRPr="00DD3A6D">
              <w:rPr>
                <w:color w:val="000000"/>
                <w:sz w:val="16"/>
                <w:szCs w:val="16"/>
              </w:rPr>
              <w:br/>
              <w:t>National recovery plan not required</w:t>
            </w:r>
          </w:p>
          <w:p w14:paraId="26ABDD9D" w14:textId="77777777" w:rsidR="00A90358" w:rsidRPr="00DD3A6D" w:rsidRDefault="00A90358" w:rsidP="000E2E5F">
            <w:pPr>
              <w:rPr>
                <w:color w:val="000000"/>
                <w:sz w:val="16"/>
                <w:szCs w:val="16"/>
              </w:rPr>
            </w:pPr>
            <w:r>
              <w:rPr>
                <w:color w:val="000000"/>
                <w:sz w:val="16"/>
                <w:szCs w:val="16"/>
              </w:rPr>
              <w:t>Conservation advice approved 15/2/201</w:t>
            </w:r>
            <w:r w:rsidRPr="00DD3A6D">
              <w:rPr>
                <w:color w:val="000000"/>
                <w:sz w:val="16"/>
                <w:szCs w:val="16"/>
              </w:rPr>
              <w:t>8</w:t>
            </w:r>
          </w:p>
        </w:tc>
      </w:tr>
      <w:tr w:rsidR="00A90358" w:rsidRPr="00DD3A6D" w14:paraId="26ABDDA6" w14:textId="77777777" w:rsidTr="00A90358">
        <w:trPr>
          <w:trHeight w:val="6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9F" w14:textId="77777777" w:rsidR="00A90358" w:rsidRPr="00DD3A6D" w:rsidRDefault="00A90358" w:rsidP="000E2E5F">
            <w:pPr>
              <w:rPr>
                <w:i/>
                <w:iCs/>
                <w:color w:val="000000"/>
                <w:sz w:val="16"/>
                <w:szCs w:val="16"/>
              </w:rPr>
            </w:pPr>
            <w:r w:rsidRPr="00DD3A6D">
              <w:rPr>
                <w:i/>
                <w:iCs/>
                <w:color w:val="000000"/>
                <w:sz w:val="16"/>
                <w:szCs w:val="16"/>
              </w:rPr>
              <w:t xml:space="preserve">Drakaea confluens </w:t>
            </w:r>
          </w:p>
        </w:tc>
        <w:tc>
          <w:tcPr>
            <w:tcW w:w="0" w:type="auto"/>
            <w:tcBorders>
              <w:top w:val="nil"/>
              <w:left w:val="nil"/>
              <w:bottom w:val="single" w:sz="8" w:space="0" w:color="auto"/>
              <w:right w:val="single" w:sz="8" w:space="0" w:color="auto"/>
            </w:tcBorders>
            <w:shd w:val="clear" w:color="auto" w:fill="auto"/>
            <w:vAlign w:val="center"/>
            <w:hideMark/>
          </w:tcPr>
          <w:p w14:paraId="26ABDDA0"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A1"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A2"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A3"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A4" w14:textId="77777777" w:rsidR="00A90358" w:rsidRDefault="00A90358" w:rsidP="000E2E5F">
            <w:pPr>
              <w:rPr>
                <w:color w:val="000000"/>
                <w:sz w:val="16"/>
                <w:szCs w:val="16"/>
              </w:rPr>
            </w:pPr>
            <w:r w:rsidRPr="00DD3A6D">
              <w:rPr>
                <w:color w:val="000000"/>
                <w:sz w:val="16"/>
                <w:szCs w:val="16"/>
              </w:rPr>
              <w:t>WA recovery plan in place 2014</w:t>
            </w:r>
            <w:r w:rsidRPr="00DD3A6D">
              <w:rPr>
                <w:color w:val="000000"/>
                <w:sz w:val="16"/>
                <w:szCs w:val="16"/>
              </w:rPr>
              <w:br/>
              <w:t>Updated State plan 2010</w:t>
            </w:r>
          </w:p>
          <w:p w14:paraId="26ABDDA5" w14:textId="77777777" w:rsidR="00A90358" w:rsidRPr="00DD3A6D" w:rsidRDefault="00A90358" w:rsidP="000E2E5F">
            <w:pPr>
              <w:rPr>
                <w:color w:val="000000"/>
                <w:sz w:val="16"/>
                <w:szCs w:val="16"/>
              </w:rPr>
            </w:pPr>
            <w:r w:rsidRPr="00E72278">
              <w:rPr>
                <w:color w:val="000000"/>
                <w:sz w:val="16"/>
                <w:szCs w:val="16"/>
              </w:rPr>
              <w:t>Endorsed as national recovery plan</w:t>
            </w:r>
          </w:p>
        </w:tc>
      </w:tr>
      <w:tr w:rsidR="00A90358" w:rsidRPr="00DD3A6D" w14:paraId="26ABDDAE"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A7" w14:textId="77777777" w:rsidR="00A90358" w:rsidRPr="00DD3A6D" w:rsidRDefault="00A90358" w:rsidP="000E2E5F">
            <w:pPr>
              <w:rPr>
                <w:i/>
                <w:iCs/>
                <w:color w:val="000000"/>
                <w:sz w:val="16"/>
                <w:szCs w:val="16"/>
              </w:rPr>
            </w:pPr>
            <w:r w:rsidRPr="00DD3A6D">
              <w:rPr>
                <w:i/>
                <w:iCs/>
                <w:color w:val="000000"/>
                <w:sz w:val="16"/>
                <w:szCs w:val="16"/>
              </w:rPr>
              <w:t xml:space="preserve">Drakaea elastica </w:t>
            </w:r>
          </w:p>
        </w:tc>
        <w:tc>
          <w:tcPr>
            <w:tcW w:w="0" w:type="auto"/>
            <w:tcBorders>
              <w:top w:val="nil"/>
              <w:left w:val="nil"/>
              <w:bottom w:val="single" w:sz="8" w:space="0" w:color="auto"/>
              <w:right w:val="single" w:sz="8" w:space="0" w:color="auto"/>
            </w:tcBorders>
            <w:shd w:val="clear" w:color="auto" w:fill="auto"/>
            <w:vAlign w:val="center"/>
            <w:hideMark/>
          </w:tcPr>
          <w:p w14:paraId="26ABDDA8"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A9"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AA"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AB"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AC" w14:textId="77777777" w:rsidR="00A90358" w:rsidRDefault="00A90358" w:rsidP="000E2E5F">
            <w:pPr>
              <w:rPr>
                <w:color w:val="000000"/>
                <w:sz w:val="16"/>
                <w:szCs w:val="16"/>
              </w:rPr>
            </w:pPr>
            <w:r w:rsidRPr="00DD3A6D">
              <w:rPr>
                <w:color w:val="000000"/>
                <w:sz w:val="16"/>
                <w:szCs w:val="16"/>
              </w:rPr>
              <w:t>WA recovery plan in place 2010</w:t>
            </w:r>
          </w:p>
          <w:p w14:paraId="26ABDDAD" w14:textId="77777777" w:rsidR="00A90358" w:rsidRPr="00DD3A6D"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DB6"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AF" w14:textId="77777777" w:rsidR="00A90358" w:rsidRPr="00DD3A6D" w:rsidRDefault="00A90358" w:rsidP="000E2E5F">
            <w:pPr>
              <w:rPr>
                <w:i/>
                <w:iCs/>
                <w:color w:val="000000"/>
                <w:sz w:val="16"/>
                <w:szCs w:val="16"/>
              </w:rPr>
            </w:pPr>
            <w:r w:rsidRPr="00DD3A6D">
              <w:rPr>
                <w:i/>
                <w:iCs/>
                <w:color w:val="000000"/>
                <w:sz w:val="16"/>
                <w:szCs w:val="16"/>
              </w:rPr>
              <w:lastRenderedPageBreak/>
              <w:t xml:space="preserve">Eremophila glabra </w:t>
            </w:r>
            <w:r w:rsidRPr="00DD3A6D">
              <w:rPr>
                <w:color w:val="000000"/>
                <w:sz w:val="16"/>
                <w:szCs w:val="16"/>
              </w:rPr>
              <w:t>subsp</w:t>
            </w:r>
            <w:r w:rsidRPr="00DD3A6D">
              <w:rPr>
                <w:i/>
                <w:iCs/>
                <w:color w:val="000000"/>
                <w:sz w:val="16"/>
                <w:szCs w:val="16"/>
              </w:rPr>
              <w:t>. chlorella</w:t>
            </w:r>
          </w:p>
        </w:tc>
        <w:tc>
          <w:tcPr>
            <w:tcW w:w="0" w:type="auto"/>
            <w:tcBorders>
              <w:top w:val="nil"/>
              <w:left w:val="nil"/>
              <w:bottom w:val="single" w:sz="8" w:space="0" w:color="auto"/>
              <w:right w:val="single" w:sz="8" w:space="0" w:color="auto"/>
            </w:tcBorders>
            <w:shd w:val="clear" w:color="auto" w:fill="auto"/>
            <w:vAlign w:val="center"/>
            <w:hideMark/>
          </w:tcPr>
          <w:p w14:paraId="26ABDDB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B1"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B2"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B3"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B4" w14:textId="77777777" w:rsidR="00A90358" w:rsidRDefault="00A90358" w:rsidP="000E2E5F">
            <w:pPr>
              <w:rPr>
                <w:color w:val="000000"/>
                <w:sz w:val="16"/>
                <w:szCs w:val="16"/>
              </w:rPr>
            </w:pPr>
            <w:r w:rsidRPr="00DD3A6D">
              <w:rPr>
                <w:color w:val="000000"/>
                <w:sz w:val="16"/>
                <w:szCs w:val="16"/>
              </w:rPr>
              <w:t>WA recovery plan in place 2016</w:t>
            </w:r>
            <w:r w:rsidRPr="00DD3A6D">
              <w:rPr>
                <w:color w:val="000000"/>
                <w:sz w:val="16"/>
                <w:szCs w:val="16"/>
              </w:rPr>
              <w:br/>
              <w:t>National recovery plan not required</w:t>
            </w:r>
          </w:p>
          <w:p w14:paraId="26ABDDB5" w14:textId="77777777" w:rsidR="00A90358" w:rsidRPr="00DD3A6D" w:rsidRDefault="00A90358" w:rsidP="000E2E5F">
            <w:pPr>
              <w:rPr>
                <w:color w:val="000000"/>
                <w:sz w:val="16"/>
                <w:szCs w:val="16"/>
              </w:rPr>
            </w:pPr>
            <w:r>
              <w:rPr>
                <w:color w:val="000000"/>
                <w:sz w:val="16"/>
                <w:szCs w:val="16"/>
              </w:rPr>
              <w:t>Conservation advice approved 15/2/201</w:t>
            </w:r>
            <w:r w:rsidRPr="00DD3A6D">
              <w:rPr>
                <w:color w:val="000000"/>
                <w:sz w:val="16"/>
                <w:szCs w:val="16"/>
              </w:rPr>
              <w:t xml:space="preserve">8 </w:t>
            </w:r>
          </w:p>
        </w:tc>
      </w:tr>
      <w:tr w:rsidR="00A90358" w:rsidRPr="00DD3A6D" w14:paraId="26ABDDBD"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DB7" w14:textId="77777777" w:rsidR="00A90358" w:rsidRPr="00DD3A6D" w:rsidRDefault="00A90358" w:rsidP="000E2E5F">
            <w:pPr>
              <w:rPr>
                <w:i/>
                <w:iCs/>
                <w:color w:val="000000"/>
                <w:sz w:val="16"/>
                <w:szCs w:val="16"/>
              </w:rPr>
            </w:pPr>
            <w:r>
              <w:rPr>
                <w:i/>
                <w:iCs/>
                <w:color w:val="000000"/>
                <w:sz w:val="16"/>
                <w:szCs w:val="16"/>
              </w:rPr>
              <w:t>Eucalyptus x balanites</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DB8"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B9"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DBA"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DBB"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DBC" w14:textId="77777777" w:rsidR="00A90358" w:rsidRPr="00DD3A6D" w:rsidRDefault="00A90358" w:rsidP="000E2E5F">
            <w:pPr>
              <w:rPr>
                <w:color w:val="000000"/>
                <w:sz w:val="16"/>
                <w:szCs w:val="16"/>
              </w:rPr>
            </w:pPr>
            <w:r>
              <w:rPr>
                <w:color w:val="000000"/>
                <w:sz w:val="16"/>
                <w:szCs w:val="16"/>
              </w:rPr>
              <w:t>WA recovery plan endorsed as national recovery plan 2011</w:t>
            </w:r>
          </w:p>
        </w:tc>
      </w:tr>
      <w:tr w:rsidR="00A90358" w:rsidRPr="00DD3A6D" w14:paraId="26ABDDC4"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BE" w14:textId="77777777" w:rsidR="00A90358" w:rsidRPr="00DD3A6D" w:rsidRDefault="00A90358" w:rsidP="000E2E5F">
            <w:pPr>
              <w:rPr>
                <w:i/>
                <w:iCs/>
                <w:color w:val="000000"/>
                <w:sz w:val="16"/>
                <w:szCs w:val="16"/>
              </w:rPr>
            </w:pPr>
            <w:r w:rsidRPr="00DD3A6D">
              <w:rPr>
                <w:i/>
                <w:iCs/>
                <w:color w:val="000000"/>
                <w:sz w:val="16"/>
                <w:szCs w:val="16"/>
              </w:rPr>
              <w:t>Grevillea acropogon</w:t>
            </w:r>
          </w:p>
        </w:tc>
        <w:tc>
          <w:tcPr>
            <w:tcW w:w="0" w:type="auto"/>
            <w:tcBorders>
              <w:top w:val="nil"/>
              <w:left w:val="nil"/>
              <w:bottom w:val="single" w:sz="8" w:space="0" w:color="auto"/>
              <w:right w:val="single" w:sz="8" w:space="0" w:color="auto"/>
            </w:tcBorders>
            <w:shd w:val="clear" w:color="auto" w:fill="auto"/>
            <w:vAlign w:val="center"/>
            <w:hideMark/>
          </w:tcPr>
          <w:p w14:paraId="26ABDDBF"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C0"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C1"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C2"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DDC3" w14:textId="77777777" w:rsidR="00A90358" w:rsidRPr="00DD3A6D" w:rsidRDefault="00A90358" w:rsidP="000E2E5F">
            <w:pPr>
              <w:rPr>
                <w:color w:val="000000"/>
                <w:sz w:val="16"/>
                <w:szCs w:val="16"/>
              </w:rPr>
            </w:pPr>
            <w:r w:rsidRPr="00DD3A6D">
              <w:rPr>
                <w:color w:val="000000"/>
                <w:sz w:val="16"/>
                <w:szCs w:val="16"/>
              </w:rPr>
              <w:t>WA recovery plan in place 2012</w:t>
            </w:r>
          </w:p>
        </w:tc>
      </w:tr>
      <w:tr w:rsidR="00A90358" w:rsidRPr="00DD3A6D" w14:paraId="26ABDDCC"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C5" w14:textId="77777777" w:rsidR="00A90358" w:rsidRPr="00DD3A6D" w:rsidRDefault="00A90358" w:rsidP="000E2E5F">
            <w:pPr>
              <w:rPr>
                <w:i/>
                <w:iCs/>
                <w:color w:val="000000"/>
                <w:sz w:val="16"/>
                <w:szCs w:val="16"/>
              </w:rPr>
            </w:pPr>
            <w:r w:rsidRPr="00DD3A6D">
              <w:rPr>
                <w:i/>
                <w:iCs/>
                <w:color w:val="000000"/>
                <w:sz w:val="16"/>
                <w:szCs w:val="16"/>
              </w:rPr>
              <w:t xml:space="preserve">Grevillea althoferorum </w:t>
            </w:r>
            <w:r w:rsidRPr="00DD3A6D">
              <w:rPr>
                <w:color w:val="000000"/>
                <w:sz w:val="16"/>
                <w:szCs w:val="16"/>
              </w:rPr>
              <w:t>(subsp</w:t>
            </w:r>
            <w:r w:rsidRPr="00DD3A6D">
              <w:rPr>
                <w:i/>
                <w:iCs/>
                <w:color w:val="000000"/>
                <w:sz w:val="16"/>
                <w:szCs w:val="16"/>
              </w:rPr>
              <w:t xml:space="preserve">. </w:t>
            </w:r>
            <w:r w:rsidRPr="00DD3A6D">
              <w:rPr>
                <w:i/>
                <w:iCs/>
                <w:sz w:val="16"/>
                <w:szCs w:val="16"/>
              </w:rPr>
              <w:t>fragilis</w:t>
            </w:r>
            <w:r w:rsidRPr="00DD3A6D">
              <w:rPr>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26ABDDC6"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C7"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C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C9" w14:textId="77777777" w:rsidR="00A90358" w:rsidRPr="00DD3A6D" w:rsidRDefault="00A90358" w:rsidP="000E2E5F">
            <w:pPr>
              <w:rPr>
                <w:color w:val="000000"/>
                <w:sz w:val="16"/>
                <w:szCs w:val="16"/>
              </w:rPr>
            </w:pPr>
            <w:r>
              <w:rPr>
                <w:color w:val="000000"/>
                <w:sz w:val="16"/>
                <w:szCs w:val="16"/>
              </w:rPr>
              <w:t>Not listed at subspecies level; Endangered at species level</w:t>
            </w:r>
          </w:p>
        </w:tc>
        <w:tc>
          <w:tcPr>
            <w:tcW w:w="2029" w:type="dxa"/>
            <w:tcBorders>
              <w:top w:val="nil"/>
              <w:left w:val="nil"/>
              <w:bottom w:val="single" w:sz="8" w:space="0" w:color="auto"/>
              <w:right w:val="single" w:sz="8" w:space="0" w:color="auto"/>
            </w:tcBorders>
            <w:shd w:val="clear" w:color="auto" w:fill="auto"/>
            <w:vAlign w:val="center"/>
            <w:hideMark/>
          </w:tcPr>
          <w:p w14:paraId="26ABDDCA" w14:textId="77777777" w:rsidR="00A90358" w:rsidRDefault="00A90358" w:rsidP="000E2E5F">
            <w:pPr>
              <w:rPr>
                <w:color w:val="000000"/>
                <w:sz w:val="16"/>
                <w:szCs w:val="16"/>
              </w:rPr>
            </w:pPr>
            <w:r w:rsidRPr="00DD3A6D">
              <w:rPr>
                <w:color w:val="000000"/>
                <w:sz w:val="16"/>
                <w:szCs w:val="16"/>
              </w:rPr>
              <w:t>WA recovery plan in place 2004</w:t>
            </w:r>
          </w:p>
          <w:p w14:paraId="26ABDDCB" w14:textId="77777777" w:rsidR="00A90358" w:rsidRPr="00C069E7"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DD4"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CD" w14:textId="77777777" w:rsidR="00A90358" w:rsidRPr="00DD3A6D" w:rsidRDefault="00A90358" w:rsidP="000E2E5F">
            <w:pPr>
              <w:rPr>
                <w:i/>
                <w:iCs/>
                <w:color w:val="000000"/>
                <w:sz w:val="16"/>
                <w:szCs w:val="16"/>
              </w:rPr>
            </w:pPr>
            <w:r w:rsidRPr="00DD3A6D">
              <w:rPr>
                <w:i/>
                <w:iCs/>
                <w:color w:val="000000"/>
                <w:sz w:val="16"/>
                <w:szCs w:val="16"/>
              </w:rPr>
              <w:t xml:space="preserve">Grevillea brachystylis </w:t>
            </w:r>
            <w:r w:rsidRPr="00DD3A6D">
              <w:rPr>
                <w:color w:val="000000"/>
                <w:sz w:val="16"/>
                <w:szCs w:val="16"/>
              </w:rPr>
              <w:t>subsp</w:t>
            </w:r>
            <w:r w:rsidRPr="00DD3A6D">
              <w:rPr>
                <w:i/>
                <w:iCs/>
                <w:color w:val="000000"/>
                <w:sz w:val="16"/>
                <w:szCs w:val="16"/>
              </w:rPr>
              <w:t>. grandis</w:t>
            </w:r>
          </w:p>
        </w:tc>
        <w:tc>
          <w:tcPr>
            <w:tcW w:w="0" w:type="auto"/>
            <w:tcBorders>
              <w:top w:val="nil"/>
              <w:left w:val="nil"/>
              <w:bottom w:val="single" w:sz="8" w:space="0" w:color="auto"/>
              <w:right w:val="single" w:sz="8" w:space="0" w:color="auto"/>
            </w:tcBorders>
            <w:shd w:val="clear" w:color="auto" w:fill="auto"/>
            <w:vAlign w:val="center"/>
            <w:hideMark/>
          </w:tcPr>
          <w:p w14:paraId="26ABDDCE"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CF"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DD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D1"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DD2" w14:textId="77777777" w:rsidR="00A90358" w:rsidRDefault="00A90358" w:rsidP="000E2E5F">
            <w:pPr>
              <w:rPr>
                <w:color w:val="000000"/>
                <w:sz w:val="16"/>
                <w:szCs w:val="16"/>
              </w:rPr>
            </w:pPr>
            <w:r w:rsidRPr="00DD3A6D">
              <w:rPr>
                <w:color w:val="000000"/>
                <w:sz w:val="16"/>
                <w:szCs w:val="16"/>
              </w:rPr>
              <w:t>WA recovery plan in place 2013</w:t>
            </w:r>
          </w:p>
          <w:p w14:paraId="26ABDDD3" w14:textId="77777777" w:rsidR="00A90358" w:rsidRPr="00C069E7"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DDD" w14:textId="77777777" w:rsidTr="00A90358">
        <w:trPr>
          <w:trHeight w:val="63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D5" w14:textId="77777777" w:rsidR="00A90358" w:rsidRPr="00DD3A6D" w:rsidRDefault="00A90358" w:rsidP="000E2E5F">
            <w:pPr>
              <w:rPr>
                <w:i/>
                <w:iCs/>
                <w:color w:val="000000"/>
                <w:sz w:val="16"/>
                <w:szCs w:val="16"/>
              </w:rPr>
            </w:pPr>
            <w:r w:rsidRPr="00DD3A6D">
              <w:rPr>
                <w:i/>
                <w:iCs/>
                <w:color w:val="000000"/>
                <w:sz w:val="16"/>
                <w:szCs w:val="16"/>
              </w:rPr>
              <w:t>Grevillea corrugata</w:t>
            </w:r>
          </w:p>
        </w:tc>
        <w:tc>
          <w:tcPr>
            <w:tcW w:w="0" w:type="auto"/>
            <w:tcBorders>
              <w:top w:val="nil"/>
              <w:left w:val="nil"/>
              <w:bottom w:val="single" w:sz="8" w:space="0" w:color="auto"/>
              <w:right w:val="single" w:sz="8" w:space="0" w:color="auto"/>
            </w:tcBorders>
            <w:shd w:val="clear" w:color="auto" w:fill="auto"/>
            <w:vAlign w:val="center"/>
            <w:hideMark/>
          </w:tcPr>
          <w:p w14:paraId="26ABDDD6"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D7"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D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D9"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DA" w14:textId="77777777" w:rsidR="00A90358" w:rsidRDefault="00A90358" w:rsidP="000E2E5F">
            <w:pPr>
              <w:rPr>
                <w:color w:val="000000"/>
                <w:sz w:val="16"/>
                <w:szCs w:val="16"/>
              </w:rPr>
            </w:pPr>
            <w:r w:rsidRPr="00DD3A6D">
              <w:rPr>
                <w:color w:val="000000"/>
                <w:sz w:val="16"/>
                <w:szCs w:val="16"/>
              </w:rPr>
              <w:t>WA recovery plan in place 2017</w:t>
            </w:r>
          </w:p>
          <w:p w14:paraId="26ABDDDB" w14:textId="77777777" w:rsidR="00A90358" w:rsidRDefault="00A90358" w:rsidP="000E2E5F">
            <w:pPr>
              <w:rPr>
                <w:color w:val="000000"/>
                <w:sz w:val="16"/>
                <w:szCs w:val="16"/>
              </w:rPr>
            </w:pPr>
            <w:r w:rsidRPr="00DD3A6D">
              <w:rPr>
                <w:color w:val="000000"/>
                <w:sz w:val="16"/>
                <w:szCs w:val="16"/>
              </w:rPr>
              <w:t>National recovery plan not required</w:t>
            </w:r>
          </w:p>
          <w:p w14:paraId="26ABDDDC" w14:textId="77777777" w:rsidR="00A90358" w:rsidRPr="00DD3A6D" w:rsidRDefault="00A90358" w:rsidP="000E2E5F">
            <w:pPr>
              <w:rPr>
                <w:color w:val="000000"/>
                <w:sz w:val="16"/>
                <w:szCs w:val="16"/>
              </w:rPr>
            </w:pPr>
            <w:r>
              <w:rPr>
                <w:color w:val="000000"/>
                <w:sz w:val="16"/>
                <w:szCs w:val="16"/>
              </w:rPr>
              <w:t>Conservation advice approved 26/2/2013</w:t>
            </w:r>
          </w:p>
        </w:tc>
      </w:tr>
      <w:tr w:rsidR="00A90358" w:rsidRPr="00DD3A6D" w14:paraId="26ABDDE4"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DDE" w14:textId="77777777" w:rsidR="00A90358" w:rsidRPr="00DD3A6D" w:rsidRDefault="00A90358" w:rsidP="000E2E5F">
            <w:pPr>
              <w:rPr>
                <w:i/>
                <w:iCs/>
                <w:color w:val="000000"/>
                <w:sz w:val="16"/>
                <w:szCs w:val="16"/>
              </w:rPr>
            </w:pPr>
            <w:r>
              <w:rPr>
                <w:i/>
                <w:iCs/>
                <w:color w:val="000000"/>
                <w:sz w:val="16"/>
                <w:szCs w:val="16"/>
              </w:rPr>
              <w:t>Grevillea curviloba subsp. curviloba</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DDF"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E0"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DE1"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E2"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DE3" w14:textId="77777777" w:rsidR="00A90358" w:rsidRPr="00DD3A6D" w:rsidRDefault="00A90358" w:rsidP="000E2E5F">
            <w:pPr>
              <w:rPr>
                <w:color w:val="000000"/>
                <w:sz w:val="16"/>
                <w:szCs w:val="16"/>
              </w:rPr>
            </w:pPr>
            <w:r>
              <w:rPr>
                <w:color w:val="000000"/>
                <w:sz w:val="16"/>
                <w:szCs w:val="16"/>
              </w:rPr>
              <w:t>WA recovery plan endorsed as national recovery plan 2002</w:t>
            </w:r>
          </w:p>
        </w:tc>
      </w:tr>
      <w:tr w:rsidR="00A90358" w:rsidRPr="00DD3A6D" w14:paraId="26ABDDEC"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E5" w14:textId="77777777" w:rsidR="00A90358" w:rsidRPr="00DD3A6D" w:rsidRDefault="00A90358" w:rsidP="000E2E5F">
            <w:pPr>
              <w:rPr>
                <w:i/>
                <w:iCs/>
                <w:color w:val="000000"/>
                <w:sz w:val="16"/>
                <w:szCs w:val="16"/>
              </w:rPr>
            </w:pPr>
            <w:r w:rsidRPr="00DD3A6D">
              <w:rPr>
                <w:i/>
                <w:iCs/>
                <w:color w:val="000000"/>
                <w:sz w:val="16"/>
                <w:szCs w:val="16"/>
              </w:rPr>
              <w:t>Grevillea curviloba subsp. incurva</w:t>
            </w:r>
          </w:p>
        </w:tc>
        <w:tc>
          <w:tcPr>
            <w:tcW w:w="0" w:type="auto"/>
            <w:tcBorders>
              <w:top w:val="nil"/>
              <w:left w:val="nil"/>
              <w:bottom w:val="single" w:sz="8" w:space="0" w:color="auto"/>
              <w:right w:val="single" w:sz="8" w:space="0" w:color="auto"/>
            </w:tcBorders>
            <w:shd w:val="clear" w:color="auto" w:fill="auto"/>
            <w:vAlign w:val="center"/>
            <w:hideMark/>
          </w:tcPr>
          <w:p w14:paraId="26ABDDE6"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E7"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DE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E9"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DEA" w14:textId="77777777" w:rsidR="00A90358" w:rsidRDefault="00A90358" w:rsidP="000E2E5F">
            <w:pPr>
              <w:rPr>
                <w:color w:val="000000"/>
                <w:sz w:val="16"/>
                <w:szCs w:val="16"/>
              </w:rPr>
            </w:pPr>
            <w:r w:rsidRPr="00DD3A6D">
              <w:rPr>
                <w:color w:val="000000"/>
                <w:sz w:val="16"/>
                <w:szCs w:val="16"/>
              </w:rPr>
              <w:t>WA recovery plan in place 2000</w:t>
            </w:r>
          </w:p>
          <w:p w14:paraId="26ABDDEB" w14:textId="77777777" w:rsidR="00A90358" w:rsidRPr="00C069E7"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DF3"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DED" w14:textId="77777777" w:rsidR="00A90358" w:rsidRPr="00DD3A6D" w:rsidRDefault="00A90358" w:rsidP="000E2E5F">
            <w:pPr>
              <w:rPr>
                <w:i/>
                <w:iCs/>
                <w:color w:val="000000"/>
                <w:sz w:val="16"/>
                <w:szCs w:val="16"/>
              </w:rPr>
            </w:pPr>
            <w:r>
              <w:rPr>
                <w:i/>
                <w:iCs/>
                <w:color w:val="000000"/>
                <w:sz w:val="16"/>
                <w:szCs w:val="16"/>
              </w:rPr>
              <w:t>Grevillea elongata</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DEE"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EF"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DF0"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DF1" w14:textId="77777777" w:rsidR="00A90358" w:rsidRPr="00DD3A6D" w:rsidRDefault="00A90358" w:rsidP="000E2E5F">
            <w:pPr>
              <w:rPr>
                <w:color w:val="000000"/>
                <w:sz w:val="16"/>
                <w:szCs w:val="16"/>
              </w:rPr>
            </w:pPr>
            <w:r>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tcPr>
          <w:p w14:paraId="26ABDDF2" w14:textId="77777777" w:rsidR="00A90358" w:rsidRPr="00DD3A6D" w:rsidRDefault="00A90358" w:rsidP="000E2E5F">
            <w:pPr>
              <w:rPr>
                <w:color w:val="000000"/>
                <w:sz w:val="16"/>
                <w:szCs w:val="16"/>
              </w:rPr>
            </w:pPr>
            <w:r>
              <w:rPr>
                <w:color w:val="000000"/>
                <w:sz w:val="16"/>
                <w:szCs w:val="16"/>
              </w:rPr>
              <w:t>WA recovery plan endorsed as national recovery plan 2004</w:t>
            </w:r>
          </w:p>
        </w:tc>
      </w:tr>
      <w:tr w:rsidR="00A90358" w:rsidRPr="00DD3A6D" w14:paraId="26ABDDFA"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DF4" w14:textId="77777777" w:rsidR="00A90358" w:rsidRPr="00DD3A6D" w:rsidRDefault="00A90358" w:rsidP="000E2E5F">
            <w:pPr>
              <w:rPr>
                <w:i/>
                <w:iCs/>
                <w:color w:val="000000"/>
                <w:sz w:val="16"/>
                <w:szCs w:val="16"/>
              </w:rPr>
            </w:pPr>
            <w:r w:rsidRPr="00DD3A6D">
              <w:rPr>
                <w:i/>
                <w:iCs/>
                <w:color w:val="000000"/>
                <w:sz w:val="16"/>
                <w:szCs w:val="16"/>
              </w:rPr>
              <w:t>Grevillea fuscolutea</w:t>
            </w:r>
          </w:p>
        </w:tc>
        <w:tc>
          <w:tcPr>
            <w:tcW w:w="0" w:type="auto"/>
            <w:tcBorders>
              <w:top w:val="nil"/>
              <w:left w:val="nil"/>
              <w:bottom w:val="single" w:sz="8" w:space="0" w:color="auto"/>
              <w:right w:val="single" w:sz="8" w:space="0" w:color="auto"/>
            </w:tcBorders>
            <w:shd w:val="clear" w:color="auto" w:fill="auto"/>
            <w:vAlign w:val="center"/>
            <w:hideMark/>
          </w:tcPr>
          <w:p w14:paraId="26ABDDF5"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F6"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DF7"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DF8"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DDF9" w14:textId="77777777" w:rsidR="00A90358" w:rsidRPr="00DD3A6D" w:rsidRDefault="00A90358" w:rsidP="000E2E5F">
            <w:pPr>
              <w:rPr>
                <w:color w:val="000000"/>
                <w:sz w:val="16"/>
                <w:szCs w:val="16"/>
              </w:rPr>
            </w:pPr>
            <w:r w:rsidRPr="00DD3A6D">
              <w:rPr>
                <w:color w:val="000000"/>
                <w:sz w:val="16"/>
                <w:szCs w:val="16"/>
              </w:rPr>
              <w:t>WA recovery plan in place 2010</w:t>
            </w:r>
          </w:p>
        </w:tc>
      </w:tr>
      <w:tr w:rsidR="00A90358" w:rsidRPr="00DD3A6D" w14:paraId="26ABDE01"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DFB" w14:textId="77777777" w:rsidR="00A90358" w:rsidRPr="00DD3A6D" w:rsidRDefault="00A90358" w:rsidP="000E2E5F">
            <w:pPr>
              <w:rPr>
                <w:i/>
                <w:iCs/>
                <w:color w:val="000000"/>
                <w:sz w:val="16"/>
                <w:szCs w:val="16"/>
              </w:rPr>
            </w:pPr>
            <w:r>
              <w:rPr>
                <w:i/>
                <w:iCs/>
                <w:color w:val="000000"/>
                <w:sz w:val="16"/>
                <w:szCs w:val="16"/>
              </w:rPr>
              <w:lastRenderedPageBreak/>
              <w:t>Grevillea maccutcheonii</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DFC"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DFD"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DFE"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DFF"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00" w14:textId="77777777" w:rsidR="00A90358" w:rsidRPr="00DD3A6D" w:rsidRDefault="00A90358" w:rsidP="000E2E5F">
            <w:pPr>
              <w:rPr>
                <w:color w:val="000000"/>
                <w:sz w:val="16"/>
                <w:szCs w:val="16"/>
              </w:rPr>
            </w:pPr>
            <w:r>
              <w:rPr>
                <w:color w:val="000000"/>
                <w:sz w:val="16"/>
                <w:szCs w:val="16"/>
              </w:rPr>
              <w:t>WA recovery plan endorsed as national recovery plan 2004</w:t>
            </w:r>
          </w:p>
        </w:tc>
      </w:tr>
      <w:tr w:rsidR="00A90358" w:rsidRPr="00DD3A6D" w14:paraId="26ABDE09"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02" w14:textId="77777777" w:rsidR="00A90358" w:rsidRPr="00DD3A6D" w:rsidRDefault="00A90358" w:rsidP="000E2E5F">
            <w:pPr>
              <w:rPr>
                <w:i/>
                <w:iCs/>
                <w:color w:val="000000"/>
                <w:sz w:val="16"/>
                <w:szCs w:val="16"/>
              </w:rPr>
            </w:pPr>
            <w:r w:rsidRPr="00DD3A6D">
              <w:rPr>
                <w:i/>
                <w:iCs/>
                <w:color w:val="000000"/>
                <w:sz w:val="16"/>
                <w:szCs w:val="16"/>
              </w:rPr>
              <w:t>Grevillea rara</w:t>
            </w:r>
          </w:p>
        </w:tc>
        <w:tc>
          <w:tcPr>
            <w:tcW w:w="0" w:type="auto"/>
            <w:tcBorders>
              <w:top w:val="nil"/>
              <w:left w:val="nil"/>
              <w:bottom w:val="single" w:sz="8" w:space="0" w:color="auto"/>
              <w:right w:val="single" w:sz="8" w:space="0" w:color="auto"/>
            </w:tcBorders>
            <w:shd w:val="clear" w:color="auto" w:fill="auto"/>
            <w:vAlign w:val="center"/>
            <w:hideMark/>
          </w:tcPr>
          <w:p w14:paraId="26ABDE03"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04"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E05"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06"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E07" w14:textId="77777777" w:rsidR="00A90358" w:rsidRDefault="00A90358" w:rsidP="000E2E5F">
            <w:pPr>
              <w:rPr>
                <w:color w:val="000000"/>
                <w:sz w:val="16"/>
                <w:szCs w:val="16"/>
              </w:rPr>
            </w:pPr>
            <w:r w:rsidRPr="00DD3A6D">
              <w:rPr>
                <w:color w:val="000000"/>
                <w:sz w:val="16"/>
                <w:szCs w:val="16"/>
              </w:rPr>
              <w:t>WA recovery plan in place 2010</w:t>
            </w:r>
          </w:p>
          <w:p w14:paraId="26ABDE08" w14:textId="77777777" w:rsidR="00A90358" w:rsidRPr="00C069E7"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E10"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E0A" w14:textId="77777777" w:rsidR="00A90358" w:rsidRPr="00DD3A6D" w:rsidRDefault="00A90358" w:rsidP="000E2E5F">
            <w:pPr>
              <w:rPr>
                <w:i/>
                <w:iCs/>
                <w:color w:val="000000"/>
                <w:sz w:val="16"/>
                <w:szCs w:val="16"/>
              </w:rPr>
            </w:pPr>
            <w:r>
              <w:rPr>
                <w:i/>
                <w:iCs/>
                <w:color w:val="000000"/>
                <w:sz w:val="16"/>
                <w:szCs w:val="16"/>
              </w:rPr>
              <w:t>Isopogon uncinatus</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0B"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0C"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E0D" w14:textId="77777777" w:rsidR="00A90358" w:rsidRPr="00DD3A6D" w:rsidDel="00C069E7"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0E" w14:textId="77777777" w:rsidR="00A90358"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0F" w14:textId="77777777" w:rsidR="00A90358" w:rsidRPr="00DD3A6D" w:rsidRDefault="00A90358" w:rsidP="000E2E5F">
            <w:pPr>
              <w:rPr>
                <w:color w:val="000000"/>
                <w:sz w:val="16"/>
                <w:szCs w:val="16"/>
              </w:rPr>
            </w:pPr>
            <w:r>
              <w:rPr>
                <w:color w:val="000000"/>
                <w:sz w:val="16"/>
                <w:szCs w:val="16"/>
              </w:rPr>
              <w:t>WA recovery plan endorsed as national recovery plan 2002</w:t>
            </w:r>
          </w:p>
        </w:tc>
      </w:tr>
      <w:tr w:rsidR="00A90358" w:rsidRPr="00DD3A6D" w14:paraId="26ABDE17"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E11" w14:textId="77777777" w:rsidR="00A90358" w:rsidRPr="00DD3A6D" w:rsidRDefault="00A90358" w:rsidP="000E2E5F">
            <w:pPr>
              <w:rPr>
                <w:i/>
                <w:iCs/>
                <w:color w:val="000000"/>
                <w:sz w:val="16"/>
                <w:szCs w:val="16"/>
              </w:rPr>
            </w:pPr>
            <w:r>
              <w:rPr>
                <w:i/>
                <w:iCs/>
                <w:color w:val="000000"/>
                <w:sz w:val="16"/>
                <w:szCs w:val="16"/>
              </w:rPr>
              <w:t>Lambertia echinata subsp. occidentalis</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12"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13"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E14" w14:textId="77777777" w:rsidR="00A90358" w:rsidRPr="00DD3A6D" w:rsidDel="00C069E7"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15" w14:textId="77777777" w:rsidR="00A90358"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16" w14:textId="77777777" w:rsidR="00A90358" w:rsidRPr="00DD3A6D" w:rsidRDefault="00A90358" w:rsidP="000E2E5F">
            <w:pPr>
              <w:rPr>
                <w:color w:val="000000"/>
                <w:sz w:val="16"/>
                <w:szCs w:val="16"/>
              </w:rPr>
            </w:pPr>
            <w:r>
              <w:rPr>
                <w:color w:val="000000"/>
                <w:sz w:val="16"/>
                <w:szCs w:val="16"/>
              </w:rPr>
              <w:t>WA recovery plan endorsed as national recovery plan 2004</w:t>
            </w:r>
          </w:p>
        </w:tc>
      </w:tr>
      <w:tr w:rsidR="00A90358" w:rsidRPr="00DD3A6D" w14:paraId="26ABDE1F"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18" w14:textId="77777777" w:rsidR="00A90358" w:rsidRPr="00DD3A6D" w:rsidRDefault="00A90358" w:rsidP="000E2E5F">
            <w:pPr>
              <w:rPr>
                <w:i/>
                <w:iCs/>
                <w:color w:val="000000"/>
                <w:sz w:val="16"/>
                <w:szCs w:val="16"/>
              </w:rPr>
            </w:pPr>
            <w:r w:rsidRPr="00DD3A6D">
              <w:rPr>
                <w:i/>
                <w:iCs/>
                <w:color w:val="000000"/>
                <w:sz w:val="16"/>
                <w:szCs w:val="16"/>
              </w:rPr>
              <w:t xml:space="preserve">Lambertia orbifolia </w:t>
            </w:r>
            <w:r w:rsidRPr="00DD3A6D">
              <w:rPr>
                <w:color w:val="000000"/>
                <w:sz w:val="16"/>
                <w:szCs w:val="16"/>
              </w:rPr>
              <w:t>subsp</w:t>
            </w:r>
            <w:r w:rsidRPr="00DD3A6D">
              <w:rPr>
                <w:i/>
                <w:iCs/>
                <w:color w:val="000000"/>
                <w:sz w:val="16"/>
                <w:szCs w:val="16"/>
              </w:rPr>
              <w:t xml:space="preserve">. orbifolia </w:t>
            </w:r>
            <w:r w:rsidRPr="00DD3A6D">
              <w:rPr>
                <w:color w:val="000000"/>
                <w:sz w:val="16"/>
                <w:szCs w:val="16"/>
              </w:rPr>
              <w:t>ms</w:t>
            </w:r>
          </w:p>
        </w:tc>
        <w:tc>
          <w:tcPr>
            <w:tcW w:w="0" w:type="auto"/>
            <w:tcBorders>
              <w:top w:val="nil"/>
              <w:left w:val="nil"/>
              <w:bottom w:val="single" w:sz="8" w:space="0" w:color="auto"/>
              <w:right w:val="single" w:sz="8" w:space="0" w:color="auto"/>
            </w:tcBorders>
            <w:shd w:val="clear" w:color="auto" w:fill="auto"/>
            <w:vAlign w:val="center"/>
            <w:hideMark/>
          </w:tcPr>
          <w:p w14:paraId="26ABDE19"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E1A"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1B" w14:textId="77777777" w:rsidR="00A90358" w:rsidRPr="00DD3A6D" w:rsidRDefault="00A90358" w:rsidP="000E2E5F">
            <w:pPr>
              <w:rPr>
                <w:color w:val="000000"/>
                <w:sz w:val="16"/>
                <w:szCs w:val="16"/>
              </w:rPr>
            </w:pPr>
            <w:r>
              <w:rPr>
                <w:color w:val="000000"/>
                <w:sz w:val="16"/>
                <w:szCs w:val="16"/>
              </w:rPr>
              <w:t>Not listed at subspecies level; Vulnerable at species level</w:t>
            </w:r>
          </w:p>
        </w:tc>
        <w:tc>
          <w:tcPr>
            <w:tcW w:w="0" w:type="auto"/>
            <w:tcBorders>
              <w:top w:val="nil"/>
              <w:left w:val="nil"/>
              <w:bottom w:val="single" w:sz="8" w:space="0" w:color="auto"/>
              <w:right w:val="single" w:sz="8" w:space="0" w:color="auto"/>
            </w:tcBorders>
            <w:shd w:val="clear" w:color="auto" w:fill="auto"/>
            <w:vAlign w:val="center"/>
            <w:hideMark/>
          </w:tcPr>
          <w:p w14:paraId="26ABDE1C" w14:textId="77777777" w:rsidR="00A90358" w:rsidRPr="00DD3A6D" w:rsidRDefault="00A90358" w:rsidP="000E2E5F">
            <w:pPr>
              <w:rPr>
                <w:color w:val="000000"/>
                <w:sz w:val="16"/>
                <w:szCs w:val="16"/>
              </w:rPr>
            </w:pPr>
            <w:r>
              <w:rPr>
                <w:color w:val="000000"/>
                <w:sz w:val="16"/>
                <w:szCs w:val="16"/>
              </w:rPr>
              <w:t>Not listed at subspecies level; Endangered at species level</w:t>
            </w:r>
          </w:p>
        </w:tc>
        <w:tc>
          <w:tcPr>
            <w:tcW w:w="2029" w:type="dxa"/>
            <w:tcBorders>
              <w:top w:val="nil"/>
              <w:left w:val="nil"/>
              <w:bottom w:val="single" w:sz="8" w:space="0" w:color="auto"/>
              <w:right w:val="single" w:sz="8" w:space="0" w:color="auto"/>
            </w:tcBorders>
            <w:shd w:val="clear" w:color="auto" w:fill="auto"/>
            <w:vAlign w:val="center"/>
            <w:hideMark/>
          </w:tcPr>
          <w:p w14:paraId="26ABDE1D" w14:textId="77777777" w:rsidR="00A90358" w:rsidRDefault="00A90358" w:rsidP="000E2E5F">
            <w:pPr>
              <w:rPr>
                <w:color w:val="000000"/>
                <w:sz w:val="16"/>
                <w:szCs w:val="16"/>
              </w:rPr>
            </w:pPr>
            <w:r w:rsidRPr="00DD3A6D">
              <w:rPr>
                <w:color w:val="000000"/>
                <w:sz w:val="16"/>
                <w:szCs w:val="16"/>
              </w:rPr>
              <w:t>WA recovery plan in place 2004</w:t>
            </w:r>
          </w:p>
          <w:p w14:paraId="26ABDE1E" w14:textId="77777777" w:rsidR="00A90358" w:rsidRPr="00DD3A6D"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E27"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20" w14:textId="77777777" w:rsidR="00A90358" w:rsidRPr="00DD3A6D" w:rsidRDefault="00A90358" w:rsidP="000E2E5F">
            <w:pPr>
              <w:rPr>
                <w:i/>
                <w:iCs/>
                <w:color w:val="000000"/>
                <w:sz w:val="16"/>
                <w:szCs w:val="16"/>
              </w:rPr>
            </w:pPr>
            <w:r w:rsidRPr="00DD3A6D">
              <w:rPr>
                <w:i/>
                <w:iCs/>
                <w:color w:val="000000"/>
                <w:sz w:val="16"/>
                <w:szCs w:val="16"/>
              </w:rPr>
              <w:t xml:space="preserve">Lambertia orbifolia </w:t>
            </w:r>
            <w:r w:rsidRPr="00DD3A6D">
              <w:rPr>
                <w:color w:val="000000"/>
                <w:sz w:val="16"/>
                <w:szCs w:val="16"/>
              </w:rPr>
              <w:t>subsp. Scott River plains</w:t>
            </w:r>
          </w:p>
        </w:tc>
        <w:tc>
          <w:tcPr>
            <w:tcW w:w="0" w:type="auto"/>
            <w:tcBorders>
              <w:top w:val="nil"/>
              <w:left w:val="nil"/>
              <w:bottom w:val="single" w:sz="8" w:space="0" w:color="auto"/>
              <w:right w:val="single" w:sz="8" w:space="0" w:color="auto"/>
            </w:tcBorders>
            <w:shd w:val="clear" w:color="auto" w:fill="auto"/>
            <w:vAlign w:val="center"/>
            <w:hideMark/>
          </w:tcPr>
          <w:p w14:paraId="26ABDE21"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E22"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E23" w14:textId="77777777" w:rsidR="00A90358" w:rsidRPr="00DD3A6D" w:rsidRDefault="00A90358" w:rsidP="000E2E5F">
            <w:pPr>
              <w:rPr>
                <w:color w:val="000000"/>
                <w:sz w:val="16"/>
                <w:szCs w:val="16"/>
              </w:rPr>
            </w:pPr>
            <w:r w:rsidRPr="00DD3A6D">
              <w:rPr>
                <w:color w:val="000000"/>
                <w:sz w:val="16"/>
                <w:szCs w:val="16"/>
              </w:rPr>
              <w:t> </w:t>
            </w:r>
            <w:r>
              <w:rPr>
                <w:color w:val="000000"/>
                <w:sz w:val="16"/>
                <w:szCs w:val="16"/>
              </w:rPr>
              <w:t>Not listed at subspecies level; Vulnerable at species level</w:t>
            </w:r>
          </w:p>
        </w:tc>
        <w:tc>
          <w:tcPr>
            <w:tcW w:w="0" w:type="auto"/>
            <w:tcBorders>
              <w:top w:val="nil"/>
              <w:left w:val="nil"/>
              <w:bottom w:val="single" w:sz="8" w:space="0" w:color="auto"/>
              <w:right w:val="single" w:sz="8" w:space="0" w:color="auto"/>
            </w:tcBorders>
            <w:shd w:val="clear" w:color="auto" w:fill="auto"/>
            <w:vAlign w:val="center"/>
            <w:hideMark/>
          </w:tcPr>
          <w:p w14:paraId="26ABDE24" w14:textId="77777777" w:rsidR="00A90358" w:rsidRPr="00DD3A6D" w:rsidRDefault="00A90358" w:rsidP="000E2E5F">
            <w:pPr>
              <w:rPr>
                <w:color w:val="000000"/>
                <w:sz w:val="16"/>
                <w:szCs w:val="16"/>
              </w:rPr>
            </w:pPr>
            <w:r>
              <w:rPr>
                <w:color w:val="000000"/>
                <w:sz w:val="16"/>
                <w:szCs w:val="16"/>
              </w:rPr>
              <w:t>Not listed at subspecies level; Endangered at species level</w:t>
            </w:r>
          </w:p>
        </w:tc>
        <w:tc>
          <w:tcPr>
            <w:tcW w:w="2029" w:type="dxa"/>
            <w:tcBorders>
              <w:top w:val="nil"/>
              <w:left w:val="nil"/>
              <w:bottom w:val="single" w:sz="8" w:space="0" w:color="auto"/>
              <w:right w:val="single" w:sz="8" w:space="0" w:color="auto"/>
            </w:tcBorders>
            <w:shd w:val="clear" w:color="auto" w:fill="auto"/>
            <w:vAlign w:val="center"/>
            <w:hideMark/>
          </w:tcPr>
          <w:p w14:paraId="26ABDE25" w14:textId="77777777" w:rsidR="00A90358" w:rsidRDefault="00A90358" w:rsidP="000E2E5F">
            <w:pPr>
              <w:rPr>
                <w:color w:val="000000"/>
                <w:sz w:val="16"/>
                <w:szCs w:val="16"/>
              </w:rPr>
            </w:pPr>
            <w:r w:rsidRPr="00DD3A6D">
              <w:rPr>
                <w:color w:val="000000"/>
                <w:sz w:val="16"/>
                <w:szCs w:val="16"/>
              </w:rPr>
              <w:t>WA recovery plan in place 2004</w:t>
            </w:r>
          </w:p>
          <w:p w14:paraId="26ABDE26" w14:textId="77777777" w:rsidR="00A90358" w:rsidRPr="00C069E7"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E2F" w14:textId="77777777" w:rsidTr="00A90358">
        <w:trPr>
          <w:trHeight w:val="6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28" w14:textId="77777777" w:rsidR="00A90358" w:rsidRPr="00DD3A6D" w:rsidRDefault="00A90358" w:rsidP="000E2E5F">
            <w:pPr>
              <w:rPr>
                <w:i/>
                <w:iCs/>
                <w:color w:val="000000"/>
                <w:sz w:val="16"/>
                <w:szCs w:val="16"/>
              </w:rPr>
            </w:pPr>
            <w:r w:rsidRPr="00DD3A6D">
              <w:rPr>
                <w:i/>
                <w:iCs/>
                <w:color w:val="000000"/>
                <w:sz w:val="16"/>
                <w:szCs w:val="16"/>
              </w:rPr>
              <w:t>Lasiopetalum pterocarpum</w:t>
            </w:r>
          </w:p>
        </w:tc>
        <w:tc>
          <w:tcPr>
            <w:tcW w:w="0" w:type="auto"/>
            <w:tcBorders>
              <w:top w:val="nil"/>
              <w:left w:val="nil"/>
              <w:bottom w:val="single" w:sz="8" w:space="0" w:color="auto"/>
              <w:right w:val="single" w:sz="8" w:space="0" w:color="auto"/>
            </w:tcBorders>
            <w:shd w:val="clear" w:color="auto" w:fill="auto"/>
            <w:vAlign w:val="center"/>
            <w:hideMark/>
          </w:tcPr>
          <w:p w14:paraId="26ABDE29"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2A"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2B"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2C"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E2D" w14:textId="77777777" w:rsidR="00A90358" w:rsidRDefault="00A90358" w:rsidP="000E2E5F">
            <w:pPr>
              <w:rPr>
                <w:color w:val="000000"/>
                <w:sz w:val="16"/>
                <w:szCs w:val="16"/>
              </w:rPr>
            </w:pPr>
            <w:r w:rsidRPr="00DD3A6D">
              <w:rPr>
                <w:color w:val="000000"/>
                <w:sz w:val="16"/>
                <w:szCs w:val="16"/>
              </w:rPr>
              <w:t>WA recovery plan in place 2004</w:t>
            </w:r>
          </w:p>
          <w:p w14:paraId="26ABDE2E" w14:textId="77777777" w:rsidR="00A90358" w:rsidRPr="00DD3A6D"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E38" w14:textId="77777777" w:rsidTr="00A90358">
        <w:trPr>
          <w:trHeight w:val="105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30" w14:textId="77777777" w:rsidR="00A90358" w:rsidRPr="00DD3A6D" w:rsidRDefault="00A90358" w:rsidP="000E2E5F">
            <w:pPr>
              <w:rPr>
                <w:i/>
                <w:iCs/>
                <w:color w:val="000000"/>
                <w:sz w:val="16"/>
                <w:szCs w:val="16"/>
              </w:rPr>
            </w:pPr>
            <w:r w:rsidRPr="00DD3A6D">
              <w:rPr>
                <w:i/>
                <w:iCs/>
                <w:color w:val="000000"/>
                <w:sz w:val="16"/>
                <w:szCs w:val="16"/>
              </w:rPr>
              <w:t xml:space="preserve">Leucopogon </w:t>
            </w:r>
            <w:r w:rsidRPr="00DD3A6D">
              <w:rPr>
                <w:color w:val="000000"/>
                <w:sz w:val="16"/>
                <w:szCs w:val="16"/>
              </w:rPr>
              <w:t>sp. Flynn (F. Hort, J. Hort &amp; A. Lowrie 859)</w:t>
            </w:r>
          </w:p>
        </w:tc>
        <w:tc>
          <w:tcPr>
            <w:tcW w:w="0" w:type="auto"/>
            <w:tcBorders>
              <w:top w:val="nil"/>
              <w:left w:val="nil"/>
              <w:bottom w:val="single" w:sz="8" w:space="0" w:color="auto"/>
              <w:right w:val="single" w:sz="8" w:space="0" w:color="auto"/>
            </w:tcBorders>
            <w:shd w:val="clear" w:color="auto" w:fill="auto"/>
            <w:vAlign w:val="center"/>
            <w:hideMark/>
          </w:tcPr>
          <w:p w14:paraId="26ABDE31"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32"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33"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34"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E35" w14:textId="77777777" w:rsidR="00A90358" w:rsidRDefault="00A90358" w:rsidP="000E2E5F">
            <w:pPr>
              <w:rPr>
                <w:color w:val="000000"/>
                <w:sz w:val="16"/>
                <w:szCs w:val="16"/>
              </w:rPr>
            </w:pPr>
            <w:r w:rsidRPr="00DD3A6D">
              <w:rPr>
                <w:color w:val="000000"/>
                <w:sz w:val="16"/>
                <w:szCs w:val="16"/>
              </w:rPr>
              <w:t>WA recovery plan in place 2016</w:t>
            </w:r>
          </w:p>
          <w:p w14:paraId="26ABDE36" w14:textId="77777777" w:rsidR="00A90358" w:rsidRDefault="00A90358" w:rsidP="000E2E5F">
            <w:pPr>
              <w:rPr>
                <w:color w:val="000000"/>
                <w:sz w:val="16"/>
                <w:szCs w:val="16"/>
              </w:rPr>
            </w:pPr>
            <w:r w:rsidRPr="00DD3A6D">
              <w:rPr>
                <w:color w:val="000000"/>
                <w:sz w:val="16"/>
                <w:szCs w:val="16"/>
              </w:rPr>
              <w:t>National recovery plan not required</w:t>
            </w:r>
          </w:p>
          <w:p w14:paraId="26ABDE37" w14:textId="77777777" w:rsidR="00A90358" w:rsidRPr="00DD3A6D" w:rsidRDefault="00A90358" w:rsidP="000E2E5F">
            <w:pPr>
              <w:rPr>
                <w:color w:val="000000"/>
                <w:sz w:val="16"/>
                <w:szCs w:val="16"/>
              </w:rPr>
            </w:pPr>
            <w:r>
              <w:rPr>
                <w:color w:val="000000"/>
                <w:sz w:val="16"/>
                <w:szCs w:val="16"/>
              </w:rPr>
              <w:t>Conservation advice approved 11/5/2018</w:t>
            </w:r>
          </w:p>
        </w:tc>
      </w:tr>
      <w:tr w:rsidR="00A90358" w:rsidRPr="00DD3A6D" w14:paraId="26ABDE3F"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E39" w14:textId="77777777" w:rsidR="00A90358" w:rsidRPr="00DD3A6D" w:rsidRDefault="00A90358" w:rsidP="000E2E5F">
            <w:pPr>
              <w:rPr>
                <w:i/>
                <w:iCs/>
                <w:color w:val="000000"/>
                <w:sz w:val="16"/>
                <w:szCs w:val="16"/>
              </w:rPr>
            </w:pPr>
            <w:r>
              <w:rPr>
                <w:i/>
                <w:iCs/>
                <w:color w:val="000000"/>
                <w:sz w:val="16"/>
                <w:szCs w:val="16"/>
              </w:rPr>
              <w:t>Macarthuria keigheryi</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E3A"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3B"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3C"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3D"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3E" w14:textId="77777777" w:rsidR="00A90358" w:rsidRPr="00DD3A6D" w:rsidRDefault="00A90358" w:rsidP="000E2E5F">
            <w:pPr>
              <w:rPr>
                <w:color w:val="000000"/>
                <w:sz w:val="16"/>
                <w:szCs w:val="16"/>
              </w:rPr>
            </w:pPr>
            <w:r>
              <w:rPr>
                <w:color w:val="000000"/>
                <w:sz w:val="16"/>
                <w:szCs w:val="16"/>
              </w:rPr>
              <w:t>WA recovery plan endorsed as national recovery plan 2010</w:t>
            </w:r>
          </w:p>
        </w:tc>
      </w:tr>
      <w:tr w:rsidR="00A90358" w:rsidRPr="00DD3A6D" w14:paraId="26ABDE46"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40" w14:textId="77777777" w:rsidR="00A90358" w:rsidRPr="00DD3A6D" w:rsidRDefault="00A90358" w:rsidP="000E2E5F">
            <w:pPr>
              <w:rPr>
                <w:i/>
                <w:iCs/>
                <w:color w:val="000000"/>
                <w:sz w:val="16"/>
                <w:szCs w:val="16"/>
              </w:rPr>
            </w:pPr>
            <w:r w:rsidRPr="00DD3A6D">
              <w:rPr>
                <w:i/>
                <w:iCs/>
                <w:color w:val="000000"/>
                <w:sz w:val="16"/>
                <w:szCs w:val="16"/>
              </w:rPr>
              <w:t>Rhacocarpus rehmannianus</w:t>
            </w:r>
            <w:r w:rsidRPr="00DD3A6D">
              <w:rPr>
                <w:color w:val="000000"/>
                <w:sz w:val="16"/>
                <w:szCs w:val="16"/>
              </w:rPr>
              <w:t xml:space="preserve"> var. </w:t>
            </w:r>
            <w:r w:rsidRPr="00DD3A6D">
              <w:rPr>
                <w:i/>
                <w:iCs/>
                <w:color w:val="000000"/>
                <w:sz w:val="16"/>
                <w:szCs w:val="16"/>
              </w:rPr>
              <w:t>webbianus</w:t>
            </w:r>
          </w:p>
        </w:tc>
        <w:tc>
          <w:tcPr>
            <w:tcW w:w="0" w:type="auto"/>
            <w:tcBorders>
              <w:top w:val="nil"/>
              <w:left w:val="nil"/>
              <w:bottom w:val="single" w:sz="8" w:space="0" w:color="auto"/>
              <w:right w:val="single" w:sz="8" w:space="0" w:color="auto"/>
            </w:tcBorders>
            <w:shd w:val="clear" w:color="auto" w:fill="auto"/>
            <w:vAlign w:val="center"/>
            <w:hideMark/>
          </w:tcPr>
          <w:p w14:paraId="26ABDE41"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42"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43"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44"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DE45" w14:textId="77777777" w:rsidR="00A90358" w:rsidRPr="00DD3A6D" w:rsidRDefault="00A90358" w:rsidP="000E2E5F">
            <w:pPr>
              <w:rPr>
                <w:color w:val="000000"/>
                <w:sz w:val="16"/>
                <w:szCs w:val="16"/>
              </w:rPr>
            </w:pPr>
            <w:r w:rsidRPr="00DD3A6D">
              <w:rPr>
                <w:color w:val="000000"/>
                <w:sz w:val="16"/>
                <w:szCs w:val="16"/>
              </w:rPr>
              <w:t>WA recovery plan in place 2012</w:t>
            </w:r>
          </w:p>
        </w:tc>
      </w:tr>
      <w:tr w:rsidR="00A90358" w:rsidRPr="00DD3A6D" w14:paraId="26ABDE4F" w14:textId="77777777" w:rsidTr="00A90358">
        <w:trPr>
          <w:trHeight w:val="79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47" w14:textId="77777777" w:rsidR="00A90358" w:rsidRPr="00DD3A6D" w:rsidRDefault="00A90358" w:rsidP="000E2E5F">
            <w:pPr>
              <w:rPr>
                <w:i/>
                <w:iCs/>
                <w:color w:val="000000"/>
                <w:sz w:val="16"/>
                <w:szCs w:val="16"/>
              </w:rPr>
            </w:pPr>
            <w:r w:rsidRPr="00DD3A6D">
              <w:rPr>
                <w:i/>
                <w:iCs/>
                <w:color w:val="000000"/>
                <w:sz w:val="16"/>
                <w:szCs w:val="16"/>
              </w:rPr>
              <w:lastRenderedPageBreak/>
              <w:t>Sphenotoma drummondii</w:t>
            </w:r>
          </w:p>
        </w:tc>
        <w:tc>
          <w:tcPr>
            <w:tcW w:w="0" w:type="auto"/>
            <w:tcBorders>
              <w:top w:val="nil"/>
              <w:left w:val="nil"/>
              <w:bottom w:val="single" w:sz="8" w:space="0" w:color="auto"/>
              <w:right w:val="single" w:sz="8" w:space="0" w:color="auto"/>
            </w:tcBorders>
            <w:shd w:val="clear" w:color="auto" w:fill="auto"/>
            <w:vAlign w:val="center"/>
            <w:hideMark/>
          </w:tcPr>
          <w:p w14:paraId="26ABDE4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49"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E4A"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4B"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E4C" w14:textId="77777777" w:rsidR="00A90358" w:rsidRDefault="00A90358" w:rsidP="000E2E5F">
            <w:pPr>
              <w:rPr>
                <w:color w:val="000000"/>
                <w:sz w:val="16"/>
                <w:szCs w:val="16"/>
              </w:rPr>
            </w:pPr>
            <w:r w:rsidRPr="00DD3A6D">
              <w:rPr>
                <w:color w:val="000000"/>
                <w:sz w:val="16"/>
                <w:szCs w:val="16"/>
              </w:rPr>
              <w:t>WA recovery plan in place 1999</w:t>
            </w:r>
          </w:p>
          <w:p w14:paraId="26ABDE4D" w14:textId="77777777" w:rsidR="00A90358" w:rsidRDefault="00A90358" w:rsidP="000E2E5F">
            <w:pPr>
              <w:rPr>
                <w:color w:val="000000"/>
                <w:sz w:val="16"/>
                <w:szCs w:val="16"/>
              </w:rPr>
            </w:pPr>
            <w:r w:rsidRPr="00DD3A6D">
              <w:rPr>
                <w:color w:val="000000"/>
                <w:sz w:val="16"/>
                <w:szCs w:val="16"/>
              </w:rPr>
              <w:t>National recovery plan not required</w:t>
            </w:r>
          </w:p>
          <w:p w14:paraId="26ABDE4E" w14:textId="77777777" w:rsidR="00A90358" w:rsidRPr="00DD3A6D" w:rsidRDefault="00A90358" w:rsidP="000E2E5F">
            <w:pPr>
              <w:rPr>
                <w:color w:val="000000"/>
                <w:sz w:val="16"/>
                <w:szCs w:val="16"/>
              </w:rPr>
            </w:pPr>
            <w:r>
              <w:rPr>
                <w:color w:val="000000"/>
                <w:sz w:val="16"/>
                <w:szCs w:val="16"/>
              </w:rPr>
              <w:t>Conservation advice approved 110/2008</w:t>
            </w:r>
          </w:p>
        </w:tc>
      </w:tr>
      <w:tr w:rsidR="00A90358" w:rsidRPr="00DD3A6D" w14:paraId="26ABDE58"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50" w14:textId="77777777" w:rsidR="00A90358" w:rsidRPr="00DD3A6D" w:rsidRDefault="00A90358" w:rsidP="000E2E5F">
            <w:pPr>
              <w:rPr>
                <w:i/>
                <w:iCs/>
                <w:color w:val="000000"/>
                <w:sz w:val="16"/>
                <w:szCs w:val="16"/>
              </w:rPr>
            </w:pPr>
            <w:r w:rsidRPr="00DD3A6D">
              <w:rPr>
                <w:i/>
                <w:iCs/>
                <w:color w:val="000000"/>
                <w:sz w:val="16"/>
                <w:szCs w:val="16"/>
              </w:rPr>
              <w:t>Stylidium semaphorum</w:t>
            </w:r>
          </w:p>
        </w:tc>
        <w:tc>
          <w:tcPr>
            <w:tcW w:w="0" w:type="auto"/>
            <w:tcBorders>
              <w:top w:val="nil"/>
              <w:left w:val="nil"/>
              <w:bottom w:val="single" w:sz="8" w:space="0" w:color="auto"/>
              <w:right w:val="single" w:sz="8" w:space="0" w:color="auto"/>
            </w:tcBorders>
            <w:shd w:val="clear" w:color="auto" w:fill="auto"/>
            <w:vAlign w:val="center"/>
            <w:hideMark/>
          </w:tcPr>
          <w:p w14:paraId="26ABDE51"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52"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53"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54"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E55" w14:textId="77777777" w:rsidR="00A90358" w:rsidRDefault="00A90358" w:rsidP="000E2E5F">
            <w:pPr>
              <w:rPr>
                <w:color w:val="000000"/>
                <w:sz w:val="16"/>
                <w:szCs w:val="16"/>
              </w:rPr>
            </w:pPr>
            <w:r w:rsidRPr="00DD3A6D">
              <w:rPr>
                <w:color w:val="000000"/>
                <w:sz w:val="16"/>
                <w:szCs w:val="16"/>
              </w:rPr>
              <w:t>WA recovery plan in place 2011</w:t>
            </w:r>
          </w:p>
          <w:p w14:paraId="26ABDE56" w14:textId="77777777" w:rsidR="00A90358" w:rsidRDefault="00A90358" w:rsidP="000E2E5F">
            <w:pPr>
              <w:rPr>
                <w:color w:val="000000"/>
                <w:sz w:val="16"/>
                <w:szCs w:val="16"/>
              </w:rPr>
            </w:pPr>
            <w:r w:rsidRPr="00DD3A6D">
              <w:rPr>
                <w:color w:val="000000"/>
                <w:sz w:val="16"/>
                <w:szCs w:val="16"/>
              </w:rPr>
              <w:t>National recovery plan not required</w:t>
            </w:r>
          </w:p>
          <w:p w14:paraId="26ABDE57" w14:textId="77777777" w:rsidR="00A90358" w:rsidRPr="00DD3A6D" w:rsidRDefault="00A90358" w:rsidP="000E2E5F">
            <w:pPr>
              <w:rPr>
                <w:color w:val="000000"/>
                <w:sz w:val="16"/>
                <w:szCs w:val="16"/>
              </w:rPr>
            </w:pPr>
            <w:r>
              <w:rPr>
                <w:color w:val="000000"/>
                <w:sz w:val="16"/>
                <w:szCs w:val="16"/>
              </w:rPr>
              <w:t>Conservation advice approved 11/5/2018</w:t>
            </w:r>
          </w:p>
        </w:tc>
      </w:tr>
      <w:tr w:rsidR="00A90358" w:rsidRPr="00DD3A6D" w14:paraId="26ABDE5F" w14:textId="77777777" w:rsidTr="00A90358">
        <w:trPr>
          <w:trHeight w:val="123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59" w14:textId="77777777" w:rsidR="00A90358" w:rsidRPr="00DD3A6D" w:rsidRDefault="00A90358" w:rsidP="000E2E5F">
            <w:pPr>
              <w:rPr>
                <w:i/>
                <w:iCs/>
                <w:color w:val="000000"/>
                <w:sz w:val="16"/>
                <w:szCs w:val="16"/>
              </w:rPr>
            </w:pPr>
            <w:r w:rsidRPr="00DD3A6D">
              <w:rPr>
                <w:i/>
                <w:iCs/>
                <w:color w:val="000000"/>
                <w:sz w:val="16"/>
                <w:szCs w:val="16"/>
              </w:rPr>
              <w:t>Synaphea sp. Fairbridge Farm (D. Papenfus 696)</w:t>
            </w:r>
          </w:p>
        </w:tc>
        <w:tc>
          <w:tcPr>
            <w:tcW w:w="0" w:type="auto"/>
            <w:tcBorders>
              <w:top w:val="nil"/>
              <w:left w:val="nil"/>
              <w:bottom w:val="single" w:sz="8" w:space="0" w:color="auto"/>
              <w:right w:val="single" w:sz="8" w:space="0" w:color="auto"/>
            </w:tcBorders>
            <w:shd w:val="clear" w:color="auto" w:fill="auto"/>
            <w:vAlign w:val="center"/>
            <w:hideMark/>
          </w:tcPr>
          <w:p w14:paraId="26ABDE5A"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5B"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5C"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5D"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E5E" w14:textId="77777777" w:rsidR="00A90358" w:rsidRPr="00DD3A6D" w:rsidRDefault="00A90358" w:rsidP="000E2E5F">
            <w:pPr>
              <w:rPr>
                <w:color w:val="000000"/>
                <w:sz w:val="16"/>
                <w:szCs w:val="16"/>
              </w:rPr>
            </w:pPr>
            <w:r w:rsidRPr="00DD3A6D">
              <w:rPr>
                <w:color w:val="000000"/>
                <w:sz w:val="16"/>
                <w:szCs w:val="16"/>
              </w:rPr>
              <w:t>WA recovery plan in place 2007</w:t>
            </w:r>
            <w:r w:rsidRPr="00DD3A6D">
              <w:rPr>
                <w:color w:val="000000"/>
                <w:sz w:val="16"/>
                <w:szCs w:val="16"/>
              </w:rPr>
              <w:br/>
              <w:t>National recover</w:t>
            </w:r>
            <w:r>
              <w:rPr>
                <w:color w:val="000000"/>
                <w:sz w:val="16"/>
                <w:szCs w:val="16"/>
              </w:rPr>
              <w:t>y</w:t>
            </w:r>
            <w:r w:rsidRPr="00DD3A6D">
              <w:rPr>
                <w:color w:val="000000"/>
                <w:sz w:val="16"/>
                <w:szCs w:val="16"/>
              </w:rPr>
              <w:t xml:space="preserve"> plan not required</w:t>
            </w:r>
            <w:r w:rsidRPr="00DD3A6D">
              <w:rPr>
                <w:color w:val="000000"/>
                <w:sz w:val="16"/>
                <w:szCs w:val="16"/>
              </w:rPr>
              <w:br/>
              <w:t xml:space="preserve">Conservation advice approved </w:t>
            </w:r>
            <w:r>
              <w:rPr>
                <w:color w:val="000000"/>
                <w:sz w:val="16"/>
                <w:szCs w:val="16"/>
              </w:rPr>
              <w:t>24</w:t>
            </w:r>
            <w:r w:rsidRPr="00DD3A6D">
              <w:rPr>
                <w:color w:val="000000"/>
                <w:sz w:val="16"/>
                <w:szCs w:val="16"/>
              </w:rPr>
              <w:t>/1</w:t>
            </w:r>
            <w:r>
              <w:rPr>
                <w:color w:val="000000"/>
                <w:sz w:val="16"/>
                <w:szCs w:val="16"/>
              </w:rPr>
              <w:t>2</w:t>
            </w:r>
            <w:r w:rsidRPr="00DD3A6D">
              <w:rPr>
                <w:color w:val="000000"/>
                <w:sz w:val="16"/>
                <w:szCs w:val="16"/>
              </w:rPr>
              <w:t>/2009</w:t>
            </w:r>
          </w:p>
        </w:tc>
      </w:tr>
      <w:tr w:rsidR="00A90358" w:rsidRPr="00DD3A6D" w14:paraId="26ABDE67" w14:textId="77777777" w:rsidTr="00A90358">
        <w:trPr>
          <w:trHeight w:val="6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60" w14:textId="77777777" w:rsidR="00A90358" w:rsidRPr="00DD3A6D" w:rsidRDefault="00A90358" w:rsidP="000E2E5F">
            <w:pPr>
              <w:rPr>
                <w:i/>
                <w:iCs/>
                <w:color w:val="000000"/>
                <w:sz w:val="16"/>
                <w:szCs w:val="16"/>
              </w:rPr>
            </w:pPr>
            <w:r w:rsidRPr="00DD3A6D">
              <w:rPr>
                <w:i/>
                <w:iCs/>
                <w:color w:val="000000"/>
                <w:sz w:val="16"/>
                <w:szCs w:val="16"/>
              </w:rPr>
              <w:t xml:space="preserve">Thelymitra dedmaniarum </w:t>
            </w:r>
          </w:p>
        </w:tc>
        <w:tc>
          <w:tcPr>
            <w:tcW w:w="0" w:type="auto"/>
            <w:tcBorders>
              <w:top w:val="nil"/>
              <w:left w:val="nil"/>
              <w:bottom w:val="single" w:sz="8" w:space="0" w:color="auto"/>
              <w:right w:val="single" w:sz="8" w:space="0" w:color="auto"/>
            </w:tcBorders>
            <w:shd w:val="clear" w:color="auto" w:fill="auto"/>
            <w:vAlign w:val="center"/>
            <w:hideMark/>
          </w:tcPr>
          <w:p w14:paraId="26ABDE61"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E62"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63"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E64"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E65" w14:textId="77777777" w:rsidR="00A90358" w:rsidRDefault="00A90358" w:rsidP="000E2E5F">
            <w:pPr>
              <w:rPr>
                <w:color w:val="000000"/>
                <w:sz w:val="16"/>
                <w:szCs w:val="16"/>
              </w:rPr>
            </w:pPr>
            <w:r w:rsidRPr="00DD3A6D">
              <w:rPr>
                <w:color w:val="000000"/>
                <w:sz w:val="16"/>
                <w:szCs w:val="16"/>
              </w:rPr>
              <w:t>WA recovery plan in place 2013</w:t>
            </w:r>
          </w:p>
          <w:p w14:paraId="26ABDE66" w14:textId="77777777" w:rsidR="00A90358" w:rsidRPr="00C51CD2"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E6E" w14:textId="77777777" w:rsidTr="00A90358">
        <w:trPr>
          <w:trHeight w:val="123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68" w14:textId="77777777" w:rsidR="00A90358" w:rsidRPr="00DD3A6D" w:rsidRDefault="00A90358" w:rsidP="000E2E5F">
            <w:pPr>
              <w:rPr>
                <w:i/>
                <w:iCs/>
                <w:color w:val="000000"/>
                <w:sz w:val="16"/>
                <w:szCs w:val="16"/>
              </w:rPr>
            </w:pPr>
            <w:r w:rsidRPr="00DD3A6D">
              <w:rPr>
                <w:i/>
                <w:iCs/>
                <w:color w:val="000000"/>
                <w:sz w:val="16"/>
                <w:szCs w:val="16"/>
              </w:rPr>
              <w:t xml:space="preserve">Trithuria occidentalis </w:t>
            </w:r>
            <w:r w:rsidRPr="00DD3A6D">
              <w:rPr>
                <w:color w:val="000000"/>
                <w:sz w:val="16"/>
                <w:szCs w:val="16"/>
              </w:rPr>
              <w:t xml:space="preserve">(previously </w:t>
            </w:r>
            <w:r w:rsidRPr="00DD3A6D">
              <w:rPr>
                <w:i/>
                <w:iCs/>
                <w:color w:val="000000"/>
                <w:sz w:val="16"/>
                <w:szCs w:val="16"/>
              </w:rPr>
              <w:t>Hydatella dioica</w:t>
            </w:r>
            <w:r w:rsidRPr="00DD3A6D">
              <w:rPr>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26ABDE69"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6A"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6B"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6C"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E6D" w14:textId="77777777" w:rsidR="00A90358" w:rsidRPr="00DD3A6D" w:rsidRDefault="00A90358" w:rsidP="000E2E5F">
            <w:pPr>
              <w:rPr>
                <w:color w:val="000000"/>
                <w:sz w:val="16"/>
                <w:szCs w:val="16"/>
              </w:rPr>
            </w:pPr>
            <w:r w:rsidRPr="00DD3A6D">
              <w:rPr>
                <w:color w:val="000000"/>
                <w:sz w:val="16"/>
                <w:szCs w:val="16"/>
              </w:rPr>
              <w:t>WA recovery plan in place 2012</w:t>
            </w:r>
            <w:r w:rsidRPr="00DD3A6D">
              <w:rPr>
                <w:color w:val="000000"/>
                <w:sz w:val="16"/>
                <w:szCs w:val="16"/>
              </w:rPr>
              <w:br/>
              <w:t>National recover</w:t>
            </w:r>
            <w:r>
              <w:rPr>
                <w:color w:val="000000"/>
                <w:sz w:val="16"/>
                <w:szCs w:val="16"/>
              </w:rPr>
              <w:t>y</w:t>
            </w:r>
            <w:r w:rsidRPr="00DD3A6D">
              <w:rPr>
                <w:color w:val="000000"/>
                <w:sz w:val="16"/>
                <w:szCs w:val="16"/>
              </w:rPr>
              <w:t xml:space="preserve"> plan not required</w:t>
            </w:r>
            <w:r w:rsidRPr="00DD3A6D">
              <w:rPr>
                <w:color w:val="000000"/>
                <w:sz w:val="16"/>
                <w:szCs w:val="16"/>
              </w:rPr>
              <w:br/>
              <w:t>Conservation advice  approved 16/</w:t>
            </w:r>
            <w:r>
              <w:rPr>
                <w:color w:val="000000"/>
                <w:sz w:val="16"/>
                <w:szCs w:val="16"/>
              </w:rPr>
              <w:t>1</w:t>
            </w:r>
            <w:r w:rsidRPr="00DD3A6D">
              <w:rPr>
                <w:color w:val="000000"/>
                <w:sz w:val="16"/>
                <w:szCs w:val="16"/>
              </w:rPr>
              <w:t>2/2008</w:t>
            </w:r>
          </w:p>
        </w:tc>
      </w:tr>
      <w:tr w:rsidR="00A90358" w:rsidRPr="00DD3A6D" w14:paraId="26ABDE75" w14:textId="77777777" w:rsidTr="00A90358">
        <w:trPr>
          <w:trHeight w:val="123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6F" w14:textId="77777777" w:rsidR="00A90358" w:rsidRPr="00DD3A6D" w:rsidRDefault="00A90358" w:rsidP="000E2E5F">
            <w:pPr>
              <w:rPr>
                <w:i/>
                <w:iCs/>
                <w:color w:val="000000"/>
                <w:sz w:val="16"/>
                <w:szCs w:val="16"/>
              </w:rPr>
            </w:pPr>
            <w:r w:rsidRPr="00DD3A6D">
              <w:rPr>
                <w:i/>
                <w:iCs/>
                <w:color w:val="000000"/>
                <w:sz w:val="16"/>
                <w:szCs w:val="16"/>
              </w:rPr>
              <w:t>Verticordia apecta</w:t>
            </w:r>
          </w:p>
        </w:tc>
        <w:tc>
          <w:tcPr>
            <w:tcW w:w="0" w:type="auto"/>
            <w:tcBorders>
              <w:top w:val="nil"/>
              <w:left w:val="nil"/>
              <w:bottom w:val="single" w:sz="8" w:space="0" w:color="auto"/>
              <w:right w:val="single" w:sz="8" w:space="0" w:color="auto"/>
            </w:tcBorders>
            <w:shd w:val="clear" w:color="auto" w:fill="auto"/>
            <w:vAlign w:val="center"/>
            <w:hideMark/>
          </w:tcPr>
          <w:p w14:paraId="26ABDE7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71"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72"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73"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E74" w14:textId="77777777" w:rsidR="00A90358" w:rsidRPr="00DD3A6D" w:rsidRDefault="00A90358" w:rsidP="000E2E5F">
            <w:pPr>
              <w:rPr>
                <w:color w:val="000000"/>
                <w:sz w:val="16"/>
                <w:szCs w:val="16"/>
              </w:rPr>
            </w:pPr>
            <w:r w:rsidRPr="00DD3A6D">
              <w:rPr>
                <w:color w:val="000000"/>
                <w:sz w:val="16"/>
                <w:szCs w:val="16"/>
              </w:rPr>
              <w:t>WA recovery plan in place 2012</w:t>
            </w:r>
            <w:r w:rsidRPr="00DD3A6D">
              <w:rPr>
                <w:color w:val="000000"/>
                <w:sz w:val="16"/>
                <w:szCs w:val="16"/>
              </w:rPr>
              <w:br/>
              <w:t>National recover</w:t>
            </w:r>
            <w:r>
              <w:rPr>
                <w:color w:val="000000"/>
                <w:sz w:val="16"/>
                <w:szCs w:val="16"/>
              </w:rPr>
              <w:t>y</w:t>
            </w:r>
            <w:r w:rsidRPr="00DD3A6D">
              <w:rPr>
                <w:color w:val="000000"/>
                <w:sz w:val="16"/>
                <w:szCs w:val="16"/>
              </w:rPr>
              <w:t xml:space="preserve"> plan not required</w:t>
            </w:r>
            <w:r w:rsidRPr="00DD3A6D">
              <w:rPr>
                <w:color w:val="000000"/>
                <w:sz w:val="16"/>
                <w:szCs w:val="16"/>
              </w:rPr>
              <w:br/>
              <w:t>Conservation advice received 1</w:t>
            </w:r>
            <w:r>
              <w:rPr>
                <w:color w:val="000000"/>
                <w:sz w:val="16"/>
                <w:szCs w:val="16"/>
              </w:rPr>
              <w:t>9</w:t>
            </w:r>
            <w:r w:rsidRPr="00DD3A6D">
              <w:rPr>
                <w:color w:val="000000"/>
                <w:sz w:val="16"/>
                <w:szCs w:val="16"/>
              </w:rPr>
              <w:t>/07/2010</w:t>
            </w:r>
          </w:p>
        </w:tc>
      </w:tr>
      <w:tr w:rsidR="00A90358" w:rsidRPr="00DD3A6D" w14:paraId="26ABDE7D"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76" w14:textId="77777777" w:rsidR="00A90358" w:rsidRPr="00DD3A6D" w:rsidRDefault="00A90358" w:rsidP="000E2E5F">
            <w:pPr>
              <w:rPr>
                <w:i/>
                <w:iCs/>
                <w:color w:val="000000"/>
                <w:sz w:val="16"/>
                <w:szCs w:val="16"/>
              </w:rPr>
            </w:pPr>
            <w:r w:rsidRPr="00DD3A6D">
              <w:rPr>
                <w:i/>
                <w:iCs/>
                <w:color w:val="000000"/>
                <w:sz w:val="16"/>
                <w:szCs w:val="16"/>
              </w:rPr>
              <w:t>Verticordia fimbrilepis</w:t>
            </w:r>
            <w:r w:rsidRPr="00DD3A6D">
              <w:rPr>
                <w:color w:val="000000"/>
                <w:sz w:val="16"/>
                <w:szCs w:val="16"/>
              </w:rPr>
              <w:t xml:space="preserve"> subsp. </w:t>
            </w:r>
            <w:r w:rsidRPr="00DD3A6D">
              <w:rPr>
                <w:i/>
                <w:iCs/>
                <w:color w:val="000000"/>
                <w:sz w:val="16"/>
                <w:szCs w:val="16"/>
              </w:rPr>
              <w:t>fimbrilepis</w:t>
            </w:r>
            <w:r w:rsidRPr="00DD3A6D">
              <w:rPr>
                <w:color w:val="000000"/>
                <w:sz w:val="16"/>
                <w:szCs w:val="16"/>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6ABDE77"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78"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E79"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E7A"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E7B" w14:textId="77777777" w:rsidR="00A90358" w:rsidRDefault="00A90358" w:rsidP="000E2E5F">
            <w:pPr>
              <w:rPr>
                <w:color w:val="000000"/>
                <w:sz w:val="16"/>
                <w:szCs w:val="16"/>
              </w:rPr>
            </w:pPr>
            <w:r w:rsidRPr="00DD3A6D">
              <w:rPr>
                <w:color w:val="000000"/>
                <w:sz w:val="16"/>
                <w:szCs w:val="16"/>
              </w:rPr>
              <w:t>WA recovery plan in place 2011</w:t>
            </w:r>
          </w:p>
          <w:p w14:paraId="26ABDE7C" w14:textId="77777777" w:rsidR="00A90358" w:rsidRPr="00DD3A6D" w:rsidRDefault="00A90358" w:rsidP="000E2E5F">
            <w:pPr>
              <w:rPr>
                <w:color w:val="000000"/>
                <w:sz w:val="16"/>
                <w:szCs w:val="16"/>
              </w:rPr>
            </w:pPr>
            <w:r w:rsidRPr="00E72278">
              <w:rPr>
                <w:color w:val="000000"/>
                <w:sz w:val="16"/>
                <w:szCs w:val="16"/>
              </w:rPr>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E85" w14:textId="77777777" w:rsidTr="00A90358">
        <w:trPr>
          <w:trHeight w:val="6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7E" w14:textId="77777777" w:rsidR="00A90358" w:rsidRPr="00DD3A6D" w:rsidRDefault="00A90358" w:rsidP="000E2E5F">
            <w:pPr>
              <w:rPr>
                <w:i/>
                <w:iCs/>
                <w:color w:val="000000"/>
                <w:sz w:val="16"/>
                <w:szCs w:val="16"/>
              </w:rPr>
            </w:pPr>
            <w:r w:rsidRPr="00DD3A6D">
              <w:rPr>
                <w:i/>
                <w:iCs/>
                <w:color w:val="000000"/>
                <w:sz w:val="16"/>
                <w:szCs w:val="16"/>
              </w:rPr>
              <w:t xml:space="preserve">Verticordia plumosa </w:t>
            </w:r>
            <w:r w:rsidRPr="00DD3A6D">
              <w:rPr>
                <w:color w:val="000000"/>
                <w:sz w:val="16"/>
                <w:szCs w:val="16"/>
              </w:rPr>
              <w:t>var</w:t>
            </w:r>
            <w:r w:rsidRPr="00DD3A6D">
              <w:rPr>
                <w:i/>
                <w:iCs/>
                <w:color w:val="000000"/>
                <w:sz w:val="16"/>
                <w:szCs w:val="16"/>
              </w:rPr>
              <w:t>. ananeotes</w:t>
            </w:r>
          </w:p>
        </w:tc>
        <w:tc>
          <w:tcPr>
            <w:tcW w:w="0" w:type="auto"/>
            <w:tcBorders>
              <w:top w:val="nil"/>
              <w:left w:val="nil"/>
              <w:bottom w:val="single" w:sz="8" w:space="0" w:color="auto"/>
              <w:right w:val="single" w:sz="8" w:space="0" w:color="auto"/>
            </w:tcBorders>
            <w:shd w:val="clear" w:color="auto" w:fill="auto"/>
            <w:vAlign w:val="center"/>
            <w:hideMark/>
          </w:tcPr>
          <w:p w14:paraId="26ABDE7F"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80"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E81"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82"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E83" w14:textId="77777777" w:rsidR="00A90358" w:rsidRDefault="00A90358" w:rsidP="000E2E5F">
            <w:pPr>
              <w:rPr>
                <w:color w:val="000000"/>
                <w:sz w:val="16"/>
                <w:szCs w:val="16"/>
              </w:rPr>
            </w:pPr>
            <w:r w:rsidRPr="00DD3A6D">
              <w:rPr>
                <w:color w:val="000000"/>
                <w:sz w:val="16"/>
                <w:szCs w:val="16"/>
              </w:rPr>
              <w:t>WA recovery plan in place 2008</w:t>
            </w:r>
          </w:p>
          <w:p w14:paraId="26ABDE84" w14:textId="77777777" w:rsidR="00A90358" w:rsidRPr="0052113E" w:rsidRDefault="00A90358" w:rsidP="000E2E5F">
            <w:pPr>
              <w:rPr>
                <w:color w:val="000000"/>
                <w:sz w:val="16"/>
                <w:szCs w:val="16"/>
              </w:rPr>
            </w:pPr>
            <w:r w:rsidRPr="00E72278">
              <w:rPr>
                <w:color w:val="000000"/>
                <w:sz w:val="16"/>
                <w:szCs w:val="16"/>
              </w:rPr>
              <w:lastRenderedPageBreak/>
              <w:t>Endorsed as national recovery plan</w:t>
            </w:r>
            <w:r w:rsidRPr="00DD3A6D">
              <w:rPr>
                <w:color w:val="000000"/>
                <w:sz w:val="16"/>
                <w:szCs w:val="16"/>
              </w:rPr>
              <w:t xml:space="preserve"> </w:t>
            </w:r>
            <w:r w:rsidRPr="00DD3A6D">
              <w:rPr>
                <w:i/>
                <w:iCs/>
                <w:color w:val="000000"/>
                <w:sz w:val="16"/>
                <w:szCs w:val="16"/>
              </w:rPr>
              <w:t xml:space="preserve"> </w:t>
            </w:r>
          </w:p>
        </w:tc>
      </w:tr>
      <w:tr w:rsidR="00A90358" w:rsidRPr="00DD3A6D" w14:paraId="26ABDE8C" w14:textId="77777777" w:rsidTr="00A90358">
        <w:trPr>
          <w:trHeight w:val="624"/>
        </w:trPr>
        <w:tc>
          <w:tcPr>
            <w:tcW w:w="0" w:type="auto"/>
            <w:tcBorders>
              <w:top w:val="nil"/>
              <w:left w:val="single" w:sz="8" w:space="0" w:color="auto"/>
              <w:bottom w:val="single" w:sz="8" w:space="0" w:color="auto"/>
              <w:right w:val="single" w:sz="8" w:space="0" w:color="auto"/>
            </w:tcBorders>
            <w:shd w:val="clear" w:color="auto" w:fill="auto"/>
            <w:vAlign w:val="center"/>
          </w:tcPr>
          <w:p w14:paraId="26ABDE86" w14:textId="77777777" w:rsidR="00A90358" w:rsidRPr="00DD3A6D" w:rsidRDefault="00A90358" w:rsidP="000E2E5F">
            <w:pPr>
              <w:rPr>
                <w:i/>
                <w:iCs/>
                <w:color w:val="000000"/>
                <w:sz w:val="16"/>
                <w:szCs w:val="16"/>
              </w:rPr>
            </w:pPr>
            <w:r>
              <w:rPr>
                <w:i/>
                <w:iCs/>
                <w:color w:val="000000"/>
                <w:sz w:val="16"/>
                <w:szCs w:val="16"/>
              </w:rPr>
              <w:lastRenderedPageBreak/>
              <w:t>Wurmbea calcicola</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87"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88"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E89"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8A"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8B" w14:textId="77777777" w:rsidR="00A90358" w:rsidRPr="00DD3A6D" w:rsidRDefault="00A90358" w:rsidP="000E2E5F">
            <w:pPr>
              <w:rPr>
                <w:color w:val="000000"/>
                <w:sz w:val="16"/>
                <w:szCs w:val="16"/>
              </w:rPr>
            </w:pPr>
            <w:r>
              <w:rPr>
                <w:color w:val="000000"/>
                <w:sz w:val="16"/>
                <w:szCs w:val="16"/>
              </w:rPr>
              <w:t>WA recovery plan endorsed as national recovery plan 2008</w:t>
            </w:r>
          </w:p>
        </w:tc>
      </w:tr>
      <w:tr w:rsidR="00A90358" w:rsidRPr="00DD3A6D" w14:paraId="26ABDE8E" w14:textId="77777777" w:rsidTr="00A90358">
        <w:trPr>
          <w:trHeight w:val="276"/>
        </w:trPr>
        <w:tc>
          <w:tcPr>
            <w:tcW w:w="894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6ABDE8D" w14:textId="77777777" w:rsidR="00A90358" w:rsidRPr="00DD3A6D" w:rsidRDefault="00A90358" w:rsidP="000E2E5F">
            <w:pPr>
              <w:jc w:val="both"/>
              <w:rPr>
                <w:b/>
                <w:bCs/>
                <w:color w:val="000000"/>
                <w:sz w:val="16"/>
                <w:szCs w:val="16"/>
              </w:rPr>
            </w:pPr>
            <w:r w:rsidRPr="00DD3A6D">
              <w:rPr>
                <w:b/>
                <w:bCs/>
                <w:color w:val="000000"/>
                <w:sz w:val="16"/>
                <w:szCs w:val="16"/>
              </w:rPr>
              <w:t>Taxa with recovery plan being developed</w:t>
            </w:r>
          </w:p>
        </w:tc>
      </w:tr>
      <w:tr w:rsidR="00A90358" w:rsidRPr="00DD3A6D" w14:paraId="26ABDE96" w14:textId="77777777" w:rsidTr="00A90358">
        <w:trPr>
          <w:trHeight w:val="876"/>
        </w:trPr>
        <w:tc>
          <w:tcPr>
            <w:tcW w:w="0" w:type="auto"/>
            <w:tcBorders>
              <w:top w:val="nil"/>
              <w:left w:val="single" w:sz="8" w:space="0" w:color="auto"/>
              <w:bottom w:val="single" w:sz="8" w:space="0" w:color="auto"/>
              <w:right w:val="single" w:sz="8" w:space="0" w:color="auto"/>
            </w:tcBorders>
            <w:shd w:val="clear" w:color="auto" w:fill="auto"/>
            <w:vAlign w:val="center"/>
          </w:tcPr>
          <w:p w14:paraId="26ABDE8F" w14:textId="77777777" w:rsidR="00A90358" w:rsidRPr="00DD3A6D" w:rsidRDefault="00A90358" w:rsidP="000E2E5F">
            <w:pPr>
              <w:rPr>
                <w:i/>
                <w:iCs/>
                <w:color w:val="000000"/>
                <w:sz w:val="16"/>
                <w:szCs w:val="16"/>
              </w:rPr>
            </w:pPr>
            <w:r>
              <w:rPr>
                <w:i/>
                <w:iCs/>
                <w:color w:val="000000"/>
                <w:sz w:val="16"/>
                <w:szCs w:val="16"/>
              </w:rPr>
              <w:t>Calytrix breviseta subsp. breviseta</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90"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91"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E92"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93"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94" w14:textId="77777777" w:rsidR="00A90358" w:rsidRDefault="00A90358" w:rsidP="000E2E5F">
            <w:pPr>
              <w:rPr>
                <w:color w:val="000000"/>
                <w:sz w:val="16"/>
                <w:szCs w:val="16"/>
              </w:rPr>
            </w:pPr>
            <w:r>
              <w:rPr>
                <w:color w:val="000000"/>
                <w:sz w:val="16"/>
                <w:szCs w:val="16"/>
              </w:rPr>
              <w:t>National recovery plan required</w:t>
            </w:r>
          </w:p>
          <w:p w14:paraId="26ABDE95" w14:textId="77777777" w:rsidR="00A90358" w:rsidRPr="00DD3A6D" w:rsidRDefault="00A90358" w:rsidP="000E2E5F">
            <w:pPr>
              <w:rPr>
                <w:color w:val="000000"/>
                <w:sz w:val="16"/>
                <w:szCs w:val="16"/>
              </w:rPr>
            </w:pPr>
            <w:r>
              <w:rPr>
                <w:color w:val="000000"/>
                <w:sz w:val="16"/>
                <w:szCs w:val="16"/>
              </w:rPr>
              <w:t>Conservation advice approved 1/10/2015</w:t>
            </w:r>
          </w:p>
        </w:tc>
      </w:tr>
      <w:tr w:rsidR="00A90358" w:rsidRPr="00DD3A6D" w14:paraId="26ABDE9E" w14:textId="77777777" w:rsidTr="00A90358">
        <w:trPr>
          <w:trHeight w:val="876"/>
        </w:trPr>
        <w:tc>
          <w:tcPr>
            <w:tcW w:w="0" w:type="auto"/>
            <w:tcBorders>
              <w:top w:val="nil"/>
              <w:left w:val="single" w:sz="8" w:space="0" w:color="auto"/>
              <w:bottom w:val="single" w:sz="8" w:space="0" w:color="auto"/>
              <w:right w:val="single" w:sz="8" w:space="0" w:color="auto"/>
            </w:tcBorders>
            <w:shd w:val="clear" w:color="auto" w:fill="auto"/>
            <w:vAlign w:val="center"/>
          </w:tcPr>
          <w:p w14:paraId="26ABDE97" w14:textId="77777777" w:rsidR="00A90358" w:rsidRPr="00DD3A6D" w:rsidRDefault="00A90358" w:rsidP="000E2E5F">
            <w:pPr>
              <w:rPr>
                <w:i/>
                <w:iCs/>
                <w:color w:val="000000"/>
                <w:sz w:val="16"/>
                <w:szCs w:val="16"/>
              </w:rPr>
            </w:pPr>
            <w:r>
              <w:rPr>
                <w:i/>
                <w:iCs/>
                <w:color w:val="000000"/>
                <w:sz w:val="16"/>
                <w:szCs w:val="16"/>
              </w:rPr>
              <w:t>Conospermum densiflorum subsp. unicephalatum</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E98"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99"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9A"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9B"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9C" w14:textId="77777777" w:rsidR="00A90358" w:rsidRDefault="00A90358" w:rsidP="000E2E5F">
            <w:pPr>
              <w:rPr>
                <w:color w:val="000000"/>
                <w:sz w:val="16"/>
                <w:szCs w:val="16"/>
              </w:rPr>
            </w:pPr>
            <w:r>
              <w:rPr>
                <w:color w:val="000000"/>
                <w:sz w:val="16"/>
                <w:szCs w:val="16"/>
              </w:rPr>
              <w:t>National recovery plan required</w:t>
            </w:r>
          </w:p>
          <w:p w14:paraId="26ABDE9D" w14:textId="77777777" w:rsidR="00A90358" w:rsidRPr="00DD3A6D" w:rsidRDefault="00A90358" w:rsidP="000E2E5F">
            <w:pPr>
              <w:rPr>
                <w:color w:val="000000"/>
                <w:sz w:val="16"/>
                <w:szCs w:val="16"/>
              </w:rPr>
            </w:pPr>
            <w:r>
              <w:rPr>
                <w:color w:val="000000"/>
                <w:sz w:val="16"/>
                <w:szCs w:val="16"/>
              </w:rPr>
              <w:t>Conservation advice approved 1/10/2015</w:t>
            </w:r>
          </w:p>
        </w:tc>
      </w:tr>
      <w:tr w:rsidR="00A90358" w:rsidRPr="00DD3A6D" w14:paraId="26ABDEA7" w14:textId="77777777" w:rsidTr="00A90358">
        <w:trPr>
          <w:trHeight w:val="8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9F" w14:textId="77777777" w:rsidR="00A90358" w:rsidRPr="00DD3A6D" w:rsidRDefault="00A90358" w:rsidP="000E2E5F">
            <w:pPr>
              <w:rPr>
                <w:i/>
                <w:iCs/>
                <w:color w:val="000000"/>
                <w:sz w:val="16"/>
                <w:szCs w:val="16"/>
              </w:rPr>
            </w:pPr>
            <w:r w:rsidRPr="00DD3A6D">
              <w:rPr>
                <w:i/>
                <w:iCs/>
                <w:color w:val="000000"/>
                <w:sz w:val="16"/>
                <w:szCs w:val="16"/>
              </w:rPr>
              <w:t>Hypocalymma sylvestre</w:t>
            </w:r>
          </w:p>
        </w:tc>
        <w:tc>
          <w:tcPr>
            <w:tcW w:w="0" w:type="auto"/>
            <w:tcBorders>
              <w:top w:val="nil"/>
              <w:left w:val="nil"/>
              <w:bottom w:val="single" w:sz="8" w:space="0" w:color="auto"/>
              <w:right w:val="single" w:sz="8" w:space="0" w:color="auto"/>
            </w:tcBorders>
            <w:shd w:val="clear" w:color="auto" w:fill="auto"/>
            <w:vAlign w:val="center"/>
            <w:hideMark/>
          </w:tcPr>
          <w:p w14:paraId="26ABDEA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A1"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EA2"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A3"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EA4" w14:textId="77777777" w:rsidR="00A90358" w:rsidRDefault="00A90358" w:rsidP="000E2E5F">
            <w:pPr>
              <w:rPr>
                <w:color w:val="000000"/>
                <w:sz w:val="16"/>
                <w:szCs w:val="16"/>
              </w:rPr>
            </w:pPr>
            <w:r w:rsidRPr="00DD3A6D">
              <w:rPr>
                <w:color w:val="000000"/>
                <w:sz w:val="16"/>
                <w:szCs w:val="16"/>
              </w:rPr>
              <w:t>State recovery plan being prepared</w:t>
            </w:r>
          </w:p>
          <w:p w14:paraId="26ABDEA5" w14:textId="77777777" w:rsidR="00A90358" w:rsidRDefault="00A90358" w:rsidP="000E2E5F">
            <w:pPr>
              <w:rPr>
                <w:color w:val="000000"/>
                <w:sz w:val="16"/>
                <w:szCs w:val="16"/>
              </w:rPr>
            </w:pPr>
            <w:r w:rsidRPr="00DD3A6D">
              <w:rPr>
                <w:color w:val="000000"/>
                <w:sz w:val="16"/>
                <w:szCs w:val="16"/>
              </w:rPr>
              <w:t>National recovery plan not required</w:t>
            </w:r>
          </w:p>
          <w:p w14:paraId="26ABDEA6" w14:textId="77777777" w:rsidR="00A90358" w:rsidRPr="00DD3A6D" w:rsidRDefault="00A90358" w:rsidP="000E2E5F">
            <w:pPr>
              <w:rPr>
                <w:color w:val="000000"/>
                <w:sz w:val="16"/>
                <w:szCs w:val="16"/>
              </w:rPr>
            </w:pPr>
            <w:r>
              <w:rPr>
                <w:color w:val="000000"/>
                <w:sz w:val="16"/>
                <w:szCs w:val="16"/>
              </w:rPr>
              <w:t>Conservation advice approved 11/5/2018</w:t>
            </w:r>
          </w:p>
        </w:tc>
      </w:tr>
      <w:tr w:rsidR="00A90358" w:rsidRPr="00DD3A6D" w14:paraId="26ABDEAE"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EA8" w14:textId="77777777" w:rsidR="00A90358" w:rsidRPr="00DD3A6D" w:rsidRDefault="00A90358" w:rsidP="000E2E5F">
            <w:pPr>
              <w:rPr>
                <w:i/>
                <w:iCs/>
                <w:color w:val="000000"/>
                <w:sz w:val="16"/>
                <w:szCs w:val="16"/>
              </w:rPr>
            </w:pPr>
            <w:r w:rsidRPr="00DD3A6D">
              <w:rPr>
                <w:i/>
                <w:iCs/>
                <w:color w:val="000000"/>
                <w:sz w:val="16"/>
                <w:szCs w:val="16"/>
              </w:rPr>
              <w:t xml:space="preserve">Laxmannia grandiflora </w:t>
            </w:r>
            <w:r w:rsidRPr="00DD3A6D">
              <w:rPr>
                <w:color w:val="000000"/>
                <w:sz w:val="16"/>
                <w:szCs w:val="16"/>
              </w:rPr>
              <w:t>subsp</w:t>
            </w:r>
            <w:r w:rsidRPr="00DD3A6D">
              <w:rPr>
                <w:i/>
                <w:iCs/>
                <w:color w:val="000000"/>
                <w:sz w:val="16"/>
                <w:szCs w:val="16"/>
              </w:rPr>
              <w:t>. brendae</w:t>
            </w:r>
            <w:r w:rsidRPr="00DD3A6D">
              <w:rPr>
                <w:b/>
                <w:bCs/>
                <w:i/>
                <w:iCs/>
                <w:color w:val="000000"/>
                <w:sz w:val="16"/>
                <w:szCs w:val="16"/>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6ABDEA9"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AA"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EAB"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EAC"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DEAD" w14:textId="77777777" w:rsidR="00A90358" w:rsidRPr="00DD3A6D" w:rsidRDefault="00A90358" w:rsidP="000E2E5F">
            <w:pPr>
              <w:rPr>
                <w:color w:val="000000"/>
                <w:sz w:val="16"/>
                <w:szCs w:val="16"/>
              </w:rPr>
            </w:pPr>
            <w:r w:rsidRPr="00DD3A6D">
              <w:rPr>
                <w:color w:val="000000"/>
                <w:sz w:val="16"/>
                <w:szCs w:val="16"/>
              </w:rPr>
              <w:t>State recovery plan being prepared</w:t>
            </w:r>
          </w:p>
        </w:tc>
      </w:tr>
      <w:tr w:rsidR="00A90358" w:rsidRPr="00E72278" w14:paraId="26ABDEB0" w14:textId="77777777" w:rsidTr="00A90358">
        <w:trPr>
          <w:cantSplit/>
          <w:trHeight w:val="276"/>
        </w:trPr>
        <w:tc>
          <w:tcPr>
            <w:tcW w:w="8944" w:type="dxa"/>
            <w:gridSpan w:val="6"/>
            <w:tcBorders>
              <w:top w:val="nil"/>
              <w:left w:val="single" w:sz="8" w:space="0" w:color="auto"/>
              <w:bottom w:val="single" w:sz="8" w:space="0" w:color="auto"/>
              <w:right w:val="single" w:sz="8" w:space="0" w:color="000000"/>
            </w:tcBorders>
            <w:shd w:val="clear" w:color="auto" w:fill="auto"/>
            <w:vAlign w:val="center"/>
            <w:hideMark/>
          </w:tcPr>
          <w:p w14:paraId="26ABDEAF" w14:textId="77777777" w:rsidR="00A90358" w:rsidRPr="00E72278" w:rsidRDefault="00A90358" w:rsidP="000E2E5F">
            <w:pPr>
              <w:rPr>
                <w:b/>
                <w:bCs/>
                <w:color w:val="000000"/>
                <w:sz w:val="16"/>
                <w:szCs w:val="16"/>
              </w:rPr>
            </w:pPr>
            <w:r w:rsidRPr="00E72278">
              <w:rPr>
                <w:b/>
                <w:bCs/>
                <w:color w:val="000000"/>
                <w:sz w:val="16"/>
                <w:szCs w:val="16"/>
              </w:rPr>
              <w:t>No recovery plan in place or in preparation</w:t>
            </w:r>
          </w:p>
        </w:tc>
      </w:tr>
      <w:tr w:rsidR="00A90358" w:rsidRPr="00DD3A6D" w14:paraId="26ABDEB7"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EB1" w14:textId="77777777" w:rsidR="00A90358" w:rsidRPr="00DD3A6D" w:rsidRDefault="00A90358" w:rsidP="000E2E5F">
            <w:pPr>
              <w:rPr>
                <w:i/>
                <w:iCs/>
                <w:color w:val="000000"/>
                <w:sz w:val="16"/>
                <w:szCs w:val="16"/>
              </w:rPr>
            </w:pPr>
            <w:r>
              <w:rPr>
                <w:i/>
                <w:iCs/>
                <w:color w:val="000000"/>
                <w:sz w:val="16"/>
                <w:szCs w:val="16"/>
              </w:rPr>
              <w:t>Anigozanthos viridis subsp.  terraspectans</w:t>
            </w:r>
            <w:r>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EB2"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B3"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EB4"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B5" w14:textId="77777777" w:rsidR="00A90358" w:rsidRPr="00DD3A6D" w:rsidRDefault="00A90358" w:rsidP="000E2E5F">
            <w:pPr>
              <w:rPr>
                <w:color w:val="000000"/>
                <w:sz w:val="16"/>
                <w:szCs w:val="16"/>
              </w:rPr>
            </w:pPr>
            <w:r>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tcPr>
          <w:p w14:paraId="26ABDEB6" w14:textId="77777777" w:rsidR="00A90358" w:rsidRPr="00DD3A6D" w:rsidRDefault="00A90358" w:rsidP="000E2E5F">
            <w:pPr>
              <w:rPr>
                <w:color w:val="000000"/>
                <w:sz w:val="16"/>
                <w:szCs w:val="16"/>
              </w:rPr>
            </w:pPr>
            <w:r w:rsidRPr="00DD3A6D">
              <w:rPr>
                <w:color w:val="000000"/>
                <w:sz w:val="16"/>
                <w:szCs w:val="16"/>
              </w:rPr>
              <w:t>National recovery plan not require</w:t>
            </w:r>
            <w:r>
              <w:rPr>
                <w:color w:val="000000"/>
                <w:sz w:val="16"/>
                <w:szCs w:val="16"/>
              </w:rPr>
              <w:t>d Conservation advice approved 16/12</w:t>
            </w:r>
            <w:r w:rsidRPr="00DD3A6D">
              <w:rPr>
                <w:color w:val="000000"/>
                <w:sz w:val="16"/>
                <w:szCs w:val="16"/>
              </w:rPr>
              <w:t>/2008</w:t>
            </w:r>
          </w:p>
        </w:tc>
      </w:tr>
      <w:tr w:rsidR="00A90358" w:rsidRPr="00DD3A6D" w14:paraId="26ABDEBE"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EB8" w14:textId="77777777" w:rsidR="00A90358" w:rsidRDefault="00A90358" w:rsidP="000E2E5F">
            <w:pPr>
              <w:rPr>
                <w:i/>
                <w:iCs/>
                <w:color w:val="000000"/>
                <w:sz w:val="16"/>
                <w:szCs w:val="16"/>
              </w:rPr>
            </w:pPr>
            <w:r>
              <w:rPr>
                <w:i/>
                <w:iCs/>
                <w:color w:val="000000"/>
                <w:sz w:val="16"/>
                <w:szCs w:val="16"/>
              </w:rPr>
              <w:t>Austrostipa bronwenae</w:t>
            </w:r>
            <w:r w:rsidRPr="000C5057">
              <w:rPr>
                <w:i/>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B9"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BA" w14:textId="77777777" w:rsidR="00A90358"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BB"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BC" w14:textId="77777777" w:rsidR="00A90358"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BD" w14:textId="77777777" w:rsidR="00A90358" w:rsidRPr="00DD3A6D" w:rsidRDefault="00A90358" w:rsidP="000E2E5F">
            <w:pPr>
              <w:rPr>
                <w:color w:val="000000"/>
                <w:sz w:val="16"/>
                <w:szCs w:val="16"/>
              </w:rPr>
            </w:pPr>
            <w:r w:rsidRPr="00DD3A6D">
              <w:rPr>
                <w:color w:val="000000"/>
                <w:sz w:val="16"/>
                <w:szCs w:val="16"/>
              </w:rPr>
              <w:t>National recovery plan not require</w:t>
            </w:r>
            <w:r>
              <w:rPr>
                <w:color w:val="000000"/>
                <w:sz w:val="16"/>
                <w:szCs w:val="16"/>
              </w:rPr>
              <w:t>d Conservation advice approved 15/2/201</w:t>
            </w:r>
            <w:r w:rsidRPr="00DD3A6D">
              <w:rPr>
                <w:color w:val="000000"/>
                <w:sz w:val="16"/>
                <w:szCs w:val="16"/>
              </w:rPr>
              <w:t>8</w:t>
            </w:r>
          </w:p>
        </w:tc>
      </w:tr>
      <w:tr w:rsidR="00A90358" w:rsidRPr="00DD3A6D" w14:paraId="26ABDEC5"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EBF" w14:textId="77777777" w:rsidR="00A90358" w:rsidRDefault="00A90358" w:rsidP="000E2E5F">
            <w:pPr>
              <w:rPr>
                <w:i/>
                <w:iCs/>
                <w:color w:val="000000"/>
                <w:sz w:val="16"/>
                <w:szCs w:val="16"/>
              </w:rPr>
            </w:pPr>
            <w:r>
              <w:rPr>
                <w:i/>
                <w:iCs/>
                <w:color w:val="000000"/>
                <w:sz w:val="16"/>
                <w:szCs w:val="16"/>
              </w:rPr>
              <w:t>Banksia serratuloides subsp. serratuloides</w:t>
            </w:r>
            <w:r w:rsidRPr="000C5057">
              <w:rPr>
                <w:i/>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C0"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C1" w14:textId="77777777" w:rsidR="00A90358"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C2"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EC3" w14:textId="77777777" w:rsidR="00A90358" w:rsidRDefault="00A90358" w:rsidP="000E2E5F">
            <w:pPr>
              <w:rPr>
                <w:color w:val="000000"/>
                <w:sz w:val="16"/>
                <w:szCs w:val="16"/>
              </w:rPr>
            </w:pPr>
            <w:r>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tcPr>
          <w:p w14:paraId="26ABDEC4" w14:textId="77777777" w:rsidR="00A90358" w:rsidRPr="00DD3A6D" w:rsidRDefault="00A90358" w:rsidP="000E2E5F">
            <w:pPr>
              <w:rPr>
                <w:color w:val="000000"/>
                <w:sz w:val="16"/>
                <w:szCs w:val="16"/>
              </w:rPr>
            </w:pPr>
            <w:r w:rsidRPr="00DD3A6D">
              <w:rPr>
                <w:color w:val="000000"/>
                <w:sz w:val="16"/>
                <w:szCs w:val="16"/>
              </w:rPr>
              <w:t>National recovery plan not require</w:t>
            </w:r>
            <w:r>
              <w:rPr>
                <w:color w:val="000000"/>
                <w:sz w:val="16"/>
                <w:szCs w:val="16"/>
              </w:rPr>
              <w:t>d Conservation advice approved 16/12</w:t>
            </w:r>
            <w:r w:rsidRPr="00DD3A6D">
              <w:rPr>
                <w:color w:val="000000"/>
                <w:sz w:val="16"/>
                <w:szCs w:val="16"/>
              </w:rPr>
              <w:t>/2008</w:t>
            </w:r>
          </w:p>
        </w:tc>
      </w:tr>
      <w:tr w:rsidR="00A90358" w:rsidRPr="00DD3A6D" w14:paraId="26ABDECC"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EC6" w14:textId="77777777" w:rsidR="00A90358" w:rsidRDefault="00A90358" w:rsidP="000E2E5F">
            <w:pPr>
              <w:rPr>
                <w:i/>
                <w:iCs/>
                <w:color w:val="000000"/>
                <w:sz w:val="16"/>
                <w:szCs w:val="16"/>
              </w:rPr>
            </w:pPr>
            <w:r>
              <w:rPr>
                <w:i/>
                <w:iCs/>
                <w:color w:val="000000"/>
                <w:sz w:val="16"/>
                <w:szCs w:val="16"/>
              </w:rPr>
              <w:lastRenderedPageBreak/>
              <w:t>Caladenia hoffmanii</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C7"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C8" w14:textId="77777777" w:rsidR="00A90358"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C9" w14:textId="77777777" w:rsidR="00A90358"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CA" w14:textId="77777777" w:rsidR="00A90358"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CB" w14:textId="77777777" w:rsidR="00A90358" w:rsidRPr="00DD3A6D" w:rsidRDefault="00A90358" w:rsidP="000E2E5F">
            <w:pPr>
              <w:rPr>
                <w:color w:val="000000"/>
                <w:sz w:val="16"/>
                <w:szCs w:val="16"/>
              </w:rPr>
            </w:pPr>
            <w:r w:rsidRPr="00DD3A6D">
              <w:rPr>
                <w:color w:val="000000"/>
                <w:sz w:val="16"/>
                <w:szCs w:val="16"/>
              </w:rPr>
              <w:t>National recovery plan not require</w:t>
            </w:r>
            <w:r>
              <w:rPr>
                <w:color w:val="000000"/>
                <w:sz w:val="16"/>
                <w:szCs w:val="16"/>
              </w:rPr>
              <w:t>d Conservation advice approved 16/12</w:t>
            </w:r>
            <w:r w:rsidRPr="00DD3A6D">
              <w:rPr>
                <w:color w:val="000000"/>
                <w:sz w:val="16"/>
                <w:szCs w:val="16"/>
              </w:rPr>
              <w:t>/2008</w:t>
            </w:r>
          </w:p>
        </w:tc>
      </w:tr>
      <w:tr w:rsidR="00A90358" w:rsidRPr="00DD3A6D" w14:paraId="26ABDED3"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ECD" w14:textId="77777777" w:rsidR="00A90358" w:rsidRPr="00DD3A6D" w:rsidRDefault="00A90358" w:rsidP="000E2E5F">
            <w:pPr>
              <w:rPr>
                <w:i/>
                <w:iCs/>
                <w:color w:val="000000"/>
                <w:sz w:val="16"/>
                <w:szCs w:val="16"/>
              </w:rPr>
            </w:pPr>
            <w:r>
              <w:rPr>
                <w:i/>
                <w:iCs/>
                <w:color w:val="000000"/>
                <w:sz w:val="16"/>
                <w:szCs w:val="16"/>
              </w:rPr>
              <w:t>Conospermum galeatum</w:t>
            </w:r>
            <w:r w:rsidRPr="00AC7C48">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CE"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CF"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ED0"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D1" w14:textId="77777777" w:rsidR="00A90358" w:rsidRPr="00DD3A6D" w:rsidRDefault="00A90358" w:rsidP="000E2E5F">
            <w:pPr>
              <w:rPr>
                <w:color w:val="000000"/>
                <w:sz w:val="16"/>
                <w:szCs w:val="16"/>
              </w:rPr>
            </w:pPr>
            <w:r>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tcPr>
          <w:p w14:paraId="26ABDED2" w14:textId="77777777" w:rsidR="00A90358" w:rsidRPr="00DD3A6D" w:rsidRDefault="00A90358" w:rsidP="000E2E5F">
            <w:pPr>
              <w:rPr>
                <w:color w:val="000000"/>
                <w:sz w:val="16"/>
                <w:szCs w:val="16"/>
              </w:rPr>
            </w:pPr>
            <w:r w:rsidRPr="00DD3A6D">
              <w:rPr>
                <w:color w:val="000000"/>
                <w:sz w:val="16"/>
                <w:szCs w:val="16"/>
              </w:rPr>
              <w:t>National recovery plan not require</w:t>
            </w:r>
            <w:r>
              <w:rPr>
                <w:color w:val="000000"/>
                <w:sz w:val="16"/>
                <w:szCs w:val="16"/>
              </w:rPr>
              <w:t>d Conservation advice approved 11/5/201</w:t>
            </w:r>
            <w:r w:rsidRPr="00DD3A6D">
              <w:rPr>
                <w:color w:val="000000"/>
                <w:sz w:val="16"/>
                <w:szCs w:val="16"/>
              </w:rPr>
              <w:t>8</w:t>
            </w:r>
          </w:p>
        </w:tc>
      </w:tr>
      <w:tr w:rsidR="00A90358" w:rsidRPr="00DD3A6D" w14:paraId="26ABDEDA"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ED4" w14:textId="77777777" w:rsidR="00A90358" w:rsidRPr="00DD3A6D" w:rsidRDefault="00A90358" w:rsidP="000E2E5F">
            <w:pPr>
              <w:rPr>
                <w:i/>
                <w:iCs/>
                <w:color w:val="000000"/>
                <w:sz w:val="16"/>
                <w:szCs w:val="16"/>
              </w:rPr>
            </w:pPr>
            <w:r>
              <w:rPr>
                <w:i/>
                <w:iCs/>
                <w:color w:val="000000"/>
                <w:sz w:val="16"/>
                <w:szCs w:val="16"/>
              </w:rPr>
              <w:t>Darwinia foetida</w:t>
            </w:r>
            <w:r w:rsidRPr="00AC7C48">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D5"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D6"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D7"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D8" w14:textId="77777777" w:rsidR="00A90358" w:rsidRDefault="00A90358" w:rsidP="000E2E5F">
            <w:pPr>
              <w:rPr>
                <w:color w:val="000000"/>
                <w:sz w:val="16"/>
                <w:szCs w:val="16"/>
              </w:rPr>
            </w:pPr>
            <w:r>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tcPr>
          <w:p w14:paraId="26ABDED9" w14:textId="77777777" w:rsidR="00A90358" w:rsidRPr="00DD3A6D" w:rsidRDefault="00A90358" w:rsidP="000E2E5F">
            <w:pPr>
              <w:rPr>
                <w:color w:val="000000"/>
                <w:sz w:val="16"/>
                <w:szCs w:val="16"/>
              </w:rPr>
            </w:pPr>
            <w:r w:rsidRPr="00DD3A6D">
              <w:rPr>
                <w:color w:val="000000"/>
                <w:sz w:val="16"/>
                <w:szCs w:val="16"/>
              </w:rPr>
              <w:t>National recovery plan not require</w:t>
            </w:r>
            <w:r>
              <w:rPr>
                <w:color w:val="000000"/>
                <w:sz w:val="16"/>
                <w:szCs w:val="16"/>
              </w:rPr>
              <w:t>d Conservation advice approved 11/6/2009</w:t>
            </w:r>
          </w:p>
        </w:tc>
      </w:tr>
      <w:tr w:rsidR="00A90358" w:rsidRPr="00DD3A6D" w14:paraId="26ABDEE1" w14:textId="77777777" w:rsidTr="00A90358">
        <w:trPr>
          <w:trHeight w:val="876"/>
        </w:trPr>
        <w:tc>
          <w:tcPr>
            <w:tcW w:w="0" w:type="auto"/>
            <w:tcBorders>
              <w:top w:val="nil"/>
              <w:left w:val="single" w:sz="8" w:space="0" w:color="auto"/>
              <w:bottom w:val="single" w:sz="8" w:space="0" w:color="auto"/>
              <w:right w:val="single" w:sz="8" w:space="0" w:color="auto"/>
            </w:tcBorders>
            <w:shd w:val="clear" w:color="auto" w:fill="auto"/>
            <w:vAlign w:val="center"/>
          </w:tcPr>
          <w:p w14:paraId="26ABDEDB" w14:textId="77777777" w:rsidR="00A90358" w:rsidRPr="00DD3A6D" w:rsidRDefault="00A90358" w:rsidP="000E2E5F">
            <w:pPr>
              <w:rPr>
                <w:i/>
                <w:iCs/>
                <w:color w:val="000000"/>
                <w:sz w:val="16"/>
                <w:szCs w:val="16"/>
              </w:rPr>
            </w:pPr>
            <w:r>
              <w:rPr>
                <w:i/>
                <w:iCs/>
                <w:color w:val="000000"/>
                <w:sz w:val="16"/>
                <w:szCs w:val="16"/>
              </w:rPr>
              <w:t>Eucalyptus recta</w:t>
            </w:r>
            <w:r w:rsidRPr="00AC7C48">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EDC"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DD"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EDE"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DF"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E0"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11/6/2009</w:t>
            </w:r>
          </w:p>
        </w:tc>
      </w:tr>
      <w:tr w:rsidR="00A90358" w:rsidRPr="00DD3A6D" w14:paraId="26ABDEE8"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EE2" w14:textId="77777777" w:rsidR="00A90358" w:rsidRPr="00DD3A6D" w:rsidRDefault="00A90358" w:rsidP="000E2E5F">
            <w:pPr>
              <w:rPr>
                <w:i/>
                <w:iCs/>
                <w:color w:val="000000"/>
                <w:sz w:val="16"/>
                <w:szCs w:val="16"/>
              </w:rPr>
            </w:pPr>
            <w:r>
              <w:rPr>
                <w:i/>
                <w:iCs/>
                <w:color w:val="000000"/>
                <w:sz w:val="16"/>
                <w:szCs w:val="16"/>
              </w:rPr>
              <w:t>Grevillea thelemanniana</w:t>
            </w:r>
            <w:r w:rsidRPr="00AC7C48">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E3"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E4" w14:textId="77777777" w:rsidR="00A90358" w:rsidRPr="00DD3A6D" w:rsidRDefault="00A90358" w:rsidP="000E2E5F">
            <w:pPr>
              <w:rPr>
                <w:color w:val="000000"/>
                <w:sz w:val="16"/>
                <w:szCs w:val="16"/>
              </w:rPr>
            </w:pPr>
            <w:r>
              <w:rPr>
                <w:color w:val="000000"/>
                <w:sz w:val="16"/>
                <w:szCs w:val="16"/>
              </w:rPr>
              <w:t>Not listed</w:t>
            </w:r>
          </w:p>
        </w:tc>
        <w:tc>
          <w:tcPr>
            <w:tcW w:w="0" w:type="auto"/>
            <w:tcBorders>
              <w:top w:val="nil"/>
              <w:left w:val="nil"/>
              <w:bottom w:val="single" w:sz="8" w:space="0" w:color="auto"/>
              <w:right w:val="single" w:sz="8" w:space="0" w:color="auto"/>
            </w:tcBorders>
            <w:shd w:val="clear" w:color="auto" w:fill="auto"/>
            <w:vAlign w:val="center"/>
          </w:tcPr>
          <w:p w14:paraId="26ABDEE5"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E6" w14:textId="77777777" w:rsidR="00A90358" w:rsidRPr="00DD3A6D" w:rsidRDefault="00A90358" w:rsidP="000E2E5F">
            <w:pPr>
              <w:rPr>
                <w:color w:val="000000"/>
                <w:sz w:val="16"/>
                <w:szCs w:val="16"/>
              </w:rPr>
            </w:pPr>
            <w:r>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tcPr>
          <w:p w14:paraId="26ABDEE7"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15/2/201</w:t>
            </w:r>
            <w:r w:rsidRPr="00DD3A6D">
              <w:rPr>
                <w:color w:val="000000"/>
                <w:sz w:val="16"/>
                <w:szCs w:val="16"/>
              </w:rPr>
              <w:t>8</w:t>
            </w:r>
          </w:p>
        </w:tc>
      </w:tr>
      <w:tr w:rsidR="00A90358" w:rsidRPr="00DD3A6D" w14:paraId="26ABDEEF"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EE9" w14:textId="77777777" w:rsidR="00A90358" w:rsidRPr="00DD3A6D" w:rsidRDefault="00A90358" w:rsidP="000E2E5F">
            <w:pPr>
              <w:rPr>
                <w:i/>
                <w:iCs/>
                <w:color w:val="000000"/>
                <w:sz w:val="16"/>
                <w:szCs w:val="16"/>
              </w:rPr>
            </w:pPr>
            <w:r>
              <w:rPr>
                <w:i/>
                <w:iCs/>
                <w:color w:val="000000"/>
                <w:sz w:val="16"/>
                <w:szCs w:val="16"/>
              </w:rPr>
              <w:t>Lepidosperma rostratum</w:t>
            </w:r>
            <w:r w:rsidRPr="00AC7C48">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EEA"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EB"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EC"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ED"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EE"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16/12</w:t>
            </w:r>
            <w:r w:rsidRPr="00DD3A6D">
              <w:rPr>
                <w:color w:val="000000"/>
                <w:sz w:val="16"/>
                <w:szCs w:val="16"/>
              </w:rPr>
              <w:t>/2008</w:t>
            </w:r>
          </w:p>
        </w:tc>
      </w:tr>
      <w:tr w:rsidR="00A90358" w:rsidRPr="00DD3A6D" w14:paraId="26ABDEF6"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EF0" w14:textId="77777777" w:rsidR="00A90358" w:rsidRPr="00DD3A6D" w:rsidRDefault="00A90358" w:rsidP="000E2E5F">
            <w:pPr>
              <w:rPr>
                <w:i/>
                <w:iCs/>
                <w:color w:val="000000"/>
                <w:sz w:val="16"/>
                <w:szCs w:val="16"/>
              </w:rPr>
            </w:pPr>
            <w:r>
              <w:rPr>
                <w:i/>
                <w:iCs/>
                <w:color w:val="000000"/>
                <w:sz w:val="16"/>
                <w:szCs w:val="16"/>
              </w:rPr>
              <w:t>Synaphea sp. Pinjarra Plain (A.S.George 17182)</w:t>
            </w:r>
            <w:r w:rsidRPr="00AC7C48">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F1"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F2"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EF3"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F4"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EF5"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15/2/201</w:t>
            </w:r>
            <w:r w:rsidRPr="00DD3A6D">
              <w:rPr>
                <w:color w:val="000000"/>
                <w:sz w:val="16"/>
                <w:szCs w:val="16"/>
              </w:rPr>
              <w:t>8</w:t>
            </w:r>
          </w:p>
        </w:tc>
      </w:tr>
      <w:tr w:rsidR="00A90358" w:rsidRPr="00DD3A6D" w14:paraId="26ABDEFD"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EF7" w14:textId="77777777" w:rsidR="00A90358" w:rsidRPr="00DD3A6D" w:rsidRDefault="00A90358" w:rsidP="000E2E5F">
            <w:pPr>
              <w:rPr>
                <w:i/>
                <w:iCs/>
                <w:color w:val="000000"/>
                <w:sz w:val="16"/>
                <w:szCs w:val="16"/>
              </w:rPr>
            </w:pPr>
            <w:r>
              <w:rPr>
                <w:i/>
                <w:iCs/>
                <w:color w:val="000000"/>
                <w:sz w:val="16"/>
                <w:szCs w:val="16"/>
              </w:rPr>
              <w:t>Synaphea sp. Serpentine (G.R.Brand 103)</w:t>
            </w:r>
            <w:r w:rsidRPr="00AC7C48">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EF8"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F9"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EFA"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EFB" w14:textId="77777777" w:rsidR="00A90358" w:rsidRPr="00DD3A6D" w:rsidRDefault="00A90358" w:rsidP="000E2E5F">
            <w:pPr>
              <w:rPr>
                <w:color w:val="000000"/>
                <w:sz w:val="16"/>
                <w:szCs w:val="16"/>
              </w:rPr>
            </w:pPr>
            <w:r>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tcPr>
          <w:p w14:paraId="26ABDEFC"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15/2/201</w:t>
            </w:r>
            <w:r w:rsidRPr="00DD3A6D">
              <w:rPr>
                <w:color w:val="000000"/>
                <w:sz w:val="16"/>
                <w:szCs w:val="16"/>
              </w:rPr>
              <w:t>8</w:t>
            </w:r>
          </w:p>
        </w:tc>
      </w:tr>
      <w:tr w:rsidR="00A90358" w:rsidRPr="00DD3A6D" w14:paraId="26ABDF04"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EFE" w14:textId="77777777" w:rsidR="00A90358" w:rsidRDefault="00A90358" w:rsidP="000E2E5F">
            <w:pPr>
              <w:rPr>
                <w:i/>
                <w:iCs/>
                <w:color w:val="000000"/>
                <w:sz w:val="16"/>
                <w:szCs w:val="16"/>
              </w:rPr>
            </w:pPr>
            <w:r>
              <w:rPr>
                <w:i/>
                <w:iCs/>
                <w:color w:val="000000"/>
                <w:sz w:val="16"/>
                <w:szCs w:val="16"/>
              </w:rPr>
              <w:t>Thomasia glabripetala</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EFF"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F00" w14:textId="77777777" w:rsidR="00A90358"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F01" w14:textId="77777777" w:rsidR="00A90358"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F02" w14:textId="77777777" w:rsidR="00A90358" w:rsidRDefault="00A90358" w:rsidP="000E2E5F">
            <w:pPr>
              <w:rPr>
                <w:color w:val="000000"/>
                <w:sz w:val="16"/>
                <w:szCs w:val="16"/>
              </w:rPr>
            </w:pPr>
            <w:r>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tcPr>
          <w:p w14:paraId="26ABDF03"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16/12</w:t>
            </w:r>
            <w:r w:rsidRPr="00DD3A6D">
              <w:rPr>
                <w:color w:val="000000"/>
                <w:sz w:val="16"/>
                <w:szCs w:val="16"/>
              </w:rPr>
              <w:t>/2008</w:t>
            </w:r>
          </w:p>
        </w:tc>
      </w:tr>
      <w:tr w:rsidR="00A90358" w:rsidRPr="00DD3A6D" w14:paraId="26ABDF0B"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tcPr>
          <w:p w14:paraId="26ABDF05" w14:textId="77777777" w:rsidR="00A90358" w:rsidRDefault="00A90358" w:rsidP="000E2E5F">
            <w:pPr>
              <w:rPr>
                <w:i/>
                <w:iCs/>
                <w:color w:val="000000"/>
                <w:sz w:val="16"/>
                <w:szCs w:val="16"/>
              </w:rPr>
            </w:pPr>
            <w:r>
              <w:rPr>
                <w:i/>
                <w:iCs/>
                <w:color w:val="000000"/>
                <w:sz w:val="16"/>
                <w:szCs w:val="16"/>
              </w:rPr>
              <w:t>Thomasia montana</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F06"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F07" w14:textId="77777777" w:rsidR="00A90358"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F08" w14:textId="77777777" w:rsidR="00A90358"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DF09" w14:textId="77777777" w:rsidR="00A90358" w:rsidRDefault="00A90358" w:rsidP="000E2E5F">
            <w:pPr>
              <w:rPr>
                <w:color w:val="000000"/>
                <w:sz w:val="16"/>
                <w:szCs w:val="16"/>
              </w:rPr>
            </w:pPr>
            <w:r>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tcPr>
          <w:p w14:paraId="26ABDF0A" w14:textId="7BFBA5BB" w:rsidR="006965CA" w:rsidRPr="00DD3A6D" w:rsidRDefault="00A90358" w:rsidP="00AD67D1">
            <w:pPr>
              <w:spacing w:before="200" w:after="240"/>
              <w:rPr>
                <w:color w:val="000000"/>
                <w:sz w:val="16"/>
                <w:szCs w:val="16"/>
              </w:rPr>
            </w:pPr>
            <w:r w:rsidRPr="00DD3A6D">
              <w:rPr>
                <w:color w:val="000000"/>
                <w:sz w:val="16"/>
                <w:szCs w:val="16"/>
              </w:rPr>
              <w:t>National recovery plan not required</w:t>
            </w:r>
            <w:r>
              <w:rPr>
                <w:color w:val="000000"/>
                <w:sz w:val="16"/>
                <w:szCs w:val="16"/>
              </w:rPr>
              <w:t xml:space="preserve"> Conservation advice approved 16/12</w:t>
            </w:r>
            <w:r w:rsidRPr="00DD3A6D">
              <w:rPr>
                <w:color w:val="000000"/>
                <w:sz w:val="16"/>
                <w:szCs w:val="16"/>
              </w:rPr>
              <w:t>/2008</w:t>
            </w:r>
          </w:p>
        </w:tc>
      </w:tr>
      <w:tr w:rsidR="00A90358" w:rsidRPr="00DD3A6D" w14:paraId="26ABDF0D" w14:textId="77777777" w:rsidTr="00A90358">
        <w:trPr>
          <w:trHeight w:val="276"/>
        </w:trPr>
        <w:tc>
          <w:tcPr>
            <w:tcW w:w="894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6ABDF0C" w14:textId="77777777" w:rsidR="00A90358" w:rsidRPr="00DD3A6D" w:rsidRDefault="00A90358" w:rsidP="000E2E5F">
            <w:pPr>
              <w:jc w:val="both"/>
              <w:rPr>
                <w:b/>
                <w:bCs/>
                <w:color w:val="000000"/>
                <w:sz w:val="16"/>
                <w:szCs w:val="16"/>
              </w:rPr>
            </w:pPr>
            <w:r w:rsidRPr="00DD3A6D">
              <w:rPr>
                <w:b/>
                <w:bCs/>
                <w:color w:val="000000"/>
                <w:sz w:val="16"/>
                <w:szCs w:val="16"/>
              </w:rPr>
              <w:lastRenderedPageBreak/>
              <w:t>Taxa with regional flora management program published or in preparation</w:t>
            </w:r>
          </w:p>
        </w:tc>
      </w:tr>
      <w:tr w:rsidR="00A90358" w:rsidRPr="00DD3A6D" w14:paraId="26ABDF14"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0E" w14:textId="77777777" w:rsidR="00A90358" w:rsidRPr="00DD3A6D" w:rsidRDefault="00A90358" w:rsidP="000E2E5F">
            <w:pPr>
              <w:rPr>
                <w:i/>
                <w:iCs/>
                <w:color w:val="000000"/>
                <w:sz w:val="16"/>
                <w:szCs w:val="16"/>
              </w:rPr>
            </w:pPr>
            <w:r w:rsidRPr="00DD3A6D">
              <w:rPr>
                <w:i/>
                <w:iCs/>
                <w:color w:val="000000"/>
                <w:sz w:val="16"/>
                <w:szCs w:val="16"/>
              </w:rPr>
              <w:t>Acacia anomala *</w:t>
            </w:r>
          </w:p>
        </w:tc>
        <w:tc>
          <w:tcPr>
            <w:tcW w:w="0" w:type="auto"/>
            <w:tcBorders>
              <w:top w:val="nil"/>
              <w:left w:val="nil"/>
              <w:bottom w:val="single" w:sz="8" w:space="0" w:color="auto"/>
              <w:right w:val="single" w:sz="8" w:space="0" w:color="auto"/>
            </w:tcBorders>
            <w:shd w:val="clear" w:color="auto" w:fill="auto"/>
            <w:vAlign w:val="center"/>
            <w:hideMark/>
          </w:tcPr>
          <w:p w14:paraId="26ABDF0F"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10"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11"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12"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13"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1B"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15" w14:textId="77777777" w:rsidR="00A90358" w:rsidRPr="00DD3A6D" w:rsidRDefault="00A90358" w:rsidP="000E2E5F">
            <w:pPr>
              <w:rPr>
                <w:i/>
                <w:iCs/>
                <w:color w:val="000000"/>
                <w:sz w:val="16"/>
                <w:szCs w:val="16"/>
              </w:rPr>
            </w:pPr>
            <w:r w:rsidRPr="00DD3A6D">
              <w:rPr>
                <w:i/>
                <w:iCs/>
                <w:color w:val="000000"/>
                <w:sz w:val="16"/>
                <w:szCs w:val="16"/>
              </w:rPr>
              <w:t>Acacia aphylla *</w:t>
            </w:r>
          </w:p>
        </w:tc>
        <w:tc>
          <w:tcPr>
            <w:tcW w:w="0" w:type="auto"/>
            <w:tcBorders>
              <w:top w:val="nil"/>
              <w:left w:val="nil"/>
              <w:bottom w:val="single" w:sz="8" w:space="0" w:color="auto"/>
              <w:right w:val="single" w:sz="8" w:space="0" w:color="auto"/>
            </w:tcBorders>
            <w:shd w:val="clear" w:color="auto" w:fill="auto"/>
            <w:vAlign w:val="center"/>
            <w:hideMark/>
          </w:tcPr>
          <w:p w14:paraId="26ABDF16"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17"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18"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19"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1A"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03/07/2008</w:t>
            </w:r>
          </w:p>
        </w:tc>
      </w:tr>
      <w:tr w:rsidR="00A90358" w:rsidRPr="00DD3A6D" w14:paraId="26ABDF22"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1C" w14:textId="77777777" w:rsidR="00A90358" w:rsidRPr="00DD3A6D" w:rsidRDefault="00A90358" w:rsidP="000E2E5F">
            <w:pPr>
              <w:rPr>
                <w:i/>
                <w:iCs/>
                <w:color w:val="000000"/>
                <w:sz w:val="16"/>
                <w:szCs w:val="16"/>
              </w:rPr>
            </w:pPr>
            <w:r w:rsidRPr="00DD3A6D">
              <w:rPr>
                <w:i/>
                <w:iCs/>
                <w:color w:val="000000"/>
                <w:sz w:val="16"/>
                <w:szCs w:val="16"/>
              </w:rPr>
              <w:t>Acacia brachypoda</w:t>
            </w:r>
          </w:p>
        </w:tc>
        <w:tc>
          <w:tcPr>
            <w:tcW w:w="0" w:type="auto"/>
            <w:tcBorders>
              <w:top w:val="nil"/>
              <w:left w:val="nil"/>
              <w:bottom w:val="single" w:sz="8" w:space="0" w:color="auto"/>
              <w:right w:val="single" w:sz="8" w:space="0" w:color="auto"/>
            </w:tcBorders>
            <w:shd w:val="clear" w:color="auto" w:fill="auto"/>
            <w:vAlign w:val="center"/>
            <w:hideMark/>
          </w:tcPr>
          <w:p w14:paraId="26ABDF1D"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1E"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1F"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20"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F21"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29"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23" w14:textId="77777777" w:rsidR="00A90358" w:rsidRPr="00DD3A6D" w:rsidRDefault="00A90358" w:rsidP="000E2E5F">
            <w:pPr>
              <w:rPr>
                <w:i/>
                <w:iCs/>
                <w:color w:val="000000"/>
                <w:sz w:val="16"/>
                <w:szCs w:val="16"/>
              </w:rPr>
            </w:pPr>
            <w:r w:rsidRPr="00DD3A6D">
              <w:rPr>
                <w:i/>
                <w:iCs/>
                <w:color w:val="000000"/>
                <w:sz w:val="16"/>
                <w:szCs w:val="16"/>
              </w:rPr>
              <w:t>Anthocercis gracilis *</w:t>
            </w:r>
          </w:p>
        </w:tc>
        <w:tc>
          <w:tcPr>
            <w:tcW w:w="0" w:type="auto"/>
            <w:tcBorders>
              <w:top w:val="nil"/>
              <w:left w:val="nil"/>
              <w:bottom w:val="single" w:sz="8" w:space="0" w:color="auto"/>
              <w:right w:val="single" w:sz="8" w:space="0" w:color="auto"/>
            </w:tcBorders>
            <w:shd w:val="clear" w:color="auto" w:fill="auto"/>
            <w:vAlign w:val="center"/>
            <w:hideMark/>
          </w:tcPr>
          <w:p w14:paraId="26ABDF24"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25"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26"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27"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28"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16/12/2008</w:t>
            </w:r>
          </w:p>
        </w:tc>
      </w:tr>
      <w:tr w:rsidR="00A90358" w:rsidRPr="00DD3A6D" w14:paraId="26ABDF30"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2A" w14:textId="77777777" w:rsidR="00A90358" w:rsidRPr="00DD3A6D" w:rsidRDefault="00A90358" w:rsidP="000E2E5F">
            <w:pPr>
              <w:rPr>
                <w:i/>
                <w:iCs/>
                <w:color w:val="000000"/>
                <w:sz w:val="16"/>
                <w:szCs w:val="16"/>
              </w:rPr>
            </w:pPr>
            <w:r w:rsidRPr="00DD3A6D">
              <w:rPr>
                <w:i/>
                <w:iCs/>
                <w:color w:val="000000"/>
                <w:sz w:val="16"/>
                <w:szCs w:val="16"/>
              </w:rPr>
              <w:t>Banksia (previously Dryandra) aurantia</w:t>
            </w:r>
          </w:p>
        </w:tc>
        <w:tc>
          <w:tcPr>
            <w:tcW w:w="0" w:type="auto"/>
            <w:tcBorders>
              <w:top w:val="nil"/>
              <w:left w:val="nil"/>
              <w:bottom w:val="single" w:sz="8" w:space="0" w:color="auto"/>
              <w:right w:val="single" w:sz="8" w:space="0" w:color="auto"/>
            </w:tcBorders>
            <w:shd w:val="clear" w:color="auto" w:fill="auto"/>
            <w:vAlign w:val="center"/>
            <w:hideMark/>
          </w:tcPr>
          <w:p w14:paraId="26ABDF2B" w14:textId="77777777" w:rsidR="00A90358" w:rsidRPr="00DD3A6D" w:rsidRDefault="00A90358" w:rsidP="000E2E5F">
            <w:pPr>
              <w:rPr>
                <w:color w:val="000000"/>
                <w:sz w:val="16"/>
                <w:szCs w:val="16"/>
              </w:rPr>
            </w:pPr>
            <w:r w:rsidRPr="00DD3A6D">
              <w:rPr>
                <w:color w:val="000000"/>
                <w:sz w:val="16"/>
                <w:szCs w:val="16"/>
              </w:rPr>
              <w:t>Not listed</w:t>
            </w:r>
          </w:p>
        </w:tc>
        <w:tc>
          <w:tcPr>
            <w:tcW w:w="0" w:type="auto"/>
            <w:tcBorders>
              <w:top w:val="nil"/>
              <w:left w:val="nil"/>
              <w:bottom w:val="single" w:sz="8" w:space="0" w:color="auto"/>
              <w:right w:val="single" w:sz="8" w:space="0" w:color="auto"/>
            </w:tcBorders>
            <w:shd w:val="clear" w:color="auto" w:fill="auto"/>
            <w:vAlign w:val="center"/>
            <w:hideMark/>
          </w:tcPr>
          <w:p w14:paraId="26ABDF2C"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2D"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2E"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F2F"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16/12/2008</w:t>
            </w:r>
          </w:p>
        </w:tc>
      </w:tr>
      <w:tr w:rsidR="00A90358" w:rsidRPr="00DD3A6D" w14:paraId="26ABDF37" w14:textId="77777777" w:rsidTr="00A90358">
        <w:trPr>
          <w:trHeight w:val="828"/>
        </w:trPr>
        <w:tc>
          <w:tcPr>
            <w:tcW w:w="0" w:type="auto"/>
            <w:tcBorders>
              <w:top w:val="nil"/>
              <w:left w:val="single" w:sz="8" w:space="0" w:color="auto"/>
              <w:bottom w:val="nil"/>
              <w:right w:val="single" w:sz="8" w:space="0" w:color="auto"/>
            </w:tcBorders>
            <w:shd w:val="clear" w:color="auto" w:fill="auto"/>
            <w:vAlign w:val="center"/>
            <w:hideMark/>
          </w:tcPr>
          <w:p w14:paraId="26ABDF31" w14:textId="77777777" w:rsidR="00A90358" w:rsidRPr="00DD3A6D" w:rsidRDefault="00A90358" w:rsidP="000E2E5F">
            <w:pPr>
              <w:rPr>
                <w:i/>
                <w:iCs/>
                <w:color w:val="000000"/>
                <w:sz w:val="16"/>
                <w:szCs w:val="16"/>
              </w:rPr>
            </w:pPr>
            <w:r w:rsidRPr="00DD3A6D">
              <w:rPr>
                <w:i/>
                <w:iCs/>
                <w:color w:val="000000"/>
                <w:sz w:val="16"/>
                <w:szCs w:val="16"/>
              </w:rPr>
              <w:t>Banksia (previously Dryandra) mimica *</w:t>
            </w:r>
          </w:p>
        </w:tc>
        <w:tc>
          <w:tcPr>
            <w:tcW w:w="0" w:type="auto"/>
            <w:tcBorders>
              <w:top w:val="nil"/>
              <w:left w:val="nil"/>
              <w:bottom w:val="nil"/>
              <w:right w:val="single" w:sz="8" w:space="0" w:color="auto"/>
            </w:tcBorders>
            <w:shd w:val="clear" w:color="auto" w:fill="auto"/>
            <w:vAlign w:val="center"/>
            <w:hideMark/>
          </w:tcPr>
          <w:p w14:paraId="26ABDF32"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nil"/>
              <w:right w:val="single" w:sz="8" w:space="0" w:color="auto"/>
            </w:tcBorders>
            <w:shd w:val="clear" w:color="auto" w:fill="auto"/>
            <w:vAlign w:val="center"/>
            <w:hideMark/>
          </w:tcPr>
          <w:p w14:paraId="26ABDF33"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nil"/>
              <w:right w:val="single" w:sz="8" w:space="0" w:color="auto"/>
            </w:tcBorders>
            <w:shd w:val="clear" w:color="auto" w:fill="auto"/>
            <w:vAlign w:val="center"/>
            <w:hideMark/>
          </w:tcPr>
          <w:p w14:paraId="26ABDF34"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nil"/>
              <w:right w:val="single" w:sz="8" w:space="0" w:color="auto"/>
            </w:tcBorders>
            <w:shd w:val="clear" w:color="auto" w:fill="auto"/>
            <w:vAlign w:val="center"/>
            <w:hideMark/>
          </w:tcPr>
          <w:p w14:paraId="26ABDF35"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nil"/>
              <w:right w:val="single" w:sz="8" w:space="0" w:color="auto"/>
            </w:tcBorders>
            <w:shd w:val="clear" w:color="auto" w:fill="auto"/>
            <w:vAlign w:val="center"/>
            <w:hideMark/>
          </w:tcPr>
          <w:p w14:paraId="26ABDF36"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3E" w14:textId="77777777" w:rsidTr="00A90358">
        <w:trPr>
          <w:trHeight w:val="828"/>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6ABDF38" w14:textId="77777777" w:rsidR="00A90358" w:rsidRPr="00DD3A6D" w:rsidRDefault="00A90358" w:rsidP="000E2E5F">
            <w:pPr>
              <w:rPr>
                <w:i/>
                <w:iCs/>
                <w:color w:val="000000"/>
                <w:sz w:val="16"/>
                <w:szCs w:val="16"/>
              </w:rPr>
            </w:pPr>
            <w:r w:rsidRPr="00DD3A6D">
              <w:rPr>
                <w:i/>
                <w:iCs/>
                <w:color w:val="000000"/>
                <w:sz w:val="16"/>
                <w:szCs w:val="16"/>
              </w:rPr>
              <w:t xml:space="preserve">Banksia goodii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ABDF39"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ABDF3A"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ABDF3B"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ABDF3C"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single" w:sz="8" w:space="0" w:color="auto"/>
              <w:left w:val="nil"/>
              <w:bottom w:val="single" w:sz="8" w:space="0" w:color="auto"/>
              <w:right w:val="single" w:sz="8" w:space="0" w:color="auto"/>
            </w:tcBorders>
            <w:shd w:val="clear" w:color="auto" w:fill="auto"/>
            <w:vAlign w:val="center"/>
            <w:hideMark/>
          </w:tcPr>
          <w:p w14:paraId="26ABDF3D"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01/10/2008</w:t>
            </w:r>
          </w:p>
        </w:tc>
      </w:tr>
      <w:tr w:rsidR="00A90358" w:rsidRPr="00DD3A6D" w14:paraId="26ABDF45"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3F" w14:textId="77777777" w:rsidR="00A90358" w:rsidRPr="00DD3A6D" w:rsidRDefault="00A90358" w:rsidP="000E2E5F">
            <w:pPr>
              <w:rPr>
                <w:i/>
                <w:iCs/>
                <w:color w:val="000000"/>
                <w:sz w:val="16"/>
                <w:szCs w:val="16"/>
              </w:rPr>
            </w:pPr>
            <w:r w:rsidRPr="00DD3A6D">
              <w:rPr>
                <w:i/>
                <w:iCs/>
                <w:color w:val="000000"/>
                <w:sz w:val="16"/>
                <w:szCs w:val="16"/>
              </w:rPr>
              <w:t>Bossiaea s</w:t>
            </w:r>
            <w:r w:rsidRPr="00DD3A6D">
              <w:rPr>
                <w:color w:val="000000"/>
                <w:sz w:val="16"/>
                <w:szCs w:val="16"/>
              </w:rPr>
              <w:t>p. Frankland (E.M. Sandiford EMS 896)</w:t>
            </w:r>
          </w:p>
        </w:tc>
        <w:tc>
          <w:tcPr>
            <w:tcW w:w="0" w:type="auto"/>
            <w:tcBorders>
              <w:top w:val="nil"/>
              <w:left w:val="nil"/>
              <w:bottom w:val="single" w:sz="8" w:space="0" w:color="auto"/>
              <w:right w:val="single" w:sz="8" w:space="0" w:color="auto"/>
            </w:tcBorders>
            <w:shd w:val="clear" w:color="auto" w:fill="auto"/>
            <w:vAlign w:val="center"/>
            <w:hideMark/>
          </w:tcPr>
          <w:p w14:paraId="26ABDF4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41"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42"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43"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DF44" w14:textId="77777777" w:rsidR="00A90358" w:rsidRPr="00DD3A6D" w:rsidRDefault="00A90358" w:rsidP="000E2E5F">
            <w:pPr>
              <w:rPr>
                <w:color w:val="000000"/>
                <w:sz w:val="16"/>
                <w:szCs w:val="16"/>
              </w:rPr>
            </w:pPr>
          </w:p>
        </w:tc>
      </w:tr>
      <w:tr w:rsidR="00A90358" w:rsidRPr="00DD3A6D" w14:paraId="26ABDF4C"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46" w14:textId="77777777" w:rsidR="00A90358" w:rsidRPr="00DD3A6D" w:rsidRDefault="00A90358" w:rsidP="000E2E5F">
            <w:pPr>
              <w:rPr>
                <w:i/>
                <w:iCs/>
                <w:color w:val="000000"/>
                <w:sz w:val="16"/>
                <w:szCs w:val="16"/>
              </w:rPr>
            </w:pPr>
            <w:r w:rsidRPr="00DD3A6D">
              <w:rPr>
                <w:i/>
                <w:iCs/>
                <w:color w:val="000000"/>
                <w:sz w:val="16"/>
                <w:szCs w:val="16"/>
              </w:rPr>
              <w:t>Caladenia christineae *</w:t>
            </w:r>
          </w:p>
        </w:tc>
        <w:tc>
          <w:tcPr>
            <w:tcW w:w="0" w:type="auto"/>
            <w:tcBorders>
              <w:top w:val="nil"/>
              <w:left w:val="nil"/>
              <w:bottom w:val="single" w:sz="8" w:space="0" w:color="auto"/>
              <w:right w:val="single" w:sz="8" w:space="0" w:color="auto"/>
            </w:tcBorders>
            <w:shd w:val="clear" w:color="auto" w:fill="auto"/>
            <w:vAlign w:val="center"/>
            <w:hideMark/>
          </w:tcPr>
          <w:p w14:paraId="26ABDF47"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48"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49"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4A"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4B"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53"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4D" w14:textId="77777777" w:rsidR="00A90358" w:rsidRPr="00DD3A6D" w:rsidRDefault="00A90358" w:rsidP="000E2E5F">
            <w:pPr>
              <w:rPr>
                <w:i/>
                <w:iCs/>
                <w:color w:val="000000"/>
                <w:sz w:val="16"/>
                <w:szCs w:val="16"/>
              </w:rPr>
            </w:pPr>
            <w:r w:rsidRPr="00DD3A6D">
              <w:rPr>
                <w:i/>
                <w:iCs/>
                <w:color w:val="000000"/>
                <w:sz w:val="16"/>
                <w:szCs w:val="16"/>
              </w:rPr>
              <w:t>Caladenia dorrienii *</w:t>
            </w:r>
          </w:p>
        </w:tc>
        <w:tc>
          <w:tcPr>
            <w:tcW w:w="0" w:type="auto"/>
            <w:tcBorders>
              <w:top w:val="nil"/>
              <w:left w:val="nil"/>
              <w:bottom w:val="single" w:sz="8" w:space="0" w:color="auto"/>
              <w:right w:val="single" w:sz="8" w:space="0" w:color="auto"/>
            </w:tcBorders>
            <w:shd w:val="clear" w:color="auto" w:fill="auto"/>
            <w:vAlign w:val="center"/>
            <w:hideMark/>
          </w:tcPr>
          <w:p w14:paraId="26ABDF4E"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4F"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50"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51"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F52"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16/12/2008</w:t>
            </w:r>
          </w:p>
        </w:tc>
      </w:tr>
      <w:tr w:rsidR="00A90358" w:rsidRPr="00DD3A6D" w14:paraId="26ABDF5A"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54" w14:textId="77777777" w:rsidR="00A90358" w:rsidRPr="00DD3A6D" w:rsidRDefault="00A90358" w:rsidP="000E2E5F">
            <w:pPr>
              <w:rPr>
                <w:i/>
                <w:iCs/>
                <w:color w:val="000000"/>
                <w:sz w:val="16"/>
                <w:szCs w:val="16"/>
              </w:rPr>
            </w:pPr>
            <w:r w:rsidRPr="00DD3A6D">
              <w:rPr>
                <w:i/>
                <w:iCs/>
                <w:color w:val="000000"/>
                <w:sz w:val="16"/>
                <w:szCs w:val="16"/>
              </w:rPr>
              <w:lastRenderedPageBreak/>
              <w:t>Caladenia excelsa *</w:t>
            </w:r>
          </w:p>
        </w:tc>
        <w:tc>
          <w:tcPr>
            <w:tcW w:w="0" w:type="auto"/>
            <w:tcBorders>
              <w:top w:val="nil"/>
              <w:left w:val="nil"/>
              <w:bottom w:val="single" w:sz="8" w:space="0" w:color="auto"/>
              <w:right w:val="single" w:sz="8" w:space="0" w:color="auto"/>
            </w:tcBorders>
            <w:shd w:val="clear" w:color="auto" w:fill="auto"/>
            <w:vAlign w:val="center"/>
            <w:hideMark/>
          </w:tcPr>
          <w:p w14:paraId="26ABDF55"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56"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57"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58"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F59"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61"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5B" w14:textId="77777777" w:rsidR="00A90358" w:rsidRPr="00DD3A6D" w:rsidRDefault="00A90358" w:rsidP="000E2E5F">
            <w:pPr>
              <w:rPr>
                <w:i/>
                <w:iCs/>
                <w:color w:val="000000"/>
                <w:sz w:val="16"/>
                <w:szCs w:val="16"/>
              </w:rPr>
            </w:pPr>
            <w:r w:rsidRPr="00DD3A6D">
              <w:rPr>
                <w:i/>
                <w:iCs/>
                <w:color w:val="000000"/>
                <w:sz w:val="16"/>
                <w:szCs w:val="16"/>
              </w:rPr>
              <w:t>Caladenia harringtoniae *</w:t>
            </w:r>
          </w:p>
        </w:tc>
        <w:tc>
          <w:tcPr>
            <w:tcW w:w="0" w:type="auto"/>
            <w:tcBorders>
              <w:top w:val="nil"/>
              <w:left w:val="nil"/>
              <w:bottom w:val="single" w:sz="8" w:space="0" w:color="auto"/>
              <w:right w:val="single" w:sz="8" w:space="0" w:color="auto"/>
            </w:tcBorders>
            <w:shd w:val="clear" w:color="auto" w:fill="auto"/>
            <w:vAlign w:val="center"/>
            <w:hideMark/>
          </w:tcPr>
          <w:p w14:paraId="26ABDF5C"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5D"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5E"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5F"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60"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69"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62" w14:textId="77777777" w:rsidR="00A90358" w:rsidRPr="00DD3A6D" w:rsidRDefault="00A90358" w:rsidP="000E2E5F">
            <w:pPr>
              <w:rPr>
                <w:i/>
                <w:iCs/>
                <w:color w:val="000000"/>
                <w:sz w:val="16"/>
                <w:szCs w:val="16"/>
              </w:rPr>
            </w:pPr>
            <w:r w:rsidRPr="00DD3A6D">
              <w:rPr>
                <w:i/>
                <w:iCs/>
                <w:color w:val="000000"/>
                <w:sz w:val="16"/>
                <w:szCs w:val="16"/>
              </w:rPr>
              <w:t xml:space="preserve">Chamelaucium roycei </w:t>
            </w:r>
            <w:r w:rsidRPr="00DD3A6D">
              <w:rPr>
                <w:color w:val="000000"/>
                <w:sz w:val="16"/>
                <w:szCs w:val="16"/>
              </w:rPr>
              <w:t>ms</w:t>
            </w:r>
            <w:r w:rsidRPr="00DD3A6D">
              <w:rPr>
                <w:i/>
                <w:iCs/>
                <w:color w:val="000000"/>
                <w:sz w:val="16"/>
                <w:szCs w:val="16"/>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6ABDF63"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64"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65"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66" w14:textId="77777777" w:rsidR="00A90358" w:rsidRPr="0034763F" w:rsidRDefault="00A90358" w:rsidP="000E2E5F">
            <w:pPr>
              <w:rPr>
                <w:color w:val="000000"/>
                <w:sz w:val="16"/>
                <w:szCs w:val="16"/>
              </w:rPr>
            </w:pPr>
            <w:r w:rsidRPr="0034763F">
              <w:rPr>
                <w:color w:val="000000"/>
                <w:sz w:val="16"/>
                <w:szCs w:val="16"/>
              </w:rPr>
              <w:t>Listed Vulnerable</w:t>
            </w:r>
          </w:p>
          <w:p w14:paraId="26ABDF67" w14:textId="77777777" w:rsidR="00A90358" w:rsidRPr="00DD3A6D" w:rsidRDefault="00A90358" w:rsidP="000E2E5F">
            <w:pPr>
              <w:rPr>
                <w:color w:val="000000"/>
                <w:sz w:val="16"/>
                <w:szCs w:val="16"/>
              </w:rPr>
            </w:pPr>
            <w:r w:rsidRPr="0034763F">
              <w:rPr>
                <w:color w:val="000000"/>
                <w:sz w:val="16"/>
                <w:szCs w:val="16"/>
              </w:rPr>
              <w:t xml:space="preserve">as </w:t>
            </w:r>
            <w:r>
              <w:rPr>
                <w:color w:val="000000"/>
                <w:sz w:val="16"/>
                <w:szCs w:val="16"/>
              </w:rPr>
              <w:t xml:space="preserve">Chamelaucium </w:t>
            </w:r>
            <w:r w:rsidRPr="00700834">
              <w:rPr>
                <w:sz w:val="16"/>
                <w:szCs w:val="16"/>
              </w:rPr>
              <w:t>sp.</w:t>
            </w:r>
            <w:r w:rsidRPr="00700834">
              <w:rPr>
                <w:i/>
                <w:iCs/>
                <w:sz w:val="16"/>
                <w:szCs w:val="16"/>
              </w:rPr>
              <w:t xml:space="preserve"> S coastal plain </w:t>
            </w:r>
            <w:r w:rsidRPr="00700834">
              <w:rPr>
                <w:sz w:val="16"/>
                <w:szCs w:val="16"/>
              </w:rPr>
              <w:t>(R.D.Royce 4872)</w:t>
            </w:r>
          </w:p>
        </w:tc>
        <w:tc>
          <w:tcPr>
            <w:tcW w:w="2029" w:type="dxa"/>
            <w:tcBorders>
              <w:top w:val="nil"/>
              <w:left w:val="nil"/>
              <w:bottom w:val="single" w:sz="8" w:space="0" w:color="auto"/>
              <w:right w:val="single" w:sz="8" w:space="0" w:color="auto"/>
            </w:tcBorders>
            <w:shd w:val="clear" w:color="auto" w:fill="auto"/>
            <w:vAlign w:val="center"/>
            <w:hideMark/>
          </w:tcPr>
          <w:p w14:paraId="26ABDF68"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29/04/2014</w:t>
            </w:r>
          </w:p>
        </w:tc>
      </w:tr>
      <w:tr w:rsidR="00A90358" w:rsidRPr="00DD3A6D" w14:paraId="26ABDF70"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6A" w14:textId="77777777" w:rsidR="00A90358" w:rsidRPr="00DD3A6D" w:rsidRDefault="00A90358" w:rsidP="000E2E5F">
            <w:pPr>
              <w:rPr>
                <w:i/>
                <w:iCs/>
                <w:color w:val="000000"/>
                <w:sz w:val="16"/>
                <w:szCs w:val="16"/>
              </w:rPr>
            </w:pPr>
            <w:r w:rsidRPr="00DD3A6D">
              <w:rPr>
                <w:i/>
                <w:iCs/>
                <w:color w:val="000000"/>
                <w:sz w:val="16"/>
                <w:szCs w:val="16"/>
              </w:rPr>
              <w:t>Darwinia acerosa *</w:t>
            </w:r>
          </w:p>
        </w:tc>
        <w:tc>
          <w:tcPr>
            <w:tcW w:w="0" w:type="auto"/>
            <w:tcBorders>
              <w:top w:val="nil"/>
              <w:left w:val="nil"/>
              <w:bottom w:val="single" w:sz="8" w:space="0" w:color="auto"/>
              <w:right w:val="single" w:sz="8" w:space="0" w:color="auto"/>
            </w:tcBorders>
            <w:shd w:val="clear" w:color="auto" w:fill="auto"/>
            <w:vAlign w:val="center"/>
            <w:hideMark/>
          </w:tcPr>
          <w:p w14:paraId="26ABDF6B"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6C"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6D"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6E"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F6F"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01/10/2008</w:t>
            </w:r>
          </w:p>
        </w:tc>
      </w:tr>
      <w:tr w:rsidR="00A90358" w:rsidRPr="00DD3A6D" w14:paraId="26ABDF77"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71" w14:textId="77777777" w:rsidR="00A90358" w:rsidRPr="00DD3A6D" w:rsidRDefault="00A90358" w:rsidP="000E2E5F">
            <w:pPr>
              <w:rPr>
                <w:i/>
                <w:iCs/>
                <w:color w:val="000000"/>
                <w:sz w:val="16"/>
                <w:szCs w:val="16"/>
              </w:rPr>
            </w:pPr>
            <w:r w:rsidRPr="00DD3A6D">
              <w:rPr>
                <w:i/>
                <w:iCs/>
                <w:color w:val="000000"/>
                <w:sz w:val="16"/>
                <w:szCs w:val="16"/>
              </w:rPr>
              <w:t xml:space="preserve">Daviesia elongata </w:t>
            </w:r>
            <w:r w:rsidRPr="00DD3A6D">
              <w:rPr>
                <w:color w:val="000000"/>
                <w:sz w:val="16"/>
                <w:szCs w:val="16"/>
              </w:rPr>
              <w:t>(previously subsp</w:t>
            </w:r>
            <w:r w:rsidRPr="00DD3A6D">
              <w:rPr>
                <w:i/>
                <w:iCs/>
                <w:color w:val="000000"/>
                <w:sz w:val="16"/>
                <w:szCs w:val="16"/>
              </w:rPr>
              <w:t>. elongata)</w:t>
            </w:r>
          </w:p>
        </w:tc>
        <w:tc>
          <w:tcPr>
            <w:tcW w:w="0" w:type="auto"/>
            <w:tcBorders>
              <w:top w:val="nil"/>
              <w:left w:val="nil"/>
              <w:bottom w:val="single" w:sz="8" w:space="0" w:color="auto"/>
              <w:right w:val="single" w:sz="8" w:space="0" w:color="auto"/>
            </w:tcBorders>
            <w:shd w:val="clear" w:color="auto" w:fill="auto"/>
            <w:vAlign w:val="center"/>
            <w:hideMark/>
          </w:tcPr>
          <w:p w14:paraId="26ABDF72"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73"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74"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75" w14:textId="77777777" w:rsidR="00A90358" w:rsidRPr="00DD3A6D" w:rsidRDefault="00A90358" w:rsidP="000E2E5F">
            <w:pPr>
              <w:rPr>
                <w:color w:val="000000"/>
                <w:sz w:val="16"/>
                <w:szCs w:val="16"/>
              </w:rPr>
            </w:pPr>
            <w:r>
              <w:rPr>
                <w:color w:val="000000"/>
                <w:sz w:val="16"/>
                <w:szCs w:val="16"/>
              </w:rPr>
              <w:t xml:space="preserve">Listed </w:t>
            </w:r>
            <w:r w:rsidRPr="00DD3A6D">
              <w:rPr>
                <w:color w:val="000000"/>
                <w:sz w:val="16"/>
                <w:szCs w:val="16"/>
              </w:rPr>
              <w:t>Vulnerable</w:t>
            </w:r>
            <w:r>
              <w:rPr>
                <w:color w:val="000000"/>
                <w:sz w:val="16"/>
                <w:szCs w:val="16"/>
              </w:rPr>
              <w:t xml:space="preserve"> as Daviesia elongata subsp. elongata</w:t>
            </w:r>
          </w:p>
        </w:tc>
        <w:tc>
          <w:tcPr>
            <w:tcW w:w="2029" w:type="dxa"/>
            <w:tcBorders>
              <w:top w:val="nil"/>
              <w:left w:val="nil"/>
              <w:bottom w:val="single" w:sz="8" w:space="0" w:color="auto"/>
              <w:right w:val="single" w:sz="8" w:space="0" w:color="auto"/>
            </w:tcBorders>
            <w:shd w:val="clear" w:color="auto" w:fill="auto"/>
            <w:vAlign w:val="center"/>
            <w:hideMark/>
          </w:tcPr>
          <w:p w14:paraId="26ABDF76"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7E"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78" w14:textId="77777777" w:rsidR="00A90358" w:rsidRPr="00DD3A6D" w:rsidRDefault="00A90358" w:rsidP="000E2E5F">
            <w:pPr>
              <w:rPr>
                <w:i/>
                <w:iCs/>
                <w:color w:val="000000"/>
                <w:sz w:val="16"/>
                <w:szCs w:val="16"/>
              </w:rPr>
            </w:pPr>
            <w:r w:rsidRPr="00DD3A6D">
              <w:rPr>
                <w:i/>
                <w:iCs/>
                <w:color w:val="000000"/>
                <w:sz w:val="16"/>
                <w:szCs w:val="16"/>
              </w:rPr>
              <w:t xml:space="preserve">Diuris drummondii </w:t>
            </w:r>
          </w:p>
        </w:tc>
        <w:tc>
          <w:tcPr>
            <w:tcW w:w="0" w:type="auto"/>
            <w:tcBorders>
              <w:top w:val="nil"/>
              <w:left w:val="nil"/>
              <w:bottom w:val="single" w:sz="8" w:space="0" w:color="auto"/>
              <w:right w:val="single" w:sz="8" w:space="0" w:color="auto"/>
            </w:tcBorders>
            <w:shd w:val="clear" w:color="auto" w:fill="auto"/>
            <w:vAlign w:val="center"/>
            <w:hideMark/>
          </w:tcPr>
          <w:p w14:paraId="26ABDF79"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7A"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7B"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7C"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7D"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85"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7F" w14:textId="77777777" w:rsidR="00A90358" w:rsidRPr="00DD3A6D" w:rsidRDefault="00A90358" w:rsidP="000E2E5F">
            <w:pPr>
              <w:rPr>
                <w:i/>
                <w:iCs/>
                <w:color w:val="000000"/>
                <w:sz w:val="16"/>
                <w:szCs w:val="16"/>
              </w:rPr>
            </w:pPr>
            <w:r w:rsidRPr="00DD3A6D">
              <w:rPr>
                <w:i/>
                <w:iCs/>
                <w:color w:val="000000"/>
                <w:sz w:val="16"/>
                <w:szCs w:val="16"/>
              </w:rPr>
              <w:t xml:space="preserve">Diuris micrantha </w:t>
            </w:r>
          </w:p>
        </w:tc>
        <w:tc>
          <w:tcPr>
            <w:tcW w:w="0" w:type="auto"/>
            <w:tcBorders>
              <w:top w:val="nil"/>
              <w:left w:val="nil"/>
              <w:bottom w:val="single" w:sz="8" w:space="0" w:color="auto"/>
              <w:right w:val="single" w:sz="8" w:space="0" w:color="auto"/>
            </w:tcBorders>
            <w:shd w:val="clear" w:color="auto" w:fill="auto"/>
            <w:vAlign w:val="center"/>
            <w:hideMark/>
          </w:tcPr>
          <w:p w14:paraId="26ABDF80"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81"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82"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83"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84"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03/07/2008</w:t>
            </w:r>
          </w:p>
        </w:tc>
      </w:tr>
      <w:tr w:rsidR="00A90358" w:rsidRPr="00DD3A6D" w14:paraId="26ABDF8C"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86" w14:textId="77777777" w:rsidR="00A90358" w:rsidRPr="00DD3A6D" w:rsidRDefault="00A90358" w:rsidP="000E2E5F">
            <w:pPr>
              <w:rPr>
                <w:i/>
                <w:iCs/>
                <w:color w:val="000000"/>
                <w:sz w:val="16"/>
                <w:szCs w:val="16"/>
              </w:rPr>
            </w:pPr>
            <w:r w:rsidRPr="00DD3A6D">
              <w:rPr>
                <w:i/>
                <w:iCs/>
                <w:color w:val="000000"/>
                <w:sz w:val="16"/>
                <w:szCs w:val="16"/>
              </w:rPr>
              <w:t>Diuris purdiei</w:t>
            </w:r>
          </w:p>
        </w:tc>
        <w:tc>
          <w:tcPr>
            <w:tcW w:w="0" w:type="auto"/>
            <w:tcBorders>
              <w:top w:val="nil"/>
              <w:left w:val="nil"/>
              <w:bottom w:val="single" w:sz="8" w:space="0" w:color="auto"/>
              <w:right w:val="single" w:sz="8" w:space="0" w:color="auto"/>
            </w:tcBorders>
            <w:shd w:val="clear" w:color="auto" w:fill="auto"/>
            <w:vAlign w:val="center"/>
            <w:hideMark/>
          </w:tcPr>
          <w:p w14:paraId="26ABDF87"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88"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89" w14:textId="77777777" w:rsidR="00A90358" w:rsidRPr="00DD3A6D" w:rsidRDefault="00A90358" w:rsidP="000E2E5F">
            <w:pPr>
              <w:rPr>
                <w:color w:val="000000"/>
                <w:sz w:val="16"/>
                <w:szCs w:val="16"/>
              </w:rPr>
            </w:pPr>
            <w:r w:rsidRPr="00DD3A6D">
              <w:rPr>
                <w:color w:val="000000"/>
                <w:sz w:val="16"/>
                <w:szCs w:val="16"/>
              </w:rPr>
              <w:t>Not listed</w:t>
            </w:r>
          </w:p>
        </w:tc>
        <w:tc>
          <w:tcPr>
            <w:tcW w:w="0" w:type="auto"/>
            <w:tcBorders>
              <w:top w:val="nil"/>
              <w:left w:val="nil"/>
              <w:bottom w:val="single" w:sz="8" w:space="0" w:color="auto"/>
              <w:right w:val="single" w:sz="8" w:space="0" w:color="auto"/>
            </w:tcBorders>
            <w:shd w:val="clear" w:color="auto" w:fill="auto"/>
            <w:vAlign w:val="center"/>
            <w:hideMark/>
          </w:tcPr>
          <w:p w14:paraId="26ABDF8A"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F8B"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93"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8D" w14:textId="77777777" w:rsidR="00A90358" w:rsidRPr="00DD3A6D" w:rsidRDefault="00A90358" w:rsidP="000E2E5F">
            <w:pPr>
              <w:rPr>
                <w:i/>
                <w:iCs/>
                <w:color w:val="000000"/>
                <w:sz w:val="16"/>
                <w:szCs w:val="16"/>
              </w:rPr>
            </w:pPr>
            <w:r w:rsidRPr="00DD3A6D">
              <w:rPr>
                <w:i/>
                <w:iCs/>
                <w:color w:val="000000"/>
                <w:sz w:val="16"/>
                <w:szCs w:val="16"/>
              </w:rPr>
              <w:t xml:space="preserve">Drakaea micrantha </w:t>
            </w:r>
          </w:p>
        </w:tc>
        <w:tc>
          <w:tcPr>
            <w:tcW w:w="0" w:type="auto"/>
            <w:tcBorders>
              <w:top w:val="nil"/>
              <w:left w:val="nil"/>
              <w:bottom w:val="single" w:sz="8" w:space="0" w:color="auto"/>
              <w:right w:val="single" w:sz="8" w:space="0" w:color="auto"/>
            </w:tcBorders>
            <w:shd w:val="clear" w:color="auto" w:fill="auto"/>
            <w:vAlign w:val="center"/>
            <w:hideMark/>
          </w:tcPr>
          <w:p w14:paraId="26ABDF8E"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8F"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90"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91"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92"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DF9A"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94" w14:textId="77777777" w:rsidR="00A90358" w:rsidRPr="00DD3A6D" w:rsidRDefault="00A90358" w:rsidP="000E2E5F">
            <w:pPr>
              <w:rPr>
                <w:i/>
                <w:iCs/>
                <w:color w:val="000000"/>
                <w:sz w:val="16"/>
                <w:szCs w:val="16"/>
              </w:rPr>
            </w:pPr>
            <w:r w:rsidRPr="00DD3A6D">
              <w:rPr>
                <w:i/>
                <w:iCs/>
                <w:color w:val="000000"/>
                <w:sz w:val="16"/>
                <w:szCs w:val="16"/>
              </w:rPr>
              <w:t>Eleocharis keigheryi</w:t>
            </w:r>
          </w:p>
        </w:tc>
        <w:tc>
          <w:tcPr>
            <w:tcW w:w="0" w:type="auto"/>
            <w:tcBorders>
              <w:top w:val="nil"/>
              <w:left w:val="nil"/>
              <w:bottom w:val="single" w:sz="8" w:space="0" w:color="auto"/>
              <w:right w:val="single" w:sz="8" w:space="0" w:color="auto"/>
            </w:tcBorders>
            <w:shd w:val="clear" w:color="auto" w:fill="auto"/>
            <w:vAlign w:val="center"/>
            <w:hideMark/>
          </w:tcPr>
          <w:p w14:paraId="26ABDF95"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96"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97"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98"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99"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16/12/2008</w:t>
            </w:r>
          </w:p>
        </w:tc>
      </w:tr>
      <w:tr w:rsidR="00A90358" w:rsidRPr="00DD3A6D" w14:paraId="26ABDFA1" w14:textId="77777777" w:rsidTr="00A90358">
        <w:trPr>
          <w:trHeight w:val="876"/>
        </w:trPr>
        <w:tc>
          <w:tcPr>
            <w:tcW w:w="0" w:type="auto"/>
            <w:tcBorders>
              <w:top w:val="nil"/>
              <w:left w:val="single" w:sz="8" w:space="0" w:color="auto"/>
              <w:bottom w:val="single" w:sz="8" w:space="0" w:color="auto"/>
              <w:right w:val="single" w:sz="8" w:space="0" w:color="auto"/>
            </w:tcBorders>
            <w:shd w:val="clear" w:color="auto" w:fill="auto"/>
            <w:vAlign w:val="center"/>
          </w:tcPr>
          <w:p w14:paraId="26ABDF9B" w14:textId="77777777" w:rsidR="00A90358" w:rsidRPr="00DD3A6D" w:rsidRDefault="00A90358" w:rsidP="000E2E5F">
            <w:pPr>
              <w:rPr>
                <w:i/>
                <w:iCs/>
                <w:color w:val="000000"/>
                <w:sz w:val="16"/>
                <w:szCs w:val="16"/>
              </w:rPr>
            </w:pPr>
            <w:r>
              <w:rPr>
                <w:i/>
                <w:iCs/>
                <w:color w:val="000000"/>
                <w:sz w:val="16"/>
                <w:szCs w:val="16"/>
              </w:rPr>
              <w:lastRenderedPageBreak/>
              <w:t>Eucalyptus x phylacis</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F9C"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F9D"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F9E"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F9F"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FA0"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1/10/2015</w:t>
            </w:r>
          </w:p>
        </w:tc>
      </w:tr>
      <w:tr w:rsidR="00A90358" w:rsidRPr="00DD3A6D" w14:paraId="26ABDFA9" w14:textId="77777777" w:rsidTr="00A90358">
        <w:trPr>
          <w:trHeight w:val="8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A2" w14:textId="77777777" w:rsidR="00A90358" w:rsidRPr="00DD3A6D" w:rsidRDefault="00A90358" w:rsidP="000E2E5F">
            <w:pPr>
              <w:rPr>
                <w:i/>
                <w:iCs/>
                <w:color w:val="000000"/>
                <w:sz w:val="16"/>
                <w:szCs w:val="16"/>
              </w:rPr>
            </w:pPr>
            <w:r w:rsidRPr="00DD3A6D">
              <w:rPr>
                <w:i/>
                <w:iCs/>
                <w:color w:val="000000"/>
                <w:sz w:val="16"/>
                <w:szCs w:val="16"/>
              </w:rPr>
              <w:t>Gastrolobium argyrotrichum</w:t>
            </w:r>
          </w:p>
        </w:tc>
        <w:tc>
          <w:tcPr>
            <w:tcW w:w="0" w:type="auto"/>
            <w:tcBorders>
              <w:top w:val="nil"/>
              <w:left w:val="nil"/>
              <w:bottom w:val="single" w:sz="8" w:space="0" w:color="auto"/>
              <w:right w:val="single" w:sz="8" w:space="0" w:color="auto"/>
            </w:tcBorders>
            <w:shd w:val="clear" w:color="auto" w:fill="auto"/>
            <w:vAlign w:val="center"/>
            <w:hideMark/>
          </w:tcPr>
          <w:p w14:paraId="26ABDFA3"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A4" w14:textId="77777777" w:rsidR="00A90358" w:rsidRPr="00DD3A6D" w:rsidRDefault="00A90358" w:rsidP="000E2E5F">
            <w:pPr>
              <w:rPr>
                <w:color w:val="000000"/>
                <w:sz w:val="16"/>
                <w:szCs w:val="16"/>
              </w:rPr>
            </w:pPr>
            <w:r w:rsidRPr="00DD3A6D">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hideMark/>
          </w:tcPr>
          <w:p w14:paraId="26ABDFA5"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A6"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DFA7" w14:textId="77777777" w:rsidR="00A90358" w:rsidRDefault="00A90358" w:rsidP="000E2E5F">
            <w:pPr>
              <w:rPr>
                <w:color w:val="000000"/>
                <w:sz w:val="16"/>
                <w:szCs w:val="16"/>
              </w:rPr>
            </w:pPr>
            <w:r w:rsidRPr="00DD3A6D">
              <w:rPr>
                <w:color w:val="000000"/>
                <w:sz w:val="16"/>
                <w:szCs w:val="16"/>
              </w:rPr>
              <w:t xml:space="preserve">National recovery plan not required </w:t>
            </w:r>
          </w:p>
          <w:p w14:paraId="26ABDFA8" w14:textId="77777777" w:rsidR="00A90358" w:rsidRPr="00DD3A6D" w:rsidRDefault="00A90358" w:rsidP="000E2E5F">
            <w:pPr>
              <w:rPr>
                <w:color w:val="000000"/>
                <w:sz w:val="16"/>
                <w:szCs w:val="16"/>
              </w:rPr>
            </w:pPr>
            <w:r>
              <w:rPr>
                <w:color w:val="000000"/>
                <w:sz w:val="16"/>
                <w:szCs w:val="16"/>
              </w:rPr>
              <w:t>Conservation advice approved 11/5/2018</w:t>
            </w:r>
          </w:p>
        </w:tc>
      </w:tr>
      <w:tr w:rsidR="00A90358" w:rsidRPr="00DD3A6D" w14:paraId="26ABDFB0"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FAA" w14:textId="77777777" w:rsidR="00A90358" w:rsidRPr="00DD3A6D" w:rsidRDefault="00A90358" w:rsidP="000E2E5F">
            <w:pPr>
              <w:rPr>
                <w:i/>
                <w:iCs/>
                <w:color w:val="000000"/>
                <w:sz w:val="16"/>
                <w:szCs w:val="16"/>
              </w:rPr>
            </w:pPr>
            <w:r>
              <w:rPr>
                <w:i/>
                <w:iCs/>
                <w:color w:val="000000"/>
                <w:sz w:val="16"/>
                <w:szCs w:val="16"/>
              </w:rPr>
              <w:t>Gastrolobium hamulosum</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FAB"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FAC"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FAD"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FAE"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FAF"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1/10/2008</w:t>
            </w:r>
          </w:p>
        </w:tc>
      </w:tr>
      <w:tr w:rsidR="00A90358" w:rsidRPr="00DD3A6D" w14:paraId="26ABDFB7"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B1" w14:textId="77777777" w:rsidR="00A90358" w:rsidRPr="00DD3A6D" w:rsidRDefault="00A90358" w:rsidP="000E2E5F">
            <w:pPr>
              <w:rPr>
                <w:i/>
                <w:iCs/>
                <w:color w:val="000000"/>
                <w:sz w:val="16"/>
                <w:szCs w:val="16"/>
              </w:rPr>
            </w:pPr>
            <w:r w:rsidRPr="00DD3A6D">
              <w:rPr>
                <w:i/>
                <w:iCs/>
                <w:color w:val="000000"/>
                <w:sz w:val="16"/>
                <w:szCs w:val="16"/>
              </w:rPr>
              <w:t>Gastrolobium modestum</w:t>
            </w:r>
          </w:p>
        </w:tc>
        <w:tc>
          <w:tcPr>
            <w:tcW w:w="0" w:type="auto"/>
            <w:tcBorders>
              <w:top w:val="nil"/>
              <w:left w:val="nil"/>
              <w:bottom w:val="single" w:sz="8" w:space="0" w:color="auto"/>
              <w:right w:val="single" w:sz="8" w:space="0" w:color="auto"/>
            </w:tcBorders>
            <w:shd w:val="clear" w:color="auto" w:fill="auto"/>
            <w:vAlign w:val="center"/>
            <w:hideMark/>
          </w:tcPr>
          <w:p w14:paraId="26ABDFB2"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B3"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B4"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B5"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B6"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29/04/2014</w:t>
            </w:r>
          </w:p>
        </w:tc>
      </w:tr>
      <w:tr w:rsidR="00A90358" w:rsidRPr="00DD3A6D" w14:paraId="26ABDFBE"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tcPr>
          <w:p w14:paraId="26ABDFB8" w14:textId="77777777" w:rsidR="00A90358" w:rsidRPr="00DD3A6D" w:rsidRDefault="00A90358" w:rsidP="000E2E5F">
            <w:pPr>
              <w:rPr>
                <w:i/>
                <w:iCs/>
                <w:color w:val="000000"/>
                <w:sz w:val="16"/>
                <w:szCs w:val="16"/>
              </w:rPr>
            </w:pPr>
            <w:r>
              <w:rPr>
                <w:i/>
                <w:iCs/>
                <w:color w:val="000000"/>
                <w:sz w:val="16"/>
                <w:szCs w:val="16"/>
              </w:rPr>
              <w:t>Gastrolobium papilio</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DFB9"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FBA"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DFBB"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FBC"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FBD"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29/04/2014</w:t>
            </w:r>
          </w:p>
        </w:tc>
      </w:tr>
      <w:tr w:rsidR="00A90358" w:rsidRPr="00DD3A6D" w14:paraId="26ABDFC6"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BF" w14:textId="77777777" w:rsidR="00A90358" w:rsidRPr="00DD3A6D" w:rsidRDefault="00A90358" w:rsidP="000E2E5F">
            <w:pPr>
              <w:rPr>
                <w:i/>
                <w:iCs/>
                <w:color w:val="000000"/>
                <w:sz w:val="16"/>
                <w:szCs w:val="16"/>
              </w:rPr>
            </w:pPr>
            <w:r w:rsidRPr="00DD3A6D">
              <w:rPr>
                <w:i/>
                <w:iCs/>
                <w:color w:val="000000"/>
                <w:sz w:val="16"/>
                <w:szCs w:val="16"/>
              </w:rPr>
              <w:t>Goodenia arthrotricha</w:t>
            </w:r>
          </w:p>
        </w:tc>
        <w:tc>
          <w:tcPr>
            <w:tcW w:w="0" w:type="auto"/>
            <w:tcBorders>
              <w:top w:val="nil"/>
              <w:left w:val="nil"/>
              <w:bottom w:val="single" w:sz="8" w:space="0" w:color="auto"/>
              <w:right w:val="single" w:sz="8" w:space="0" w:color="auto"/>
            </w:tcBorders>
            <w:shd w:val="clear" w:color="auto" w:fill="auto"/>
            <w:vAlign w:val="center"/>
            <w:hideMark/>
          </w:tcPr>
          <w:p w14:paraId="26ABDFC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C1"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C2"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C3"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FC4" w14:textId="77777777" w:rsidR="00A90358" w:rsidRDefault="00A90358" w:rsidP="000E2E5F">
            <w:pPr>
              <w:rPr>
                <w:color w:val="000000"/>
                <w:sz w:val="16"/>
                <w:szCs w:val="16"/>
              </w:rPr>
            </w:pPr>
            <w:r w:rsidRPr="00DD3A6D">
              <w:rPr>
                <w:color w:val="000000"/>
                <w:sz w:val="16"/>
                <w:szCs w:val="16"/>
              </w:rPr>
              <w:t>National recovery plan not required</w:t>
            </w:r>
          </w:p>
          <w:p w14:paraId="26ABDFC5" w14:textId="77777777" w:rsidR="00A90358" w:rsidRPr="00DD3A6D" w:rsidRDefault="00A90358" w:rsidP="000E2E5F">
            <w:pPr>
              <w:rPr>
                <w:color w:val="000000"/>
                <w:sz w:val="16"/>
                <w:szCs w:val="16"/>
              </w:rPr>
            </w:pPr>
            <w:r>
              <w:rPr>
                <w:color w:val="000000"/>
                <w:sz w:val="16"/>
                <w:szCs w:val="16"/>
              </w:rPr>
              <w:t>Conservation advice approved 15/2/2018</w:t>
            </w:r>
          </w:p>
        </w:tc>
      </w:tr>
      <w:tr w:rsidR="00A90358" w:rsidRPr="00DD3A6D" w14:paraId="26ABDFCD"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C7" w14:textId="77777777" w:rsidR="00A90358" w:rsidRPr="00DD3A6D" w:rsidRDefault="00A90358" w:rsidP="000E2E5F">
            <w:pPr>
              <w:rPr>
                <w:i/>
                <w:iCs/>
                <w:color w:val="000000"/>
                <w:sz w:val="16"/>
                <w:szCs w:val="16"/>
              </w:rPr>
            </w:pPr>
            <w:r w:rsidRPr="00DD3A6D">
              <w:rPr>
                <w:i/>
                <w:iCs/>
                <w:color w:val="000000"/>
                <w:sz w:val="16"/>
                <w:szCs w:val="16"/>
              </w:rPr>
              <w:t xml:space="preserve">Grevillea brachystylis </w:t>
            </w:r>
            <w:r w:rsidRPr="00DD3A6D">
              <w:rPr>
                <w:color w:val="000000"/>
                <w:sz w:val="16"/>
                <w:szCs w:val="16"/>
              </w:rPr>
              <w:t>subsp</w:t>
            </w:r>
            <w:r w:rsidRPr="00DD3A6D">
              <w:rPr>
                <w:i/>
                <w:iCs/>
                <w:color w:val="000000"/>
                <w:sz w:val="16"/>
                <w:szCs w:val="16"/>
              </w:rPr>
              <w:t>. australis</w:t>
            </w:r>
          </w:p>
        </w:tc>
        <w:tc>
          <w:tcPr>
            <w:tcW w:w="0" w:type="auto"/>
            <w:tcBorders>
              <w:top w:val="nil"/>
              <w:left w:val="nil"/>
              <w:bottom w:val="single" w:sz="8" w:space="0" w:color="auto"/>
              <w:right w:val="single" w:sz="8" w:space="0" w:color="auto"/>
            </w:tcBorders>
            <w:shd w:val="clear" w:color="auto" w:fill="auto"/>
            <w:vAlign w:val="center"/>
            <w:hideMark/>
          </w:tcPr>
          <w:p w14:paraId="26ABDFC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C9"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CA"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CB"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CC"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01/10/2008</w:t>
            </w:r>
          </w:p>
        </w:tc>
      </w:tr>
      <w:tr w:rsidR="00A90358" w:rsidRPr="00DD3A6D" w14:paraId="26ABDFD4"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CE" w14:textId="77777777" w:rsidR="00A90358" w:rsidRPr="00DD3A6D" w:rsidRDefault="00A90358" w:rsidP="000E2E5F">
            <w:pPr>
              <w:rPr>
                <w:i/>
                <w:iCs/>
                <w:color w:val="000000"/>
                <w:sz w:val="16"/>
                <w:szCs w:val="16"/>
              </w:rPr>
            </w:pPr>
            <w:r w:rsidRPr="00DD3A6D">
              <w:rPr>
                <w:i/>
                <w:iCs/>
                <w:color w:val="000000"/>
                <w:sz w:val="16"/>
                <w:szCs w:val="16"/>
              </w:rPr>
              <w:t>Grevillea bracteosa</w:t>
            </w:r>
          </w:p>
        </w:tc>
        <w:tc>
          <w:tcPr>
            <w:tcW w:w="0" w:type="auto"/>
            <w:tcBorders>
              <w:top w:val="nil"/>
              <w:left w:val="nil"/>
              <w:bottom w:val="single" w:sz="8" w:space="0" w:color="auto"/>
              <w:right w:val="single" w:sz="8" w:space="0" w:color="auto"/>
            </w:tcBorders>
            <w:shd w:val="clear" w:color="auto" w:fill="auto"/>
            <w:vAlign w:val="center"/>
            <w:hideMark/>
          </w:tcPr>
          <w:p w14:paraId="26ABDFCF"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D0"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D1"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D2" w14:textId="77777777" w:rsidR="00A90358" w:rsidRPr="00DD3A6D" w:rsidRDefault="00A90358" w:rsidP="000E2E5F">
            <w:pPr>
              <w:rPr>
                <w:color w:val="000000"/>
                <w:sz w:val="16"/>
                <w:szCs w:val="16"/>
              </w:rPr>
            </w:pPr>
            <w:r w:rsidRPr="00DD3A6D">
              <w:rPr>
                <w:color w:val="000000"/>
                <w:sz w:val="16"/>
                <w:szCs w:val="16"/>
              </w:rPr>
              <w:t xml:space="preserve">Not listed </w:t>
            </w:r>
          </w:p>
        </w:tc>
        <w:tc>
          <w:tcPr>
            <w:tcW w:w="2029" w:type="dxa"/>
            <w:tcBorders>
              <w:top w:val="nil"/>
              <w:left w:val="nil"/>
              <w:bottom w:val="single" w:sz="8" w:space="0" w:color="auto"/>
              <w:right w:val="single" w:sz="8" w:space="0" w:color="auto"/>
            </w:tcBorders>
            <w:shd w:val="clear" w:color="auto" w:fill="auto"/>
            <w:vAlign w:val="center"/>
            <w:hideMark/>
          </w:tcPr>
          <w:p w14:paraId="26ABDFD3" w14:textId="77777777" w:rsidR="00A90358" w:rsidRPr="00DD3A6D" w:rsidRDefault="00A90358" w:rsidP="000E2E5F">
            <w:pPr>
              <w:rPr>
                <w:color w:val="000000"/>
                <w:sz w:val="16"/>
                <w:szCs w:val="16"/>
              </w:rPr>
            </w:pPr>
          </w:p>
        </w:tc>
      </w:tr>
      <w:tr w:rsidR="00A90358" w:rsidRPr="00DD3A6D" w14:paraId="26ABDFDB"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D5" w14:textId="77777777" w:rsidR="00A90358" w:rsidRPr="00DD3A6D" w:rsidRDefault="00A90358" w:rsidP="000E2E5F">
            <w:pPr>
              <w:rPr>
                <w:i/>
                <w:iCs/>
                <w:color w:val="000000"/>
                <w:sz w:val="16"/>
                <w:szCs w:val="16"/>
              </w:rPr>
            </w:pPr>
            <w:r w:rsidRPr="00DD3A6D">
              <w:rPr>
                <w:i/>
                <w:iCs/>
                <w:color w:val="000000"/>
                <w:sz w:val="16"/>
                <w:szCs w:val="16"/>
              </w:rPr>
              <w:t>Grevillea christineae</w:t>
            </w:r>
          </w:p>
        </w:tc>
        <w:tc>
          <w:tcPr>
            <w:tcW w:w="0" w:type="auto"/>
            <w:tcBorders>
              <w:top w:val="nil"/>
              <w:left w:val="nil"/>
              <w:bottom w:val="single" w:sz="8" w:space="0" w:color="auto"/>
              <w:right w:val="single" w:sz="8" w:space="0" w:color="auto"/>
            </w:tcBorders>
            <w:shd w:val="clear" w:color="auto" w:fill="auto"/>
            <w:vAlign w:val="center"/>
            <w:hideMark/>
          </w:tcPr>
          <w:p w14:paraId="26ABDFD6"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D7"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D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D9"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FDA"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01/10/2008</w:t>
            </w:r>
          </w:p>
        </w:tc>
      </w:tr>
      <w:tr w:rsidR="00A90358" w:rsidRPr="00DD3A6D" w14:paraId="26ABDFE2"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DC" w14:textId="77777777" w:rsidR="00A90358" w:rsidRPr="00DD3A6D" w:rsidRDefault="00A90358" w:rsidP="000E2E5F">
            <w:pPr>
              <w:rPr>
                <w:i/>
                <w:iCs/>
                <w:color w:val="000000"/>
                <w:sz w:val="16"/>
                <w:szCs w:val="16"/>
              </w:rPr>
            </w:pPr>
            <w:r w:rsidRPr="00DD3A6D">
              <w:rPr>
                <w:i/>
                <w:iCs/>
                <w:color w:val="000000"/>
                <w:sz w:val="16"/>
                <w:szCs w:val="16"/>
              </w:rPr>
              <w:t>Grevillea flexuosa *</w:t>
            </w:r>
          </w:p>
        </w:tc>
        <w:tc>
          <w:tcPr>
            <w:tcW w:w="0" w:type="auto"/>
            <w:tcBorders>
              <w:top w:val="nil"/>
              <w:left w:val="nil"/>
              <w:bottom w:val="single" w:sz="8" w:space="0" w:color="auto"/>
              <w:right w:val="single" w:sz="8" w:space="0" w:color="auto"/>
            </w:tcBorders>
            <w:shd w:val="clear" w:color="auto" w:fill="auto"/>
            <w:vAlign w:val="center"/>
            <w:hideMark/>
          </w:tcPr>
          <w:p w14:paraId="26ABDFDD"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DE"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DF"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E0"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E1"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01/10/2008</w:t>
            </w:r>
          </w:p>
        </w:tc>
      </w:tr>
      <w:tr w:rsidR="00A90358" w:rsidRPr="00DD3A6D" w14:paraId="26ABDFE9"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E3" w14:textId="77777777" w:rsidR="00A90358" w:rsidRPr="00DD3A6D" w:rsidRDefault="00A90358" w:rsidP="000E2E5F">
            <w:pPr>
              <w:rPr>
                <w:i/>
                <w:iCs/>
                <w:color w:val="000000"/>
                <w:sz w:val="16"/>
                <w:szCs w:val="16"/>
              </w:rPr>
            </w:pPr>
            <w:r w:rsidRPr="00DD3A6D">
              <w:rPr>
                <w:i/>
                <w:iCs/>
                <w:color w:val="000000"/>
                <w:sz w:val="16"/>
                <w:szCs w:val="16"/>
              </w:rPr>
              <w:t xml:space="preserve">Jacksonia velveta </w:t>
            </w:r>
            <w:r w:rsidRPr="00DD3A6D">
              <w:rPr>
                <w:color w:val="000000"/>
                <w:sz w:val="16"/>
                <w:szCs w:val="16"/>
              </w:rPr>
              <w:t>ms</w:t>
            </w:r>
          </w:p>
        </w:tc>
        <w:tc>
          <w:tcPr>
            <w:tcW w:w="0" w:type="auto"/>
            <w:tcBorders>
              <w:top w:val="nil"/>
              <w:left w:val="nil"/>
              <w:bottom w:val="single" w:sz="8" w:space="0" w:color="auto"/>
              <w:right w:val="single" w:sz="8" w:space="0" w:color="auto"/>
            </w:tcBorders>
            <w:shd w:val="clear" w:color="auto" w:fill="auto"/>
            <w:vAlign w:val="center"/>
            <w:hideMark/>
          </w:tcPr>
          <w:p w14:paraId="26ABDFE4"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E5"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E6"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DFE7"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FE8" w14:textId="77777777" w:rsidR="00A90358" w:rsidRPr="00DD3A6D" w:rsidRDefault="00A90358" w:rsidP="000E2E5F">
            <w:pPr>
              <w:rPr>
                <w:color w:val="000000"/>
                <w:sz w:val="16"/>
                <w:szCs w:val="16"/>
              </w:rPr>
            </w:pPr>
            <w:r w:rsidRPr="00DD3A6D">
              <w:rPr>
                <w:color w:val="000000"/>
                <w:sz w:val="16"/>
                <w:szCs w:val="16"/>
              </w:rPr>
              <w:t xml:space="preserve">National recovery plan not required </w:t>
            </w:r>
            <w:r w:rsidRPr="00DD3A6D">
              <w:rPr>
                <w:color w:val="000000"/>
                <w:sz w:val="16"/>
                <w:szCs w:val="16"/>
              </w:rPr>
              <w:lastRenderedPageBreak/>
              <w:t>Conservation advice approved 16/12/2008</w:t>
            </w:r>
          </w:p>
        </w:tc>
      </w:tr>
      <w:tr w:rsidR="00A90358" w:rsidRPr="00DD3A6D" w14:paraId="26ABDFF0"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EA" w14:textId="77777777" w:rsidR="00A90358" w:rsidRPr="00DD3A6D" w:rsidRDefault="00A90358" w:rsidP="000E2E5F">
            <w:pPr>
              <w:rPr>
                <w:i/>
                <w:iCs/>
                <w:color w:val="000000"/>
                <w:sz w:val="16"/>
                <w:szCs w:val="16"/>
              </w:rPr>
            </w:pPr>
            <w:r w:rsidRPr="00DD3A6D">
              <w:rPr>
                <w:i/>
                <w:iCs/>
                <w:color w:val="000000"/>
                <w:sz w:val="16"/>
                <w:szCs w:val="16"/>
              </w:rPr>
              <w:lastRenderedPageBreak/>
              <w:t>Kennedia glabrata *</w:t>
            </w:r>
          </w:p>
        </w:tc>
        <w:tc>
          <w:tcPr>
            <w:tcW w:w="0" w:type="auto"/>
            <w:tcBorders>
              <w:top w:val="nil"/>
              <w:left w:val="nil"/>
              <w:bottom w:val="single" w:sz="8" w:space="0" w:color="auto"/>
              <w:right w:val="single" w:sz="8" w:space="0" w:color="auto"/>
            </w:tcBorders>
            <w:shd w:val="clear" w:color="auto" w:fill="auto"/>
            <w:vAlign w:val="center"/>
            <w:hideMark/>
          </w:tcPr>
          <w:p w14:paraId="26ABDFEB"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EC"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ED"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EE"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DFEF"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03/07/2008</w:t>
            </w:r>
          </w:p>
        </w:tc>
      </w:tr>
      <w:tr w:rsidR="00A90358" w:rsidRPr="00DD3A6D" w14:paraId="26ABDFF7"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F1" w14:textId="77777777" w:rsidR="00A90358" w:rsidRPr="00DD3A6D" w:rsidRDefault="00A90358" w:rsidP="000E2E5F">
            <w:pPr>
              <w:rPr>
                <w:i/>
                <w:iCs/>
                <w:color w:val="000000"/>
                <w:sz w:val="16"/>
                <w:szCs w:val="16"/>
              </w:rPr>
            </w:pPr>
            <w:r w:rsidRPr="00DD3A6D">
              <w:rPr>
                <w:i/>
                <w:iCs/>
                <w:color w:val="000000"/>
                <w:sz w:val="16"/>
                <w:szCs w:val="16"/>
              </w:rPr>
              <w:t xml:space="preserve">Kennedia lateritia </w:t>
            </w:r>
            <w:r w:rsidRPr="00DD3A6D">
              <w:rPr>
                <w:color w:val="000000"/>
                <w:sz w:val="16"/>
                <w:szCs w:val="16"/>
              </w:rPr>
              <w:t>(previously</w:t>
            </w:r>
            <w:r w:rsidRPr="00DD3A6D">
              <w:rPr>
                <w:i/>
                <w:iCs/>
                <w:color w:val="000000"/>
                <w:sz w:val="16"/>
                <w:szCs w:val="16"/>
              </w:rPr>
              <w:t xml:space="preserve"> macrophylla</w:t>
            </w:r>
            <w:r w:rsidRPr="00DD3A6D">
              <w:rPr>
                <w:color w:val="000000"/>
                <w:sz w:val="16"/>
                <w:szCs w:val="16"/>
              </w:rPr>
              <w:t>)</w:t>
            </w:r>
            <w:r w:rsidRPr="00DD3A6D">
              <w:rPr>
                <w:i/>
                <w:iCs/>
                <w:color w:val="000000"/>
                <w:sz w:val="16"/>
                <w:szCs w:val="16"/>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6ABDFF2"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F3"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DFF4"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DFF5"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DFF6"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03/07/2008</w:t>
            </w:r>
          </w:p>
        </w:tc>
      </w:tr>
      <w:tr w:rsidR="00A90358" w:rsidRPr="00DD3A6D" w14:paraId="26ABDFFE"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DFF8" w14:textId="77777777" w:rsidR="00A90358" w:rsidRPr="00DD3A6D" w:rsidRDefault="00A90358" w:rsidP="000E2E5F">
            <w:pPr>
              <w:rPr>
                <w:i/>
                <w:iCs/>
                <w:color w:val="000000"/>
                <w:sz w:val="16"/>
                <w:szCs w:val="16"/>
              </w:rPr>
            </w:pPr>
            <w:r>
              <w:rPr>
                <w:i/>
                <w:iCs/>
                <w:color w:val="000000"/>
                <w:sz w:val="16"/>
                <w:szCs w:val="16"/>
              </w:rPr>
              <w:t>Lasiopetalum rotundifolium</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DFF9"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DFFA"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DFFB" w14:textId="77777777" w:rsidR="00A90358" w:rsidRPr="00DD3A6D" w:rsidRDefault="00A90358" w:rsidP="000E2E5F">
            <w:pPr>
              <w:rPr>
                <w:color w:val="000000"/>
                <w:sz w:val="16"/>
                <w:szCs w:val="16"/>
              </w:rPr>
            </w:pPr>
            <w:r>
              <w:rPr>
                <w:color w:val="000000"/>
                <w:sz w:val="16"/>
                <w:szCs w:val="16"/>
              </w:rPr>
              <w:t>Presumed extinct</w:t>
            </w:r>
          </w:p>
        </w:tc>
        <w:tc>
          <w:tcPr>
            <w:tcW w:w="0" w:type="auto"/>
            <w:tcBorders>
              <w:top w:val="nil"/>
              <w:left w:val="nil"/>
              <w:bottom w:val="single" w:sz="8" w:space="0" w:color="auto"/>
              <w:right w:val="single" w:sz="8" w:space="0" w:color="auto"/>
            </w:tcBorders>
            <w:shd w:val="clear" w:color="auto" w:fill="auto"/>
            <w:vAlign w:val="center"/>
          </w:tcPr>
          <w:p w14:paraId="26ABDFFC"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DFFD"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16/12</w:t>
            </w:r>
            <w:r w:rsidRPr="00DD3A6D">
              <w:rPr>
                <w:color w:val="000000"/>
                <w:sz w:val="16"/>
                <w:szCs w:val="16"/>
              </w:rPr>
              <w:t>/2008</w:t>
            </w:r>
          </w:p>
        </w:tc>
      </w:tr>
      <w:tr w:rsidR="00A90358" w:rsidRPr="00DD3A6D" w14:paraId="26ABE005"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DFFF" w14:textId="77777777" w:rsidR="00A90358" w:rsidRPr="00DD3A6D" w:rsidRDefault="00A90358" w:rsidP="000E2E5F">
            <w:pPr>
              <w:rPr>
                <w:i/>
                <w:iCs/>
                <w:color w:val="000000"/>
                <w:sz w:val="16"/>
                <w:szCs w:val="16"/>
              </w:rPr>
            </w:pPr>
            <w:r w:rsidRPr="00DD3A6D">
              <w:rPr>
                <w:i/>
                <w:iCs/>
                <w:color w:val="000000"/>
                <w:sz w:val="16"/>
                <w:szCs w:val="16"/>
              </w:rPr>
              <w:t>Lechenaultia laricina *</w:t>
            </w:r>
          </w:p>
        </w:tc>
        <w:tc>
          <w:tcPr>
            <w:tcW w:w="0" w:type="auto"/>
            <w:tcBorders>
              <w:top w:val="nil"/>
              <w:left w:val="nil"/>
              <w:bottom w:val="single" w:sz="8" w:space="0" w:color="auto"/>
              <w:right w:val="single" w:sz="8" w:space="0" w:color="auto"/>
            </w:tcBorders>
            <w:shd w:val="clear" w:color="auto" w:fill="auto"/>
            <w:vAlign w:val="center"/>
            <w:hideMark/>
          </w:tcPr>
          <w:p w14:paraId="26ABE000"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01"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02"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03"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E004"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16/12/2008</w:t>
            </w:r>
          </w:p>
        </w:tc>
      </w:tr>
      <w:tr w:rsidR="00A90358" w:rsidRPr="00DD3A6D" w14:paraId="26ABE00C"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E006" w14:textId="77777777" w:rsidR="00A90358" w:rsidRPr="00DD3A6D" w:rsidRDefault="00A90358" w:rsidP="000E2E5F">
            <w:pPr>
              <w:rPr>
                <w:i/>
                <w:iCs/>
                <w:color w:val="000000"/>
                <w:sz w:val="16"/>
                <w:szCs w:val="16"/>
              </w:rPr>
            </w:pPr>
            <w:r>
              <w:rPr>
                <w:i/>
                <w:iCs/>
                <w:color w:val="000000"/>
                <w:sz w:val="16"/>
                <w:szCs w:val="16"/>
              </w:rPr>
              <w:t>Leptomeria dielsiana</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E007"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E008" w14:textId="77777777" w:rsidR="00A90358" w:rsidRPr="00DD3A6D" w:rsidRDefault="00A90358" w:rsidP="000E2E5F">
            <w:pPr>
              <w:rPr>
                <w:color w:val="000000"/>
                <w:sz w:val="16"/>
                <w:szCs w:val="16"/>
              </w:rPr>
            </w:pPr>
            <w:r>
              <w:rPr>
                <w:color w:val="000000"/>
                <w:sz w:val="16"/>
                <w:szCs w:val="16"/>
              </w:rPr>
              <w:t>Presumed extinct</w:t>
            </w:r>
          </w:p>
        </w:tc>
        <w:tc>
          <w:tcPr>
            <w:tcW w:w="0" w:type="auto"/>
            <w:tcBorders>
              <w:top w:val="nil"/>
              <w:left w:val="nil"/>
              <w:bottom w:val="single" w:sz="8" w:space="0" w:color="auto"/>
              <w:right w:val="single" w:sz="8" w:space="0" w:color="auto"/>
            </w:tcBorders>
            <w:shd w:val="clear" w:color="auto" w:fill="auto"/>
            <w:vAlign w:val="center"/>
          </w:tcPr>
          <w:p w14:paraId="26ABE009"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E00A" w14:textId="77777777" w:rsidR="00A90358" w:rsidRPr="00DD3A6D" w:rsidRDefault="00A90358" w:rsidP="000E2E5F">
            <w:pPr>
              <w:rPr>
                <w:color w:val="000000"/>
                <w:sz w:val="16"/>
                <w:szCs w:val="16"/>
              </w:rPr>
            </w:pPr>
            <w:r>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tcPr>
          <w:p w14:paraId="26ABE00B"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16/12</w:t>
            </w:r>
            <w:r w:rsidRPr="00DD3A6D">
              <w:rPr>
                <w:color w:val="000000"/>
                <w:sz w:val="16"/>
                <w:szCs w:val="16"/>
              </w:rPr>
              <w:t>/2008</w:t>
            </w:r>
          </w:p>
        </w:tc>
      </w:tr>
      <w:tr w:rsidR="00A90358" w:rsidRPr="00DD3A6D" w14:paraId="26ABE013"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E00D" w14:textId="77777777" w:rsidR="00A90358" w:rsidRPr="00DD3A6D" w:rsidRDefault="00A90358" w:rsidP="000E2E5F">
            <w:pPr>
              <w:rPr>
                <w:i/>
                <w:iCs/>
                <w:color w:val="000000"/>
                <w:sz w:val="16"/>
                <w:szCs w:val="16"/>
              </w:rPr>
            </w:pPr>
            <w:r>
              <w:rPr>
                <w:i/>
                <w:iCs/>
                <w:color w:val="000000"/>
                <w:sz w:val="16"/>
                <w:szCs w:val="16"/>
              </w:rPr>
              <w:t>Melaleuca sciotostyla</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E00E"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E00F"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E010"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E011"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E012"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29/4/2014</w:t>
            </w:r>
          </w:p>
        </w:tc>
      </w:tr>
      <w:tr w:rsidR="00A90358" w:rsidRPr="00DD3A6D" w14:paraId="26ABE01A"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14" w14:textId="77777777" w:rsidR="00A90358" w:rsidRPr="00DD3A6D" w:rsidRDefault="00A90358" w:rsidP="000E2E5F">
            <w:pPr>
              <w:rPr>
                <w:i/>
                <w:iCs/>
                <w:color w:val="000000"/>
                <w:sz w:val="16"/>
                <w:szCs w:val="16"/>
              </w:rPr>
            </w:pPr>
            <w:r w:rsidRPr="00DD3A6D">
              <w:rPr>
                <w:i/>
                <w:iCs/>
                <w:color w:val="000000"/>
                <w:sz w:val="16"/>
                <w:szCs w:val="16"/>
              </w:rPr>
              <w:t>Microtis globula *</w:t>
            </w:r>
          </w:p>
        </w:tc>
        <w:tc>
          <w:tcPr>
            <w:tcW w:w="0" w:type="auto"/>
            <w:tcBorders>
              <w:top w:val="nil"/>
              <w:left w:val="nil"/>
              <w:bottom w:val="single" w:sz="8" w:space="0" w:color="auto"/>
              <w:right w:val="single" w:sz="8" w:space="0" w:color="auto"/>
            </w:tcBorders>
            <w:shd w:val="clear" w:color="auto" w:fill="auto"/>
            <w:vAlign w:val="center"/>
            <w:hideMark/>
          </w:tcPr>
          <w:p w14:paraId="26ABE015"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16"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17"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18"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E019"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16/12/2008</w:t>
            </w:r>
          </w:p>
        </w:tc>
      </w:tr>
      <w:tr w:rsidR="00A90358" w:rsidRPr="00DD3A6D" w14:paraId="26ABE021"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E01B" w14:textId="77777777" w:rsidR="00A90358" w:rsidRPr="00DD3A6D" w:rsidRDefault="00A90358" w:rsidP="000E2E5F">
            <w:pPr>
              <w:rPr>
                <w:i/>
                <w:iCs/>
                <w:color w:val="000000"/>
                <w:sz w:val="16"/>
                <w:szCs w:val="16"/>
              </w:rPr>
            </w:pPr>
            <w:r>
              <w:rPr>
                <w:i/>
                <w:iCs/>
                <w:color w:val="000000"/>
                <w:sz w:val="16"/>
                <w:szCs w:val="16"/>
              </w:rPr>
              <w:t>Petrophile latericola</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E01C"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E01D"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E01E" w14:textId="77777777" w:rsidR="00A90358" w:rsidRPr="00DD3A6D" w:rsidRDefault="00A90358" w:rsidP="000E2E5F">
            <w:pPr>
              <w:rPr>
                <w:color w:val="000000"/>
                <w:sz w:val="16"/>
                <w:szCs w:val="16"/>
              </w:rPr>
            </w:pPr>
            <w:r>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tcPr>
          <w:p w14:paraId="26ABE01F"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E020"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16/12</w:t>
            </w:r>
            <w:r w:rsidRPr="00DD3A6D">
              <w:rPr>
                <w:color w:val="000000"/>
                <w:sz w:val="16"/>
                <w:szCs w:val="16"/>
              </w:rPr>
              <w:t>/2008</w:t>
            </w:r>
          </w:p>
        </w:tc>
      </w:tr>
      <w:tr w:rsidR="00A90358" w:rsidRPr="00DD3A6D" w14:paraId="26ABE028"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E022" w14:textId="77777777" w:rsidR="00A90358" w:rsidRPr="00DD3A6D" w:rsidRDefault="00A90358" w:rsidP="000E2E5F">
            <w:pPr>
              <w:rPr>
                <w:i/>
                <w:iCs/>
                <w:color w:val="000000"/>
                <w:sz w:val="16"/>
                <w:szCs w:val="16"/>
              </w:rPr>
            </w:pPr>
            <w:r>
              <w:rPr>
                <w:i/>
                <w:iCs/>
                <w:color w:val="000000"/>
                <w:sz w:val="16"/>
                <w:szCs w:val="16"/>
              </w:rPr>
              <w:t>Ptychosema pusillum</w:t>
            </w:r>
            <w:r w:rsidRPr="000C5057">
              <w:rPr>
                <w:iCs/>
                <w:color w:val="000000"/>
                <w:sz w:val="16"/>
                <w:szCs w:val="16"/>
                <w:vertAlign w:val="superscript"/>
              </w:rPr>
              <w:t>1</w:t>
            </w:r>
          </w:p>
        </w:tc>
        <w:tc>
          <w:tcPr>
            <w:tcW w:w="0" w:type="auto"/>
            <w:tcBorders>
              <w:top w:val="nil"/>
              <w:left w:val="nil"/>
              <w:bottom w:val="single" w:sz="8" w:space="0" w:color="auto"/>
              <w:right w:val="single" w:sz="8" w:space="0" w:color="auto"/>
            </w:tcBorders>
            <w:shd w:val="clear" w:color="auto" w:fill="auto"/>
            <w:vAlign w:val="center"/>
          </w:tcPr>
          <w:p w14:paraId="26ABE023"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E024"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E025" w14:textId="77777777" w:rsidR="00A90358" w:rsidRPr="00DD3A6D" w:rsidRDefault="00A90358" w:rsidP="000E2E5F">
            <w:pPr>
              <w:rPr>
                <w:color w:val="000000"/>
                <w:sz w:val="16"/>
                <w:szCs w:val="16"/>
              </w:rPr>
            </w:pPr>
            <w:r>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tcPr>
          <w:p w14:paraId="26ABE026" w14:textId="77777777" w:rsidR="00A90358" w:rsidRPr="00DD3A6D" w:rsidRDefault="00A90358" w:rsidP="000E2E5F">
            <w:pPr>
              <w:rPr>
                <w:color w:val="000000"/>
                <w:sz w:val="16"/>
                <w:szCs w:val="16"/>
              </w:rPr>
            </w:pPr>
            <w:r>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tcPr>
          <w:p w14:paraId="26ABE027"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16/12</w:t>
            </w:r>
            <w:r w:rsidRPr="00DD3A6D">
              <w:rPr>
                <w:color w:val="000000"/>
                <w:sz w:val="16"/>
                <w:szCs w:val="16"/>
              </w:rPr>
              <w:t>/2008</w:t>
            </w:r>
          </w:p>
        </w:tc>
      </w:tr>
      <w:tr w:rsidR="00A90358" w:rsidRPr="00DD3A6D" w14:paraId="26ABE02F"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29" w14:textId="77777777" w:rsidR="00A90358" w:rsidRPr="00DD3A6D" w:rsidRDefault="00A90358" w:rsidP="000E2E5F">
            <w:pPr>
              <w:rPr>
                <w:i/>
                <w:iCs/>
                <w:color w:val="000000"/>
                <w:sz w:val="16"/>
                <w:szCs w:val="16"/>
              </w:rPr>
            </w:pPr>
            <w:r w:rsidRPr="00DD3A6D">
              <w:rPr>
                <w:i/>
                <w:iCs/>
                <w:color w:val="000000"/>
                <w:sz w:val="16"/>
                <w:szCs w:val="16"/>
              </w:rPr>
              <w:t>Pultenaea pauciflora *</w:t>
            </w:r>
          </w:p>
        </w:tc>
        <w:tc>
          <w:tcPr>
            <w:tcW w:w="0" w:type="auto"/>
            <w:tcBorders>
              <w:top w:val="nil"/>
              <w:left w:val="nil"/>
              <w:bottom w:val="single" w:sz="8" w:space="0" w:color="auto"/>
              <w:right w:val="single" w:sz="8" w:space="0" w:color="auto"/>
            </w:tcBorders>
            <w:shd w:val="clear" w:color="auto" w:fill="auto"/>
            <w:vAlign w:val="center"/>
            <w:hideMark/>
          </w:tcPr>
          <w:p w14:paraId="26ABE02A"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2B"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2C"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2D"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E02E" w14:textId="77777777" w:rsidR="00A90358" w:rsidRPr="00DD3A6D" w:rsidRDefault="00A90358" w:rsidP="000E2E5F">
            <w:pPr>
              <w:rPr>
                <w:color w:val="000000"/>
                <w:sz w:val="16"/>
                <w:szCs w:val="16"/>
              </w:rPr>
            </w:pPr>
            <w:r w:rsidRPr="00DD3A6D">
              <w:rPr>
                <w:color w:val="000000"/>
                <w:sz w:val="16"/>
                <w:szCs w:val="16"/>
              </w:rPr>
              <w:t xml:space="preserve">National recovery plan not required </w:t>
            </w:r>
            <w:r w:rsidRPr="00DD3A6D">
              <w:rPr>
                <w:color w:val="000000"/>
                <w:sz w:val="16"/>
                <w:szCs w:val="16"/>
              </w:rPr>
              <w:lastRenderedPageBreak/>
              <w:t>Conservation advice approved 16/12/2008</w:t>
            </w:r>
          </w:p>
        </w:tc>
      </w:tr>
      <w:tr w:rsidR="00A90358" w:rsidRPr="00DD3A6D" w14:paraId="26ABE036"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30" w14:textId="77777777" w:rsidR="00A90358" w:rsidRPr="00DD3A6D" w:rsidRDefault="00A90358" w:rsidP="000E2E5F">
            <w:pPr>
              <w:rPr>
                <w:i/>
                <w:iCs/>
                <w:color w:val="000000"/>
                <w:sz w:val="16"/>
                <w:szCs w:val="16"/>
              </w:rPr>
            </w:pPr>
            <w:r w:rsidRPr="00DD3A6D">
              <w:rPr>
                <w:i/>
                <w:iCs/>
                <w:color w:val="000000"/>
                <w:sz w:val="16"/>
                <w:szCs w:val="16"/>
              </w:rPr>
              <w:lastRenderedPageBreak/>
              <w:t>Reedia spathacea</w:t>
            </w:r>
          </w:p>
        </w:tc>
        <w:tc>
          <w:tcPr>
            <w:tcW w:w="0" w:type="auto"/>
            <w:tcBorders>
              <w:top w:val="nil"/>
              <w:left w:val="nil"/>
              <w:bottom w:val="single" w:sz="8" w:space="0" w:color="auto"/>
              <w:right w:val="single" w:sz="8" w:space="0" w:color="auto"/>
            </w:tcBorders>
            <w:shd w:val="clear" w:color="auto" w:fill="auto"/>
            <w:vAlign w:val="center"/>
            <w:hideMark/>
          </w:tcPr>
          <w:p w14:paraId="26ABE031"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32"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33"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34" w14:textId="77777777" w:rsidR="00A90358" w:rsidRPr="00DD3A6D" w:rsidRDefault="00A90358" w:rsidP="000E2E5F">
            <w:pPr>
              <w:rPr>
                <w:color w:val="000000"/>
                <w:sz w:val="16"/>
                <w:szCs w:val="16"/>
              </w:rPr>
            </w:pPr>
            <w:r w:rsidRPr="00DD3A6D">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hideMark/>
          </w:tcPr>
          <w:p w14:paraId="26ABE035" w14:textId="77777777" w:rsidR="00A90358" w:rsidRPr="00DD3A6D" w:rsidRDefault="00A90358" w:rsidP="000E2E5F">
            <w:pPr>
              <w:rPr>
                <w:color w:val="000000"/>
                <w:sz w:val="16"/>
                <w:szCs w:val="16"/>
              </w:rPr>
            </w:pPr>
            <w:r w:rsidRPr="00DD3A6D">
              <w:rPr>
                <w:color w:val="000000"/>
                <w:sz w:val="16"/>
                <w:szCs w:val="16"/>
              </w:rPr>
              <w:t xml:space="preserve">National recovery plan not required Conservation advice approved </w:t>
            </w:r>
            <w:r>
              <w:rPr>
                <w:color w:val="000000"/>
                <w:sz w:val="16"/>
                <w:szCs w:val="16"/>
              </w:rPr>
              <w:t>7</w:t>
            </w:r>
            <w:r w:rsidRPr="00DD3A6D">
              <w:rPr>
                <w:color w:val="000000"/>
                <w:sz w:val="16"/>
                <w:szCs w:val="16"/>
              </w:rPr>
              <w:t>/1/200</w:t>
            </w:r>
            <w:r>
              <w:rPr>
                <w:color w:val="000000"/>
                <w:sz w:val="16"/>
                <w:szCs w:val="16"/>
              </w:rPr>
              <w:t>9</w:t>
            </w:r>
          </w:p>
        </w:tc>
      </w:tr>
      <w:tr w:rsidR="00A90358" w:rsidRPr="00DD3A6D" w14:paraId="26ABE03D"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37" w14:textId="77777777" w:rsidR="00A90358" w:rsidRPr="00DD3A6D" w:rsidRDefault="00A90358" w:rsidP="000E2E5F">
            <w:pPr>
              <w:rPr>
                <w:i/>
                <w:iCs/>
                <w:color w:val="000000"/>
                <w:sz w:val="16"/>
                <w:szCs w:val="16"/>
              </w:rPr>
            </w:pPr>
            <w:r w:rsidRPr="00DD3A6D">
              <w:rPr>
                <w:i/>
                <w:iCs/>
                <w:color w:val="000000"/>
                <w:sz w:val="16"/>
                <w:szCs w:val="16"/>
              </w:rPr>
              <w:t>Spirogardnera rubescens *</w:t>
            </w:r>
          </w:p>
        </w:tc>
        <w:tc>
          <w:tcPr>
            <w:tcW w:w="0" w:type="auto"/>
            <w:tcBorders>
              <w:top w:val="nil"/>
              <w:left w:val="nil"/>
              <w:bottom w:val="single" w:sz="8" w:space="0" w:color="auto"/>
              <w:right w:val="single" w:sz="8" w:space="0" w:color="auto"/>
            </w:tcBorders>
            <w:shd w:val="clear" w:color="auto" w:fill="auto"/>
            <w:vAlign w:val="center"/>
            <w:hideMark/>
          </w:tcPr>
          <w:p w14:paraId="26ABE038"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39"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3A"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3B"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E03C"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01/10/2008</w:t>
            </w:r>
          </w:p>
        </w:tc>
      </w:tr>
      <w:tr w:rsidR="00A90358" w:rsidRPr="00DD3A6D" w14:paraId="26ABE044" w14:textId="77777777" w:rsidTr="00A90358">
        <w:trPr>
          <w:trHeight w:val="70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3E" w14:textId="77777777" w:rsidR="00A90358" w:rsidRPr="00DD3A6D" w:rsidRDefault="00A90358" w:rsidP="000E2E5F">
            <w:pPr>
              <w:rPr>
                <w:i/>
                <w:iCs/>
                <w:color w:val="000000"/>
                <w:sz w:val="16"/>
                <w:szCs w:val="16"/>
              </w:rPr>
            </w:pPr>
            <w:r w:rsidRPr="00DD3A6D">
              <w:rPr>
                <w:i/>
                <w:iCs/>
                <w:color w:val="000000"/>
                <w:sz w:val="16"/>
                <w:szCs w:val="16"/>
              </w:rPr>
              <w:t>Stylidium asymmetricum</w:t>
            </w:r>
          </w:p>
        </w:tc>
        <w:tc>
          <w:tcPr>
            <w:tcW w:w="0" w:type="auto"/>
            <w:tcBorders>
              <w:top w:val="nil"/>
              <w:left w:val="nil"/>
              <w:bottom w:val="single" w:sz="8" w:space="0" w:color="auto"/>
              <w:right w:val="single" w:sz="8" w:space="0" w:color="auto"/>
            </w:tcBorders>
            <w:shd w:val="clear" w:color="auto" w:fill="auto"/>
            <w:vAlign w:val="center"/>
            <w:hideMark/>
          </w:tcPr>
          <w:p w14:paraId="26ABE03F"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40"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41"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42"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E043" w14:textId="77777777" w:rsidR="00A90358" w:rsidRPr="00DD3A6D" w:rsidRDefault="00A90358" w:rsidP="000E2E5F">
            <w:pPr>
              <w:rPr>
                <w:color w:val="000000"/>
                <w:sz w:val="16"/>
                <w:szCs w:val="16"/>
              </w:rPr>
            </w:pPr>
          </w:p>
        </w:tc>
      </w:tr>
      <w:tr w:rsidR="00A90358" w:rsidRPr="00DD3A6D" w14:paraId="26ABE04B"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E045" w14:textId="77777777" w:rsidR="00A90358" w:rsidRPr="00DD3A6D" w:rsidRDefault="00A90358" w:rsidP="000E2E5F">
            <w:pPr>
              <w:rPr>
                <w:i/>
                <w:iCs/>
                <w:color w:val="000000"/>
                <w:sz w:val="16"/>
                <w:szCs w:val="16"/>
              </w:rPr>
            </w:pPr>
            <w:r>
              <w:rPr>
                <w:i/>
                <w:iCs/>
                <w:color w:val="000000"/>
                <w:sz w:val="16"/>
                <w:szCs w:val="16"/>
              </w:rPr>
              <w:t>Synaphea sp. Pinjarra (R.Davis 6578)</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E046"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E047"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E048"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E049" w14:textId="77777777" w:rsidR="00A90358" w:rsidRPr="00DD3A6D" w:rsidRDefault="00A90358" w:rsidP="000E2E5F">
            <w:pPr>
              <w:rPr>
                <w:color w:val="000000"/>
                <w:sz w:val="16"/>
                <w:szCs w:val="16"/>
              </w:rPr>
            </w:pPr>
            <w:r>
              <w:rPr>
                <w:color w:val="000000"/>
                <w:sz w:val="16"/>
                <w:szCs w:val="16"/>
              </w:rPr>
              <w:t>Critically endangered</w:t>
            </w:r>
          </w:p>
        </w:tc>
        <w:tc>
          <w:tcPr>
            <w:tcW w:w="2029" w:type="dxa"/>
            <w:tcBorders>
              <w:top w:val="nil"/>
              <w:left w:val="nil"/>
              <w:bottom w:val="single" w:sz="8" w:space="0" w:color="auto"/>
              <w:right w:val="single" w:sz="8" w:space="0" w:color="auto"/>
            </w:tcBorders>
            <w:shd w:val="clear" w:color="auto" w:fill="auto"/>
            <w:vAlign w:val="center"/>
          </w:tcPr>
          <w:p w14:paraId="26ABE04A"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24/12/2009</w:t>
            </w:r>
          </w:p>
        </w:tc>
      </w:tr>
      <w:tr w:rsidR="00A90358" w:rsidRPr="00DD3A6D" w14:paraId="26ABE052"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tcPr>
          <w:p w14:paraId="26ABE04C" w14:textId="77777777" w:rsidR="00A90358" w:rsidRPr="00DD3A6D" w:rsidRDefault="00A90358" w:rsidP="000E2E5F">
            <w:pPr>
              <w:rPr>
                <w:i/>
                <w:iCs/>
                <w:color w:val="000000"/>
                <w:sz w:val="16"/>
                <w:szCs w:val="16"/>
              </w:rPr>
            </w:pPr>
            <w:r>
              <w:rPr>
                <w:i/>
                <w:iCs/>
                <w:color w:val="000000"/>
                <w:sz w:val="16"/>
                <w:szCs w:val="16"/>
              </w:rPr>
              <w:t>Synaphea stenoloba</w:t>
            </w:r>
            <w:r w:rsidRPr="000C5057">
              <w:rPr>
                <w:iCs/>
                <w:color w:val="000000"/>
                <w:sz w:val="16"/>
                <w:szCs w:val="16"/>
                <w:vertAlign w:val="superscript"/>
              </w:rPr>
              <w:t>2</w:t>
            </w:r>
          </w:p>
        </w:tc>
        <w:tc>
          <w:tcPr>
            <w:tcW w:w="0" w:type="auto"/>
            <w:tcBorders>
              <w:top w:val="nil"/>
              <w:left w:val="nil"/>
              <w:bottom w:val="single" w:sz="8" w:space="0" w:color="auto"/>
              <w:right w:val="single" w:sz="8" w:space="0" w:color="auto"/>
            </w:tcBorders>
            <w:shd w:val="clear" w:color="auto" w:fill="auto"/>
            <w:vAlign w:val="center"/>
          </w:tcPr>
          <w:p w14:paraId="26ABE04D"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E04E" w14:textId="77777777" w:rsidR="00A90358" w:rsidRPr="00DD3A6D" w:rsidRDefault="00A90358" w:rsidP="000E2E5F">
            <w:pPr>
              <w:rPr>
                <w:color w:val="000000"/>
                <w:sz w:val="16"/>
                <w:szCs w:val="16"/>
              </w:rPr>
            </w:pPr>
            <w:r>
              <w:rPr>
                <w:color w:val="000000"/>
                <w:sz w:val="16"/>
                <w:szCs w:val="16"/>
              </w:rPr>
              <w:t>Critically endangered</w:t>
            </w:r>
          </w:p>
        </w:tc>
        <w:tc>
          <w:tcPr>
            <w:tcW w:w="0" w:type="auto"/>
            <w:tcBorders>
              <w:top w:val="nil"/>
              <w:left w:val="nil"/>
              <w:bottom w:val="single" w:sz="8" w:space="0" w:color="auto"/>
              <w:right w:val="single" w:sz="8" w:space="0" w:color="auto"/>
            </w:tcBorders>
            <w:shd w:val="clear" w:color="auto" w:fill="auto"/>
            <w:vAlign w:val="center"/>
          </w:tcPr>
          <w:p w14:paraId="26ABE04F" w14:textId="77777777" w:rsidR="00A90358" w:rsidRPr="00DD3A6D" w:rsidRDefault="00A90358" w:rsidP="000E2E5F">
            <w:pPr>
              <w:rPr>
                <w:color w:val="000000"/>
                <w:sz w:val="16"/>
                <w:szCs w:val="16"/>
              </w:rPr>
            </w:pPr>
          </w:p>
        </w:tc>
        <w:tc>
          <w:tcPr>
            <w:tcW w:w="0" w:type="auto"/>
            <w:tcBorders>
              <w:top w:val="nil"/>
              <w:left w:val="nil"/>
              <w:bottom w:val="single" w:sz="8" w:space="0" w:color="auto"/>
              <w:right w:val="single" w:sz="8" w:space="0" w:color="auto"/>
            </w:tcBorders>
            <w:shd w:val="clear" w:color="auto" w:fill="auto"/>
            <w:vAlign w:val="center"/>
          </w:tcPr>
          <w:p w14:paraId="26ABE050" w14:textId="77777777" w:rsidR="00A90358" w:rsidRPr="00DD3A6D" w:rsidRDefault="00A90358" w:rsidP="000E2E5F">
            <w:pPr>
              <w:rPr>
                <w:color w:val="000000"/>
                <w:sz w:val="16"/>
                <w:szCs w:val="16"/>
              </w:rPr>
            </w:pPr>
            <w:r>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tcPr>
          <w:p w14:paraId="26ABE051" w14:textId="77777777" w:rsidR="00A90358" w:rsidRPr="00DD3A6D" w:rsidRDefault="00A90358" w:rsidP="000E2E5F">
            <w:pPr>
              <w:rPr>
                <w:color w:val="000000"/>
                <w:sz w:val="16"/>
                <w:szCs w:val="16"/>
              </w:rPr>
            </w:pPr>
            <w:r w:rsidRPr="00DD3A6D">
              <w:rPr>
                <w:color w:val="000000"/>
                <w:sz w:val="16"/>
                <w:szCs w:val="16"/>
              </w:rPr>
              <w:t>National recovery plan not required</w:t>
            </w:r>
            <w:r>
              <w:rPr>
                <w:color w:val="000000"/>
                <w:sz w:val="16"/>
                <w:szCs w:val="16"/>
              </w:rPr>
              <w:t xml:space="preserve"> Conservation advice approved 24/12/2009</w:t>
            </w:r>
          </w:p>
        </w:tc>
      </w:tr>
      <w:tr w:rsidR="00A90358" w:rsidRPr="00DD3A6D" w14:paraId="26ABE059"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53" w14:textId="77777777" w:rsidR="00A90358" w:rsidRPr="00DD3A6D" w:rsidRDefault="00A90358" w:rsidP="000E2E5F">
            <w:pPr>
              <w:rPr>
                <w:i/>
                <w:iCs/>
                <w:color w:val="000000"/>
                <w:sz w:val="16"/>
                <w:szCs w:val="16"/>
              </w:rPr>
            </w:pPr>
            <w:r w:rsidRPr="00DD3A6D">
              <w:rPr>
                <w:i/>
                <w:iCs/>
                <w:color w:val="000000"/>
                <w:sz w:val="16"/>
                <w:szCs w:val="16"/>
              </w:rPr>
              <w:t>Tetraria australiensis *</w:t>
            </w:r>
          </w:p>
        </w:tc>
        <w:tc>
          <w:tcPr>
            <w:tcW w:w="0" w:type="auto"/>
            <w:tcBorders>
              <w:top w:val="nil"/>
              <w:left w:val="nil"/>
              <w:bottom w:val="single" w:sz="8" w:space="0" w:color="auto"/>
              <w:right w:val="single" w:sz="8" w:space="0" w:color="auto"/>
            </w:tcBorders>
            <w:shd w:val="clear" w:color="auto" w:fill="auto"/>
            <w:vAlign w:val="center"/>
            <w:hideMark/>
          </w:tcPr>
          <w:p w14:paraId="26ABE054"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55"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56"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57"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E058"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26/03/2008</w:t>
            </w:r>
          </w:p>
        </w:tc>
      </w:tr>
      <w:tr w:rsidR="00A90358" w:rsidRPr="00DD3A6D" w14:paraId="26ABE060"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5A" w14:textId="77777777" w:rsidR="00A90358" w:rsidRPr="00DD3A6D" w:rsidRDefault="00A90358" w:rsidP="000E2E5F">
            <w:pPr>
              <w:rPr>
                <w:i/>
                <w:iCs/>
                <w:color w:val="000000"/>
                <w:sz w:val="16"/>
                <w:szCs w:val="16"/>
              </w:rPr>
            </w:pPr>
            <w:r w:rsidRPr="00DD3A6D">
              <w:rPr>
                <w:i/>
                <w:iCs/>
                <w:color w:val="000000"/>
                <w:sz w:val="16"/>
                <w:szCs w:val="16"/>
              </w:rPr>
              <w:t>Thelymitra stellata *</w:t>
            </w:r>
          </w:p>
        </w:tc>
        <w:tc>
          <w:tcPr>
            <w:tcW w:w="0" w:type="auto"/>
            <w:tcBorders>
              <w:top w:val="nil"/>
              <w:left w:val="nil"/>
              <w:bottom w:val="single" w:sz="8" w:space="0" w:color="auto"/>
              <w:right w:val="single" w:sz="8" w:space="0" w:color="auto"/>
            </w:tcBorders>
            <w:shd w:val="clear" w:color="auto" w:fill="auto"/>
            <w:vAlign w:val="center"/>
            <w:hideMark/>
          </w:tcPr>
          <w:p w14:paraId="26ABE05B"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5C"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5D"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5E"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E05F"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01/10/2008</w:t>
            </w:r>
          </w:p>
        </w:tc>
      </w:tr>
      <w:tr w:rsidR="00A90358" w:rsidRPr="00DD3A6D" w14:paraId="26ABE067"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61" w14:textId="77777777" w:rsidR="00A90358" w:rsidRPr="00DD3A6D" w:rsidRDefault="00A90358" w:rsidP="000E2E5F">
            <w:pPr>
              <w:rPr>
                <w:i/>
                <w:iCs/>
                <w:color w:val="000000"/>
                <w:sz w:val="16"/>
                <w:szCs w:val="16"/>
              </w:rPr>
            </w:pPr>
            <w:r w:rsidRPr="00DD3A6D">
              <w:rPr>
                <w:i/>
                <w:iCs/>
                <w:color w:val="000000"/>
                <w:sz w:val="16"/>
                <w:szCs w:val="16"/>
              </w:rPr>
              <w:t>Tribonanthes purpurea</w:t>
            </w:r>
          </w:p>
        </w:tc>
        <w:tc>
          <w:tcPr>
            <w:tcW w:w="0" w:type="auto"/>
            <w:tcBorders>
              <w:top w:val="nil"/>
              <w:left w:val="nil"/>
              <w:bottom w:val="single" w:sz="8" w:space="0" w:color="auto"/>
              <w:right w:val="single" w:sz="8" w:space="0" w:color="auto"/>
            </w:tcBorders>
            <w:shd w:val="clear" w:color="auto" w:fill="auto"/>
            <w:vAlign w:val="center"/>
            <w:hideMark/>
          </w:tcPr>
          <w:p w14:paraId="26ABE062"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63"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64"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65"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E066"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16/12/2008</w:t>
            </w:r>
          </w:p>
        </w:tc>
      </w:tr>
      <w:tr w:rsidR="00A90358" w:rsidRPr="00DD3A6D" w14:paraId="26ABE06E"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68" w14:textId="77777777" w:rsidR="00A90358" w:rsidRPr="00DD3A6D" w:rsidRDefault="00A90358" w:rsidP="000E2E5F">
            <w:pPr>
              <w:rPr>
                <w:i/>
                <w:iCs/>
                <w:color w:val="000000"/>
                <w:sz w:val="16"/>
                <w:szCs w:val="16"/>
              </w:rPr>
            </w:pPr>
            <w:r w:rsidRPr="00DD3A6D">
              <w:rPr>
                <w:i/>
                <w:iCs/>
                <w:color w:val="000000"/>
                <w:sz w:val="16"/>
                <w:szCs w:val="16"/>
              </w:rPr>
              <w:t>Verticordia carinata</w:t>
            </w:r>
          </w:p>
        </w:tc>
        <w:tc>
          <w:tcPr>
            <w:tcW w:w="0" w:type="auto"/>
            <w:tcBorders>
              <w:top w:val="nil"/>
              <w:left w:val="nil"/>
              <w:bottom w:val="single" w:sz="8" w:space="0" w:color="auto"/>
              <w:right w:val="single" w:sz="8" w:space="0" w:color="auto"/>
            </w:tcBorders>
            <w:shd w:val="clear" w:color="auto" w:fill="auto"/>
            <w:vAlign w:val="center"/>
            <w:hideMark/>
          </w:tcPr>
          <w:p w14:paraId="26ABE069"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6A"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6B"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6C"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E06D"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16/12/2008</w:t>
            </w:r>
          </w:p>
        </w:tc>
      </w:tr>
      <w:tr w:rsidR="00A90358" w:rsidRPr="00DD3A6D" w14:paraId="26ABE075"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6F" w14:textId="77777777" w:rsidR="00A90358" w:rsidRPr="00DD3A6D" w:rsidRDefault="00A90358" w:rsidP="000E2E5F">
            <w:pPr>
              <w:rPr>
                <w:i/>
                <w:iCs/>
                <w:color w:val="000000"/>
                <w:sz w:val="16"/>
                <w:szCs w:val="16"/>
              </w:rPr>
            </w:pPr>
            <w:r w:rsidRPr="00DD3A6D">
              <w:rPr>
                <w:i/>
                <w:iCs/>
                <w:color w:val="000000"/>
                <w:sz w:val="16"/>
                <w:szCs w:val="16"/>
              </w:rPr>
              <w:t xml:space="preserve">Verticordia densiflora </w:t>
            </w:r>
            <w:r w:rsidRPr="00DD3A6D">
              <w:rPr>
                <w:color w:val="000000"/>
                <w:sz w:val="16"/>
                <w:szCs w:val="16"/>
              </w:rPr>
              <w:t>var</w:t>
            </w:r>
            <w:r w:rsidRPr="00DD3A6D">
              <w:rPr>
                <w:i/>
                <w:iCs/>
                <w:color w:val="000000"/>
                <w:sz w:val="16"/>
                <w:szCs w:val="16"/>
              </w:rPr>
              <w:t>. pedunculata</w:t>
            </w:r>
          </w:p>
        </w:tc>
        <w:tc>
          <w:tcPr>
            <w:tcW w:w="0" w:type="auto"/>
            <w:tcBorders>
              <w:top w:val="nil"/>
              <w:left w:val="nil"/>
              <w:bottom w:val="single" w:sz="8" w:space="0" w:color="auto"/>
              <w:right w:val="single" w:sz="8" w:space="0" w:color="auto"/>
            </w:tcBorders>
            <w:shd w:val="clear" w:color="auto" w:fill="auto"/>
            <w:vAlign w:val="center"/>
            <w:hideMark/>
          </w:tcPr>
          <w:p w14:paraId="26ABE07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71"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72"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73"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E074"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03/07/2008</w:t>
            </w:r>
          </w:p>
        </w:tc>
      </w:tr>
      <w:tr w:rsidR="00A90358" w:rsidRPr="00DD3A6D" w14:paraId="26ABE07C"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76" w14:textId="77777777" w:rsidR="00A90358" w:rsidRPr="00DD3A6D" w:rsidRDefault="00A90358" w:rsidP="000E2E5F">
            <w:pPr>
              <w:rPr>
                <w:i/>
                <w:iCs/>
                <w:color w:val="000000"/>
                <w:sz w:val="16"/>
                <w:szCs w:val="16"/>
              </w:rPr>
            </w:pPr>
            <w:r w:rsidRPr="00DD3A6D">
              <w:rPr>
                <w:i/>
                <w:iCs/>
                <w:color w:val="000000"/>
                <w:sz w:val="16"/>
                <w:szCs w:val="16"/>
              </w:rPr>
              <w:lastRenderedPageBreak/>
              <w:t xml:space="preserve">Verticordia fimbrilepis </w:t>
            </w:r>
            <w:r w:rsidRPr="00DD3A6D">
              <w:rPr>
                <w:color w:val="000000"/>
                <w:sz w:val="16"/>
                <w:szCs w:val="16"/>
              </w:rPr>
              <w:t>subsp</w:t>
            </w:r>
            <w:r w:rsidRPr="00DD3A6D">
              <w:rPr>
                <w:i/>
                <w:iCs/>
                <w:color w:val="000000"/>
                <w:sz w:val="16"/>
                <w:szCs w:val="16"/>
              </w:rPr>
              <w:t>. australis *</w:t>
            </w:r>
          </w:p>
        </w:tc>
        <w:tc>
          <w:tcPr>
            <w:tcW w:w="0" w:type="auto"/>
            <w:tcBorders>
              <w:top w:val="nil"/>
              <w:left w:val="nil"/>
              <w:bottom w:val="single" w:sz="8" w:space="0" w:color="auto"/>
              <w:right w:val="single" w:sz="8" w:space="0" w:color="auto"/>
            </w:tcBorders>
            <w:shd w:val="clear" w:color="auto" w:fill="auto"/>
            <w:vAlign w:val="center"/>
            <w:hideMark/>
          </w:tcPr>
          <w:p w14:paraId="26ABE077"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78"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79"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7A"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E07B"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03/07/2008</w:t>
            </w:r>
          </w:p>
        </w:tc>
      </w:tr>
      <w:tr w:rsidR="00A90358" w:rsidRPr="00DD3A6D" w14:paraId="26ABE083"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7D" w14:textId="77777777" w:rsidR="00A90358" w:rsidRPr="00DD3A6D" w:rsidRDefault="00A90358" w:rsidP="000E2E5F">
            <w:pPr>
              <w:rPr>
                <w:i/>
                <w:iCs/>
                <w:color w:val="000000"/>
                <w:sz w:val="16"/>
                <w:szCs w:val="16"/>
              </w:rPr>
            </w:pPr>
            <w:r w:rsidRPr="00DD3A6D">
              <w:rPr>
                <w:i/>
                <w:iCs/>
                <w:color w:val="000000"/>
                <w:sz w:val="16"/>
                <w:szCs w:val="16"/>
              </w:rPr>
              <w:t xml:space="preserve">Verticordia plumosa </w:t>
            </w:r>
            <w:r w:rsidRPr="00DD3A6D">
              <w:rPr>
                <w:color w:val="000000"/>
                <w:sz w:val="16"/>
                <w:szCs w:val="16"/>
              </w:rPr>
              <w:t>var</w:t>
            </w:r>
            <w:r w:rsidRPr="00DD3A6D">
              <w:rPr>
                <w:i/>
                <w:iCs/>
                <w:color w:val="000000"/>
                <w:sz w:val="16"/>
                <w:szCs w:val="16"/>
              </w:rPr>
              <w:t>. vassensis</w:t>
            </w:r>
          </w:p>
        </w:tc>
        <w:tc>
          <w:tcPr>
            <w:tcW w:w="0" w:type="auto"/>
            <w:tcBorders>
              <w:top w:val="nil"/>
              <w:left w:val="nil"/>
              <w:bottom w:val="single" w:sz="8" w:space="0" w:color="auto"/>
              <w:right w:val="single" w:sz="8" w:space="0" w:color="auto"/>
            </w:tcBorders>
            <w:shd w:val="clear" w:color="auto" w:fill="auto"/>
            <w:vAlign w:val="center"/>
            <w:hideMark/>
          </w:tcPr>
          <w:p w14:paraId="26ABE07E"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7F"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8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81" w14:textId="77777777" w:rsidR="00A90358" w:rsidRPr="00DD3A6D" w:rsidRDefault="00A90358" w:rsidP="000E2E5F">
            <w:pPr>
              <w:rPr>
                <w:color w:val="000000"/>
                <w:sz w:val="16"/>
                <w:szCs w:val="16"/>
              </w:rPr>
            </w:pPr>
            <w:r w:rsidRPr="00DD3A6D">
              <w:rPr>
                <w:color w:val="000000"/>
                <w:sz w:val="16"/>
                <w:szCs w:val="16"/>
              </w:rPr>
              <w:t>Endangered</w:t>
            </w:r>
          </w:p>
        </w:tc>
        <w:tc>
          <w:tcPr>
            <w:tcW w:w="2029" w:type="dxa"/>
            <w:tcBorders>
              <w:top w:val="nil"/>
              <w:left w:val="nil"/>
              <w:bottom w:val="single" w:sz="8" w:space="0" w:color="auto"/>
              <w:right w:val="single" w:sz="8" w:space="0" w:color="auto"/>
            </w:tcBorders>
            <w:shd w:val="clear" w:color="auto" w:fill="auto"/>
            <w:vAlign w:val="center"/>
            <w:hideMark/>
          </w:tcPr>
          <w:p w14:paraId="26ABE082"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01/10/2008</w:t>
            </w:r>
          </w:p>
        </w:tc>
      </w:tr>
      <w:tr w:rsidR="00A90358" w:rsidRPr="00DD3A6D" w14:paraId="26ABE085" w14:textId="77777777" w:rsidTr="00A90358">
        <w:trPr>
          <w:trHeight w:val="420"/>
        </w:trPr>
        <w:tc>
          <w:tcPr>
            <w:tcW w:w="894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6ABE084" w14:textId="77777777" w:rsidR="00A90358" w:rsidRPr="00DD3A6D" w:rsidRDefault="00A90358" w:rsidP="000E2E5F">
            <w:pPr>
              <w:rPr>
                <w:b/>
                <w:bCs/>
                <w:color w:val="000000"/>
                <w:sz w:val="16"/>
                <w:szCs w:val="16"/>
              </w:rPr>
            </w:pPr>
            <w:r w:rsidRPr="00DD3A6D">
              <w:rPr>
                <w:b/>
                <w:bCs/>
                <w:color w:val="000000"/>
                <w:sz w:val="16"/>
                <w:szCs w:val="16"/>
              </w:rPr>
              <w:t xml:space="preserve">Taxa removed from the Western Australian list, and recommended for removal from the Schedules to the </w:t>
            </w:r>
            <w:r w:rsidRPr="00DD3A6D">
              <w:rPr>
                <w:b/>
                <w:bCs/>
                <w:i/>
                <w:iCs/>
                <w:color w:val="000000"/>
                <w:sz w:val="16"/>
                <w:szCs w:val="16"/>
              </w:rPr>
              <w:t xml:space="preserve">Endangered Species Protection Act </w:t>
            </w:r>
            <w:r w:rsidRPr="00DD3A6D">
              <w:rPr>
                <w:b/>
                <w:bCs/>
                <w:color w:val="000000"/>
                <w:sz w:val="16"/>
                <w:szCs w:val="16"/>
              </w:rPr>
              <w:t>**</w:t>
            </w:r>
          </w:p>
        </w:tc>
      </w:tr>
      <w:tr w:rsidR="00A90358" w:rsidRPr="00DD3A6D" w14:paraId="26ABE08C"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86" w14:textId="77777777" w:rsidR="00A90358" w:rsidRPr="00DD3A6D" w:rsidRDefault="00A90358" w:rsidP="000E2E5F">
            <w:pPr>
              <w:rPr>
                <w:i/>
                <w:iCs/>
                <w:color w:val="000000"/>
                <w:sz w:val="16"/>
                <w:szCs w:val="16"/>
              </w:rPr>
            </w:pPr>
            <w:r w:rsidRPr="00DD3A6D">
              <w:rPr>
                <w:i/>
                <w:iCs/>
                <w:color w:val="000000"/>
                <w:sz w:val="16"/>
                <w:szCs w:val="16"/>
              </w:rPr>
              <w:t>Asterolasia nivea *</w:t>
            </w:r>
          </w:p>
        </w:tc>
        <w:tc>
          <w:tcPr>
            <w:tcW w:w="0" w:type="auto"/>
            <w:tcBorders>
              <w:top w:val="nil"/>
              <w:left w:val="nil"/>
              <w:bottom w:val="single" w:sz="8" w:space="0" w:color="auto"/>
              <w:right w:val="single" w:sz="8" w:space="0" w:color="auto"/>
            </w:tcBorders>
            <w:shd w:val="clear" w:color="auto" w:fill="auto"/>
            <w:vAlign w:val="center"/>
            <w:hideMark/>
          </w:tcPr>
          <w:p w14:paraId="26ABE087"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88"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89"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8A" w14:textId="77777777" w:rsidR="00A90358" w:rsidRPr="00DD3A6D" w:rsidRDefault="00A90358" w:rsidP="000E2E5F">
            <w:pPr>
              <w:rPr>
                <w:color w:val="000000"/>
                <w:sz w:val="16"/>
                <w:szCs w:val="16"/>
              </w:rPr>
            </w:pPr>
            <w:r w:rsidRPr="00DD3A6D">
              <w:rPr>
                <w:color w:val="000000"/>
                <w:sz w:val="16"/>
                <w:szCs w:val="16"/>
              </w:rPr>
              <w:t>Vulnerable</w:t>
            </w:r>
          </w:p>
        </w:tc>
        <w:tc>
          <w:tcPr>
            <w:tcW w:w="2029" w:type="dxa"/>
            <w:tcBorders>
              <w:top w:val="nil"/>
              <w:left w:val="nil"/>
              <w:bottom w:val="single" w:sz="8" w:space="0" w:color="auto"/>
              <w:right w:val="single" w:sz="8" w:space="0" w:color="auto"/>
            </w:tcBorders>
            <w:shd w:val="clear" w:color="auto" w:fill="auto"/>
            <w:vAlign w:val="center"/>
            <w:hideMark/>
          </w:tcPr>
          <w:p w14:paraId="26ABE08B" w14:textId="77777777" w:rsidR="00A90358" w:rsidRPr="00DD3A6D" w:rsidRDefault="00A90358" w:rsidP="000E2E5F">
            <w:pPr>
              <w:rPr>
                <w:color w:val="000000"/>
                <w:sz w:val="16"/>
                <w:szCs w:val="16"/>
              </w:rPr>
            </w:pPr>
            <w:r w:rsidRPr="00DD3A6D">
              <w:rPr>
                <w:color w:val="000000"/>
                <w:sz w:val="16"/>
                <w:szCs w:val="16"/>
              </w:rPr>
              <w:t>National recovery plan not required Conservation advice approved 16/12/2008</w:t>
            </w:r>
          </w:p>
        </w:tc>
      </w:tr>
      <w:tr w:rsidR="00A90358" w:rsidRPr="00DD3A6D" w14:paraId="26ABE08E" w14:textId="77777777" w:rsidTr="00A90358">
        <w:trPr>
          <w:trHeight w:val="420"/>
        </w:trPr>
        <w:tc>
          <w:tcPr>
            <w:tcW w:w="894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6ABE08D" w14:textId="77777777" w:rsidR="00A90358" w:rsidRPr="00DD3A6D" w:rsidRDefault="00A90358" w:rsidP="000E2E5F">
            <w:pPr>
              <w:rPr>
                <w:b/>
                <w:bCs/>
                <w:color w:val="000000"/>
                <w:sz w:val="16"/>
                <w:szCs w:val="16"/>
              </w:rPr>
            </w:pPr>
            <w:r w:rsidRPr="00DD3A6D">
              <w:rPr>
                <w:b/>
                <w:bCs/>
                <w:color w:val="000000"/>
                <w:sz w:val="16"/>
                <w:szCs w:val="16"/>
              </w:rPr>
              <w:t xml:space="preserve">Taxa removed from the Western Australian list and the Schedules to the </w:t>
            </w:r>
            <w:r w:rsidRPr="00DD3A6D">
              <w:rPr>
                <w:b/>
                <w:bCs/>
                <w:i/>
                <w:iCs/>
                <w:color w:val="000000"/>
                <w:sz w:val="16"/>
                <w:szCs w:val="16"/>
              </w:rPr>
              <w:t xml:space="preserve">Endangered Species Protection Act </w:t>
            </w:r>
            <w:r w:rsidRPr="00DD3A6D">
              <w:rPr>
                <w:b/>
                <w:bCs/>
                <w:color w:val="000000"/>
                <w:sz w:val="16"/>
                <w:szCs w:val="16"/>
              </w:rPr>
              <w:t>**</w:t>
            </w:r>
          </w:p>
        </w:tc>
      </w:tr>
      <w:tr w:rsidR="00A90358" w:rsidRPr="00DD3A6D" w14:paraId="26ABE095"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8F" w14:textId="77777777" w:rsidR="00A90358" w:rsidRPr="00DD3A6D" w:rsidRDefault="00A90358" w:rsidP="000E2E5F">
            <w:pPr>
              <w:rPr>
                <w:i/>
                <w:iCs/>
                <w:color w:val="000000"/>
                <w:sz w:val="16"/>
                <w:szCs w:val="16"/>
              </w:rPr>
            </w:pPr>
            <w:r w:rsidRPr="00DD3A6D">
              <w:rPr>
                <w:i/>
                <w:iCs/>
                <w:color w:val="000000"/>
                <w:sz w:val="16"/>
                <w:szCs w:val="16"/>
              </w:rPr>
              <w:t xml:space="preserve">Aponogeton hexatepalus </w:t>
            </w:r>
          </w:p>
        </w:tc>
        <w:tc>
          <w:tcPr>
            <w:tcW w:w="0" w:type="auto"/>
            <w:tcBorders>
              <w:top w:val="nil"/>
              <w:left w:val="nil"/>
              <w:bottom w:val="single" w:sz="8" w:space="0" w:color="auto"/>
              <w:right w:val="single" w:sz="8" w:space="0" w:color="auto"/>
            </w:tcBorders>
            <w:shd w:val="clear" w:color="auto" w:fill="auto"/>
            <w:vAlign w:val="center"/>
            <w:hideMark/>
          </w:tcPr>
          <w:p w14:paraId="26ABE090"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91"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92"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93"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E094" w14:textId="77777777" w:rsidR="00A90358" w:rsidRPr="00DD3A6D" w:rsidRDefault="00A90358" w:rsidP="000E2E5F">
            <w:pPr>
              <w:rPr>
                <w:color w:val="000000"/>
                <w:sz w:val="16"/>
                <w:szCs w:val="16"/>
              </w:rPr>
            </w:pPr>
            <w:r w:rsidRPr="00DD3A6D">
              <w:rPr>
                <w:color w:val="000000"/>
                <w:sz w:val="16"/>
                <w:szCs w:val="16"/>
              </w:rPr>
              <w:t> </w:t>
            </w:r>
          </w:p>
        </w:tc>
      </w:tr>
      <w:tr w:rsidR="00A90358" w:rsidRPr="00DD3A6D" w14:paraId="26ABE09C" w14:textId="77777777" w:rsidTr="00A90358">
        <w:trPr>
          <w:trHeight w:val="6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96" w14:textId="77777777" w:rsidR="00A90358" w:rsidRPr="00DD3A6D" w:rsidRDefault="00A90358" w:rsidP="000E2E5F">
            <w:pPr>
              <w:rPr>
                <w:i/>
                <w:iCs/>
                <w:color w:val="000000"/>
                <w:sz w:val="16"/>
                <w:szCs w:val="16"/>
              </w:rPr>
            </w:pPr>
            <w:r w:rsidRPr="00DD3A6D">
              <w:rPr>
                <w:i/>
                <w:iCs/>
                <w:color w:val="000000"/>
                <w:sz w:val="16"/>
                <w:szCs w:val="16"/>
              </w:rPr>
              <w:t>Asterolasia grandiflora *</w:t>
            </w:r>
          </w:p>
        </w:tc>
        <w:tc>
          <w:tcPr>
            <w:tcW w:w="0" w:type="auto"/>
            <w:tcBorders>
              <w:top w:val="nil"/>
              <w:left w:val="nil"/>
              <w:bottom w:val="single" w:sz="8" w:space="0" w:color="auto"/>
              <w:right w:val="single" w:sz="8" w:space="0" w:color="auto"/>
            </w:tcBorders>
            <w:shd w:val="clear" w:color="auto" w:fill="auto"/>
            <w:vAlign w:val="center"/>
            <w:hideMark/>
          </w:tcPr>
          <w:p w14:paraId="26ABE097"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98"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99"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9A"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E09B" w14:textId="77777777" w:rsidR="00A90358" w:rsidRPr="00DD3A6D" w:rsidRDefault="00A90358" w:rsidP="000E2E5F">
            <w:pPr>
              <w:rPr>
                <w:color w:val="000000"/>
                <w:sz w:val="16"/>
                <w:szCs w:val="16"/>
              </w:rPr>
            </w:pPr>
            <w:r w:rsidRPr="00DD3A6D">
              <w:rPr>
                <w:color w:val="000000"/>
                <w:sz w:val="16"/>
                <w:szCs w:val="16"/>
              </w:rPr>
              <w:t> </w:t>
            </w:r>
          </w:p>
        </w:tc>
      </w:tr>
      <w:tr w:rsidR="00A90358" w:rsidRPr="00DD3A6D" w14:paraId="26ABE0A3"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9D" w14:textId="77777777" w:rsidR="00A90358" w:rsidRPr="00DD3A6D" w:rsidRDefault="00A90358" w:rsidP="000E2E5F">
            <w:pPr>
              <w:rPr>
                <w:i/>
                <w:iCs/>
                <w:color w:val="000000"/>
                <w:sz w:val="16"/>
                <w:szCs w:val="16"/>
              </w:rPr>
            </w:pPr>
            <w:r w:rsidRPr="00DD3A6D">
              <w:rPr>
                <w:i/>
                <w:iCs/>
                <w:color w:val="000000"/>
                <w:sz w:val="16"/>
                <w:szCs w:val="16"/>
              </w:rPr>
              <w:t xml:space="preserve">Centrolepis caespitosa </w:t>
            </w:r>
          </w:p>
        </w:tc>
        <w:tc>
          <w:tcPr>
            <w:tcW w:w="0" w:type="auto"/>
            <w:tcBorders>
              <w:top w:val="nil"/>
              <w:left w:val="nil"/>
              <w:bottom w:val="single" w:sz="8" w:space="0" w:color="auto"/>
              <w:right w:val="single" w:sz="8" w:space="0" w:color="auto"/>
            </w:tcBorders>
            <w:shd w:val="clear" w:color="auto" w:fill="auto"/>
            <w:vAlign w:val="center"/>
            <w:hideMark/>
          </w:tcPr>
          <w:p w14:paraId="26ABE09E" w14:textId="77777777" w:rsidR="00A90358" w:rsidRPr="00DD3A6D" w:rsidRDefault="00A90358" w:rsidP="000E2E5F">
            <w:pPr>
              <w:rPr>
                <w:color w:val="000000"/>
                <w:sz w:val="16"/>
                <w:szCs w:val="16"/>
              </w:rPr>
            </w:pPr>
            <w:r w:rsidRPr="00DD3A6D">
              <w:rPr>
                <w:color w:val="000000"/>
                <w:sz w:val="16"/>
                <w:szCs w:val="16"/>
              </w:rPr>
              <w:t>Endangered</w:t>
            </w:r>
          </w:p>
        </w:tc>
        <w:tc>
          <w:tcPr>
            <w:tcW w:w="0" w:type="auto"/>
            <w:tcBorders>
              <w:top w:val="nil"/>
              <w:left w:val="nil"/>
              <w:bottom w:val="single" w:sz="8" w:space="0" w:color="auto"/>
              <w:right w:val="single" w:sz="8" w:space="0" w:color="auto"/>
            </w:tcBorders>
            <w:shd w:val="clear" w:color="auto" w:fill="auto"/>
            <w:vAlign w:val="center"/>
            <w:hideMark/>
          </w:tcPr>
          <w:p w14:paraId="26ABE09F"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A0"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A1"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E0A2" w14:textId="77777777" w:rsidR="00A90358" w:rsidRPr="00DD3A6D" w:rsidRDefault="00A90358" w:rsidP="000E2E5F">
            <w:pPr>
              <w:rPr>
                <w:color w:val="000000"/>
                <w:sz w:val="16"/>
                <w:szCs w:val="16"/>
              </w:rPr>
            </w:pPr>
            <w:r w:rsidRPr="00DD3A6D">
              <w:rPr>
                <w:color w:val="000000"/>
                <w:sz w:val="16"/>
                <w:szCs w:val="16"/>
              </w:rPr>
              <w:t> </w:t>
            </w:r>
          </w:p>
        </w:tc>
      </w:tr>
      <w:tr w:rsidR="00A90358" w:rsidRPr="00DD3A6D" w14:paraId="26ABE0AA" w14:textId="77777777" w:rsidTr="00A90358">
        <w:trPr>
          <w:trHeight w:val="64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A4" w14:textId="77777777" w:rsidR="00A90358" w:rsidRPr="00DD3A6D" w:rsidRDefault="00A90358" w:rsidP="000E2E5F">
            <w:pPr>
              <w:rPr>
                <w:i/>
                <w:iCs/>
                <w:color w:val="000000"/>
                <w:sz w:val="16"/>
                <w:szCs w:val="16"/>
              </w:rPr>
            </w:pPr>
            <w:r w:rsidRPr="00DD3A6D">
              <w:rPr>
                <w:i/>
                <w:iCs/>
                <w:color w:val="000000"/>
                <w:sz w:val="16"/>
                <w:szCs w:val="16"/>
              </w:rPr>
              <w:t>Cryptandra congesta</w:t>
            </w:r>
          </w:p>
        </w:tc>
        <w:tc>
          <w:tcPr>
            <w:tcW w:w="0" w:type="auto"/>
            <w:tcBorders>
              <w:top w:val="nil"/>
              <w:left w:val="nil"/>
              <w:bottom w:val="single" w:sz="8" w:space="0" w:color="auto"/>
              <w:right w:val="single" w:sz="8" w:space="0" w:color="auto"/>
            </w:tcBorders>
            <w:shd w:val="clear" w:color="auto" w:fill="auto"/>
            <w:vAlign w:val="center"/>
            <w:hideMark/>
          </w:tcPr>
          <w:p w14:paraId="26ABE0A5" w14:textId="77777777" w:rsidR="00A90358" w:rsidRPr="00DD3A6D" w:rsidRDefault="00A90358" w:rsidP="000E2E5F">
            <w:pPr>
              <w:rPr>
                <w:color w:val="000000"/>
                <w:sz w:val="16"/>
                <w:szCs w:val="16"/>
              </w:rPr>
            </w:pPr>
            <w:r w:rsidRPr="00DD3A6D">
              <w:rPr>
                <w:color w:val="000000"/>
                <w:sz w:val="16"/>
                <w:szCs w:val="16"/>
              </w:rPr>
              <w:t>Not listed</w:t>
            </w:r>
          </w:p>
        </w:tc>
        <w:tc>
          <w:tcPr>
            <w:tcW w:w="0" w:type="auto"/>
            <w:tcBorders>
              <w:top w:val="nil"/>
              <w:left w:val="nil"/>
              <w:bottom w:val="single" w:sz="8" w:space="0" w:color="auto"/>
              <w:right w:val="single" w:sz="8" w:space="0" w:color="auto"/>
            </w:tcBorders>
            <w:shd w:val="clear" w:color="auto" w:fill="auto"/>
            <w:vAlign w:val="center"/>
            <w:hideMark/>
          </w:tcPr>
          <w:p w14:paraId="26ABE0A6"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A7"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A8"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E0A9" w14:textId="77777777" w:rsidR="00A90358" w:rsidRPr="00DD3A6D" w:rsidRDefault="00A90358" w:rsidP="000E2E5F">
            <w:pPr>
              <w:rPr>
                <w:color w:val="000000"/>
                <w:sz w:val="16"/>
                <w:szCs w:val="16"/>
              </w:rPr>
            </w:pPr>
            <w:r w:rsidRPr="00DD3A6D">
              <w:rPr>
                <w:color w:val="000000"/>
                <w:sz w:val="16"/>
                <w:szCs w:val="16"/>
              </w:rPr>
              <w:t>WA recovery plan in place 2010</w:t>
            </w:r>
          </w:p>
        </w:tc>
      </w:tr>
      <w:tr w:rsidR="00A90358" w:rsidRPr="00DD3A6D" w14:paraId="26ABE0B1" w14:textId="77777777" w:rsidTr="00A90358">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AB" w14:textId="77777777" w:rsidR="00A90358" w:rsidRPr="00DD3A6D" w:rsidRDefault="00A90358" w:rsidP="000E2E5F">
            <w:pPr>
              <w:rPr>
                <w:i/>
                <w:iCs/>
                <w:color w:val="000000"/>
                <w:sz w:val="16"/>
                <w:szCs w:val="16"/>
              </w:rPr>
            </w:pPr>
            <w:r w:rsidRPr="00DD3A6D">
              <w:rPr>
                <w:i/>
                <w:iCs/>
                <w:color w:val="000000"/>
                <w:sz w:val="16"/>
                <w:szCs w:val="16"/>
              </w:rPr>
              <w:t xml:space="preserve">Eucalyptus goniantha </w:t>
            </w:r>
            <w:r w:rsidRPr="00DD3A6D">
              <w:rPr>
                <w:color w:val="000000"/>
                <w:sz w:val="16"/>
                <w:szCs w:val="16"/>
              </w:rPr>
              <w:t>subsp</w:t>
            </w:r>
            <w:r w:rsidRPr="00DD3A6D">
              <w:rPr>
                <w:i/>
                <w:iCs/>
                <w:color w:val="000000"/>
                <w:sz w:val="16"/>
                <w:szCs w:val="16"/>
              </w:rPr>
              <w:t xml:space="preserve">. goniantha </w:t>
            </w:r>
          </w:p>
        </w:tc>
        <w:tc>
          <w:tcPr>
            <w:tcW w:w="0" w:type="auto"/>
            <w:tcBorders>
              <w:top w:val="nil"/>
              <w:left w:val="nil"/>
              <w:bottom w:val="single" w:sz="8" w:space="0" w:color="auto"/>
              <w:right w:val="single" w:sz="8" w:space="0" w:color="auto"/>
            </w:tcBorders>
            <w:shd w:val="clear" w:color="auto" w:fill="auto"/>
            <w:vAlign w:val="center"/>
            <w:hideMark/>
          </w:tcPr>
          <w:p w14:paraId="26ABE0AC"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AD" w14:textId="77777777" w:rsidR="00A90358" w:rsidRPr="00DD3A6D" w:rsidRDefault="00A90358" w:rsidP="000E2E5F">
            <w:pPr>
              <w:rPr>
                <w:color w:val="000000"/>
                <w:sz w:val="16"/>
                <w:szCs w:val="16"/>
              </w:rPr>
            </w:pPr>
            <w:r w:rsidRPr="00DD3A6D">
              <w:rPr>
                <w:color w:val="000000"/>
                <w:sz w:val="16"/>
                <w:szCs w:val="16"/>
              </w:rPr>
              <w:t>Not listed</w:t>
            </w:r>
          </w:p>
        </w:tc>
        <w:tc>
          <w:tcPr>
            <w:tcW w:w="0" w:type="auto"/>
            <w:tcBorders>
              <w:top w:val="nil"/>
              <w:left w:val="nil"/>
              <w:bottom w:val="single" w:sz="8" w:space="0" w:color="auto"/>
              <w:right w:val="single" w:sz="8" w:space="0" w:color="auto"/>
            </w:tcBorders>
            <w:shd w:val="clear" w:color="auto" w:fill="auto"/>
            <w:vAlign w:val="center"/>
            <w:hideMark/>
          </w:tcPr>
          <w:p w14:paraId="26ABE0AE"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AF"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E0B0" w14:textId="77777777" w:rsidR="00A90358" w:rsidRPr="00DD3A6D" w:rsidRDefault="00A90358" w:rsidP="000E2E5F">
            <w:pPr>
              <w:rPr>
                <w:color w:val="000000"/>
                <w:sz w:val="16"/>
                <w:szCs w:val="16"/>
              </w:rPr>
            </w:pPr>
            <w:r w:rsidRPr="00DD3A6D">
              <w:rPr>
                <w:color w:val="000000"/>
                <w:sz w:val="16"/>
                <w:szCs w:val="16"/>
              </w:rPr>
              <w:t> </w:t>
            </w:r>
          </w:p>
        </w:tc>
      </w:tr>
      <w:tr w:rsidR="00A90358" w:rsidRPr="00DD3A6D" w14:paraId="26ABE0B8"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B2" w14:textId="77777777" w:rsidR="00A90358" w:rsidRPr="00DD3A6D" w:rsidRDefault="00A90358" w:rsidP="000E2E5F">
            <w:pPr>
              <w:rPr>
                <w:i/>
                <w:iCs/>
                <w:color w:val="000000"/>
                <w:sz w:val="16"/>
                <w:szCs w:val="16"/>
              </w:rPr>
            </w:pPr>
            <w:r w:rsidRPr="00DD3A6D">
              <w:rPr>
                <w:i/>
                <w:iCs/>
                <w:color w:val="000000"/>
                <w:sz w:val="16"/>
                <w:szCs w:val="16"/>
              </w:rPr>
              <w:t>Hydrocotyle lemnoides</w:t>
            </w:r>
          </w:p>
        </w:tc>
        <w:tc>
          <w:tcPr>
            <w:tcW w:w="0" w:type="auto"/>
            <w:tcBorders>
              <w:top w:val="nil"/>
              <w:left w:val="nil"/>
              <w:bottom w:val="single" w:sz="8" w:space="0" w:color="auto"/>
              <w:right w:val="single" w:sz="8" w:space="0" w:color="auto"/>
            </w:tcBorders>
            <w:shd w:val="clear" w:color="auto" w:fill="auto"/>
            <w:vAlign w:val="center"/>
            <w:hideMark/>
          </w:tcPr>
          <w:p w14:paraId="26ABE0B3"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B4"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B5"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B6"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E0B7" w14:textId="77777777" w:rsidR="00A90358" w:rsidRPr="00DD3A6D" w:rsidRDefault="00A90358" w:rsidP="000E2E5F">
            <w:pPr>
              <w:rPr>
                <w:color w:val="000000"/>
                <w:sz w:val="16"/>
                <w:szCs w:val="16"/>
              </w:rPr>
            </w:pPr>
            <w:r w:rsidRPr="00DD3A6D">
              <w:rPr>
                <w:color w:val="000000"/>
                <w:sz w:val="16"/>
                <w:szCs w:val="16"/>
              </w:rPr>
              <w:t> </w:t>
            </w:r>
          </w:p>
        </w:tc>
      </w:tr>
      <w:tr w:rsidR="00A90358" w:rsidRPr="00DD3A6D" w14:paraId="26ABE0BF"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B9" w14:textId="77777777" w:rsidR="00A90358" w:rsidRPr="00DD3A6D" w:rsidRDefault="00A90358" w:rsidP="000E2E5F">
            <w:pPr>
              <w:rPr>
                <w:i/>
                <w:iCs/>
                <w:color w:val="000000"/>
                <w:sz w:val="16"/>
                <w:szCs w:val="16"/>
              </w:rPr>
            </w:pPr>
            <w:r w:rsidRPr="00DD3A6D">
              <w:rPr>
                <w:i/>
                <w:iCs/>
                <w:color w:val="000000"/>
                <w:sz w:val="16"/>
                <w:szCs w:val="16"/>
              </w:rPr>
              <w:t>Laxmannia jamesii *</w:t>
            </w:r>
          </w:p>
        </w:tc>
        <w:tc>
          <w:tcPr>
            <w:tcW w:w="0" w:type="auto"/>
            <w:tcBorders>
              <w:top w:val="nil"/>
              <w:left w:val="nil"/>
              <w:bottom w:val="single" w:sz="8" w:space="0" w:color="auto"/>
              <w:right w:val="single" w:sz="8" w:space="0" w:color="auto"/>
            </w:tcBorders>
            <w:shd w:val="clear" w:color="auto" w:fill="auto"/>
            <w:vAlign w:val="center"/>
            <w:hideMark/>
          </w:tcPr>
          <w:p w14:paraId="26ABE0BA"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BB"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BC"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BD"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E0BE" w14:textId="77777777" w:rsidR="00A90358" w:rsidRPr="00DD3A6D" w:rsidRDefault="00A90358" w:rsidP="000E2E5F">
            <w:pPr>
              <w:rPr>
                <w:color w:val="000000"/>
                <w:sz w:val="16"/>
                <w:szCs w:val="16"/>
              </w:rPr>
            </w:pPr>
            <w:r w:rsidRPr="00DD3A6D">
              <w:rPr>
                <w:color w:val="000000"/>
                <w:sz w:val="16"/>
                <w:szCs w:val="16"/>
              </w:rPr>
              <w:t> </w:t>
            </w:r>
          </w:p>
        </w:tc>
      </w:tr>
      <w:tr w:rsidR="00A90358" w:rsidRPr="00DD3A6D" w14:paraId="26ABE0C6"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C0" w14:textId="77777777" w:rsidR="00A90358" w:rsidRPr="00DD3A6D" w:rsidRDefault="00A90358" w:rsidP="000E2E5F">
            <w:pPr>
              <w:rPr>
                <w:i/>
                <w:iCs/>
                <w:color w:val="000000"/>
                <w:sz w:val="16"/>
                <w:szCs w:val="16"/>
              </w:rPr>
            </w:pPr>
            <w:r w:rsidRPr="00DD3A6D">
              <w:rPr>
                <w:i/>
                <w:iCs/>
                <w:color w:val="000000"/>
                <w:sz w:val="16"/>
                <w:szCs w:val="16"/>
              </w:rPr>
              <w:t xml:space="preserve">Myriophyllum trifidum </w:t>
            </w:r>
            <w:r w:rsidRPr="00DD3A6D">
              <w:rPr>
                <w:color w:val="000000"/>
                <w:sz w:val="16"/>
                <w:szCs w:val="16"/>
              </w:rPr>
              <w:t xml:space="preserve">(previously </w:t>
            </w:r>
            <w:r w:rsidRPr="00DD3A6D">
              <w:rPr>
                <w:i/>
                <w:iCs/>
                <w:color w:val="000000"/>
                <w:sz w:val="16"/>
                <w:szCs w:val="16"/>
              </w:rPr>
              <w:t>Meziella trifida</w:t>
            </w:r>
            <w:r w:rsidRPr="00DD3A6D">
              <w:rPr>
                <w:color w:val="000000"/>
                <w:sz w:val="16"/>
                <w:szCs w:val="16"/>
              </w:rPr>
              <w:t>)</w:t>
            </w:r>
            <w:r w:rsidRPr="00DD3A6D">
              <w:rPr>
                <w:i/>
                <w:iCs/>
                <w:color w:val="000000"/>
                <w:sz w:val="16"/>
                <w:szCs w:val="16"/>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6ABE0C1"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C2"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C3"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C4" w14:textId="77777777" w:rsidR="00A90358" w:rsidRPr="00DD3A6D" w:rsidRDefault="00A90358" w:rsidP="000E2E5F">
            <w:pPr>
              <w:rPr>
                <w:color w:val="000000"/>
                <w:sz w:val="16"/>
                <w:szCs w:val="16"/>
              </w:rPr>
            </w:pPr>
            <w:r>
              <w:rPr>
                <w:color w:val="000000"/>
                <w:sz w:val="16"/>
                <w:szCs w:val="16"/>
              </w:rPr>
              <w:t>Delisted</w:t>
            </w:r>
            <w:r w:rsidRPr="00DD3A6D">
              <w:rPr>
                <w:color w:val="000000"/>
                <w:sz w:val="16"/>
                <w:szCs w:val="16"/>
              </w:rPr>
              <w:t xml:space="preserve"> 6/03/2013</w:t>
            </w:r>
          </w:p>
        </w:tc>
        <w:tc>
          <w:tcPr>
            <w:tcW w:w="2029" w:type="dxa"/>
            <w:tcBorders>
              <w:top w:val="nil"/>
              <w:left w:val="nil"/>
              <w:bottom w:val="single" w:sz="8" w:space="0" w:color="auto"/>
              <w:right w:val="single" w:sz="8" w:space="0" w:color="auto"/>
            </w:tcBorders>
            <w:shd w:val="clear" w:color="auto" w:fill="auto"/>
            <w:vAlign w:val="center"/>
            <w:hideMark/>
          </w:tcPr>
          <w:p w14:paraId="26ABE0C5" w14:textId="77777777" w:rsidR="00A90358" w:rsidRPr="00DD3A6D" w:rsidRDefault="00A90358" w:rsidP="000E2E5F">
            <w:pPr>
              <w:rPr>
                <w:color w:val="000000"/>
                <w:sz w:val="16"/>
                <w:szCs w:val="16"/>
              </w:rPr>
            </w:pPr>
            <w:r w:rsidRPr="00DD3A6D">
              <w:rPr>
                <w:color w:val="000000"/>
                <w:sz w:val="16"/>
                <w:szCs w:val="16"/>
              </w:rPr>
              <w:t> </w:t>
            </w:r>
          </w:p>
        </w:tc>
      </w:tr>
      <w:tr w:rsidR="00A90358" w:rsidRPr="00DD3A6D" w14:paraId="26ABE0CD" w14:textId="77777777" w:rsidTr="00A90358">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C7" w14:textId="77777777" w:rsidR="00A90358" w:rsidRPr="00DD3A6D" w:rsidRDefault="00A90358" w:rsidP="000E2E5F">
            <w:pPr>
              <w:rPr>
                <w:i/>
                <w:iCs/>
                <w:color w:val="000000"/>
                <w:sz w:val="16"/>
                <w:szCs w:val="16"/>
              </w:rPr>
            </w:pPr>
            <w:r w:rsidRPr="00DD3A6D">
              <w:rPr>
                <w:i/>
                <w:iCs/>
                <w:color w:val="000000"/>
                <w:sz w:val="16"/>
                <w:szCs w:val="16"/>
              </w:rPr>
              <w:t>Schoenus natans</w:t>
            </w:r>
          </w:p>
        </w:tc>
        <w:tc>
          <w:tcPr>
            <w:tcW w:w="0" w:type="auto"/>
            <w:tcBorders>
              <w:top w:val="nil"/>
              <w:left w:val="nil"/>
              <w:bottom w:val="single" w:sz="8" w:space="0" w:color="auto"/>
              <w:right w:val="single" w:sz="8" w:space="0" w:color="auto"/>
            </w:tcBorders>
            <w:shd w:val="clear" w:color="auto" w:fill="auto"/>
            <w:vAlign w:val="center"/>
            <w:hideMark/>
          </w:tcPr>
          <w:p w14:paraId="26ABE0C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C9"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CA" w14:textId="77777777" w:rsidR="00A90358" w:rsidRPr="00DD3A6D" w:rsidRDefault="00A90358" w:rsidP="000E2E5F">
            <w:pPr>
              <w:rPr>
                <w:color w:val="000000"/>
                <w:sz w:val="16"/>
                <w:szCs w:val="16"/>
              </w:rPr>
            </w:pPr>
            <w:r w:rsidRPr="00DD3A6D">
              <w:rPr>
                <w:color w:val="000000"/>
                <w:sz w:val="16"/>
                <w:szCs w:val="16"/>
              </w:rPr>
              <w:t>Vulnerable</w:t>
            </w:r>
          </w:p>
        </w:tc>
        <w:tc>
          <w:tcPr>
            <w:tcW w:w="0" w:type="auto"/>
            <w:tcBorders>
              <w:top w:val="nil"/>
              <w:left w:val="nil"/>
              <w:bottom w:val="single" w:sz="8" w:space="0" w:color="auto"/>
              <w:right w:val="single" w:sz="8" w:space="0" w:color="auto"/>
            </w:tcBorders>
            <w:shd w:val="clear" w:color="auto" w:fill="auto"/>
            <w:vAlign w:val="center"/>
            <w:hideMark/>
          </w:tcPr>
          <w:p w14:paraId="26ABE0CB" w14:textId="77777777" w:rsidR="00A90358" w:rsidRPr="00DD3A6D" w:rsidRDefault="00A90358" w:rsidP="000E2E5F">
            <w:pPr>
              <w:rPr>
                <w:color w:val="000000"/>
                <w:sz w:val="16"/>
                <w:szCs w:val="16"/>
              </w:rPr>
            </w:pPr>
            <w:r w:rsidRPr="00DD3A6D">
              <w:rPr>
                <w:color w:val="000000"/>
                <w:sz w:val="16"/>
                <w:szCs w:val="16"/>
              </w:rPr>
              <w:t>Not listed</w:t>
            </w:r>
          </w:p>
        </w:tc>
        <w:tc>
          <w:tcPr>
            <w:tcW w:w="2029" w:type="dxa"/>
            <w:tcBorders>
              <w:top w:val="nil"/>
              <w:left w:val="nil"/>
              <w:bottom w:val="single" w:sz="8" w:space="0" w:color="auto"/>
              <w:right w:val="single" w:sz="8" w:space="0" w:color="auto"/>
            </w:tcBorders>
            <w:shd w:val="clear" w:color="auto" w:fill="auto"/>
            <w:vAlign w:val="center"/>
            <w:hideMark/>
          </w:tcPr>
          <w:p w14:paraId="26ABE0CC" w14:textId="77777777" w:rsidR="00A90358" w:rsidRPr="00DD3A6D" w:rsidRDefault="00A90358" w:rsidP="000E2E5F">
            <w:pPr>
              <w:rPr>
                <w:color w:val="000000"/>
                <w:sz w:val="16"/>
                <w:szCs w:val="16"/>
              </w:rPr>
            </w:pPr>
            <w:r w:rsidRPr="00DD3A6D">
              <w:rPr>
                <w:color w:val="000000"/>
                <w:sz w:val="16"/>
                <w:szCs w:val="16"/>
              </w:rPr>
              <w:t> </w:t>
            </w:r>
          </w:p>
        </w:tc>
      </w:tr>
      <w:tr w:rsidR="00A90358" w:rsidRPr="00DD3A6D" w14:paraId="26ABE0D4" w14:textId="77777777" w:rsidTr="00A90358">
        <w:trPr>
          <w:trHeight w:val="10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CE" w14:textId="77777777" w:rsidR="00A90358" w:rsidRPr="00DD3A6D" w:rsidRDefault="00A90358" w:rsidP="000E2E5F">
            <w:pPr>
              <w:rPr>
                <w:i/>
                <w:iCs/>
                <w:color w:val="000000"/>
                <w:sz w:val="16"/>
                <w:szCs w:val="16"/>
              </w:rPr>
            </w:pPr>
            <w:r w:rsidRPr="00DD3A6D">
              <w:rPr>
                <w:i/>
                <w:iCs/>
                <w:color w:val="000000"/>
                <w:sz w:val="16"/>
                <w:szCs w:val="16"/>
              </w:rPr>
              <w:lastRenderedPageBreak/>
              <w:t>Trithuria australis (previously Hydatella leptogyne</w:t>
            </w:r>
            <w:r w:rsidRPr="00DD3A6D">
              <w:rPr>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26ABE0CF"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D0" w14:textId="77777777" w:rsidR="00A90358" w:rsidRPr="00DD3A6D" w:rsidRDefault="00A90358" w:rsidP="000E2E5F">
            <w:pPr>
              <w:rPr>
                <w:color w:val="000000"/>
                <w:sz w:val="16"/>
                <w:szCs w:val="16"/>
              </w:rPr>
            </w:pPr>
            <w:r w:rsidRPr="00DD3A6D">
              <w:rPr>
                <w:color w:val="000000"/>
                <w:sz w:val="16"/>
                <w:szCs w:val="16"/>
              </w:rPr>
              <w:t>Priority 4</w:t>
            </w:r>
          </w:p>
        </w:tc>
        <w:tc>
          <w:tcPr>
            <w:tcW w:w="0" w:type="auto"/>
            <w:tcBorders>
              <w:top w:val="nil"/>
              <w:left w:val="nil"/>
              <w:bottom w:val="single" w:sz="8" w:space="0" w:color="auto"/>
              <w:right w:val="single" w:sz="8" w:space="0" w:color="auto"/>
            </w:tcBorders>
            <w:shd w:val="clear" w:color="auto" w:fill="auto"/>
            <w:vAlign w:val="center"/>
            <w:hideMark/>
          </w:tcPr>
          <w:p w14:paraId="26ABE0D1"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D2" w14:textId="77777777" w:rsidR="00A90358" w:rsidRPr="00DD3A6D" w:rsidRDefault="00A90358" w:rsidP="000E2E5F">
            <w:pPr>
              <w:rPr>
                <w:color w:val="000000"/>
                <w:sz w:val="16"/>
                <w:szCs w:val="16"/>
              </w:rPr>
            </w:pPr>
            <w:r w:rsidRPr="00DD3A6D">
              <w:rPr>
                <w:color w:val="000000"/>
                <w:sz w:val="16"/>
                <w:szCs w:val="16"/>
              </w:rPr>
              <w:t>Delisted 6/3/2013</w:t>
            </w:r>
          </w:p>
        </w:tc>
        <w:tc>
          <w:tcPr>
            <w:tcW w:w="2029" w:type="dxa"/>
            <w:tcBorders>
              <w:top w:val="nil"/>
              <w:left w:val="nil"/>
              <w:bottom w:val="single" w:sz="8" w:space="0" w:color="auto"/>
              <w:right w:val="single" w:sz="8" w:space="0" w:color="auto"/>
            </w:tcBorders>
            <w:shd w:val="clear" w:color="auto" w:fill="auto"/>
            <w:vAlign w:val="center"/>
            <w:hideMark/>
          </w:tcPr>
          <w:p w14:paraId="26ABE0D3" w14:textId="77777777" w:rsidR="00A90358" w:rsidRPr="00DD3A6D" w:rsidRDefault="00A90358" w:rsidP="000E2E5F">
            <w:pPr>
              <w:rPr>
                <w:color w:val="000000"/>
                <w:sz w:val="16"/>
                <w:szCs w:val="16"/>
              </w:rPr>
            </w:pPr>
            <w:r w:rsidRPr="00DD3A6D">
              <w:rPr>
                <w:color w:val="000000"/>
                <w:sz w:val="16"/>
                <w:szCs w:val="16"/>
              </w:rPr>
              <w:t> </w:t>
            </w:r>
          </w:p>
        </w:tc>
      </w:tr>
      <w:tr w:rsidR="00A90358" w:rsidRPr="00DD3A6D" w14:paraId="26ABE0DB" w14:textId="77777777" w:rsidTr="00A90358">
        <w:trPr>
          <w:trHeight w:val="6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BE0D5" w14:textId="77777777" w:rsidR="00A90358" w:rsidRPr="00DD3A6D" w:rsidRDefault="00A90358" w:rsidP="000E2E5F">
            <w:pPr>
              <w:rPr>
                <w:i/>
                <w:iCs/>
                <w:color w:val="000000"/>
                <w:sz w:val="16"/>
                <w:szCs w:val="16"/>
              </w:rPr>
            </w:pPr>
            <w:r w:rsidRPr="00DD3A6D">
              <w:rPr>
                <w:i/>
                <w:iCs/>
                <w:color w:val="000000"/>
                <w:sz w:val="16"/>
                <w:szCs w:val="16"/>
              </w:rPr>
              <w:t xml:space="preserve">Verticordia plumosa </w:t>
            </w:r>
            <w:r w:rsidRPr="00DD3A6D">
              <w:rPr>
                <w:color w:val="000000"/>
                <w:sz w:val="16"/>
                <w:szCs w:val="16"/>
              </w:rPr>
              <w:t>var</w:t>
            </w:r>
            <w:r w:rsidRPr="00DD3A6D">
              <w:rPr>
                <w:i/>
                <w:iCs/>
                <w:color w:val="000000"/>
                <w:sz w:val="16"/>
                <w:szCs w:val="16"/>
              </w:rPr>
              <w:t>. pleiobotrya</w:t>
            </w:r>
          </w:p>
        </w:tc>
        <w:tc>
          <w:tcPr>
            <w:tcW w:w="0" w:type="auto"/>
            <w:tcBorders>
              <w:top w:val="nil"/>
              <w:left w:val="nil"/>
              <w:bottom w:val="single" w:sz="8" w:space="0" w:color="auto"/>
              <w:right w:val="single" w:sz="8" w:space="0" w:color="auto"/>
            </w:tcBorders>
            <w:shd w:val="clear" w:color="auto" w:fill="auto"/>
            <w:vAlign w:val="center"/>
            <w:hideMark/>
          </w:tcPr>
          <w:p w14:paraId="26ABE0D6"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D7" w14:textId="77777777" w:rsidR="00A90358" w:rsidRPr="00DD3A6D" w:rsidRDefault="00A90358" w:rsidP="000E2E5F">
            <w:pPr>
              <w:rPr>
                <w:color w:val="000000"/>
                <w:sz w:val="16"/>
                <w:szCs w:val="16"/>
              </w:rPr>
            </w:pPr>
            <w:r w:rsidRPr="00DD3A6D">
              <w:rPr>
                <w:color w:val="000000"/>
                <w:sz w:val="16"/>
                <w:szCs w:val="16"/>
              </w:rPr>
              <w:t>Not listed</w:t>
            </w:r>
          </w:p>
        </w:tc>
        <w:tc>
          <w:tcPr>
            <w:tcW w:w="0" w:type="auto"/>
            <w:tcBorders>
              <w:top w:val="nil"/>
              <w:left w:val="nil"/>
              <w:bottom w:val="single" w:sz="8" w:space="0" w:color="auto"/>
              <w:right w:val="single" w:sz="8" w:space="0" w:color="auto"/>
            </w:tcBorders>
            <w:shd w:val="clear" w:color="auto" w:fill="auto"/>
            <w:vAlign w:val="center"/>
            <w:hideMark/>
          </w:tcPr>
          <w:p w14:paraId="26ABE0D8" w14:textId="77777777" w:rsidR="00A90358" w:rsidRPr="00DD3A6D" w:rsidRDefault="00A90358" w:rsidP="000E2E5F">
            <w:pPr>
              <w:rPr>
                <w:color w:val="000000"/>
                <w:sz w:val="16"/>
                <w:szCs w:val="16"/>
              </w:rPr>
            </w:pPr>
            <w:r w:rsidRPr="00DD3A6D">
              <w:rPr>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6ABE0D9" w14:textId="77777777" w:rsidR="00A90358" w:rsidRPr="00DD3A6D" w:rsidRDefault="00A90358" w:rsidP="000E2E5F">
            <w:pPr>
              <w:rPr>
                <w:color w:val="000000"/>
                <w:sz w:val="16"/>
                <w:szCs w:val="16"/>
              </w:rPr>
            </w:pPr>
            <w:r w:rsidRPr="00DD3A6D">
              <w:rPr>
                <w:color w:val="000000"/>
                <w:sz w:val="16"/>
                <w:szCs w:val="16"/>
              </w:rPr>
              <w:t>Delisted 16/9/2015</w:t>
            </w:r>
          </w:p>
        </w:tc>
        <w:tc>
          <w:tcPr>
            <w:tcW w:w="2029" w:type="dxa"/>
            <w:tcBorders>
              <w:top w:val="nil"/>
              <w:left w:val="nil"/>
              <w:bottom w:val="single" w:sz="8" w:space="0" w:color="auto"/>
              <w:right w:val="single" w:sz="8" w:space="0" w:color="auto"/>
            </w:tcBorders>
            <w:shd w:val="clear" w:color="auto" w:fill="auto"/>
            <w:vAlign w:val="center"/>
            <w:hideMark/>
          </w:tcPr>
          <w:p w14:paraId="26ABE0DA" w14:textId="77777777" w:rsidR="00A90358" w:rsidRPr="00DD3A6D" w:rsidRDefault="00A90358" w:rsidP="000E2E5F">
            <w:pPr>
              <w:rPr>
                <w:color w:val="000000"/>
                <w:sz w:val="16"/>
                <w:szCs w:val="16"/>
              </w:rPr>
            </w:pPr>
          </w:p>
        </w:tc>
      </w:tr>
    </w:tbl>
    <w:p w14:paraId="26ABE0DC" w14:textId="77777777" w:rsidR="00A90358" w:rsidRDefault="00A90358" w:rsidP="00A90358">
      <w:pPr>
        <w:autoSpaceDE w:val="0"/>
        <w:autoSpaceDN w:val="0"/>
        <w:ind w:hanging="142"/>
        <w:rPr>
          <w:sz w:val="16"/>
          <w:szCs w:val="16"/>
        </w:rPr>
      </w:pPr>
      <w:r w:rsidRPr="00A90358">
        <w:rPr>
          <w:sz w:val="16"/>
          <w:szCs w:val="16"/>
        </w:rPr>
        <w:t>Notes:</w:t>
      </w:r>
    </w:p>
    <w:p w14:paraId="26ABE0DD" w14:textId="77777777" w:rsidR="00A90358" w:rsidRDefault="00A90358" w:rsidP="00A90358">
      <w:pPr>
        <w:autoSpaceDE w:val="0"/>
        <w:autoSpaceDN w:val="0"/>
        <w:ind w:hanging="142"/>
        <w:rPr>
          <w:sz w:val="16"/>
          <w:szCs w:val="16"/>
        </w:rPr>
      </w:pPr>
      <w:r>
        <w:rPr>
          <w:sz w:val="16"/>
          <w:szCs w:val="16"/>
        </w:rPr>
        <w:t xml:space="preserve">1) </w:t>
      </w:r>
      <w:r w:rsidRPr="00A90358">
        <w:rPr>
          <w:rFonts w:cs="Segoe UI"/>
          <w:sz w:val="16"/>
          <w:szCs w:val="16"/>
        </w:rPr>
        <w:t>Species has less than 20 per cent chance of being present in suitable habitat within the RFA region. Source: Department of the Environment and Energy, Environmental Resources Information Network Species Profile and Threats (SPRaT) Database, July 2018.</w:t>
      </w:r>
    </w:p>
    <w:p w14:paraId="26ABE0DE" w14:textId="77777777" w:rsidR="00A90358" w:rsidRDefault="00A90358" w:rsidP="00A90358">
      <w:pPr>
        <w:autoSpaceDE w:val="0"/>
        <w:autoSpaceDN w:val="0"/>
        <w:ind w:hanging="142"/>
        <w:rPr>
          <w:sz w:val="16"/>
          <w:szCs w:val="16"/>
        </w:rPr>
      </w:pPr>
      <w:r>
        <w:rPr>
          <w:sz w:val="16"/>
          <w:szCs w:val="16"/>
        </w:rPr>
        <w:t xml:space="preserve">2) </w:t>
      </w:r>
      <w:r w:rsidRPr="00A90358">
        <w:rPr>
          <w:rFonts w:cs="Segoe UI"/>
          <w:sz w:val="16"/>
          <w:szCs w:val="16"/>
        </w:rPr>
        <w:t>Source: Department of the Environment and Energy, Environmental Resources Information Network Species Profile and Threats (SPRaT) Database, July 2018.</w:t>
      </w:r>
    </w:p>
    <w:p w14:paraId="26ABE0DF" w14:textId="77777777" w:rsidR="00A90358" w:rsidRDefault="00A90358" w:rsidP="00A90358">
      <w:pPr>
        <w:autoSpaceDE w:val="0"/>
        <w:autoSpaceDN w:val="0"/>
        <w:ind w:hanging="142"/>
        <w:rPr>
          <w:sz w:val="16"/>
          <w:szCs w:val="16"/>
        </w:rPr>
      </w:pPr>
      <w:r w:rsidRPr="00A90358">
        <w:rPr>
          <w:sz w:val="16"/>
          <w:szCs w:val="16"/>
        </w:rPr>
        <w:t># The Commonwealth ‘Endangered’ category also includes species listed by WA and the</w:t>
      </w:r>
      <w:r>
        <w:rPr>
          <w:sz w:val="16"/>
          <w:szCs w:val="16"/>
        </w:rPr>
        <w:t xml:space="preserve"> IUCN as Critically Endangered.</w:t>
      </w:r>
    </w:p>
    <w:p w14:paraId="26ABE0E0" w14:textId="77777777" w:rsidR="00A90358" w:rsidRDefault="00A90358" w:rsidP="00A90358">
      <w:pPr>
        <w:autoSpaceDE w:val="0"/>
        <w:autoSpaceDN w:val="0"/>
        <w:ind w:hanging="142"/>
        <w:rPr>
          <w:sz w:val="16"/>
          <w:szCs w:val="16"/>
        </w:rPr>
      </w:pPr>
      <w:r w:rsidRPr="00A90358">
        <w:rPr>
          <w:sz w:val="16"/>
          <w:szCs w:val="16"/>
        </w:rPr>
        <w:t>* Species marked with an asterisk have a specific Conservation Statement prepared for them. Conservation statements were prepared as partof the comprehensive regional assessment phase of the WA RFA for species (within the WA RFA region) listed as endangered or vulnerable and for which recovery plans or interim recovery plans have</w:t>
      </w:r>
      <w:r>
        <w:rPr>
          <w:sz w:val="16"/>
          <w:szCs w:val="16"/>
        </w:rPr>
        <w:t xml:space="preserve"> not or are not being prepared.</w:t>
      </w:r>
    </w:p>
    <w:p w14:paraId="26ABE0E1" w14:textId="77777777" w:rsidR="00A90358" w:rsidRPr="00A90358" w:rsidRDefault="00A90358" w:rsidP="00A90358">
      <w:pPr>
        <w:autoSpaceDE w:val="0"/>
        <w:autoSpaceDN w:val="0"/>
        <w:ind w:hanging="142"/>
        <w:rPr>
          <w:sz w:val="16"/>
          <w:szCs w:val="16"/>
        </w:rPr>
      </w:pPr>
      <w:r w:rsidRPr="00A90358">
        <w:rPr>
          <w:sz w:val="16"/>
          <w:szCs w:val="16"/>
        </w:rPr>
        <w:t xml:space="preserve">** This Act ceased on 16 July 2000 as it was repealed by the </w:t>
      </w:r>
      <w:r w:rsidRPr="00A90358">
        <w:rPr>
          <w:i/>
          <w:iCs/>
          <w:sz w:val="16"/>
          <w:szCs w:val="16"/>
        </w:rPr>
        <w:t>Environment Reform (Consequential Provisions) Act 1999</w:t>
      </w:r>
      <w:r w:rsidRPr="00A90358">
        <w:rPr>
          <w:sz w:val="16"/>
          <w:szCs w:val="16"/>
        </w:rPr>
        <w:t>. It was replaced by the EPBC Act 1999.</w:t>
      </w:r>
    </w:p>
    <w:p w14:paraId="26ABE0E2" w14:textId="77777777" w:rsidR="00A90358" w:rsidRPr="00A90358" w:rsidRDefault="00A90358" w:rsidP="00A90358"/>
    <w:p w14:paraId="26ABE0E3" w14:textId="77777777" w:rsidR="00042410" w:rsidRPr="00CE60B2" w:rsidRDefault="00042410" w:rsidP="00042410">
      <w:pPr>
        <w:rPr>
          <w:rFonts w:cs="Segoe UI"/>
        </w:rPr>
      </w:pPr>
    </w:p>
    <w:p w14:paraId="26ABE0E4" w14:textId="77777777" w:rsidR="00042410" w:rsidRPr="00CE60B2" w:rsidRDefault="00042410" w:rsidP="00042410">
      <w:pPr>
        <w:pStyle w:val="Heading1"/>
        <w:rPr>
          <w:rFonts w:ascii="Segoe UI" w:hAnsi="Segoe UI" w:cs="Segoe UI"/>
        </w:rPr>
        <w:sectPr w:rsidR="00042410" w:rsidRPr="00CE60B2" w:rsidSect="00BC04C1">
          <w:pgSz w:w="11906" w:h="16838" w:code="9"/>
          <w:pgMar w:top="1418" w:right="1418" w:bottom="1418" w:left="1418" w:header="737" w:footer="680" w:gutter="0"/>
          <w:cols w:space="708"/>
          <w:docGrid w:linePitch="360"/>
        </w:sectPr>
      </w:pPr>
    </w:p>
    <w:p w14:paraId="26ABE0E5" w14:textId="77777777" w:rsidR="00042410" w:rsidRPr="00CE60B2" w:rsidRDefault="00042410" w:rsidP="00042410">
      <w:pPr>
        <w:pStyle w:val="Heading5"/>
        <w:rPr>
          <w:rFonts w:cs="Segoe UI"/>
        </w:rPr>
      </w:pPr>
      <w:bookmarkStart w:id="241" w:name="_Toc524952850"/>
      <w:bookmarkStart w:id="242" w:name="_Toc526862053"/>
      <w:r>
        <w:rPr>
          <w:rFonts w:cs="Segoe UI"/>
        </w:rPr>
        <w:lastRenderedPageBreak/>
        <w:t xml:space="preserve">EPBC Act listed Ecological </w:t>
      </w:r>
      <w:r w:rsidRPr="00CE60B2">
        <w:rPr>
          <w:rFonts w:cs="Segoe UI"/>
        </w:rPr>
        <w:t>Communities</w:t>
      </w:r>
      <w:bookmarkEnd w:id="241"/>
    </w:p>
    <w:tbl>
      <w:tblPr>
        <w:tblW w:w="5398" w:type="pct"/>
        <w:tblInd w:w="-431" w:type="dxa"/>
        <w:tblLayout w:type="fixed"/>
        <w:tblLook w:val="04A0" w:firstRow="1" w:lastRow="0" w:firstColumn="1" w:lastColumn="0" w:noHBand="0" w:noVBand="1"/>
      </w:tblPr>
      <w:tblGrid>
        <w:gridCol w:w="2978"/>
        <w:gridCol w:w="1558"/>
        <w:gridCol w:w="1843"/>
        <w:gridCol w:w="3402"/>
      </w:tblGrid>
      <w:tr w:rsidR="00042410" w:rsidRPr="00CE60B2" w14:paraId="26ABE0EB" w14:textId="77777777" w:rsidTr="00736CC4">
        <w:trPr>
          <w:cantSplit/>
          <w:trHeight w:val="330"/>
          <w:tblHeader/>
        </w:trPr>
        <w:tc>
          <w:tcPr>
            <w:tcW w:w="1522" w:type="pct"/>
            <w:tcBorders>
              <w:top w:val="single" w:sz="4" w:space="0" w:color="auto"/>
              <w:left w:val="single" w:sz="4" w:space="0" w:color="auto"/>
              <w:bottom w:val="single" w:sz="4" w:space="0" w:color="auto"/>
              <w:right w:val="single" w:sz="4" w:space="0" w:color="auto"/>
            </w:tcBorders>
            <w:shd w:val="clear" w:color="auto" w:fill="DFEFE1" w:themeFill="accent3" w:themeFillTint="66"/>
            <w:noWrap/>
            <w:vAlign w:val="bottom"/>
          </w:tcPr>
          <w:p w14:paraId="26ABE0E6" w14:textId="77777777" w:rsidR="00042410" w:rsidRPr="00CE60B2" w:rsidRDefault="00042410" w:rsidP="00432195">
            <w:pPr>
              <w:spacing w:before="0" w:after="0"/>
              <w:rPr>
                <w:rFonts w:eastAsia="Times New Roman" w:cs="Segoe UI"/>
                <w:b/>
                <w:bCs/>
                <w:color w:val="000000"/>
                <w:lang w:eastAsia="en-AU"/>
              </w:rPr>
            </w:pPr>
          </w:p>
          <w:p w14:paraId="26ABE0E7" w14:textId="77777777" w:rsidR="00042410" w:rsidRPr="00CE60B2" w:rsidRDefault="00042410" w:rsidP="00432195">
            <w:pPr>
              <w:spacing w:before="0" w:after="0"/>
              <w:rPr>
                <w:rFonts w:eastAsia="Times New Roman" w:cs="Segoe UI"/>
                <w:b/>
                <w:bCs/>
                <w:color w:val="000000"/>
                <w:lang w:eastAsia="en-AU"/>
              </w:rPr>
            </w:pPr>
            <w:r w:rsidRPr="00CE60B2">
              <w:rPr>
                <w:rFonts w:eastAsia="Times New Roman" w:cs="Segoe UI"/>
                <w:b/>
                <w:bCs/>
                <w:color w:val="000000"/>
                <w:lang w:eastAsia="en-AU"/>
              </w:rPr>
              <w:t>Community name</w:t>
            </w:r>
          </w:p>
        </w:tc>
        <w:tc>
          <w:tcPr>
            <w:tcW w:w="796" w:type="pct"/>
            <w:tcBorders>
              <w:top w:val="single" w:sz="4" w:space="0" w:color="auto"/>
              <w:left w:val="nil"/>
              <w:bottom w:val="single" w:sz="4" w:space="0" w:color="auto"/>
              <w:right w:val="single" w:sz="4" w:space="0" w:color="auto"/>
            </w:tcBorders>
            <w:shd w:val="clear" w:color="auto" w:fill="DFEFE1" w:themeFill="accent3" w:themeFillTint="66"/>
            <w:noWrap/>
            <w:vAlign w:val="bottom"/>
          </w:tcPr>
          <w:p w14:paraId="26ABE0E8" w14:textId="77777777" w:rsidR="00042410" w:rsidRPr="00CE60B2" w:rsidRDefault="00042410" w:rsidP="00FE3C6C">
            <w:pPr>
              <w:spacing w:before="0" w:after="0"/>
              <w:rPr>
                <w:rFonts w:eastAsia="Times New Roman" w:cs="Segoe UI"/>
                <w:b/>
                <w:bCs/>
                <w:color w:val="000000"/>
                <w:lang w:eastAsia="en-AU"/>
              </w:rPr>
            </w:pPr>
            <w:r w:rsidRPr="00CE60B2">
              <w:rPr>
                <w:rFonts w:eastAsia="Times New Roman" w:cs="Segoe UI"/>
                <w:b/>
                <w:bCs/>
                <w:color w:val="000000"/>
                <w:lang w:eastAsia="en-AU"/>
              </w:rPr>
              <w:t xml:space="preserve">EPBC Act </w:t>
            </w:r>
            <w:r w:rsidR="00FE3C6C" w:rsidRPr="00CE60B2">
              <w:rPr>
                <w:rFonts w:eastAsia="Times New Roman" w:cs="Segoe UI"/>
                <w:b/>
                <w:bCs/>
                <w:color w:val="000000"/>
                <w:lang w:eastAsia="en-AU"/>
              </w:rPr>
              <w:t>listing</w:t>
            </w:r>
            <w:r w:rsidR="00FE3C6C">
              <w:rPr>
                <w:rFonts w:eastAsia="Times New Roman" w:cs="Segoe UI"/>
                <w:b/>
                <w:bCs/>
                <w:color w:val="000000"/>
                <w:vertAlign w:val="superscript"/>
                <w:lang w:eastAsia="en-AU"/>
              </w:rPr>
              <w:t>1</w:t>
            </w:r>
          </w:p>
        </w:tc>
        <w:tc>
          <w:tcPr>
            <w:tcW w:w="942" w:type="pct"/>
            <w:tcBorders>
              <w:top w:val="single" w:sz="4" w:space="0" w:color="auto"/>
              <w:left w:val="nil"/>
              <w:bottom w:val="single" w:sz="4" w:space="0" w:color="auto"/>
              <w:right w:val="single" w:sz="4" w:space="0" w:color="auto"/>
            </w:tcBorders>
            <w:shd w:val="clear" w:color="auto" w:fill="DFEFE1" w:themeFill="accent3" w:themeFillTint="66"/>
            <w:noWrap/>
            <w:vAlign w:val="bottom"/>
          </w:tcPr>
          <w:p w14:paraId="26ABE0E9" w14:textId="77777777" w:rsidR="00042410" w:rsidRPr="00CE60B2" w:rsidRDefault="00042410" w:rsidP="00432195">
            <w:pPr>
              <w:spacing w:before="0" w:after="0"/>
              <w:rPr>
                <w:rFonts w:eastAsia="Times New Roman" w:cs="Segoe UI"/>
                <w:b/>
                <w:color w:val="000000"/>
                <w:lang w:eastAsia="en-AU"/>
              </w:rPr>
            </w:pPr>
            <w:r w:rsidRPr="00CE60B2">
              <w:rPr>
                <w:rFonts w:eastAsia="Times New Roman" w:cs="Segoe UI"/>
                <w:b/>
                <w:bCs/>
                <w:color w:val="000000"/>
                <w:szCs w:val="20"/>
                <w:lang w:eastAsia="en-AU"/>
              </w:rPr>
              <w:t>EPBC listing date effective</w:t>
            </w:r>
          </w:p>
        </w:tc>
        <w:tc>
          <w:tcPr>
            <w:tcW w:w="1739" w:type="pct"/>
            <w:tcBorders>
              <w:top w:val="single" w:sz="4" w:space="0" w:color="auto"/>
              <w:left w:val="nil"/>
              <w:bottom w:val="single" w:sz="4" w:space="0" w:color="auto"/>
              <w:right w:val="single" w:sz="4" w:space="0" w:color="auto"/>
            </w:tcBorders>
            <w:shd w:val="clear" w:color="auto" w:fill="DFEFE1" w:themeFill="accent3" w:themeFillTint="66"/>
            <w:noWrap/>
            <w:vAlign w:val="bottom"/>
          </w:tcPr>
          <w:p w14:paraId="26ABE0EA" w14:textId="77777777" w:rsidR="00042410" w:rsidRPr="00CE60B2" w:rsidRDefault="00042410" w:rsidP="00FE3C6C">
            <w:pPr>
              <w:spacing w:before="0" w:after="0"/>
              <w:rPr>
                <w:rFonts w:eastAsia="Times New Roman" w:cs="Segoe UI"/>
                <w:b/>
                <w:i/>
                <w:iCs/>
                <w:color w:val="000000"/>
                <w:lang w:eastAsia="en-AU"/>
              </w:rPr>
            </w:pPr>
            <w:r w:rsidRPr="00CE60B2">
              <w:rPr>
                <w:rFonts w:eastAsia="Times New Roman" w:cs="Segoe UI"/>
                <w:b/>
                <w:bCs/>
                <w:color w:val="000000"/>
                <w:szCs w:val="20"/>
                <w:lang w:eastAsia="en-AU"/>
              </w:rPr>
              <w:t xml:space="preserve">Status of conservation advice and recovery </w:t>
            </w:r>
            <w:r w:rsidR="00FE3C6C" w:rsidRPr="00CE60B2">
              <w:rPr>
                <w:rFonts w:eastAsia="Times New Roman" w:cs="Segoe UI"/>
                <w:b/>
                <w:bCs/>
                <w:color w:val="000000"/>
                <w:szCs w:val="20"/>
                <w:lang w:eastAsia="en-AU"/>
              </w:rPr>
              <w:t>plans</w:t>
            </w:r>
            <w:r w:rsidR="00FE3C6C">
              <w:rPr>
                <w:rFonts w:eastAsia="Times New Roman" w:cs="Segoe UI"/>
                <w:b/>
                <w:bCs/>
                <w:color w:val="000000"/>
                <w:szCs w:val="20"/>
                <w:vertAlign w:val="superscript"/>
                <w:lang w:eastAsia="en-AU"/>
              </w:rPr>
              <w:t>2</w:t>
            </w:r>
          </w:p>
        </w:tc>
      </w:tr>
      <w:tr w:rsidR="00042410" w:rsidRPr="00CE60B2" w14:paraId="26ABE0F0"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0EC" w14:textId="77777777" w:rsidR="00042410" w:rsidRPr="00CE60B2" w:rsidRDefault="00042410" w:rsidP="00432195">
            <w:pPr>
              <w:spacing w:before="0" w:after="0"/>
              <w:rPr>
                <w:rFonts w:eastAsia="Times New Roman" w:cs="Segoe UI"/>
                <w:bCs/>
                <w:color w:val="000000"/>
                <w:lang w:eastAsia="en-AU"/>
              </w:rPr>
            </w:pPr>
            <w:r w:rsidRPr="00CE60B2">
              <w:rPr>
                <w:rFonts w:eastAsia="Times New Roman" w:cs="Segoe UI"/>
                <w:bCs/>
                <w:color w:val="000000"/>
                <w:lang w:eastAsia="en-AU"/>
              </w:rPr>
              <w:t>Aquatic Root Matt Community 1 in Caves of the Leeuwin Naturaliste Ridge</w:t>
            </w:r>
          </w:p>
        </w:tc>
        <w:tc>
          <w:tcPr>
            <w:tcW w:w="796" w:type="pct"/>
            <w:tcBorders>
              <w:top w:val="nil"/>
              <w:left w:val="nil"/>
              <w:bottom w:val="single" w:sz="4" w:space="0" w:color="auto"/>
              <w:right w:val="single" w:sz="4" w:space="0" w:color="auto"/>
            </w:tcBorders>
            <w:shd w:val="clear" w:color="auto" w:fill="auto"/>
            <w:noWrap/>
          </w:tcPr>
          <w:p w14:paraId="26ABE0ED" w14:textId="77777777" w:rsidR="00042410" w:rsidRPr="00CE60B2" w:rsidRDefault="00042410" w:rsidP="00432195">
            <w:pPr>
              <w:spacing w:before="0" w:after="0"/>
              <w:rPr>
                <w:rFonts w:eastAsia="Times New Roman" w:cs="Segoe UI"/>
                <w:bCs/>
                <w:color w:val="000000"/>
                <w:lang w:eastAsia="en-AU"/>
              </w:rPr>
            </w:pPr>
            <w:r w:rsidRPr="00CE60B2">
              <w:rPr>
                <w:rFonts w:eastAsia="Times New Roman" w:cs="Segoe UI"/>
                <w:bCs/>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0EE"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July 2000</w:t>
            </w:r>
          </w:p>
        </w:tc>
        <w:tc>
          <w:tcPr>
            <w:tcW w:w="1739" w:type="pct"/>
            <w:tcBorders>
              <w:top w:val="nil"/>
              <w:left w:val="nil"/>
              <w:bottom w:val="single" w:sz="4" w:space="0" w:color="auto"/>
              <w:right w:val="single" w:sz="4" w:space="0" w:color="auto"/>
            </w:tcBorders>
            <w:shd w:val="clear" w:color="auto" w:fill="auto"/>
            <w:noWrap/>
          </w:tcPr>
          <w:p w14:paraId="26ABE0EF"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RP approved; RP required</w:t>
            </w:r>
          </w:p>
        </w:tc>
      </w:tr>
      <w:tr w:rsidR="00042410" w:rsidRPr="00CE60B2" w14:paraId="26ABE0F5"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0F1"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bCs/>
                <w:color w:val="000000"/>
                <w:lang w:eastAsia="en-AU"/>
              </w:rPr>
              <w:t>Aquatic Root Matt Community 2 in Caves of the Leeuwin Naturaliste Ridge</w:t>
            </w:r>
          </w:p>
        </w:tc>
        <w:tc>
          <w:tcPr>
            <w:tcW w:w="796" w:type="pct"/>
            <w:tcBorders>
              <w:top w:val="nil"/>
              <w:left w:val="nil"/>
              <w:bottom w:val="single" w:sz="4" w:space="0" w:color="auto"/>
              <w:right w:val="single" w:sz="4" w:space="0" w:color="auto"/>
            </w:tcBorders>
            <w:shd w:val="clear" w:color="auto" w:fill="auto"/>
            <w:noWrap/>
          </w:tcPr>
          <w:p w14:paraId="26ABE0F2"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0F3"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July 2000</w:t>
            </w:r>
          </w:p>
        </w:tc>
        <w:tc>
          <w:tcPr>
            <w:tcW w:w="1739" w:type="pct"/>
            <w:tcBorders>
              <w:top w:val="nil"/>
              <w:left w:val="nil"/>
              <w:bottom w:val="single" w:sz="4" w:space="0" w:color="auto"/>
              <w:right w:val="single" w:sz="4" w:space="0" w:color="auto"/>
            </w:tcBorders>
            <w:shd w:val="clear" w:color="000000" w:fill="FFFFFF"/>
          </w:tcPr>
          <w:p w14:paraId="26ABE0F4"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RP approved; RP required</w:t>
            </w:r>
          </w:p>
        </w:tc>
      </w:tr>
      <w:tr w:rsidR="00042410" w:rsidRPr="00CE60B2" w14:paraId="26ABE0FA"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0F6" w14:textId="77777777" w:rsidR="00042410" w:rsidRPr="00CE60B2" w:rsidRDefault="00042410" w:rsidP="00432195">
            <w:pPr>
              <w:spacing w:before="0" w:after="0"/>
              <w:rPr>
                <w:rFonts w:eastAsia="Times New Roman" w:cs="Segoe UI"/>
                <w:bCs/>
                <w:color w:val="000000"/>
                <w:lang w:eastAsia="en-AU"/>
              </w:rPr>
            </w:pPr>
            <w:r w:rsidRPr="00CE60B2">
              <w:rPr>
                <w:rFonts w:eastAsia="Times New Roman" w:cs="Segoe UI"/>
                <w:bCs/>
                <w:color w:val="000000"/>
                <w:lang w:eastAsia="en-AU"/>
              </w:rPr>
              <w:t>Aquatic Root Matt Community 3 in Caves of the Leeuwin Naturaliste Ridge</w:t>
            </w:r>
          </w:p>
        </w:tc>
        <w:tc>
          <w:tcPr>
            <w:tcW w:w="796" w:type="pct"/>
            <w:tcBorders>
              <w:top w:val="nil"/>
              <w:left w:val="nil"/>
              <w:bottom w:val="single" w:sz="4" w:space="0" w:color="auto"/>
              <w:right w:val="single" w:sz="4" w:space="0" w:color="auto"/>
            </w:tcBorders>
            <w:shd w:val="clear" w:color="auto" w:fill="auto"/>
            <w:noWrap/>
          </w:tcPr>
          <w:p w14:paraId="26ABE0F7"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0F8"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July 2000</w:t>
            </w:r>
          </w:p>
        </w:tc>
        <w:tc>
          <w:tcPr>
            <w:tcW w:w="1739" w:type="pct"/>
            <w:tcBorders>
              <w:top w:val="nil"/>
              <w:left w:val="nil"/>
              <w:bottom w:val="single" w:sz="4" w:space="0" w:color="auto"/>
              <w:right w:val="single" w:sz="4" w:space="0" w:color="auto"/>
            </w:tcBorders>
            <w:shd w:val="clear" w:color="000000" w:fill="FFFFFF"/>
          </w:tcPr>
          <w:p w14:paraId="26ABE0F9"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RP approved; RP required</w:t>
            </w:r>
          </w:p>
        </w:tc>
      </w:tr>
      <w:tr w:rsidR="00042410" w:rsidRPr="00CE60B2" w14:paraId="26ABE0FF"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0FB" w14:textId="77777777" w:rsidR="00042410" w:rsidRPr="00CE60B2" w:rsidRDefault="00042410" w:rsidP="00432195">
            <w:pPr>
              <w:spacing w:before="0" w:after="0"/>
              <w:rPr>
                <w:rFonts w:eastAsia="Times New Roman" w:cs="Segoe UI"/>
                <w:bCs/>
                <w:color w:val="000000"/>
                <w:lang w:eastAsia="en-AU"/>
              </w:rPr>
            </w:pPr>
            <w:r w:rsidRPr="00CE60B2">
              <w:rPr>
                <w:rFonts w:eastAsia="Times New Roman" w:cs="Segoe UI"/>
                <w:bCs/>
                <w:color w:val="000000"/>
                <w:lang w:eastAsia="en-AU"/>
              </w:rPr>
              <w:t>Aquatic Root Matt Community 4 in Caves of the Leeuwin Naturaliste Ridge</w:t>
            </w:r>
          </w:p>
        </w:tc>
        <w:tc>
          <w:tcPr>
            <w:tcW w:w="796" w:type="pct"/>
            <w:tcBorders>
              <w:top w:val="nil"/>
              <w:left w:val="nil"/>
              <w:bottom w:val="single" w:sz="4" w:space="0" w:color="auto"/>
              <w:right w:val="single" w:sz="4" w:space="0" w:color="auto"/>
            </w:tcBorders>
            <w:shd w:val="clear" w:color="auto" w:fill="auto"/>
            <w:noWrap/>
          </w:tcPr>
          <w:p w14:paraId="26ABE0FC"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0FD"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July 2000</w:t>
            </w:r>
          </w:p>
        </w:tc>
        <w:tc>
          <w:tcPr>
            <w:tcW w:w="1739" w:type="pct"/>
            <w:tcBorders>
              <w:top w:val="nil"/>
              <w:left w:val="nil"/>
              <w:bottom w:val="single" w:sz="4" w:space="0" w:color="auto"/>
              <w:right w:val="single" w:sz="4" w:space="0" w:color="auto"/>
            </w:tcBorders>
            <w:shd w:val="clear" w:color="000000" w:fill="FFFFFF"/>
          </w:tcPr>
          <w:p w14:paraId="26ABE0FE"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RP approved; RP required</w:t>
            </w:r>
          </w:p>
        </w:tc>
      </w:tr>
      <w:tr w:rsidR="00042410" w:rsidRPr="00CE60B2" w14:paraId="26ABE104"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100" w14:textId="77777777" w:rsidR="00042410" w:rsidRPr="00CE60B2" w:rsidRDefault="00042410" w:rsidP="00432195">
            <w:pPr>
              <w:spacing w:before="0" w:after="0"/>
              <w:rPr>
                <w:rFonts w:eastAsia="Times New Roman" w:cs="Segoe UI"/>
                <w:bCs/>
                <w:color w:val="000000"/>
                <w:lang w:eastAsia="en-AU"/>
              </w:rPr>
            </w:pPr>
            <w:r w:rsidRPr="00CE60B2">
              <w:rPr>
                <w:rFonts w:eastAsia="Times New Roman" w:cs="Segoe UI"/>
                <w:bCs/>
                <w:color w:val="000000"/>
                <w:lang w:eastAsia="en-AU"/>
              </w:rPr>
              <w:t>Assemblages of plants and invertebrate animals of tumulus (organic mound) springs of the Swan Coastal Plain</w:t>
            </w:r>
          </w:p>
        </w:tc>
        <w:tc>
          <w:tcPr>
            <w:tcW w:w="796" w:type="pct"/>
            <w:tcBorders>
              <w:top w:val="nil"/>
              <w:left w:val="nil"/>
              <w:bottom w:val="single" w:sz="4" w:space="0" w:color="auto"/>
              <w:right w:val="single" w:sz="4" w:space="0" w:color="auto"/>
            </w:tcBorders>
            <w:shd w:val="clear" w:color="auto" w:fill="auto"/>
            <w:noWrap/>
          </w:tcPr>
          <w:p w14:paraId="26ABE101"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102"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July 2000</w:t>
            </w:r>
          </w:p>
        </w:tc>
        <w:tc>
          <w:tcPr>
            <w:tcW w:w="1739" w:type="pct"/>
            <w:tcBorders>
              <w:top w:val="nil"/>
              <w:left w:val="nil"/>
              <w:bottom w:val="single" w:sz="4" w:space="0" w:color="auto"/>
              <w:right w:val="single" w:sz="4" w:space="0" w:color="auto"/>
            </w:tcBorders>
            <w:shd w:val="clear" w:color="000000" w:fill="FFFFFF"/>
          </w:tcPr>
          <w:p w14:paraId="26ABE103"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RP approved; RP required</w:t>
            </w:r>
          </w:p>
        </w:tc>
      </w:tr>
      <w:tr w:rsidR="00042410" w:rsidRPr="00CE60B2" w14:paraId="26ABE109"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105" w14:textId="77777777" w:rsidR="00042410" w:rsidRPr="00CE60B2" w:rsidRDefault="00042410" w:rsidP="00432195">
            <w:pPr>
              <w:spacing w:before="0" w:after="0"/>
              <w:rPr>
                <w:rFonts w:eastAsia="Times New Roman" w:cs="Segoe UI"/>
                <w:bCs/>
                <w:color w:val="000000"/>
                <w:lang w:eastAsia="en-AU"/>
              </w:rPr>
            </w:pPr>
            <w:r w:rsidRPr="00CE60B2">
              <w:rPr>
                <w:rFonts w:eastAsia="Times New Roman" w:cs="Segoe UI"/>
                <w:bCs/>
                <w:color w:val="000000"/>
                <w:lang w:eastAsia="en-AU"/>
              </w:rPr>
              <w:t>Banksia Woodlands of the Swan Coastal Plain ecological community</w:t>
            </w:r>
          </w:p>
        </w:tc>
        <w:tc>
          <w:tcPr>
            <w:tcW w:w="796" w:type="pct"/>
            <w:tcBorders>
              <w:top w:val="nil"/>
              <w:left w:val="nil"/>
              <w:bottom w:val="single" w:sz="4" w:space="0" w:color="auto"/>
              <w:right w:val="single" w:sz="4" w:space="0" w:color="auto"/>
            </w:tcBorders>
            <w:shd w:val="clear" w:color="auto" w:fill="auto"/>
            <w:noWrap/>
          </w:tcPr>
          <w:p w14:paraId="26ABE106"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107"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September 2016</w:t>
            </w:r>
          </w:p>
        </w:tc>
        <w:tc>
          <w:tcPr>
            <w:tcW w:w="1739" w:type="pct"/>
            <w:tcBorders>
              <w:top w:val="nil"/>
              <w:left w:val="nil"/>
              <w:bottom w:val="single" w:sz="4" w:space="0" w:color="auto"/>
              <w:right w:val="single" w:sz="4" w:space="0" w:color="auto"/>
            </w:tcBorders>
            <w:shd w:val="clear" w:color="000000" w:fill="FFFFFF"/>
          </w:tcPr>
          <w:p w14:paraId="26ABE108"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CA approved; RP not required</w:t>
            </w:r>
          </w:p>
        </w:tc>
      </w:tr>
      <w:tr w:rsidR="00042410" w:rsidRPr="00CE60B2" w14:paraId="26ABE10E"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10A"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bCs/>
                <w:color w:val="000000"/>
                <w:lang w:eastAsia="en-AU"/>
              </w:rPr>
              <w:t>Clay Pans of the Swan Coastal Plain</w:t>
            </w:r>
          </w:p>
        </w:tc>
        <w:tc>
          <w:tcPr>
            <w:tcW w:w="796" w:type="pct"/>
            <w:tcBorders>
              <w:top w:val="nil"/>
              <w:left w:val="nil"/>
              <w:bottom w:val="single" w:sz="4" w:space="0" w:color="auto"/>
              <w:right w:val="single" w:sz="4" w:space="0" w:color="auto"/>
            </w:tcBorders>
            <w:shd w:val="clear" w:color="auto" w:fill="auto"/>
            <w:noWrap/>
          </w:tcPr>
          <w:p w14:paraId="26ABE10B"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Critically Endangered</w:t>
            </w:r>
          </w:p>
        </w:tc>
        <w:tc>
          <w:tcPr>
            <w:tcW w:w="942" w:type="pct"/>
            <w:tcBorders>
              <w:top w:val="nil"/>
              <w:left w:val="nil"/>
              <w:bottom w:val="single" w:sz="4" w:space="0" w:color="auto"/>
              <w:right w:val="single" w:sz="4" w:space="0" w:color="auto"/>
            </w:tcBorders>
            <w:shd w:val="clear" w:color="auto" w:fill="auto"/>
            <w:noWrap/>
          </w:tcPr>
          <w:p w14:paraId="26ABE10C"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27 March 2012</w:t>
            </w:r>
          </w:p>
        </w:tc>
        <w:tc>
          <w:tcPr>
            <w:tcW w:w="1739" w:type="pct"/>
            <w:tcBorders>
              <w:top w:val="nil"/>
              <w:left w:val="nil"/>
              <w:bottom w:val="single" w:sz="4" w:space="0" w:color="auto"/>
              <w:right w:val="single" w:sz="4" w:space="0" w:color="auto"/>
            </w:tcBorders>
            <w:shd w:val="clear" w:color="000000" w:fill="FFFFFF"/>
          </w:tcPr>
          <w:p w14:paraId="26ABE10D"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CA approved; RP required</w:t>
            </w:r>
          </w:p>
        </w:tc>
      </w:tr>
      <w:tr w:rsidR="00042410" w:rsidRPr="00CE60B2" w14:paraId="26ABE113"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10F"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bCs/>
                <w:color w:val="000000"/>
                <w:lang w:eastAsia="en-AU"/>
              </w:rPr>
              <w:t>Corymbia calophylla – Kingia australis woodlands on heavy soils of the Swan Coastal Plain</w:t>
            </w:r>
          </w:p>
        </w:tc>
        <w:tc>
          <w:tcPr>
            <w:tcW w:w="796" w:type="pct"/>
            <w:tcBorders>
              <w:top w:val="nil"/>
              <w:left w:val="nil"/>
              <w:bottom w:val="single" w:sz="4" w:space="0" w:color="auto"/>
              <w:right w:val="single" w:sz="4" w:space="0" w:color="auto"/>
            </w:tcBorders>
            <w:shd w:val="clear" w:color="auto" w:fill="auto"/>
            <w:noWrap/>
          </w:tcPr>
          <w:p w14:paraId="26ABE110"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111"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July 2000</w:t>
            </w:r>
          </w:p>
        </w:tc>
        <w:tc>
          <w:tcPr>
            <w:tcW w:w="1739" w:type="pct"/>
            <w:tcBorders>
              <w:top w:val="nil"/>
              <w:left w:val="nil"/>
              <w:bottom w:val="single" w:sz="4" w:space="0" w:color="auto"/>
              <w:right w:val="single" w:sz="4" w:space="0" w:color="auto"/>
            </w:tcBorders>
            <w:shd w:val="clear" w:color="000000" w:fill="FFFFFF"/>
          </w:tcPr>
          <w:p w14:paraId="26ABE112" w14:textId="77777777" w:rsidR="00042410" w:rsidRPr="00CE60B2" w:rsidRDefault="00042410" w:rsidP="00432195">
            <w:pPr>
              <w:spacing w:before="0" w:after="0"/>
              <w:rPr>
                <w:rFonts w:eastAsia="Times New Roman" w:cs="Segoe UI"/>
                <w:iCs/>
                <w:color w:val="000000"/>
                <w:lang w:eastAsia="en-AU"/>
              </w:rPr>
            </w:pPr>
            <w:r>
              <w:rPr>
                <w:rFonts w:eastAsia="Times New Roman" w:cs="Segoe UI"/>
                <w:iCs/>
                <w:color w:val="000000"/>
                <w:lang w:eastAsia="en-AU"/>
              </w:rPr>
              <w:t xml:space="preserve">CA approved; </w:t>
            </w:r>
            <w:r w:rsidRPr="00CE60B2">
              <w:rPr>
                <w:rFonts w:eastAsia="Times New Roman" w:cs="Segoe UI"/>
                <w:iCs/>
                <w:color w:val="000000"/>
                <w:lang w:eastAsia="en-AU"/>
              </w:rPr>
              <w:t>RP approved; RP required</w:t>
            </w:r>
          </w:p>
        </w:tc>
      </w:tr>
      <w:tr w:rsidR="00042410" w:rsidRPr="00CE60B2" w14:paraId="26ABE118"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114"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bCs/>
                <w:color w:val="000000"/>
                <w:lang w:eastAsia="en-AU"/>
              </w:rPr>
              <w:t>Corymbia calophylla – Xanthorrhoea preissii woodlands and shrublands of the Swan Coastal Plain</w:t>
            </w:r>
          </w:p>
        </w:tc>
        <w:tc>
          <w:tcPr>
            <w:tcW w:w="796" w:type="pct"/>
            <w:tcBorders>
              <w:top w:val="nil"/>
              <w:left w:val="nil"/>
              <w:bottom w:val="single" w:sz="4" w:space="0" w:color="auto"/>
              <w:right w:val="single" w:sz="4" w:space="0" w:color="auto"/>
            </w:tcBorders>
            <w:shd w:val="clear" w:color="auto" w:fill="auto"/>
            <w:noWrap/>
          </w:tcPr>
          <w:p w14:paraId="26ABE115"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116"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July 2000</w:t>
            </w:r>
          </w:p>
        </w:tc>
        <w:tc>
          <w:tcPr>
            <w:tcW w:w="1739" w:type="pct"/>
            <w:tcBorders>
              <w:top w:val="nil"/>
              <w:left w:val="nil"/>
              <w:bottom w:val="single" w:sz="4" w:space="0" w:color="auto"/>
              <w:right w:val="single" w:sz="4" w:space="0" w:color="auto"/>
            </w:tcBorders>
            <w:shd w:val="clear" w:color="000000" w:fill="FFFFFF"/>
          </w:tcPr>
          <w:p w14:paraId="26ABE117" w14:textId="77777777" w:rsidR="00042410" w:rsidRPr="00CE60B2" w:rsidRDefault="00042410" w:rsidP="00432195">
            <w:pPr>
              <w:spacing w:before="0" w:after="0"/>
              <w:rPr>
                <w:rFonts w:eastAsia="Times New Roman" w:cs="Segoe UI"/>
                <w:iCs/>
                <w:color w:val="000000"/>
                <w:lang w:eastAsia="en-AU"/>
              </w:rPr>
            </w:pPr>
            <w:r>
              <w:rPr>
                <w:rFonts w:eastAsia="Times New Roman" w:cs="Segoe UI"/>
                <w:iCs/>
                <w:color w:val="000000"/>
                <w:lang w:eastAsia="en-AU"/>
              </w:rPr>
              <w:t xml:space="preserve">CA approved; </w:t>
            </w:r>
            <w:r w:rsidRPr="00CE60B2">
              <w:rPr>
                <w:rFonts w:eastAsia="Times New Roman" w:cs="Segoe UI"/>
                <w:iCs/>
                <w:color w:val="000000"/>
                <w:lang w:eastAsia="en-AU"/>
              </w:rPr>
              <w:t>RP approved; RP required</w:t>
            </w:r>
          </w:p>
        </w:tc>
      </w:tr>
      <w:tr w:rsidR="00042410" w:rsidRPr="00CE60B2" w14:paraId="26ABE11D"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119"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Eucalypt Woodlands of the Western Australian Wheatbelt</w:t>
            </w:r>
          </w:p>
        </w:tc>
        <w:tc>
          <w:tcPr>
            <w:tcW w:w="796" w:type="pct"/>
            <w:tcBorders>
              <w:top w:val="nil"/>
              <w:left w:val="nil"/>
              <w:bottom w:val="single" w:sz="4" w:space="0" w:color="auto"/>
              <w:right w:val="single" w:sz="4" w:space="0" w:color="auto"/>
            </w:tcBorders>
            <w:shd w:val="clear" w:color="auto" w:fill="auto"/>
            <w:noWrap/>
          </w:tcPr>
          <w:p w14:paraId="26ABE11A"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Critically Endangered</w:t>
            </w:r>
          </w:p>
        </w:tc>
        <w:tc>
          <w:tcPr>
            <w:tcW w:w="942" w:type="pct"/>
            <w:tcBorders>
              <w:top w:val="nil"/>
              <w:left w:val="nil"/>
              <w:bottom w:val="single" w:sz="4" w:space="0" w:color="auto"/>
              <w:right w:val="single" w:sz="4" w:space="0" w:color="auto"/>
            </w:tcBorders>
            <w:shd w:val="clear" w:color="auto" w:fill="auto"/>
            <w:noWrap/>
          </w:tcPr>
          <w:p w14:paraId="26ABE11B"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4 December 2015</w:t>
            </w:r>
          </w:p>
        </w:tc>
        <w:tc>
          <w:tcPr>
            <w:tcW w:w="1739" w:type="pct"/>
            <w:tcBorders>
              <w:top w:val="nil"/>
              <w:left w:val="nil"/>
              <w:bottom w:val="single" w:sz="4" w:space="0" w:color="auto"/>
              <w:right w:val="single" w:sz="4" w:space="0" w:color="auto"/>
            </w:tcBorders>
            <w:shd w:val="clear" w:color="000000" w:fill="FFFFFF"/>
          </w:tcPr>
          <w:p w14:paraId="26ABE11C"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CA approved; RP not required</w:t>
            </w:r>
          </w:p>
        </w:tc>
      </w:tr>
      <w:tr w:rsidR="00042410" w:rsidRPr="00CE60B2" w14:paraId="26ABE122"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11E"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bCs/>
                <w:color w:val="000000"/>
                <w:lang w:eastAsia="en-AU"/>
              </w:rPr>
              <w:t>Scott River Ironstone Association</w:t>
            </w:r>
          </w:p>
        </w:tc>
        <w:tc>
          <w:tcPr>
            <w:tcW w:w="796" w:type="pct"/>
            <w:tcBorders>
              <w:top w:val="nil"/>
              <w:left w:val="nil"/>
              <w:bottom w:val="single" w:sz="4" w:space="0" w:color="auto"/>
              <w:right w:val="single" w:sz="4" w:space="0" w:color="auto"/>
            </w:tcBorders>
            <w:shd w:val="clear" w:color="auto" w:fill="auto"/>
            <w:noWrap/>
          </w:tcPr>
          <w:p w14:paraId="26ABE11F"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120" w14:textId="77777777" w:rsidR="00042410" w:rsidRPr="00CE60B2" w:rsidRDefault="00042410" w:rsidP="00432195">
            <w:pPr>
              <w:spacing w:before="0" w:after="0"/>
              <w:jc w:val="center"/>
              <w:rPr>
                <w:rFonts w:eastAsia="Times New Roman" w:cs="Segoe UI"/>
                <w:color w:val="000000"/>
                <w:lang w:eastAsia="en-AU"/>
              </w:rPr>
            </w:pPr>
            <w:r w:rsidRPr="00CE60B2">
              <w:rPr>
                <w:rFonts w:eastAsia="Times New Roman" w:cs="Segoe UI"/>
                <w:color w:val="000000"/>
                <w:lang w:eastAsia="en-AU"/>
              </w:rPr>
              <w:t>23 May 2013</w:t>
            </w:r>
          </w:p>
        </w:tc>
        <w:tc>
          <w:tcPr>
            <w:tcW w:w="1739" w:type="pct"/>
            <w:tcBorders>
              <w:top w:val="nil"/>
              <w:left w:val="nil"/>
              <w:bottom w:val="single" w:sz="4" w:space="0" w:color="auto"/>
              <w:right w:val="single" w:sz="4" w:space="0" w:color="auto"/>
            </w:tcBorders>
            <w:shd w:val="clear" w:color="000000" w:fill="FFFFFF"/>
          </w:tcPr>
          <w:p w14:paraId="26ABE121"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CA approved; RP required</w:t>
            </w:r>
          </w:p>
        </w:tc>
      </w:tr>
      <w:tr w:rsidR="00042410" w:rsidRPr="00CE60B2" w14:paraId="26ABE127"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123"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bCs/>
                <w:color w:val="000000"/>
                <w:lang w:eastAsia="en-AU"/>
              </w:rPr>
              <w:t>Shrublands and Woodlands of the eastern Swan Coastal Plain</w:t>
            </w:r>
          </w:p>
        </w:tc>
        <w:tc>
          <w:tcPr>
            <w:tcW w:w="796" w:type="pct"/>
            <w:tcBorders>
              <w:top w:val="nil"/>
              <w:left w:val="nil"/>
              <w:bottom w:val="single" w:sz="4" w:space="0" w:color="auto"/>
              <w:right w:val="single" w:sz="4" w:space="0" w:color="auto"/>
            </w:tcBorders>
            <w:shd w:val="clear" w:color="auto" w:fill="auto"/>
            <w:noWrap/>
          </w:tcPr>
          <w:p w14:paraId="26ABE124"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125"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16July 2000</w:t>
            </w:r>
          </w:p>
        </w:tc>
        <w:tc>
          <w:tcPr>
            <w:tcW w:w="1739" w:type="pct"/>
            <w:tcBorders>
              <w:top w:val="nil"/>
              <w:left w:val="nil"/>
              <w:bottom w:val="single" w:sz="4" w:space="0" w:color="auto"/>
              <w:right w:val="single" w:sz="4" w:space="0" w:color="auto"/>
            </w:tcBorders>
            <w:shd w:val="clear" w:color="000000" w:fill="FFFFFF"/>
          </w:tcPr>
          <w:p w14:paraId="26ABE126" w14:textId="77777777" w:rsidR="00042410" w:rsidRPr="00CE60B2" w:rsidRDefault="00042410" w:rsidP="00432195">
            <w:pPr>
              <w:spacing w:before="0" w:after="0"/>
              <w:rPr>
                <w:rFonts w:eastAsia="Times New Roman" w:cs="Segoe UI"/>
                <w:iCs/>
                <w:color w:val="000000"/>
                <w:lang w:eastAsia="en-AU"/>
              </w:rPr>
            </w:pPr>
            <w:r>
              <w:rPr>
                <w:rFonts w:eastAsia="Times New Roman" w:cs="Segoe UI"/>
                <w:iCs/>
                <w:color w:val="000000"/>
                <w:lang w:eastAsia="en-AU"/>
              </w:rPr>
              <w:t xml:space="preserve">CA approved; </w:t>
            </w:r>
            <w:r w:rsidRPr="00CE60B2">
              <w:rPr>
                <w:rFonts w:eastAsia="Times New Roman" w:cs="Segoe UI"/>
                <w:iCs/>
                <w:color w:val="000000"/>
                <w:lang w:eastAsia="en-AU"/>
              </w:rPr>
              <w:t>RP approved; RP required</w:t>
            </w:r>
          </w:p>
        </w:tc>
      </w:tr>
      <w:tr w:rsidR="00042410" w:rsidRPr="00CE60B2" w14:paraId="26ABE12C"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tcPr>
          <w:p w14:paraId="26ABE128"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bCs/>
                <w:color w:val="000000"/>
                <w:lang w:eastAsia="en-AU"/>
              </w:rPr>
              <w:lastRenderedPageBreak/>
              <w:t>Shrublands and Woodlands on Muchea Limestone of the Swan Coastal Plain</w:t>
            </w:r>
          </w:p>
        </w:tc>
        <w:tc>
          <w:tcPr>
            <w:tcW w:w="796" w:type="pct"/>
            <w:tcBorders>
              <w:top w:val="nil"/>
              <w:left w:val="nil"/>
              <w:bottom w:val="single" w:sz="4" w:space="0" w:color="auto"/>
              <w:right w:val="single" w:sz="4" w:space="0" w:color="auto"/>
            </w:tcBorders>
            <w:shd w:val="clear" w:color="auto" w:fill="auto"/>
            <w:noWrap/>
          </w:tcPr>
          <w:p w14:paraId="26ABE129" w14:textId="77777777" w:rsidR="00042410" w:rsidRPr="00CE60B2" w:rsidRDefault="00042410" w:rsidP="00432195">
            <w:pPr>
              <w:spacing w:before="0" w:after="0"/>
              <w:rPr>
                <w:rFonts w:eastAsia="Times New Roman" w:cs="Segoe UI"/>
                <w:bCs/>
                <w:color w:val="000000"/>
                <w:lang w:eastAsia="en-AU"/>
              </w:rPr>
            </w:pPr>
            <w:r w:rsidRPr="00CE60B2">
              <w:rPr>
                <w:rFonts w:eastAsia="Times New Roman" w:cs="Segoe UI"/>
                <w:bCs/>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12A"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July 2000</w:t>
            </w:r>
          </w:p>
        </w:tc>
        <w:tc>
          <w:tcPr>
            <w:tcW w:w="1739" w:type="pct"/>
            <w:tcBorders>
              <w:top w:val="nil"/>
              <w:left w:val="nil"/>
              <w:bottom w:val="single" w:sz="4" w:space="0" w:color="auto"/>
              <w:right w:val="single" w:sz="4" w:space="0" w:color="auto"/>
            </w:tcBorders>
            <w:shd w:val="clear" w:color="000000" w:fill="FFFFFF"/>
          </w:tcPr>
          <w:p w14:paraId="26ABE12B" w14:textId="77777777" w:rsidR="00042410" w:rsidRPr="00CE60B2" w:rsidRDefault="00042410" w:rsidP="00432195">
            <w:pPr>
              <w:spacing w:before="0" w:after="0"/>
              <w:rPr>
                <w:rFonts w:eastAsia="Times New Roman" w:cs="Segoe UI"/>
                <w:iCs/>
                <w:color w:val="000000"/>
                <w:lang w:eastAsia="en-AU"/>
              </w:rPr>
            </w:pPr>
            <w:r>
              <w:rPr>
                <w:rFonts w:eastAsia="Times New Roman" w:cs="Segoe UI"/>
                <w:iCs/>
                <w:color w:val="000000"/>
                <w:lang w:eastAsia="en-AU"/>
              </w:rPr>
              <w:t xml:space="preserve">CA approved; </w:t>
            </w:r>
            <w:r w:rsidRPr="00CE60B2">
              <w:rPr>
                <w:rFonts w:eastAsia="Times New Roman" w:cs="Segoe UI"/>
                <w:iCs/>
                <w:color w:val="000000"/>
                <w:lang w:eastAsia="en-AU"/>
              </w:rPr>
              <w:t>RP approved; RP required</w:t>
            </w:r>
          </w:p>
        </w:tc>
      </w:tr>
      <w:tr w:rsidR="00042410" w:rsidRPr="00CE60B2" w14:paraId="26ABE131" w14:textId="77777777" w:rsidTr="00736CC4">
        <w:trPr>
          <w:cantSplit/>
          <w:trHeight w:val="330"/>
        </w:trPr>
        <w:tc>
          <w:tcPr>
            <w:tcW w:w="1522" w:type="pct"/>
            <w:tcBorders>
              <w:top w:val="nil"/>
              <w:left w:val="single" w:sz="4" w:space="0" w:color="auto"/>
              <w:bottom w:val="single" w:sz="4" w:space="0" w:color="auto"/>
              <w:right w:val="single" w:sz="4" w:space="0" w:color="auto"/>
            </w:tcBorders>
            <w:shd w:val="clear" w:color="auto" w:fill="auto"/>
            <w:noWrap/>
            <w:vAlign w:val="bottom"/>
          </w:tcPr>
          <w:p w14:paraId="26ABE12D"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bCs/>
                <w:color w:val="000000"/>
                <w:lang w:eastAsia="en-AU"/>
              </w:rPr>
              <w:t>Shrublands on southern Swan Coastal Plain ironstones</w:t>
            </w:r>
          </w:p>
        </w:tc>
        <w:tc>
          <w:tcPr>
            <w:tcW w:w="796" w:type="pct"/>
            <w:tcBorders>
              <w:top w:val="nil"/>
              <w:left w:val="nil"/>
              <w:bottom w:val="single" w:sz="4" w:space="0" w:color="auto"/>
              <w:right w:val="single" w:sz="4" w:space="0" w:color="auto"/>
            </w:tcBorders>
            <w:shd w:val="clear" w:color="auto" w:fill="auto"/>
            <w:noWrap/>
          </w:tcPr>
          <w:p w14:paraId="26ABE12E"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Endangered</w:t>
            </w:r>
          </w:p>
        </w:tc>
        <w:tc>
          <w:tcPr>
            <w:tcW w:w="942" w:type="pct"/>
            <w:tcBorders>
              <w:top w:val="nil"/>
              <w:left w:val="nil"/>
              <w:bottom w:val="single" w:sz="4" w:space="0" w:color="auto"/>
              <w:right w:val="single" w:sz="4" w:space="0" w:color="auto"/>
            </w:tcBorders>
            <w:shd w:val="clear" w:color="auto" w:fill="auto"/>
            <w:noWrap/>
          </w:tcPr>
          <w:p w14:paraId="26ABE12F"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16 July 2000</w:t>
            </w:r>
          </w:p>
        </w:tc>
        <w:tc>
          <w:tcPr>
            <w:tcW w:w="1739" w:type="pct"/>
            <w:tcBorders>
              <w:top w:val="nil"/>
              <w:left w:val="nil"/>
              <w:bottom w:val="single" w:sz="4" w:space="0" w:color="auto"/>
              <w:right w:val="single" w:sz="4" w:space="0" w:color="auto"/>
            </w:tcBorders>
            <w:shd w:val="clear" w:color="000000" w:fill="FFFFFF"/>
          </w:tcPr>
          <w:p w14:paraId="26ABE130"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RP approved; RP required</w:t>
            </w:r>
          </w:p>
        </w:tc>
      </w:tr>
      <w:tr w:rsidR="00042410" w:rsidRPr="00CE60B2" w14:paraId="26ABE136" w14:textId="77777777" w:rsidTr="00736CC4">
        <w:trPr>
          <w:cantSplit/>
          <w:trHeight w:val="330"/>
        </w:trPr>
        <w:tc>
          <w:tcPr>
            <w:tcW w:w="15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ABE132" w14:textId="77777777" w:rsidR="00042410" w:rsidRPr="00CE60B2" w:rsidRDefault="00042410" w:rsidP="00432195">
            <w:pPr>
              <w:spacing w:before="0" w:after="0"/>
              <w:rPr>
                <w:rFonts w:eastAsia="Times New Roman" w:cs="Segoe UI"/>
                <w:bCs/>
                <w:color w:val="000000"/>
                <w:lang w:eastAsia="en-AU"/>
              </w:rPr>
            </w:pPr>
            <w:r w:rsidRPr="00CE60B2">
              <w:rPr>
                <w:rFonts w:eastAsia="Times New Roman" w:cs="Segoe UI"/>
                <w:bCs/>
                <w:color w:val="000000"/>
                <w:lang w:eastAsia="en-AU"/>
              </w:rPr>
              <w:t>Subtropical and Temperate Coastal Saltmarsh</w:t>
            </w:r>
          </w:p>
        </w:tc>
        <w:tc>
          <w:tcPr>
            <w:tcW w:w="796" w:type="pct"/>
            <w:tcBorders>
              <w:top w:val="single" w:sz="4" w:space="0" w:color="auto"/>
              <w:left w:val="nil"/>
              <w:bottom w:val="single" w:sz="4" w:space="0" w:color="auto"/>
              <w:right w:val="single" w:sz="4" w:space="0" w:color="auto"/>
            </w:tcBorders>
            <w:shd w:val="clear" w:color="auto" w:fill="auto"/>
            <w:noWrap/>
          </w:tcPr>
          <w:p w14:paraId="26ABE133"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Vulnerable</w:t>
            </w:r>
          </w:p>
        </w:tc>
        <w:tc>
          <w:tcPr>
            <w:tcW w:w="942" w:type="pct"/>
            <w:tcBorders>
              <w:top w:val="single" w:sz="4" w:space="0" w:color="auto"/>
              <w:left w:val="nil"/>
              <w:bottom w:val="single" w:sz="4" w:space="0" w:color="auto"/>
              <w:right w:val="single" w:sz="4" w:space="0" w:color="auto"/>
            </w:tcBorders>
            <w:shd w:val="clear" w:color="auto" w:fill="auto"/>
            <w:noWrap/>
          </w:tcPr>
          <w:p w14:paraId="26ABE134" w14:textId="77777777" w:rsidR="00042410" w:rsidRPr="00CE60B2" w:rsidRDefault="00042410" w:rsidP="00432195">
            <w:pPr>
              <w:spacing w:before="0" w:after="0"/>
              <w:rPr>
                <w:rFonts w:eastAsia="Times New Roman" w:cs="Segoe UI"/>
                <w:color w:val="000000"/>
                <w:lang w:eastAsia="en-AU"/>
              </w:rPr>
            </w:pPr>
            <w:r w:rsidRPr="00CE60B2">
              <w:rPr>
                <w:rFonts w:eastAsia="Times New Roman" w:cs="Segoe UI"/>
                <w:color w:val="000000"/>
                <w:lang w:eastAsia="en-AU"/>
              </w:rPr>
              <w:t>10 August 2013</w:t>
            </w:r>
          </w:p>
        </w:tc>
        <w:tc>
          <w:tcPr>
            <w:tcW w:w="1739" w:type="pct"/>
            <w:tcBorders>
              <w:top w:val="single" w:sz="4" w:space="0" w:color="auto"/>
              <w:left w:val="nil"/>
              <w:bottom w:val="single" w:sz="4" w:space="0" w:color="auto"/>
              <w:right w:val="single" w:sz="4" w:space="0" w:color="auto"/>
            </w:tcBorders>
            <w:shd w:val="clear" w:color="000000" w:fill="FFFFFF"/>
          </w:tcPr>
          <w:p w14:paraId="26ABE135" w14:textId="77777777" w:rsidR="00042410" w:rsidRPr="00CE60B2" w:rsidRDefault="00042410" w:rsidP="00432195">
            <w:pPr>
              <w:spacing w:before="0" w:after="0"/>
              <w:rPr>
                <w:rFonts w:eastAsia="Times New Roman" w:cs="Segoe UI"/>
                <w:iCs/>
                <w:color w:val="000000"/>
                <w:lang w:eastAsia="en-AU"/>
              </w:rPr>
            </w:pPr>
            <w:r w:rsidRPr="00CE60B2">
              <w:rPr>
                <w:rFonts w:eastAsia="Times New Roman" w:cs="Segoe UI"/>
                <w:iCs/>
                <w:color w:val="000000"/>
                <w:lang w:eastAsia="en-AU"/>
              </w:rPr>
              <w:t>CA approved; RP required</w:t>
            </w:r>
          </w:p>
        </w:tc>
      </w:tr>
    </w:tbl>
    <w:p w14:paraId="26ABE137" w14:textId="77777777" w:rsidR="00042410" w:rsidRPr="00CE60B2" w:rsidRDefault="00042410" w:rsidP="00042410">
      <w:pPr>
        <w:rPr>
          <w:rFonts w:cs="Segoe UI"/>
          <w:sz w:val="16"/>
          <w:szCs w:val="16"/>
        </w:rPr>
      </w:pPr>
      <w:r w:rsidRPr="00CE60B2">
        <w:rPr>
          <w:rFonts w:cs="Segoe UI"/>
          <w:sz w:val="16"/>
          <w:szCs w:val="16"/>
        </w:rPr>
        <w:t xml:space="preserve">Notes: </w:t>
      </w:r>
    </w:p>
    <w:p w14:paraId="26ABE138" w14:textId="77777777" w:rsidR="00042410" w:rsidRPr="00CE60B2" w:rsidRDefault="00042410" w:rsidP="00042410">
      <w:pPr>
        <w:spacing w:before="0" w:after="0"/>
        <w:rPr>
          <w:rFonts w:cs="Segoe UI"/>
          <w:sz w:val="16"/>
          <w:szCs w:val="16"/>
        </w:rPr>
      </w:pPr>
      <w:r w:rsidRPr="00CE60B2">
        <w:rPr>
          <w:rFonts w:cs="Segoe UI"/>
          <w:sz w:val="16"/>
          <w:szCs w:val="16"/>
        </w:rPr>
        <w:t>(1) EPBC Act listing as at 24 July 2018</w:t>
      </w:r>
    </w:p>
    <w:p w14:paraId="26ABE139" w14:textId="77777777" w:rsidR="00042410" w:rsidRPr="00CE60B2" w:rsidRDefault="00042410" w:rsidP="00042410">
      <w:pPr>
        <w:spacing w:before="0" w:after="0"/>
        <w:rPr>
          <w:rFonts w:cs="Segoe UI"/>
          <w:sz w:val="16"/>
          <w:szCs w:val="16"/>
        </w:rPr>
      </w:pPr>
      <w:r w:rsidRPr="00CE60B2">
        <w:rPr>
          <w:rFonts w:cs="Segoe UI"/>
          <w:sz w:val="16"/>
          <w:szCs w:val="16"/>
        </w:rPr>
        <w:t xml:space="preserve">(2) CA – Conservation Advice; RP – Recovery Plan </w:t>
      </w:r>
    </w:p>
    <w:p w14:paraId="26ABE13A" w14:textId="77777777" w:rsidR="00042410" w:rsidRDefault="00042410" w:rsidP="00042410">
      <w:pPr>
        <w:rPr>
          <w:rFonts w:cs="Segoe UI"/>
          <w:sz w:val="16"/>
          <w:szCs w:val="16"/>
        </w:rPr>
      </w:pPr>
      <w:r w:rsidRPr="00CE60B2">
        <w:rPr>
          <w:rFonts w:cs="Segoe UI"/>
          <w:sz w:val="16"/>
          <w:szCs w:val="16"/>
        </w:rPr>
        <w:t>Source: Department of the Environment and Energy, Environmental Resources Information Network Species Profile and Threats (SPRaT) Database</w:t>
      </w:r>
    </w:p>
    <w:p w14:paraId="26ABE13B" w14:textId="77777777" w:rsidR="00993010" w:rsidRDefault="00993010" w:rsidP="00042410">
      <w:pPr>
        <w:rPr>
          <w:rFonts w:cs="Segoe UI"/>
          <w:sz w:val="16"/>
          <w:szCs w:val="16"/>
        </w:rPr>
      </w:pPr>
    </w:p>
    <w:p w14:paraId="26ABE13C" w14:textId="77777777" w:rsidR="0042470F" w:rsidRDefault="0042470F">
      <w:pPr>
        <w:spacing w:before="0" w:after="480" w:line="276" w:lineRule="auto"/>
        <w:rPr>
          <w:rFonts w:eastAsiaTheme="majorEastAsia" w:cs="Segoe UI"/>
          <w:i/>
          <w:color w:val="13345C" w:themeColor="accent1" w:themeShade="7F"/>
        </w:rPr>
      </w:pPr>
      <w:r>
        <w:rPr>
          <w:rFonts w:cs="Segoe UI"/>
        </w:rPr>
        <w:br w:type="page"/>
      </w:r>
    </w:p>
    <w:p w14:paraId="26ABE13D" w14:textId="77777777" w:rsidR="00042410" w:rsidRDefault="00042410" w:rsidP="00042410">
      <w:pPr>
        <w:pStyle w:val="Heading5"/>
        <w:rPr>
          <w:rFonts w:cs="Segoe UI"/>
        </w:rPr>
      </w:pPr>
      <w:r>
        <w:rPr>
          <w:rFonts w:cs="Segoe UI"/>
        </w:rPr>
        <w:lastRenderedPageBreak/>
        <w:t xml:space="preserve">WA Threatened Ecological </w:t>
      </w:r>
      <w:r w:rsidRPr="00CE60B2">
        <w:rPr>
          <w:rFonts w:cs="Segoe UI"/>
        </w:rPr>
        <w:t>Communities</w:t>
      </w:r>
      <w:bookmarkEnd w:id="242"/>
    </w:p>
    <w:tbl>
      <w:tblPr>
        <w:tblW w:w="4848" w:type="pct"/>
        <w:tblLayout w:type="fixed"/>
        <w:tblLook w:val="04A0" w:firstRow="1" w:lastRow="0" w:firstColumn="1" w:lastColumn="0" w:noHBand="0" w:noVBand="1"/>
      </w:tblPr>
      <w:tblGrid>
        <w:gridCol w:w="3964"/>
        <w:gridCol w:w="1560"/>
        <w:gridCol w:w="3261"/>
      </w:tblGrid>
      <w:tr w:rsidR="00D63888" w:rsidRPr="00736CC4" w14:paraId="26ABE141" w14:textId="77777777" w:rsidTr="00736CC4">
        <w:trPr>
          <w:cantSplit/>
          <w:trHeight w:val="528"/>
          <w:tblHeader/>
        </w:trPr>
        <w:tc>
          <w:tcPr>
            <w:tcW w:w="2256" w:type="pct"/>
            <w:tcBorders>
              <w:top w:val="single" w:sz="4" w:space="0" w:color="auto"/>
              <w:left w:val="single" w:sz="4" w:space="0" w:color="auto"/>
              <w:bottom w:val="single" w:sz="4" w:space="0" w:color="auto"/>
              <w:right w:val="single" w:sz="4" w:space="0" w:color="auto"/>
            </w:tcBorders>
            <w:shd w:val="clear" w:color="auto" w:fill="DFEFE1" w:themeFill="accent3" w:themeFillTint="66"/>
            <w:hideMark/>
          </w:tcPr>
          <w:p w14:paraId="26ABE13E" w14:textId="77777777" w:rsidR="00D63888" w:rsidRPr="00736CC4" w:rsidRDefault="00D63888" w:rsidP="001B4E69">
            <w:pPr>
              <w:spacing w:before="0" w:after="0"/>
              <w:rPr>
                <w:rFonts w:ascii="Arial" w:eastAsia="Times New Roman" w:hAnsi="Arial" w:cs="Arial"/>
                <w:b/>
                <w:bCs/>
                <w:color w:val="000000"/>
                <w:lang w:eastAsia="en-AU"/>
              </w:rPr>
            </w:pPr>
            <w:r w:rsidRPr="00736CC4">
              <w:rPr>
                <w:rFonts w:ascii="Arial" w:eastAsia="Times New Roman" w:hAnsi="Arial" w:cs="Arial"/>
                <w:b/>
                <w:bCs/>
                <w:color w:val="000000"/>
                <w:lang w:eastAsia="en-AU"/>
              </w:rPr>
              <w:t>Community Name</w:t>
            </w:r>
          </w:p>
        </w:tc>
        <w:tc>
          <w:tcPr>
            <w:tcW w:w="888" w:type="pct"/>
            <w:tcBorders>
              <w:top w:val="single" w:sz="4" w:space="0" w:color="auto"/>
              <w:left w:val="nil"/>
              <w:bottom w:val="single" w:sz="4" w:space="0" w:color="auto"/>
              <w:right w:val="single" w:sz="4" w:space="0" w:color="auto"/>
            </w:tcBorders>
            <w:shd w:val="clear" w:color="auto" w:fill="DFEFE1" w:themeFill="accent3" w:themeFillTint="66"/>
            <w:noWrap/>
            <w:hideMark/>
          </w:tcPr>
          <w:p w14:paraId="26ABE13F" w14:textId="77777777" w:rsidR="00D63888" w:rsidRPr="00736CC4" w:rsidRDefault="00D63888" w:rsidP="001B4E69">
            <w:pPr>
              <w:spacing w:before="0" w:after="0"/>
              <w:rPr>
                <w:rFonts w:ascii="Arial" w:eastAsia="Times New Roman" w:hAnsi="Arial" w:cs="Arial"/>
                <w:b/>
                <w:bCs/>
                <w:color w:val="000000"/>
                <w:lang w:eastAsia="en-AU"/>
              </w:rPr>
            </w:pPr>
            <w:r w:rsidRPr="00736CC4">
              <w:rPr>
                <w:rFonts w:ascii="Arial" w:eastAsia="Times New Roman" w:hAnsi="Arial" w:cs="Arial"/>
                <w:b/>
                <w:bCs/>
                <w:color w:val="000000"/>
                <w:lang w:eastAsia="en-AU"/>
              </w:rPr>
              <w:t>WC Act Listing</w:t>
            </w:r>
          </w:p>
        </w:tc>
        <w:tc>
          <w:tcPr>
            <w:tcW w:w="1856" w:type="pct"/>
            <w:tcBorders>
              <w:top w:val="single" w:sz="4" w:space="0" w:color="auto"/>
              <w:left w:val="nil"/>
              <w:bottom w:val="single" w:sz="4" w:space="0" w:color="auto"/>
              <w:right w:val="single" w:sz="4" w:space="0" w:color="auto"/>
            </w:tcBorders>
            <w:shd w:val="clear" w:color="auto" w:fill="DFEFE1" w:themeFill="accent3" w:themeFillTint="66"/>
            <w:hideMark/>
          </w:tcPr>
          <w:p w14:paraId="26ABE140" w14:textId="77777777" w:rsidR="00D63888" w:rsidRPr="00736CC4" w:rsidRDefault="00D63888" w:rsidP="001B4E69">
            <w:pPr>
              <w:spacing w:before="0" w:after="0"/>
              <w:rPr>
                <w:rFonts w:ascii="Arial" w:eastAsia="Times New Roman" w:hAnsi="Arial" w:cs="Arial"/>
                <w:b/>
                <w:bCs/>
                <w:color w:val="000000"/>
                <w:lang w:eastAsia="en-AU"/>
              </w:rPr>
            </w:pPr>
            <w:r w:rsidRPr="00736CC4">
              <w:rPr>
                <w:rFonts w:ascii="Arial" w:eastAsia="Times New Roman" w:hAnsi="Arial" w:cs="Arial"/>
                <w:b/>
                <w:bCs/>
                <w:color w:val="000000"/>
                <w:lang w:eastAsia="en-AU"/>
              </w:rPr>
              <w:t>Status of WA plan</w:t>
            </w:r>
          </w:p>
        </w:tc>
      </w:tr>
      <w:tr w:rsidR="00D63888" w:rsidRPr="001B4E69" w14:paraId="26ABE145"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42"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Aquatic Root Mat Community Number 1 of Caves of the Leeuwin Naturaliste Ridge</w:t>
            </w:r>
          </w:p>
        </w:tc>
        <w:tc>
          <w:tcPr>
            <w:tcW w:w="888" w:type="pct"/>
            <w:tcBorders>
              <w:top w:val="nil"/>
              <w:left w:val="nil"/>
              <w:bottom w:val="single" w:sz="4" w:space="0" w:color="auto"/>
              <w:right w:val="single" w:sz="4" w:space="0" w:color="auto"/>
            </w:tcBorders>
            <w:shd w:val="clear" w:color="auto" w:fill="auto"/>
            <w:noWrap/>
            <w:hideMark/>
          </w:tcPr>
          <w:p w14:paraId="26ABE143"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Critically Endangered</w:t>
            </w:r>
          </w:p>
        </w:tc>
        <w:tc>
          <w:tcPr>
            <w:tcW w:w="1856" w:type="pct"/>
            <w:tcBorders>
              <w:top w:val="nil"/>
              <w:left w:val="nil"/>
              <w:bottom w:val="single" w:sz="4" w:space="0" w:color="auto"/>
              <w:right w:val="single" w:sz="4" w:space="0" w:color="auto"/>
            </w:tcBorders>
            <w:shd w:val="clear" w:color="000000" w:fill="FFFFFF"/>
            <w:hideMark/>
          </w:tcPr>
          <w:p w14:paraId="26ABE144"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xml:space="preserve">DBCA recovery plan completed 29 May 2008 </w:t>
            </w:r>
          </w:p>
        </w:tc>
      </w:tr>
      <w:tr w:rsidR="00D63888" w:rsidRPr="001B4E69" w14:paraId="26ABE149"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46"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Aquatic Root Mat Community Number 2 of Caves of the Leeuwin Naturaliste Ridge</w:t>
            </w:r>
          </w:p>
        </w:tc>
        <w:tc>
          <w:tcPr>
            <w:tcW w:w="888" w:type="pct"/>
            <w:tcBorders>
              <w:top w:val="nil"/>
              <w:left w:val="nil"/>
              <w:bottom w:val="single" w:sz="4" w:space="0" w:color="auto"/>
              <w:right w:val="single" w:sz="4" w:space="0" w:color="auto"/>
            </w:tcBorders>
            <w:shd w:val="clear" w:color="auto" w:fill="auto"/>
            <w:noWrap/>
            <w:hideMark/>
          </w:tcPr>
          <w:p w14:paraId="26ABE147"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Critically Endangered</w:t>
            </w:r>
          </w:p>
        </w:tc>
        <w:tc>
          <w:tcPr>
            <w:tcW w:w="1856" w:type="pct"/>
            <w:tcBorders>
              <w:top w:val="nil"/>
              <w:left w:val="nil"/>
              <w:bottom w:val="single" w:sz="4" w:space="0" w:color="auto"/>
              <w:right w:val="single" w:sz="4" w:space="0" w:color="auto"/>
            </w:tcBorders>
            <w:shd w:val="clear" w:color="000000" w:fill="FFFFFF"/>
            <w:hideMark/>
          </w:tcPr>
          <w:p w14:paraId="26ABE148"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xml:space="preserve">DBCA recovery plan completed 29 May 2008 </w:t>
            </w:r>
          </w:p>
        </w:tc>
      </w:tr>
      <w:tr w:rsidR="00D63888" w:rsidRPr="001B4E69" w14:paraId="26ABE14D"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4A"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Aquatic Root Mat Community Number 3 of Caves of the Leeuwin Naturaliste Ridge</w:t>
            </w:r>
          </w:p>
        </w:tc>
        <w:tc>
          <w:tcPr>
            <w:tcW w:w="888" w:type="pct"/>
            <w:tcBorders>
              <w:top w:val="nil"/>
              <w:left w:val="nil"/>
              <w:bottom w:val="single" w:sz="4" w:space="0" w:color="auto"/>
              <w:right w:val="single" w:sz="4" w:space="0" w:color="auto"/>
            </w:tcBorders>
            <w:shd w:val="clear" w:color="auto" w:fill="auto"/>
            <w:noWrap/>
            <w:hideMark/>
          </w:tcPr>
          <w:p w14:paraId="26ABE14B"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Critically Endangered</w:t>
            </w:r>
          </w:p>
        </w:tc>
        <w:tc>
          <w:tcPr>
            <w:tcW w:w="1856" w:type="pct"/>
            <w:tcBorders>
              <w:top w:val="nil"/>
              <w:left w:val="nil"/>
              <w:bottom w:val="single" w:sz="4" w:space="0" w:color="auto"/>
              <w:right w:val="single" w:sz="4" w:space="0" w:color="auto"/>
            </w:tcBorders>
            <w:shd w:val="clear" w:color="000000" w:fill="FFFFFF"/>
            <w:hideMark/>
          </w:tcPr>
          <w:p w14:paraId="26ABE14C"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xml:space="preserve">DBCA recovery plan completed 29 May 2008 </w:t>
            </w:r>
          </w:p>
        </w:tc>
      </w:tr>
      <w:tr w:rsidR="00D63888" w:rsidRPr="001B4E69" w14:paraId="26ABE151"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4E"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Aquatic Root Mat Community Number 4 of Caves of the Leeuwin Naturaliste Ridge</w:t>
            </w:r>
          </w:p>
        </w:tc>
        <w:tc>
          <w:tcPr>
            <w:tcW w:w="888" w:type="pct"/>
            <w:tcBorders>
              <w:top w:val="nil"/>
              <w:left w:val="nil"/>
              <w:bottom w:val="single" w:sz="4" w:space="0" w:color="auto"/>
              <w:right w:val="single" w:sz="4" w:space="0" w:color="auto"/>
            </w:tcBorders>
            <w:shd w:val="clear" w:color="auto" w:fill="auto"/>
            <w:noWrap/>
            <w:hideMark/>
          </w:tcPr>
          <w:p w14:paraId="26ABE14F"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Critically Endangered</w:t>
            </w:r>
          </w:p>
        </w:tc>
        <w:tc>
          <w:tcPr>
            <w:tcW w:w="1856" w:type="pct"/>
            <w:tcBorders>
              <w:top w:val="nil"/>
              <w:left w:val="nil"/>
              <w:bottom w:val="single" w:sz="4" w:space="0" w:color="auto"/>
              <w:right w:val="single" w:sz="4" w:space="0" w:color="auto"/>
            </w:tcBorders>
            <w:shd w:val="clear" w:color="000000" w:fill="FFFFFF"/>
            <w:hideMark/>
          </w:tcPr>
          <w:p w14:paraId="26ABE150"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xml:space="preserve">DBCA recovery plan completed 29 May 2008 </w:t>
            </w:r>
          </w:p>
        </w:tc>
      </w:tr>
      <w:tr w:rsidR="00D63888" w:rsidRPr="001B4E69" w14:paraId="26ABE155" w14:textId="77777777" w:rsidTr="00DA32F0">
        <w:trPr>
          <w:trHeight w:val="792"/>
        </w:trPr>
        <w:tc>
          <w:tcPr>
            <w:tcW w:w="2256" w:type="pct"/>
            <w:tcBorders>
              <w:top w:val="nil"/>
              <w:left w:val="single" w:sz="4" w:space="0" w:color="auto"/>
              <w:bottom w:val="single" w:sz="4" w:space="0" w:color="auto"/>
              <w:right w:val="single" w:sz="4" w:space="0" w:color="auto"/>
            </w:tcBorders>
            <w:shd w:val="clear" w:color="auto" w:fill="auto"/>
            <w:hideMark/>
          </w:tcPr>
          <w:p w14:paraId="26ABE152"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Banksia attenuata and/or Eucalyptus marginata woodlands of the eastern side of the Swan Coastal Plain</w:t>
            </w:r>
          </w:p>
        </w:tc>
        <w:tc>
          <w:tcPr>
            <w:tcW w:w="888" w:type="pct"/>
            <w:tcBorders>
              <w:top w:val="nil"/>
              <w:left w:val="nil"/>
              <w:bottom w:val="single" w:sz="4" w:space="0" w:color="auto"/>
              <w:right w:val="single" w:sz="4" w:space="0" w:color="auto"/>
            </w:tcBorders>
            <w:shd w:val="clear" w:color="auto" w:fill="auto"/>
            <w:noWrap/>
            <w:hideMark/>
          </w:tcPr>
          <w:p w14:paraId="26ABE153"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Endangered</w:t>
            </w:r>
          </w:p>
        </w:tc>
        <w:tc>
          <w:tcPr>
            <w:tcW w:w="1856" w:type="pct"/>
            <w:tcBorders>
              <w:top w:val="nil"/>
              <w:left w:val="nil"/>
              <w:bottom w:val="single" w:sz="4" w:space="0" w:color="auto"/>
              <w:right w:val="single" w:sz="4" w:space="0" w:color="auto"/>
            </w:tcBorders>
            <w:shd w:val="clear" w:color="000000" w:fill="FFFFFF"/>
            <w:hideMark/>
          </w:tcPr>
          <w:p w14:paraId="26ABE154"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DBCA recovery plan completed Oct 2012</w:t>
            </w:r>
          </w:p>
        </w:tc>
      </w:tr>
      <w:tr w:rsidR="00D63888" w:rsidRPr="001B4E69" w14:paraId="26ABE159" w14:textId="77777777" w:rsidTr="00DA32F0">
        <w:trPr>
          <w:trHeight w:val="605"/>
        </w:trPr>
        <w:tc>
          <w:tcPr>
            <w:tcW w:w="2256" w:type="pct"/>
            <w:tcBorders>
              <w:top w:val="nil"/>
              <w:left w:val="single" w:sz="4" w:space="0" w:color="auto"/>
              <w:bottom w:val="single" w:sz="4" w:space="0" w:color="auto"/>
              <w:right w:val="single" w:sz="4" w:space="0" w:color="auto"/>
            </w:tcBorders>
            <w:shd w:val="clear" w:color="auto" w:fill="auto"/>
            <w:hideMark/>
          </w:tcPr>
          <w:p w14:paraId="26ABE156"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Banksia attenuata woodlands over species rich dense shrublands</w:t>
            </w:r>
          </w:p>
        </w:tc>
        <w:tc>
          <w:tcPr>
            <w:tcW w:w="888" w:type="pct"/>
            <w:tcBorders>
              <w:top w:val="nil"/>
              <w:left w:val="nil"/>
              <w:bottom w:val="single" w:sz="4" w:space="0" w:color="auto"/>
              <w:right w:val="single" w:sz="4" w:space="0" w:color="auto"/>
            </w:tcBorders>
            <w:shd w:val="clear" w:color="auto" w:fill="auto"/>
            <w:noWrap/>
            <w:hideMark/>
          </w:tcPr>
          <w:p w14:paraId="26ABE157"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Endangered</w:t>
            </w:r>
          </w:p>
        </w:tc>
        <w:tc>
          <w:tcPr>
            <w:tcW w:w="1856" w:type="pct"/>
            <w:tcBorders>
              <w:top w:val="nil"/>
              <w:left w:val="nil"/>
              <w:bottom w:val="single" w:sz="4" w:space="0" w:color="auto"/>
              <w:right w:val="single" w:sz="4" w:space="0" w:color="auto"/>
            </w:tcBorders>
            <w:shd w:val="clear" w:color="000000" w:fill="FFFFFF"/>
            <w:hideMark/>
          </w:tcPr>
          <w:p w14:paraId="26ABE158"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DBCA recovery plan completed 10 August 2016</w:t>
            </w:r>
          </w:p>
        </w:tc>
      </w:tr>
      <w:tr w:rsidR="00D63888" w:rsidRPr="001B4E69" w14:paraId="26ABE15D" w14:textId="77777777" w:rsidTr="00DA32F0">
        <w:trPr>
          <w:trHeight w:val="630"/>
        </w:trPr>
        <w:tc>
          <w:tcPr>
            <w:tcW w:w="2256" w:type="pct"/>
            <w:tcBorders>
              <w:top w:val="nil"/>
              <w:left w:val="single" w:sz="4" w:space="0" w:color="auto"/>
              <w:bottom w:val="single" w:sz="4" w:space="0" w:color="auto"/>
              <w:right w:val="single" w:sz="4" w:space="0" w:color="auto"/>
            </w:tcBorders>
            <w:shd w:val="clear" w:color="auto" w:fill="auto"/>
            <w:hideMark/>
          </w:tcPr>
          <w:p w14:paraId="26ABE15A"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Banksia Dominated Woodlands of the Swan Coastal Plain IBRA Region</w:t>
            </w:r>
          </w:p>
        </w:tc>
        <w:tc>
          <w:tcPr>
            <w:tcW w:w="888" w:type="pct"/>
            <w:tcBorders>
              <w:top w:val="nil"/>
              <w:left w:val="nil"/>
              <w:bottom w:val="single" w:sz="4" w:space="0" w:color="auto"/>
              <w:right w:val="single" w:sz="4" w:space="0" w:color="auto"/>
            </w:tcBorders>
            <w:shd w:val="clear" w:color="auto" w:fill="auto"/>
            <w:noWrap/>
            <w:hideMark/>
          </w:tcPr>
          <w:p w14:paraId="26ABE15B"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Priority 3</w:t>
            </w:r>
          </w:p>
        </w:tc>
        <w:tc>
          <w:tcPr>
            <w:tcW w:w="1856" w:type="pct"/>
            <w:tcBorders>
              <w:top w:val="nil"/>
              <w:left w:val="nil"/>
              <w:bottom w:val="single" w:sz="4" w:space="0" w:color="auto"/>
              <w:right w:val="single" w:sz="4" w:space="0" w:color="auto"/>
            </w:tcBorders>
            <w:shd w:val="clear" w:color="000000" w:fill="FFFFFF"/>
            <w:hideMark/>
          </w:tcPr>
          <w:p w14:paraId="26ABE15C"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tr w:rsidR="00D63888" w:rsidRPr="001B4E69" w14:paraId="26ABE161" w14:textId="77777777" w:rsidTr="00DA32F0">
        <w:trPr>
          <w:trHeight w:val="608"/>
        </w:trPr>
        <w:tc>
          <w:tcPr>
            <w:tcW w:w="2256" w:type="pct"/>
            <w:tcBorders>
              <w:top w:val="nil"/>
              <w:left w:val="single" w:sz="4" w:space="0" w:color="auto"/>
              <w:bottom w:val="single" w:sz="4" w:space="0" w:color="auto"/>
              <w:right w:val="single" w:sz="4" w:space="0" w:color="auto"/>
            </w:tcBorders>
            <w:shd w:val="clear" w:color="auto" w:fill="auto"/>
            <w:hideMark/>
          </w:tcPr>
          <w:p w14:paraId="26ABE15E"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Claypans with mid dense shrublands of Melaleuca lateritia over herbs</w:t>
            </w:r>
          </w:p>
        </w:tc>
        <w:tc>
          <w:tcPr>
            <w:tcW w:w="888" w:type="pct"/>
            <w:tcBorders>
              <w:top w:val="nil"/>
              <w:left w:val="nil"/>
              <w:bottom w:val="single" w:sz="4" w:space="0" w:color="auto"/>
              <w:right w:val="single" w:sz="4" w:space="0" w:color="auto"/>
            </w:tcBorders>
            <w:shd w:val="clear" w:color="auto" w:fill="auto"/>
            <w:noWrap/>
            <w:hideMark/>
          </w:tcPr>
          <w:p w14:paraId="26ABE15F"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Priority 1</w:t>
            </w:r>
          </w:p>
        </w:tc>
        <w:tc>
          <w:tcPr>
            <w:tcW w:w="1856" w:type="pct"/>
            <w:tcBorders>
              <w:top w:val="nil"/>
              <w:left w:val="nil"/>
              <w:bottom w:val="single" w:sz="4" w:space="0" w:color="auto"/>
              <w:right w:val="single" w:sz="4" w:space="0" w:color="auto"/>
            </w:tcBorders>
            <w:shd w:val="clear" w:color="000000" w:fill="FFFFFF"/>
            <w:hideMark/>
          </w:tcPr>
          <w:p w14:paraId="26ABE160" w14:textId="77777777" w:rsidR="00D63888" w:rsidRPr="00DA32F0" w:rsidRDefault="00D63888" w:rsidP="00D63888">
            <w:pPr>
              <w:spacing w:before="0" w:after="0"/>
              <w:rPr>
                <w:rFonts w:eastAsia="Times New Roman" w:cs="Segoe UI"/>
                <w:bCs/>
                <w:color w:val="000000"/>
                <w:lang w:eastAsia="en-AU"/>
              </w:rPr>
            </w:pPr>
            <w:r w:rsidRPr="00DA32F0">
              <w:rPr>
                <w:rFonts w:eastAsia="Times New Roman" w:cs="Segoe UI"/>
                <w:bCs/>
                <w:color w:val="000000"/>
                <w:lang w:eastAsia="en-AU"/>
              </w:rPr>
              <w:t>DBCA recovery plan completed 14 October 2015</w:t>
            </w:r>
          </w:p>
        </w:tc>
      </w:tr>
      <w:tr w:rsidR="00D63888" w:rsidRPr="001B4E69" w14:paraId="26ABE165"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62"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Corymbia calophylla - Eucalyptus marginata woodlands on sandy clay soils of the southern Swan Coastal Plain</w:t>
            </w:r>
          </w:p>
        </w:tc>
        <w:tc>
          <w:tcPr>
            <w:tcW w:w="888" w:type="pct"/>
            <w:tcBorders>
              <w:top w:val="nil"/>
              <w:left w:val="nil"/>
              <w:bottom w:val="single" w:sz="4" w:space="0" w:color="auto"/>
              <w:right w:val="single" w:sz="4" w:space="0" w:color="auto"/>
            </w:tcBorders>
            <w:shd w:val="clear" w:color="auto" w:fill="auto"/>
            <w:noWrap/>
            <w:hideMark/>
          </w:tcPr>
          <w:p w14:paraId="26ABE163"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Vulnerable</w:t>
            </w:r>
          </w:p>
        </w:tc>
        <w:tc>
          <w:tcPr>
            <w:tcW w:w="1856" w:type="pct"/>
            <w:tcBorders>
              <w:top w:val="nil"/>
              <w:left w:val="nil"/>
              <w:bottom w:val="single" w:sz="4" w:space="0" w:color="auto"/>
              <w:right w:val="single" w:sz="4" w:space="0" w:color="auto"/>
            </w:tcBorders>
            <w:shd w:val="clear" w:color="000000" w:fill="FFFFFF"/>
            <w:hideMark/>
          </w:tcPr>
          <w:p w14:paraId="26ABE164"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tr w:rsidR="00D63888" w:rsidRPr="001B4E69" w14:paraId="26ABE169"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66"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Corymbia calophylla - Kingia australis woodlands on heavy soils, Swan Coastal Plain</w:t>
            </w:r>
          </w:p>
        </w:tc>
        <w:tc>
          <w:tcPr>
            <w:tcW w:w="888" w:type="pct"/>
            <w:tcBorders>
              <w:top w:val="nil"/>
              <w:left w:val="nil"/>
              <w:bottom w:val="single" w:sz="4" w:space="0" w:color="auto"/>
              <w:right w:val="single" w:sz="4" w:space="0" w:color="auto"/>
            </w:tcBorders>
            <w:shd w:val="clear" w:color="auto" w:fill="auto"/>
            <w:noWrap/>
            <w:hideMark/>
          </w:tcPr>
          <w:p w14:paraId="26ABE167"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Critically Endangered</w:t>
            </w:r>
          </w:p>
        </w:tc>
        <w:tc>
          <w:tcPr>
            <w:tcW w:w="1856" w:type="pct"/>
            <w:tcBorders>
              <w:top w:val="nil"/>
              <w:left w:val="nil"/>
              <w:bottom w:val="single" w:sz="4" w:space="0" w:color="auto"/>
              <w:right w:val="single" w:sz="4" w:space="0" w:color="auto"/>
            </w:tcBorders>
            <w:shd w:val="clear" w:color="000000" w:fill="FFFFFF"/>
            <w:hideMark/>
          </w:tcPr>
          <w:p w14:paraId="26ABE168"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DBCA recovery plan completed Sept 2011</w:t>
            </w:r>
          </w:p>
        </w:tc>
      </w:tr>
      <w:tr w:rsidR="00D63888" w:rsidRPr="001B4E69" w14:paraId="26ABE16D"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6A"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Corymbia calophylla - Xanthorrhoea preissii woodlands and shrublands, Swan Coastal Plain</w:t>
            </w:r>
          </w:p>
        </w:tc>
        <w:tc>
          <w:tcPr>
            <w:tcW w:w="888" w:type="pct"/>
            <w:tcBorders>
              <w:top w:val="nil"/>
              <w:left w:val="nil"/>
              <w:bottom w:val="single" w:sz="4" w:space="0" w:color="auto"/>
              <w:right w:val="single" w:sz="4" w:space="0" w:color="auto"/>
            </w:tcBorders>
            <w:shd w:val="clear" w:color="auto" w:fill="auto"/>
            <w:noWrap/>
            <w:hideMark/>
          </w:tcPr>
          <w:p w14:paraId="26ABE16B"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Critically Endangered</w:t>
            </w:r>
          </w:p>
        </w:tc>
        <w:tc>
          <w:tcPr>
            <w:tcW w:w="1856" w:type="pct"/>
            <w:tcBorders>
              <w:top w:val="nil"/>
              <w:left w:val="nil"/>
              <w:bottom w:val="single" w:sz="4" w:space="0" w:color="auto"/>
              <w:right w:val="single" w:sz="4" w:space="0" w:color="auto"/>
            </w:tcBorders>
            <w:shd w:val="clear" w:color="000000" w:fill="FFFFFF"/>
            <w:hideMark/>
          </w:tcPr>
          <w:p w14:paraId="26ABE16C"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DBCA recovery plan completed 31 Jan 2000</w:t>
            </w:r>
          </w:p>
        </w:tc>
      </w:tr>
      <w:tr w:rsidR="00D63888" w:rsidRPr="001B4E69" w14:paraId="26ABE171"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6E"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Corymbia calophylla woodlands on heavy soils of the southern Swan Coastal Plain</w:t>
            </w:r>
          </w:p>
        </w:tc>
        <w:tc>
          <w:tcPr>
            <w:tcW w:w="888" w:type="pct"/>
            <w:tcBorders>
              <w:top w:val="nil"/>
              <w:left w:val="nil"/>
              <w:bottom w:val="single" w:sz="4" w:space="0" w:color="auto"/>
              <w:right w:val="single" w:sz="4" w:space="0" w:color="auto"/>
            </w:tcBorders>
            <w:shd w:val="clear" w:color="auto" w:fill="auto"/>
            <w:noWrap/>
            <w:hideMark/>
          </w:tcPr>
          <w:p w14:paraId="26ABE16F"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Vulnerable</w:t>
            </w:r>
          </w:p>
        </w:tc>
        <w:tc>
          <w:tcPr>
            <w:tcW w:w="1856" w:type="pct"/>
            <w:tcBorders>
              <w:top w:val="nil"/>
              <w:left w:val="nil"/>
              <w:bottom w:val="single" w:sz="4" w:space="0" w:color="auto"/>
              <w:right w:val="single" w:sz="4" w:space="0" w:color="auto"/>
            </w:tcBorders>
            <w:shd w:val="clear" w:color="000000" w:fill="FFFFFF"/>
            <w:hideMark/>
          </w:tcPr>
          <w:p w14:paraId="26ABE170"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tr w:rsidR="00D63888" w:rsidRPr="001B4E69" w14:paraId="26ABE175" w14:textId="77777777" w:rsidTr="00DA32F0">
        <w:trPr>
          <w:trHeight w:val="756"/>
        </w:trPr>
        <w:tc>
          <w:tcPr>
            <w:tcW w:w="2256" w:type="pct"/>
            <w:tcBorders>
              <w:top w:val="nil"/>
              <w:left w:val="single" w:sz="4" w:space="0" w:color="auto"/>
              <w:bottom w:val="single" w:sz="4" w:space="0" w:color="auto"/>
              <w:right w:val="single" w:sz="4" w:space="0" w:color="auto"/>
            </w:tcBorders>
            <w:shd w:val="clear" w:color="auto" w:fill="auto"/>
            <w:hideMark/>
          </w:tcPr>
          <w:p w14:paraId="26ABE172"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Dense shrublands on clay flats</w:t>
            </w:r>
          </w:p>
        </w:tc>
        <w:tc>
          <w:tcPr>
            <w:tcW w:w="888" w:type="pct"/>
            <w:tcBorders>
              <w:top w:val="nil"/>
              <w:left w:val="nil"/>
              <w:bottom w:val="single" w:sz="4" w:space="0" w:color="auto"/>
              <w:right w:val="single" w:sz="4" w:space="0" w:color="auto"/>
            </w:tcBorders>
            <w:shd w:val="clear" w:color="auto" w:fill="auto"/>
            <w:noWrap/>
            <w:hideMark/>
          </w:tcPr>
          <w:p w14:paraId="26ABE173"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Vulnerable</w:t>
            </w:r>
          </w:p>
        </w:tc>
        <w:tc>
          <w:tcPr>
            <w:tcW w:w="1856" w:type="pct"/>
            <w:tcBorders>
              <w:top w:val="nil"/>
              <w:left w:val="nil"/>
              <w:bottom w:val="single" w:sz="4" w:space="0" w:color="auto"/>
              <w:right w:val="single" w:sz="4" w:space="0" w:color="auto"/>
            </w:tcBorders>
            <w:shd w:val="clear" w:color="000000" w:fill="FFFFFF"/>
            <w:hideMark/>
          </w:tcPr>
          <w:p w14:paraId="26ABE174" w14:textId="77777777" w:rsidR="00D63888" w:rsidRPr="00DA32F0" w:rsidRDefault="00D63888" w:rsidP="00191124">
            <w:pPr>
              <w:spacing w:before="0" w:after="0"/>
              <w:rPr>
                <w:rFonts w:eastAsia="Times New Roman" w:cs="Segoe UI"/>
                <w:bCs/>
                <w:color w:val="000000"/>
                <w:lang w:eastAsia="en-AU"/>
              </w:rPr>
            </w:pPr>
            <w:r w:rsidRPr="00DA32F0">
              <w:rPr>
                <w:rFonts w:eastAsia="Times New Roman" w:cs="Segoe UI"/>
                <w:bCs/>
                <w:color w:val="000000"/>
                <w:lang w:eastAsia="en-AU"/>
              </w:rPr>
              <w:t>DBCA recovery plan completed 14 October 2015</w:t>
            </w:r>
          </w:p>
        </w:tc>
      </w:tr>
      <w:tr w:rsidR="00D63888" w:rsidRPr="001B4E69" w14:paraId="26ABE179" w14:textId="77777777" w:rsidTr="00DA32F0">
        <w:trPr>
          <w:trHeight w:val="288"/>
        </w:trPr>
        <w:tc>
          <w:tcPr>
            <w:tcW w:w="2256" w:type="pct"/>
            <w:tcBorders>
              <w:top w:val="nil"/>
              <w:left w:val="single" w:sz="4" w:space="0" w:color="auto"/>
              <w:bottom w:val="single" w:sz="4" w:space="0" w:color="auto"/>
              <w:right w:val="single" w:sz="4" w:space="0" w:color="auto"/>
            </w:tcBorders>
            <w:shd w:val="clear" w:color="auto" w:fill="auto"/>
            <w:hideMark/>
          </w:tcPr>
          <w:p w14:paraId="26ABE176"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Eucalypt woodlands of the Western Australian Wheatbelt</w:t>
            </w:r>
          </w:p>
        </w:tc>
        <w:tc>
          <w:tcPr>
            <w:tcW w:w="888" w:type="pct"/>
            <w:tcBorders>
              <w:top w:val="nil"/>
              <w:left w:val="nil"/>
              <w:bottom w:val="single" w:sz="4" w:space="0" w:color="auto"/>
              <w:right w:val="single" w:sz="4" w:space="0" w:color="auto"/>
            </w:tcBorders>
            <w:shd w:val="clear" w:color="auto" w:fill="auto"/>
            <w:noWrap/>
            <w:hideMark/>
          </w:tcPr>
          <w:p w14:paraId="26ABE177"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Priority 3</w:t>
            </w:r>
          </w:p>
        </w:tc>
        <w:tc>
          <w:tcPr>
            <w:tcW w:w="1856" w:type="pct"/>
            <w:tcBorders>
              <w:top w:val="nil"/>
              <w:left w:val="nil"/>
              <w:bottom w:val="single" w:sz="4" w:space="0" w:color="auto"/>
              <w:right w:val="single" w:sz="4" w:space="0" w:color="auto"/>
            </w:tcBorders>
            <w:shd w:val="clear" w:color="000000" w:fill="FFFFFF"/>
            <w:hideMark/>
          </w:tcPr>
          <w:p w14:paraId="26ABE178"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tr w:rsidR="00D63888" w:rsidRPr="001B4E69" w14:paraId="26ABE17D"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7A"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Forests and woodlands of deep seasonal wetlands of the Swan Coastal Plain</w:t>
            </w:r>
          </w:p>
        </w:tc>
        <w:tc>
          <w:tcPr>
            <w:tcW w:w="888" w:type="pct"/>
            <w:tcBorders>
              <w:top w:val="nil"/>
              <w:left w:val="nil"/>
              <w:bottom w:val="single" w:sz="4" w:space="0" w:color="auto"/>
              <w:right w:val="single" w:sz="4" w:space="0" w:color="auto"/>
            </w:tcBorders>
            <w:shd w:val="clear" w:color="auto" w:fill="auto"/>
            <w:noWrap/>
            <w:hideMark/>
          </w:tcPr>
          <w:p w14:paraId="26ABE17B"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Vulnerable</w:t>
            </w:r>
          </w:p>
        </w:tc>
        <w:tc>
          <w:tcPr>
            <w:tcW w:w="1856" w:type="pct"/>
            <w:tcBorders>
              <w:top w:val="nil"/>
              <w:left w:val="nil"/>
              <w:bottom w:val="single" w:sz="4" w:space="0" w:color="auto"/>
              <w:right w:val="single" w:sz="4" w:space="0" w:color="auto"/>
            </w:tcBorders>
            <w:shd w:val="clear" w:color="000000" w:fill="FFFFFF"/>
            <w:hideMark/>
          </w:tcPr>
          <w:p w14:paraId="26ABE17C"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tr w:rsidR="00D63888" w:rsidRPr="001B4E69" w14:paraId="26ABE181" w14:textId="77777777" w:rsidTr="00DA32F0">
        <w:trPr>
          <w:trHeight w:val="824"/>
        </w:trPr>
        <w:tc>
          <w:tcPr>
            <w:tcW w:w="2256" w:type="pct"/>
            <w:tcBorders>
              <w:top w:val="nil"/>
              <w:left w:val="single" w:sz="4" w:space="0" w:color="auto"/>
              <w:bottom w:val="single" w:sz="4" w:space="0" w:color="auto"/>
              <w:right w:val="single" w:sz="4" w:space="0" w:color="auto"/>
            </w:tcBorders>
            <w:shd w:val="clear" w:color="auto" w:fill="auto"/>
            <w:hideMark/>
          </w:tcPr>
          <w:p w14:paraId="26ABE17E"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lastRenderedPageBreak/>
              <w:t>Herb rich saline shrublands in clay pans</w:t>
            </w:r>
          </w:p>
        </w:tc>
        <w:tc>
          <w:tcPr>
            <w:tcW w:w="888" w:type="pct"/>
            <w:tcBorders>
              <w:top w:val="nil"/>
              <w:left w:val="nil"/>
              <w:bottom w:val="single" w:sz="4" w:space="0" w:color="auto"/>
              <w:right w:val="single" w:sz="4" w:space="0" w:color="auto"/>
            </w:tcBorders>
            <w:shd w:val="clear" w:color="auto" w:fill="auto"/>
            <w:noWrap/>
            <w:hideMark/>
          </w:tcPr>
          <w:p w14:paraId="26ABE17F"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Vulnerable</w:t>
            </w:r>
          </w:p>
        </w:tc>
        <w:tc>
          <w:tcPr>
            <w:tcW w:w="1856" w:type="pct"/>
            <w:tcBorders>
              <w:top w:val="nil"/>
              <w:left w:val="nil"/>
              <w:bottom w:val="single" w:sz="4" w:space="0" w:color="auto"/>
              <w:right w:val="single" w:sz="4" w:space="0" w:color="auto"/>
            </w:tcBorders>
            <w:shd w:val="clear" w:color="000000" w:fill="FFFFFF"/>
            <w:hideMark/>
          </w:tcPr>
          <w:p w14:paraId="26ABE180" w14:textId="77777777" w:rsidR="00D63888" w:rsidRPr="00DA32F0" w:rsidRDefault="00D63888" w:rsidP="00191124">
            <w:pPr>
              <w:spacing w:before="0" w:after="0"/>
              <w:rPr>
                <w:rFonts w:eastAsia="Times New Roman" w:cs="Segoe UI"/>
                <w:bCs/>
                <w:color w:val="000000"/>
                <w:lang w:eastAsia="en-AU"/>
              </w:rPr>
            </w:pPr>
            <w:r w:rsidRPr="00DA32F0">
              <w:rPr>
                <w:rFonts w:eastAsia="Times New Roman" w:cs="Segoe UI"/>
                <w:bCs/>
                <w:color w:val="000000"/>
                <w:lang w:eastAsia="en-AU"/>
              </w:rPr>
              <w:t>DBCA recovery plan completed 14 October 2015</w:t>
            </w:r>
          </w:p>
        </w:tc>
      </w:tr>
      <w:tr w:rsidR="00D63888" w:rsidRPr="001B4E69" w14:paraId="26ABE185" w14:textId="77777777" w:rsidTr="00DA32F0">
        <w:trPr>
          <w:trHeight w:val="850"/>
        </w:trPr>
        <w:tc>
          <w:tcPr>
            <w:tcW w:w="2256" w:type="pct"/>
            <w:tcBorders>
              <w:top w:val="nil"/>
              <w:left w:val="single" w:sz="4" w:space="0" w:color="auto"/>
              <w:bottom w:val="single" w:sz="4" w:space="0" w:color="auto"/>
              <w:right w:val="single" w:sz="4" w:space="0" w:color="auto"/>
            </w:tcBorders>
            <w:shd w:val="clear" w:color="auto" w:fill="auto"/>
            <w:hideMark/>
          </w:tcPr>
          <w:p w14:paraId="26ABE182"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Herb rich shrublands in clay pans</w:t>
            </w:r>
          </w:p>
        </w:tc>
        <w:tc>
          <w:tcPr>
            <w:tcW w:w="888" w:type="pct"/>
            <w:tcBorders>
              <w:top w:val="nil"/>
              <w:left w:val="nil"/>
              <w:bottom w:val="single" w:sz="4" w:space="0" w:color="auto"/>
              <w:right w:val="single" w:sz="4" w:space="0" w:color="auto"/>
            </w:tcBorders>
            <w:shd w:val="clear" w:color="auto" w:fill="auto"/>
            <w:noWrap/>
            <w:hideMark/>
          </w:tcPr>
          <w:p w14:paraId="26ABE183"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Vulnerable</w:t>
            </w:r>
          </w:p>
        </w:tc>
        <w:tc>
          <w:tcPr>
            <w:tcW w:w="1856" w:type="pct"/>
            <w:tcBorders>
              <w:top w:val="nil"/>
              <w:left w:val="nil"/>
              <w:bottom w:val="single" w:sz="4" w:space="0" w:color="auto"/>
              <w:right w:val="single" w:sz="4" w:space="0" w:color="auto"/>
            </w:tcBorders>
            <w:shd w:val="clear" w:color="000000" w:fill="FFFFFF"/>
            <w:hideMark/>
          </w:tcPr>
          <w:p w14:paraId="26ABE184" w14:textId="77777777" w:rsidR="00D63888" w:rsidRPr="00DA32F0" w:rsidRDefault="00D63888" w:rsidP="00191124">
            <w:pPr>
              <w:spacing w:before="0" w:after="0"/>
              <w:rPr>
                <w:rFonts w:eastAsia="Times New Roman" w:cs="Segoe UI"/>
                <w:bCs/>
                <w:color w:val="000000"/>
                <w:lang w:eastAsia="en-AU"/>
              </w:rPr>
            </w:pPr>
            <w:r w:rsidRPr="00DA32F0">
              <w:rPr>
                <w:rFonts w:eastAsia="Times New Roman" w:cs="Segoe UI"/>
                <w:bCs/>
                <w:color w:val="000000"/>
                <w:lang w:eastAsia="en-AU"/>
              </w:rPr>
              <w:t>DBCA recovery plan completed 14 October 2015</w:t>
            </w:r>
          </w:p>
        </w:tc>
      </w:tr>
      <w:tr w:rsidR="00D63888" w:rsidRPr="001B4E69" w14:paraId="26ABE189"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86"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Low lying Banksia attenuata woodlands or shrublands</w:t>
            </w:r>
          </w:p>
        </w:tc>
        <w:tc>
          <w:tcPr>
            <w:tcW w:w="888" w:type="pct"/>
            <w:tcBorders>
              <w:top w:val="nil"/>
              <w:left w:val="nil"/>
              <w:bottom w:val="single" w:sz="4" w:space="0" w:color="auto"/>
              <w:right w:val="single" w:sz="4" w:space="0" w:color="auto"/>
            </w:tcBorders>
            <w:shd w:val="clear" w:color="auto" w:fill="auto"/>
            <w:noWrap/>
            <w:hideMark/>
          </w:tcPr>
          <w:p w14:paraId="26ABE187"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Priority 3</w:t>
            </w:r>
          </w:p>
        </w:tc>
        <w:tc>
          <w:tcPr>
            <w:tcW w:w="1856" w:type="pct"/>
            <w:tcBorders>
              <w:top w:val="nil"/>
              <w:left w:val="nil"/>
              <w:bottom w:val="single" w:sz="4" w:space="0" w:color="auto"/>
              <w:right w:val="single" w:sz="4" w:space="0" w:color="auto"/>
            </w:tcBorders>
            <w:shd w:val="clear" w:color="000000" w:fill="FFFFFF"/>
            <w:hideMark/>
          </w:tcPr>
          <w:p w14:paraId="26ABE188"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tr w:rsidR="00D63888" w:rsidRPr="001B4E69" w14:paraId="26ABE18D" w14:textId="77777777" w:rsidTr="00DA32F0">
        <w:trPr>
          <w:trHeight w:val="288"/>
        </w:trPr>
        <w:tc>
          <w:tcPr>
            <w:tcW w:w="2256" w:type="pct"/>
            <w:tcBorders>
              <w:top w:val="nil"/>
              <w:left w:val="single" w:sz="4" w:space="0" w:color="auto"/>
              <w:bottom w:val="single" w:sz="4" w:space="0" w:color="auto"/>
              <w:right w:val="single" w:sz="4" w:space="0" w:color="auto"/>
            </w:tcBorders>
            <w:shd w:val="clear" w:color="auto" w:fill="auto"/>
            <w:hideMark/>
          </w:tcPr>
          <w:p w14:paraId="26ABE18A"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Mount Lindesay - Little Lindesay Vegetation Complex</w:t>
            </w:r>
          </w:p>
        </w:tc>
        <w:tc>
          <w:tcPr>
            <w:tcW w:w="888" w:type="pct"/>
            <w:tcBorders>
              <w:top w:val="nil"/>
              <w:left w:val="nil"/>
              <w:bottom w:val="single" w:sz="4" w:space="0" w:color="auto"/>
              <w:right w:val="single" w:sz="4" w:space="0" w:color="auto"/>
            </w:tcBorders>
            <w:shd w:val="clear" w:color="auto" w:fill="auto"/>
            <w:noWrap/>
            <w:hideMark/>
          </w:tcPr>
          <w:p w14:paraId="26ABE18B"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Endangered</w:t>
            </w:r>
          </w:p>
        </w:tc>
        <w:tc>
          <w:tcPr>
            <w:tcW w:w="1856" w:type="pct"/>
            <w:tcBorders>
              <w:top w:val="nil"/>
              <w:left w:val="nil"/>
              <w:bottom w:val="single" w:sz="4" w:space="0" w:color="auto"/>
              <w:right w:val="single" w:sz="4" w:space="0" w:color="auto"/>
            </w:tcBorders>
            <w:shd w:val="clear" w:color="000000" w:fill="FFFFFF"/>
            <w:hideMark/>
          </w:tcPr>
          <w:p w14:paraId="26ABE18C"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tr w:rsidR="00D63888" w:rsidRPr="001B4E69" w14:paraId="26ABE191"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8E"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Rimstone Pools and Cave Structures Formed by Microbial Activity on Marine Shorelines</w:t>
            </w:r>
          </w:p>
        </w:tc>
        <w:tc>
          <w:tcPr>
            <w:tcW w:w="888" w:type="pct"/>
            <w:tcBorders>
              <w:top w:val="nil"/>
              <w:left w:val="nil"/>
              <w:bottom w:val="single" w:sz="4" w:space="0" w:color="auto"/>
              <w:right w:val="single" w:sz="4" w:space="0" w:color="auto"/>
            </w:tcBorders>
            <w:shd w:val="clear" w:color="auto" w:fill="auto"/>
            <w:noWrap/>
            <w:hideMark/>
          </w:tcPr>
          <w:p w14:paraId="26ABE18F"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Endangered</w:t>
            </w:r>
          </w:p>
        </w:tc>
        <w:tc>
          <w:tcPr>
            <w:tcW w:w="1856" w:type="pct"/>
            <w:tcBorders>
              <w:top w:val="nil"/>
              <w:left w:val="nil"/>
              <w:bottom w:val="single" w:sz="4" w:space="0" w:color="auto"/>
              <w:right w:val="single" w:sz="4" w:space="0" w:color="auto"/>
            </w:tcBorders>
            <w:shd w:val="clear" w:color="000000" w:fill="FFFFFF"/>
            <w:hideMark/>
          </w:tcPr>
          <w:p w14:paraId="26ABE190"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tr w:rsidR="00D63888" w:rsidRPr="001B4E69" w14:paraId="26ABE195"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92"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Scott River Ironstone Association</w:t>
            </w:r>
          </w:p>
        </w:tc>
        <w:tc>
          <w:tcPr>
            <w:tcW w:w="888" w:type="pct"/>
            <w:tcBorders>
              <w:top w:val="nil"/>
              <w:left w:val="nil"/>
              <w:bottom w:val="single" w:sz="4" w:space="0" w:color="auto"/>
              <w:right w:val="single" w:sz="4" w:space="0" w:color="auto"/>
            </w:tcBorders>
            <w:shd w:val="clear" w:color="auto" w:fill="auto"/>
            <w:noWrap/>
            <w:hideMark/>
          </w:tcPr>
          <w:p w14:paraId="26ABE193"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Endangered</w:t>
            </w:r>
          </w:p>
        </w:tc>
        <w:tc>
          <w:tcPr>
            <w:tcW w:w="1856" w:type="pct"/>
            <w:tcBorders>
              <w:top w:val="nil"/>
              <w:left w:val="nil"/>
              <w:bottom w:val="single" w:sz="4" w:space="0" w:color="auto"/>
              <w:right w:val="single" w:sz="4" w:space="0" w:color="auto"/>
            </w:tcBorders>
            <w:shd w:val="clear" w:color="000000" w:fill="FFFFFF"/>
            <w:hideMark/>
          </w:tcPr>
          <w:p w14:paraId="26ABE194"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DBCA plan completed  7 April 2015</w:t>
            </w:r>
          </w:p>
        </w:tc>
      </w:tr>
      <w:tr w:rsidR="00D63888" w:rsidRPr="001B4E69" w14:paraId="26ABE199" w14:textId="77777777" w:rsidTr="00DA32F0">
        <w:trPr>
          <w:trHeight w:val="528"/>
        </w:trPr>
        <w:tc>
          <w:tcPr>
            <w:tcW w:w="2256" w:type="pct"/>
            <w:tcBorders>
              <w:top w:val="nil"/>
              <w:left w:val="single" w:sz="4" w:space="0" w:color="auto"/>
              <w:bottom w:val="single" w:sz="4" w:space="0" w:color="auto"/>
              <w:right w:val="single" w:sz="4" w:space="0" w:color="auto"/>
            </w:tcBorders>
            <w:shd w:val="clear" w:color="auto" w:fill="auto"/>
            <w:hideMark/>
          </w:tcPr>
          <w:p w14:paraId="26ABE196"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Shrublands and woodlands of the eastern side of the Swan Coastal Plain</w:t>
            </w:r>
          </w:p>
        </w:tc>
        <w:tc>
          <w:tcPr>
            <w:tcW w:w="888" w:type="pct"/>
            <w:tcBorders>
              <w:top w:val="nil"/>
              <w:left w:val="nil"/>
              <w:bottom w:val="single" w:sz="4" w:space="0" w:color="auto"/>
              <w:right w:val="single" w:sz="4" w:space="0" w:color="auto"/>
            </w:tcBorders>
            <w:shd w:val="clear" w:color="auto" w:fill="auto"/>
            <w:noWrap/>
            <w:hideMark/>
          </w:tcPr>
          <w:p w14:paraId="26ABE197"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Critically Endangered</w:t>
            </w:r>
          </w:p>
        </w:tc>
        <w:tc>
          <w:tcPr>
            <w:tcW w:w="1856" w:type="pct"/>
            <w:tcBorders>
              <w:top w:val="nil"/>
              <w:left w:val="nil"/>
              <w:bottom w:val="single" w:sz="4" w:space="0" w:color="auto"/>
              <w:right w:val="single" w:sz="4" w:space="0" w:color="auto"/>
            </w:tcBorders>
            <w:shd w:val="clear" w:color="000000" w:fill="FFFFFF"/>
            <w:hideMark/>
          </w:tcPr>
          <w:p w14:paraId="26ABE198"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DBCA plan completed 1 November 2006</w:t>
            </w:r>
          </w:p>
        </w:tc>
      </w:tr>
      <w:tr w:rsidR="00D63888" w:rsidRPr="001B4E69" w14:paraId="26ABE19D" w14:textId="77777777" w:rsidTr="00DA32F0">
        <w:trPr>
          <w:trHeight w:val="482"/>
        </w:trPr>
        <w:tc>
          <w:tcPr>
            <w:tcW w:w="2256" w:type="pct"/>
            <w:tcBorders>
              <w:top w:val="nil"/>
              <w:left w:val="single" w:sz="4" w:space="0" w:color="auto"/>
              <w:bottom w:val="single" w:sz="4" w:space="0" w:color="auto"/>
              <w:right w:val="single" w:sz="4" w:space="0" w:color="auto"/>
            </w:tcBorders>
            <w:shd w:val="clear" w:color="auto" w:fill="auto"/>
            <w:hideMark/>
          </w:tcPr>
          <w:p w14:paraId="26ABE19A"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Shrublands and woodlands on Muchea Limestone</w:t>
            </w:r>
          </w:p>
        </w:tc>
        <w:tc>
          <w:tcPr>
            <w:tcW w:w="888" w:type="pct"/>
            <w:tcBorders>
              <w:top w:val="nil"/>
              <w:left w:val="nil"/>
              <w:bottom w:val="single" w:sz="4" w:space="0" w:color="auto"/>
              <w:right w:val="single" w:sz="4" w:space="0" w:color="auto"/>
            </w:tcBorders>
            <w:shd w:val="clear" w:color="auto" w:fill="auto"/>
            <w:noWrap/>
            <w:hideMark/>
          </w:tcPr>
          <w:p w14:paraId="26ABE19B"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Endangered</w:t>
            </w:r>
          </w:p>
        </w:tc>
        <w:tc>
          <w:tcPr>
            <w:tcW w:w="1856" w:type="pct"/>
            <w:tcBorders>
              <w:top w:val="nil"/>
              <w:left w:val="nil"/>
              <w:bottom w:val="single" w:sz="4" w:space="0" w:color="auto"/>
              <w:right w:val="single" w:sz="4" w:space="0" w:color="auto"/>
            </w:tcBorders>
            <w:shd w:val="clear" w:color="000000" w:fill="FFFFFF"/>
            <w:hideMark/>
          </w:tcPr>
          <w:p w14:paraId="26ABE19C"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xml:space="preserve">DBCA Recovery plan completed 28 February 2000 </w:t>
            </w:r>
          </w:p>
        </w:tc>
      </w:tr>
      <w:tr w:rsidR="00D63888" w:rsidRPr="001B4E69" w14:paraId="26ABE1A1" w14:textId="77777777" w:rsidTr="00DA32F0">
        <w:trPr>
          <w:trHeight w:val="842"/>
        </w:trPr>
        <w:tc>
          <w:tcPr>
            <w:tcW w:w="2256" w:type="pct"/>
            <w:tcBorders>
              <w:top w:val="nil"/>
              <w:left w:val="single" w:sz="4" w:space="0" w:color="auto"/>
              <w:bottom w:val="single" w:sz="4" w:space="0" w:color="auto"/>
              <w:right w:val="single" w:sz="4" w:space="0" w:color="auto"/>
            </w:tcBorders>
            <w:shd w:val="clear" w:color="auto" w:fill="auto"/>
            <w:hideMark/>
          </w:tcPr>
          <w:p w14:paraId="26ABE19E"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Shrublands on dry clay flats</w:t>
            </w:r>
          </w:p>
        </w:tc>
        <w:tc>
          <w:tcPr>
            <w:tcW w:w="888" w:type="pct"/>
            <w:tcBorders>
              <w:top w:val="nil"/>
              <w:left w:val="nil"/>
              <w:bottom w:val="single" w:sz="4" w:space="0" w:color="auto"/>
              <w:right w:val="single" w:sz="4" w:space="0" w:color="auto"/>
            </w:tcBorders>
            <w:shd w:val="clear" w:color="auto" w:fill="auto"/>
            <w:noWrap/>
            <w:hideMark/>
          </w:tcPr>
          <w:p w14:paraId="26ABE19F"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Endangered</w:t>
            </w:r>
          </w:p>
        </w:tc>
        <w:tc>
          <w:tcPr>
            <w:tcW w:w="1856" w:type="pct"/>
            <w:tcBorders>
              <w:top w:val="nil"/>
              <w:left w:val="nil"/>
              <w:bottom w:val="single" w:sz="4" w:space="0" w:color="auto"/>
              <w:right w:val="single" w:sz="4" w:space="0" w:color="auto"/>
            </w:tcBorders>
            <w:shd w:val="clear" w:color="000000" w:fill="FFFFFF"/>
            <w:hideMark/>
          </w:tcPr>
          <w:p w14:paraId="26ABE1A0" w14:textId="77777777" w:rsidR="00D63888" w:rsidRPr="00DA32F0" w:rsidRDefault="00D63888" w:rsidP="00191124">
            <w:pPr>
              <w:spacing w:before="0" w:after="0"/>
              <w:rPr>
                <w:rFonts w:eastAsia="Times New Roman" w:cs="Segoe UI"/>
                <w:bCs/>
                <w:color w:val="000000"/>
                <w:lang w:eastAsia="en-AU"/>
              </w:rPr>
            </w:pPr>
            <w:r w:rsidRPr="00DA32F0">
              <w:rPr>
                <w:rFonts w:eastAsia="Times New Roman" w:cs="Segoe UI"/>
                <w:bCs/>
                <w:color w:val="000000"/>
                <w:lang w:eastAsia="en-AU"/>
              </w:rPr>
              <w:t>DBCA recovery plan completed 14 October 2015</w:t>
            </w:r>
          </w:p>
        </w:tc>
      </w:tr>
      <w:tr w:rsidR="00D63888" w:rsidRPr="001B4E69" w14:paraId="26ABE1A5" w14:textId="77777777" w:rsidTr="00DA32F0">
        <w:trPr>
          <w:trHeight w:val="792"/>
        </w:trPr>
        <w:tc>
          <w:tcPr>
            <w:tcW w:w="2256" w:type="pct"/>
            <w:tcBorders>
              <w:top w:val="nil"/>
              <w:left w:val="single" w:sz="4" w:space="0" w:color="auto"/>
              <w:bottom w:val="single" w:sz="4" w:space="0" w:color="auto"/>
              <w:right w:val="single" w:sz="4" w:space="0" w:color="auto"/>
            </w:tcBorders>
            <w:shd w:val="clear" w:color="auto" w:fill="auto"/>
            <w:hideMark/>
          </w:tcPr>
          <w:p w14:paraId="26ABE1A2"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Shrublands on southern Swan Coastal Plain Ironstones (Busselton area)</w:t>
            </w:r>
          </w:p>
        </w:tc>
        <w:tc>
          <w:tcPr>
            <w:tcW w:w="888" w:type="pct"/>
            <w:tcBorders>
              <w:top w:val="nil"/>
              <w:left w:val="nil"/>
              <w:bottom w:val="single" w:sz="4" w:space="0" w:color="auto"/>
              <w:right w:val="single" w:sz="4" w:space="0" w:color="auto"/>
            </w:tcBorders>
            <w:shd w:val="clear" w:color="auto" w:fill="auto"/>
            <w:noWrap/>
            <w:hideMark/>
          </w:tcPr>
          <w:p w14:paraId="26ABE1A3"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Critically Endangered</w:t>
            </w:r>
          </w:p>
        </w:tc>
        <w:tc>
          <w:tcPr>
            <w:tcW w:w="1856" w:type="pct"/>
            <w:tcBorders>
              <w:top w:val="nil"/>
              <w:left w:val="nil"/>
              <w:bottom w:val="single" w:sz="4" w:space="0" w:color="auto"/>
              <w:right w:val="single" w:sz="4" w:space="0" w:color="auto"/>
            </w:tcBorders>
            <w:shd w:val="clear" w:color="000000" w:fill="FFFFFF"/>
            <w:hideMark/>
          </w:tcPr>
          <w:p w14:paraId="26ABE1A4"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xml:space="preserve">DBCA recovery plan completed 21 November 2005 </w:t>
            </w:r>
          </w:p>
        </w:tc>
      </w:tr>
      <w:tr w:rsidR="00D63888" w:rsidRPr="001B4E69" w14:paraId="26ABE1A9" w14:textId="77777777" w:rsidTr="00DA32F0">
        <w:trPr>
          <w:trHeight w:val="288"/>
        </w:trPr>
        <w:tc>
          <w:tcPr>
            <w:tcW w:w="2256" w:type="pct"/>
            <w:tcBorders>
              <w:top w:val="nil"/>
              <w:left w:val="single" w:sz="4" w:space="0" w:color="auto"/>
              <w:bottom w:val="single" w:sz="4" w:space="0" w:color="auto"/>
              <w:right w:val="single" w:sz="4" w:space="0" w:color="auto"/>
            </w:tcBorders>
            <w:shd w:val="clear" w:color="auto" w:fill="auto"/>
            <w:hideMark/>
          </w:tcPr>
          <w:p w14:paraId="26ABE1A6"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Southern wet shrublands, Swan Coastal Plain</w:t>
            </w:r>
          </w:p>
        </w:tc>
        <w:tc>
          <w:tcPr>
            <w:tcW w:w="888" w:type="pct"/>
            <w:tcBorders>
              <w:top w:val="nil"/>
              <w:left w:val="nil"/>
              <w:bottom w:val="single" w:sz="4" w:space="0" w:color="auto"/>
              <w:right w:val="single" w:sz="4" w:space="0" w:color="auto"/>
            </w:tcBorders>
            <w:shd w:val="clear" w:color="auto" w:fill="auto"/>
            <w:noWrap/>
            <w:hideMark/>
          </w:tcPr>
          <w:p w14:paraId="26ABE1A7"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Endangered</w:t>
            </w:r>
          </w:p>
        </w:tc>
        <w:tc>
          <w:tcPr>
            <w:tcW w:w="1856" w:type="pct"/>
            <w:tcBorders>
              <w:top w:val="nil"/>
              <w:left w:val="nil"/>
              <w:bottom w:val="single" w:sz="4" w:space="0" w:color="auto"/>
              <w:right w:val="single" w:sz="4" w:space="0" w:color="auto"/>
            </w:tcBorders>
            <w:shd w:val="clear" w:color="000000" w:fill="FFFFFF"/>
            <w:hideMark/>
          </w:tcPr>
          <w:p w14:paraId="26ABE1A8"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tr w:rsidR="00D63888" w:rsidRPr="001B4E69" w14:paraId="26ABE1AD" w14:textId="77777777" w:rsidTr="00DA32F0">
        <w:trPr>
          <w:trHeight w:val="288"/>
        </w:trPr>
        <w:tc>
          <w:tcPr>
            <w:tcW w:w="2256" w:type="pct"/>
            <w:tcBorders>
              <w:top w:val="nil"/>
              <w:left w:val="single" w:sz="4" w:space="0" w:color="auto"/>
              <w:bottom w:val="single" w:sz="4" w:space="0" w:color="auto"/>
              <w:right w:val="single" w:sz="4" w:space="0" w:color="auto"/>
            </w:tcBorders>
            <w:shd w:val="clear" w:color="auto" w:fill="auto"/>
            <w:hideMark/>
          </w:tcPr>
          <w:p w14:paraId="26ABE1AA"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Subtropical and Temperate Coastal Saltmarsh</w:t>
            </w:r>
          </w:p>
        </w:tc>
        <w:tc>
          <w:tcPr>
            <w:tcW w:w="888" w:type="pct"/>
            <w:tcBorders>
              <w:top w:val="nil"/>
              <w:left w:val="nil"/>
              <w:bottom w:val="single" w:sz="4" w:space="0" w:color="auto"/>
              <w:right w:val="single" w:sz="4" w:space="0" w:color="auto"/>
            </w:tcBorders>
            <w:shd w:val="clear" w:color="auto" w:fill="auto"/>
            <w:noWrap/>
            <w:hideMark/>
          </w:tcPr>
          <w:p w14:paraId="26ABE1AB"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Priority 3</w:t>
            </w:r>
          </w:p>
        </w:tc>
        <w:tc>
          <w:tcPr>
            <w:tcW w:w="1856" w:type="pct"/>
            <w:tcBorders>
              <w:top w:val="nil"/>
              <w:left w:val="nil"/>
              <w:bottom w:val="single" w:sz="4" w:space="0" w:color="auto"/>
              <w:right w:val="single" w:sz="4" w:space="0" w:color="auto"/>
            </w:tcBorders>
            <w:shd w:val="clear" w:color="000000" w:fill="FFFFFF"/>
            <w:hideMark/>
          </w:tcPr>
          <w:p w14:paraId="26ABE1AC" w14:textId="77777777" w:rsidR="00D63888" w:rsidRPr="00DA32F0" w:rsidRDefault="00D63888" w:rsidP="001B4E69">
            <w:pPr>
              <w:spacing w:before="0" w:after="0"/>
              <w:rPr>
                <w:rFonts w:eastAsia="Times New Roman" w:cs="Segoe UI"/>
                <w:bCs/>
                <w:color w:val="000000"/>
                <w:lang w:eastAsia="en-AU"/>
              </w:rPr>
            </w:pPr>
            <w:r w:rsidRPr="00DA32F0">
              <w:rPr>
                <w:rFonts w:eastAsia="Times New Roman" w:cs="Segoe UI"/>
                <w:bCs/>
                <w:color w:val="000000"/>
                <w:lang w:eastAsia="en-AU"/>
              </w:rPr>
              <w:t> </w:t>
            </w:r>
          </w:p>
        </w:tc>
      </w:tr>
      <w:bookmarkEnd w:id="239"/>
    </w:tbl>
    <w:p w14:paraId="26ABE1B2" w14:textId="77777777" w:rsidR="00111165" w:rsidRPr="00CE60B2" w:rsidRDefault="00111165" w:rsidP="00D8314D">
      <w:pPr>
        <w:rPr>
          <w:rFonts w:cs="Segoe UI"/>
          <w:lang w:eastAsia="en-AU"/>
        </w:rPr>
      </w:pPr>
    </w:p>
    <w:p w14:paraId="26ABE1B3" w14:textId="77777777" w:rsidR="00806F1C" w:rsidRPr="00CE60B2" w:rsidRDefault="00806F1C" w:rsidP="004A0E14">
      <w:pPr>
        <w:tabs>
          <w:tab w:val="left" w:pos="2511"/>
          <w:tab w:val="left" w:pos="4075"/>
          <w:tab w:val="left" w:pos="5494"/>
          <w:tab w:val="left" w:pos="11625"/>
        </w:tabs>
        <w:spacing w:before="0" w:after="0"/>
        <w:rPr>
          <w:rFonts w:eastAsia="Times New Roman" w:cs="Segoe UI"/>
          <w:color w:val="000000"/>
          <w:lang w:eastAsia="en-AU"/>
        </w:rPr>
        <w:sectPr w:rsidR="00806F1C" w:rsidRPr="00CE60B2" w:rsidSect="006554DE">
          <w:pgSz w:w="11906" w:h="16838" w:code="9"/>
          <w:pgMar w:top="1418" w:right="1418" w:bottom="1418" w:left="1418" w:header="737" w:footer="680" w:gutter="0"/>
          <w:cols w:space="708"/>
          <w:docGrid w:linePitch="360"/>
        </w:sectPr>
      </w:pPr>
    </w:p>
    <w:p w14:paraId="26ABE1B5" w14:textId="125951C2" w:rsidR="00B825A0" w:rsidRPr="00CE60B2" w:rsidRDefault="00B825A0" w:rsidP="00612837">
      <w:pPr>
        <w:pStyle w:val="Heading3"/>
        <w:spacing w:after="120"/>
        <w:jc w:val="right"/>
      </w:pPr>
      <w:bookmarkStart w:id="243" w:name="_Toc2776091"/>
      <w:bookmarkEnd w:id="240"/>
      <w:r w:rsidRPr="000E6BFC">
        <w:lastRenderedPageBreak/>
        <w:t xml:space="preserve">Appendix </w:t>
      </w:r>
      <w:r w:rsidR="00E002AD">
        <w:t>C</w:t>
      </w:r>
      <w:r w:rsidR="00F90324">
        <w:t xml:space="preserve">:  </w:t>
      </w:r>
      <w:bookmarkStart w:id="244" w:name="_Toc524952857"/>
      <w:r w:rsidRPr="00CE60B2">
        <w:t>Recommendations at the combined first</w:t>
      </w:r>
      <w:r w:rsidR="00612837">
        <w:t xml:space="preserve"> </w:t>
      </w:r>
      <w:r w:rsidRPr="00CE60B2">
        <w:t>and second five-yearly review</w:t>
      </w:r>
      <w:bookmarkEnd w:id="244"/>
      <w:bookmarkEnd w:id="243"/>
    </w:p>
    <w:p w14:paraId="26ABE1B6" w14:textId="77777777" w:rsidR="003E757E" w:rsidRPr="00CE60B2" w:rsidRDefault="003E757E" w:rsidP="00736CC4">
      <w:pPr>
        <w:pStyle w:val="Default"/>
        <w:numPr>
          <w:ilvl w:val="0"/>
          <w:numId w:val="25"/>
        </w:numPr>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The Parties clarify some matters in A Report on Progress with the Implementation of the Regional Forest Agreement for the South–West Region of Western Australia in a revised published (online) version.</w:t>
      </w:r>
    </w:p>
    <w:p w14:paraId="26ABE1B7"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2.</w:t>
      </w:r>
      <w:r w:rsidRPr="00CE60B2">
        <w:rPr>
          <w:rFonts w:ascii="Segoe UI" w:hAnsi="Segoe UI" w:cs="Segoe UI"/>
          <w:color w:val="auto"/>
          <w:sz w:val="22"/>
          <w:szCs w:val="22"/>
        </w:rPr>
        <w:tab/>
        <w:t>The Parties develop an agreed statement or addendum of the legislative and administrative changes at Commonwealth and State level that affect the Regional Forest Agreement.</w:t>
      </w:r>
    </w:p>
    <w:p w14:paraId="26ABE1B8"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3.</w:t>
      </w:r>
      <w:r w:rsidRPr="00CE60B2">
        <w:rPr>
          <w:rFonts w:ascii="Segoe UI" w:hAnsi="Segoe UI" w:cs="Segoe UI"/>
          <w:color w:val="auto"/>
          <w:sz w:val="22"/>
          <w:szCs w:val="22"/>
        </w:rPr>
        <w:tab/>
        <w:t>The Parties recommit to timely and regular reviews of the implementation of the Regional Forest Agreement recognising the scope of reviews will change as the RFA is progressively implemented.</w:t>
      </w:r>
    </w:p>
    <w:p w14:paraId="26ABE1B9"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4.</w:t>
      </w:r>
      <w:r w:rsidRPr="00CE60B2">
        <w:rPr>
          <w:rFonts w:ascii="Segoe UI" w:hAnsi="Segoe UI" w:cs="Segoe UI"/>
          <w:color w:val="auto"/>
          <w:sz w:val="22"/>
          <w:szCs w:val="22"/>
        </w:rPr>
        <w:tab/>
        <w:t>The Government of Western Australia agrees on the mechanism to achieve external input into Research and Development (R&amp;D) priorities and opportunities to expand cooperative research programmes.</w:t>
      </w:r>
    </w:p>
    <w:p w14:paraId="26ABE1BA"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5.</w:t>
      </w:r>
      <w:r w:rsidRPr="00CE60B2">
        <w:rPr>
          <w:rFonts w:ascii="Segoe UI" w:hAnsi="Segoe UI" w:cs="Segoe UI"/>
          <w:color w:val="auto"/>
          <w:sz w:val="22"/>
          <w:szCs w:val="22"/>
        </w:rPr>
        <w:tab/>
        <w:t>The Government of Western Australia continues to periodically review the sustained yield in relation to the changing biotic and abiotic risk factors.</w:t>
      </w:r>
    </w:p>
    <w:p w14:paraId="26ABE1BB"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6.</w:t>
      </w:r>
      <w:r w:rsidRPr="00CE60B2">
        <w:rPr>
          <w:rFonts w:ascii="Segoe UI" w:hAnsi="Segoe UI" w:cs="Segoe UI"/>
          <w:color w:val="auto"/>
          <w:sz w:val="22"/>
          <w:szCs w:val="22"/>
        </w:rPr>
        <w:tab/>
        <w:t xml:space="preserve">The Parties review the indicators used for </w:t>
      </w:r>
      <w:r w:rsidR="00253CCC">
        <w:rPr>
          <w:rFonts w:ascii="Segoe UI" w:hAnsi="Segoe UI" w:cs="Segoe UI"/>
          <w:color w:val="auto"/>
          <w:sz w:val="22"/>
          <w:szCs w:val="22"/>
        </w:rPr>
        <w:t>ESFM</w:t>
      </w:r>
      <w:r w:rsidRPr="00CE60B2">
        <w:rPr>
          <w:rFonts w:ascii="Segoe UI" w:hAnsi="Segoe UI" w:cs="Segoe UI"/>
          <w:color w:val="auto"/>
          <w:sz w:val="22"/>
          <w:szCs w:val="22"/>
        </w:rPr>
        <w:t xml:space="preserve"> assessment in the </w:t>
      </w:r>
      <w:r w:rsidR="008143EB">
        <w:rPr>
          <w:rFonts w:ascii="Segoe UI" w:hAnsi="Segoe UI" w:cs="Segoe UI"/>
          <w:color w:val="auto"/>
          <w:sz w:val="22"/>
          <w:szCs w:val="22"/>
        </w:rPr>
        <w:t>FMP </w:t>
      </w:r>
      <w:r w:rsidRPr="00CE60B2">
        <w:rPr>
          <w:rFonts w:ascii="Segoe UI" w:hAnsi="Segoe UI" w:cs="Segoe UI"/>
          <w:color w:val="auto"/>
          <w:sz w:val="22"/>
          <w:szCs w:val="22"/>
        </w:rPr>
        <w:t>2014-2023 as part of the next 5-yearly Regional Forest Agreement to ensure they adequately address each of the Montreal Criteria.</w:t>
      </w:r>
    </w:p>
    <w:p w14:paraId="26ABE1BC"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7.</w:t>
      </w:r>
      <w:r w:rsidRPr="00CE60B2">
        <w:rPr>
          <w:rFonts w:ascii="Segoe UI" w:hAnsi="Segoe UI" w:cs="Segoe UI"/>
          <w:color w:val="auto"/>
          <w:sz w:val="22"/>
          <w:szCs w:val="22"/>
        </w:rPr>
        <w:tab/>
        <w:t xml:space="preserve">The Parties assess the adequacy of the compliance provisions related to the </w:t>
      </w:r>
      <w:r w:rsidR="008143EB">
        <w:rPr>
          <w:rFonts w:ascii="Segoe UI" w:hAnsi="Segoe UI" w:cs="Segoe UI"/>
          <w:color w:val="auto"/>
          <w:sz w:val="22"/>
          <w:szCs w:val="22"/>
        </w:rPr>
        <w:t>FMP </w:t>
      </w:r>
      <w:r w:rsidRPr="00CE60B2">
        <w:rPr>
          <w:rFonts w:ascii="Segoe UI" w:hAnsi="Segoe UI" w:cs="Segoe UI"/>
          <w:color w:val="auto"/>
          <w:sz w:val="22"/>
          <w:szCs w:val="22"/>
        </w:rPr>
        <w:t>2014-2023 as part of the next 5-yearly Regional Forest Agreement review.</w:t>
      </w:r>
    </w:p>
    <w:p w14:paraId="26ABE1BD"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8.</w:t>
      </w:r>
      <w:r w:rsidRPr="00CE60B2">
        <w:rPr>
          <w:rFonts w:ascii="Segoe UI" w:hAnsi="Segoe UI" w:cs="Segoe UI"/>
          <w:color w:val="auto"/>
          <w:sz w:val="22"/>
          <w:szCs w:val="22"/>
        </w:rPr>
        <w:tab/>
        <w:t>The Government of Western Australia considers the development of a comprehensive forest health assessment system.</w:t>
      </w:r>
    </w:p>
    <w:p w14:paraId="26ABE1BE"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9.</w:t>
      </w:r>
      <w:r w:rsidRPr="00CE60B2">
        <w:rPr>
          <w:rFonts w:ascii="Segoe UI" w:hAnsi="Segoe UI" w:cs="Segoe UI"/>
          <w:color w:val="auto"/>
          <w:sz w:val="22"/>
          <w:szCs w:val="22"/>
        </w:rPr>
        <w:tab/>
        <w:t>The Parties ensure the climatic trends evident in the Regional Forest Agreement region are considered in future forest management planning and management for forest goods and services including conservation, wood and catchment water yields.</w:t>
      </w:r>
    </w:p>
    <w:p w14:paraId="26ABE1BF"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10.</w:t>
      </w:r>
      <w:r w:rsidRPr="00CE60B2">
        <w:rPr>
          <w:rFonts w:ascii="Segoe UI" w:hAnsi="Segoe UI" w:cs="Segoe UI"/>
          <w:color w:val="auto"/>
          <w:sz w:val="22"/>
          <w:szCs w:val="22"/>
        </w:rPr>
        <w:tab/>
        <w:t>The Government of Western Australia undertakes an analysis of the adoption of research outputs into management practice as part of the process of determining future research priorities.</w:t>
      </w:r>
    </w:p>
    <w:p w14:paraId="26ABE1C0"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11.</w:t>
      </w:r>
      <w:r w:rsidRPr="00CE60B2">
        <w:rPr>
          <w:rFonts w:ascii="Segoe UI" w:hAnsi="Segoe UI" w:cs="Segoe UI"/>
          <w:color w:val="auto"/>
          <w:sz w:val="22"/>
          <w:szCs w:val="22"/>
        </w:rPr>
        <w:tab/>
        <w:t>The Parties review policy settings that affect the utilisation of wood harvested in the Regional Forest Agreement region in light of changing economic circumstances, technology and the opportunity for climate change mitigation.</w:t>
      </w:r>
    </w:p>
    <w:p w14:paraId="26ABE1C1"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12.</w:t>
      </w:r>
      <w:r w:rsidRPr="00CE60B2">
        <w:rPr>
          <w:rFonts w:ascii="Segoe UI" w:hAnsi="Segoe UI" w:cs="Segoe UI"/>
          <w:color w:val="auto"/>
          <w:sz w:val="22"/>
          <w:szCs w:val="22"/>
        </w:rPr>
        <w:tab/>
        <w:t>The Parties review the need for updating key data sets and any steps that should be taken to ensure ongoing access to historical data sets.</w:t>
      </w:r>
    </w:p>
    <w:p w14:paraId="26ABE1C2" w14:textId="77777777" w:rsidR="003E757E" w:rsidRPr="00CE60B2" w:rsidRDefault="003E757E" w:rsidP="00736CC4">
      <w:pPr>
        <w:pStyle w:val="Default"/>
        <w:spacing w:before="80" w:after="80"/>
        <w:ind w:left="567" w:hanging="567"/>
        <w:rPr>
          <w:rFonts w:ascii="Segoe UI" w:hAnsi="Segoe UI" w:cs="Segoe UI"/>
          <w:color w:val="auto"/>
          <w:sz w:val="22"/>
          <w:szCs w:val="22"/>
        </w:rPr>
      </w:pPr>
      <w:r w:rsidRPr="00CE60B2">
        <w:rPr>
          <w:rFonts w:ascii="Segoe UI" w:hAnsi="Segoe UI" w:cs="Segoe UI"/>
          <w:color w:val="auto"/>
          <w:sz w:val="22"/>
          <w:szCs w:val="22"/>
        </w:rPr>
        <w:t>13.</w:t>
      </w:r>
      <w:r w:rsidRPr="00CE60B2">
        <w:rPr>
          <w:rFonts w:ascii="Segoe UI" w:hAnsi="Segoe UI" w:cs="Segoe UI"/>
          <w:color w:val="auto"/>
          <w:sz w:val="22"/>
          <w:szCs w:val="22"/>
        </w:rPr>
        <w:tab/>
        <w:t xml:space="preserve">The Parties’ consideration of the scope of the next 5-yearly Regional Forest Agreement review should ensure the ongoing Regional Forest Agreement requirements are met in </w:t>
      </w:r>
      <w:r w:rsidR="008143EB">
        <w:rPr>
          <w:rFonts w:ascii="Segoe UI" w:hAnsi="Segoe UI" w:cs="Segoe UI"/>
          <w:color w:val="auto"/>
          <w:sz w:val="22"/>
          <w:szCs w:val="22"/>
        </w:rPr>
        <w:t>FMP </w:t>
      </w:r>
      <w:r w:rsidRPr="00CE60B2">
        <w:rPr>
          <w:rFonts w:ascii="Segoe UI" w:hAnsi="Segoe UI" w:cs="Segoe UI"/>
          <w:color w:val="auto"/>
          <w:sz w:val="22"/>
          <w:szCs w:val="22"/>
        </w:rPr>
        <w:t>2014-2023 particularly in relation to:</w:t>
      </w:r>
    </w:p>
    <w:p w14:paraId="26ABE1C3" w14:textId="77777777" w:rsidR="003E757E" w:rsidRPr="00CE60B2" w:rsidRDefault="003E757E" w:rsidP="00736CC4">
      <w:pPr>
        <w:pStyle w:val="Default"/>
        <w:ind w:left="1134" w:hanging="567"/>
        <w:rPr>
          <w:rFonts w:ascii="Segoe UI" w:hAnsi="Segoe UI" w:cs="Segoe UI"/>
          <w:color w:val="auto"/>
          <w:sz w:val="22"/>
          <w:szCs w:val="22"/>
        </w:rPr>
      </w:pPr>
      <w:r w:rsidRPr="00CE60B2">
        <w:rPr>
          <w:rFonts w:ascii="Segoe UI" w:hAnsi="Segoe UI" w:cs="Segoe UI"/>
          <w:color w:val="auto"/>
          <w:sz w:val="22"/>
          <w:szCs w:val="22"/>
        </w:rPr>
        <w:t>a.</w:t>
      </w:r>
      <w:r w:rsidRPr="00CE60B2">
        <w:rPr>
          <w:rFonts w:ascii="Segoe UI" w:hAnsi="Segoe UI" w:cs="Segoe UI"/>
          <w:color w:val="auto"/>
          <w:sz w:val="22"/>
          <w:szCs w:val="22"/>
        </w:rPr>
        <w:tab/>
      </w:r>
      <w:r w:rsidR="00253CCC">
        <w:rPr>
          <w:rFonts w:ascii="Segoe UI" w:hAnsi="Segoe UI" w:cs="Segoe UI"/>
          <w:color w:val="auto"/>
          <w:sz w:val="22"/>
          <w:szCs w:val="22"/>
        </w:rPr>
        <w:t>ESFM</w:t>
      </w:r>
    </w:p>
    <w:p w14:paraId="26ABE1C4" w14:textId="77777777" w:rsidR="003E757E" w:rsidRPr="00CE60B2" w:rsidRDefault="003E757E" w:rsidP="00736CC4">
      <w:pPr>
        <w:pStyle w:val="Default"/>
        <w:ind w:left="1134" w:hanging="567"/>
        <w:rPr>
          <w:rFonts w:ascii="Segoe UI" w:hAnsi="Segoe UI" w:cs="Segoe UI"/>
          <w:color w:val="auto"/>
          <w:sz w:val="22"/>
          <w:szCs w:val="22"/>
        </w:rPr>
      </w:pPr>
      <w:r w:rsidRPr="00CE60B2">
        <w:rPr>
          <w:rFonts w:ascii="Segoe UI" w:hAnsi="Segoe UI" w:cs="Segoe UI"/>
          <w:color w:val="auto"/>
          <w:sz w:val="22"/>
          <w:szCs w:val="22"/>
        </w:rPr>
        <w:t>b.</w:t>
      </w:r>
      <w:r w:rsidRPr="00CE60B2">
        <w:rPr>
          <w:rFonts w:ascii="Segoe UI" w:hAnsi="Segoe UI" w:cs="Segoe UI"/>
          <w:color w:val="auto"/>
          <w:sz w:val="22"/>
          <w:szCs w:val="22"/>
        </w:rPr>
        <w:tab/>
        <w:t xml:space="preserve">protection of threatened flora and fauna, and that </w:t>
      </w:r>
    </w:p>
    <w:p w14:paraId="26ABE1C6" w14:textId="73C888D0" w:rsidR="00B825A0" w:rsidRPr="00CE60B2" w:rsidRDefault="003E757E" w:rsidP="00736CC4">
      <w:pPr>
        <w:pStyle w:val="Default"/>
        <w:ind w:left="1134" w:hanging="567"/>
        <w:rPr>
          <w:rFonts w:cs="Segoe UI"/>
          <w:b/>
          <w:sz w:val="28"/>
        </w:rPr>
      </w:pPr>
      <w:r w:rsidRPr="00CE60B2">
        <w:rPr>
          <w:rFonts w:ascii="Segoe UI" w:hAnsi="Segoe UI" w:cs="Segoe UI"/>
          <w:color w:val="auto"/>
          <w:sz w:val="22"/>
          <w:szCs w:val="22"/>
        </w:rPr>
        <w:t>c.</w:t>
      </w:r>
      <w:r w:rsidRPr="00CE60B2">
        <w:rPr>
          <w:rFonts w:ascii="Segoe UI" w:hAnsi="Segoe UI" w:cs="Segoe UI"/>
          <w:color w:val="auto"/>
          <w:sz w:val="22"/>
          <w:szCs w:val="22"/>
        </w:rPr>
        <w:tab/>
        <w:t xml:space="preserve">the indicators of </w:t>
      </w:r>
      <w:r w:rsidR="00253CCC">
        <w:rPr>
          <w:rFonts w:ascii="Segoe UI" w:hAnsi="Segoe UI" w:cs="Segoe UI"/>
          <w:color w:val="auto"/>
          <w:sz w:val="22"/>
          <w:szCs w:val="22"/>
        </w:rPr>
        <w:t>ESFM</w:t>
      </w:r>
      <w:r w:rsidRPr="00CE60B2">
        <w:rPr>
          <w:rFonts w:ascii="Segoe UI" w:hAnsi="Segoe UI" w:cs="Segoe UI"/>
          <w:color w:val="auto"/>
          <w:sz w:val="22"/>
          <w:szCs w:val="22"/>
        </w:rPr>
        <w:t xml:space="preserve"> are sufficiently comprehensive to cover social, economic and environmental aspects of forest management.</w:t>
      </w:r>
      <w:r w:rsidR="00B825A0" w:rsidRPr="00CE60B2">
        <w:rPr>
          <w:rFonts w:cs="Segoe UI"/>
          <w:b/>
          <w:sz w:val="28"/>
        </w:rPr>
        <w:br w:type="page"/>
      </w:r>
    </w:p>
    <w:p w14:paraId="26ABE1C8" w14:textId="492D07B6" w:rsidR="00B825A0" w:rsidRPr="00CE60B2" w:rsidRDefault="00B825A0" w:rsidP="00F90324">
      <w:pPr>
        <w:pStyle w:val="Heading3"/>
        <w:jc w:val="right"/>
      </w:pPr>
      <w:bookmarkStart w:id="245" w:name="_Toc2776092"/>
      <w:r w:rsidRPr="00736CC4">
        <w:lastRenderedPageBreak/>
        <w:t xml:space="preserve">Appendix </w:t>
      </w:r>
      <w:r w:rsidR="00E002AD" w:rsidRPr="00736CC4">
        <w:t>D</w:t>
      </w:r>
      <w:r w:rsidR="00F90324">
        <w:t xml:space="preserve">:  </w:t>
      </w:r>
      <w:bookmarkStart w:id="246" w:name="_Toc524952858"/>
      <w:r w:rsidRPr="00CE60B2">
        <w:t>Recommendations at the third five-yearly review</w:t>
      </w:r>
      <w:bookmarkEnd w:id="246"/>
      <w:bookmarkEnd w:id="245"/>
    </w:p>
    <w:p w14:paraId="26ABE1C9" w14:textId="77777777" w:rsidR="003E757E" w:rsidRPr="00CE60B2" w:rsidRDefault="003E757E" w:rsidP="00C903EE">
      <w:pPr>
        <w:numPr>
          <w:ilvl w:val="0"/>
          <w:numId w:val="26"/>
        </w:numPr>
        <w:ind w:left="426"/>
        <w:rPr>
          <w:rFonts w:cs="Segoe UI"/>
        </w:rPr>
      </w:pPr>
      <w:r w:rsidRPr="00CE60B2">
        <w:rPr>
          <w:rFonts w:cs="Segoe UI"/>
        </w:rPr>
        <w:t>WA considers the means by which its legislative, policy and institutional framework can deliver a clear and consistent interpretation of the contribution that forests outside of reserves (including private land) should make to the conservation of biodiversity across the range of temporal and spatial scales.</w:t>
      </w:r>
    </w:p>
    <w:p w14:paraId="26ABE1CA" w14:textId="77777777" w:rsidR="003E757E" w:rsidRPr="00CE60B2" w:rsidRDefault="003E757E" w:rsidP="00C903EE">
      <w:pPr>
        <w:numPr>
          <w:ilvl w:val="0"/>
          <w:numId w:val="26"/>
        </w:numPr>
        <w:ind w:left="426"/>
        <w:rPr>
          <w:rFonts w:cs="Segoe UI"/>
        </w:rPr>
      </w:pPr>
      <w:r w:rsidRPr="00CE60B2">
        <w:rPr>
          <w:rFonts w:cs="Segoe UI"/>
        </w:rPr>
        <w:t>WA considers mechanisms to foster a common understanding within government and amongst land managers, resource-users, scientists, non-government organisations, the media and the wider community, of the role and contribution of forests outside of reserves to the conservation of biodiversity.</w:t>
      </w:r>
    </w:p>
    <w:p w14:paraId="26ABE1CB" w14:textId="77777777" w:rsidR="003E757E" w:rsidRPr="00CE60B2" w:rsidRDefault="003E757E" w:rsidP="00C903EE">
      <w:pPr>
        <w:numPr>
          <w:ilvl w:val="0"/>
          <w:numId w:val="26"/>
        </w:numPr>
        <w:ind w:left="426"/>
        <w:rPr>
          <w:rFonts w:cs="Segoe UI"/>
        </w:rPr>
      </w:pPr>
      <w:r w:rsidRPr="00CE60B2">
        <w:rPr>
          <w:rFonts w:cs="Segoe UI"/>
        </w:rPr>
        <w:t>The Parties consider a means to better evaluate and publicly report on the socio-economic impacts associated with the harvesting and processing of wood products from native forests, including: transparent reporting of the accounting methods; costs and returns to government; and the opportunity costs related to other uses of the forest.</w:t>
      </w:r>
    </w:p>
    <w:p w14:paraId="26ABE1CC" w14:textId="77777777" w:rsidR="003E757E" w:rsidRPr="00CE60B2" w:rsidRDefault="003E757E" w:rsidP="00C903EE">
      <w:pPr>
        <w:numPr>
          <w:ilvl w:val="0"/>
          <w:numId w:val="26"/>
        </w:numPr>
        <w:ind w:left="426"/>
        <w:rPr>
          <w:rFonts w:cs="Segoe UI"/>
        </w:rPr>
      </w:pPr>
      <w:r w:rsidRPr="00CE60B2">
        <w:rPr>
          <w:rFonts w:cs="Segoe UI"/>
        </w:rPr>
        <w:t>The Parties consider ways to foster improved and ongoing participation of stakeholders in the WA RFA process.</w:t>
      </w:r>
    </w:p>
    <w:p w14:paraId="26ABE1CD" w14:textId="77777777" w:rsidR="003E757E" w:rsidRPr="00CE60B2" w:rsidRDefault="003E757E" w:rsidP="00C903EE">
      <w:pPr>
        <w:numPr>
          <w:ilvl w:val="0"/>
          <w:numId w:val="26"/>
        </w:numPr>
        <w:ind w:left="426"/>
        <w:rPr>
          <w:rFonts w:cs="Segoe UI"/>
        </w:rPr>
      </w:pPr>
      <w:r w:rsidRPr="00CE60B2">
        <w:rPr>
          <w:rFonts w:cs="Segoe UI"/>
        </w:rPr>
        <w:t>The Parties consider the legal form of any future WA RFA to better clarify the commitments that are legally-binding and those commitments that are more performance-based. Where practical, the WA RFA should focus on desired outcomes rather than prescribed actions or process.</w:t>
      </w:r>
    </w:p>
    <w:p w14:paraId="26ABE1CE" w14:textId="77777777" w:rsidR="003E757E" w:rsidRPr="00CE60B2" w:rsidRDefault="003E757E" w:rsidP="00C903EE">
      <w:pPr>
        <w:numPr>
          <w:ilvl w:val="0"/>
          <w:numId w:val="26"/>
        </w:numPr>
        <w:ind w:left="426"/>
        <w:rPr>
          <w:rFonts w:cs="Segoe UI"/>
        </w:rPr>
      </w:pPr>
      <w:r w:rsidRPr="00CE60B2">
        <w:rPr>
          <w:rFonts w:cs="Segoe UI"/>
        </w:rPr>
        <w:t>The Parties re-affirm their commitment to deliver transparency and certainty of outcomes under the WA RFA, noting that-</w:t>
      </w:r>
    </w:p>
    <w:p w14:paraId="26ABE1CF" w14:textId="77777777" w:rsidR="003E757E" w:rsidRPr="00CE60B2" w:rsidRDefault="003E757E" w:rsidP="00C903EE">
      <w:pPr>
        <w:numPr>
          <w:ilvl w:val="2"/>
          <w:numId w:val="21"/>
        </w:numPr>
        <w:ind w:left="709"/>
        <w:rPr>
          <w:rFonts w:cs="Segoe UI"/>
        </w:rPr>
      </w:pPr>
      <w:r w:rsidRPr="00CE60B2">
        <w:rPr>
          <w:rFonts w:cs="Segoe UI"/>
        </w:rPr>
        <w:t>the WA RFA should be regularly updated as required in response to new information and changes to operating environments;</w:t>
      </w:r>
    </w:p>
    <w:p w14:paraId="26ABE1D0" w14:textId="77777777" w:rsidR="003E757E" w:rsidRPr="00CE60B2" w:rsidRDefault="003E757E" w:rsidP="00C903EE">
      <w:pPr>
        <w:numPr>
          <w:ilvl w:val="2"/>
          <w:numId w:val="21"/>
        </w:numPr>
        <w:ind w:left="709"/>
        <w:rPr>
          <w:rFonts w:cs="Segoe UI"/>
        </w:rPr>
      </w:pPr>
      <w:r w:rsidRPr="00CE60B2">
        <w:rPr>
          <w:rFonts w:cs="Segoe UI"/>
        </w:rPr>
        <w:t>all changes should follow a formal amendment process;</w:t>
      </w:r>
    </w:p>
    <w:p w14:paraId="26ABE1D1" w14:textId="77777777" w:rsidR="003E757E" w:rsidRPr="00CE60B2" w:rsidRDefault="003E757E" w:rsidP="00C903EE">
      <w:pPr>
        <w:numPr>
          <w:ilvl w:val="2"/>
          <w:numId w:val="21"/>
        </w:numPr>
        <w:ind w:left="709"/>
        <w:rPr>
          <w:rFonts w:cs="Segoe UI"/>
        </w:rPr>
      </w:pPr>
      <w:r w:rsidRPr="00CE60B2">
        <w:rPr>
          <w:rFonts w:cs="Segoe UI"/>
        </w:rPr>
        <w:t>all proposed changes should be publicly released for comment;</w:t>
      </w:r>
    </w:p>
    <w:p w14:paraId="26ABE1D2" w14:textId="77777777" w:rsidR="003E757E" w:rsidRPr="00CE60B2" w:rsidRDefault="003E757E" w:rsidP="00C903EE">
      <w:pPr>
        <w:numPr>
          <w:ilvl w:val="2"/>
          <w:numId w:val="21"/>
        </w:numPr>
        <w:ind w:left="709"/>
        <w:rPr>
          <w:rFonts w:cs="Segoe UI"/>
        </w:rPr>
      </w:pPr>
      <w:r w:rsidRPr="00CE60B2">
        <w:rPr>
          <w:rFonts w:cs="Segoe UI"/>
        </w:rPr>
        <w:t>the Parties should formally consider and respond to any submission from a person who can demonstrate a direct and material disadvantage from the proposed changes.</w:t>
      </w:r>
    </w:p>
    <w:p w14:paraId="26ABE1D3" w14:textId="77777777" w:rsidR="003E757E" w:rsidRPr="00CE60B2" w:rsidRDefault="003E757E" w:rsidP="00C903EE">
      <w:pPr>
        <w:numPr>
          <w:ilvl w:val="0"/>
          <w:numId w:val="26"/>
        </w:numPr>
        <w:ind w:left="426"/>
        <w:rPr>
          <w:rFonts w:cs="Segoe UI"/>
        </w:rPr>
      </w:pPr>
      <w:r w:rsidRPr="00CE60B2">
        <w:rPr>
          <w:rFonts w:cs="Segoe UI"/>
        </w:rPr>
        <w:t>WA considers the means by which it may work towards the collation of data, including KPIs and Sustainability Indicators, and the synchronising of relevant reviews and reports to meet state and national obligations, including the FMP, WA RFA, national State of the Forests Report and Montréal Process.</w:t>
      </w:r>
    </w:p>
    <w:p w14:paraId="26ABE1D4" w14:textId="77777777" w:rsidR="003E757E" w:rsidRPr="00CE60B2" w:rsidRDefault="003E757E" w:rsidP="00C903EE">
      <w:pPr>
        <w:numPr>
          <w:ilvl w:val="0"/>
          <w:numId w:val="26"/>
        </w:numPr>
        <w:ind w:left="426"/>
        <w:rPr>
          <w:rFonts w:cs="Segoe UI"/>
        </w:rPr>
      </w:pPr>
      <w:r w:rsidRPr="00CE60B2">
        <w:rPr>
          <w:rFonts w:cs="Segoe UI"/>
        </w:rPr>
        <w:t>The Parties address the information gaps and suggested corrections noted in this report by way of the Joint Government Response and consider attaching a label to the on-line versions of the two progress reports (Period 1 &amp; 2 and Period 3) to briefly explain their status, the process of review (including submissions on the report and the independent review), and to clarify that any additions or amendments to the report are detailed in the Joint Government Response to each report.</w:t>
      </w:r>
    </w:p>
    <w:p w14:paraId="26ABE1D5" w14:textId="77777777" w:rsidR="003E757E" w:rsidRPr="00CE60B2" w:rsidRDefault="003E757E" w:rsidP="00C903EE">
      <w:pPr>
        <w:numPr>
          <w:ilvl w:val="0"/>
          <w:numId w:val="26"/>
        </w:numPr>
        <w:ind w:left="426"/>
        <w:rPr>
          <w:rFonts w:cs="Segoe UI"/>
        </w:rPr>
      </w:pPr>
      <w:r w:rsidRPr="00CE60B2">
        <w:rPr>
          <w:rFonts w:cs="Segoe UI"/>
        </w:rPr>
        <w:t>The Parties consider amending the timeframe for completing the joint reviews/report pursuant to Clause 37 of the WA RFA to ensure that there is sufficient time to complete the work and to report in a practical and timely manner.</w:t>
      </w:r>
    </w:p>
    <w:p w14:paraId="26ABE1D6" w14:textId="77777777" w:rsidR="003E757E" w:rsidRPr="00CE60B2" w:rsidRDefault="003E757E" w:rsidP="00C903EE">
      <w:pPr>
        <w:numPr>
          <w:ilvl w:val="0"/>
          <w:numId w:val="26"/>
        </w:numPr>
        <w:ind w:left="426"/>
        <w:rPr>
          <w:rFonts w:cs="Segoe UI"/>
        </w:rPr>
      </w:pPr>
      <w:r w:rsidRPr="00CE60B2">
        <w:rPr>
          <w:rFonts w:cs="Segoe UI"/>
        </w:rPr>
        <w:lastRenderedPageBreak/>
        <w:t>The Parties ensure that there is a ‘whole of government’ approach to the preparation of the progress reports, by ensuring that relevant government agencies are involved in the finalisation of the reports prior to their public release.</w:t>
      </w:r>
    </w:p>
    <w:p w14:paraId="26ABE1D7" w14:textId="77777777" w:rsidR="003E757E" w:rsidRPr="00CE60B2" w:rsidRDefault="003E757E" w:rsidP="00C903EE">
      <w:pPr>
        <w:numPr>
          <w:ilvl w:val="0"/>
          <w:numId w:val="26"/>
        </w:numPr>
        <w:ind w:left="426"/>
        <w:rPr>
          <w:rFonts w:cs="Segoe UI"/>
        </w:rPr>
      </w:pPr>
      <w:r w:rsidRPr="00CE60B2">
        <w:rPr>
          <w:rFonts w:cs="Segoe UI"/>
        </w:rPr>
        <w:t>The Parties agree to include a table of legislative and administrative changes at Commonwealth and State level that affect the Regional Forest Agreement in all future five-yearly reports, together with an analysis of the impact of these changes on the capacity of the Parties to implement the commitments in the Agreement.</w:t>
      </w:r>
    </w:p>
    <w:p w14:paraId="26ABE1D8" w14:textId="77777777" w:rsidR="003E757E" w:rsidRPr="00CE60B2" w:rsidRDefault="003E757E" w:rsidP="00C903EE">
      <w:pPr>
        <w:numPr>
          <w:ilvl w:val="0"/>
          <w:numId w:val="26"/>
        </w:numPr>
        <w:ind w:left="426"/>
        <w:rPr>
          <w:rFonts w:cs="Segoe UI"/>
        </w:rPr>
      </w:pPr>
      <w:r w:rsidRPr="00CE60B2">
        <w:rPr>
          <w:rFonts w:cs="Segoe UI"/>
        </w:rPr>
        <w:t>WA considers reviewing its regulatory framework to-</w:t>
      </w:r>
    </w:p>
    <w:p w14:paraId="26ABE1D9" w14:textId="77777777" w:rsidR="003E757E" w:rsidRPr="00CE60B2" w:rsidRDefault="003E757E" w:rsidP="00C903EE">
      <w:pPr>
        <w:numPr>
          <w:ilvl w:val="0"/>
          <w:numId w:val="28"/>
        </w:numPr>
        <w:ind w:left="993"/>
        <w:rPr>
          <w:rFonts w:cs="Segoe UI"/>
        </w:rPr>
      </w:pPr>
      <w:r w:rsidRPr="00CE60B2">
        <w:rPr>
          <w:rFonts w:cs="Segoe UI"/>
        </w:rPr>
        <w:t>Develop an annual consolidated compliance monitoring report for the FMP, to clearly outline: the respective roles and responsibilities of organisations; the methodology for monitoring; the periodicity of reporting (e.g. annual and five-yearly); and the consolidated results of monitoring, including trend data from previous reports.</w:t>
      </w:r>
    </w:p>
    <w:p w14:paraId="26ABE1DA" w14:textId="77777777" w:rsidR="003E757E" w:rsidRPr="00CE60B2" w:rsidRDefault="003E757E" w:rsidP="00C903EE">
      <w:pPr>
        <w:numPr>
          <w:ilvl w:val="0"/>
          <w:numId w:val="28"/>
        </w:numPr>
        <w:ind w:left="993"/>
        <w:rPr>
          <w:rFonts w:cs="Segoe UI"/>
        </w:rPr>
      </w:pPr>
      <w:r w:rsidRPr="00CE60B2">
        <w:rPr>
          <w:rFonts w:cs="Segoe UI"/>
        </w:rPr>
        <w:t>Improve the manner in which the nature, number and outcomes of investigations, including enforcement actions, are transparently reported in publicly-available reports (e.g. annual and five-yearly reports).</w:t>
      </w:r>
    </w:p>
    <w:p w14:paraId="26ABE1DB" w14:textId="77777777" w:rsidR="003E757E" w:rsidRPr="00CE60B2" w:rsidRDefault="003E757E" w:rsidP="00C903EE">
      <w:pPr>
        <w:numPr>
          <w:ilvl w:val="0"/>
          <w:numId w:val="26"/>
        </w:numPr>
        <w:ind w:left="426"/>
        <w:rPr>
          <w:rFonts w:cs="Segoe UI"/>
        </w:rPr>
      </w:pPr>
      <w:r w:rsidRPr="00CE60B2">
        <w:rPr>
          <w:rFonts w:cs="Segoe UI"/>
        </w:rPr>
        <w:t>WA considers the need to translate the forest management guidance documents into a condensed and practical form suitable for use by forest contractors and operators.</w:t>
      </w:r>
    </w:p>
    <w:p w14:paraId="26ABE1DC" w14:textId="77777777" w:rsidR="003E757E" w:rsidRPr="00CE60B2" w:rsidRDefault="003E757E" w:rsidP="00C903EE">
      <w:pPr>
        <w:numPr>
          <w:ilvl w:val="0"/>
          <w:numId w:val="26"/>
        </w:numPr>
        <w:ind w:left="426"/>
        <w:rPr>
          <w:rFonts w:cs="Segoe UI"/>
        </w:rPr>
      </w:pPr>
      <w:r w:rsidRPr="00CE60B2">
        <w:rPr>
          <w:rFonts w:cs="Segoe UI"/>
        </w:rPr>
        <w:t>The Parties consider how trends in employment and skills that are directly and indirectly related to activities under the FMP can be better captured for reporting under the ESFM framework.</w:t>
      </w:r>
    </w:p>
    <w:p w14:paraId="26ABE1DD" w14:textId="77777777" w:rsidR="003E757E" w:rsidRPr="00CE60B2" w:rsidRDefault="003E757E" w:rsidP="00C903EE">
      <w:pPr>
        <w:numPr>
          <w:ilvl w:val="0"/>
          <w:numId w:val="26"/>
        </w:numPr>
        <w:ind w:left="426"/>
        <w:rPr>
          <w:rFonts w:cs="Segoe UI"/>
        </w:rPr>
      </w:pPr>
      <w:r w:rsidRPr="00CE60B2">
        <w:rPr>
          <w:rFonts w:cs="Segoe UI"/>
        </w:rPr>
        <w:t>The Parties clarify the extent to which mining sites, following rehabilitation, are expected to contribute to the principles of ESFM and to the long-term maintenance of forest values and ecological health.</w:t>
      </w:r>
    </w:p>
    <w:p w14:paraId="26ABE1DE" w14:textId="77777777" w:rsidR="003E757E" w:rsidRPr="00CE60B2" w:rsidRDefault="003E757E" w:rsidP="00C903EE">
      <w:pPr>
        <w:numPr>
          <w:ilvl w:val="0"/>
          <w:numId w:val="26"/>
        </w:numPr>
        <w:ind w:left="426"/>
        <w:rPr>
          <w:rFonts w:cs="Segoe UI"/>
        </w:rPr>
      </w:pPr>
      <w:r w:rsidRPr="00CE60B2">
        <w:rPr>
          <w:rFonts w:cs="Segoe UI"/>
        </w:rPr>
        <w:t>WA clarifies the role and contribution of private forests to the objectives of the WA RFA and the current mechanisms for fostering ESFM on private land, including the mapping of forest ecosystems and inventory of known or predicted values.</w:t>
      </w:r>
    </w:p>
    <w:p w14:paraId="26ABE1DF" w14:textId="77777777" w:rsidR="003E757E" w:rsidRPr="00CE60B2" w:rsidRDefault="003E757E" w:rsidP="00C903EE">
      <w:pPr>
        <w:numPr>
          <w:ilvl w:val="0"/>
          <w:numId w:val="26"/>
        </w:numPr>
        <w:ind w:left="426"/>
        <w:rPr>
          <w:rFonts w:cs="Segoe UI"/>
        </w:rPr>
      </w:pPr>
      <w:r w:rsidRPr="00CE60B2">
        <w:rPr>
          <w:rFonts w:cs="Segoe UI"/>
        </w:rPr>
        <w:t>WA considers undertaking regular review and reporting on the purpose and outcomes of all forest-related research projects with respect to the degree of relevance to, and uptake by, forest managers over time.</w:t>
      </w:r>
    </w:p>
    <w:p w14:paraId="26ABE1E0" w14:textId="77777777" w:rsidR="00A47707" w:rsidRPr="00CE60B2" w:rsidRDefault="00A47707" w:rsidP="003E757E">
      <w:pPr>
        <w:rPr>
          <w:rFonts w:cs="Segoe UI"/>
        </w:rPr>
      </w:pPr>
      <w:r w:rsidRPr="00CE60B2">
        <w:rPr>
          <w:rFonts w:cs="Segoe UI"/>
        </w:rPr>
        <w:br w:type="page"/>
      </w:r>
    </w:p>
    <w:p w14:paraId="26ABE1E1" w14:textId="77777777" w:rsidR="00143EA9" w:rsidRPr="00CE60B2" w:rsidRDefault="00143EA9" w:rsidP="00C22D5A">
      <w:pPr>
        <w:pStyle w:val="Heading2"/>
      </w:pPr>
      <w:bookmarkStart w:id="247" w:name="_Toc524952859"/>
      <w:bookmarkStart w:id="248" w:name="_Toc2776093"/>
      <w:r w:rsidRPr="00CE60B2">
        <w:lastRenderedPageBreak/>
        <w:t>References</w:t>
      </w:r>
      <w:bookmarkEnd w:id="247"/>
      <w:bookmarkEnd w:id="248"/>
    </w:p>
    <w:p w14:paraId="26ABE1E2" w14:textId="77777777" w:rsidR="00143EA9" w:rsidRPr="00CE60B2" w:rsidRDefault="00143EA9" w:rsidP="00143EA9">
      <w:pPr>
        <w:rPr>
          <w:rFonts w:cs="Segoe UI"/>
          <w:lang w:eastAsia="ja-JP"/>
        </w:rPr>
      </w:pPr>
      <w:r w:rsidRPr="00CE60B2">
        <w:rPr>
          <w:rFonts w:cs="Segoe UI"/>
          <w:lang w:eastAsia="ja-JP"/>
        </w:rPr>
        <w:t xml:space="preserve">ABARES </w:t>
      </w:r>
      <w:r w:rsidR="00721436" w:rsidRPr="00CE60B2">
        <w:rPr>
          <w:rFonts w:cs="Segoe UI"/>
          <w:lang w:eastAsia="ja-JP"/>
        </w:rPr>
        <w:t>(</w:t>
      </w:r>
      <w:r w:rsidRPr="00CE60B2">
        <w:rPr>
          <w:rFonts w:cs="Segoe UI"/>
          <w:lang w:eastAsia="ja-JP"/>
        </w:rPr>
        <w:t>2018</w:t>
      </w:r>
      <w:r w:rsidR="00721436" w:rsidRPr="00CE60B2">
        <w:rPr>
          <w:rFonts w:cs="Segoe UI"/>
          <w:lang w:eastAsia="ja-JP"/>
        </w:rPr>
        <w:t>)</w:t>
      </w:r>
      <w:r w:rsidRPr="00CE60B2">
        <w:rPr>
          <w:rFonts w:cs="Segoe UI"/>
          <w:lang w:eastAsia="ja-JP"/>
        </w:rPr>
        <w:t xml:space="preserve">. Australian Forest and Wood Products Statistics: September and December Quarters 2017. </w:t>
      </w:r>
      <w:hyperlink r:id="rId49" w:history="1">
        <w:r w:rsidRPr="00CE60B2">
          <w:rPr>
            <w:rStyle w:val="Hyperlink"/>
            <w:rFonts w:cs="Segoe UI"/>
            <w:lang w:eastAsia="ja-JP"/>
          </w:rPr>
          <w:t>www.agriculture.gov.au/abares/forestsaustralia/australian-forest-and-wood-products-statistics</w:t>
        </w:r>
      </w:hyperlink>
      <w:r w:rsidRPr="00CE60B2">
        <w:rPr>
          <w:rFonts w:cs="Segoe UI"/>
          <w:lang w:eastAsia="ja-JP"/>
        </w:rPr>
        <w:t xml:space="preserve">. </w:t>
      </w:r>
    </w:p>
    <w:p w14:paraId="26ABE1E3" w14:textId="77777777" w:rsidR="00B27B20" w:rsidRPr="00CE60B2" w:rsidRDefault="00B27B20" w:rsidP="00B27B20">
      <w:pPr>
        <w:rPr>
          <w:rFonts w:cs="Segoe UI"/>
        </w:rPr>
      </w:pPr>
      <w:r w:rsidRPr="00CE60B2">
        <w:rPr>
          <w:rFonts w:cs="Segoe UI"/>
        </w:rPr>
        <w:t>AGO (Australian Greenhouse Office) (2006). Australian National Inventory Report 2004, vol. 2. The Australian Government Submission to the UN Framework Convention on Climate Change, Commonwealth of Australia, p. 166–173. &lt;http://www.greenhouse.gov.au/inventory/ 2004/pubs/inventory2004-nationalreportv2.pdf/&gt;.</w:t>
      </w:r>
    </w:p>
    <w:p w14:paraId="26ABE1E4" w14:textId="77777777" w:rsidR="00B27B20" w:rsidRPr="00CE60B2" w:rsidRDefault="00B27B20" w:rsidP="00B27B20">
      <w:pPr>
        <w:rPr>
          <w:rFonts w:cs="Segoe UI"/>
        </w:rPr>
      </w:pPr>
      <w:r w:rsidRPr="00CE60B2">
        <w:rPr>
          <w:rFonts w:cs="Segoe UI"/>
        </w:rPr>
        <w:t xml:space="preserve">Australian Government 208. </w:t>
      </w:r>
      <w:hyperlink r:id="rId50" w:history="1">
        <w:r w:rsidRPr="00CE60B2">
          <w:rPr>
            <w:rStyle w:val="Hyperlink"/>
            <w:rFonts w:cs="Segoe UI"/>
          </w:rPr>
          <w:t>http://www.cleanenergyregulator.gov.au/ERF</w:t>
        </w:r>
      </w:hyperlink>
    </w:p>
    <w:p w14:paraId="26ABE1E5" w14:textId="77777777" w:rsidR="00721436" w:rsidRPr="00CE60B2" w:rsidRDefault="00721436" w:rsidP="00721436">
      <w:pPr>
        <w:rPr>
          <w:rFonts w:eastAsia="Times New Roman" w:cs="Segoe UI"/>
          <w:color w:val="000000" w:themeColor="text1"/>
          <w:lang w:eastAsia="en-AU"/>
        </w:rPr>
      </w:pPr>
      <w:r w:rsidRPr="00CE60B2">
        <w:rPr>
          <w:rFonts w:eastAsia="Times New Roman" w:cs="Segoe UI"/>
          <w:color w:val="000000" w:themeColor="text1"/>
          <w:lang w:eastAsia="en-AU"/>
        </w:rPr>
        <w:t xml:space="preserve">Australian Bureau of Statistics (2016). 2016 Census of Population and Housing. Online Table data builder. </w:t>
      </w:r>
      <w:hyperlink r:id="rId51" w:history="1">
        <w:r w:rsidRPr="00CE60B2">
          <w:rPr>
            <w:rStyle w:val="Hyperlink"/>
            <w:rFonts w:eastAsia="Times New Roman" w:cs="Segoe UI"/>
            <w:lang w:eastAsia="en-AU"/>
          </w:rPr>
          <w:t>https://guest.censusdata.abs.gov.au/webapi/jsf/dataCatalogueExplorer.xhtml</w:t>
        </w:r>
      </w:hyperlink>
    </w:p>
    <w:p w14:paraId="26ABE1E6" w14:textId="77777777" w:rsidR="00143EA9" w:rsidRPr="00CE60B2" w:rsidRDefault="00A07246" w:rsidP="00143EA9">
      <w:pPr>
        <w:rPr>
          <w:rFonts w:cs="Segoe UI"/>
          <w:lang w:eastAsia="ja-JP"/>
        </w:rPr>
      </w:pPr>
      <w:r w:rsidRPr="00CE60B2">
        <w:rPr>
          <w:rFonts w:cs="Segoe UI"/>
          <w:lang w:eastAsia="ja-JP"/>
        </w:rPr>
        <w:t>A</w:t>
      </w:r>
      <w:r w:rsidR="00721436" w:rsidRPr="00CE60B2">
        <w:rPr>
          <w:rFonts w:cs="Segoe UI"/>
          <w:lang w:eastAsia="ja-JP"/>
        </w:rPr>
        <w:t xml:space="preserve">ustralian </w:t>
      </w:r>
      <w:r w:rsidR="00143EA9" w:rsidRPr="00CE60B2">
        <w:rPr>
          <w:rFonts w:cs="Segoe UI"/>
          <w:lang w:eastAsia="ja-JP"/>
        </w:rPr>
        <w:t>B</w:t>
      </w:r>
      <w:r w:rsidR="00721436" w:rsidRPr="00CE60B2">
        <w:rPr>
          <w:rFonts w:cs="Segoe UI"/>
          <w:lang w:eastAsia="ja-JP"/>
        </w:rPr>
        <w:t xml:space="preserve">ureau of </w:t>
      </w:r>
      <w:r w:rsidR="00143EA9" w:rsidRPr="00CE60B2">
        <w:rPr>
          <w:rFonts w:cs="Segoe UI"/>
          <w:lang w:eastAsia="ja-JP"/>
        </w:rPr>
        <w:t>S</w:t>
      </w:r>
      <w:r w:rsidR="00721436" w:rsidRPr="00CE60B2">
        <w:rPr>
          <w:rFonts w:cs="Segoe UI"/>
          <w:lang w:eastAsia="ja-JP"/>
        </w:rPr>
        <w:t>tatistics</w:t>
      </w:r>
      <w:r w:rsidR="00143EA9" w:rsidRPr="00CE60B2">
        <w:rPr>
          <w:rFonts w:cs="Segoe UI"/>
          <w:lang w:eastAsia="ja-JP"/>
        </w:rPr>
        <w:t xml:space="preserve"> </w:t>
      </w:r>
      <w:r w:rsidR="00721436" w:rsidRPr="00CE60B2">
        <w:rPr>
          <w:rFonts w:cs="Segoe UI"/>
          <w:lang w:eastAsia="ja-JP"/>
        </w:rPr>
        <w:t>(</w:t>
      </w:r>
      <w:r w:rsidR="00143EA9" w:rsidRPr="00CE60B2">
        <w:rPr>
          <w:rFonts w:cs="Segoe UI"/>
          <w:lang w:eastAsia="ja-JP"/>
        </w:rPr>
        <w:t>2013</w:t>
      </w:r>
      <w:r w:rsidR="00721436" w:rsidRPr="00CE60B2">
        <w:rPr>
          <w:rFonts w:cs="Segoe UI"/>
          <w:lang w:eastAsia="ja-JP"/>
        </w:rPr>
        <w:t>)</w:t>
      </w:r>
      <w:r w:rsidR="00143EA9" w:rsidRPr="00CE60B2">
        <w:rPr>
          <w:rFonts w:cs="Segoe UI"/>
          <w:lang w:eastAsia="ja-JP"/>
        </w:rPr>
        <w:t xml:space="preserve">. Waste Account, Australia, Experimental Estimates, 2013. </w:t>
      </w:r>
      <w:hyperlink r:id="rId52" w:history="1">
        <w:r w:rsidR="00143EA9" w:rsidRPr="00CE60B2">
          <w:rPr>
            <w:rStyle w:val="Hyperlink"/>
            <w:rFonts w:cs="Segoe UI"/>
            <w:lang w:eastAsia="ja-JP"/>
          </w:rPr>
          <w:t>www.abs.gov.au/ausstats/abs@.nsf/Products/4602.0.55.005~2013~Main+Features~Australia%27s+International+Trade+in+Waste?OpenDocument</w:t>
        </w:r>
      </w:hyperlink>
      <w:r w:rsidR="00143EA9" w:rsidRPr="00CE60B2">
        <w:rPr>
          <w:rFonts w:cs="Segoe UI"/>
          <w:lang w:eastAsia="ja-JP"/>
        </w:rPr>
        <w:t xml:space="preserve"> </w:t>
      </w:r>
    </w:p>
    <w:p w14:paraId="26ABE1E7" w14:textId="77777777" w:rsidR="00A4042B" w:rsidRPr="00CE60B2" w:rsidRDefault="00A4042B" w:rsidP="00143EA9">
      <w:pPr>
        <w:rPr>
          <w:rFonts w:cs="Segoe UI"/>
          <w:lang w:eastAsia="ja-JP"/>
        </w:rPr>
      </w:pPr>
      <w:r w:rsidRPr="00CE60B2">
        <w:rPr>
          <w:rFonts w:cs="Segoe UI"/>
          <w:lang w:eastAsia="ja-JP"/>
        </w:rPr>
        <w:t xml:space="preserve">Australian Forestry Standard. 2018. Sustainable Forest Management - Guidance for the certification of forest management (Guidance Note 01 to AS4708-2013). </w:t>
      </w:r>
      <w:hyperlink r:id="rId53" w:history="1">
        <w:r w:rsidRPr="00CE60B2">
          <w:rPr>
            <w:rStyle w:val="Hyperlink"/>
            <w:rFonts w:cs="Segoe UI"/>
            <w:lang w:eastAsia="ja-JP"/>
          </w:rPr>
          <w:t>https://www.responsiblewood.org.au/</w:t>
        </w:r>
      </w:hyperlink>
      <w:r w:rsidRPr="00CE60B2">
        <w:rPr>
          <w:rFonts w:cs="Segoe UI"/>
          <w:lang w:eastAsia="ja-JP"/>
        </w:rPr>
        <w:t xml:space="preserve"> </w:t>
      </w:r>
    </w:p>
    <w:p w14:paraId="26ABE1E8" w14:textId="77777777" w:rsidR="00143EA9" w:rsidRPr="00CE60B2" w:rsidRDefault="00143EA9" w:rsidP="00143EA9">
      <w:pPr>
        <w:rPr>
          <w:rFonts w:cs="Segoe UI"/>
          <w:lang w:eastAsia="ja-JP"/>
        </w:rPr>
      </w:pPr>
      <w:r w:rsidRPr="00CE60B2">
        <w:rPr>
          <w:rFonts w:cs="Segoe UI"/>
          <w:lang w:eastAsia="ja-JP"/>
        </w:rPr>
        <w:t xml:space="preserve">Australian Packaging Covenant Organisation </w:t>
      </w:r>
      <w:r w:rsidR="00721436" w:rsidRPr="00CE60B2">
        <w:rPr>
          <w:rFonts w:cs="Segoe UI"/>
          <w:lang w:eastAsia="ja-JP"/>
        </w:rPr>
        <w:t>(</w:t>
      </w:r>
      <w:r w:rsidRPr="00CE60B2">
        <w:rPr>
          <w:rFonts w:cs="Segoe UI"/>
          <w:lang w:eastAsia="ja-JP"/>
        </w:rPr>
        <w:t>2018</w:t>
      </w:r>
      <w:r w:rsidR="00721436" w:rsidRPr="00CE60B2">
        <w:rPr>
          <w:rFonts w:cs="Segoe UI"/>
          <w:lang w:eastAsia="ja-JP"/>
        </w:rPr>
        <w:t>)</w:t>
      </w:r>
      <w:r w:rsidRPr="00CE60B2">
        <w:rPr>
          <w:rFonts w:cs="Segoe UI"/>
          <w:lang w:eastAsia="ja-JP"/>
        </w:rPr>
        <w:t xml:space="preserve">. Market impact assessment report: Chinese import restrictions for packaging In Australia. March 30 2018. </w:t>
      </w:r>
      <w:hyperlink r:id="rId54" w:history="1">
        <w:r w:rsidRPr="00CE60B2">
          <w:rPr>
            <w:rStyle w:val="Hyperlink"/>
            <w:rFonts w:cs="Segoe UI"/>
            <w:lang w:eastAsia="ja-JP"/>
          </w:rPr>
          <w:t>www.packagingcovenant.org.au/documents/item/1224</w:t>
        </w:r>
      </w:hyperlink>
      <w:r w:rsidRPr="00CE60B2">
        <w:rPr>
          <w:rFonts w:cs="Segoe UI"/>
          <w:lang w:eastAsia="ja-JP"/>
        </w:rPr>
        <w:t xml:space="preserve"> </w:t>
      </w:r>
    </w:p>
    <w:p w14:paraId="26ABE1E9" w14:textId="77777777" w:rsidR="00143EA9" w:rsidRPr="00CE60B2" w:rsidRDefault="00721436" w:rsidP="00143EA9">
      <w:pPr>
        <w:rPr>
          <w:rFonts w:cs="Segoe UI"/>
          <w:lang w:eastAsia="ja-JP"/>
        </w:rPr>
      </w:pPr>
      <w:r w:rsidRPr="00CE60B2">
        <w:rPr>
          <w:rFonts w:cs="Segoe UI"/>
          <w:lang w:eastAsia="ja-JP"/>
        </w:rPr>
        <w:t>Business Insider Australia</w:t>
      </w:r>
      <w:r w:rsidR="00143EA9" w:rsidRPr="00CE60B2">
        <w:rPr>
          <w:rFonts w:cs="Segoe UI"/>
          <w:lang w:eastAsia="ja-JP"/>
        </w:rPr>
        <w:t xml:space="preserve"> </w:t>
      </w:r>
      <w:r w:rsidRPr="00CE60B2">
        <w:rPr>
          <w:rFonts w:cs="Segoe UI"/>
          <w:lang w:eastAsia="ja-JP"/>
        </w:rPr>
        <w:t>(</w:t>
      </w:r>
      <w:r w:rsidR="00143EA9" w:rsidRPr="00CE60B2">
        <w:rPr>
          <w:rFonts w:cs="Segoe UI"/>
          <w:lang w:eastAsia="ja-JP"/>
        </w:rPr>
        <w:t>2018</w:t>
      </w:r>
      <w:r w:rsidRPr="00CE60B2">
        <w:rPr>
          <w:rFonts w:cs="Segoe UI"/>
          <w:lang w:eastAsia="ja-JP"/>
        </w:rPr>
        <w:t>)</w:t>
      </w:r>
      <w:r w:rsidR="00143EA9" w:rsidRPr="00CE60B2">
        <w:rPr>
          <w:rFonts w:cs="Segoe UI"/>
          <w:lang w:eastAsia="ja-JP"/>
        </w:rPr>
        <w:t xml:space="preserve">. Article published on February 28. </w:t>
      </w:r>
      <w:hyperlink r:id="rId55" w:history="1">
        <w:r w:rsidR="00143EA9" w:rsidRPr="00CE60B2">
          <w:rPr>
            <w:rStyle w:val="Hyperlink"/>
            <w:rFonts w:cs="Segoe UI"/>
            <w:lang w:eastAsia="ja-JP"/>
          </w:rPr>
          <w:t>www.businessinsider.com.au/council-rates-china-waste-recycling-2018-2</w:t>
        </w:r>
      </w:hyperlink>
      <w:r w:rsidR="00143EA9" w:rsidRPr="00CE60B2">
        <w:rPr>
          <w:rFonts w:cs="Segoe UI"/>
          <w:lang w:eastAsia="ja-JP"/>
        </w:rPr>
        <w:t xml:space="preserve">. </w:t>
      </w:r>
    </w:p>
    <w:p w14:paraId="26ABE1EA" w14:textId="77777777" w:rsidR="004A08C9" w:rsidRPr="00CE60B2" w:rsidRDefault="004A08C9" w:rsidP="004A08C9">
      <w:pPr>
        <w:autoSpaceDE w:val="0"/>
        <w:autoSpaceDN w:val="0"/>
        <w:adjustRightInd w:val="0"/>
        <w:spacing w:before="0"/>
        <w:rPr>
          <w:rFonts w:cs="Segoe UI"/>
          <w:color w:val="000000" w:themeColor="text1"/>
        </w:rPr>
      </w:pPr>
      <w:r w:rsidRPr="00CE60B2">
        <w:rPr>
          <w:rFonts w:cs="Segoe UI"/>
          <w:color w:val="000000" w:themeColor="text1"/>
        </w:rPr>
        <w:t xml:space="preserve">Commonwealth of Australia </w:t>
      </w:r>
      <w:r w:rsidR="00721436" w:rsidRPr="00CE60B2">
        <w:rPr>
          <w:rFonts w:cs="Segoe UI"/>
          <w:color w:val="000000" w:themeColor="text1"/>
        </w:rPr>
        <w:t>(</w:t>
      </w:r>
      <w:r w:rsidRPr="00CE60B2">
        <w:rPr>
          <w:rFonts w:cs="Segoe UI"/>
          <w:color w:val="000000" w:themeColor="text1"/>
        </w:rPr>
        <w:t>2016</w:t>
      </w:r>
      <w:r w:rsidR="00721436" w:rsidRPr="00CE60B2">
        <w:rPr>
          <w:rFonts w:cs="Segoe UI"/>
          <w:color w:val="000000" w:themeColor="text1"/>
        </w:rPr>
        <w:t>)</w:t>
      </w:r>
      <w:r w:rsidRPr="00CE60B2">
        <w:rPr>
          <w:rFonts w:cs="Segoe UI"/>
          <w:color w:val="000000" w:themeColor="text1"/>
        </w:rPr>
        <w:t>. Report Agribusiness managed investment schemes Bitter harvest</w:t>
      </w:r>
      <w:r w:rsidR="00721436" w:rsidRPr="00CE60B2">
        <w:rPr>
          <w:rFonts w:cs="Segoe UI"/>
          <w:color w:val="000000" w:themeColor="text1"/>
        </w:rPr>
        <w:t>.</w:t>
      </w:r>
      <w:r w:rsidRPr="00CE60B2">
        <w:rPr>
          <w:rFonts w:cs="Segoe UI"/>
          <w:color w:val="000000" w:themeColor="text1"/>
        </w:rPr>
        <w:t xml:space="preserve"> </w:t>
      </w:r>
      <w:r w:rsidR="00721436" w:rsidRPr="00CE60B2">
        <w:rPr>
          <w:rFonts w:cs="Segoe UI"/>
          <w:color w:val="000000" w:themeColor="text1"/>
        </w:rPr>
        <w:t>A</w:t>
      </w:r>
      <w:r w:rsidRPr="00CE60B2">
        <w:rPr>
          <w:rFonts w:cs="Segoe UI"/>
          <w:color w:val="000000" w:themeColor="text1"/>
        </w:rPr>
        <w:t xml:space="preserve">ccessed 16 May 2018. </w:t>
      </w:r>
      <w:hyperlink r:id="rId56" w:history="1">
        <w:r w:rsidRPr="00CE60B2">
          <w:rPr>
            <w:rFonts w:cs="Segoe UI"/>
            <w:color w:val="000000" w:themeColor="text1"/>
          </w:rPr>
          <w:t>www.aph.gov.au/Parliamentary_Business/Committees/Senate/Economics/MIS/Report</w:t>
        </w:r>
      </w:hyperlink>
    </w:p>
    <w:p w14:paraId="26ABE1EB" w14:textId="77777777" w:rsidR="007A3BF4" w:rsidRDefault="007A3BF4" w:rsidP="004A08C9">
      <w:pPr>
        <w:spacing w:before="0"/>
        <w:rPr>
          <w:rFonts w:cs="Segoe UI"/>
          <w:lang w:eastAsia="ja-JP"/>
        </w:rPr>
      </w:pPr>
      <w:r w:rsidRPr="007A3BF4">
        <w:rPr>
          <w:rFonts w:cs="Segoe UI"/>
          <w:lang w:eastAsia="ja-JP"/>
        </w:rPr>
        <w:t xml:space="preserve">Chapman, T. McCaw, L. (2017). </w:t>
      </w:r>
      <w:r>
        <w:rPr>
          <w:rFonts w:cs="Segoe UI"/>
          <w:lang w:eastAsia="ja-JP"/>
        </w:rPr>
        <w:t xml:space="preserve">Where to survey? Spatial biodiversity </w:t>
      </w:r>
      <w:r w:rsidR="00922ABC">
        <w:rPr>
          <w:rFonts w:cs="Segoe UI"/>
          <w:lang w:eastAsia="ja-JP"/>
        </w:rPr>
        <w:t>survey</w:t>
      </w:r>
      <w:r>
        <w:rPr>
          <w:rFonts w:cs="Segoe UI"/>
          <w:lang w:eastAsia="ja-JP"/>
        </w:rPr>
        <w:t xml:space="preserve"> gap analysis: a multicriteria approach. </w:t>
      </w:r>
      <w:r w:rsidR="00922ABC">
        <w:rPr>
          <w:rFonts w:cs="Segoe UI"/>
          <w:lang w:eastAsia="ja-JP"/>
        </w:rPr>
        <w:t>Pacific</w:t>
      </w:r>
      <w:r>
        <w:rPr>
          <w:rFonts w:cs="Segoe UI"/>
          <w:lang w:eastAsia="ja-JP"/>
        </w:rPr>
        <w:t xml:space="preserve"> Conservation Biology 23(2): 189-199. </w:t>
      </w:r>
    </w:p>
    <w:p w14:paraId="26ABE1EC" w14:textId="77777777" w:rsidR="004262DF" w:rsidRPr="00CE60B2" w:rsidRDefault="004262DF" w:rsidP="004A08C9">
      <w:pPr>
        <w:spacing w:before="0"/>
        <w:rPr>
          <w:rFonts w:cs="Segoe UI"/>
          <w:lang w:eastAsia="ja-JP"/>
        </w:rPr>
      </w:pPr>
      <w:r w:rsidRPr="00CE60B2">
        <w:rPr>
          <w:rFonts w:cs="Segoe UI"/>
          <w:lang w:eastAsia="ja-JP"/>
        </w:rPr>
        <w:t>Commonwealth of Australia (1998). Environment Protection and Biodiversity Conservation Bill: Explanatory Memorandum. The Parliament of the Commonwealth of Australia, Canberra.</w:t>
      </w:r>
    </w:p>
    <w:p w14:paraId="26ABE1ED" w14:textId="77777777" w:rsidR="000B1725" w:rsidRPr="00CE60B2" w:rsidRDefault="000B1725" w:rsidP="004A08C9">
      <w:pPr>
        <w:spacing w:before="0"/>
        <w:rPr>
          <w:rFonts w:cs="Segoe UI"/>
          <w:lang w:eastAsia="ja-JP"/>
        </w:rPr>
      </w:pPr>
      <w:r w:rsidRPr="00CE60B2">
        <w:rPr>
          <w:rFonts w:cs="Segoe UI"/>
          <w:lang w:eastAsia="ja-JP"/>
        </w:rPr>
        <w:t>Commonwealth of Australia (1992, 1995). National Forest Policy Statement: A new focus for Australia</w:t>
      </w:r>
      <w:r w:rsidR="000F2E4E" w:rsidRPr="00CE60B2">
        <w:rPr>
          <w:rFonts w:cs="Segoe UI"/>
          <w:lang w:eastAsia="ja-JP"/>
        </w:rPr>
        <w:t>’s Forests. Second edition 1995,</w:t>
      </w:r>
      <w:r w:rsidRPr="00CE60B2">
        <w:rPr>
          <w:rFonts w:cs="Segoe UI"/>
          <w:lang w:eastAsia="ja-JP"/>
        </w:rPr>
        <w:t xml:space="preserve"> Canberra.</w:t>
      </w:r>
    </w:p>
    <w:p w14:paraId="26ABE1EE" w14:textId="77777777" w:rsidR="00EC0774" w:rsidRDefault="00EC0774" w:rsidP="004A08C9">
      <w:pPr>
        <w:spacing w:before="0"/>
        <w:rPr>
          <w:rFonts w:cs="Segoe UI"/>
          <w:lang w:eastAsia="ja-JP"/>
        </w:rPr>
      </w:pPr>
      <w:r w:rsidRPr="00CE60B2">
        <w:rPr>
          <w:rFonts w:cs="Segoe UI"/>
          <w:lang w:eastAsia="ja-JP"/>
        </w:rPr>
        <w:t xml:space="preserve">Commonwealth of Australia and </w:t>
      </w:r>
      <w:r w:rsidR="00163B0A">
        <w:rPr>
          <w:rFonts w:cs="Segoe UI"/>
          <w:lang w:eastAsia="ja-JP"/>
        </w:rPr>
        <w:t xml:space="preserve">the State of </w:t>
      </w:r>
      <w:r w:rsidRPr="00CE60B2">
        <w:rPr>
          <w:rFonts w:cs="Segoe UI"/>
          <w:lang w:eastAsia="ja-JP"/>
        </w:rPr>
        <w:t xml:space="preserve">Western </w:t>
      </w:r>
      <w:r w:rsidR="00163B0A">
        <w:rPr>
          <w:rFonts w:cs="Segoe UI"/>
          <w:lang w:eastAsia="ja-JP"/>
        </w:rPr>
        <w:t xml:space="preserve">Australia </w:t>
      </w:r>
      <w:r w:rsidRPr="00CE60B2">
        <w:rPr>
          <w:rFonts w:cs="Segoe UI"/>
          <w:lang w:eastAsia="ja-JP"/>
        </w:rPr>
        <w:t xml:space="preserve">(1998). Economic profile of the tourism and recreation industries in the regional forest agreement area. Commonwealth and Western Australian Regional Forest Agreement (RFA) Steering Committee, June 1998. </w:t>
      </w:r>
    </w:p>
    <w:p w14:paraId="26ABE1EF" w14:textId="77777777" w:rsidR="00163B0A" w:rsidRPr="00CE60B2" w:rsidRDefault="00163B0A" w:rsidP="004A08C9">
      <w:pPr>
        <w:spacing w:before="0"/>
        <w:rPr>
          <w:rFonts w:cs="Segoe UI"/>
          <w:lang w:eastAsia="ja-JP"/>
        </w:rPr>
      </w:pPr>
      <w:r>
        <w:rPr>
          <w:rFonts w:cs="Segoe UI"/>
          <w:lang w:eastAsia="ja-JP"/>
        </w:rPr>
        <w:t>Commonwealth of Australia and the State of Western Australia (1998a). Towards a regional forest agreement for the South-West Forest Region of Western Australia: a paper to assist public consultation. Commonwealth and Western Australian Regional Forest Agreement Steering Committee.</w:t>
      </w:r>
    </w:p>
    <w:p w14:paraId="26ABE1F0" w14:textId="77777777" w:rsidR="00151CC9" w:rsidRDefault="00151CC9" w:rsidP="00151CC9">
      <w:pPr>
        <w:rPr>
          <w:rFonts w:cs="Segoe UI"/>
        </w:rPr>
      </w:pPr>
      <w:r w:rsidRPr="00151CC9">
        <w:rPr>
          <w:rFonts w:cs="Segoe UI"/>
        </w:rPr>
        <w:t xml:space="preserve">Commonwealth of Australia and </w:t>
      </w:r>
      <w:r>
        <w:rPr>
          <w:rFonts w:cs="Segoe UI"/>
        </w:rPr>
        <w:t>the State of Western Australia (</w:t>
      </w:r>
      <w:r w:rsidRPr="00151CC9">
        <w:rPr>
          <w:rFonts w:cs="Segoe UI"/>
        </w:rPr>
        <w:t>1997</w:t>
      </w:r>
      <w:r>
        <w:rPr>
          <w:rFonts w:cs="Segoe UI"/>
        </w:rPr>
        <w:t>).</w:t>
      </w:r>
      <w:r w:rsidRPr="00151CC9">
        <w:rPr>
          <w:rFonts w:cs="Segoe UI"/>
        </w:rPr>
        <w:t xml:space="preserve"> Social and Forest Values of the Community within the West Australian RFA Region, November 1997, </w:t>
      </w:r>
      <w:r>
        <w:rPr>
          <w:rFonts w:cs="Segoe UI"/>
        </w:rPr>
        <w:t xml:space="preserve">Accessed </w:t>
      </w:r>
      <w:r>
        <w:rPr>
          <w:rFonts w:cs="Segoe UI"/>
        </w:rPr>
        <w:lastRenderedPageBreak/>
        <w:t xml:space="preserve">on 25 October 2018 at </w:t>
      </w:r>
      <w:r w:rsidRPr="00151CC9">
        <w:rPr>
          <w:rFonts w:cs="Segoe UI"/>
        </w:rPr>
        <w:t>www.agriculture.gov.au/SiteCollectionDocuments/rfa/regions/wa/social-economic/social-assess/wa_soc_rep2.pdf</w:t>
      </w:r>
    </w:p>
    <w:p w14:paraId="26ABE1F1" w14:textId="77777777" w:rsidR="00C423D1" w:rsidRPr="00CE60B2" w:rsidRDefault="00C423D1" w:rsidP="00C423D1">
      <w:pPr>
        <w:rPr>
          <w:rFonts w:cs="Segoe UI"/>
          <w:lang w:eastAsia="ja-JP"/>
        </w:rPr>
      </w:pPr>
      <w:r w:rsidRPr="00CE60B2">
        <w:rPr>
          <w:rFonts w:cs="Segoe UI"/>
        </w:rPr>
        <w:t>Conservation and Parks Commission, 2018, Mid-term review of performance of the Forest Management Plan 2014-2023. Draft for public comment, Conservation and Parks Commission, Perth.</w:t>
      </w:r>
      <w:r w:rsidRPr="00CE60B2">
        <w:rPr>
          <w:rFonts w:cs="Segoe UI"/>
          <w:lang w:eastAsia="ja-JP"/>
        </w:rPr>
        <w:t xml:space="preserve"> </w:t>
      </w:r>
    </w:p>
    <w:p w14:paraId="26ABE1F2" w14:textId="77777777" w:rsidR="000F2E4E" w:rsidRPr="00CE60B2" w:rsidRDefault="000F2E4E" w:rsidP="004A08C9">
      <w:pPr>
        <w:spacing w:before="0"/>
        <w:rPr>
          <w:rFonts w:cs="Segoe UI"/>
          <w:lang w:eastAsia="ja-JP"/>
        </w:rPr>
      </w:pPr>
      <w:r w:rsidRPr="00CE60B2">
        <w:rPr>
          <w:rFonts w:cs="Segoe UI"/>
          <w:lang w:eastAsia="ja-JP"/>
        </w:rPr>
        <w:t>Conservation Commission of Western Australia (2013). Forest Management Plan 2014-2023. Conservation Commission of Western Australia, Perth.</w:t>
      </w:r>
    </w:p>
    <w:p w14:paraId="26ABE1F3" w14:textId="77777777" w:rsidR="007D6E1C" w:rsidRPr="00CA2B99" w:rsidRDefault="007D6E1C" w:rsidP="007D6E1C">
      <w:pPr>
        <w:jc w:val="both"/>
        <w:rPr>
          <w:rFonts w:eastAsia="Gill Sans MT" w:cs="Majalla UI"/>
        </w:rPr>
      </w:pPr>
      <w:r w:rsidRPr="00CA2B99">
        <w:rPr>
          <w:rFonts w:eastAsia="Gill Sans MT" w:cs="Majalla UI"/>
        </w:rPr>
        <w:t>Conservation Commission of Western Australia (2008). Forest Management Plan 2004-2013 mid-term audit of performance report. Perth, Western Australia.</w:t>
      </w:r>
    </w:p>
    <w:p w14:paraId="26ABE1F4" w14:textId="77777777" w:rsidR="001612DB" w:rsidRPr="00CE60B2" w:rsidRDefault="001612DB" w:rsidP="004A08C9">
      <w:pPr>
        <w:spacing w:before="0"/>
        <w:rPr>
          <w:rFonts w:cs="Segoe UI"/>
          <w:lang w:eastAsia="ja-JP"/>
        </w:rPr>
      </w:pPr>
      <w:r w:rsidRPr="00CE60B2">
        <w:rPr>
          <w:rFonts w:cs="Segoe UI"/>
          <w:lang w:eastAsia="ja-JP"/>
        </w:rPr>
        <w:t>Conservation Commission of Western Australia (2012). Forest Management Plan 2004 – 2013 End-of-term audit of performance report. Conservation Commission of Western Australia. 30 March 2012, Perth.</w:t>
      </w:r>
    </w:p>
    <w:p w14:paraId="26ABE1F5" w14:textId="77777777" w:rsidR="004A08C9" w:rsidRPr="00CE60B2" w:rsidRDefault="004A08C9" w:rsidP="004A08C9">
      <w:pPr>
        <w:spacing w:before="0"/>
        <w:rPr>
          <w:rFonts w:cs="Segoe UI"/>
          <w:lang w:eastAsia="ja-JP"/>
        </w:rPr>
      </w:pPr>
      <w:r w:rsidRPr="00CE60B2">
        <w:rPr>
          <w:rFonts w:cs="Segoe UI"/>
          <w:lang w:eastAsia="ja-JP"/>
        </w:rPr>
        <w:t xml:space="preserve">Department of Agriculture and Water Resources </w:t>
      </w:r>
      <w:r w:rsidR="00721436" w:rsidRPr="00CE60B2">
        <w:rPr>
          <w:rFonts w:cs="Segoe UI"/>
          <w:lang w:eastAsia="ja-JP"/>
        </w:rPr>
        <w:t>(</w:t>
      </w:r>
      <w:r w:rsidRPr="00CE60B2">
        <w:rPr>
          <w:rFonts w:cs="Segoe UI"/>
          <w:lang w:eastAsia="ja-JP"/>
        </w:rPr>
        <w:t>2018</w:t>
      </w:r>
      <w:r w:rsidR="00721436" w:rsidRPr="00CE60B2">
        <w:rPr>
          <w:rFonts w:cs="Segoe UI"/>
          <w:lang w:eastAsia="ja-JP"/>
        </w:rPr>
        <w:t>)</w:t>
      </w:r>
      <w:r w:rsidRPr="00CE60B2">
        <w:rPr>
          <w:rFonts w:cs="Segoe UI"/>
          <w:lang w:eastAsia="ja-JP"/>
        </w:rPr>
        <w:t xml:space="preserve">. RFAs: Why? Reviewed 20 October 2015. </w:t>
      </w:r>
      <w:r w:rsidRPr="00CE60B2">
        <w:rPr>
          <w:rFonts w:cs="Segoe UI"/>
        </w:rPr>
        <w:t xml:space="preserve">Accessed 8 June 2018. </w:t>
      </w:r>
      <w:hyperlink r:id="rId57" w:history="1">
        <w:r w:rsidRPr="00CE60B2">
          <w:rPr>
            <w:rStyle w:val="Hyperlink"/>
            <w:rFonts w:cs="Segoe UI"/>
            <w:lang w:eastAsia="ja-JP"/>
          </w:rPr>
          <w:t>http://www.agriculture.gov.au/forestry/policies/rfa/about/why</w:t>
        </w:r>
      </w:hyperlink>
    </w:p>
    <w:p w14:paraId="26ABE1F6" w14:textId="77777777" w:rsidR="000B1725" w:rsidRPr="00CE60B2" w:rsidRDefault="000B1725" w:rsidP="004A08C9">
      <w:pPr>
        <w:rPr>
          <w:rFonts w:cs="Segoe UI"/>
          <w:lang w:eastAsia="ja-JP"/>
        </w:rPr>
      </w:pPr>
      <w:r w:rsidRPr="00CE60B2">
        <w:rPr>
          <w:rFonts w:cs="Segoe UI"/>
          <w:lang w:eastAsia="ja-JP"/>
        </w:rPr>
        <w:t>Department of Agriculture, Fisheries and Forestry (2008). Australia’s Sustainable Forest Management Framework of Criteria &amp; Indicators 2008 – Policy Guidelines. Commonwealth of Australia, Canberra.</w:t>
      </w:r>
    </w:p>
    <w:p w14:paraId="26ABE1F7" w14:textId="77777777" w:rsidR="004A08C9" w:rsidRDefault="004A08C9" w:rsidP="004A08C9">
      <w:pPr>
        <w:rPr>
          <w:rFonts w:cs="Segoe UI"/>
          <w:lang w:eastAsia="ja-JP"/>
        </w:rPr>
      </w:pPr>
      <w:r w:rsidRPr="00CE60B2">
        <w:rPr>
          <w:rFonts w:cs="Segoe UI"/>
          <w:lang w:eastAsia="ja-JP"/>
        </w:rPr>
        <w:t>Department of Agriculture</w:t>
      </w:r>
      <w:r w:rsidR="00721436" w:rsidRPr="00CE60B2">
        <w:rPr>
          <w:rFonts w:cs="Segoe UI"/>
          <w:lang w:eastAsia="ja-JP"/>
        </w:rPr>
        <w:t xml:space="preserve">, Fisheries and Forestry </w:t>
      </w:r>
      <w:r w:rsidRPr="00CE60B2">
        <w:rPr>
          <w:rFonts w:cs="Segoe UI"/>
          <w:lang w:eastAsia="ja-JP"/>
        </w:rPr>
        <w:t>(2008)</w:t>
      </w:r>
      <w:r w:rsidR="00721436" w:rsidRPr="00CE60B2">
        <w:rPr>
          <w:rFonts w:cs="Segoe UI"/>
          <w:lang w:eastAsia="ja-JP"/>
        </w:rPr>
        <w:t>.</w:t>
      </w:r>
      <w:r w:rsidRPr="00CE60B2">
        <w:rPr>
          <w:rFonts w:cs="Segoe UI"/>
          <w:lang w:eastAsia="ja-JP"/>
        </w:rPr>
        <w:t xml:space="preserve"> Australia’s state of the forests report; five-yearly report 2008.</w:t>
      </w:r>
      <w:r w:rsidRPr="00CE60B2">
        <w:rPr>
          <w:rFonts w:cs="Segoe UI"/>
          <w:i/>
          <w:lang w:eastAsia="ja-JP"/>
        </w:rPr>
        <w:t xml:space="preserve"> </w:t>
      </w:r>
      <w:r w:rsidRPr="00CE60B2">
        <w:rPr>
          <w:rFonts w:cs="Segoe UI"/>
          <w:lang w:eastAsia="ja-JP"/>
        </w:rPr>
        <w:t>Canberra, ACT</w:t>
      </w:r>
    </w:p>
    <w:p w14:paraId="26ABE1F8" w14:textId="77777777" w:rsidR="002B473D" w:rsidRDefault="002B473D" w:rsidP="004A08C9">
      <w:pPr>
        <w:rPr>
          <w:rFonts w:cs="Segoe UI"/>
          <w:lang w:eastAsia="ja-JP"/>
        </w:rPr>
      </w:pPr>
      <w:r>
        <w:rPr>
          <w:rFonts w:cs="Segoe UI"/>
          <w:lang w:eastAsia="ja-JP"/>
        </w:rPr>
        <w:t>Department of Biodiversity, Conservat</w:t>
      </w:r>
      <w:r w:rsidR="005F48AA">
        <w:rPr>
          <w:rFonts w:cs="Segoe UI"/>
          <w:lang w:eastAsia="ja-JP"/>
        </w:rPr>
        <w:t>ion and Attractions (DBCA) (2014</w:t>
      </w:r>
      <w:r>
        <w:rPr>
          <w:rFonts w:cs="Segoe UI"/>
          <w:lang w:eastAsia="ja-JP"/>
        </w:rPr>
        <w:t xml:space="preserve">) FORESTCHECK. Accessed 9 November 2018. </w:t>
      </w:r>
      <w:hyperlink r:id="rId58" w:history="1">
        <w:r w:rsidRPr="00140E02">
          <w:rPr>
            <w:rStyle w:val="Hyperlink"/>
            <w:rFonts w:cs="Segoe UI"/>
            <w:lang w:eastAsia="ja-JP"/>
          </w:rPr>
          <w:t>https://www.dpaw.wa.gov.au/about-us/science-and-research/landscape-conservation-research/183-forestcheck</w:t>
        </w:r>
      </w:hyperlink>
    </w:p>
    <w:p w14:paraId="26ABE1F9" w14:textId="77777777" w:rsidR="0079380D" w:rsidRDefault="0079380D" w:rsidP="00F55A2F">
      <w:pPr>
        <w:rPr>
          <w:rFonts w:cs="Segoe UI"/>
        </w:rPr>
      </w:pPr>
      <w:r>
        <w:rPr>
          <w:rFonts w:cs="Segoe UI"/>
        </w:rPr>
        <w:t xml:space="preserve">Department of Biodiversity, Conservation and Attractions (DBCA) (n.d.). Threatened species and communities. Accessed 16 November 2018 </w:t>
      </w:r>
      <w:hyperlink r:id="rId59" w:history="1">
        <w:r w:rsidRPr="00636AFE">
          <w:rPr>
            <w:rStyle w:val="Hyperlink"/>
            <w:rFonts w:cs="Segoe UI"/>
          </w:rPr>
          <w:t>https://www.dpaw.wa.gov.au/plants-and-animals/threatened-species-and-communities</w:t>
        </w:r>
      </w:hyperlink>
      <w:r>
        <w:rPr>
          <w:rFonts w:cs="Segoe UI"/>
        </w:rPr>
        <w:t xml:space="preserve"> </w:t>
      </w:r>
    </w:p>
    <w:p w14:paraId="26ABE1FA" w14:textId="77777777" w:rsidR="00F55A2F" w:rsidRPr="00CE60B2" w:rsidRDefault="00F55A2F" w:rsidP="00F55A2F">
      <w:pPr>
        <w:rPr>
          <w:rFonts w:cs="Segoe UI"/>
        </w:rPr>
      </w:pPr>
      <w:r w:rsidRPr="00CE60B2">
        <w:rPr>
          <w:rFonts w:cs="Segoe UI"/>
        </w:rPr>
        <w:t>Department of Environment and Conservation (2008). Parks and reserves of the Lake Muir, Perup, Kingston, Tone and Unicup area. Issues paper, November 2008</w:t>
      </w:r>
    </w:p>
    <w:p w14:paraId="26ABE1FB" w14:textId="77777777" w:rsidR="007D6E1C" w:rsidRDefault="007D6E1C" w:rsidP="007D6E1C">
      <w:pPr>
        <w:jc w:val="both"/>
        <w:rPr>
          <w:rFonts w:eastAsia="Gill Sans MT" w:cs="Majalla UI"/>
        </w:rPr>
      </w:pPr>
      <w:r w:rsidRPr="002B6A7A">
        <w:rPr>
          <w:rFonts w:eastAsia="Gill Sans MT" w:cs="Majalla UI"/>
        </w:rPr>
        <w:t>Department of Environment and Conservation (2009). Manual for the Management of Surface</w:t>
      </w:r>
      <w:r>
        <w:rPr>
          <w:rFonts w:eastAsia="Gill Sans MT" w:cs="Majalla UI"/>
        </w:rPr>
        <w:t xml:space="preserve"> </w:t>
      </w:r>
      <w:r w:rsidRPr="002B6A7A">
        <w:rPr>
          <w:rFonts w:eastAsia="Gill Sans MT" w:cs="Majalla UI"/>
        </w:rPr>
        <w:t>Water. Department of Environment and Conservation, Perth, Australia.</w:t>
      </w:r>
    </w:p>
    <w:p w14:paraId="26ABE1FC" w14:textId="77777777" w:rsidR="007D6E1C" w:rsidRDefault="007D6E1C" w:rsidP="007D6E1C">
      <w:pPr>
        <w:jc w:val="both"/>
        <w:rPr>
          <w:rFonts w:eastAsia="Gill Sans MT" w:cs="Majalla UI"/>
        </w:rPr>
      </w:pPr>
      <w:r w:rsidRPr="00EB1A24">
        <w:rPr>
          <w:rFonts w:eastAsia="Gill Sans MT" w:cs="Majalla UI"/>
        </w:rPr>
        <w:t>Department of Environment and Conservation (2009). Soil and Water Conservation Guideline.</w:t>
      </w:r>
      <w:r>
        <w:rPr>
          <w:rFonts w:eastAsia="Gill Sans MT" w:cs="Majalla UI"/>
        </w:rPr>
        <w:t xml:space="preserve"> </w:t>
      </w:r>
      <w:r w:rsidRPr="00EB1A24">
        <w:rPr>
          <w:rFonts w:eastAsia="Gill Sans MT" w:cs="Majalla UI"/>
        </w:rPr>
        <w:t>Department of Environment and Conservation, Perth, Australia.</w:t>
      </w:r>
    </w:p>
    <w:p w14:paraId="26ABE1FD" w14:textId="77777777" w:rsidR="00F55A2F" w:rsidRDefault="00F55A2F" w:rsidP="00F55A2F">
      <w:pPr>
        <w:rPr>
          <w:rStyle w:val="Hyperlink"/>
          <w:rFonts w:cs="Segoe UI"/>
        </w:rPr>
      </w:pPr>
      <w:r w:rsidRPr="00CE60B2">
        <w:rPr>
          <w:rFonts w:cs="Segoe UI"/>
        </w:rPr>
        <w:t>Department of Environment and Conservation (2009). Ramsar Information Sheet. Accessed 19</w:t>
      </w:r>
      <w:r w:rsidR="00505976">
        <w:rPr>
          <w:rFonts w:cs="Segoe UI"/>
        </w:rPr>
        <w:t> </w:t>
      </w:r>
      <w:r w:rsidRPr="00CE60B2">
        <w:rPr>
          <w:rFonts w:cs="Segoe UI"/>
        </w:rPr>
        <w:t>September</w:t>
      </w:r>
      <w:r w:rsidR="00505976">
        <w:t> </w:t>
      </w:r>
      <w:r w:rsidRPr="00CE60B2">
        <w:rPr>
          <w:rFonts w:cs="Segoe UI"/>
        </w:rPr>
        <w:t xml:space="preserve">2018. </w:t>
      </w:r>
      <w:hyperlink r:id="rId60" w:history="1">
        <w:r w:rsidRPr="00CE60B2">
          <w:rPr>
            <w:rStyle w:val="Hyperlink"/>
            <w:rFonts w:cs="Segoe UI"/>
          </w:rPr>
          <w:t>https://www.dpaw.wa.gov.au/management/wetlands/wetlands-of-national-and-international-importance</w:t>
        </w:r>
      </w:hyperlink>
    </w:p>
    <w:p w14:paraId="26ABE1FE" w14:textId="77777777" w:rsidR="007D6E1C" w:rsidRDefault="007D6E1C" w:rsidP="007D6E1C">
      <w:pPr>
        <w:jc w:val="both"/>
        <w:rPr>
          <w:rFonts w:eastAsia="Gill Sans MT" w:cs="Majalla UI"/>
        </w:rPr>
      </w:pPr>
      <w:r w:rsidRPr="000F117C">
        <w:rPr>
          <w:rFonts w:eastAsia="Gill Sans MT" w:cs="Majalla UI"/>
        </w:rPr>
        <w:t xml:space="preserve">Department of Environment and Conservation </w:t>
      </w:r>
      <w:r>
        <w:rPr>
          <w:rFonts w:eastAsia="Gill Sans MT" w:cs="Majalla UI"/>
        </w:rPr>
        <w:t>(</w:t>
      </w:r>
      <w:r w:rsidRPr="000F117C">
        <w:rPr>
          <w:rFonts w:eastAsia="Gill Sans MT" w:cs="Majalla UI"/>
        </w:rPr>
        <w:t>2010</w:t>
      </w:r>
      <w:r>
        <w:rPr>
          <w:rFonts w:eastAsia="Gill Sans MT" w:cs="Majalla UI"/>
        </w:rPr>
        <w:t>).</w:t>
      </w:r>
      <w:r w:rsidRPr="000F117C">
        <w:rPr>
          <w:rFonts w:eastAsia="Gill Sans MT" w:cs="Majalla UI"/>
        </w:rPr>
        <w:t xml:space="preserve"> Tables and Formulae for the Management of Surface Water, Department of Environment and Conservation, Sustainable Forest Management Series, SFM Field Guide No. 1.</w:t>
      </w:r>
    </w:p>
    <w:p w14:paraId="26ABE200" w14:textId="61B61CD7" w:rsidR="00F55A2F" w:rsidRDefault="00F55A2F" w:rsidP="00F55A2F">
      <w:pPr>
        <w:rPr>
          <w:rFonts w:cs="Segoe UI"/>
        </w:rPr>
      </w:pPr>
      <w:r w:rsidRPr="00CE60B2">
        <w:rPr>
          <w:rFonts w:cs="Segoe UI"/>
        </w:rPr>
        <w:t>Department of Environment and Conservation (2016).</w:t>
      </w:r>
      <w:r w:rsidR="00736CC4">
        <w:rPr>
          <w:rFonts w:cs="Segoe UI"/>
        </w:rPr>
        <w:t xml:space="preserve"> </w:t>
      </w:r>
      <w:r w:rsidRPr="00CE60B2">
        <w:rPr>
          <w:rFonts w:cs="Segoe UI"/>
        </w:rPr>
        <w:t>Preliminary Assessment of change in ecological character Lake Muir-Byenup System Ramsar site (1050). Report to the Australian Department of Environment and Energy - September 2016.</w:t>
      </w:r>
    </w:p>
    <w:p w14:paraId="26ABE201" w14:textId="77777777" w:rsidR="00F44385" w:rsidRDefault="00F44385" w:rsidP="00F44385">
      <w:pPr>
        <w:rPr>
          <w:rStyle w:val="Hyperlink"/>
          <w:lang w:eastAsia="ja-JP"/>
        </w:rPr>
      </w:pPr>
      <w:r>
        <w:lastRenderedPageBreak/>
        <w:t xml:space="preserve">Department of Mines, Industry Regulation and Safety – WorkSafe. 2017. Work Related Lost Time Injuries and Diseases in WA 2011-12 to 2015-16p 1 Agriculture, Forestry and Fishing Industry Profile (ANZSIC 2006) </w:t>
      </w:r>
      <w:hyperlink r:id="rId61" w:history="1">
        <w:r w:rsidRPr="00D3601E">
          <w:rPr>
            <w:rStyle w:val="Hyperlink"/>
            <w:lang w:eastAsia="ja-JP"/>
          </w:rPr>
          <w:t>https://www.commerce.wa.gov.au/sites/default/files/atoms/files/ag_industry_profile_2017.pdf</w:t>
        </w:r>
      </w:hyperlink>
    </w:p>
    <w:p w14:paraId="26ABE202" w14:textId="77777777" w:rsidR="007D6E1C" w:rsidRDefault="007D6E1C" w:rsidP="00F44385">
      <w:pPr>
        <w:rPr>
          <w:rFonts w:eastAsia="Gill Sans MT" w:cs="Majalla UI"/>
        </w:rPr>
      </w:pPr>
      <w:r w:rsidRPr="00EB1A24">
        <w:rPr>
          <w:rFonts w:eastAsia="Gill Sans MT" w:cs="Majalla UI"/>
        </w:rPr>
        <w:t xml:space="preserve">Department of </w:t>
      </w:r>
      <w:r>
        <w:rPr>
          <w:rFonts w:eastAsia="Gill Sans MT" w:cs="Majalla UI"/>
        </w:rPr>
        <w:t xml:space="preserve">Parks and Wildlife </w:t>
      </w:r>
      <w:r w:rsidRPr="00EB1A24">
        <w:rPr>
          <w:rFonts w:eastAsia="Gill Sans MT" w:cs="Majalla UI"/>
        </w:rPr>
        <w:t>(201</w:t>
      </w:r>
      <w:r>
        <w:rPr>
          <w:rFonts w:eastAsia="Gill Sans MT" w:cs="Majalla UI"/>
        </w:rPr>
        <w:t>5</w:t>
      </w:r>
      <w:r w:rsidRPr="00EB1A24">
        <w:rPr>
          <w:rFonts w:eastAsia="Gill Sans MT" w:cs="Majalla UI"/>
        </w:rPr>
        <w:t xml:space="preserve">). </w:t>
      </w:r>
      <w:bookmarkStart w:id="249" w:name="_Hlk530486707"/>
      <w:r w:rsidRPr="00EB1A24">
        <w:rPr>
          <w:rFonts w:eastAsia="Gill Sans MT" w:cs="Majalla UI"/>
        </w:rPr>
        <w:t>Manual of Procedures for the Management of Soils Associated with Timber Harvesting in Native Forests</w:t>
      </w:r>
      <w:bookmarkEnd w:id="249"/>
      <w:r w:rsidRPr="00EB1A24">
        <w:rPr>
          <w:rFonts w:eastAsia="Gill Sans MT" w:cs="Majalla UI"/>
        </w:rPr>
        <w:t xml:space="preserve">. Department of </w:t>
      </w:r>
      <w:r>
        <w:rPr>
          <w:rFonts w:eastAsia="Gill Sans MT" w:cs="Majalla UI"/>
        </w:rPr>
        <w:t>Parks and Wildlife</w:t>
      </w:r>
      <w:r w:rsidRPr="00EB1A24">
        <w:rPr>
          <w:rFonts w:eastAsia="Gill Sans MT" w:cs="Majalla UI"/>
        </w:rPr>
        <w:t>, Perth, Australia.</w:t>
      </w:r>
    </w:p>
    <w:p w14:paraId="26ABE203" w14:textId="77777777" w:rsidR="007D6E1C" w:rsidRPr="00C569E4" w:rsidRDefault="007D6E1C" w:rsidP="007D6E1C">
      <w:pPr>
        <w:jc w:val="both"/>
        <w:rPr>
          <w:rFonts w:eastAsia="Gill Sans MT" w:cs="Majalla UI"/>
        </w:rPr>
      </w:pPr>
      <w:r w:rsidRPr="00C569E4">
        <w:rPr>
          <w:rFonts w:eastAsia="Gill Sans MT" w:cs="Majalla UI"/>
        </w:rPr>
        <w:t>Department of Parks and Wildlife, 2016, Procedures for the use of Work Improvement Notices and Notifications. FEM Advisory Note No. 4, Department of Parks and Wildlife, Perth.</w:t>
      </w:r>
    </w:p>
    <w:p w14:paraId="26ABE204" w14:textId="77777777" w:rsidR="00A7146A" w:rsidRPr="00CE60B2" w:rsidRDefault="00A7146A" w:rsidP="00F55A2F">
      <w:pPr>
        <w:rPr>
          <w:rFonts w:cs="Segoe UI"/>
        </w:rPr>
      </w:pPr>
      <w:r>
        <w:rPr>
          <w:rFonts w:cs="Segoe UI"/>
        </w:rPr>
        <w:t xml:space="preserve">Department of Planning, Lands and Heritage (2018). Legislation. </w:t>
      </w:r>
      <w:r w:rsidR="00922ABC">
        <w:rPr>
          <w:rFonts w:cs="Segoe UI"/>
        </w:rPr>
        <w:t>Accessed</w:t>
      </w:r>
      <w:r>
        <w:rPr>
          <w:rFonts w:cs="Segoe UI"/>
        </w:rPr>
        <w:t xml:space="preserve"> 1 November 2018 </w:t>
      </w:r>
      <w:r w:rsidRPr="00A7146A">
        <w:rPr>
          <w:rFonts w:cs="Segoe UI"/>
        </w:rPr>
        <w:t>www.daa.wa.gov.au/about-the-department/legislation/</w:t>
      </w:r>
    </w:p>
    <w:p w14:paraId="26ABE205" w14:textId="77777777" w:rsidR="00F44385" w:rsidRPr="00CE60B2" w:rsidRDefault="00F44385" w:rsidP="00F44385">
      <w:pPr>
        <w:spacing w:before="0"/>
        <w:rPr>
          <w:rFonts w:cs="Segoe UI"/>
        </w:rPr>
      </w:pPr>
      <w:r w:rsidRPr="00CE60B2">
        <w:rPr>
          <w:rFonts w:cs="Segoe UI"/>
        </w:rPr>
        <w:t>Department of Primary Industries and Energy (1998). A framework of regional (sub-national) level criteria and indicators of sustainable forest management in Australia. Canberra, 108pp.</w:t>
      </w:r>
    </w:p>
    <w:p w14:paraId="26ABE206" w14:textId="77777777" w:rsidR="002C06ED" w:rsidRPr="00CE60B2" w:rsidRDefault="002C06ED" w:rsidP="00B27B20">
      <w:pPr>
        <w:rPr>
          <w:rFonts w:cs="Segoe UI"/>
          <w:color w:val="0000FF"/>
          <w:sz w:val="20"/>
          <w:szCs w:val="20"/>
        </w:rPr>
      </w:pPr>
      <w:r w:rsidRPr="00CE60B2">
        <w:rPr>
          <w:rFonts w:cs="Segoe UI"/>
        </w:rPr>
        <w:t>Department of the Environment and Energy (2018). Conservation Advices. Accessed 30 July 2018</w:t>
      </w:r>
      <w:r w:rsidRPr="00CE60B2">
        <w:rPr>
          <w:rStyle w:val="Hyperlink"/>
          <w:rFonts w:cs="Segoe UI"/>
        </w:rPr>
        <w:t xml:space="preserve"> </w:t>
      </w:r>
      <w:hyperlink r:id="rId62" w:history="1">
        <w:r w:rsidRPr="00CE60B2">
          <w:rPr>
            <w:rStyle w:val="Hyperlink"/>
            <w:rFonts w:cs="Segoe UI"/>
          </w:rPr>
          <w:t>www.environment.gov.au/biodiversity/threatened/conservation-advices.html</w:t>
        </w:r>
      </w:hyperlink>
      <w:r w:rsidRPr="00CE60B2">
        <w:rPr>
          <w:rFonts w:cs="Segoe UI"/>
          <w:color w:val="0000FF"/>
          <w:sz w:val="20"/>
          <w:szCs w:val="20"/>
        </w:rPr>
        <w:t xml:space="preserve"> </w:t>
      </w:r>
    </w:p>
    <w:p w14:paraId="26ABE207" w14:textId="77777777" w:rsidR="002C06ED" w:rsidRPr="00CE60B2" w:rsidRDefault="002C06ED" w:rsidP="00B27B20">
      <w:pPr>
        <w:rPr>
          <w:rFonts w:cs="Segoe UI"/>
        </w:rPr>
      </w:pPr>
      <w:r w:rsidRPr="00CE60B2">
        <w:rPr>
          <w:rFonts w:cs="Segoe UI"/>
        </w:rPr>
        <w:t xml:space="preserve">Department of the Environment and Energy (2018a). Recovery Plans. Accessed 30 July 2018 </w:t>
      </w:r>
      <w:hyperlink r:id="rId63" w:history="1">
        <w:r w:rsidRPr="00CE60B2">
          <w:rPr>
            <w:rStyle w:val="Hyperlink"/>
            <w:rFonts w:cs="Segoe UI"/>
          </w:rPr>
          <w:t>www.environment.gov.au/biodiversity/threatened/recovery-plans</w:t>
        </w:r>
      </w:hyperlink>
      <w:r w:rsidRPr="00CE60B2">
        <w:rPr>
          <w:rFonts w:cs="Segoe UI"/>
        </w:rPr>
        <w:t xml:space="preserve"> </w:t>
      </w:r>
    </w:p>
    <w:p w14:paraId="26ABE208" w14:textId="77777777" w:rsidR="00A73CB2" w:rsidRPr="00CE60B2" w:rsidRDefault="00723968" w:rsidP="00B27B20">
      <w:pPr>
        <w:rPr>
          <w:rFonts w:cs="Segoe UI"/>
          <w:color w:val="0257BE"/>
        </w:rPr>
      </w:pPr>
      <w:r w:rsidRPr="00CE60B2">
        <w:rPr>
          <w:rFonts w:cs="Segoe UI"/>
        </w:rPr>
        <w:t xml:space="preserve">Department of the Environment and Energy (2018b). Australian World Heritage Laws. Accessed 31 July 2018 </w:t>
      </w:r>
      <w:hyperlink r:id="rId64" w:history="1">
        <w:r w:rsidRPr="00CE60B2">
          <w:rPr>
            <w:rStyle w:val="Hyperlink"/>
            <w:rFonts w:cs="Segoe UI"/>
          </w:rPr>
          <w:t>www.environment.gov.au/heritage/laws/world</w:t>
        </w:r>
      </w:hyperlink>
    </w:p>
    <w:p w14:paraId="26ABE209" w14:textId="77777777" w:rsidR="00A73CB2" w:rsidRPr="00CE60B2" w:rsidRDefault="00A73CB2" w:rsidP="00B27B20">
      <w:pPr>
        <w:rPr>
          <w:rFonts w:cs="Segoe UI"/>
        </w:rPr>
      </w:pPr>
      <w:r w:rsidRPr="00CE60B2">
        <w:rPr>
          <w:rFonts w:cs="Segoe UI"/>
        </w:rPr>
        <w:t xml:space="preserve">Department of the Environment and Energy (2018c). Managing Wetlands. Accessed 31 July 2018. </w:t>
      </w:r>
      <w:hyperlink r:id="rId65" w:history="1">
        <w:r w:rsidRPr="00CE60B2">
          <w:rPr>
            <w:rStyle w:val="Hyperlink"/>
            <w:rFonts w:cs="Segoe UI"/>
          </w:rPr>
          <w:t>www.environment.gov.au/water/wetlands/managing</w:t>
        </w:r>
      </w:hyperlink>
    </w:p>
    <w:p w14:paraId="26ABE20A" w14:textId="77777777" w:rsidR="00B27B20" w:rsidRPr="00CE60B2" w:rsidRDefault="002C06ED" w:rsidP="00B27B20">
      <w:pPr>
        <w:rPr>
          <w:rFonts w:cs="Segoe UI"/>
        </w:rPr>
      </w:pPr>
      <w:r w:rsidRPr="00CE60B2">
        <w:rPr>
          <w:rFonts w:cs="Segoe UI"/>
        </w:rPr>
        <w:t>Department</w:t>
      </w:r>
      <w:r w:rsidR="00B27B20" w:rsidRPr="00CE60B2">
        <w:rPr>
          <w:rFonts w:cs="Segoe UI"/>
        </w:rPr>
        <w:t xml:space="preserve"> of </w:t>
      </w:r>
      <w:r w:rsidRPr="00CE60B2">
        <w:rPr>
          <w:rFonts w:cs="Segoe UI"/>
        </w:rPr>
        <w:t xml:space="preserve">the </w:t>
      </w:r>
      <w:r w:rsidR="00B27B20" w:rsidRPr="00CE60B2">
        <w:rPr>
          <w:rFonts w:cs="Segoe UI"/>
        </w:rPr>
        <w:t xml:space="preserve">Environment and Energy (2016). National Inventory Report 2014 (Revised) Volume 2, Commonwealth of Australia 2016. </w:t>
      </w:r>
      <w:hyperlink r:id="rId66" w:history="1">
        <w:r w:rsidR="00B27B20" w:rsidRPr="00CE60B2">
          <w:rPr>
            <w:rStyle w:val="Hyperlink"/>
            <w:rFonts w:cs="Segoe UI"/>
          </w:rPr>
          <w:t>https://www.environment.gov.au/system/files/resources/cab3140e-5adb-479f-9af4-a7c605d762dc/files/national-inventory-report-2014-revised-vol-2.pdf</w:t>
        </w:r>
      </w:hyperlink>
    </w:p>
    <w:p w14:paraId="26ABE20B" w14:textId="77777777" w:rsidR="002C06ED" w:rsidRPr="00CE60B2" w:rsidRDefault="004A08C9" w:rsidP="00A73CB2">
      <w:pPr>
        <w:spacing w:before="0"/>
        <w:rPr>
          <w:rFonts w:cs="Segoe UI"/>
        </w:rPr>
      </w:pPr>
      <w:r w:rsidRPr="00CE60B2">
        <w:rPr>
          <w:rFonts w:cs="Segoe UI"/>
          <w:color w:val="000000"/>
        </w:rPr>
        <w:t>Department</w:t>
      </w:r>
      <w:r w:rsidR="00B27B20" w:rsidRPr="00CE60B2">
        <w:rPr>
          <w:rFonts w:cs="Segoe UI"/>
          <w:color w:val="000000"/>
        </w:rPr>
        <w:t xml:space="preserve"> of the Environment and Energy (</w:t>
      </w:r>
      <w:r w:rsidRPr="00CE60B2">
        <w:rPr>
          <w:rFonts w:cs="Segoe UI"/>
          <w:color w:val="000000"/>
        </w:rPr>
        <w:t>2010</w:t>
      </w:r>
      <w:r w:rsidR="00B27B20" w:rsidRPr="00CE60B2">
        <w:rPr>
          <w:rFonts w:cs="Segoe UI"/>
          <w:color w:val="000000"/>
        </w:rPr>
        <w:t>)</w:t>
      </w:r>
      <w:r w:rsidRPr="00CE60B2">
        <w:rPr>
          <w:rFonts w:cs="Segoe UI"/>
          <w:color w:val="000000"/>
        </w:rPr>
        <w:t xml:space="preserve">. </w:t>
      </w:r>
      <w:r w:rsidRPr="00CE60B2">
        <w:rPr>
          <w:rFonts w:cs="Segoe UI"/>
          <w:iCs/>
          <w:color w:val="000000"/>
        </w:rPr>
        <w:t>National Waste Policy</w:t>
      </w:r>
      <w:r w:rsidR="00721436" w:rsidRPr="00CE60B2">
        <w:rPr>
          <w:rFonts w:cs="Segoe UI"/>
          <w:iCs/>
          <w:color w:val="000000"/>
        </w:rPr>
        <w:t>.</w:t>
      </w:r>
      <w:r w:rsidRPr="00CE60B2">
        <w:rPr>
          <w:rFonts w:cs="Segoe UI"/>
          <w:color w:val="000000"/>
        </w:rPr>
        <w:t xml:space="preserve"> </w:t>
      </w:r>
      <w:r w:rsidR="00721436" w:rsidRPr="00CE60B2">
        <w:rPr>
          <w:rFonts w:cs="Segoe UI"/>
          <w:color w:val="000000"/>
        </w:rPr>
        <w:t>A</w:t>
      </w:r>
      <w:r w:rsidRPr="00CE60B2">
        <w:rPr>
          <w:rFonts w:cs="Segoe UI"/>
          <w:color w:val="000000"/>
        </w:rPr>
        <w:t xml:space="preserve">ccessed June 2017 </w:t>
      </w:r>
      <w:hyperlink r:id="rId67" w:history="1">
        <w:r w:rsidRPr="00CE60B2">
          <w:rPr>
            <w:rStyle w:val="Hyperlink"/>
            <w:rFonts w:cs="Segoe UI"/>
          </w:rPr>
          <w:t>http://environment.gov.au/protection/national-waste-policy</w:t>
        </w:r>
      </w:hyperlink>
      <w:r w:rsidR="00A73CB2" w:rsidRPr="00CE60B2">
        <w:rPr>
          <w:rFonts w:cs="Segoe UI"/>
        </w:rPr>
        <w:t xml:space="preserve"> </w:t>
      </w:r>
    </w:p>
    <w:p w14:paraId="26ABE20C" w14:textId="77777777" w:rsidR="00D45D5B" w:rsidRPr="00CE60B2" w:rsidRDefault="00D45D5B" w:rsidP="004A08C9">
      <w:pPr>
        <w:spacing w:before="0" w:line="276" w:lineRule="auto"/>
        <w:rPr>
          <w:rFonts w:cs="Segoe UI"/>
        </w:rPr>
      </w:pPr>
      <w:r w:rsidRPr="00CE60B2">
        <w:rPr>
          <w:rFonts w:cs="Segoe UI"/>
        </w:rPr>
        <w:t xml:space="preserve">Department of the Environment and Energy (n.d.). Register of the National Estate – archive. Accessed 31 July 2018 </w:t>
      </w:r>
      <w:hyperlink r:id="rId68" w:history="1">
        <w:r w:rsidRPr="00CE60B2">
          <w:rPr>
            <w:rStyle w:val="Hyperlink"/>
            <w:rFonts w:cs="Segoe UI"/>
          </w:rPr>
          <w:t>http://www.environment.gov.au/heritage/places/register-national-estate</w:t>
        </w:r>
      </w:hyperlink>
      <w:r w:rsidRPr="00CE60B2">
        <w:rPr>
          <w:rFonts w:cs="Segoe UI"/>
        </w:rPr>
        <w:t xml:space="preserve"> </w:t>
      </w:r>
    </w:p>
    <w:p w14:paraId="26ABE20D" w14:textId="77777777" w:rsidR="00432F09" w:rsidRDefault="00432F09" w:rsidP="004A08C9">
      <w:pPr>
        <w:spacing w:before="0" w:line="276" w:lineRule="auto"/>
        <w:rPr>
          <w:rFonts w:cs="Segoe UI"/>
        </w:rPr>
      </w:pPr>
      <w:r>
        <w:rPr>
          <w:rFonts w:cs="Segoe UI"/>
        </w:rPr>
        <w:t xml:space="preserve">Department of the Environment and Energy and Blue Environment Pty Ltd (2017). Australian National Waste Report 2016. Department of the Environment and Energy, Canberra </w:t>
      </w:r>
      <w:hyperlink r:id="rId69" w:history="1">
        <w:r w:rsidRPr="003A3383">
          <w:rPr>
            <w:rStyle w:val="Hyperlink"/>
            <w:rFonts w:cs="Segoe UI"/>
          </w:rPr>
          <w:t>www.environment.gov.au/system/files/resources/d075c9bc-45b3-4ac0-a8f2-6494c7d1fa0d/files/national-waste-report-2016.pdf</w:t>
        </w:r>
      </w:hyperlink>
      <w:r>
        <w:rPr>
          <w:rFonts w:cs="Segoe UI"/>
        </w:rPr>
        <w:t xml:space="preserve"> </w:t>
      </w:r>
    </w:p>
    <w:p w14:paraId="26ABE20E" w14:textId="77777777" w:rsidR="00F44385" w:rsidRDefault="00F44385" w:rsidP="00F44385">
      <w:pPr>
        <w:spacing w:before="0" w:line="276" w:lineRule="auto"/>
        <w:rPr>
          <w:rFonts w:cs="Segoe UI"/>
        </w:rPr>
      </w:pPr>
      <w:r>
        <w:rPr>
          <w:rFonts w:cs="Segoe UI"/>
        </w:rPr>
        <w:t xml:space="preserve">Department of the Environment and Energy (n.d.) Commonwealth heritage places in Western Australia. Accessed 12 November 2018. </w:t>
      </w:r>
      <w:hyperlink r:id="rId70" w:history="1">
        <w:r w:rsidRPr="002077DC">
          <w:rPr>
            <w:rStyle w:val="Hyperlink"/>
            <w:rFonts w:cs="Segoe UI"/>
          </w:rPr>
          <w:t>http://155.187.2.69/heritage/places/commonwealth/wa.html</w:t>
        </w:r>
      </w:hyperlink>
    </w:p>
    <w:p w14:paraId="26ABE20F" w14:textId="77777777" w:rsidR="00196B4D" w:rsidRDefault="00196B4D" w:rsidP="004A08C9">
      <w:pPr>
        <w:spacing w:before="0" w:line="276" w:lineRule="auto"/>
        <w:rPr>
          <w:rFonts w:cs="Segoe UI"/>
        </w:rPr>
      </w:pPr>
      <w:r>
        <w:rPr>
          <w:rFonts w:cs="Segoe UI"/>
        </w:rPr>
        <w:t xml:space="preserve">Department of the Environment, Water, Heritage and the Arts (2009). National guidance on notifying change in ecological character of Australian Ramsar wetlands (article 3.2). Module 3 of the National Guidelines for Ramsar Wetlands – Implementing the Ramsar Convention in </w:t>
      </w:r>
      <w:r>
        <w:rPr>
          <w:rFonts w:cs="Segoe UI"/>
        </w:rPr>
        <w:lastRenderedPageBreak/>
        <w:t xml:space="preserve">Australia. Commonwealth of Australia, Canberra. </w:t>
      </w:r>
      <w:hyperlink r:id="rId71" w:history="1">
        <w:r w:rsidRPr="0015139A">
          <w:rPr>
            <w:rStyle w:val="Hyperlink"/>
            <w:rFonts w:cs="Segoe UI"/>
          </w:rPr>
          <w:t>http://www.environment.gov.au/system/files/resources/c3e2b91e-51db-4c3e-bb43-38650c2728e6/files/module-3-change.pdf</w:t>
        </w:r>
      </w:hyperlink>
      <w:r>
        <w:rPr>
          <w:rFonts w:cs="Segoe UI"/>
        </w:rPr>
        <w:t xml:space="preserve"> </w:t>
      </w:r>
    </w:p>
    <w:p w14:paraId="26ABE210" w14:textId="77777777" w:rsidR="00255515" w:rsidRPr="00CE60B2" w:rsidRDefault="00255515" w:rsidP="004A08C9">
      <w:pPr>
        <w:spacing w:before="0" w:line="276" w:lineRule="auto"/>
        <w:rPr>
          <w:rFonts w:cs="Segoe UI"/>
        </w:rPr>
      </w:pPr>
      <w:r w:rsidRPr="00CE60B2">
        <w:rPr>
          <w:rFonts w:cs="Segoe UI"/>
        </w:rPr>
        <w:t xml:space="preserve">Dillon, R. Jeyasingham, J. Eades, S. Read, S. (2015). Development of the </w:t>
      </w:r>
      <w:r w:rsidRPr="00CE60B2">
        <w:rPr>
          <w:rFonts w:cs="Segoe UI"/>
          <w:i/>
        </w:rPr>
        <w:t xml:space="preserve">Australia’s Indigenous forest estate </w:t>
      </w:r>
      <w:r w:rsidRPr="00CE60B2">
        <w:rPr>
          <w:rFonts w:cs="Segoe UI"/>
        </w:rPr>
        <w:t xml:space="preserve">(2013) dataset. ABARES Research report 15.6, Canberra, August. CC BY 3.0 </w:t>
      </w:r>
    </w:p>
    <w:p w14:paraId="26ABE211" w14:textId="77777777" w:rsidR="004A08C9" w:rsidRPr="00CE60B2" w:rsidRDefault="004A08C9" w:rsidP="004A08C9">
      <w:pPr>
        <w:spacing w:before="0" w:line="276" w:lineRule="auto"/>
        <w:rPr>
          <w:rFonts w:cs="Segoe UI"/>
        </w:rPr>
      </w:pPr>
      <w:r w:rsidRPr="00CE60B2">
        <w:rPr>
          <w:rFonts w:cs="Segoe UI"/>
        </w:rPr>
        <w:t xml:space="preserve">Downham, R.  Gavran, M. </w:t>
      </w:r>
      <w:r w:rsidR="00721436" w:rsidRPr="00CE60B2">
        <w:rPr>
          <w:rFonts w:cs="Segoe UI"/>
        </w:rPr>
        <w:t>(</w:t>
      </w:r>
      <w:r w:rsidRPr="00CE60B2">
        <w:rPr>
          <w:rFonts w:cs="Segoe UI"/>
        </w:rPr>
        <w:t>2017</w:t>
      </w:r>
      <w:r w:rsidR="00721436" w:rsidRPr="00CE60B2">
        <w:rPr>
          <w:rFonts w:cs="Segoe UI"/>
        </w:rPr>
        <w:t>)</w:t>
      </w:r>
      <w:r w:rsidRPr="00CE60B2">
        <w:rPr>
          <w:rFonts w:cs="Segoe UI"/>
        </w:rPr>
        <w:t>. Australian plantation statistics 2018 update</w:t>
      </w:r>
      <w:r w:rsidR="00721436" w:rsidRPr="00CE60B2">
        <w:rPr>
          <w:rFonts w:cs="Segoe UI"/>
        </w:rPr>
        <w:t>. ABARES, Canberra.</w:t>
      </w:r>
    </w:p>
    <w:p w14:paraId="26ABE212" w14:textId="77777777" w:rsidR="00543571" w:rsidRDefault="00543571" w:rsidP="00A07246">
      <w:pPr>
        <w:rPr>
          <w:rFonts w:cs="Segoe UI"/>
        </w:rPr>
      </w:pPr>
      <w:r>
        <w:rPr>
          <w:rFonts w:cs="Segoe UI"/>
        </w:rPr>
        <w:t>ERM Mitchell McCotter</w:t>
      </w:r>
      <w:r w:rsidRPr="00543571">
        <w:rPr>
          <w:rFonts w:cs="Segoe UI"/>
        </w:rPr>
        <w:t xml:space="preserve"> </w:t>
      </w:r>
      <w:r>
        <w:rPr>
          <w:rFonts w:cs="Segoe UI"/>
        </w:rPr>
        <w:t>(</w:t>
      </w:r>
      <w:r w:rsidRPr="00543571">
        <w:rPr>
          <w:rFonts w:cs="Segoe UI"/>
        </w:rPr>
        <w:t>1998</w:t>
      </w:r>
      <w:r>
        <w:rPr>
          <w:rFonts w:cs="Segoe UI"/>
        </w:rPr>
        <w:t>)</w:t>
      </w:r>
      <w:r w:rsidRPr="00543571">
        <w:rPr>
          <w:rFonts w:cs="Segoe UI"/>
        </w:rPr>
        <w:t>. Western Australia Comprehensive Regional Assessment National Estate aesthetic value identification and assessment project – Visual Assessment. A report to the Joint Commonwealth – Western Australian RFA Steering Committee. February 1998.</w:t>
      </w:r>
    </w:p>
    <w:p w14:paraId="26ABE213" w14:textId="77777777" w:rsidR="00A07246" w:rsidRPr="00CE60B2" w:rsidRDefault="00922ABC" w:rsidP="00A07246">
      <w:pPr>
        <w:rPr>
          <w:rFonts w:cs="Segoe UI"/>
        </w:rPr>
      </w:pPr>
      <w:r w:rsidRPr="00CE60B2">
        <w:rPr>
          <w:rFonts w:cs="Segoe UI"/>
        </w:rPr>
        <w:t>Fair Work</w:t>
      </w:r>
      <w:r w:rsidR="00A07246" w:rsidRPr="00CE60B2">
        <w:rPr>
          <w:rFonts w:cs="Segoe UI"/>
        </w:rPr>
        <w:t xml:space="preserve"> </w:t>
      </w:r>
      <w:r w:rsidR="00B872E0" w:rsidRPr="00CE60B2">
        <w:rPr>
          <w:rFonts w:cs="Segoe UI"/>
        </w:rPr>
        <w:t>Commission</w:t>
      </w:r>
      <w:r w:rsidR="00A07246" w:rsidRPr="00CE60B2">
        <w:rPr>
          <w:rFonts w:cs="Segoe UI"/>
        </w:rPr>
        <w:t xml:space="preserve"> (201</w:t>
      </w:r>
      <w:r w:rsidR="00B872E0" w:rsidRPr="00CE60B2">
        <w:rPr>
          <w:rFonts w:cs="Segoe UI"/>
        </w:rPr>
        <w:t>8</w:t>
      </w:r>
      <w:r w:rsidR="00A07246" w:rsidRPr="00CE60B2">
        <w:rPr>
          <w:rFonts w:cs="Segoe UI"/>
        </w:rPr>
        <w:t>)</w:t>
      </w:r>
      <w:r w:rsidR="00B872E0" w:rsidRPr="00CE60B2">
        <w:rPr>
          <w:rFonts w:cs="Segoe UI"/>
        </w:rPr>
        <w:t xml:space="preserve">. Decision: Fair Work Act 2009, Annual wage review 2017-18. Accessed 30 July 2018 </w:t>
      </w:r>
      <w:hyperlink r:id="rId72" w:history="1">
        <w:r w:rsidR="00B872E0" w:rsidRPr="00CE60B2">
          <w:rPr>
            <w:rStyle w:val="Hyperlink"/>
            <w:rFonts w:cs="Segoe UI"/>
          </w:rPr>
          <w:t>https://www.fwc.gov.au/documents/sites/wagereview2018/decisions/2018fwcfb3500.pdf</w:t>
        </w:r>
      </w:hyperlink>
      <w:r w:rsidR="00B872E0" w:rsidRPr="00CE60B2">
        <w:rPr>
          <w:rFonts w:cs="Segoe UI"/>
        </w:rPr>
        <w:t xml:space="preserve"> </w:t>
      </w:r>
      <w:r w:rsidR="00A07246" w:rsidRPr="00CE60B2">
        <w:rPr>
          <w:rFonts w:cs="Segoe UI"/>
        </w:rPr>
        <w:t xml:space="preserve"> </w:t>
      </w:r>
    </w:p>
    <w:p w14:paraId="26ABE214" w14:textId="77777777" w:rsidR="00F55A2F" w:rsidRPr="00CE60B2" w:rsidRDefault="00F55A2F" w:rsidP="00F55A2F">
      <w:pPr>
        <w:rPr>
          <w:rFonts w:cs="Segoe UI"/>
        </w:rPr>
      </w:pPr>
      <w:r w:rsidRPr="00CE60B2">
        <w:rPr>
          <w:rFonts w:cs="Segoe UI"/>
        </w:rPr>
        <w:t xml:space="preserve">Farrell, C. and Cook, B. </w:t>
      </w:r>
      <w:r w:rsidR="00196B4D">
        <w:rPr>
          <w:rFonts w:cs="Segoe UI"/>
        </w:rPr>
        <w:t>(</w:t>
      </w:r>
      <w:r w:rsidRPr="00CE60B2">
        <w:rPr>
          <w:rFonts w:cs="Segoe UI"/>
        </w:rPr>
        <w:t>2009</w:t>
      </w:r>
      <w:r w:rsidR="00196B4D">
        <w:rPr>
          <w:rFonts w:cs="Segoe UI"/>
        </w:rPr>
        <w:t>)</w:t>
      </w:r>
      <w:r w:rsidRPr="00CE60B2">
        <w:rPr>
          <w:rFonts w:cs="Segoe UI"/>
        </w:rPr>
        <w:t>.  Ecological Character Description of the Muir-Byenup System Ramsar Site South-west Western Australia: Report prepared for the Department of Environment and Conservation, CENRM085. Centre of Excellence in Natural Resource Management, University of Western Australia. September 2009.</w:t>
      </w:r>
    </w:p>
    <w:p w14:paraId="26ABE215" w14:textId="77777777" w:rsidR="00F55A2F" w:rsidRPr="00CE60B2" w:rsidRDefault="00F55A2F" w:rsidP="00F55A2F">
      <w:pPr>
        <w:rPr>
          <w:rFonts w:cs="Segoe UI"/>
          <w:lang w:eastAsia="ja-JP"/>
        </w:rPr>
      </w:pPr>
      <w:r w:rsidRPr="00CE60B2">
        <w:rPr>
          <w:rFonts w:cs="Segoe UI"/>
          <w:lang w:eastAsia="ja-JP"/>
        </w:rPr>
        <w:t>Farr, J.D., Wills, A.J. (2012). Field testing DESIRE®Delta trap and GLS sex pheromone lure system for measuring outbreak and basal populations of Uraba lugens Walker (Lepidopter: Nolidae). Australian Forestry 75: 175-179.</w:t>
      </w:r>
      <w:r w:rsidRPr="00CE60B2">
        <w:rPr>
          <w:rFonts w:cs="Segoe UI"/>
        </w:rPr>
        <w:t xml:space="preserve"> </w:t>
      </w:r>
    </w:p>
    <w:p w14:paraId="26ABE216" w14:textId="77777777" w:rsidR="00492EF0" w:rsidRDefault="00492EF0" w:rsidP="004A08C9">
      <w:pPr>
        <w:rPr>
          <w:rFonts w:cs="Segoe UI"/>
          <w:lang w:eastAsia="ja-JP"/>
        </w:rPr>
      </w:pPr>
      <w:r>
        <w:rPr>
          <w:rFonts w:cs="Segoe UI"/>
          <w:lang w:eastAsia="ja-JP"/>
        </w:rPr>
        <w:t>Forest Products Commission (2016). Softwood Industry Strategy for Western Australia: Six steps for a vibrant, clean and green industry in regional WA. The Government of Western Australia, Perth.</w:t>
      </w:r>
    </w:p>
    <w:p w14:paraId="26ABE217" w14:textId="77777777" w:rsidR="008264DD" w:rsidRPr="00840326" w:rsidRDefault="008264DD" w:rsidP="008264DD">
      <w:pPr>
        <w:spacing w:before="0"/>
      </w:pPr>
      <w:r w:rsidRPr="00840326">
        <w:t xml:space="preserve">Forest Products Commission </w:t>
      </w:r>
      <w:r>
        <w:t xml:space="preserve">(2017). </w:t>
      </w:r>
      <w:r w:rsidRPr="00840326">
        <w:t>Annual Report 2016-2017.</w:t>
      </w:r>
      <w:r w:rsidRPr="00840326">
        <w:rPr>
          <w:rFonts w:cs="Segoe UI"/>
          <w:color w:val="5F5F5F"/>
          <w:szCs w:val="20"/>
          <w:shd w:val="clear" w:color="auto" w:fill="FFFFFF"/>
        </w:rPr>
        <w:t xml:space="preserve"> </w:t>
      </w:r>
      <w:r w:rsidR="00F44385" w:rsidRPr="00840326">
        <w:t xml:space="preserve">Last accessed on 9 October 2018. </w:t>
      </w:r>
      <w:hyperlink r:id="rId73" w:history="1">
        <w:r w:rsidRPr="00840326">
          <w:rPr>
            <w:rStyle w:val="Hyperlink"/>
            <w:rFonts w:cs="Segoe UI"/>
            <w:szCs w:val="20"/>
            <w:shd w:val="clear" w:color="auto" w:fill="FFFFFF"/>
          </w:rPr>
          <w:t>http://fpc.wa.gov.au/annual-report-2016</w:t>
        </w:r>
      </w:hyperlink>
      <w:r w:rsidRPr="00840326">
        <w:rPr>
          <w:rFonts w:cs="Segoe UI"/>
          <w:color w:val="5F5F5F"/>
          <w:szCs w:val="20"/>
          <w:shd w:val="clear" w:color="auto" w:fill="FFFFFF"/>
        </w:rPr>
        <w:t xml:space="preserve"> </w:t>
      </w:r>
    </w:p>
    <w:p w14:paraId="26ABE218" w14:textId="77777777" w:rsidR="008264DD" w:rsidRPr="00840326" w:rsidRDefault="008264DD" w:rsidP="008264DD">
      <w:pPr>
        <w:spacing w:before="0"/>
      </w:pPr>
      <w:r w:rsidRPr="00840326">
        <w:t xml:space="preserve">Forest Products Commission WA </w:t>
      </w:r>
      <w:r>
        <w:t>(</w:t>
      </w:r>
      <w:r w:rsidRPr="00840326">
        <w:t>2015</w:t>
      </w:r>
      <w:r>
        <w:t>)</w:t>
      </w:r>
      <w:r w:rsidRPr="00840326">
        <w:t xml:space="preserve">. Annual Report 2014-15. </w:t>
      </w:r>
      <w:r w:rsidR="00F44385" w:rsidRPr="00840326">
        <w:t>Last accessed on 9 October 2018</w:t>
      </w:r>
      <w:r w:rsidR="00F44385">
        <w:t xml:space="preserve"> </w:t>
      </w:r>
      <w:hyperlink r:id="rId74" w:history="1">
        <w:r w:rsidRPr="00840326">
          <w:rPr>
            <w:rStyle w:val="Hyperlink"/>
          </w:rPr>
          <w:t>http://www.fpc.wa.gov.au/about-us/publications/annual-report-2016/annual-reports</w:t>
        </w:r>
      </w:hyperlink>
      <w:r w:rsidRPr="00840326">
        <w:t xml:space="preserve"> </w:t>
      </w:r>
    </w:p>
    <w:p w14:paraId="26ABE219" w14:textId="77777777" w:rsidR="008264DD" w:rsidRPr="00840326" w:rsidRDefault="008264DD" w:rsidP="008264DD">
      <w:pPr>
        <w:spacing w:before="0"/>
      </w:pPr>
      <w:r w:rsidRPr="00840326">
        <w:t xml:space="preserve">Forest Products Commission </w:t>
      </w:r>
      <w:r>
        <w:t>(</w:t>
      </w:r>
      <w:r w:rsidRPr="00840326">
        <w:t>2013</w:t>
      </w:r>
      <w:r>
        <w:t>)</w:t>
      </w:r>
      <w:r w:rsidRPr="00840326">
        <w:t xml:space="preserve">. Annual Report 2012-13. </w:t>
      </w:r>
      <w:r w:rsidR="00F44385" w:rsidRPr="00840326">
        <w:t>Last accessed on 9 October 2018</w:t>
      </w:r>
      <w:r w:rsidR="00F44385">
        <w:t xml:space="preserve">. </w:t>
      </w:r>
      <w:hyperlink r:id="rId75" w:history="1">
        <w:r w:rsidRPr="00840326">
          <w:rPr>
            <w:rStyle w:val="Hyperlink"/>
          </w:rPr>
          <w:t>http://www.fpc.wa.gov.au/about-us/publications/annual-report-2016/annual-reports</w:t>
        </w:r>
      </w:hyperlink>
      <w:r w:rsidRPr="00840326">
        <w:t xml:space="preserve"> </w:t>
      </w:r>
    </w:p>
    <w:p w14:paraId="26ABE21A" w14:textId="77777777" w:rsidR="008264DD" w:rsidRPr="00840326" w:rsidRDefault="008264DD" w:rsidP="008264DD">
      <w:pPr>
        <w:spacing w:before="0"/>
      </w:pPr>
      <w:r w:rsidRPr="00840326">
        <w:t>F</w:t>
      </w:r>
      <w:r>
        <w:t>orest Products Commission (</w:t>
      </w:r>
      <w:r w:rsidRPr="00840326">
        <w:t>2010</w:t>
      </w:r>
      <w:r>
        <w:t>)</w:t>
      </w:r>
      <w:r w:rsidRPr="00840326">
        <w:t xml:space="preserve">. Annual Report 2009-1010. </w:t>
      </w:r>
      <w:r w:rsidR="00F44385" w:rsidRPr="00840326">
        <w:t>Last accessed on 9 October 2018</w:t>
      </w:r>
      <w:r w:rsidR="00F44385">
        <w:t xml:space="preserve">. </w:t>
      </w:r>
      <w:hyperlink r:id="rId76" w:history="1">
        <w:r w:rsidRPr="00840326">
          <w:rPr>
            <w:rStyle w:val="Hyperlink"/>
          </w:rPr>
          <w:t>http://www.fpc.wa.gov.au/about-us/publications/annual-report-2016/annual-reports</w:t>
        </w:r>
      </w:hyperlink>
      <w:r w:rsidRPr="00840326">
        <w:t xml:space="preserve"> </w:t>
      </w:r>
    </w:p>
    <w:p w14:paraId="26ABE21B" w14:textId="77777777" w:rsidR="008264DD" w:rsidRPr="00840326" w:rsidRDefault="008264DD" w:rsidP="008264DD">
      <w:pPr>
        <w:spacing w:before="0"/>
      </w:pPr>
      <w:r w:rsidRPr="00840326">
        <w:t>F</w:t>
      </w:r>
      <w:r>
        <w:t>orest Products Commission (</w:t>
      </w:r>
      <w:r w:rsidRPr="00840326">
        <w:t>2007</w:t>
      </w:r>
      <w:r>
        <w:t>)</w:t>
      </w:r>
      <w:r w:rsidRPr="00840326">
        <w:t xml:space="preserve">. Annual Report 2006/07. </w:t>
      </w:r>
      <w:r w:rsidR="00F44385" w:rsidRPr="00840326">
        <w:t>Last accessed on 9 October 2018</w:t>
      </w:r>
      <w:r w:rsidR="00F44385">
        <w:t xml:space="preserve"> </w:t>
      </w:r>
      <w:hyperlink r:id="rId77" w:history="1">
        <w:r w:rsidRPr="00840326">
          <w:rPr>
            <w:rStyle w:val="Hyperlink"/>
          </w:rPr>
          <w:t>http://www.fpc.wa.gov.au/about-us/publications/annual-report-2016/annual-reports</w:t>
        </w:r>
      </w:hyperlink>
      <w:r w:rsidRPr="00840326">
        <w:t xml:space="preserve"> </w:t>
      </w:r>
    </w:p>
    <w:p w14:paraId="26ABE21C" w14:textId="77777777" w:rsidR="008264DD" w:rsidRPr="00840326" w:rsidRDefault="008264DD" w:rsidP="008264DD">
      <w:pPr>
        <w:spacing w:before="0"/>
      </w:pPr>
      <w:r w:rsidRPr="00840326">
        <w:t>F</w:t>
      </w:r>
      <w:r>
        <w:t>orest Products Commission (</w:t>
      </w:r>
      <w:r w:rsidRPr="00840326">
        <w:t>2006</w:t>
      </w:r>
      <w:r>
        <w:t>)</w:t>
      </w:r>
      <w:r w:rsidRPr="00840326">
        <w:t xml:space="preserve">. Annual Report 2005/06. </w:t>
      </w:r>
      <w:r w:rsidR="00F44385" w:rsidRPr="00840326">
        <w:t>Last accessed on 9 October 2018</w:t>
      </w:r>
      <w:r w:rsidR="00F44385">
        <w:t xml:space="preserve"> </w:t>
      </w:r>
      <w:hyperlink r:id="rId78" w:history="1">
        <w:r w:rsidRPr="00840326">
          <w:rPr>
            <w:rStyle w:val="Hyperlink"/>
          </w:rPr>
          <w:t>http://www.fpc.wa.gov.au/about-us/publications/annual-report-2016/annual-reports</w:t>
        </w:r>
      </w:hyperlink>
      <w:r w:rsidRPr="00840326">
        <w:t xml:space="preserve"> </w:t>
      </w:r>
    </w:p>
    <w:p w14:paraId="26ABE21D" w14:textId="77777777" w:rsidR="008264DD" w:rsidRPr="00840326" w:rsidRDefault="008264DD" w:rsidP="008264DD">
      <w:pPr>
        <w:spacing w:before="0"/>
      </w:pPr>
      <w:r w:rsidRPr="00840326">
        <w:t>F</w:t>
      </w:r>
      <w:r>
        <w:t>orest Products Commission (</w:t>
      </w:r>
      <w:r w:rsidRPr="00840326">
        <w:t>2005</w:t>
      </w:r>
      <w:r>
        <w:t>)</w:t>
      </w:r>
      <w:r w:rsidRPr="00840326">
        <w:t xml:space="preserve">. Annual Report 2004-05. </w:t>
      </w:r>
      <w:r w:rsidR="00F44385" w:rsidRPr="00840326">
        <w:t>Last accessed on 9 October 2018</w:t>
      </w:r>
      <w:r w:rsidR="00F44385">
        <w:t xml:space="preserve"> </w:t>
      </w:r>
      <w:hyperlink r:id="rId79" w:history="1">
        <w:r w:rsidRPr="00840326">
          <w:rPr>
            <w:rStyle w:val="Hyperlink"/>
          </w:rPr>
          <w:t>http://www.fpc.wa.gov.au/about-us/publications/annual-report-2016/annual-reports</w:t>
        </w:r>
      </w:hyperlink>
      <w:r w:rsidRPr="00840326">
        <w:t xml:space="preserve"> </w:t>
      </w:r>
    </w:p>
    <w:p w14:paraId="26ABE21E" w14:textId="77777777" w:rsidR="008264DD" w:rsidRPr="00840326" w:rsidRDefault="008264DD" w:rsidP="008264DD">
      <w:pPr>
        <w:spacing w:before="0"/>
      </w:pPr>
      <w:r w:rsidRPr="00840326">
        <w:t>F</w:t>
      </w:r>
      <w:r>
        <w:t>orest Products Commission</w:t>
      </w:r>
      <w:r w:rsidRPr="00840326">
        <w:t xml:space="preserve"> </w:t>
      </w:r>
      <w:r>
        <w:t>(</w:t>
      </w:r>
      <w:r w:rsidRPr="00840326">
        <w:t>2004</w:t>
      </w:r>
      <w:r>
        <w:t>)</w:t>
      </w:r>
      <w:r w:rsidRPr="00840326">
        <w:t xml:space="preserve">. Annual Report 2003-04. </w:t>
      </w:r>
      <w:r w:rsidR="00F44385" w:rsidRPr="00840326">
        <w:t>Last accessed on 9 October 2018</w:t>
      </w:r>
      <w:r w:rsidR="00F44385">
        <w:t xml:space="preserve">. </w:t>
      </w:r>
      <w:hyperlink r:id="rId80" w:history="1">
        <w:r w:rsidRPr="00840326">
          <w:rPr>
            <w:rStyle w:val="Hyperlink"/>
          </w:rPr>
          <w:t>http://www.fpc.wa.gov.au/about-us/publications/annual-report-2016/annual-reports</w:t>
        </w:r>
      </w:hyperlink>
      <w:r w:rsidRPr="00840326">
        <w:t xml:space="preserve"> </w:t>
      </w:r>
    </w:p>
    <w:p w14:paraId="26ABE21F" w14:textId="77777777" w:rsidR="008264DD" w:rsidRPr="00840326" w:rsidRDefault="008264DD" w:rsidP="008264DD">
      <w:pPr>
        <w:spacing w:before="0"/>
      </w:pPr>
      <w:r w:rsidRPr="00840326">
        <w:lastRenderedPageBreak/>
        <w:t>F</w:t>
      </w:r>
      <w:r>
        <w:t>orest Products Commission (</w:t>
      </w:r>
      <w:r w:rsidRPr="00840326">
        <w:t>2003</w:t>
      </w:r>
      <w:r>
        <w:t>)</w:t>
      </w:r>
      <w:r w:rsidRPr="00840326">
        <w:t xml:space="preserve">. Annual Report 2002-03. </w:t>
      </w:r>
      <w:r w:rsidR="00F44385" w:rsidRPr="00840326">
        <w:t>Last accessed on 9 October 2018</w:t>
      </w:r>
      <w:r w:rsidR="00F44385">
        <w:t xml:space="preserve"> </w:t>
      </w:r>
      <w:hyperlink r:id="rId81" w:history="1">
        <w:r w:rsidRPr="00840326">
          <w:rPr>
            <w:rStyle w:val="Hyperlink"/>
          </w:rPr>
          <w:t>http://www.fpc.wa.gov.au/about-us/publications/annual-report-2016/annual-reports</w:t>
        </w:r>
      </w:hyperlink>
      <w:r w:rsidRPr="00840326">
        <w:t xml:space="preserve"> </w:t>
      </w:r>
    </w:p>
    <w:p w14:paraId="26ABE220" w14:textId="77777777" w:rsidR="00A4042B" w:rsidRPr="00CE60B2" w:rsidRDefault="00A4042B" w:rsidP="004A08C9">
      <w:pPr>
        <w:rPr>
          <w:rFonts w:cs="Segoe UI"/>
          <w:lang w:eastAsia="ja-JP"/>
        </w:rPr>
      </w:pPr>
      <w:r w:rsidRPr="00CE60B2">
        <w:rPr>
          <w:rFonts w:cs="Segoe UI"/>
          <w:lang w:eastAsia="ja-JP"/>
        </w:rPr>
        <w:t xml:space="preserve">Forest Stewardship Council (2018). FSC Forest Management Standard: Finding Solutions to Global Problems. Accessed 31 July 2018 </w:t>
      </w:r>
      <w:hyperlink r:id="rId82" w:history="1">
        <w:r w:rsidRPr="00CE60B2">
          <w:rPr>
            <w:rStyle w:val="Hyperlink"/>
            <w:rFonts w:cs="Segoe UI"/>
            <w:lang w:eastAsia="ja-JP"/>
          </w:rPr>
          <w:t>https://au.fsc.org/en-au/standards/forest-management</w:t>
        </w:r>
      </w:hyperlink>
      <w:r w:rsidRPr="00CE60B2">
        <w:rPr>
          <w:rFonts w:cs="Segoe UI"/>
          <w:lang w:eastAsia="ja-JP"/>
        </w:rPr>
        <w:t xml:space="preserve"> </w:t>
      </w:r>
    </w:p>
    <w:p w14:paraId="26ABE221" w14:textId="77777777" w:rsidR="004A08C9" w:rsidRPr="00CE60B2" w:rsidRDefault="004A08C9" w:rsidP="004A08C9">
      <w:pPr>
        <w:rPr>
          <w:rFonts w:cs="Segoe UI"/>
          <w:lang w:eastAsia="ja-JP"/>
        </w:rPr>
      </w:pPr>
      <w:r w:rsidRPr="00CE60B2">
        <w:rPr>
          <w:rFonts w:cs="Segoe UI"/>
          <w:lang w:eastAsia="ja-JP"/>
        </w:rPr>
        <w:t xml:space="preserve">FWPA </w:t>
      </w:r>
      <w:r w:rsidR="00721436" w:rsidRPr="00CE60B2">
        <w:rPr>
          <w:rFonts w:cs="Segoe UI"/>
          <w:lang w:eastAsia="ja-JP"/>
        </w:rPr>
        <w:t>(</w:t>
      </w:r>
      <w:r w:rsidRPr="00CE60B2">
        <w:rPr>
          <w:rFonts w:cs="Segoe UI"/>
          <w:lang w:eastAsia="ja-JP"/>
        </w:rPr>
        <w:t>2008</w:t>
      </w:r>
      <w:r w:rsidR="00721436" w:rsidRPr="00CE60B2">
        <w:rPr>
          <w:rFonts w:cs="Segoe UI"/>
          <w:lang w:eastAsia="ja-JP"/>
        </w:rPr>
        <w:t>)</w:t>
      </w:r>
      <w:r w:rsidRPr="00CE60B2">
        <w:rPr>
          <w:rFonts w:cs="Segoe UI"/>
          <w:lang w:eastAsia="ja-JP"/>
        </w:rPr>
        <w:t xml:space="preserve">. Wood recovery and recycling: A source book for Australia. Report prepared by J. Taylor and M. Warnken. Project No: PNA017-0708. </w:t>
      </w:r>
      <w:hyperlink r:id="rId83" w:history="1">
        <w:r w:rsidRPr="00CE60B2">
          <w:rPr>
            <w:rStyle w:val="Hyperlink"/>
            <w:rFonts w:cs="Segoe UI"/>
            <w:lang w:eastAsia="ja-JP"/>
          </w:rPr>
          <w:t>www.fwpa.com.au/images/marketaccess/PNA017-0708_Wood_Recycling_0.pdf</w:t>
        </w:r>
      </w:hyperlink>
      <w:r w:rsidRPr="00CE60B2">
        <w:rPr>
          <w:rFonts w:cs="Segoe UI"/>
          <w:lang w:eastAsia="ja-JP"/>
        </w:rPr>
        <w:t xml:space="preserve">. </w:t>
      </w:r>
    </w:p>
    <w:p w14:paraId="26ABE222" w14:textId="77777777" w:rsidR="004A08C9" w:rsidRPr="00CE60B2" w:rsidRDefault="004A08C9" w:rsidP="004A08C9">
      <w:pPr>
        <w:autoSpaceDE w:val="0"/>
        <w:autoSpaceDN w:val="0"/>
        <w:adjustRightInd w:val="0"/>
        <w:spacing w:before="0"/>
        <w:rPr>
          <w:rFonts w:cs="Segoe UI"/>
          <w:color w:val="000000" w:themeColor="text1"/>
        </w:rPr>
      </w:pPr>
      <w:r w:rsidRPr="00CE60B2">
        <w:rPr>
          <w:rFonts w:cs="Segoe UI"/>
          <w:color w:val="000000" w:themeColor="text1"/>
        </w:rPr>
        <w:t xml:space="preserve">Gavran, M. Frakes, I. Davey, S. Mahendrarajah, S. </w:t>
      </w:r>
      <w:r w:rsidR="00721436" w:rsidRPr="00CE60B2">
        <w:rPr>
          <w:rFonts w:cs="Segoe UI"/>
          <w:color w:val="000000" w:themeColor="text1"/>
        </w:rPr>
        <w:t>(</w:t>
      </w:r>
      <w:r w:rsidRPr="00CE60B2">
        <w:rPr>
          <w:rFonts w:cs="Segoe UI"/>
          <w:color w:val="000000" w:themeColor="text1"/>
        </w:rPr>
        <w:t>2012</w:t>
      </w:r>
      <w:r w:rsidR="00721436" w:rsidRPr="00CE60B2">
        <w:rPr>
          <w:rFonts w:cs="Segoe UI"/>
          <w:color w:val="000000" w:themeColor="text1"/>
        </w:rPr>
        <w:t>)</w:t>
      </w:r>
      <w:r w:rsidRPr="00CE60B2">
        <w:rPr>
          <w:rFonts w:cs="Segoe UI"/>
          <w:color w:val="000000" w:themeColor="text1"/>
        </w:rPr>
        <w:t xml:space="preserve">. Australia’s plantation log supply 2010–2054 ABARES </w:t>
      </w:r>
    </w:p>
    <w:p w14:paraId="26ABE223" w14:textId="77777777" w:rsidR="004A08C9" w:rsidRPr="00CE60B2" w:rsidRDefault="004A08C9" w:rsidP="004A08C9">
      <w:pPr>
        <w:autoSpaceDE w:val="0"/>
        <w:autoSpaceDN w:val="0"/>
        <w:adjustRightInd w:val="0"/>
        <w:spacing w:before="0"/>
        <w:rPr>
          <w:rFonts w:cs="Segoe UI"/>
          <w:color w:val="000000" w:themeColor="text1"/>
        </w:rPr>
      </w:pPr>
      <w:r w:rsidRPr="00CE60B2">
        <w:rPr>
          <w:rFonts w:cs="Segoe UI"/>
          <w:color w:val="000000" w:themeColor="text1"/>
        </w:rPr>
        <w:t xml:space="preserve">Gavran, M. Parsons, M. </w:t>
      </w:r>
      <w:r w:rsidR="00721436" w:rsidRPr="00CE60B2">
        <w:rPr>
          <w:rFonts w:cs="Segoe UI"/>
          <w:color w:val="000000" w:themeColor="text1"/>
        </w:rPr>
        <w:t>(</w:t>
      </w:r>
      <w:r w:rsidRPr="00CE60B2">
        <w:rPr>
          <w:rFonts w:cs="Segoe UI"/>
          <w:color w:val="000000" w:themeColor="text1"/>
        </w:rPr>
        <w:t>2011</w:t>
      </w:r>
      <w:r w:rsidR="00721436" w:rsidRPr="00CE60B2">
        <w:rPr>
          <w:rFonts w:cs="Segoe UI"/>
          <w:color w:val="000000" w:themeColor="text1"/>
        </w:rPr>
        <w:t>)</w:t>
      </w:r>
      <w:r w:rsidRPr="00CE60B2">
        <w:rPr>
          <w:rFonts w:cs="Segoe UI"/>
          <w:color w:val="000000" w:themeColor="text1"/>
        </w:rPr>
        <w:t>. Australian plantation statistics 2011. ABARES</w:t>
      </w:r>
    </w:p>
    <w:p w14:paraId="26ABE224" w14:textId="77777777" w:rsidR="00F55A2F" w:rsidRPr="00CE60B2" w:rsidRDefault="00F55A2F" w:rsidP="00F55A2F">
      <w:pPr>
        <w:rPr>
          <w:rFonts w:cs="Segoe UI"/>
        </w:rPr>
      </w:pPr>
      <w:r w:rsidRPr="00CE60B2">
        <w:rPr>
          <w:rFonts w:cs="Segoe UI"/>
        </w:rPr>
        <w:t xml:space="preserve">Gibson, N., and Keighery, G.J. </w:t>
      </w:r>
      <w:r w:rsidR="00196B4D">
        <w:rPr>
          <w:rFonts w:cs="Segoe UI"/>
        </w:rPr>
        <w:t>(</w:t>
      </w:r>
      <w:r w:rsidRPr="00CE60B2">
        <w:rPr>
          <w:rFonts w:cs="Segoe UI"/>
        </w:rPr>
        <w:t>1999</w:t>
      </w:r>
      <w:r w:rsidR="00196B4D">
        <w:rPr>
          <w:rFonts w:cs="Segoe UI"/>
        </w:rPr>
        <w:t>)</w:t>
      </w:r>
      <w:r w:rsidRPr="00CE60B2">
        <w:rPr>
          <w:rFonts w:cs="Segoe UI"/>
        </w:rPr>
        <w:t>. Assessment of the nature conservation values of the Byenup-Muir peat swamp system, south western Australia: flora and vegetation. Unpublished report for Environment Australia prepared by the WA Department of Conservation &amp; Land Management.</w:t>
      </w:r>
    </w:p>
    <w:p w14:paraId="26ABE225" w14:textId="77777777" w:rsidR="00F34A55" w:rsidRDefault="00F34A55" w:rsidP="00C423D1">
      <w:pPr>
        <w:rPr>
          <w:rFonts w:cs="Segoe UI"/>
          <w:lang w:eastAsia="ja-JP"/>
        </w:rPr>
      </w:pPr>
      <w:r>
        <w:rPr>
          <w:rFonts w:cs="Segoe UI"/>
          <w:lang w:eastAsia="ja-JP"/>
        </w:rPr>
        <w:t>Government of Western Australia (2000). The Salinity Strategy. Natural Resource Management in Western Australia, March 2000, Perth.</w:t>
      </w:r>
    </w:p>
    <w:p w14:paraId="26ABE226" w14:textId="77777777" w:rsidR="00C423D1" w:rsidRPr="00CE60B2" w:rsidRDefault="00C423D1" w:rsidP="00C423D1">
      <w:pPr>
        <w:rPr>
          <w:rFonts w:cs="Segoe UI"/>
          <w:lang w:eastAsia="ja-JP"/>
        </w:rPr>
      </w:pPr>
      <w:r w:rsidRPr="00CE60B2">
        <w:rPr>
          <w:rFonts w:cs="Segoe UI"/>
          <w:lang w:eastAsia="ja-JP"/>
        </w:rPr>
        <w:t>Government of Western Australia (1997) Wetlands Conservation Policy for Western Australia. Perth, Western Australia.</w:t>
      </w:r>
    </w:p>
    <w:p w14:paraId="26ABE227" w14:textId="77777777" w:rsidR="00A4042B" w:rsidRPr="00CE60B2" w:rsidRDefault="00A4042B" w:rsidP="00143EA9">
      <w:pPr>
        <w:rPr>
          <w:rFonts w:cs="Segoe UI"/>
          <w:lang w:eastAsia="ja-JP"/>
        </w:rPr>
      </w:pPr>
      <w:r w:rsidRPr="00CE60B2">
        <w:rPr>
          <w:rFonts w:cs="Segoe UI"/>
          <w:lang w:eastAsia="ja-JP"/>
        </w:rPr>
        <w:t>Holvert B, Muys B. (2004). Sustainable forest management worldwide: a comparative assessment of standards. International Forestry Review 6: 99–122</w:t>
      </w:r>
    </w:p>
    <w:p w14:paraId="26ABE228" w14:textId="77777777" w:rsidR="00143EA9" w:rsidRPr="00CE60B2" w:rsidRDefault="00721436" w:rsidP="00143EA9">
      <w:pPr>
        <w:rPr>
          <w:rFonts w:cs="Segoe UI"/>
          <w:lang w:eastAsia="ja-JP"/>
        </w:rPr>
      </w:pPr>
      <w:r w:rsidRPr="00CE60B2">
        <w:rPr>
          <w:rFonts w:cs="Segoe UI"/>
          <w:lang w:eastAsia="ja-JP"/>
        </w:rPr>
        <w:t>Hyder Consulting</w:t>
      </w:r>
      <w:r w:rsidR="00143EA9" w:rsidRPr="00CE60B2">
        <w:rPr>
          <w:rFonts w:cs="Segoe UI"/>
          <w:lang w:eastAsia="ja-JP"/>
        </w:rPr>
        <w:t xml:space="preserve"> </w:t>
      </w:r>
      <w:r w:rsidRPr="00CE60B2">
        <w:rPr>
          <w:rFonts w:cs="Segoe UI"/>
          <w:lang w:eastAsia="ja-JP"/>
        </w:rPr>
        <w:t>(</w:t>
      </w:r>
      <w:r w:rsidR="00143EA9" w:rsidRPr="00CE60B2">
        <w:rPr>
          <w:rFonts w:cs="Segoe UI"/>
          <w:lang w:eastAsia="ja-JP"/>
        </w:rPr>
        <w:t>2011</w:t>
      </w:r>
      <w:r w:rsidRPr="00CE60B2">
        <w:rPr>
          <w:rFonts w:cs="Segoe UI"/>
          <w:lang w:eastAsia="ja-JP"/>
        </w:rPr>
        <w:t>)</w:t>
      </w:r>
      <w:r w:rsidR="00143EA9" w:rsidRPr="00CE60B2">
        <w:rPr>
          <w:rFonts w:cs="Segoe UI"/>
          <w:lang w:eastAsia="ja-JP"/>
        </w:rPr>
        <w:t xml:space="preserve">. Construction and demolition waste status report. Management of construction and demolition waste in Australia. Report prepared for the Department of Sustainability, Environment, Water, Population and Communities and Queensland Department of Environment and Resource Management. Hyder Consulting, Encycle Consulting &amp; Sustainable Resource. </w:t>
      </w:r>
      <w:hyperlink r:id="rId84" w:history="1">
        <w:r w:rsidR="00143EA9" w:rsidRPr="00CE60B2">
          <w:rPr>
            <w:rStyle w:val="Hyperlink"/>
            <w:rFonts w:cs="Segoe UI"/>
            <w:lang w:eastAsia="ja-JP"/>
          </w:rPr>
          <w:t>www.environment.gov.au/system/files/resources/323e8f22-1a8a-4245-a09c-006644d3bd51/files/construction-waste.pdf</w:t>
        </w:r>
      </w:hyperlink>
      <w:r w:rsidR="00143EA9" w:rsidRPr="00CE60B2">
        <w:rPr>
          <w:rFonts w:cs="Segoe UI"/>
          <w:lang w:eastAsia="ja-JP"/>
        </w:rPr>
        <w:t xml:space="preserve"> </w:t>
      </w:r>
    </w:p>
    <w:p w14:paraId="26ABE229" w14:textId="77777777" w:rsidR="00B27B20" w:rsidRPr="00CE60B2" w:rsidRDefault="00B27B20" w:rsidP="00B27B20">
      <w:pPr>
        <w:rPr>
          <w:rFonts w:cs="Segoe UI"/>
        </w:rPr>
      </w:pPr>
      <w:r w:rsidRPr="00CE60B2">
        <w:rPr>
          <w:rFonts w:cs="Segoe UI"/>
        </w:rPr>
        <w:t>IPCC (Intergovernmental Panel on Climate Change) (2006). Waste. In Guidelines for National Greenhouse Gas Inventories; Eggleston, S., Buendia, L., Miwa, K., Ngara, T., Tanabe K., Eds.; Institute for Global Environmental Strategies: Hayama, Japan, 2006; Volume 5, pp. 3.13–3.15. Available online: http://www.ipcc-nggip.iges.or.jp/public/2006gl/vol5.html</w:t>
      </w:r>
    </w:p>
    <w:p w14:paraId="26ABE22A" w14:textId="77777777" w:rsidR="00B27B20" w:rsidRPr="00CE60B2" w:rsidRDefault="00B27B20" w:rsidP="00B27B20">
      <w:pPr>
        <w:rPr>
          <w:rFonts w:cs="Segoe UI"/>
        </w:rPr>
      </w:pPr>
      <w:r w:rsidRPr="00CE60B2">
        <w:rPr>
          <w:rFonts w:cs="Segoe UI"/>
        </w:rPr>
        <w:t xml:space="preserve">Keith, H.; Lindenmayer, D.; Macintosh, A.; Mackey, B. (2015). Under what circumstances do wood products from native forests benefit climate change mitigation? PLoS ONE 2015, 10, e0139640. </w:t>
      </w:r>
    </w:p>
    <w:p w14:paraId="26ABE22B" w14:textId="77777777" w:rsidR="002E3DDA" w:rsidRDefault="002E3DDA" w:rsidP="002E3DDA">
      <w:pPr>
        <w:rPr>
          <w:rFonts w:cs="Segoe UI"/>
        </w:rPr>
      </w:pPr>
      <w:r w:rsidRPr="00CE60B2">
        <w:rPr>
          <w:rFonts w:cs="Segoe UI"/>
        </w:rPr>
        <w:t xml:space="preserve">Kile, G.A., Nambier, E.K.S. &amp; Brown, A.G. (2014). The rise and fall of research and development for the forest industry in Australia. Australian Forestry 77: 142-152. </w:t>
      </w:r>
    </w:p>
    <w:p w14:paraId="26ABE22C" w14:textId="77777777" w:rsidR="00C83998" w:rsidRDefault="00C83998" w:rsidP="002E3DDA">
      <w:pPr>
        <w:rPr>
          <w:rFonts w:cs="Segoe UI"/>
        </w:rPr>
      </w:pPr>
      <w:r>
        <w:rPr>
          <w:rFonts w:cs="Segoe UI"/>
        </w:rPr>
        <w:t>Lesslie, R. Maslen, M. (1995). National Wilderness Inventory Handbook of Principles Procedures and Usage (2</w:t>
      </w:r>
      <w:r w:rsidRPr="00C83998">
        <w:rPr>
          <w:rFonts w:cs="Segoe UI"/>
          <w:vertAlign w:val="superscript"/>
        </w:rPr>
        <w:t>nd</w:t>
      </w:r>
      <w:r>
        <w:rPr>
          <w:rFonts w:cs="Segoe UI"/>
        </w:rPr>
        <w:t xml:space="preserve"> Ed.). Australian Heritage Commission, Canberra.</w:t>
      </w:r>
    </w:p>
    <w:p w14:paraId="26ABE22D" w14:textId="77777777" w:rsidR="00543571" w:rsidRDefault="007D6E1C" w:rsidP="00143EA9">
      <w:pPr>
        <w:rPr>
          <w:rFonts w:cs="Segoe UI"/>
        </w:rPr>
      </w:pPr>
      <w:r w:rsidRPr="00C569E4">
        <w:rPr>
          <w:rFonts w:eastAsia="Gill Sans MT" w:cs="Majalla UI"/>
        </w:rPr>
        <w:t>Mount A. B. (1972) The derivation and testing of a soil dryness index using run-off data. Bulletin No. 4 Tasmania Forestry Commission.</w:t>
      </w:r>
    </w:p>
    <w:p w14:paraId="26ABE22E" w14:textId="77777777" w:rsidR="00432F09" w:rsidRDefault="00432F09" w:rsidP="00143EA9">
      <w:pPr>
        <w:rPr>
          <w:rFonts w:cs="Segoe UI"/>
          <w:lang w:eastAsia="ja-JP"/>
        </w:rPr>
      </w:pPr>
      <w:r w:rsidRPr="00432F09">
        <w:rPr>
          <w:rFonts w:cs="Segoe UI"/>
          <w:lang w:eastAsia="ja-JP"/>
        </w:rPr>
        <w:lastRenderedPageBreak/>
        <w:t xml:space="preserve">National Timber Product Stewardship Group (NTPSG) </w:t>
      </w:r>
      <w:r w:rsidR="00151CC9">
        <w:rPr>
          <w:rFonts w:cs="Segoe UI"/>
          <w:lang w:eastAsia="ja-JP"/>
        </w:rPr>
        <w:t>(</w:t>
      </w:r>
      <w:r w:rsidRPr="00432F09">
        <w:rPr>
          <w:rFonts w:cs="Segoe UI"/>
          <w:lang w:eastAsia="ja-JP"/>
        </w:rPr>
        <w:t>2008</w:t>
      </w:r>
      <w:r w:rsidR="00151CC9">
        <w:rPr>
          <w:rFonts w:cs="Segoe UI"/>
          <w:lang w:eastAsia="ja-JP"/>
        </w:rPr>
        <w:t>)</w:t>
      </w:r>
      <w:r w:rsidRPr="00432F09">
        <w:rPr>
          <w:rFonts w:cs="Segoe UI"/>
          <w:lang w:eastAsia="ja-JP"/>
        </w:rPr>
        <w:t>. Post-consumer Timber Recovery Data 2006-07, accessed 23 October 2018 www.timberstewardship.org.au/images/pdf_documents/2006_07_wood_recovery_data.pdf.</w:t>
      </w:r>
    </w:p>
    <w:p w14:paraId="26ABE22F" w14:textId="77777777" w:rsidR="007A3BF4" w:rsidRDefault="00AD0AB7" w:rsidP="00143EA9">
      <w:pPr>
        <w:rPr>
          <w:rFonts w:cs="Segoe UI"/>
          <w:lang w:eastAsia="ja-JP"/>
        </w:rPr>
      </w:pPr>
      <w:r>
        <w:rPr>
          <w:rFonts w:cs="Segoe UI"/>
          <w:lang w:eastAsia="ja-JP"/>
        </w:rPr>
        <w:t>Natura</w:t>
      </w:r>
      <w:r w:rsidR="007A3BF4">
        <w:rPr>
          <w:rFonts w:cs="Segoe UI"/>
          <w:lang w:eastAsia="ja-JP"/>
        </w:rPr>
        <w:t>l Resource Management Ministerial Council (2010). Australia’s Biodiversity Conservation Strategy 2010-2030. Australian Government, Department of Sustainability, Environment, Water, Population and Communities, Canberra.</w:t>
      </w:r>
    </w:p>
    <w:p w14:paraId="26ABE230" w14:textId="77777777" w:rsidR="00143EA9" w:rsidRPr="00CE60B2" w:rsidRDefault="00721436" w:rsidP="00143EA9">
      <w:pPr>
        <w:rPr>
          <w:rFonts w:cs="Segoe UI"/>
          <w:lang w:eastAsia="ja-JP"/>
        </w:rPr>
      </w:pPr>
      <w:r w:rsidRPr="00CE60B2">
        <w:rPr>
          <w:rFonts w:cs="Segoe UI"/>
          <w:lang w:eastAsia="ja-JP"/>
        </w:rPr>
        <w:t>NTPSG (</w:t>
      </w:r>
      <w:r w:rsidR="00143EA9" w:rsidRPr="00CE60B2">
        <w:rPr>
          <w:rFonts w:cs="Segoe UI"/>
          <w:lang w:eastAsia="ja-JP"/>
        </w:rPr>
        <w:t xml:space="preserve">National Timber Product Stewardship Group) </w:t>
      </w:r>
      <w:r w:rsidRPr="00CE60B2">
        <w:rPr>
          <w:rFonts w:cs="Segoe UI"/>
          <w:lang w:eastAsia="ja-JP"/>
        </w:rPr>
        <w:t>(</w:t>
      </w:r>
      <w:r w:rsidR="00143EA9" w:rsidRPr="00CE60B2">
        <w:rPr>
          <w:rFonts w:cs="Segoe UI"/>
          <w:lang w:eastAsia="ja-JP"/>
        </w:rPr>
        <w:t>2007</w:t>
      </w:r>
      <w:r w:rsidRPr="00CE60B2">
        <w:rPr>
          <w:rFonts w:cs="Segoe UI"/>
          <w:lang w:eastAsia="ja-JP"/>
        </w:rPr>
        <w:t>)</w:t>
      </w:r>
      <w:r w:rsidR="00143EA9" w:rsidRPr="00CE60B2">
        <w:rPr>
          <w:rFonts w:cs="Segoe UI"/>
          <w:lang w:eastAsia="ja-JP"/>
        </w:rPr>
        <w:t xml:space="preserve">. Timber – More Life.  A product stewardship strategy for post-consumer timber and wood products. </w:t>
      </w:r>
      <w:hyperlink r:id="rId85" w:history="1">
        <w:r w:rsidR="00143EA9" w:rsidRPr="00CE60B2">
          <w:rPr>
            <w:rStyle w:val="Hyperlink"/>
            <w:rFonts w:cs="Segoe UI"/>
            <w:lang w:eastAsia="ja-JP"/>
          </w:rPr>
          <w:t>http://www.timberstewardship.org.au/images/pdf_documents/tml_strategy_final.pdf</w:t>
        </w:r>
      </w:hyperlink>
      <w:r w:rsidR="00143EA9" w:rsidRPr="00CE60B2">
        <w:rPr>
          <w:rFonts w:cs="Segoe UI"/>
          <w:lang w:eastAsia="ja-JP"/>
        </w:rPr>
        <w:t xml:space="preserve">. </w:t>
      </w:r>
    </w:p>
    <w:p w14:paraId="26ABE231" w14:textId="77777777" w:rsidR="00143EA9" w:rsidRPr="00CE60B2" w:rsidRDefault="00143EA9" w:rsidP="00143EA9">
      <w:pPr>
        <w:rPr>
          <w:rFonts w:cs="Segoe UI"/>
          <w:lang w:eastAsia="ja-JP"/>
        </w:rPr>
      </w:pPr>
      <w:r w:rsidRPr="00CE60B2">
        <w:rPr>
          <w:rFonts w:cs="Segoe UI"/>
          <w:lang w:eastAsia="ja-JP"/>
        </w:rPr>
        <w:t xml:space="preserve">NTPSG (National Timber Product Stewardship Group) </w:t>
      </w:r>
      <w:r w:rsidR="00721436" w:rsidRPr="00CE60B2">
        <w:rPr>
          <w:rFonts w:cs="Segoe UI"/>
          <w:lang w:eastAsia="ja-JP"/>
        </w:rPr>
        <w:t>(</w:t>
      </w:r>
      <w:r w:rsidRPr="00CE60B2">
        <w:rPr>
          <w:rFonts w:cs="Segoe UI"/>
          <w:lang w:eastAsia="ja-JP"/>
        </w:rPr>
        <w:t>2007a</w:t>
      </w:r>
      <w:r w:rsidR="00721436" w:rsidRPr="00CE60B2">
        <w:rPr>
          <w:rFonts w:cs="Segoe UI"/>
          <w:lang w:eastAsia="ja-JP"/>
        </w:rPr>
        <w:t>)</w:t>
      </w:r>
      <w:r w:rsidRPr="00CE60B2">
        <w:rPr>
          <w:rFonts w:cs="Segoe UI"/>
          <w:lang w:eastAsia="ja-JP"/>
        </w:rPr>
        <w:t xml:space="preserve">. Development of an extended producer responsibility strategy for waste timber. Final Project Report. December 2007. </w:t>
      </w:r>
      <w:hyperlink r:id="rId86" w:history="1">
        <w:r w:rsidRPr="00CE60B2">
          <w:rPr>
            <w:rStyle w:val="Hyperlink"/>
            <w:rFonts w:cs="Segoe UI"/>
            <w:lang w:eastAsia="ja-JP"/>
          </w:rPr>
          <w:t>http://www.timberstewardship.org.au/images/pdf_documents/project_report_pv_final.pdf</w:t>
        </w:r>
      </w:hyperlink>
      <w:r w:rsidRPr="00CE60B2">
        <w:rPr>
          <w:rFonts w:cs="Segoe UI"/>
          <w:lang w:eastAsia="ja-JP"/>
        </w:rPr>
        <w:t xml:space="preserve">. </w:t>
      </w:r>
    </w:p>
    <w:p w14:paraId="26ABE232" w14:textId="77777777" w:rsidR="002C06ED" w:rsidRPr="00CE60B2" w:rsidRDefault="002C06ED" w:rsidP="00B27B20">
      <w:pPr>
        <w:rPr>
          <w:rFonts w:cs="Segoe UI"/>
        </w:rPr>
      </w:pPr>
      <w:r w:rsidRPr="00CE60B2">
        <w:rPr>
          <w:rFonts w:cs="Segoe UI"/>
        </w:rPr>
        <w:t>Montreal Process Implementation Group for Australia and National Forest Inventory Steering Committee (2013). Australia’s State of the Forests Report 2013. ABARES, Canberra.</w:t>
      </w:r>
    </w:p>
    <w:p w14:paraId="26ABE233" w14:textId="77777777" w:rsidR="00B27B20" w:rsidRPr="00CE60B2" w:rsidRDefault="00B27B20" w:rsidP="00B27B20">
      <w:pPr>
        <w:rPr>
          <w:rFonts w:cs="Segoe UI"/>
        </w:rPr>
      </w:pPr>
      <w:r w:rsidRPr="00CE60B2">
        <w:rPr>
          <w:rFonts w:cs="Segoe UI"/>
        </w:rPr>
        <w:t>Montagu, K.D.; Duttmer, K.; Barton, C.V.M.; Cowie, A.L. (2005). Developing general allometric relationships for regional estimates of carbon sequestration—</w:t>
      </w:r>
      <w:r w:rsidR="00922ABC" w:rsidRPr="00CE60B2">
        <w:rPr>
          <w:rFonts w:cs="Segoe UI"/>
        </w:rPr>
        <w:t>an</w:t>
      </w:r>
      <w:r w:rsidRPr="00CE60B2">
        <w:rPr>
          <w:rFonts w:cs="Segoe UI"/>
        </w:rPr>
        <w:t xml:space="preserve"> example using </w:t>
      </w:r>
      <w:r w:rsidRPr="00922ABC">
        <w:rPr>
          <w:rFonts w:cs="Segoe UI"/>
          <w:i/>
        </w:rPr>
        <w:t>Eucalyptus pilularis</w:t>
      </w:r>
      <w:r w:rsidRPr="00CE60B2">
        <w:rPr>
          <w:rFonts w:cs="Segoe UI"/>
        </w:rPr>
        <w:t xml:space="preserve"> from seven contrasting sites. For. Ecol. Manag, 204, 113–127.</w:t>
      </w:r>
    </w:p>
    <w:p w14:paraId="26ABE234" w14:textId="77777777" w:rsidR="00143EA9" w:rsidRPr="00CE60B2" w:rsidRDefault="00143EA9" w:rsidP="00143EA9">
      <w:pPr>
        <w:rPr>
          <w:rFonts w:cs="Segoe UI"/>
          <w:lang w:eastAsia="ja-JP"/>
        </w:rPr>
      </w:pPr>
      <w:r w:rsidRPr="00CE60B2">
        <w:rPr>
          <w:rFonts w:cs="Segoe UI"/>
          <w:lang w:eastAsia="ja-JP"/>
        </w:rPr>
        <w:t xml:space="preserve">NTPSG (National Timber Product Stewardship Group) </w:t>
      </w:r>
      <w:r w:rsidR="00721436" w:rsidRPr="00CE60B2">
        <w:rPr>
          <w:rFonts w:cs="Segoe UI"/>
          <w:lang w:eastAsia="ja-JP"/>
        </w:rPr>
        <w:t>(</w:t>
      </w:r>
      <w:r w:rsidRPr="00CE60B2">
        <w:rPr>
          <w:rFonts w:cs="Segoe UI"/>
          <w:lang w:eastAsia="ja-JP"/>
        </w:rPr>
        <w:t>2008</w:t>
      </w:r>
      <w:r w:rsidR="00721436" w:rsidRPr="00CE60B2">
        <w:rPr>
          <w:rFonts w:cs="Segoe UI"/>
          <w:lang w:eastAsia="ja-JP"/>
        </w:rPr>
        <w:t>)</w:t>
      </w:r>
      <w:r w:rsidRPr="00CE60B2">
        <w:rPr>
          <w:rFonts w:cs="Segoe UI"/>
          <w:lang w:eastAsia="ja-JP"/>
        </w:rPr>
        <w:t xml:space="preserve">. Post-consumer Timber Recovery Data 2006-07 </w:t>
      </w:r>
      <w:hyperlink r:id="rId87" w:history="1">
        <w:r w:rsidRPr="00CE60B2">
          <w:rPr>
            <w:rStyle w:val="Hyperlink"/>
            <w:rFonts w:cs="Segoe UI"/>
            <w:lang w:eastAsia="ja-JP"/>
          </w:rPr>
          <w:t>http://www.timberstewardship.org.au/images/pdf_documents/2006_07_wood_recovery_data.pdf</w:t>
        </w:r>
      </w:hyperlink>
      <w:r w:rsidRPr="00CE60B2">
        <w:rPr>
          <w:rFonts w:cs="Segoe UI"/>
          <w:lang w:eastAsia="ja-JP"/>
        </w:rPr>
        <w:t xml:space="preserve">. </w:t>
      </w:r>
    </w:p>
    <w:p w14:paraId="26ABE235" w14:textId="77777777" w:rsidR="00530C2D" w:rsidRPr="00CE60B2" w:rsidRDefault="00530C2D" w:rsidP="00B27B20">
      <w:pPr>
        <w:rPr>
          <w:rFonts w:cs="Segoe UI"/>
        </w:rPr>
      </w:pPr>
      <w:bookmarkStart w:id="250" w:name="_Toc197087037"/>
      <w:r w:rsidRPr="00CE60B2">
        <w:rPr>
          <w:rFonts w:cs="Segoe UI"/>
        </w:rPr>
        <w:t xml:space="preserve">Pash, C. (2018). The waste crisis that China has inflicted on Australian councils will likely push up rates. Business Insider Australia, February 28, 2018. </w:t>
      </w:r>
      <w:hyperlink r:id="rId88" w:history="1">
        <w:r w:rsidRPr="00CE60B2">
          <w:rPr>
            <w:rStyle w:val="Hyperlink"/>
            <w:rFonts w:cs="Segoe UI"/>
            <w:lang w:eastAsia="ja-JP"/>
          </w:rPr>
          <w:t>www.businessinsider.com.au/council-rates-china-waste-recycling-2018-2</w:t>
        </w:r>
      </w:hyperlink>
      <w:r w:rsidRPr="00CE60B2">
        <w:rPr>
          <w:rFonts w:cs="Segoe UI"/>
          <w:lang w:eastAsia="ja-JP"/>
        </w:rPr>
        <w:t>)</w:t>
      </w:r>
    </w:p>
    <w:p w14:paraId="26ABE236" w14:textId="77777777" w:rsidR="00B27B20" w:rsidRPr="00CE60B2" w:rsidRDefault="00B27B20" w:rsidP="00B27B20">
      <w:pPr>
        <w:rPr>
          <w:rFonts w:cs="Segoe UI"/>
        </w:rPr>
      </w:pPr>
      <w:r w:rsidRPr="00CE60B2">
        <w:rPr>
          <w:rFonts w:cs="Segoe UI"/>
        </w:rPr>
        <w:t>Paul, K. et al. (2016). Testing the generality of total above-ground biomass allometry across plant functional types at the continent scale. Glob Chang Biol. 2016 Jun;22(6):2106-24.</w:t>
      </w:r>
    </w:p>
    <w:p w14:paraId="26ABE237" w14:textId="77777777" w:rsidR="00B27B20" w:rsidRPr="00CE60B2" w:rsidRDefault="00B27B20" w:rsidP="00B27B20">
      <w:pPr>
        <w:rPr>
          <w:rFonts w:cs="Segoe UI"/>
        </w:rPr>
      </w:pPr>
      <w:r w:rsidRPr="00CE60B2">
        <w:rPr>
          <w:rFonts w:cs="Segoe UI"/>
        </w:rPr>
        <w:t>Paul, K. et al. (2013). Development and testing of allometric equations for estimating above-ground biomass of mixed-species environmental plantings. Forest Ecology and Management 310: 483–494.</w:t>
      </w:r>
    </w:p>
    <w:p w14:paraId="26ABE238" w14:textId="77777777" w:rsidR="00B27B20" w:rsidRDefault="00B27B20" w:rsidP="00B27B20">
      <w:pPr>
        <w:rPr>
          <w:rFonts w:cs="Segoe UI"/>
        </w:rPr>
      </w:pPr>
      <w:r w:rsidRPr="00CE60B2">
        <w:rPr>
          <w:rFonts w:cs="Segoe UI"/>
        </w:rPr>
        <w:t>Paul, K. (2014). Root biomass of carbon plantings in agricultural landscapes of southern Australia: Development and testing of allometrics. Forest Ecology and Management 318 (2014) 216–227.</w:t>
      </w:r>
    </w:p>
    <w:p w14:paraId="26ABE239" w14:textId="77777777" w:rsidR="007D6E1C" w:rsidRPr="00C569E4" w:rsidRDefault="007D6E1C" w:rsidP="007D6E1C">
      <w:pPr>
        <w:jc w:val="both"/>
        <w:rPr>
          <w:rFonts w:eastAsia="Gill Sans MT" w:cs="Majalla UI"/>
        </w:rPr>
      </w:pPr>
      <w:r w:rsidRPr="00C569E4">
        <w:rPr>
          <w:rFonts w:eastAsia="Gill Sans MT" w:cs="Majalla UI"/>
        </w:rPr>
        <w:t>Rab, M.A, Bradshaw, F.J., Campbell, R.G., and Murphy, S. (2005). Review of factors affecting disturbance, compaction and trafficability of soils with particular reference to timber harvesting in the forests of south-west Western Australia, Consultants Report to Department of Conservation and Land Management, Western Australia, Sustainable Forest Management Series, SFM Technical Report No. 2, 146 pp.</w:t>
      </w:r>
    </w:p>
    <w:p w14:paraId="26ABE23A" w14:textId="77777777" w:rsidR="00C423D1" w:rsidRPr="00CE60B2" w:rsidRDefault="00C423D1" w:rsidP="00C423D1">
      <w:pPr>
        <w:rPr>
          <w:rFonts w:cs="Segoe UI"/>
          <w:color w:val="0257BE"/>
        </w:rPr>
      </w:pPr>
      <w:r w:rsidRPr="00CE60B2">
        <w:rPr>
          <w:rFonts w:cs="Segoe UI"/>
        </w:rPr>
        <w:t xml:space="preserve">Ramsar Convention (2009). Strategic Framework and guidelines for the future development of the List of Wetlands of International Importance of the Convention on Wetlands (Ramsar, Iran, 1971) – </w:t>
      </w:r>
      <w:r w:rsidR="00922ABC" w:rsidRPr="00CE60B2">
        <w:rPr>
          <w:rFonts w:cs="Segoe UI"/>
        </w:rPr>
        <w:t>Amendments</w:t>
      </w:r>
      <w:r w:rsidRPr="00CE60B2">
        <w:rPr>
          <w:rFonts w:cs="Segoe UI"/>
        </w:rPr>
        <w:t xml:space="preserve"> of 2012, 2014 included. Accessed 20 September 2018 </w:t>
      </w:r>
      <w:hyperlink r:id="rId89" w:history="1">
        <w:r w:rsidRPr="00CE60B2">
          <w:rPr>
            <w:rStyle w:val="Hyperlink"/>
            <w:rFonts w:cs="Segoe UI"/>
          </w:rPr>
          <w:t>http://www.environment.gov.au/water/wetlands/ramsar/criteria-identifying-wetlands</w:t>
        </w:r>
      </w:hyperlink>
      <w:r w:rsidRPr="00CE60B2">
        <w:rPr>
          <w:rStyle w:val="Hyperlink"/>
          <w:rFonts w:cs="Segoe UI"/>
        </w:rPr>
        <w:t>.</w:t>
      </w:r>
    </w:p>
    <w:p w14:paraId="26ABE23B" w14:textId="77777777" w:rsidR="00E42180" w:rsidRPr="00CE60B2" w:rsidRDefault="00E42180" w:rsidP="00721436">
      <w:pPr>
        <w:rPr>
          <w:rFonts w:cs="Segoe UI"/>
        </w:rPr>
      </w:pPr>
      <w:r w:rsidRPr="00CE60B2">
        <w:rPr>
          <w:rFonts w:cs="Segoe UI"/>
        </w:rPr>
        <w:lastRenderedPageBreak/>
        <w:t xml:space="preserve">Schirmer, J. Mylek, M. Magnusson, </w:t>
      </w:r>
      <w:r w:rsidR="008264DD">
        <w:rPr>
          <w:rFonts w:cs="Segoe UI"/>
        </w:rPr>
        <w:t>A. Yabsley, B. Morison, J. (2017</w:t>
      </w:r>
      <w:r w:rsidRPr="00CE60B2">
        <w:rPr>
          <w:rFonts w:cs="Segoe UI"/>
        </w:rPr>
        <w:t xml:space="preserve">). Socio-economic impacts of the forest industry. Forest and Wood Products Australia, December 2017. </w:t>
      </w:r>
      <w:hyperlink r:id="rId90" w:history="1">
        <w:r w:rsidRPr="00CE60B2">
          <w:rPr>
            <w:rStyle w:val="Hyperlink"/>
            <w:rFonts w:cs="Segoe UI"/>
          </w:rPr>
          <w:t>https://www.fwpa.com.au/images/WA_Report_Dec2017_Final.pdf</w:t>
        </w:r>
      </w:hyperlink>
      <w:r w:rsidRPr="00CE60B2">
        <w:rPr>
          <w:rFonts w:cs="Segoe UI"/>
        </w:rPr>
        <w:t xml:space="preserve"> </w:t>
      </w:r>
    </w:p>
    <w:p w14:paraId="26ABE23C" w14:textId="77777777" w:rsidR="00721436" w:rsidRPr="00CE60B2" w:rsidRDefault="00721436" w:rsidP="00721436">
      <w:pPr>
        <w:rPr>
          <w:rFonts w:cs="Segoe UI"/>
        </w:rPr>
      </w:pPr>
      <w:r w:rsidRPr="00CE60B2">
        <w:rPr>
          <w:rFonts w:cs="Segoe UI"/>
        </w:rPr>
        <w:t>Schirmer J., Loxton</w:t>
      </w:r>
      <w:bookmarkEnd w:id="250"/>
      <w:r w:rsidRPr="00CE60B2">
        <w:rPr>
          <w:rFonts w:cs="Segoe UI"/>
        </w:rPr>
        <w:t xml:space="preserve"> E., and Campbell-Wilson A. (2008). Monitoring the social and economic impacts of forestry: Recommended indicators for monitoring social and economic impacts of forestry over time in Australia. Report prepared for Department of Agriculture, Fisheries and Forestry by the Fenner School of Environment and Society, Canberra</w:t>
      </w:r>
    </w:p>
    <w:p w14:paraId="26ABE23D" w14:textId="77777777" w:rsidR="00143EA9" w:rsidRPr="00CE60B2" w:rsidRDefault="00143EA9" w:rsidP="00143EA9">
      <w:pPr>
        <w:spacing w:before="0"/>
        <w:rPr>
          <w:rFonts w:cs="Segoe UI"/>
          <w:lang w:eastAsia="ja-JP"/>
        </w:rPr>
      </w:pPr>
      <w:r w:rsidRPr="00CE60B2">
        <w:rPr>
          <w:rFonts w:cs="Segoe UI"/>
          <w:lang w:eastAsia="ja-JP"/>
        </w:rPr>
        <w:t xml:space="preserve">Taylor, J. </w:t>
      </w:r>
      <w:r w:rsidR="00721436" w:rsidRPr="00CE60B2">
        <w:rPr>
          <w:rFonts w:cs="Segoe UI"/>
          <w:lang w:eastAsia="ja-JP"/>
        </w:rPr>
        <w:t>(</w:t>
      </w:r>
      <w:r w:rsidRPr="00CE60B2">
        <w:rPr>
          <w:rFonts w:cs="Segoe UI"/>
          <w:lang w:eastAsia="ja-JP"/>
        </w:rPr>
        <w:t>2008</w:t>
      </w:r>
      <w:r w:rsidR="00721436" w:rsidRPr="00CE60B2">
        <w:rPr>
          <w:rFonts w:cs="Segoe UI"/>
          <w:lang w:eastAsia="ja-JP"/>
        </w:rPr>
        <w:t>)</w:t>
      </w:r>
      <w:r w:rsidRPr="00CE60B2">
        <w:rPr>
          <w:rFonts w:cs="Segoe UI"/>
          <w:lang w:eastAsia="ja-JP"/>
        </w:rPr>
        <w:t xml:space="preserve">. Wood recovery and recycling: A source book for Australia. Report prepared by J. Taylor and M. Warnken. Forest and Wood Products Australia. Project No: PNA017-0708. </w:t>
      </w:r>
      <w:hyperlink r:id="rId91" w:history="1">
        <w:r w:rsidRPr="00CE60B2">
          <w:rPr>
            <w:rStyle w:val="Hyperlink"/>
            <w:rFonts w:cs="Segoe UI"/>
            <w:lang w:eastAsia="ja-JP"/>
          </w:rPr>
          <w:t>http://www.fwpa.com.au/images/marketaccess/PNA017-0708_Wood_Recycling_0.pdf</w:t>
        </w:r>
      </w:hyperlink>
      <w:r w:rsidRPr="00CE60B2">
        <w:rPr>
          <w:rFonts w:cs="Segoe UI"/>
          <w:lang w:eastAsia="ja-JP"/>
        </w:rPr>
        <w:t xml:space="preserve">. </w:t>
      </w:r>
    </w:p>
    <w:p w14:paraId="26ABE23E" w14:textId="77777777" w:rsidR="00FA3712" w:rsidRPr="00CE60B2" w:rsidRDefault="00FA3712" w:rsidP="00143EA9">
      <w:pPr>
        <w:spacing w:before="0"/>
        <w:rPr>
          <w:rFonts w:cs="Segoe UI"/>
          <w:lang w:eastAsia="ja-JP"/>
        </w:rPr>
      </w:pPr>
      <w:r w:rsidRPr="00CE60B2">
        <w:rPr>
          <w:rFonts w:cs="Segoe UI"/>
          <w:lang w:eastAsia="ja-JP"/>
        </w:rPr>
        <w:t xml:space="preserve">Tourism Western Australia (2011). Review of Nature-based Tourism. Tourism Western </w:t>
      </w:r>
      <w:r w:rsidR="00922ABC" w:rsidRPr="00CE60B2">
        <w:rPr>
          <w:rFonts w:cs="Segoe UI"/>
          <w:lang w:eastAsia="ja-JP"/>
        </w:rPr>
        <w:t>Australia</w:t>
      </w:r>
      <w:r w:rsidRPr="00CE60B2">
        <w:rPr>
          <w:rFonts w:cs="Segoe UI"/>
          <w:lang w:eastAsia="ja-JP"/>
        </w:rPr>
        <w:t xml:space="preserve"> and the Department of Environment and Conservation, Perth. </w:t>
      </w:r>
      <w:hyperlink r:id="rId92" w:history="1">
        <w:r w:rsidRPr="00CE60B2">
          <w:rPr>
            <w:rStyle w:val="Hyperlink"/>
            <w:rFonts w:cs="Segoe UI"/>
            <w:lang w:eastAsia="ja-JP"/>
          </w:rPr>
          <w:t>https://parks.dpaw.wa.gov.au/sites/default/files/downloads/know/nature_base_tourism_brochure_2011_%282%29_0.pdf</w:t>
        </w:r>
      </w:hyperlink>
      <w:r w:rsidRPr="00CE60B2">
        <w:rPr>
          <w:rFonts w:cs="Segoe UI"/>
          <w:lang w:eastAsia="ja-JP"/>
        </w:rPr>
        <w:t xml:space="preserve"> </w:t>
      </w:r>
    </w:p>
    <w:p w14:paraId="26ABE23F" w14:textId="77777777" w:rsidR="00A4042B" w:rsidRPr="00CE60B2" w:rsidRDefault="002E3DDA" w:rsidP="002E3DDA">
      <w:pPr>
        <w:rPr>
          <w:rFonts w:cs="Segoe UI"/>
        </w:rPr>
      </w:pPr>
      <w:r w:rsidRPr="00CE60B2">
        <w:rPr>
          <w:rFonts w:cs="Segoe UI"/>
        </w:rPr>
        <w:t>Turner, J., &amp; Lambert, M. (2015). Forestry and Forest Products Research Summary of Changes in Capacity 1985 - 2013. FWPA PRE338-1415</w:t>
      </w:r>
    </w:p>
    <w:p w14:paraId="26ABE240" w14:textId="77777777" w:rsidR="002E3DDA" w:rsidRPr="00CE60B2" w:rsidRDefault="002E3DDA" w:rsidP="002E3DDA">
      <w:pPr>
        <w:rPr>
          <w:rFonts w:cs="Segoe UI"/>
        </w:rPr>
      </w:pPr>
      <w:r w:rsidRPr="00CE60B2">
        <w:rPr>
          <w:rFonts w:cs="Segoe UI"/>
        </w:rPr>
        <w:t xml:space="preserve">Turner, J. &amp; Lambert, M. (2016). Changes in Australian forestry and forest products research for 1985-2013. Australian Forestry 79: 53-58. </w:t>
      </w:r>
    </w:p>
    <w:p w14:paraId="26ABE241" w14:textId="77777777" w:rsidR="005F48AA" w:rsidRDefault="005F48AA" w:rsidP="002E3DDA">
      <w:pPr>
        <w:rPr>
          <w:rFonts w:cs="Segoe UI"/>
        </w:rPr>
      </w:pPr>
      <w:r>
        <w:rPr>
          <w:rFonts w:cs="Segoe UI"/>
        </w:rPr>
        <w:t xml:space="preserve">University of Canberra (2017). Regional Wellbeing Survey 2016. Regional Development Australia, 11 July 2017, Canberra. </w:t>
      </w:r>
      <w:r w:rsidRPr="005F48AA">
        <w:rPr>
          <w:rFonts w:cs="Segoe UI"/>
        </w:rPr>
        <w:t>http://www.canberra.edu.au/research/faculty-research-centres/ceraph/regional-wellbeing/survey-results/2016-survey-results</w:t>
      </w:r>
    </w:p>
    <w:p w14:paraId="26ABE242" w14:textId="77777777" w:rsidR="0072016A" w:rsidRPr="00CE60B2" w:rsidRDefault="0072016A" w:rsidP="002E3DDA">
      <w:pPr>
        <w:rPr>
          <w:rFonts w:cs="Segoe UI"/>
        </w:rPr>
      </w:pPr>
      <w:r w:rsidRPr="00CE60B2">
        <w:rPr>
          <w:rFonts w:cs="Segoe UI"/>
        </w:rPr>
        <w:t xml:space="preserve">URS (2012). Social and </w:t>
      </w:r>
      <w:r w:rsidR="00922ABC" w:rsidRPr="00CE60B2">
        <w:rPr>
          <w:rFonts w:cs="Segoe UI"/>
        </w:rPr>
        <w:t>Economic</w:t>
      </w:r>
      <w:r w:rsidRPr="00CE60B2">
        <w:rPr>
          <w:rFonts w:cs="Segoe UI"/>
        </w:rPr>
        <w:t xml:space="preserve"> Impact Assessment on the Potential Impacts of Implementation of the Draft Forest Management Plan 2014-2023. Conservation Commission of Western Australia and Department of Environment and Conservation. Crawley, Western Australia.</w:t>
      </w:r>
    </w:p>
    <w:p w14:paraId="26ABE243" w14:textId="77777777" w:rsidR="00A4042B" w:rsidRPr="00CE60B2" w:rsidRDefault="00A4042B" w:rsidP="00143EA9">
      <w:pPr>
        <w:spacing w:before="0"/>
        <w:rPr>
          <w:rFonts w:cs="Segoe UI"/>
          <w:lang w:eastAsia="ja-JP"/>
        </w:rPr>
      </w:pPr>
      <w:r w:rsidRPr="00CE60B2">
        <w:rPr>
          <w:rFonts w:cs="Segoe UI"/>
          <w:lang w:eastAsia="ja-JP"/>
        </w:rPr>
        <w:t>Washburn MP, Miller KJ. (2003). FSC: Forest Stewardship Council certification. Journal of Forestry 101: 8, 10–13</w:t>
      </w:r>
    </w:p>
    <w:p w14:paraId="26ABE244" w14:textId="77777777" w:rsidR="00432F09" w:rsidRDefault="00432F09" w:rsidP="00432F09">
      <w:pPr>
        <w:spacing w:before="0"/>
        <w:rPr>
          <w:rFonts w:cs="Segoe UI"/>
          <w:lang w:eastAsia="ja-JP"/>
        </w:rPr>
      </w:pPr>
      <w:r>
        <w:rPr>
          <w:rFonts w:cs="Segoe UI"/>
          <w:lang w:eastAsia="ja-JP"/>
        </w:rPr>
        <w:t>Waste Authority Western Australia (WAWA) (2018). Waste Strategy. A</w:t>
      </w:r>
      <w:r w:rsidRPr="00432F09">
        <w:rPr>
          <w:rFonts w:cs="Segoe UI"/>
          <w:lang w:eastAsia="ja-JP"/>
        </w:rPr>
        <w:t>ccessed 23 October 2018 www.wasteauthority.wa.gov.au/about/waste-strategy</w:t>
      </w:r>
    </w:p>
    <w:p w14:paraId="26ABE245" w14:textId="77777777" w:rsidR="00432F09" w:rsidRDefault="00432F09" w:rsidP="00432F09">
      <w:pPr>
        <w:spacing w:before="0"/>
        <w:rPr>
          <w:rFonts w:cs="Segoe UI"/>
          <w:lang w:eastAsia="ja-JP"/>
        </w:rPr>
      </w:pPr>
      <w:r w:rsidRPr="00432F09">
        <w:rPr>
          <w:rFonts w:cs="Segoe UI"/>
          <w:lang w:eastAsia="ja-JP"/>
        </w:rPr>
        <w:t xml:space="preserve">Waste Authority Western Australia (WAWA) </w:t>
      </w:r>
      <w:r>
        <w:rPr>
          <w:rFonts w:cs="Segoe UI"/>
          <w:lang w:eastAsia="ja-JP"/>
        </w:rPr>
        <w:t>(</w:t>
      </w:r>
      <w:r w:rsidRPr="00432F09">
        <w:rPr>
          <w:rFonts w:cs="Segoe UI"/>
          <w:lang w:eastAsia="ja-JP"/>
        </w:rPr>
        <w:t>2016</w:t>
      </w:r>
      <w:r>
        <w:rPr>
          <w:rFonts w:cs="Segoe UI"/>
          <w:lang w:eastAsia="ja-JP"/>
        </w:rPr>
        <w:t>).</w:t>
      </w:r>
      <w:r w:rsidRPr="00432F09">
        <w:rPr>
          <w:rFonts w:cs="Segoe UI"/>
          <w:lang w:eastAsia="ja-JP"/>
        </w:rPr>
        <w:t xml:space="preserve"> Recycling Activity in Western Australia 2014</w:t>
      </w:r>
      <w:r w:rsidR="002370FB">
        <w:rPr>
          <w:rFonts w:cs="Segoe UI"/>
          <w:lang w:eastAsia="ja-JP"/>
        </w:rPr>
        <w:noBreakHyphen/>
      </w:r>
      <w:r w:rsidRPr="00432F09">
        <w:rPr>
          <w:rFonts w:cs="Segoe UI"/>
          <w:lang w:eastAsia="ja-JP"/>
        </w:rPr>
        <w:t>15, prepared by ASK Waste Management, accesse</w:t>
      </w:r>
      <w:r>
        <w:rPr>
          <w:rFonts w:cs="Segoe UI"/>
          <w:lang w:eastAsia="ja-JP"/>
        </w:rPr>
        <w:t xml:space="preserve">d 24 October 2018 </w:t>
      </w:r>
      <w:r w:rsidRPr="00432F09">
        <w:rPr>
          <w:rFonts w:cs="Segoe UI"/>
          <w:lang w:eastAsia="ja-JP"/>
        </w:rPr>
        <w:t>www.wasteauthority.wa.gov.au/media/files/documents/WA_Recycling_Activity_14_15.pdf</w:t>
      </w:r>
    </w:p>
    <w:p w14:paraId="26ABE246" w14:textId="77777777" w:rsidR="00432F09" w:rsidRDefault="00432F09" w:rsidP="00432F09">
      <w:pPr>
        <w:spacing w:before="0"/>
        <w:rPr>
          <w:rFonts w:cs="Segoe UI"/>
          <w:lang w:eastAsia="ja-JP"/>
        </w:rPr>
      </w:pPr>
      <w:r w:rsidRPr="00432F09">
        <w:rPr>
          <w:rFonts w:cs="Segoe UI"/>
          <w:lang w:eastAsia="ja-JP"/>
        </w:rPr>
        <w:t xml:space="preserve">Waste Authority Western Australia (WAWA) </w:t>
      </w:r>
      <w:r>
        <w:rPr>
          <w:rFonts w:cs="Segoe UI"/>
          <w:lang w:eastAsia="ja-JP"/>
        </w:rPr>
        <w:t>(</w:t>
      </w:r>
      <w:r w:rsidRPr="00432F09">
        <w:rPr>
          <w:rFonts w:cs="Segoe UI"/>
          <w:lang w:eastAsia="ja-JP"/>
        </w:rPr>
        <w:t>2014</w:t>
      </w:r>
      <w:r>
        <w:rPr>
          <w:rFonts w:cs="Segoe UI"/>
          <w:lang w:eastAsia="ja-JP"/>
        </w:rPr>
        <w:t>).</w:t>
      </w:r>
      <w:r w:rsidRPr="00432F09">
        <w:rPr>
          <w:rFonts w:cs="Segoe UI"/>
          <w:lang w:eastAsia="ja-JP"/>
        </w:rPr>
        <w:t xml:space="preserve"> Waste and Recycling Infrastructure Plan for the Perth Metropolitan and Peel Regions Investigation R</w:t>
      </w:r>
      <w:r>
        <w:rPr>
          <w:rFonts w:cs="Segoe UI"/>
          <w:lang w:eastAsia="ja-JP"/>
        </w:rPr>
        <w:t xml:space="preserve">eport, accessed 25 October 2018 </w:t>
      </w:r>
      <w:r w:rsidRPr="00432F09">
        <w:rPr>
          <w:rFonts w:cs="Segoe UI"/>
          <w:lang w:eastAsia="ja-JP"/>
        </w:rPr>
        <w:t>www.wasteauthority.wa.gov.au/media/files/documents/SWIPWG_Investigation_Report.pdf</w:t>
      </w:r>
    </w:p>
    <w:p w14:paraId="26ABE247" w14:textId="77777777" w:rsidR="00432F09" w:rsidRDefault="00432F09" w:rsidP="00143EA9">
      <w:pPr>
        <w:spacing w:before="0"/>
        <w:rPr>
          <w:rFonts w:cs="Segoe UI"/>
          <w:lang w:eastAsia="ja-JP"/>
        </w:rPr>
      </w:pPr>
      <w:r w:rsidRPr="00432F09">
        <w:rPr>
          <w:rFonts w:cs="Segoe UI"/>
          <w:lang w:eastAsia="ja-JP"/>
        </w:rPr>
        <w:t xml:space="preserve">Waste Authority Western Australia (WAWA) </w:t>
      </w:r>
      <w:r>
        <w:rPr>
          <w:rFonts w:cs="Segoe UI"/>
          <w:lang w:eastAsia="ja-JP"/>
        </w:rPr>
        <w:t>(</w:t>
      </w:r>
      <w:r w:rsidRPr="00432F09">
        <w:rPr>
          <w:rFonts w:cs="Segoe UI"/>
          <w:lang w:eastAsia="ja-JP"/>
        </w:rPr>
        <w:t>201</w:t>
      </w:r>
      <w:r>
        <w:rPr>
          <w:rFonts w:cs="Segoe UI"/>
          <w:lang w:eastAsia="ja-JP"/>
        </w:rPr>
        <w:t>2).</w:t>
      </w:r>
      <w:r w:rsidRPr="00432F09">
        <w:rPr>
          <w:rFonts w:cs="Segoe UI"/>
          <w:lang w:eastAsia="ja-JP"/>
        </w:rPr>
        <w:t xml:space="preserve"> Western Australian Waste Strategy (WAWS), March 2012, accessed 23 October 2018 </w:t>
      </w:r>
      <w:hyperlink r:id="rId93" w:history="1">
        <w:r w:rsidR="00151CC9" w:rsidRPr="003A3383">
          <w:rPr>
            <w:rStyle w:val="Hyperlink"/>
            <w:rFonts w:cs="Segoe UI"/>
            <w:lang w:eastAsia="ja-JP"/>
          </w:rPr>
          <w:t>www.wasteauthority.wa.gov.au/media/files/documents/WA_Waste_Strategy.pdf</w:t>
        </w:r>
      </w:hyperlink>
    </w:p>
    <w:p w14:paraId="26ABE248" w14:textId="77777777" w:rsidR="00151CC9" w:rsidRDefault="00151CC9" w:rsidP="00151CC9">
      <w:pPr>
        <w:spacing w:before="0"/>
        <w:rPr>
          <w:rFonts w:cs="Segoe UI"/>
          <w:lang w:eastAsia="ja-JP"/>
        </w:rPr>
      </w:pPr>
      <w:r w:rsidRPr="00151CC9">
        <w:rPr>
          <w:rFonts w:cs="Segoe UI"/>
          <w:lang w:eastAsia="ja-JP"/>
        </w:rPr>
        <w:t>Wilkinson</w:t>
      </w:r>
      <w:r>
        <w:rPr>
          <w:rFonts w:cs="Segoe UI"/>
          <w:lang w:eastAsia="ja-JP"/>
        </w:rPr>
        <w:t>, G. (</w:t>
      </w:r>
      <w:r w:rsidRPr="00151CC9">
        <w:rPr>
          <w:rFonts w:cs="Segoe UI"/>
          <w:lang w:eastAsia="ja-JP"/>
        </w:rPr>
        <w:t>2017</w:t>
      </w:r>
      <w:r>
        <w:rPr>
          <w:rFonts w:cs="Segoe UI"/>
          <w:lang w:eastAsia="ja-JP"/>
        </w:rPr>
        <w:t>).</w:t>
      </w:r>
      <w:r w:rsidRPr="00151CC9">
        <w:rPr>
          <w:rFonts w:cs="Segoe UI"/>
          <w:lang w:eastAsia="ja-JP"/>
        </w:rPr>
        <w:t xml:space="preserve"> Review of the Implementation of the Regional Forest Agreement for the South West Forest Region of Western Australia for the Period 2009 – 2014, May 2017. Available from</w:t>
      </w:r>
      <w:r>
        <w:rPr>
          <w:rFonts w:cs="Segoe UI"/>
          <w:lang w:eastAsia="ja-JP"/>
        </w:rPr>
        <w:t xml:space="preserve"> </w:t>
      </w:r>
      <w:r w:rsidRPr="00151CC9">
        <w:rPr>
          <w:rFonts w:cs="Segoe UI"/>
          <w:lang w:eastAsia="ja-JP"/>
        </w:rPr>
        <w:t>www.agriculture.gov.au/SiteCollectionDocuments/forestry/review-implementation-rfa-south-west-forest-region-wa.pdf</w:t>
      </w:r>
    </w:p>
    <w:p w14:paraId="26ABE249" w14:textId="77777777" w:rsidR="00143EA9" w:rsidRPr="00CE60B2" w:rsidRDefault="00143EA9" w:rsidP="00143EA9">
      <w:pPr>
        <w:spacing w:before="0"/>
        <w:rPr>
          <w:rFonts w:cs="Segoe UI"/>
          <w:lang w:eastAsia="ja-JP"/>
        </w:rPr>
      </w:pPr>
      <w:r w:rsidRPr="00CE60B2">
        <w:rPr>
          <w:rFonts w:cs="Segoe UI"/>
          <w:lang w:eastAsia="ja-JP"/>
        </w:rPr>
        <w:lastRenderedPageBreak/>
        <w:t xml:space="preserve">Ximenes, F.A., Kapambwe, M., Keenan, R. </w:t>
      </w:r>
      <w:r w:rsidR="00721436" w:rsidRPr="00CE60B2">
        <w:rPr>
          <w:rFonts w:cs="Segoe UI"/>
          <w:lang w:eastAsia="ja-JP"/>
        </w:rPr>
        <w:t>(</w:t>
      </w:r>
      <w:r w:rsidRPr="00CE60B2">
        <w:rPr>
          <w:rFonts w:cs="Segoe UI"/>
          <w:lang w:eastAsia="ja-JP"/>
        </w:rPr>
        <w:t>2008</w:t>
      </w:r>
      <w:r w:rsidR="00721436" w:rsidRPr="00CE60B2">
        <w:rPr>
          <w:rFonts w:cs="Segoe UI"/>
          <w:lang w:eastAsia="ja-JP"/>
        </w:rPr>
        <w:t>)</w:t>
      </w:r>
      <w:r w:rsidRPr="00CE60B2">
        <w:rPr>
          <w:rFonts w:cs="Segoe UI"/>
          <w:lang w:eastAsia="ja-JP"/>
        </w:rPr>
        <w:t>. Timber use in residential construction and demolition. BEDP Environment Design Guide. November, PRO 36.</w:t>
      </w:r>
    </w:p>
    <w:p w14:paraId="26ABE24A" w14:textId="77777777" w:rsidR="00B27B20" w:rsidRPr="00CE60B2" w:rsidRDefault="00B27B20" w:rsidP="00B27B20">
      <w:pPr>
        <w:rPr>
          <w:rFonts w:cs="Segoe UI"/>
        </w:rPr>
      </w:pPr>
      <w:r w:rsidRPr="00CE60B2">
        <w:rPr>
          <w:rFonts w:cs="Segoe UI"/>
        </w:rPr>
        <w:t>Ximenes, F.A. and Gardner, W.D. (2006). The decay of coarse woody roots following harvest in a range of forest types. Australian Greenhouse Office. National Carbon Accounting System Technical Report No.49.</w:t>
      </w:r>
    </w:p>
    <w:p w14:paraId="26ABE24B" w14:textId="77777777" w:rsidR="00B27B20" w:rsidRPr="00CE60B2" w:rsidRDefault="00B27B20" w:rsidP="00B27B20">
      <w:pPr>
        <w:rPr>
          <w:rFonts w:cs="Segoe UI"/>
        </w:rPr>
      </w:pPr>
      <w:r w:rsidRPr="00CE60B2">
        <w:rPr>
          <w:rFonts w:cs="Segoe UI"/>
        </w:rPr>
        <w:t>Ximenes, F.A.; Gardner, W.D.; Kathuria, A. (2008). Proportion of above-ground biomass in commercial logs and residues following the harvest of five commercial forest species in Australia. For. Ecol. Manag. 256, 335–346.</w:t>
      </w:r>
    </w:p>
    <w:p w14:paraId="26ABE24C" w14:textId="77777777" w:rsidR="00B27B20" w:rsidRPr="00CE60B2" w:rsidRDefault="00B27B20" w:rsidP="00B27B20">
      <w:pPr>
        <w:rPr>
          <w:rFonts w:cs="Segoe UI"/>
        </w:rPr>
      </w:pPr>
      <w:r w:rsidRPr="00CE60B2">
        <w:rPr>
          <w:rFonts w:cs="Segoe UI"/>
        </w:rPr>
        <w:t>Ximenes, F.A., Kapambwe, M. and Keenan, R. (2008a). Timber use in residential construction and demolition. BEDP Environment Design Guide, November, PRO36, 9 p.</w:t>
      </w:r>
    </w:p>
    <w:p w14:paraId="26ABE24D" w14:textId="77777777" w:rsidR="00B27B20" w:rsidRPr="00CE60B2" w:rsidRDefault="00B27B20" w:rsidP="00B27B20">
      <w:pPr>
        <w:rPr>
          <w:rFonts w:cs="Segoe UI"/>
        </w:rPr>
      </w:pPr>
      <w:r w:rsidRPr="00CE60B2">
        <w:rPr>
          <w:rFonts w:cs="Segoe UI"/>
        </w:rPr>
        <w:t>Ximenes, F., Björdal, C., Cowie, A., Barlaz, M., (2015). The decay of wood in landfills in contrasting climates in Australia. Waste Manage. 41, 101–110.</w:t>
      </w:r>
    </w:p>
    <w:p w14:paraId="26ABE24E" w14:textId="77777777" w:rsidR="00B27B20" w:rsidRPr="00CE60B2" w:rsidRDefault="00B27B20" w:rsidP="00B27B20">
      <w:pPr>
        <w:rPr>
          <w:rFonts w:cs="Segoe UI"/>
        </w:rPr>
      </w:pPr>
      <w:r w:rsidRPr="00CE60B2">
        <w:rPr>
          <w:rFonts w:cs="Segoe UI"/>
        </w:rPr>
        <w:t>Ximenes, F., Cowie, A., Barlaz, M. (2017). The decay of engineered wood products and paper excavated from landfills in Australia. Waste Manag. DOI: 10.1016/j.wasman.2017.11.035.</w:t>
      </w:r>
    </w:p>
    <w:p w14:paraId="26ABE24F" w14:textId="77777777" w:rsidR="005C2908" w:rsidRPr="00CE60B2" w:rsidRDefault="00B27B20" w:rsidP="00663801">
      <w:pPr>
        <w:rPr>
          <w:rFonts w:cs="Segoe UI"/>
        </w:rPr>
      </w:pPr>
      <w:r w:rsidRPr="00CE60B2">
        <w:rPr>
          <w:rFonts w:cs="Segoe UI"/>
        </w:rPr>
        <w:t>Ximenes</w:t>
      </w:r>
      <w:r w:rsidR="00922ABC" w:rsidRPr="00CE60B2">
        <w:rPr>
          <w:rFonts w:cs="Segoe UI"/>
        </w:rPr>
        <w:t>, F</w:t>
      </w:r>
      <w:r w:rsidRPr="00CE60B2">
        <w:rPr>
          <w:rFonts w:cs="Segoe UI"/>
        </w:rPr>
        <w:t>., Kathuria, A., McLean, M., Coburn, R., Sargeant, D., Ryan, M., Williams, J., Boer, K. and Mo, M. (2018). Carbon in Mature Native Forests in Australia: The Role of Direct Weighing in the Derivation of Allometric Equations. Forests 9, 60; doi:10.3390/f9020060.</w:t>
      </w:r>
    </w:p>
    <w:sectPr w:rsidR="005C2908" w:rsidRPr="00CE60B2" w:rsidSect="006554DE">
      <w:pgSz w:w="11906" w:h="16838" w:code="9"/>
      <w:pgMar w:top="1418" w:right="1418" w:bottom="1418" w:left="1418"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FA521" w14:textId="77777777" w:rsidR="00DD7487" w:rsidRDefault="00DD7487" w:rsidP="006C32D2">
      <w:r>
        <w:separator/>
      </w:r>
    </w:p>
    <w:p w14:paraId="653E9F27" w14:textId="77777777" w:rsidR="00DD7487" w:rsidRDefault="00DD7487" w:rsidP="006C32D2"/>
    <w:p w14:paraId="2E6C95E7" w14:textId="77777777" w:rsidR="00DD7487" w:rsidRDefault="00DD7487" w:rsidP="006C32D2"/>
    <w:p w14:paraId="16BF86A1" w14:textId="77777777" w:rsidR="00DD7487" w:rsidRDefault="00DD7487" w:rsidP="006C32D2"/>
    <w:p w14:paraId="4C9C7B72" w14:textId="77777777" w:rsidR="00DD7487" w:rsidRDefault="00DD7487"/>
  </w:endnote>
  <w:endnote w:type="continuationSeparator" w:id="0">
    <w:p w14:paraId="5904F652" w14:textId="77777777" w:rsidR="00DD7487" w:rsidRDefault="00DD7487" w:rsidP="006C32D2">
      <w:r>
        <w:continuationSeparator/>
      </w:r>
    </w:p>
    <w:p w14:paraId="2E6A7BC9" w14:textId="77777777" w:rsidR="00DD7487" w:rsidRDefault="00DD7487" w:rsidP="006C32D2"/>
    <w:p w14:paraId="461B993F" w14:textId="77777777" w:rsidR="00DD7487" w:rsidRDefault="00DD7487" w:rsidP="006C32D2"/>
    <w:p w14:paraId="2BD2EDD0" w14:textId="77777777" w:rsidR="00DD7487" w:rsidRDefault="00DD7487" w:rsidP="006C32D2"/>
    <w:p w14:paraId="55FA1BEE" w14:textId="77777777" w:rsidR="00DD7487" w:rsidRDefault="00DD7487"/>
  </w:endnote>
  <w:endnote w:type="continuationNotice" w:id="1">
    <w:p w14:paraId="7A6DD05A" w14:textId="77777777" w:rsidR="00DD7487" w:rsidRDefault="00DD748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Sun-ExtB">
    <w:charset w:val="86"/>
    <w:family w:val="modern"/>
    <w:pitch w:val="fixed"/>
    <w:sig w:usb0="00000003" w:usb1="0A0E0000" w:usb2="00000010" w:usb3="00000000" w:csb0="00040001"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Garamond">
    <w:altName w:val="Cambria"/>
    <w:panose1 w:val="00000000000000000000"/>
    <w:charset w:val="00"/>
    <w:family w:val="roman"/>
    <w:notTrueType/>
    <w:pitch w:val="default"/>
    <w:sig w:usb0="00000003" w:usb1="00000000" w:usb2="00000000" w:usb3="00000000" w:csb0="00000001" w:csb1="00000000"/>
  </w:font>
  <w:font w:name="FS Me">
    <w:altName w:val="Calibri"/>
    <w:panose1 w:val="00000000000000000000"/>
    <w:charset w:val="00"/>
    <w:family w:val="swiss"/>
    <w:notTrueType/>
    <w:pitch w:val="default"/>
    <w:sig w:usb0="00000003" w:usb1="00000000" w:usb2="00000000" w:usb3="00000000" w:csb0="00000001" w:csb1="00000000"/>
  </w:font>
  <w:font w:name="FS Me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55">
    <w:altName w:val="Univers 55"/>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imes New (W1)">
    <w:altName w:val="Times New Roman"/>
    <w:charset w:val="00"/>
    <w:family w:val="auto"/>
    <w:pitch w:val="variable"/>
    <w:sig w:usb0="00000003" w:usb1="00000000" w:usb2="0000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GillSans Light">
    <w:altName w:val="Gill Sans"/>
    <w:charset w:val="00"/>
    <w:family w:val="auto"/>
    <w:pitch w:val="variable"/>
    <w:sig w:usb0="80000267" w:usb1="00000000" w:usb2="00000000" w:usb3="00000000" w:csb0="000001F7" w:csb1="00000000"/>
  </w:font>
  <w:font w:name="Officina Sans ITC T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324854"/>
      <w:docPartObj>
        <w:docPartGallery w:val="Page Numbers (Bottom of Page)"/>
        <w:docPartUnique/>
      </w:docPartObj>
    </w:sdtPr>
    <w:sdtEndPr>
      <w:rPr>
        <w:noProof/>
      </w:rPr>
    </w:sdtEndPr>
    <w:sdtContent>
      <w:p w14:paraId="26ABE289" w14:textId="65CC1C4F" w:rsidR="00DD7487" w:rsidRDefault="00DD7487" w:rsidP="00643A67">
        <w:pPr>
          <w:pStyle w:val="Footer"/>
          <w:jc w:val="center"/>
        </w:pPr>
        <w:r>
          <w:fldChar w:fldCharType="begin"/>
        </w:r>
        <w:r>
          <w:instrText xml:space="preserve"> PAGE   \* MERGEFORMAT </w:instrText>
        </w:r>
        <w:r>
          <w:fldChar w:fldCharType="separate"/>
        </w:r>
        <w:r w:rsidR="00F4569E">
          <w:rPr>
            <w:noProof/>
          </w:rPr>
          <w:t>21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8F" w14:textId="670E66C8" w:rsidR="00DD7487" w:rsidRPr="002B25BB" w:rsidRDefault="00DD7487" w:rsidP="006C32D2">
    <w:pPr>
      <w:pStyle w:val="Footer"/>
    </w:pPr>
    <w:sdt>
      <w:sdtPr>
        <w:id w:val="-1294288175"/>
        <w:docPartObj>
          <w:docPartGallery w:val="Page Numbers (Bottom of Page)"/>
          <w:docPartUnique/>
        </w:docPartObj>
      </w:sdtPr>
      <w:sdtEndPr>
        <w:rPr>
          <w:color w:val="808080" w:themeColor="background1" w:themeShade="80"/>
          <w:spacing w:val="60"/>
        </w:rPr>
      </w:sdtEndPr>
      <w:sdtContent>
        <w:r w:rsidRPr="000D4DF8">
          <w:rPr>
            <w:rFonts w:cs="Segoe UI"/>
            <w:b/>
            <w:color w:val="0079A1"/>
            <w:sz w:val="20"/>
            <w:szCs w:val="20"/>
          </w:rPr>
          <w:fldChar w:fldCharType="begin"/>
        </w:r>
        <w:r w:rsidRPr="000D4DF8">
          <w:rPr>
            <w:rFonts w:cs="Segoe UI"/>
            <w:b/>
            <w:color w:val="0079A1"/>
            <w:sz w:val="20"/>
            <w:szCs w:val="20"/>
          </w:rPr>
          <w:instrText xml:space="preserve"> PAGE   \* MERGEFORMAT </w:instrText>
        </w:r>
        <w:r w:rsidRPr="000D4DF8">
          <w:rPr>
            <w:rFonts w:cs="Segoe UI"/>
            <w:b/>
            <w:color w:val="0079A1"/>
            <w:sz w:val="20"/>
            <w:szCs w:val="20"/>
          </w:rPr>
          <w:fldChar w:fldCharType="separate"/>
        </w:r>
        <w:r>
          <w:rPr>
            <w:rFonts w:cs="Segoe UI"/>
            <w:b/>
            <w:noProof/>
            <w:color w:val="0079A1"/>
            <w:sz w:val="20"/>
            <w:szCs w:val="20"/>
          </w:rPr>
          <w:t>1</w:t>
        </w:r>
        <w:r w:rsidRPr="000D4DF8">
          <w:rPr>
            <w:rFonts w:cs="Segoe UI"/>
            <w:b/>
            <w:noProof/>
            <w:color w:val="0079A1"/>
            <w:sz w:val="20"/>
            <w:szCs w:val="20"/>
          </w:rPr>
          <w:fldChar w:fldCharType="end"/>
        </w:r>
        <w:r w:rsidRPr="000D4DF8">
          <w:t xml:space="preserve"> </w:t>
        </w:r>
        <w:r w:rsidRPr="000D4DF8">
          <w:rPr>
            <w:color w:val="65CDF6"/>
          </w:rPr>
          <w:t>|</w:t>
        </w:r>
        <w:r w:rsidRPr="000D4DF8">
          <w:t xml:space="preserve"> </w:t>
        </w:r>
        <w:r>
          <w:t xml:space="preserve">NSW Department of Primary Industries, </w:t>
        </w:r>
      </w:sdtContent>
    </w:sdt>
    <w:r w:rsidRPr="000D4DF8">
      <w:fldChar w:fldCharType="begin"/>
    </w:r>
    <w:r w:rsidRPr="000D4DF8">
      <w:instrText xml:space="preserve"> DATE  \@ "MMMM yyyy"  \* MERGEFORMAT </w:instrText>
    </w:r>
    <w:r w:rsidRPr="000D4DF8">
      <w:fldChar w:fldCharType="separate"/>
    </w:r>
    <w:r w:rsidR="003C7091">
      <w:rPr>
        <w:noProof/>
      </w:rPr>
      <w:t>March 2019</w:t>
    </w:r>
    <w:r w:rsidRPr="000D4DF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0EF55" w14:textId="77777777" w:rsidR="00DD7487" w:rsidRDefault="00DD7487" w:rsidP="006C32D2">
      <w:r>
        <w:separator/>
      </w:r>
    </w:p>
  </w:footnote>
  <w:footnote w:type="continuationSeparator" w:id="0">
    <w:p w14:paraId="4A4876C8" w14:textId="77777777" w:rsidR="00DD7487" w:rsidRDefault="00DD7487" w:rsidP="006C32D2">
      <w:r>
        <w:continuationSeparator/>
      </w:r>
    </w:p>
    <w:p w14:paraId="5901A09C" w14:textId="77777777" w:rsidR="00DD7487" w:rsidRDefault="00DD7487" w:rsidP="006C32D2"/>
    <w:p w14:paraId="2E7B653A" w14:textId="77777777" w:rsidR="00DD7487" w:rsidRDefault="00DD7487" w:rsidP="006C32D2"/>
    <w:p w14:paraId="4EE732C4" w14:textId="77777777" w:rsidR="00DD7487" w:rsidRDefault="00DD7487" w:rsidP="006C32D2"/>
    <w:p w14:paraId="16937B19" w14:textId="77777777" w:rsidR="00DD7487" w:rsidRDefault="00DD7487"/>
  </w:footnote>
  <w:footnote w:type="continuationNotice" w:id="1">
    <w:p w14:paraId="422C366A" w14:textId="77777777" w:rsidR="00DD7487" w:rsidRDefault="00DD7487">
      <w:pPr>
        <w:spacing w:before="0" w:after="0"/>
      </w:pPr>
    </w:p>
  </w:footnote>
  <w:footnote w:id="2">
    <w:p w14:paraId="26ABE2A3" w14:textId="77777777" w:rsidR="00DD7487" w:rsidRPr="005C391C" w:rsidRDefault="00DD7487" w:rsidP="006554DE">
      <w:pPr>
        <w:pStyle w:val="FootnoteText"/>
        <w:rPr>
          <w:lang w:val="en-AU"/>
        </w:rPr>
      </w:pPr>
      <w:r>
        <w:rPr>
          <w:rStyle w:val="FootnoteReference"/>
        </w:rPr>
        <w:footnoteRef/>
      </w:r>
      <w:r>
        <w:t xml:space="preserve"> </w:t>
      </w:r>
      <w:r w:rsidRPr="001566C6">
        <w:rPr>
          <w:rFonts w:ascii="Segoe UI" w:hAnsi="Segoe UI" w:cs="Segoe UI"/>
        </w:rPr>
        <w:t xml:space="preserve">The full NFPS definition is </w:t>
      </w:r>
      <w:r w:rsidRPr="001566C6">
        <w:rPr>
          <w:rFonts w:ascii="Segoe UI" w:hAnsi="Segoe UI" w:cs="Segoe UI"/>
          <w:i/>
        </w:rPr>
        <w:t>forest that is ecologically mature and has been subjected to negligible unnatural disturbance such as logging, roading and clearing. The definition focuses on forest in which the upper stratum or overstorey is in the late mature to overmature growth phases</w:t>
      </w:r>
      <w:r w:rsidRPr="001566C6">
        <w:rPr>
          <w:rFonts w:ascii="Segoe UI" w:hAnsi="Segoe UI" w:cs="Segoe UI"/>
        </w:rPr>
        <w:t>.</w:t>
      </w:r>
    </w:p>
    <w:p w14:paraId="26ABE2A4" w14:textId="77777777" w:rsidR="00DD7487" w:rsidRPr="006554DE" w:rsidRDefault="00DD7487">
      <w:pPr>
        <w:pStyle w:val="FootnoteText"/>
        <w:rPr>
          <w:lang w:val="en-AU"/>
        </w:rPr>
      </w:pPr>
    </w:p>
  </w:footnote>
  <w:footnote w:id="3">
    <w:p w14:paraId="26ABE2A5" w14:textId="77777777" w:rsidR="00DD7487" w:rsidRPr="005C391C" w:rsidRDefault="00DD7487">
      <w:pPr>
        <w:pStyle w:val="FootnoteText"/>
        <w:rPr>
          <w:lang w:val="en-AU"/>
        </w:rPr>
      </w:pPr>
      <w:r>
        <w:rPr>
          <w:rStyle w:val="FootnoteReference"/>
        </w:rPr>
        <w:footnoteRef/>
      </w:r>
      <w:r>
        <w:t xml:space="preserve"> </w:t>
      </w:r>
      <w:r>
        <w:rPr>
          <w:rFonts w:ascii="Arial" w:hAnsi="Arial" w:cs="Arial"/>
          <w:sz w:val="18"/>
          <w:szCs w:val="18"/>
        </w:rPr>
        <w:t xml:space="preserve">The full NFPS definition is </w:t>
      </w:r>
      <w:r w:rsidRPr="005C391C">
        <w:rPr>
          <w:rFonts w:ascii="Arial" w:hAnsi="Arial" w:cs="Arial"/>
          <w:i/>
          <w:sz w:val="18"/>
          <w:szCs w:val="18"/>
        </w:rPr>
        <w:t>land that, together with its plant and animal communities, is in a state that has not been substantially modified by, and is remote from, the influences of European settlement or is capable of being restored to such a state; is of sufficient size to make its maintenance in such a state feasible; and is capable of providing opportunities for solitude and self-reliant recreation</w:t>
      </w:r>
      <w:r>
        <w:rPr>
          <w:rFonts w:ascii="Arial" w:hAnsi="Arial" w:cs="Arial"/>
          <w:sz w:val="18"/>
          <w:szCs w:val="18"/>
        </w:rPr>
        <w:t>.</w:t>
      </w:r>
    </w:p>
  </w:footnote>
  <w:footnote w:id="4">
    <w:p w14:paraId="26ABE2A6" w14:textId="77777777" w:rsidR="00DD7487" w:rsidRPr="00A56E7E" w:rsidRDefault="00DD7487" w:rsidP="000D12A3">
      <w:pPr>
        <w:pStyle w:val="FootnoteText"/>
        <w:tabs>
          <w:tab w:val="left" w:pos="284"/>
        </w:tabs>
        <w:ind w:left="284" w:hanging="284"/>
        <w:rPr>
          <w:rFonts w:ascii="Times New Roman" w:hAnsi="Times New Roman"/>
          <w:sz w:val="18"/>
          <w:szCs w:val="18"/>
        </w:rPr>
      </w:pPr>
      <w:r w:rsidRPr="00A56E7E">
        <w:rPr>
          <w:rStyle w:val="FootnoteReference"/>
          <w:rFonts w:ascii="Times New Roman" w:hAnsi="Times New Roman"/>
          <w:sz w:val="18"/>
          <w:szCs w:val="18"/>
        </w:rPr>
        <w:footnoteRef/>
      </w:r>
      <w:r w:rsidRPr="00A56E7E">
        <w:rPr>
          <w:rFonts w:ascii="Times New Roman" w:hAnsi="Times New Roman"/>
          <w:sz w:val="18"/>
          <w:szCs w:val="18"/>
        </w:rPr>
        <w:t xml:space="preserve"> </w:t>
      </w:r>
      <w:r>
        <w:rPr>
          <w:rFonts w:ascii="Times New Roman" w:hAnsi="Times New Roman"/>
          <w:sz w:val="18"/>
          <w:szCs w:val="18"/>
        </w:rPr>
        <w:tab/>
      </w:r>
      <w:r w:rsidRPr="00A56E7E">
        <w:rPr>
          <w:rFonts w:ascii="Times New Roman" w:hAnsi="Times New Roman"/>
          <w:sz w:val="18"/>
          <w:szCs w:val="18"/>
        </w:rPr>
        <w:t xml:space="preserve">Department of </w:t>
      </w:r>
      <w:r>
        <w:rPr>
          <w:rFonts w:ascii="Times New Roman" w:hAnsi="Times New Roman"/>
          <w:sz w:val="18"/>
          <w:szCs w:val="18"/>
        </w:rPr>
        <w:t>Biodiversity, Conservation and Attractions</w:t>
      </w:r>
      <w:r w:rsidRPr="00A56E7E">
        <w:rPr>
          <w:rFonts w:ascii="Times New Roman" w:hAnsi="Times New Roman"/>
          <w:sz w:val="18"/>
          <w:szCs w:val="18"/>
        </w:rPr>
        <w:t xml:space="preserve"> (n.d.). dpaw.wa.gov.au/plants-and-animals/threatened-species-and-communities/threatened-plants?view=categories&amp;id=108</w:t>
      </w:r>
    </w:p>
  </w:footnote>
  <w:footnote w:id="5">
    <w:p w14:paraId="26ABE2A7" w14:textId="77777777" w:rsidR="00DD7487" w:rsidRPr="000D0043" w:rsidRDefault="00DD7487" w:rsidP="00CD53E7">
      <w:pPr>
        <w:pStyle w:val="FootnoteText"/>
        <w:rPr>
          <w:rFonts w:ascii="Segoe UI" w:hAnsi="Segoe UI" w:cs="Segoe UI"/>
          <w:lang w:val="en-AU"/>
        </w:rPr>
      </w:pPr>
      <w:r w:rsidRPr="000D0043">
        <w:rPr>
          <w:rStyle w:val="FootnoteReference"/>
          <w:rFonts w:ascii="Segoe UI" w:hAnsi="Segoe UI" w:cs="Segoe UI"/>
        </w:rPr>
        <w:footnoteRef/>
      </w:r>
      <w:r w:rsidRPr="000D0043">
        <w:rPr>
          <w:rFonts w:ascii="Segoe UI" w:hAnsi="Segoe UI" w:cs="Segoe UI"/>
        </w:rPr>
        <w:t xml:space="preserve"> </w:t>
      </w:r>
      <w:r w:rsidRPr="000D0043">
        <w:rPr>
          <w:rFonts w:ascii="Segoe UI" w:hAnsi="Segoe UI" w:cs="Segoe UI"/>
          <w:lang w:val="en-AU"/>
        </w:rPr>
        <w:t xml:space="preserve">See section 42 of the EPBC Act. </w:t>
      </w:r>
    </w:p>
  </w:footnote>
  <w:footnote w:id="6">
    <w:p w14:paraId="26ABE2A8" w14:textId="77777777" w:rsidR="00DD7487" w:rsidRDefault="00DD7487" w:rsidP="00A12F9B">
      <w:pPr>
        <w:pStyle w:val="FootnoteText"/>
      </w:pPr>
      <w:r w:rsidRPr="006479E7">
        <w:rPr>
          <w:rStyle w:val="FootnoteReference"/>
        </w:rPr>
        <w:footnoteRef/>
      </w:r>
      <w:r w:rsidRPr="006479E7">
        <w:t xml:space="preserve"> </w:t>
      </w:r>
      <w:r w:rsidRPr="006479E7">
        <w:rPr>
          <w:rFonts w:ascii="Segoe UI" w:eastAsiaTheme="minorHAnsi" w:hAnsi="Segoe UI"/>
          <w:lang w:val="en-AU"/>
        </w:rPr>
        <w:t xml:space="preserve">Further information on the CRA </w:t>
      </w:r>
      <w:r>
        <w:rPr>
          <w:rFonts w:ascii="Segoe UI" w:eastAsiaTheme="minorHAnsi" w:hAnsi="Segoe UI"/>
          <w:lang w:val="en-AU"/>
        </w:rPr>
        <w:t>f</w:t>
      </w:r>
      <w:r w:rsidRPr="006479E7">
        <w:rPr>
          <w:rFonts w:ascii="Segoe UI" w:eastAsiaTheme="minorHAnsi" w:hAnsi="Segoe UI"/>
          <w:lang w:val="en-AU"/>
        </w:rPr>
        <w:t xml:space="preserve">orest </w:t>
      </w:r>
      <w:r>
        <w:rPr>
          <w:rFonts w:ascii="Segoe UI" w:eastAsiaTheme="minorHAnsi" w:hAnsi="Segoe UI"/>
          <w:lang w:val="en-AU"/>
        </w:rPr>
        <w:t>e</w:t>
      </w:r>
      <w:r w:rsidRPr="006479E7">
        <w:rPr>
          <w:rFonts w:ascii="Segoe UI" w:eastAsiaTheme="minorHAnsi" w:hAnsi="Segoe UI"/>
          <w:lang w:val="en-AU"/>
        </w:rPr>
        <w:t xml:space="preserve">cosystems classification and mapping projects for the </w:t>
      </w:r>
      <w:r>
        <w:rPr>
          <w:rFonts w:ascii="Segoe UI" w:eastAsiaTheme="minorHAnsi" w:hAnsi="Segoe UI"/>
          <w:lang w:val="en-AU"/>
        </w:rPr>
        <w:t xml:space="preserve">WA </w:t>
      </w:r>
      <w:r w:rsidRPr="006479E7">
        <w:rPr>
          <w:rFonts w:ascii="Segoe UI" w:eastAsiaTheme="minorHAnsi" w:hAnsi="Segoe UI"/>
          <w:lang w:val="en-AU"/>
        </w:rPr>
        <w:t xml:space="preserve">RFA region can be found at </w:t>
      </w:r>
      <w:hyperlink r:id="rId1" w:history="1">
        <w:r w:rsidRPr="00065E4A">
          <w:rPr>
            <w:rStyle w:val="Hyperlink"/>
            <w:rFonts w:ascii="Segoe UI" w:eastAsiaTheme="minorHAnsi" w:hAnsi="Segoe UI"/>
            <w:lang w:val="en-AU"/>
          </w:rPr>
          <w:t>http://www.agriculture.gov.au/forestry/policies/rfa/regions/wa</w:t>
        </w:r>
      </w:hyperlink>
    </w:p>
  </w:footnote>
  <w:footnote w:id="7">
    <w:p w14:paraId="26ABE2A9" w14:textId="77777777" w:rsidR="00DD7487" w:rsidRPr="00F73C3B" w:rsidRDefault="00DD7487">
      <w:pPr>
        <w:pStyle w:val="FootnoteText"/>
        <w:rPr>
          <w:lang w:val="en-AU"/>
        </w:rPr>
      </w:pPr>
      <w:r>
        <w:rPr>
          <w:rStyle w:val="FootnoteReference"/>
        </w:rPr>
        <w:footnoteRef/>
      </w:r>
      <w:r>
        <w:t xml:space="preserve"> </w:t>
      </w:r>
      <w:r w:rsidRPr="00871C40">
        <w:rPr>
          <w:rFonts w:ascii="Segoe UI" w:hAnsi="Segoe UI" w:cs="Segoe UI"/>
          <w:lang w:val="en-AU"/>
        </w:rPr>
        <w:t xml:space="preserve">The Term </w:t>
      </w:r>
      <w:r w:rsidRPr="00871C40">
        <w:rPr>
          <w:rFonts w:ascii="Segoe UI" w:hAnsi="Segoe UI" w:cs="Segoe UI"/>
          <w:i/>
          <w:lang w:val="en-AU"/>
        </w:rPr>
        <w:t>Indigenous</w:t>
      </w:r>
      <w:r w:rsidRPr="00871C40">
        <w:rPr>
          <w:rFonts w:ascii="Segoe UI" w:hAnsi="Segoe UI" w:cs="Segoe UI"/>
          <w:lang w:val="en-AU"/>
        </w:rPr>
        <w:t xml:space="preserve"> is used in the national context and i</w:t>
      </w:r>
      <w:r>
        <w:rPr>
          <w:rFonts w:ascii="Segoe UI" w:hAnsi="Segoe UI" w:cs="Segoe UI"/>
          <w:lang w:val="en-AU"/>
        </w:rPr>
        <w:t>n</w:t>
      </w:r>
      <w:r w:rsidRPr="00871C40">
        <w:rPr>
          <w:rFonts w:ascii="Segoe UI" w:hAnsi="Segoe UI" w:cs="Segoe UI"/>
          <w:lang w:val="en-AU"/>
        </w:rPr>
        <w:t xml:space="preserve"> </w:t>
      </w:r>
      <w:r>
        <w:rPr>
          <w:rFonts w:ascii="Segoe UI" w:hAnsi="Segoe UI" w:cs="Segoe UI"/>
          <w:lang w:val="en-AU"/>
        </w:rPr>
        <w:t xml:space="preserve">relation to </w:t>
      </w:r>
      <w:r w:rsidRPr="00871C40">
        <w:rPr>
          <w:rFonts w:ascii="Segoe UI" w:hAnsi="Segoe UI" w:cs="Segoe UI"/>
          <w:lang w:val="en-AU"/>
        </w:rPr>
        <w:t xml:space="preserve">the relevant international </w:t>
      </w:r>
      <w:r w:rsidRPr="00871C40">
        <w:rPr>
          <w:rFonts w:ascii="Segoe UI" w:hAnsi="Segoe UI" w:cs="Segoe UI"/>
          <w:color w:val="000000" w:themeColor="text1"/>
        </w:rPr>
        <w:t xml:space="preserve">Montréal Indicators. </w:t>
      </w:r>
      <w:r w:rsidRPr="0095206E">
        <w:rPr>
          <w:rFonts w:ascii="Segoe UI" w:hAnsi="Segoe UI" w:cs="Segoe UI"/>
          <w:color w:val="000000" w:themeColor="text1"/>
        </w:rPr>
        <w:t xml:space="preserve">In a specifically WA context the term </w:t>
      </w:r>
      <w:r w:rsidRPr="0095206E">
        <w:rPr>
          <w:rFonts w:ascii="Segoe UI" w:hAnsi="Segoe UI" w:cs="Segoe UI"/>
          <w:i/>
          <w:color w:val="000000" w:themeColor="text1"/>
        </w:rPr>
        <w:t>Aboriginal</w:t>
      </w:r>
      <w:r w:rsidRPr="0095206E">
        <w:rPr>
          <w:rFonts w:ascii="Segoe UI" w:hAnsi="Segoe UI" w:cs="Segoe UI"/>
          <w:color w:val="000000" w:themeColor="text1"/>
        </w:rPr>
        <w:t xml:space="preserve"> is generally preferred and used, although both terms have been used in this document.</w:t>
      </w:r>
    </w:p>
  </w:footnote>
  <w:footnote w:id="8">
    <w:p w14:paraId="26ABE2AA" w14:textId="77777777" w:rsidR="00DD7487" w:rsidRPr="000D3B36" w:rsidRDefault="00DD7487">
      <w:pPr>
        <w:pStyle w:val="FootnoteText"/>
        <w:rPr>
          <w:lang w:val="en-AU"/>
        </w:rPr>
      </w:pPr>
      <w:r>
        <w:rPr>
          <w:rStyle w:val="FootnoteReference"/>
        </w:rPr>
        <w:footnoteRef/>
      </w:r>
      <w:r>
        <w:t xml:space="preserve"> </w:t>
      </w:r>
      <w:r w:rsidRPr="000D3B36">
        <w:rPr>
          <w:rFonts w:ascii="Segoe UI" w:hAnsi="Segoe UI" w:cs="Segoe UI"/>
        </w:rPr>
        <w:t>Data in this section sourced from ABARES – State of the forest report 2013</w:t>
      </w:r>
    </w:p>
  </w:footnote>
  <w:footnote w:id="9">
    <w:p w14:paraId="26ABE2AB" w14:textId="77777777" w:rsidR="00DD7487" w:rsidRDefault="00DD7487" w:rsidP="00E40B48">
      <w:pPr>
        <w:pStyle w:val="FootnoteText"/>
        <w:rPr>
          <w:sz w:val="16"/>
        </w:rPr>
      </w:pPr>
      <w:r>
        <w:rPr>
          <w:rStyle w:val="FootnoteReference"/>
        </w:rPr>
        <w:footnoteRef/>
      </w:r>
      <w:r>
        <w:t xml:space="preserve"> Before 1 July 2013, DBCA was the Department of Environment and Conservation (DEC). For the period 1 July 2013 – June 30 2017 DBCA was the Department of Parks and Wildlife (DPaW).</w:t>
      </w:r>
    </w:p>
  </w:footnote>
  <w:footnote w:id="10">
    <w:p w14:paraId="26ABE2AC" w14:textId="77777777" w:rsidR="00DD7487" w:rsidRPr="00D161CA" w:rsidRDefault="00DD7487">
      <w:pPr>
        <w:pStyle w:val="FootnoteText"/>
        <w:rPr>
          <w:lang w:val="en-AU"/>
        </w:rPr>
      </w:pPr>
      <w:r>
        <w:rPr>
          <w:rStyle w:val="FootnoteReference"/>
        </w:rPr>
        <w:footnoteRef/>
      </w:r>
      <w:r>
        <w:t xml:space="preserve"> </w:t>
      </w:r>
      <w:r>
        <w:rPr>
          <w:lang w:val="en-AU"/>
        </w:rPr>
        <w:t xml:space="preserve">Annual Research Activity Reports can be found at </w:t>
      </w:r>
      <w:r w:rsidRPr="00D161CA">
        <w:rPr>
          <w:lang w:val="en-AU"/>
        </w:rPr>
        <w:t>https://www.dpaw.wa.gov.au/about-us/science-and-research/76-publications-and-resources/105-plans-and-reports</w:t>
      </w:r>
    </w:p>
  </w:footnote>
  <w:footnote w:id="11">
    <w:p w14:paraId="26ABE2AD" w14:textId="77777777" w:rsidR="00DD7487" w:rsidRPr="008C1B11" w:rsidRDefault="00DD7487" w:rsidP="00706F5C">
      <w:pPr>
        <w:rPr>
          <w:sz w:val="20"/>
        </w:rPr>
      </w:pPr>
      <w:r w:rsidRPr="00151DC1">
        <w:rPr>
          <w:rStyle w:val="FootnoteReference"/>
        </w:rPr>
        <w:footnoteRef/>
      </w:r>
      <w:r w:rsidRPr="00151DC1">
        <w:t xml:space="preserve"> </w:t>
      </w:r>
      <w:r w:rsidRPr="00630769">
        <w:rPr>
          <w:sz w:val="20"/>
        </w:rPr>
        <w:t>Prior to 2005 effects of the economic framework on sustainable forest management was reported under indicators which were then enumerated as 7.3a and 7.3b.</w:t>
      </w:r>
    </w:p>
    <w:p w14:paraId="26ABE2AE" w14:textId="77777777" w:rsidR="00DD7487" w:rsidRPr="00706F5C" w:rsidRDefault="00DD7487">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8A" w14:textId="77777777" w:rsidR="00DD7487" w:rsidRDefault="00DD7487" w:rsidP="00A907AB">
    <w:pPr>
      <w:pStyle w:val="Logo"/>
      <w:framePr w:wrap="around"/>
    </w:pPr>
  </w:p>
  <w:p w14:paraId="26ABE28B" w14:textId="77777777" w:rsidR="00DD7487" w:rsidRPr="00A907AB" w:rsidRDefault="00DD7487" w:rsidP="00A907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95" w14:textId="77777777" w:rsidR="00DD7487" w:rsidRDefault="00DD7487">
    <w:pPr>
      <w:pStyle w:val="Header"/>
    </w:pPr>
    <w:r>
      <w:rPr>
        <w:noProof/>
        <w:lang w:eastAsia="en-AU"/>
      </w:rPr>
      <mc:AlternateContent>
        <mc:Choice Requires="wps">
          <w:drawing>
            <wp:anchor distT="0" distB="0" distL="114300" distR="114300" simplePos="0" relativeHeight="251741184" behindDoc="1" locked="0" layoutInCell="0" allowOverlap="1" wp14:anchorId="26ABE29B" wp14:editId="26ABE29C">
              <wp:simplePos x="0" y="0"/>
              <wp:positionH relativeFrom="margin">
                <wp:align>center</wp:align>
              </wp:positionH>
              <wp:positionV relativeFrom="margin">
                <wp:align>center</wp:align>
              </wp:positionV>
              <wp:extent cx="6978015" cy="1101725"/>
              <wp:effectExtent l="0" t="2266950" r="0" b="1993900"/>
              <wp:wrapNone/>
              <wp:docPr id="3"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8015" cy="1101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BE2C2"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ABE29B" id="_x0000_t202" coordsize="21600,21600" o:spt="202" path="m,l,21600r21600,l21600,xe">
              <v:stroke joinstyle="miter"/>
              <v:path gradientshapeok="t" o:connecttype="rect"/>
            </v:shapetype>
            <v:shape id="WordArt 38" o:spid="_x0000_s1029" type="#_x0000_t202" style="position:absolute;left:0;text-align:left;margin-left:0;margin-top:0;width:549.45pt;height:86.75pt;rotation:-45;z-index:-25157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PiwIAAAQ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" o:allowincell="f" filled="f" stroked="f">
              <v:stroke joinstyle="round"/>
              <o:lock v:ext="edit" shapetype="t"/>
              <v:textbox style="mso-fit-shape-to-text:t">
                <w:txbxContent>
                  <w:p w14:paraId="26ABE2C2"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735040" behindDoc="1" locked="0" layoutInCell="0" allowOverlap="1" wp14:anchorId="26ABE29D" wp14:editId="26ABE29E">
              <wp:simplePos x="0" y="0"/>
              <wp:positionH relativeFrom="margin">
                <wp:align>center</wp:align>
              </wp:positionH>
              <wp:positionV relativeFrom="margin">
                <wp:align>center</wp:align>
              </wp:positionV>
              <wp:extent cx="6978015" cy="1101725"/>
              <wp:effectExtent l="0" t="2266950" r="0" b="1993900"/>
              <wp:wrapNone/>
              <wp:docPr id="20"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8015" cy="1101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BE2C3"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ABE29D" id="_x0000_s1030" type="#_x0000_t202" style="position:absolute;left:0;text-align:left;margin-left:0;margin-top:0;width:549.45pt;height:86.75pt;rotation:-45;z-index:-25158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iwIAAAU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" o:allowincell="f" filled="f" stroked="f">
              <v:stroke joinstyle="round"/>
              <o:lock v:ext="edit" shapetype="t"/>
              <v:textbox style="mso-fit-shape-to-text:t">
                <w:txbxContent>
                  <w:p w14:paraId="26ABE2C3"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96" w14:textId="77777777" w:rsidR="00DD7487" w:rsidRDefault="00DD7487">
    <w:pPr>
      <w:pStyle w:val="Header"/>
    </w:pPr>
    <w:r>
      <w:rPr>
        <w:noProof/>
        <w:lang w:eastAsia="en-AU"/>
      </w:rPr>
      <mc:AlternateContent>
        <mc:Choice Requires="wps">
          <w:drawing>
            <wp:anchor distT="0" distB="0" distL="114300" distR="114300" simplePos="0" relativeHeight="251743232" behindDoc="1" locked="0" layoutInCell="0" allowOverlap="1" wp14:anchorId="26ABE29F" wp14:editId="26ABE2A0">
              <wp:simplePos x="0" y="0"/>
              <wp:positionH relativeFrom="margin">
                <wp:align>center</wp:align>
              </wp:positionH>
              <wp:positionV relativeFrom="margin">
                <wp:align>center</wp:align>
              </wp:positionV>
              <wp:extent cx="6978015" cy="1101725"/>
              <wp:effectExtent l="0" t="2266950" r="0" b="1993900"/>
              <wp:wrapNone/>
              <wp:docPr id="4"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8015" cy="1101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BE2C4"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ABE29F" id="_x0000_t202" coordsize="21600,21600" o:spt="202" path="m,l,21600r21600,l21600,xe">
              <v:stroke joinstyle="miter"/>
              <v:path gradientshapeok="t" o:connecttype="rect"/>
            </v:shapetype>
            <v:shape id="WordArt 37" o:spid="_x0000_s1031" type="#_x0000_t202" style="position:absolute;left:0;text-align:left;margin-left:0;margin-top:0;width:549.45pt;height:86.75pt;rotation:-45;z-index:-25157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" o:allowincell="f" filled="f" stroked="f">
              <v:stroke joinstyle="round"/>
              <o:lock v:ext="edit" shapetype="t"/>
              <v:textbox style="mso-fit-shape-to-text:t">
                <w:txbxContent>
                  <w:p w14:paraId="26ABE2C4"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734016" behindDoc="1" locked="0" layoutInCell="0" allowOverlap="1" wp14:anchorId="26ABE2A1" wp14:editId="26ABE2A2">
              <wp:simplePos x="0" y="0"/>
              <wp:positionH relativeFrom="margin">
                <wp:align>center</wp:align>
              </wp:positionH>
              <wp:positionV relativeFrom="margin">
                <wp:align>center</wp:align>
              </wp:positionV>
              <wp:extent cx="6978015" cy="1101725"/>
              <wp:effectExtent l="0" t="2266950" r="0" b="1993900"/>
              <wp:wrapNone/>
              <wp:docPr id="5"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8015" cy="1101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BE2C5"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ABE2A1" id="_x0000_s1032" type="#_x0000_t202" style="position:absolute;left:0;text-align:left;margin-left:0;margin-top:0;width:549.45pt;height:86.7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" o:allowincell="f" filled="f" stroked="f">
              <v:stroke joinstyle="round"/>
              <o:lock v:ext="edit" shapetype="t"/>
              <v:textbox style="mso-fit-shape-to-text:t">
                <w:txbxContent>
                  <w:p w14:paraId="26ABE2C5"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8C" w14:textId="77777777" w:rsidR="00DD7487" w:rsidRDefault="00DD74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61E47" w14:textId="3DB58C1A" w:rsidR="00DD7487" w:rsidRDefault="00DD7487" w:rsidP="00E819A6">
    <w:pPr>
      <w:pStyle w:val="Header"/>
      <w:spacing w:before="0"/>
    </w:pPr>
    <w:r w:rsidRPr="00C83DA5">
      <w:t xml:space="preserve">Assessment of matters pertaining to </w:t>
    </w:r>
    <w:r>
      <w:t>renewal</w:t>
    </w:r>
    <w:r w:rsidRPr="00C83DA5">
      <w:t xml:space="preserve"> of</w:t>
    </w:r>
    <w:r>
      <w:t xml:space="preserve"> the</w:t>
    </w:r>
  </w:p>
  <w:p w14:paraId="26ABE28D" w14:textId="43EC7771" w:rsidR="00DD7487" w:rsidRDefault="00DD7487" w:rsidP="00E819A6">
    <w:pPr>
      <w:pStyle w:val="Header"/>
      <w:spacing w:before="0"/>
    </w:pPr>
    <w:r>
      <w:t>Regional Forest Agreement for the South-West Forest Region of Western Australia</w:t>
    </w:r>
  </w:p>
  <w:p w14:paraId="61AF1486" w14:textId="77777777" w:rsidR="00DD7487" w:rsidRDefault="00DD7487" w:rsidP="00E819A6">
    <w:pPr>
      <w:pStyle w:val="Header"/>
      <w:spacing w:befor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8E" w14:textId="77777777" w:rsidR="00DD7487" w:rsidRDefault="00DD7487" w:rsidP="006C32D2">
    <w:pPr>
      <w:pStyle w:val="Header"/>
    </w:pPr>
    <w:r w:rsidRPr="006A6B79">
      <w:t>Help for storm and storm and flood affected primary producers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90" w14:textId="77777777" w:rsidR="00DD7487" w:rsidRDefault="00DD74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2262" w14:textId="77777777" w:rsidR="00DD7487" w:rsidRDefault="00DD7487" w:rsidP="00B03C54">
    <w:pPr>
      <w:pStyle w:val="Header"/>
      <w:spacing w:before="0"/>
    </w:pPr>
    <w:r w:rsidRPr="00C83DA5">
      <w:t xml:space="preserve">Assessment of matters pertaining to </w:t>
    </w:r>
    <w:r>
      <w:t>renewal</w:t>
    </w:r>
    <w:r w:rsidRPr="00C83DA5">
      <w:t xml:space="preserve"> of</w:t>
    </w:r>
    <w:r>
      <w:t xml:space="preserve"> the</w:t>
    </w:r>
  </w:p>
  <w:p w14:paraId="26ABE291" w14:textId="1CB0BA15" w:rsidR="00DD7487" w:rsidRPr="00A32E7C" w:rsidRDefault="00DD7487" w:rsidP="00B03C54">
    <w:pPr>
      <w:pStyle w:val="Header"/>
      <w:spacing w:before="0"/>
    </w:pPr>
    <w:r>
      <w:t>Regional Forest Agreement for the South-West Forest Region of Western Australia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92" w14:textId="77777777" w:rsidR="00DD7487" w:rsidRDefault="00DD748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93" w14:textId="77777777" w:rsidR="00DD7487" w:rsidRDefault="00DD7487">
    <w:pPr>
      <w:pStyle w:val="Header"/>
    </w:pPr>
    <w:r>
      <w:rPr>
        <w:noProof/>
        <w:lang w:eastAsia="en-AU"/>
      </w:rPr>
      <mc:AlternateContent>
        <mc:Choice Requires="wps">
          <w:drawing>
            <wp:anchor distT="0" distB="0" distL="114300" distR="114300" simplePos="0" relativeHeight="251746304" behindDoc="1" locked="0" layoutInCell="0" allowOverlap="1" wp14:anchorId="26ABE297" wp14:editId="26ABE298">
              <wp:simplePos x="0" y="0"/>
              <wp:positionH relativeFrom="margin">
                <wp:align>center</wp:align>
              </wp:positionH>
              <wp:positionV relativeFrom="margin">
                <wp:align>center</wp:align>
              </wp:positionV>
              <wp:extent cx="6978015" cy="1101725"/>
              <wp:effectExtent l="0" t="2266950" r="0" b="1993900"/>
              <wp:wrapNone/>
              <wp:docPr id="6"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8015" cy="1101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BE2C0"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ABE297" id="_x0000_t202" coordsize="21600,21600" o:spt="202" path="m,l,21600r21600,l21600,xe">
              <v:stroke joinstyle="miter"/>
              <v:path gradientshapeok="t" o:connecttype="rect"/>
            </v:shapetype>
            <v:shape id="WordArt 35" o:spid="_x0000_s1027" type="#_x0000_t202" style="position:absolute;left:0;text-align:left;margin-left:0;margin-top:0;width:549.45pt;height:86.75pt;rotation:-45;z-index:-251570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" o:allowincell="f" filled="f" stroked="f">
              <v:stroke joinstyle="round"/>
              <o:lock v:ext="edit" shapetype="t"/>
              <v:textbox style="mso-fit-shape-to-text:t">
                <w:txbxContent>
                  <w:p w14:paraId="26ABE2C0"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E294" w14:textId="77777777" w:rsidR="00DD7487" w:rsidRDefault="00DD7487">
    <w:pPr>
      <w:pStyle w:val="Header"/>
    </w:pPr>
    <w:r>
      <w:rPr>
        <w:noProof/>
        <w:lang w:eastAsia="en-AU"/>
      </w:rPr>
      <mc:AlternateContent>
        <mc:Choice Requires="wps">
          <w:drawing>
            <wp:anchor distT="0" distB="0" distL="114300" distR="114300" simplePos="0" relativeHeight="251745280" behindDoc="1" locked="0" layoutInCell="0" allowOverlap="1" wp14:anchorId="26ABE299" wp14:editId="26ABE29A">
              <wp:simplePos x="0" y="0"/>
              <wp:positionH relativeFrom="margin">
                <wp:align>center</wp:align>
              </wp:positionH>
              <wp:positionV relativeFrom="margin">
                <wp:align>center</wp:align>
              </wp:positionV>
              <wp:extent cx="6978015" cy="1101725"/>
              <wp:effectExtent l="0" t="2266950" r="0" b="1993900"/>
              <wp:wrapNone/>
              <wp:docPr id="7"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8015" cy="1101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BE2C1"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ABE299" id="_x0000_t202" coordsize="21600,21600" o:spt="202" path="m,l,21600r21600,l21600,xe">
              <v:stroke joinstyle="miter"/>
              <v:path gradientshapeok="t" o:connecttype="rect"/>
            </v:shapetype>
            <v:shape id="WordArt 34" o:spid="_x0000_s1028" type="#_x0000_t202" style="position:absolute;left:0;text-align:left;margin-left:0;margin-top:0;width:549.45pt;height:86.75pt;rotation:-45;z-index:-25157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pBiQIAAAQF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" o:allowincell="f" filled="f" stroked="f">
              <v:stroke joinstyle="round"/>
              <o:lock v:ext="edit" shapetype="t"/>
              <v:textbox style="mso-fit-shape-to-text:t">
                <w:txbxContent>
                  <w:p w14:paraId="26ABE2C1" w14:textId="77777777" w:rsidR="00DD7487" w:rsidRDefault="00DD7487" w:rsidP="001A00F6">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CIRCULATION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79027D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12D40B6"/>
    <w:multiLevelType w:val="hybridMultilevel"/>
    <w:tmpl w:val="38D4889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6E51DBD"/>
    <w:multiLevelType w:val="multilevel"/>
    <w:tmpl w:val="ABF6A794"/>
    <w:styleLink w:val="NRCListBullets"/>
    <w:lvl w:ilvl="0">
      <w:start w:val="1"/>
      <w:numFmt w:val="bullet"/>
      <w:pStyle w:val="Bullets"/>
      <w:lvlText w:val=""/>
      <w:lvlJc w:val="left"/>
      <w:pPr>
        <w:tabs>
          <w:tab w:val="num" w:pos="567"/>
        </w:tabs>
        <w:ind w:left="567" w:hanging="567"/>
      </w:pPr>
      <w:rPr>
        <w:rFonts w:ascii="Wingdings" w:hAnsi="Wingdings" w:hint="default"/>
        <w:sz w:val="20"/>
      </w:rPr>
    </w:lvl>
    <w:lvl w:ilvl="1">
      <w:start w:val="1"/>
      <w:numFmt w:val="bullet"/>
      <w:lvlText w:val="-"/>
      <w:lvlJc w:val="left"/>
      <w:pPr>
        <w:tabs>
          <w:tab w:val="num" w:pos="1134"/>
        </w:tabs>
        <w:ind w:left="1134" w:hanging="567"/>
      </w:pPr>
      <w:rPr>
        <w:rFonts w:ascii="Arial" w:hAnsi="Arial" w:hint="default"/>
      </w:rPr>
    </w:lvl>
    <w:lvl w:ilvl="2">
      <w:start w:val="1"/>
      <w:numFmt w:val="bullet"/>
      <w:lvlText w:val=""/>
      <w:lvlJc w:val="left"/>
      <w:pPr>
        <w:tabs>
          <w:tab w:val="num" w:pos="1701"/>
        </w:tabs>
        <w:ind w:left="1701" w:hanging="567"/>
      </w:pPr>
      <w:rPr>
        <w:rFonts w:ascii="Symbol" w:hAnsi="Symbol" w:hint="default"/>
        <w:color w:val="auto"/>
        <w:sz w:val="18"/>
      </w:rPr>
    </w:lvl>
    <w:lvl w:ilvl="3">
      <w:start w:val="1"/>
      <w:numFmt w:val="none"/>
      <w:lvlText w:val=""/>
      <w:lvlJc w:val="left"/>
      <w:pPr>
        <w:tabs>
          <w:tab w:val="num" w:pos="2268"/>
        </w:tabs>
        <w:ind w:left="1701" w:hanging="567"/>
      </w:pPr>
      <w:rPr>
        <w:rFonts w:hint="default"/>
      </w:rPr>
    </w:lvl>
    <w:lvl w:ilvl="4">
      <w:start w:val="1"/>
      <w:numFmt w:val="none"/>
      <w:lvlText w:val=""/>
      <w:lvlJc w:val="left"/>
      <w:pPr>
        <w:tabs>
          <w:tab w:val="num" w:pos="2835"/>
        </w:tabs>
        <w:ind w:left="1701" w:hanging="567"/>
      </w:pPr>
      <w:rPr>
        <w:rFonts w:hint="default"/>
      </w:rPr>
    </w:lvl>
    <w:lvl w:ilvl="5">
      <w:start w:val="1"/>
      <w:numFmt w:val="none"/>
      <w:lvlText w:val=""/>
      <w:lvlJc w:val="left"/>
      <w:pPr>
        <w:tabs>
          <w:tab w:val="num" w:pos="3402"/>
        </w:tabs>
        <w:ind w:left="1701" w:hanging="567"/>
      </w:pPr>
      <w:rPr>
        <w:rFonts w:hint="default"/>
      </w:rPr>
    </w:lvl>
    <w:lvl w:ilvl="6">
      <w:start w:val="1"/>
      <w:numFmt w:val="none"/>
      <w:lvlText w:val=""/>
      <w:lvlJc w:val="left"/>
      <w:pPr>
        <w:tabs>
          <w:tab w:val="num" w:pos="3969"/>
        </w:tabs>
        <w:ind w:left="1701" w:hanging="567"/>
      </w:pPr>
      <w:rPr>
        <w:rFonts w:hint="default"/>
      </w:rPr>
    </w:lvl>
    <w:lvl w:ilvl="7">
      <w:start w:val="1"/>
      <w:numFmt w:val="none"/>
      <w:lvlText w:val=""/>
      <w:lvlJc w:val="left"/>
      <w:pPr>
        <w:tabs>
          <w:tab w:val="num" w:pos="4536"/>
        </w:tabs>
        <w:ind w:left="1701" w:hanging="567"/>
      </w:pPr>
      <w:rPr>
        <w:rFonts w:hint="default"/>
      </w:rPr>
    </w:lvl>
    <w:lvl w:ilvl="8">
      <w:start w:val="1"/>
      <w:numFmt w:val="none"/>
      <w:lvlText w:val=""/>
      <w:lvlJc w:val="left"/>
      <w:pPr>
        <w:tabs>
          <w:tab w:val="num" w:pos="5103"/>
        </w:tabs>
        <w:ind w:left="1701" w:hanging="567"/>
      </w:pPr>
      <w:rPr>
        <w:rFonts w:hint="default"/>
      </w:rPr>
    </w:lvl>
  </w:abstractNum>
  <w:abstractNum w:abstractNumId="5" w15:restartNumberingAfterBreak="0">
    <w:nsid w:val="087D62E4"/>
    <w:multiLevelType w:val="hybridMultilevel"/>
    <w:tmpl w:val="248A089A"/>
    <w:lvl w:ilvl="0" w:tplc="0C090001">
      <w:start w:val="1"/>
      <w:numFmt w:val="bullet"/>
      <w:lvlText w:val=""/>
      <w:lvlJc w:val="left"/>
      <w:pPr>
        <w:ind w:left="-351" w:hanging="360"/>
      </w:pPr>
      <w:rPr>
        <w:rFonts w:ascii="Symbol" w:hAnsi="Symbol" w:hint="default"/>
      </w:rPr>
    </w:lvl>
    <w:lvl w:ilvl="1" w:tplc="94143E50">
      <w:start w:val="1"/>
      <w:numFmt w:val="bullet"/>
      <w:lvlText w:val="o"/>
      <w:lvlJc w:val="left"/>
      <w:pPr>
        <w:ind w:left="369" w:hanging="360"/>
      </w:pPr>
      <w:rPr>
        <w:rFonts w:ascii="Courier New" w:hAnsi="Courier New" w:hint="default"/>
        <w:sz w:val="18"/>
      </w:rPr>
    </w:lvl>
    <w:lvl w:ilvl="2" w:tplc="0C090005">
      <w:start w:val="1"/>
      <w:numFmt w:val="bullet"/>
      <w:lvlText w:val=""/>
      <w:lvlJc w:val="left"/>
      <w:pPr>
        <w:ind w:left="1089" w:hanging="360"/>
      </w:pPr>
      <w:rPr>
        <w:rFonts w:ascii="Wingdings" w:hAnsi="Wingdings" w:hint="default"/>
      </w:rPr>
    </w:lvl>
    <w:lvl w:ilvl="3" w:tplc="94143E50">
      <w:start w:val="1"/>
      <w:numFmt w:val="bullet"/>
      <w:lvlText w:val="o"/>
      <w:lvlJc w:val="left"/>
      <w:pPr>
        <w:ind w:left="1809" w:hanging="360"/>
      </w:pPr>
      <w:rPr>
        <w:rFonts w:ascii="Courier New" w:hAnsi="Courier New" w:hint="default"/>
        <w:sz w:val="18"/>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6" w15:restartNumberingAfterBreak="0">
    <w:nsid w:val="0ED35FA6"/>
    <w:multiLevelType w:val="hybridMultilevel"/>
    <w:tmpl w:val="286E6E4E"/>
    <w:lvl w:ilvl="0" w:tplc="C32E4D24">
      <w:start w:val="1"/>
      <w:numFmt w:val="bullet"/>
      <w:pStyle w:val="bullet"/>
      <w:lvlText w:val=""/>
      <w:lvlJc w:val="left"/>
      <w:pPr>
        <w:ind w:left="360" w:hanging="360"/>
      </w:pPr>
      <w:rPr>
        <w:rFonts w:ascii="Symbol" w:hAnsi="Symbol" w:hint="default"/>
      </w:rPr>
    </w:lvl>
    <w:lvl w:ilvl="1" w:tplc="9620BE70">
      <w:numFmt w:val="bullet"/>
      <w:lvlText w:val="•"/>
      <w:lvlJc w:val="left"/>
      <w:pPr>
        <w:ind w:left="1155" w:hanging="435"/>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F94550"/>
    <w:multiLevelType w:val="hybridMultilevel"/>
    <w:tmpl w:val="833C10EE"/>
    <w:lvl w:ilvl="0" w:tplc="CB367B4A">
      <w:start w:val="1"/>
      <w:numFmt w:val="bullet"/>
      <w:pStyle w:val="bullet2"/>
      <w:lvlText w:val="⭕"/>
      <w:lvlJc w:val="left"/>
      <w:pPr>
        <w:ind w:left="1001" w:hanging="360"/>
      </w:pPr>
      <w:rPr>
        <w:rFonts w:ascii="Segoe UI Symbol" w:hAnsi="Segoe UI Symbol" w:hint="default"/>
        <w:b/>
        <w:i w:val="0"/>
        <w:sz w:val="14"/>
      </w:rPr>
    </w:lvl>
    <w:lvl w:ilvl="1" w:tplc="0C090003" w:tentative="1">
      <w:start w:val="1"/>
      <w:numFmt w:val="bullet"/>
      <w:lvlText w:val="o"/>
      <w:lvlJc w:val="left"/>
      <w:pPr>
        <w:ind w:left="1721" w:hanging="360"/>
      </w:pPr>
      <w:rPr>
        <w:rFonts w:ascii="Courier New" w:hAnsi="Courier New" w:cs="Courier New" w:hint="default"/>
      </w:rPr>
    </w:lvl>
    <w:lvl w:ilvl="2" w:tplc="0C090005" w:tentative="1">
      <w:start w:val="1"/>
      <w:numFmt w:val="bullet"/>
      <w:lvlText w:val=""/>
      <w:lvlJc w:val="left"/>
      <w:pPr>
        <w:ind w:left="2441" w:hanging="360"/>
      </w:pPr>
      <w:rPr>
        <w:rFonts w:ascii="Wingdings" w:hAnsi="Wingdings" w:hint="default"/>
      </w:rPr>
    </w:lvl>
    <w:lvl w:ilvl="3" w:tplc="0C090001" w:tentative="1">
      <w:start w:val="1"/>
      <w:numFmt w:val="bullet"/>
      <w:lvlText w:val=""/>
      <w:lvlJc w:val="left"/>
      <w:pPr>
        <w:ind w:left="3161" w:hanging="360"/>
      </w:pPr>
      <w:rPr>
        <w:rFonts w:ascii="Symbol" w:hAnsi="Symbol" w:hint="default"/>
      </w:rPr>
    </w:lvl>
    <w:lvl w:ilvl="4" w:tplc="0C090003" w:tentative="1">
      <w:start w:val="1"/>
      <w:numFmt w:val="bullet"/>
      <w:lvlText w:val="o"/>
      <w:lvlJc w:val="left"/>
      <w:pPr>
        <w:ind w:left="3881" w:hanging="360"/>
      </w:pPr>
      <w:rPr>
        <w:rFonts w:ascii="Courier New" w:hAnsi="Courier New" w:cs="Courier New" w:hint="default"/>
      </w:rPr>
    </w:lvl>
    <w:lvl w:ilvl="5" w:tplc="0C090005" w:tentative="1">
      <w:start w:val="1"/>
      <w:numFmt w:val="bullet"/>
      <w:lvlText w:val=""/>
      <w:lvlJc w:val="left"/>
      <w:pPr>
        <w:ind w:left="4601" w:hanging="360"/>
      </w:pPr>
      <w:rPr>
        <w:rFonts w:ascii="Wingdings" w:hAnsi="Wingdings" w:hint="default"/>
      </w:rPr>
    </w:lvl>
    <w:lvl w:ilvl="6" w:tplc="0C090001" w:tentative="1">
      <w:start w:val="1"/>
      <w:numFmt w:val="bullet"/>
      <w:lvlText w:val=""/>
      <w:lvlJc w:val="left"/>
      <w:pPr>
        <w:ind w:left="5321" w:hanging="360"/>
      </w:pPr>
      <w:rPr>
        <w:rFonts w:ascii="Symbol" w:hAnsi="Symbol" w:hint="default"/>
      </w:rPr>
    </w:lvl>
    <w:lvl w:ilvl="7" w:tplc="0C090003" w:tentative="1">
      <w:start w:val="1"/>
      <w:numFmt w:val="bullet"/>
      <w:lvlText w:val="o"/>
      <w:lvlJc w:val="left"/>
      <w:pPr>
        <w:ind w:left="6041" w:hanging="360"/>
      </w:pPr>
      <w:rPr>
        <w:rFonts w:ascii="Courier New" w:hAnsi="Courier New" w:cs="Courier New" w:hint="default"/>
      </w:rPr>
    </w:lvl>
    <w:lvl w:ilvl="8" w:tplc="0C090005" w:tentative="1">
      <w:start w:val="1"/>
      <w:numFmt w:val="bullet"/>
      <w:lvlText w:val=""/>
      <w:lvlJc w:val="left"/>
      <w:pPr>
        <w:ind w:left="6761" w:hanging="360"/>
      </w:pPr>
      <w:rPr>
        <w:rFonts w:ascii="Wingdings" w:hAnsi="Wingdings" w:hint="default"/>
      </w:rPr>
    </w:lvl>
  </w:abstractNum>
  <w:abstractNum w:abstractNumId="8" w15:restartNumberingAfterBreak="0">
    <w:nsid w:val="13654226"/>
    <w:multiLevelType w:val="hybridMultilevel"/>
    <w:tmpl w:val="CD921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1811A9"/>
    <w:multiLevelType w:val="hybridMultilevel"/>
    <w:tmpl w:val="528EA494"/>
    <w:lvl w:ilvl="0" w:tplc="B80EA472">
      <w:start w:val="1"/>
      <w:numFmt w:val="bullet"/>
      <w:lvlText w:val=""/>
      <w:lvlJc w:val="left"/>
      <w:pPr>
        <w:ind w:left="1004" w:hanging="360"/>
      </w:pPr>
      <w:rPr>
        <w:rFonts w:ascii="Symbol" w:hAnsi="Symbol" w:hint="default"/>
        <w:sz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8FB7909"/>
    <w:multiLevelType w:val="hybridMultilevel"/>
    <w:tmpl w:val="223483B2"/>
    <w:lvl w:ilvl="0" w:tplc="0C090001">
      <w:start w:val="1"/>
      <w:numFmt w:val="bullet"/>
      <w:lvlText w:val=""/>
      <w:lvlJc w:val="left"/>
      <w:pPr>
        <w:ind w:left="720" w:hanging="360"/>
      </w:pPr>
      <w:rPr>
        <w:rFonts w:ascii="Symbol" w:hAnsi="Symbol" w:hint="default"/>
      </w:rPr>
    </w:lvl>
    <w:lvl w:ilvl="1" w:tplc="B80EA472">
      <w:start w:val="1"/>
      <w:numFmt w:val="bullet"/>
      <w:lvlText w:val=""/>
      <w:lvlJc w:val="left"/>
      <w:pPr>
        <w:ind w:left="1440" w:hanging="360"/>
      </w:pPr>
      <w:rPr>
        <w:rFonts w:ascii="Symbol" w:hAnsi="Symbol" w:hint="default"/>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1E29353B"/>
    <w:multiLevelType w:val="hybridMultilevel"/>
    <w:tmpl w:val="C3564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4E465D"/>
    <w:multiLevelType w:val="singleLevel"/>
    <w:tmpl w:val="6E52C8A0"/>
    <w:lvl w:ilvl="0">
      <w:start w:val="1"/>
      <w:numFmt w:val="decimal"/>
      <w:pStyle w:val="Attclause"/>
      <w:lvlText w:val="%1"/>
      <w:lvlJc w:val="left"/>
      <w:pPr>
        <w:tabs>
          <w:tab w:val="num" w:pos="360"/>
        </w:tabs>
        <w:ind w:left="360" w:hanging="360"/>
      </w:pPr>
      <w:rPr>
        <w:rFonts w:hint="default"/>
        <w:strike w:val="0"/>
      </w:rPr>
    </w:lvl>
  </w:abstractNum>
  <w:abstractNum w:abstractNumId="15" w15:restartNumberingAfterBreak="0">
    <w:nsid w:val="26A37723"/>
    <w:multiLevelType w:val="hybridMultilevel"/>
    <w:tmpl w:val="9E2226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E87CBE"/>
    <w:multiLevelType w:val="hybridMultilevel"/>
    <w:tmpl w:val="91700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2D670175"/>
    <w:multiLevelType w:val="hybridMultilevel"/>
    <w:tmpl w:val="C682E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425AB"/>
    <w:multiLevelType w:val="multilevel"/>
    <w:tmpl w:val="BC8603C0"/>
    <w:numStyleLink w:val="ListNumbers"/>
  </w:abstractNum>
  <w:abstractNum w:abstractNumId="20" w15:restartNumberingAfterBreak="0">
    <w:nsid w:val="3093431F"/>
    <w:multiLevelType w:val="hybridMultilevel"/>
    <w:tmpl w:val="9356C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0D0C40"/>
    <w:multiLevelType w:val="multilevel"/>
    <w:tmpl w:val="5544A830"/>
    <w:lvl w:ilvl="0">
      <w:start w:val="1"/>
      <w:numFmt w:val="bullet"/>
      <w:lvlText w:val=""/>
      <w:lvlJc w:val="left"/>
      <w:pPr>
        <w:tabs>
          <w:tab w:val="num" w:pos="-208"/>
        </w:tabs>
        <w:ind w:left="-208" w:hanging="360"/>
      </w:pPr>
      <w:rPr>
        <w:rFonts w:ascii="Symbol" w:hAnsi="Symbol" w:hint="default"/>
        <w:sz w:val="22"/>
      </w:rPr>
    </w:lvl>
    <w:lvl w:ilvl="1">
      <w:start w:val="1"/>
      <w:numFmt w:val="bullet"/>
      <w:lvlText w:val="o"/>
      <w:lvlJc w:val="left"/>
      <w:pPr>
        <w:tabs>
          <w:tab w:val="num" w:pos="512"/>
        </w:tabs>
        <w:ind w:left="512" w:hanging="360"/>
      </w:pPr>
      <w:rPr>
        <w:rFonts w:ascii="Courier New" w:hAnsi="Courier New" w:hint="default"/>
        <w:sz w:val="20"/>
      </w:rPr>
    </w:lvl>
    <w:lvl w:ilvl="2" w:tentative="1">
      <w:start w:val="1"/>
      <w:numFmt w:val="bullet"/>
      <w:lvlText w:val=""/>
      <w:lvlJc w:val="left"/>
      <w:pPr>
        <w:tabs>
          <w:tab w:val="num" w:pos="1232"/>
        </w:tabs>
        <w:ind w:left="1232" w:hanging="360"/>
      </w:pPr>
      <w:rPr>
        <w:rFonts w:ascii="Wingdings" w:hAnsi="Wingdings" w:hint="default"/>
        <w:sz w:val="20"/>
      </w:rPr>
    </w:lvl>
    <w:lvl w:ilvl="3" w:tentative="1">
      <w:start w:val="1"/>
      <w:numFmt w:val="bullet"/>
      <w:lvlText w:val=""/>
      <w:lvlJc w:val="left"/>
      <w:pPr>
        <w:tabs>
          <w:tab w:val="num" w:pos="1952"/>
        </w:tabs>
        <w:ind w:left="1952" w:hanging="360"/>
      </w:pPr>
      <w:rPr>
        <w:rFonts w:ascii="Wingdings" w:hAnsi="Wingdings" w:hint="default"/>
        <w:sz w:val="20"/>
      </w:rPr>
    </w:lvl>
    <w:lvl w:ilvl="4" w:tentative="1">
      <w:start w:val="1"/>
      <w:numFmt w:val="bullet"/>
      <w:lvlText w:val=""/>
      <w:lvlJc w:val="left"/>
      <w:pPr>
        <w:tabs>
          <w:tab w:val="num" w:pos="2672"/>
        </w:tabs>
        <w:ind w:left="2672" w:hanging="360"/>
      </w:pPr>
      <w:rPr>
        <w:rFonts w:ascii="Wingdings" w:hAnsi="Wingdings" w:hint="default"/>
        <w:sz w:val="20"/>
      </w:rPr>
    </w:lvl>
    <w:lvl w:ilvl="5" w:tentative="1">
      <w:start w:val="1"/>
      <w:numFmt w:val="bullet"/>
      <w:lvlText w:val=""/>
      <w:lvlJc w:val="left"/>
      <w:pPr>
        <w:tabs>
          <w:tab w:val="num" w:pos="3392"/>
        </w:tabs>
        <w:ind w:left="3392" w:hanging="360"/>
      </w:pPr>
      <w:rPr>
        <w:rFonts w:ascii="Wingdings" w:hAnsi="Wingdings" w:hint="default"/>
        <w:sz w:val="20"/>
      </w:rPr>
    </w:lvl>
    <w:lvl w:ilvl="6" w:tentative="1">
      <w:start w:val="1"/>
      <w:numFmt w:val="bullet"/>
      <w:lvlText w:val=""/>
      <w:lvlJc w:val="left"/>
      <w:pPr>
        <w:tabs>
          <w:tab w:val="num" w:pos="4112"/>
        </w:tabs>
        <w:ind w:left="4112" w:hanging="360"/>
      </w:pPr>
      <w:rPr>
        <w:rFonts w:ascii="Wingdings" w:hAnsi="Wingdings" w:hint="default"/>
        <w:sz w:val="20"/>
      </w:rPr>
    </w:lvl>
    <w:lvl w:ilvl="7" w:tentative="1">
      <w:start w:val="1"/>
      <w:numFmt w:val="bullet"/>
      <w:lvlText w:val=""/>
      <w:lvlJc w:val="left"/>
      <w:pPr>
        <w:tabs>
          <w:tab w:val="num" w:pos="4832"/>
        </w:tabs>
        <w:ind w:left="4832" w:hanging="360"/>
      </w:pPr>
      <w:rPr>
        <w:rFonts w:ascii="Wingdings" w:hAnsi="Wingdings" w:hint="default"/>
        <w:sz w:val="20"/>
      </w:rPr>
    </w:lvl>
    <w:lvl w:ilvl="8" w:tentative="1">
      <w:start w:val="1"/>
      <w:numFmt w:val="bullet"/>
      <w:lvlText w:val=""/>
      <w:lvlJc w:val="left"/>
      <w:pPr>
        <w:tabs>
          <w:tab w:val="num" w:pos="5552"/>
        </w:tabs>
        <w:ind w:left="5552" w:hanging="360"/>
      </w:pPr>
      <w:rPr>
        <w:rFonts w:ascii="Wingdings" w:hAnsi="Wingdings" w:hint="default"/>
        <w:sz w:val="20"/>
      </w:rPr>
    </w:lvl>
  </w:abstractNum>
  <w:abstractNum w:abstractNumId="22" w15:restartNumberingAfterBreak="0">
    <w:nsid w:val="365B0184"/>
    <w:multiLevelType w:val="hybridMultilevel"/>
    <w:tmpl w:val="AB28A130"/>
    <w:lvl w:ilvl="0" w:tplc="14901720">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F52452"/>
    <w:multiLevelType w:val="hybridMultilevel"/>
    <w:tmpl w:val="2418F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9E2C86"/>
    <w:multiLevelType w:val="hybridMultilevel"/>
    <w:tmpl w:val="90BAC9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CD7EE2"/>
    <w:multiLevelType w:val="hybridMultilevel"/>
    <w:tmpl w:val="E7589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5C1C68"/>
    <w:multiLevelType w:val="hybridMultilevel"/>
    <w:tmpl w:val="F000C7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6527C3E"/>
    <w:multiLevelType w:val="multilevel"/>
    <w:tmpl w:val="0BEA723A"/>
    <w:styleLink w:val="Style1"/>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6DD5C12"/>
    <w:multiLevelType w:val="multilevel"/>
    <w:tmpl w:val="20F2356A"/>
    <w:numStyleLink w:val="Appendix"/>
  </w:abstractNum>
  <w:abstractNum w:abstractNumId="29" w15:restartNumberingAfterBreak="0">
    <w:nsid w:val="488F4857"/>
    <w:multiLevelType w:val="hybridMultilevel"/>
    <w:tmpl w:val="DA6AD6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A02BEB"/>
    <w:multiLevelType w:val="hybridMultilevel"/>
    <w:tmpl w:val="D22EA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4234F7"/>
    <w:multiLevelType w:val="hybridMultilevel"/>
    <w:tmpl w:val="26A4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C431E7"/>
    <w:multiLevelType w:val="hybridMultilevel"/>
    <w:tmpl w:val="3AF07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510165BD"/>
    <w:multiLevelType w:val="hybridMultilevel"/>
    <w:tmpl w:val="B6686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835E77"/>
    <w:multiLevelType w:val="hybridMultilevel"/>
    <w:tmpl w:val="7F5C5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721762"/>
    <w:multiLevelType w:val="hybridMultilevel"/>
    <w:tmpl w:val="A470C7AC"/>
    <w:lvl w:ilvl="0" w:tplc="94143E50">
      <w:start w:val="1"/>
      <w:numFmt w:val="bullet"/>
      <w:lvlText w:val="o"/>
      <w:lvlJc w:val="left"/>
      <w:pPr>
        <w:ind w:left="1001" w:hanging="360"/>
      </w:pPr>
      <w:rPr>
        <w:rFonts w:ascii="Courier New" w:hAnsi="Courier New" w:hint="default"/>
        <w:b/>
        <w:i w:val="0"/>
        <w:sz w:val="18"/>
      </w:rPr>
    </w:lvl>
    <w:lvl w:ilvl="1" w:tplc="0C090003" w:tentative="1">
      <w:start w:val="1"/>
      <w:numFmt w:val="bullet"/>
      <w:lvlText w:val="o"/>
      <w:lvlJc w:val="left"/>
      <w:pPr>
        <w:ind w:left="1721" w:hanging="360"/>
      </w:pPr>
      <w:rPr>
        <w:rFonts w:ascii="Courier New" w:hAnsi="Courier New" w:cs="Courier New" w:hint="default"/>
      </w:rPr>
    </w:lvl>
    <w:lvl w:ilvl="2" w:tplc="0C090005" w:tentative="1">
      <w:start w:val="1"/>
      <w:numFmt w:val="bullet"/>
      <w:lvlText w:val=""/>
      <w:lvlJc w:val="left"/>
      <w:pPr>
        <w:ind w:left="2441" w:hanging="360"/>
      </w:pPr>
      <w:rPr>
        <w:rFonts w:ascii="Wingdings" w:hAnsi="Wingdings" w:hint="default"/>
      </w:rPr>
    </w:lvl>
    <w:lvl w:ilvl="3" w:tplc="0C090001" w:tentative="1">
      <w:start w:val="1"/>
      <w:numFmt w:val="bullet"/>
      <w:lvlText w:val=""/>
      <w:lvlJc w:val="left"/>
      <w:pPr>
        <w:ind w:left="3161" w:hanging="360"/>
      </w:pPr>
      <w:rPr>
        <w:rFonts w:ascii="Symbol" w:hAnsi="Symbol" w:hint="default"/>
      </w:rPr>
    </w:lvl>
    <w:lvl w:ilvl="4" w:tplc="0C090003" w:tentative="1">
      <w:start w:val="1"/>
      <w:numFmt w:val="bullet"/>
      <w:lvlText w:val="o"/>
      <w:lvlJc w:val="left"/>
      <w:pPr>
        <w:ind w:left="3881" w:hanging="360"/>
      </w:pPr>
      <w:rPr>
        <w:rFonts w:ascii="Courier New" w:hAnsi="Courier New" w:cs="Courier New" w:hint="default"/>
      </w:rPr>
    </w:lvl>
    <w:lvl w:ilvl="5" w:tplc="0C090005" w:tentative="1">
      <w:start w:val="1"/>
      <w:numFmt w:val="bullet"/>
      <w:lvlText w:val=""/>
      <w:lvlJc w:val="left"/>
      <w:pPr>
        <w:ind w:left="4601" w:hanging="360"/>
      </w:pPr>
      <w:rPr>
        <w:rFonts w:ascii="Wingdings" w:hAnsi="Wingdings" w:hint="default"/>
      </w:rPr>
    </w:lvl>
    <w:lvl w:ilvl="6" w:tplc="0C090001" w:tentative="1">
      <w:start w:val="1"/>
      <w:numFmt w:val="bullet"/>
      <w:lvlText w:val=""/>
      <w:lvlJc w:val="left"/>
      <w:pPr>
        <w:ind w:left="5321" w:hanging="360"/>
      </w:pPr>
      <w:rPr>
        <w:rFonts w:ascii="Symbol" w:hAnsi="Symbol" w:hint="default"/>
      </w:rPr>
    </w:lvl>
    <w:lvl w:ilvl="7" w:tplc="0C090003" w:tentative="1">
      <w:start w:val="1"/>
      <w:numFmt w:val="bullet"/>
      <w:lvlText w:val="o"/>
      <w:lvlJc w:val="left"/>
      <w:pPr>
        <w:ind w:left="6041" w:hanging="360"/>
      </w:pPr>
      <w:rPr>
        <w:rFonts w:ascii="Courier New" w:hAnsi="Courier New" w:cs="Courier New" w:hint="default"/>
      </w:rPr>
    </w:lvl>
    <w:lvl w:ilvl="8" w:tplc="0C090005" w:tentative="1">
      <w:start w:val="1"/>
      <w:numFmt w:val="bullet"/>
      <w:lvlText w:val=""/>
      <w:lvlJc w:val="left"/>
      <w:pPr>
        <w:ind w:left="6761" w:hanging="360"/>
      </w:pPr>
      <w:rPr>
        <w:rFonts w:ascii="Wingdings" w:hAnsi="Wingdings" w:hint="default"/>
      </w:rPr>
    </w:lvl>
  </w:abstractNum>
  <w:abstractNum w:abstractNumId="37" w15:restartNumberingAfterBreak="0">
    <w:nsid w:val="58B85793"/>
    <w:multiLevelType w:val="hybridMultilevel"/>
    <w:tmpl w:val="F6F6BD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356A85"/>
    <w:multiLevelType w:val="hybridMultilevel"/>
    <w:tmpl w:val="56E02C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0"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1" w15:restartNumberingAfterBreak="0">
    <w:nsid w:val="5CA45A0F"/>
    <w:multiLevelType w:val="hybridMultilevel"/>
    <w:tmpl w:val="7D28E280"/>
    <w:lvl w:ilvl="0" w:tplc="B80EA472">
      <w:start w:val="1"/>
      <w:numFmt w:val="bullet"/>
      <w:lvlText w:val=""/>
      <w:lvlJc w:val="left"/>
      <w:pPr>
        <w:ind w:left="720" w:hanging="360"/>
      </w:pPr>
      <w:rPr>
        <w:rFonts w:ascii="Symbol" w:hAnsi="Symbol" w:hint="default"/>
        <w:sz w:val="22"/>
      </w:rPr>
    </w:lvl>
    <w:lvl w:ilvl="1" w:tplc="B80EA472">
      <w:start w:val="1"/>
      <w:numFmt w:val="bullet"/>
      <w:lvlText w:val=""/>
      <w:lvlJc w:val="left"/>
      <w:pPr>
        <w:ind w:left="1440" w:hanging="360"/>
      </w:pPr>
      <w:rPr>
        <w:rFonts w:ascii="Symbol" w:hAnsi="Symbol" w:hint="default"/>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595D50"/>
    <w:multiLevelType w:val="hybridMultilevel"/>
    <w:tmpl w:val="280CD50A"/>
    <w:lvl w:ilvl="0" w:tplc="0C090001">
      <w:start w:val="1"/>
      <w:numFmt w:val="bullet"/>
      <w:lvlText w:val=""/>
      <w:lvlJc w:val="left"/>
      <w:pPr>
        <w:ind w:left="-351" w:hanging="360"/>
      </w:pPr>
      <w:rPr>
        <w:rFonts w:ascii="Symbol" w:hAnsi="Symbol" w:hint="default"/>
      </w:rPr>
    </w:lvl>
    <w:lvl w:ilvl="1" w:tplc="0C090003">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43" w15:restartNumberingAfterBreak="0">
    <w:nsid w:val="64CD46DA"/>
    <w:multiLevelType w:val="hybridMultilevel"/>
    <w:tmpl w:val="88408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3A3D4A"/>
    <w:multiLevelType w:val="hybridMultilevel"/>
    <w:tmpl w:val="DDF0D8F8"/>
    <w:lvl w:ilvl="0" w:tplc="C32E4D24">
      <w:start w:val="1"/>
      <w:numFmt w:val="bullet"/>
      <w:lvlText w:val=""/>
      <w:lvlJc w:val="left"/>
      <w:pPr>
        <w:ind w:left="360" w:hanging="360"/>
      </w:pPr>
      <w:rPr>
        <w:rFonts w:ascii="Symbol" w:hAnsi="Symbol" w:hint="default"/>
      </w:rPr>
    </w:lvl>
    <w:lvl w:ilvl="1" w:tplc="14901720">
      <w:start w:val="1"/>
      <w:numFmt w:val="bullet"/>
      <w:lvlText w:val=""/>
      <w:lvlJc w:val="left"/>
      <w:pPr>
        <w:ind w:left="1155" w:hanging="435"/>
      </w:pPr>
      <w:rPr>
        <w:rFonts w:ascii="Symbol" w:hAnsi="Symbol" w:hint="default"/>
        <w:sz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7294AAE"/>
    <w:multiLevelType w:val="hybridMultilevel"/>
    <w:tmpl w:val="76E6B6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96D4982"/>
    <w:multiLevelType w:val="singleLevel"/>
    <w:tmpl w:val="F3A24428"/>
    <w:styleLink w:val="Style11"/>
    <w:lvl w:ilvl="0">
      <w:start w:val="1"/>
      <w:numFmt w:val="lowerLetter"/>
      <w:lvlText w:val="(%1)"/>
      <w:lvlJc w:val="left"/>
      <w:pPr>
        <w:tabs>
          <w:tab w:val="num" w:pos="705"/>
        </w:tabs>
        <w:ind w:left="705" w:hanging="705"/>
      </w:pPr>
      <w:rPr>
        <w:rFonts w:hint="default"/>
      </w:rPr>
    </w:lvl>
  </w:abstractNum>
  <w:abstractNum w:abstractNumId="47" w15:restartNumberingAfterBreak="0">
    <w:nsid w:val="6A1A384B"/>
    <w:multiLevelType w:val="hybridMultilevel"/>
    <w:tmpl w:val="C2944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9C3611"/>
    <w:multiLevelType w:val="hybridMultilevel"/>
    <w:tmpl w:val="B790856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F985975"/>
    <w:multiLevelType w:val="hybridMultilevel"/>
    <w:tmpl w:val="37EA60C6"/>
    <w:lvl w:ilvl="0" w:tplc="94143E50">
      <w:start w:val="1"/>
      <w:numFmt w:val="bullet"/>
      <w:lvlText w:val="o"/>
      <w:lvlJc w:val="left"/>
      <w:pPr>
        <w:ind w:left="1080" w:hanging="360"/>
      </w:pPr>
      <w:rPr>
        <w:rFonts w:ascii="Courier New" w:hAnsi="Courier New" w:hint="default"/>
        <w:sz w:val="18"/>
      </w:rPr>
    </w:lvl>
    <w:lvl w:ilvl="1" w:tplc="94143E50">
      <w:start w:val="1"/>
      <w:numFmt w:val="bullet"/>
      <w:lvlText w:val="o"/>
      <w:lvlJc w:val="left"/>
      <w:pPr>
        <w:ind w:left="1800" w:hanging="360"/>
      </w:pPr>
      <w:rPr>
        <w:rFonts w:ascii="Courier New" w:hAnsi="Courier New" w:hint="default"/>
        <w:sz w:val="1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2794BD0"/>
    <w:multiLevelType w:val="hybridMultilevel"/>
    <w:tmpl w:val="3A180F48"/>
    <w:lvl w:ilvl="0" w:tplc="0C09001B">
      <w:start w:val="1"/>
      <w:numFmt w:val="lowerRoman"/>
      <w:lvlText w:val="%1."/>
      <w:lvlJc w:val="right"/>
      <w:pPr>
        <w:ind w:left="1980" w:hanging="360"/>
      </w:pPr>
    </w:lvl>
    <w:lvl w:ilvl="1" w:tplc="0C090019" w:tentative="1">
      <w:start w:val="1"/>
      <w:numFmt w:val="lowerLetter"/>
      <w:lvlText w:val="%2."/>
      <w:lvlJc w:val="left"/>
      <w:pPr>
        <w:ind w:left="2700" w:hanging="360"/>
      </w:p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52" w15:restartNumberingAfterBreak="0">
    <w:nsid w:val="731A0811"/>
    <w:multiLevelType w:val="hybridMultilevel"/>
    <w:tmpl w:val="640A4A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74A5247F"/>
    <w:multiLevelType w:val="hybridMultilevel"/>
    <w:tmpl w:val="2886EBEA"/>
    <w:lvl w:ilvl="0" w:tplc="0C09000F">
      <w:start w:val="1"/>
      <w:numFmt w:val="decimal"/>
      <w:lvlText w:val="%1."/>
      <w:lvlJc w:val="left"/>
      <w:pPr>
        <w:ind w:left="360" w:hanging="360"/>
      </w:pPr>
      <w:rPr>
        <w:rFonts w:hint="default"/>
      </w:rPr>
    </w:lvl>
    <w:lvl w:ilvl="1" w:tplc="8A64A096">
      <w:start w:val="1"/>
      <w:numFmt w:val="decimal"/>
      <w:lvlText w:val="%2."/>
      <w:lvlJc w:val="left"/>
      <w:pPr>
        <w:ind w:left="1080" w:hanging="360"/>
      </w:pPr>
      <w:rPr>
        <w:rFonts w:hint="default"/>
      </w:rPr>
    </w:lvl>
    <w:lvl w:ilvl="2" w:tplc="0C09001B">
      <w:start w:val="1"/>
      <w:numFmt w:val="lowerRoman"/>
      <w:lvlText w:val="%3."/>
      <w:lvlJc w:val="right"/>
      <w:pPr>
        <w:ind w:left="1800" w:hanging="180"/>
      </w:pPr>
    </w:lvl>
    <w:lvl w:ilvl="3" w:tplc="F29E3632">
      <w:numFmt w:val="bullet"/>
      <w:lvlText w:val="•"/>
      <w:lvlJc w:val="left"/>
      <w:pPr>
        <w:ind w:left="2592" w:hanging="432"/>
      </w:pPr>
      <w:rPr>
        <w:rFonts w:ascii="Segoe UI" w:eastAsiaTheme="minorHAnsi" w:hAnsi="Segoe UI" w:cs="Segoe UI"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89375D1"/>
    <w:multiLevelType w:val="hybridMultilevel"/>
    <w:tmpl w:val="229034F6"/>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5" w15:restartNumberingAfterBreak="0">
    <w:nsid w:val="7FA53845"/>
    <w:multiLevelType w:val="multilevel"/>
    <w:tmpl w:val="E8302A0C"/>
    <w:lvl w:ilvl="0">
      <w:start w:val="1"/>
      <w:numFmt w:val="bullet"/>
      <w:pStyle w:val="Arrow"/>
      <w:lvlText w:val=""/>
      <w:lvlJc w:val="left"/>
      <w:pPr>
        <w:tabs>
          <w:tab w:val="num" w:pos="1134"/>
        </w:tabs>
        <w:ind w:left="1134" w:hanging="567"/>
      </w:pPr>
      <w:rPr>
        <w:rFonts w:ascii="Wingdings" w:hAnsi="Wingdings" w:hint="default"/>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num w:numId="1">
    <w:abstractNumId w:val="6"/>
  </w:num>
  <w:num w:numId="2">
    <w:abstractNumId w:val="7"/>
  </w:num>
  <w:num w:numId="3">
    <w:abstractNumId w:val="1"/>
  </w:num>
  <w:num w:numId="4">
    <w:abstractNumId w:val="37"/>
  </w:num>
  <w:num w:numId="5">
    <w:abstractNumId w:val="48"/>
  </w:num>
  <w:num w:numId="6">
    <w:abstractNumId w:val="25"/>
  </w:num>
  <w:num w:numId="7">
    <w:abstractNumId w:val="39"/>
  </w:num>
  <w:num w:numId="8">
    <w:abstractNumId w:val="30"/>
  </w:num>
  <w:num w:numId="9">
    <w:abstractNumId w:val="11"/>
  </w:num>
  <w:num w:numId="10">
    <w:abstractNumId w:val="12"/>
  </w:num>
  <w:num w:numId="11">
    <w:abstractNumId w:val="0"/>
  </w:num>
  <w:num w:numId="12">
    <w:abstractNumId w:val="49"/>
  </w:num>
  <w:num w:numId="13">
    <w:abstractNumId w:val="19"/>
  </w:num>
  <w:num w:numId="14">
    <w:abstractNumId w:val="40"/>
  </w:num>
  <w:num w:numId="15">
    <w:abstractNumId w:val="17"/>
  </w:num>
  <w:num w:numId="16">
    <w:abstractNumId w:val="28"/>
  </w:num>
  <w:num w:numId="17">
    <w:abstractNumId w:val="2"/>
  </w:num>
  <w:num w:numId="18">
    <w:abstractNumId w:val="4"/>
  </w:num>
  <w:num w:numId="19">
    <w:abstractNumId w:val="35"/>
  </w:num>
  <w:num w:numId="20">
    <w:abstractNumId w:val="24"/>
  </w:num>
  <w:num w:numId="21">
    <w:abstractNumId w:val="53"/>
  </w:num>
  <w:num w:numId="22">
    <w:abstractNumId w:val="38"/>
  </w:num>
  <w:num w:numId="23">
    <w:abstractNumId w:val="20"/>
  </w:num>
  <w:num w:numId="24">
    <w:abstractNumId w:val="8"/>
  </w:num>
  <w:num w:numId="25">
    <w:abstractNumId w:val="54"/>
  </w:num>
  <w:num w:numId="26">
    <w:abstractNumId w:val="3"/>
  </w:num>
  <w:num w:numId="27">
    <w:abstractNumId w:val="15"/>
  </w:num>
  <w:num w:numId="28">
    <w:abstractNumId w:val="51"/>
  </w:num>
  <w:num w:numId="29">
    <w:abstractNumId w:val="47"/>
  </w:num>
  <w:num w:numId="30">
    <w:abstractNumId w:val="43"/>
  </w:num>
  <w:num w:numId="31">
    <w:abstractNumId w:val="13"/>
  </w:num>
  <w:num w:numId="32">
    <w:abstractNumId w:val="34"/>
  </w:num>
  <w:num w:numId="33">
    <w:abstractNumId w:val="26"/>
  </w:num>
  <w:num w:numId="34">
    <w:abstractNumId w:val="45"/>
  </w:num>
  <w:num w:numId="35">
    <w:abstractNumId w:val="29"/>
  </w:num>
  <w:num w:numId="36">
    <w:abstractNumId w:val="33"/>
  </w:num>
  <w:num w:numId="37">
    <w:abstractNumId w:val="42"/>
  </w:num>
  <w:num w:numId="38">
    <w:abstractNumId w:val="18"/>
  </w:num>
  <w:num w:numId="39">
    <w:abstractNumId w:val="16"/>
  </w:num>
  <w:num w:numId="40">
    <w:abstractNumId w:val="31"/>
  </w:num>
  <w:num w:numId="41">
    <w:abstractNumId w:val="52"/>
  </w:num>
  <w:num w:numId="42">
    <w:abstractNumId w:val="23"/>
  </w:num>
  <w:num w:numId="43">
    <w:abstractNumId w:val="46"/>
  </w:num>
  <w:num w:numId="44">
    <w:abstractNumId w:val="14"/>
  </w:num>
  <w:num w:numId="45">
    <w:abstractNumId w:val="55"/>
  </w:num>
  <w:num w:numId="46">
    <w:abstractNumId w:val="27"/>
  </w:num>
  <w:num w:numId="47">
    <w:abstractNumId w:val="10"/>
  </w:num>
  <w:num w:numId="48">
    <w:abstractNumId w:val="9"/>
  </w:num>
  <w:num w:numId="49">
    <w:abstractNumId w:val="41"/>
  </w:num>
  <w:num w:numId="50">
    <w:abstractNumId w:val="21"/>
  </w:num>
  <w:num w:numId="51">
    <w:abstractNumId w:val="32"/>
  </w:num>
  <w:num w:numId="52">
    <w:abstractNumId w:val="36"/>
  </w:num>
  <w:num w:numId="53">
    <w:abstractNumId w:val="50"/>
  </w:num>
  <w:num w:numId="54">
    <w:abstractNumId w:val="22"/>
  </w:num>
  <w:num w:numId="55">
    <w:abstractNumId w:val="44"/>
  </w:num>
  <w:num w:numId="56">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1BC"/>
    <w:rsid w:val="00000D08"/>
    <w:rsid w:val="00000D29"/>
    <w:rsid w:val="000015BE"/>
    <w:rsid w:val="0000281F"/>
    <w:rsid w:val="00002869"/>
    <w:rsid w:val="00002FCD"/>
    <w:rsid w:val="00003B18"/>
    <w:rsid w:val="00003E81"/>
    <w:rsid w:val="000052BB"/>
    <w:rsid w:val="00005D45"/>
    <w:rsid w:val="00005FBA"/>
    <w:rsid w:val="00006939"/>
    <w:rsid w:val="00007CAA"/>
    <w:rsid w:val="0001058C"/>
    <w:rsid w:val="000110D2"/>
    <w:rsid w:val="0001141B"/>
    <w:rsid w:val="0001141F"/>
    <w:rsid w:val="00011B9A"/>
    <w:rsid w:val="0001242A"/>
    <w:rsid w:val="0001243E"/>
    <w:rsid w:val="00012E9C"/>
    <w:rsid w:val="0001389F"/>
    <w:rsid w:val="000142C8"/>
    <w:rsid w:val="000153ED"/>
    <w:rsid w:val="00015503"/>
    <w:rsid w:val="00015DB3"/>
    <w:rsid w:val="00016D61"/>
    <w:rsid w:val="000170F4"/>
    <w:rsid w:val="00017FEB"/>
    <w:rsid w:val="00021CED"/>
    <w:rsid w:val="0002253A"/>
    <w:rsid w:val="00022D4C"/>
    <w:rsid w:val="00022F0B"/>
    <w:rsid w:val="00024186"/>
    <w:rsid w:val="0002468B"/>
    <w:rsid w:val="00024E82"/>
    <w:rsid w:val="0002560F"/>
    <w:rsid w:val="000257F2"/>
    <w:rsid w:val="00025F54"/>
    <w:rsid w:val="0003023F"/>
    <w:rsid w:val="0003030C"/>
    <w:rsid w:val="00030C35"/>
    <w:rsid w:val="000315AE"/>
    <w:rsid w:val="000326D0"/>
    <w:rsid w:val="0003287C"/>
    <w:rsid w:val="00032B07"/>
    <w:rsid w:val="00032BE4"/>
    <w:rsid w:val="000334EE"/>
    <w:rsid w:val="00033698"/>
    <w:rsid w:val="00034EB7"/>
    <w:rsid w:val="0003520D"/>
    <w:rsid w:val="0003521A"/>
    <w:rsid w:val="0003561E"/>
    <w:rsid w:val="00036692"/>
    <w:rsid w:val="00040D1A"/>
    <w:rsid w:val="00041370"/>
    <w:rsid w:val="00041518"/>
    <w:rsid w:val="00041521"/>
    <w:rsid w:val="00042410"/>
    <w:rsid w:val="00043A56"/>
    <w:rsid w:val="00043F1A"/>
    <w:rsid w:val="00044BFA"/>
    <w:rsid w:val="00045F7C"/>
    <w:rsid w:val="00046297"/>
    <w:rsid w:val="00046762"/>
    <w:rsid w:val="00046CDF"/>
    <w:rsid w:val="00047068"/>
    <w:rsid w:val="000507A8"/>
    <w:rsid w:val="00050923"/>
    <w:rsid w:val="000509D3"/>
    <w:rsid w:val="00051B32"/>
    <w:rsid w:val="00051DBE"/>
    <w:rsid w:val="00052865"/>
    <w:rsid w:val="00054FE5"/>
    <w:rsid w:val="000579D8"/>
    <w:rsid w:val="00057D1B"/>
    <w:rsid w:val="00060008"/>
    <w:rsid w:val="00060239"/>
    <w:rsid w:val="0006066B"/>
    <w:rsid w:val="00060694"/>
    <w:rsid w:val="00060725"/>
    <w:rsid w:val="00061A53"/>
    <w:rsid w:val="00061E66"/>
    <w:rsid w:val="0006222F"/>
    <w:rsid w:val="00063B7D"/>
    <w:rsid w:val="00063CD2"/>
    <w:rsid w:val="00064274"/>
    <w:rsid w:val="00064677"/>
    <w:rsid w:val="00066A01"/>
    <w:rsid w:val="00066E02"/>
    <w:rsid w:val="00067062"/>
    <w:rsid w:val="00067100"/>
    <w:rsid w:val="00067A39"/>
    <w:rsid w:val="00067BAA"/>
    <w:rsid w:val="00067E88"/>
    <w:rsid w:val="00070509"/>
    <w:rsid w:val="000708E7"/>
    <w:rsid w:val="00070B21"/>
    <w:rsid w:val="00070D11"/>
    <w:rsid w:val="00070F91"/>
    <w:rsid w:val="000710BB"/>
    <w:rsid w:val="0007110D"/>
    <w:rsid w:val="0007130B"/>
    <w:rsid w:val="0007146B"/>
    <w:rsid w:val="0007147C"/>
    <w:rsid w:val="00071AE9"/>
    <w:rsid w:val="000727CD"/>
    <w:rsid w:val="00072FBA"/>
    <w:rsid w:val="00073C67"/>
    <w:rsid w:val="00074693"/>
    <w:rsid w:val="00075A14"/>
    <w:rsid w:val="00076084"/>
    <w:rsid w:val="00076698"/>
    <w:rsid w:val="00077350"/>
    <w:rsid w:val="00077ECF"/>
    <w:rsid w:val="00080BB2"/>
    <w:rsid w:val="00080C7F"/>
    <w:rsid w:val="000810F8"/>
    <w:rsid w:val="00082736"/>
    <w:rsid w:val="000829DF"/>
    <w:rsid w:val="00082F4F"/>
    <w:rsid w:val="000830DC"/>
    <w:rsid w:val="0008332C"/>
    <w:rsid w:val="000836E1"/>
    <w:rsid w:val="00083A12"/>
    <w:rsid w:val="00083CD6"/>
    <w:rsid w:val="00083FF4"/>
    <w:rsid w:val="00084028"/>
    <w:rsid w:val="000845EE"/>
    <w:rsid w:val="000852A3"/>
    <w:rsid w:val="000853CB"/>
    <w:rsid w:val="0008555D"/>
    <w:rsid w:val="00086366"/>
    <w:rsid w:val="000868C9"/>
    <w:rsid w:val="0008690D"/>
    <w:rsid w:val="0008761A"/>
    <w:rsid w:val="00090565"/>
    <w:rsid w:val="000907C0"/>
    <w:rsid w:val="00090EDC"/>
    <w:rsid w:val="000921D0"/>
    <w:rsid w:val="000923EB"/>
    <w:rsid w:val="000927A1"/>
    <w:rsid w:val="000930A9"/>
    <w:rsid w:val="00093739"/>
    <w:rsid w:val="0009455D"/>
    <w:rsid w:val="0009493A"/>
    <w:rsid w:val="00094A66"/>
    <w:rsid w:val="00094CDB"/>
    <w:rsid w:val="00094EC3"/>
    <w:rsid w:val="00094FC3"/>
    <w:rsid w:val="00095B18"/>
    <w:rsid w:val="00095F1C"/>
    <w:rsid w:val="00096024"/>
    <w:rsid w:val="00097871"/>
    <w:rsid w:val="00097B5A"/>
    <w:rsid w:val="000A0E55"/>
    <w:rsid w:val="000A0ECB"/>
    <w:rsid w:val="000A2352"/>
    <w:rsid w:val="000A2D38"/>
    <w:rsid w:val="000A2FEE"/>
    <w:rsid w:val="000A352F"/>
    <w:rsid w:val="000A3CD6"/>
    <w:rsid w:val="000A5BA6"/>
    <w:rsid w:val="000A6D4F"/>
    <w:rsid w:val="000A7214"/>
    <w:rsid w:val="000A7A9D"/>
    <w:rsid w:val="000A7CF8"/>
    <w:rsid w:val="000B0E15"/>
    <w:rsid w:val="000B13FC"/>
    <w:rsid w:val="000B1725"/>
    <w:rsid w:val="000B1B95"/>
    <w:rsid w:val="000B1F13"/>
    <w:rsid w:val="000B205D"/>
    <w:rsid w:val="000B2621"/>
    <w:rsid w:val="000B49D6"/>
    <w:rsid w:val="000B4A4A"/>
    <w:rsid w:val="000B51E5"/>
    <w:rsid w:val="000B52E8"/>
    <w:rsid w:val="000B53FA"/>
    <w:rsid w:val="000B6D99"/>
    <w:rsid w:val="000B716E"/>
    <w:rsid w:val="000B797D"/>
    <w:rsid w:val="000C0074"/>
    <w:rsid w:val="000C044D"/>
    <w:rsid w:val="000C12A2"/>
    <w:rsid w:val="000C17CE"/>
    <w:rsid w:val="000C17EF"/>
    <w:rsid w:val="000C2191"/>
    <w:rsid w:val="000C224B"/>
    <w:rsid w:val="000C287D"/>
    <w:rsid w:val="000C3A21"/>
    <w:rsid w:val="000C4181"/>
    <w:rsid w:val="000C4391"/>
    <w:rsid w:val="000C45E0"/>
    <w:rsid w:val="000C5C01"/>
    <w:rsid w:val="000C6661"/>
    <w:rsid w:val="000D018C"/>
    <w:rsid w:val="000D04E9"/>
    <w:rsid w:val="000D0D51"/>
    <w:rsid w:val="000D1291"/>
    <w:rsid w:val="000D12A3"/>
    <w:rsid w:val="000D1A4C"/>
    <w:rsid w:val="000D1A94"/>
    <w:rsid w:val="000D2C94"/>
    <w:rsid w:val="000D2F28"/>
    <w:rsid w:val="000D3795"/>
    <w:rsid w:val="000D3B36"/>
    <w:rsid w:val="000D4DF8"/>
    <w:rsid w:val="000D58F2"/>
    <w:rsid w:val="000D5ECC"/>
    <w:rsid w:val="000D608B"/>
    <w:rsid w:val="000D6A3F"/>
    <w:rsid w:val="000D6EE0"/>
    <w:rsid w:val="000D72DF"/>
    <w:rsid w:val="000D791A"/>
    <w:rsid w:val="000D7979"/>
    <w:rsid w:val="000E0955"/>
    <w:rsid w:val="000E0CE4"/>
    <w:rsid w:val="000E0D02"/>
    <w:rsid w:val="000E0EA2"/>
    <w:rsid w:val="000E15D4"/>
    <w:rsid w:val="000E17E1"/>
    <w:rsid w:val="000E2E5F"/>
    <w:rsid w:val="000E2FDF"/>
    <w:rsid w:val="000E315F"/>
    <w:rsid w:val="000E4C66"/>
    <w:rsid w:val="000E4CFB"/>
    <w:rsid w:val="000E5196"/>
    <w:rsid w:val="000E56C2"/>
    <w:rsid w:val="000E59F5"/>
    <w:rsid w:val="000E5FB3"/>
    <w:rsid w:val="000E6BFC"/>
    <w:rsid w:val="000E7750"/>
    <w:rsid w:val="000E7A32"/>
    <w:rsid w:val="000E7F10"/>
    <w:rsid w:val="000F0005"/>
    <w:rsid w:val="000F047E"/>
    <w:rsid w:val="000F05A4"/>
    <w:rsid w:val="000F0B8E"/>
    <w:rsid w:val="000F0D2F"/>
    <w:rsid w:val="000F21DF"/>
    <w:rsid w:val="000F298B"/>
    <w:rsid w:val="000F2E4E"/>
    <w:rsid w:val="000F474A"/>
    <w:rsid w:val="000F4C66"/>
    <w:rsid w:val="000F5FFA"/>
    <w:rsid w:val="000F6020"/>
    <w:rsid w:val="000F6B20"/>
    <w:rsid w:val="000F6DDC"/>
    <w:rsid w:val="000F715C"/>
    <w:rsid w:val="000F7899"/>
    <w:rsid w:val="00100605"/>
    <w:rsid w:val="00100CA3"/>
    <w:rsid w:val="00101163"/>
    <w:rsid w:val="00101395"/>
    <w:rsid w:val="001015AC"/>
    <w:rsid w:val="00101799"/>
    <w:rsid w:val="00102480"/>
    <w:rsid w:val="00103865"/>
    <w:rsid w:val="00103C28"/>
    <w:rsid w:val="00104569"/>
    <w:rsid w:val="001047DC"/>
    <w:rsid w:val="0010491E"/>
    <w:rsid w:val="00104E87"/>
    <w:rsid w:val="00105759"/>
    <w:rsid w:val="00105EA1"/>
    <w:rsid w:val="001062AA"/>
    <w:rsid w:val="001078EA"/>
    <w:rsid w:val="00107E11"/>
    <w:rsid w:val="001102F2"/>
    <w:rsid w:val="0011033D"/>
    <w:rsid w:val="00110B7A"/>
    <w:rsid w:val="00110C76"/>
    <w:rsid w:val="00110F76"/>
    <w:rsid w:val="00111165"/>
    <w:rsid w:val="001113CC"/>
    <w:rsid w:val="00111CA6"/>
    <w:rsid w:val="00111CFF"/>
    <w:rsid w:val="00112C84"/>
    <w:rsid w:val="001135A0"/>
    <w:rsid w:val="00113BB1"/>
    <w:rsid w:val="00114D73"/>
    <w:rsid w:val="00114EB6"/>
    <w:rsid w:val="00115E2F"/>
    <w:rsid w:val="0011736A"/>
    <w:rsid w:val="001210B2"/>
    <w:rsid w:val="00121300"/>
    <w:rsid w:val="0012253C"/>
    <w:rsid w:val="00122701"/>
    <w:rsid w:val="00123070"/>
    <w:rsid w:val="0012322C"/>
    <w:rsid w:val="00123737"/>
    <w:rsid w:val="001238A9"/>
    <w:rsid w:val="00123BDC"/>
    <w:rsid w:val="001240AA"/>
    <w:rsid w:val="00124700"/>
    <w:rsid w:val="00125488"/>
    <w:rsid w:val="00127070"/>
    <w:rsid w:val="00127A48"/>
    <w:rsid w:val="00127C6E"/>
    <w:rsid w:val="00127F50"/>
    <w:rsid w:val="001305A8"/>
    <w:rsid w:val="001312F0"/>
    <w:rsid w:val="0013176C"/>
    <w:rsid w:val="00131C75"/>
    <w:rsid w:val="0013311C"/>
    <w:rsid w:val="00133160"/>
    <w:rsid w:val="0013336F"/>
    <w:rsid w:val="00133965"/>
    <w:rsid w:val="00134DF4"/>
    <w:rsid w:val="00136A28"/>
    <w:rsid w:val="00137BB7"/>
    <w:rsid w:val="00137E4F"/>
    <w:rsid w:val="0014017D"/>
    <w:rsid w:val="00140279"/>
    <w:rsid w:val="001405FC"/>
    <w:rsid w:val="00140F6F"/>
    <w:rsid w:val="00141280"/>
    <w:rsid w:val="00141D0D"/>
    <w:rsid w:val="001425B4"/>
    <w:rsid w:val="00143111"/>
    <w:rsid w:val="001437E2"/>
    <w:rsid w:val="00143EA9"/>
    <w:rsid w:val="001445DC"/>
    <w:rsid w:val="00145479"/>
    <w:rsid w:val="00145725"/>
    <w:rsid w:val="0014613B"/>
    <w:rsid w:val="00146473"/>
    <w:rsid w:val="001503DC"/>
    <w:rsid w:val="00150FEA"/>
    <w:rsid w:val="00151A1F"/>
    <w:rsid w:val="00151CC9"/>
    <w:rsid w:val="00151DC1"/>
    <w:rsid w:val="00151FD4"/>
    <w:rsid w:val="00152051"/>
    <w:rsid w:val="001556FA"/>
    <w:rsid w:val="00155DF7"/>
    <w:rsid w:val="001566C6"/>
    <w:rsid w:val="001568F1"/>
    <w:rsid w:val="00156BF6"/>
    <w:rsid w:val="00156CE7"/>
    <w:rsid w:val="001571B9"/>
    <w:rsid w:val="00160D4E"/>
    <w:rsid w:val="00161290"/>
    <w:rsid w:val="001612DB"/>
    <w:rsid w:val="00161835"/>
    <w:rsid w:val="00162C68"/>
    <w:rsid w:val="00162D9A"/>
    <w:rsid w:val="001634FF"/>
    <w:rsid w:val="00163623"/>
    <w:rsid w:val="0016380E"/>
    <w:rsid w:val="00163B0A"/>
    <w:rsid w:val="00164F14"/>
    <w:rsid w:val="001650F6"/>
    <w:rsid w:val="00166A88"/>
    <w:rsid w:val="00167181"/>
    <w:rsid w:val="00167640"/>
    <w:rsid w:val="00167FA7"/>
    <w:rsid w:val="00170373"/>
    <w:rsid w:val="00170CBE"/>
    <w:rsid w:val="001711D3"/>
    <w:rsid w:val="0017156F"/>
    <w:rsid w:val="0017186D"/>
    <w:rsid w:val="00171D72"/>
    <w:rsid w:val="001726FC"/>
    <w:rsid w:val="0017385C"/>
    <w:rsid w:val="00173FF9"/>
    <w:rsid w:val="00175C31"/>
    <w:rsid w:val="00175F81"/>
    <w:rsid w:val="00176776"/>
    <w:rsid w:val="00176847"/>
    <w:rsid w:val="00177624"/>
    <w:rsid w:val="00177F47"/>
    <w:rsid w:val="001803A6"/>
    <w:rsid w:val="001805C1"/>
    <w:rsid w:val="00180954"/>
    <w:rsid w:val="00181EDC"/>
    <w:rsid w:val="00182D4A"/>
    <w:rsid w:val="00182EF3"/>
    <w:rsid w:val="00183103"/>
    <w:rsid w:val="00183B34"/>
    <w:rsid w:val="00184AC3"/>
    <w:rsid w:val="001853EC"/>
    <w:rsid w:val="0018563D"/>
    <w:rsid w:val="00185C94"/>
    <w:rsid w:val="001861D1"/>
    <w:rsid w:val="00186C68"/>
    <w:rsid w:val="00186D45"/>
    <w:rsid w:val="0018739B"/>
    <w:rsid w:val="00190ADC"/>
    <w:rsid w:val="00191124"/>
    <w:rsid w:val="00192612"/>
    <w:rsid w:val="00192D78"/>
    <w:rsid w:val="00193062"/>
    <w:rsid w:val="00193D89"/>
    <w:rsid w:val="00193D96"/>
    <w:rsid w:val="00193DB3"/>
    <w:rsid w:val="0019411D"/>
    <w:rsid w:val="0019415A"/>
    <w:rsid w:val="0019443A"/>
    <w:rsid w:val="0019465E"/>
    <w:rsid w:val="00194B30"/>
    <w:rsid w:val="00194E4A"/>
    <w:rsid w:val="001955BB"/>
    <w:rsid w:val="00195DBD"/>
    <w:rsid w:val="001964A6"/>
    <w:rsid w:val="00196B4D"/>
    <w:rsid w:val="00197596"/>
    <w:rsid w:val="001979D6"/>
    <w:rsid w:val="00197C1C"/>
    <w:rsid w:val="00197C94"/>
    <w:rsid w:val="001A00F6"/>
    <w:rsid w:val="001A0200"/>
    <w:rsid w:val="001A05D3"/>
    <w:rsid w:val="001A0B02"/>
    <w:rsid w:val="001A1378"/>
    <w:rsid w:val="001A14BB"/>
    <w:rsid w:val="001A19F1"/>
    <w:rsid w:val="001A1B0F"/>
    <w:rsid w:val="001A2580"/>
    <w:rsid w:val="001A2662"/>
    <w:rsid w:val="001A3687"/>
    <w:rsid w:val="001A3E34"/>
    <w:rsid w:val="001A559D"/>
    <w:rsid w:val="001A5F2E"/>
    <w:rsid w:val="001A68A6"/>
    <w:rsid w:val="001A68D6"/>
    <w:rsid w:val="001A708A"/>
    <w:rsid w:val="001A7499"/>
    <w:rsid w:val="001B06A2"/>
    <w:rsid w:val="001B1532"/>
    <w:rsid w:val="001B2208"/>
    <w:rsid w:val="001B299E"/>
    <w:rsid w:val="001B3307"/>
    <w:rsid w:val="001B391E"/>
    <w:rsid w:val="001B47F3"/>
    <w:rsid w:val="001B48E4"/>
    <w:rsid w:val="001B4E69"/>
    <w:rsid w:val="001B4F77"/>
    <w:rsid w:val="001B564A"/>
    <w:rsid w:val="001B5A37"/>
    <w:rsid w:val="001B762D"/>
    <w:rsid w:val="001B7C3D"/>
    <w:rsid w:val="001C027A"/>
    <w:rsid w:val="001C04B4"/>
    <w:rsid w:val="001C0584"/>
    <w:rsid w:val="001C1235"/>
    <w:rsid w:val="001C1C52"/>
    <w:rsid w:val="001C1D5F"/>
    <w:rsid w:val="001C1F3C"/>
    <w:rsid w:val="001C2399"/>
    <w:rsid w:val="001C2599"/>
    <w:rsid w:val="001C25D9"/>
    <w:rsid w:val="001C26B1"/>
    <w:rsid w:val="001C2C8D"/>
    <w:rsid w:val="001C2E7A"/>
    <w:rsid w:val="001C3067"/>
    <w:rsid w:val="001C33C1"/>
    <w:rsid w:val="001C3EDD"/>
    <w:rsid w:val="001C426E"/>
    <w:rsid w:val="001C4274"/>
    <w:rsid w:val="001C4522"/>
    <w:rsid w:val="001C4CD0"/>
    <w:rsid w:val="001C5EE3"/>
    <w:rsid w:val="001C620E"/>
    <w:rsid w:val="001C6590"/>
    <w:rsid w:val="001C6934"/>
    <w:rsid w:val="001C6D23"/>
    <w:rsid w:val="001C6D32"/>
    <w:rsid w:val="001C772D"/>
    <w:rsid w:val="001C7BEB"/>
    <w:rsid w:val="001D0DC4"/>
    <w:rsid w:val="001D15A4"/>
    <w:rsid w:val="001D1D1F"/>
    <w:rsid w:val="001D2089"/>
    <w:rsid w:val="001D2B81"/>
    <w:rsid w:val="001D2EC1"/>
    <w:rsid w:val="001D3CA6"/>
    <w:rsid w:val="001D4502"/>
    <w:rsid w:val="001D4597"/>
    <w:rsid w:val="001D482E"/>
    <w:rsid w:val="001D4C3D"/>
    <w:rsid w:val="001D4CA4"/>
    <w:rsid w:val="001D4D9B"/>
    <w:rsid w:val="001D526C"/>
    <w:rsid w:val="001D5637"/>
    <w:rsid w:val="001D5A39"/>
    <w:rsid w:val="001D68DC"/>
    <w:rsid w:val="001D68F7"/>
    <w:rsid w:val="001D796E"/>
    <w:rsid w:val="001E0186"/>
    <w:rsid w:val="001E0390"/>
    <w:rsid w:val="001E03DD"/>
    <w:rsid w:val="001E2B8D"/>
    <w:rsid w:val="001E3696"/>
    <w:rsid w:val="001E3A8E"/>
    <w:rsid w:val="001E3FD1"/>
    <w:rsid w:val="001E4296"/>
    <w:rsid w:val="001E455A"/>
    <w:rsid w:val="001E47D4"/>
    <w:rsid w:val="001E4A6B"/>
    <w:rsid w:val="001E5EDF"/>
    <w:rsid w:val="001F021A"/>
    <w:rsid w:val="001F0223"/>
    <w:rsid w:val="001F09B1"/>
    <w:rsid w:val="001F1251"/>
    <w:rsid w:val="001F1696"/>
    <w:rsid w:val="001F17ED"/>
    <w:rsid w:val="001F22FB"/>
    <w:rsid w:val="001F27CC"/>
    <w:rsid w:val="001F28C8"/>
    <w:rsid w:val="001F2F0B"/>
    <w:rsid w:val="001F2F58"/>
    <w:rsid w:val="001F375B"/>
    <w:rsid w:val="001F5149"/>
    <w:rsid w:val="001F59C0"/>
    <w:rsid w:val="001F5C07"/>
    <w:rsid w:val="001F627D"/>
    <w:rsid w:val="001F68BA"/>
    <w:rsid w:val="002013D5"/>
    <w:rsid w:val="002021BB"/>
    <w:rsid w:val="002028AE"/>
    <w:rsid w:val="00202A26"/>
    <w:rsid w:val="0020340E"/>
    <w:rsid w:val="00203B79"/>
    <w:rsid w:val="00204211"/>
    <w:rsid w:val="00204B29"/>
    <w:rsid w:val="00204D93"/>
    <w:rsid w:val="0020534B"/>
    <w:rsid w:val="002060DC"/>
    <w:rsid w:val="00207247"/>
    <w:rsid w:val="00207870"/>
    <w:rsid w:val="002108DB"/>
    <w:rsid w:val="00210E05"/>
    <w:rsid w:val="0021172C"/>
    <w:rsid w:val="00212540"/>
    <w:rsid w:val="0021315C"/>
    <w:rsid w:val="00213C73"/>
    <w:rsid w:val="00214487"/>
    <w:rsid w:val="002164D0"/>
    <w:rsid w:val="0021682D"/>
    <w:rsid w:val="00217148"/>
    <w:rsid w:val="002175AD"/>
    <w:rsid w:val="00217AD3"/>
    <w:rsid w:val="002227B6"/>
    <w:rsid w:val="00222F5F"/>
    <w:rsid w:val="00224B9C"/>
    <w:rsid w:val="002265A9"/>
    <w:rsid w:val="0022717C"/>
    <w:rsid w:val="00227418"/>
    <w:rsid w:val="00227B1C"/>
    <w:rsid w:val="00227C72"/>
    <w:rsid w:val="00227EA0"/>
    <w:rsid w:val="00230E9C"/>
    <w:rsid w:val="00231018"/>
    <w:rsid w:val="00231ABA"/>
    <w:rsid w:val="00233A53"/>
    <w:rsid w:val="00233D03"/>
    <w:rsid w:val="00234103"/>
    <w:rsid w:val="002351EF"/>
    <w:rsid w:val="002356EA"/>
    <w:rsid w:val="00235901"/>
    <w:rsid w:val="00235B3D"/>
    <w:rsid w:val="00236165"/>
    <w:rsid w:val="002369E9"/>
    <w:rsid w:val="00236E14"/>
    <w:rsid w:val="00236FF2"/>
    <w:rsid w:val="002370A4"/>
    <w:rsid w:val="002370FB"/>
    <w:rsid w:val="00237532"/>
    <w:rsid w:val="0023754C"/>
    <w:rsid w:val="00237E59"/>
    <w:rsid w:val="0024088F"/>
    <w:rsid w:val="00240C9D"/>
    <w:rsid w:val="0024190D"/>
    <w:rsid w:val="002425D1"/>
    <w:rsid w:val="0024287B"/>
    <w:rsid w:val="002429EA"/>
    <w:rsid w:val="00242D58"/>
    <w:rsid w:val="00243EF6"/>
    <w:rsid w:val="0024419D"/>
    <w:rsid w:val="002467ED"/>
    <w:rsid w:val="002467F0"/>
    <w:rsid w:val="00246943"/>
    <w:rsid w:val="00246964"/>
    <w:rsid w:val="00246FD5"/>
    <w:rsid w:val="00246FD7"/>
    <w:rsid w:val="002472E5"/>
    <w:rsid w:val="00250843"/>
    <w:rsid w:val="00251D4C"/>
    <w:rsid w:val="00252DD4"/>
    <w:rsid w:val="0025370A"/>
    <w:rsid w:val="002537E7"/>
    <w:rsid w:val="0025385A"/>
    <w:rsid w:val="00253CCC"/>
    <w:rsid w:val="00254BEF"/>
    <w:rsid w:val="00254DA8"/>
    <w:rsid w:val="00255515"/>
    <w:rsid w:val="00255BF1"/>
    <w:rsid w:val="00255CC3"/>
    <w:rsid w:val="002562D7"/>
    <w:rsid w:val="002568E3"/>
    <w:rsid w:val="002569F5"/>
    <w:rsid w:val="00256FC7"/>
    <w:rsid w:val="0025700F"/>
    <w:rsid w:val="00260255"/>
    <w:rsid w:val="0026071A"/>
    <w:rsid w:val="002609E9"/>
    <w:rsid w:val="00260E1E"/>
    <w:rsid w:val="0026107D"/>
    <w:rsid w:val="00261704"/>
    <w:rsid w:val="00261F4B"/>
    <w:rsid w:val="00263EAC"/>
    <w:rsid w:val="0026420C"/>
    <w:rsid w:val="002643B1"/>
    <w:rsid w:val="00264AAB"/>
    <w:rsid w:val="00265637"/>
    <w:rsid w:val="00266A23"/>
    <w:rsid w:val="00266E7F"/>
    <w:rsid w:val="002675B3"/>
    <w:rsid w:val="00270384"/>
    <w:rsid w:val="00272CF9"/>
    <w:rsid w:val="00273769"/>
    <w:rsid w:val="00274146"/>
    <w:rsid w:val="00274984"/>
    <w:rsid w:val="00274D5C"/>
    <w:rsid w:val="0027524C"/>
    <w:rsid w:val="00275C06"/>
    <w:rsid w:val="00276596"/>
    <w:rsid w:val="00276871"/>
    <w:rsid w:val="00277731"/>
    <w:rsid w:val="00277C73"/>
    <w:rsid w:val="00280122"/>
    <w:rsid w:val="00280174"/>
    <w:rsid w:val="00280321"/>
    <w:rsid w:val="00280CB4"/>
    <w:rsid w:val="00281ADE"/>
    <w:rsid w:val="0028291B"/>
    <w:rsid w:val="00283994"/>
    <w:rsid w:val="00285D7C"/>
    <w:rsid w:val="00286BD6"/>
    <w:rsid w:val="00287775"/>
    <w:rsid w:val="00290199"/>
    <w:rsid w:val="0029096F"/>
    <w:rsid w:val="002915CC"/>
    <w:rsid w:val="00292431"/>
    <w:rsid w:val="00292A84"/>
    <w:rsid w:val="00295E65"/>
    <w:rsid w:val="00296696"/>
    <w:rsid w:val="00296AB6"/>
    <w:rsid w:val="00296D6D"/>
    <w:rsid w:val="00297853"/>
    <w:rsid w:val="002A0009"/>
    <w:rsid w:val="002A16FE"/>
    <w:rsid w:val="002A18C1"/>
    <w:rsid w:val="002A19D3"/>
    <w:rsid w:val="002A1D56"/>
    <w:rsid w:val="002A1F57"/>
    <w:rsid w:val="002A25FB"/>
    <w:rsid w:val="002A3116"/>
    <w:rsid w:val="002A454A"/>
    <w:rsid w:val="002A4B12"/>
    <w:rsid w:val="002A53EA"/>
    <w:rsid w:val="002A5825"/>
    <w:rsid w:val="002A5937"/>
    <w:rsid w:val="002A5C85"/>
    <w:rsid w:val="002A7013"/>
    <w:rsid w:val="002A7464"/>
    <w:rsid w:val="002A7CBC"/>
    <w:rsid w:val="002B07C7"/>
    <w:rsid w:val="002B14ED"/>
    <w:rsid w:val="002B1ABE"/>
    <w:rsid w:val="002B25BB"/>
    <w:rsid w:val="002B2933"/>
    <w:rsid w:val="002B2CEC"/>
    <w:rsid w:val="002B2F74"/>
    <w:rsid w:val="002B473D"/>
    <w:rsid w:val="002B601A"/>
    <w:rsid w:val="002B6F75"/>
    <w:rsid w:val="002C0563"/>
    <w:rsid w:val="002C06ED"/>
    <w:rsid w:val="002C15E8"/>
    <w:rsid w:val="002C2330"/>
    <w:rsid w:val="002C27B1"/>
    <w:rsid w:val="002C322C"/>
    <w:rsid w:val="002C3615"/>
    <w:rsid w:val="002C3B0E"/>
    <w:rsid w:val="002C4E0F"/>
    <w:rsid w:val="002C517A"/>
    <w:rsid w:val="002C5532"/>
    <w:rsid w:val="002C68D7"/>
    <w:rsid w:val="002C6A95"/>
    <w:rsid w:val="002C74C2"/>
    <w:rsid w:val="002C76CF"/>
    <w:rsid w:val="002D02A8"/>
    <w:rsid w:val="002D0A90"/>
    <w:rsid w:val="002D1B50"/>
    <w:rsid w:val="002D26D6"/>
    <w:rsid w:val="002D33FF"/>
    <w:rsid w:val="002D354B"/>
    <w:rsid w:val="002D3DB0"/>
    <w:rsid w:val="002D472E"/>
    <w:rsid w:val="002D52AC"/>
    <w:rsid w:val="002D56EB"/>
    <w:rsid w:val="002D5EB8"/>
    <w:rsid w:val="002D62D3"/>
    <w:rsid w:val="002D6E85"/>
    <w:rsid w:val="002D72A4"/>
    <w:rsid w:val="002D7A87"/>
    <w:rsid w:val="002E0031"/>
    <w:rsid w:val="002E05D5"/>
    <w:rsid w:val="002E191A"/>
    <w:rsid w:val="002E1BBF"/>
    <w:rsid w:val="002E1C09"/>
    <w:rsid w:val="002E1E65"/>
    <w:rsid w:val="002E2C21"/>
    <w:rsid w:val="002E2DE1"/>
    <w:rsid w:val="002E3030"/>
    <w:rsid w:val="002E350F"/>
    <w:rsid w:val="002E3C4F"/>
    <w:rsid w:val="002E3DDA"/>
    <w:rsid w:val="002E4B72"/>
    <w:rsid w:val="002E5F6C"/>
    <w:rsid w:val="002E6DD7"/>
    <w:rsid w:val="002E7F5C"/>
    <w:rsid w:val="002F0B01"/>
    <w:rsid w:val="002F0D8F"/>
    <w:rsid w:val="002F0E8B"/>
    <w:rsid w:val="002F163B"/>
    <w:rsid w:val="002F18A3"/>
    <w:rsid w:val="002F28F8"/>
    <w:rsid w:val="002F2A44"/>
    <w:rsid w:val="002F4911"/>
    <w:rsid w:val="002F4BB9"/>
    <w:rsid w:val="002F5691"/>
    <w:rsid w:val="002F5A94"/>
    <w:rsid w:val="002F5AB7"/>
    <w:rsid w:val="002F5E4C"/>
    <w:rsid w:val="002F6129"/>
    <w:rsid w:val="002F648F"/>
    <w:rsid w:val="002F6605"/>
    <w:rsid w:val="002F6E6D"/>
    <w:rsid w:val="002F7AA2"/>
    <w:rsid w:val="00300083"/>
    <w:rsid w:val="00300509"/>
    <w:rsid w:val="00300577"/>
    <w:rsid w:val="0030080D"/>
    <w:rsid w:val="00300E83"/>
    <w:rsid w:val="00301394"/>
    <w:rsid w:val="003013A5"/>
    <w:rsid w:val="00302C41"/>
    <w:rsid w:val="003032F1"/>
    <w:rsid w:val="00303E8B"/>
    <w:rsid w:val="00303F31"/>
    <w:rsid w:val="00304C31"/>
    <w:rsid w:val="00305197"/>
    <w:rsid w:val="003070F6"/>
    <w:rsid w:val="003071E9"/>
    <w:rsid w:val="0030752D"/>
    <w:rsid w:val="003109FF"/>
    <w:rsid w:val="003114A5"/>
    <w:rsid w:val="00312492"/>
    <w:rsid w:val="00312ADF"/>
    <w:rsid w:val="00312D96"/>
    <w:rsid w:val="00312EC9"/>
    <w:rsid w:val="0031353A"/>
    <w:rsid w:val="00313E4D"/>
    <w:rsid w:val="00314400"/>
    <w:rsid w:val="003145C9"/>
    <w:rsid w:val="00315458"/>
    <w:rsid w:val="00315BF1"/>
    <w:rsid w:val="00315E10"/>
    <w:rsid w:val="003163E8"/>
    <w:rsid w:val="00316AEA"/>
    <w:rsid w:val="00316B7F"/>
    <w:rsid w:val="0032111F"/>
    <w:rsid w:val="0032259F"/>
    <w:rsid w:val="00323038"/>
    <w:rsid w:val="0032359F"/>
    <w:rsid w:val="003235D0"/>
    <w:rsid w:val="0032421F"/>
    <w:rsid w:val="00324BD1"/>
    <w:rsid w:val="0032549D"/>
    <w:rsid w:val="0032550C"/>
    <w:rsid w:val="003259C3"/>
    <w:rsid w:val="00325EEC"/>
    <w:rsid w:val="003272A7"/>
    <w:rsid w:val="00327547"/>
    <w:rsid w:val="003277E0"/>
    <w:rsid w:val="00327D67"/>
    <w:rsid w:val="0033058D"/>
    <w:rsid w:val="00330753"/>
    <w:rsid w:val="003314EB"/>
    <w:rsid w:val="003315E8"/>
    <w:rsid w:val="00331CB2"/>
    <w:rsid w:val="00331F97"/>
    <w:rsid w:val="00332220"/>
    <w:rsid w:val="00332680"/>
    <w:rsid w:val="00332A90"/>
    <w:rsid w:val="00332CBB"/>
    <w:rsid w:val="00333013"/>
    <w:rsid w:val="003333B0"/>
    <w:rsid w:val="00335407"/>
    <w:rsid w:val="00335DA0"/>
    <w:rsid w:val="003374DC"/>
    <w:rsid w:val="0033790A"/>
    <w:rsid w:val="00337DDD"/>
    <w:rsid w:val="00340F1B"/>
    <w:rsid w:val="003420C2"/>
    <w:rsid w:val="00342A25"/>
    <w:rsid w:val="0034329C"/>
    <w:rsid w:val="0034352F"/>
    <w:rsid w:val="0034403E"/>
    <w:rsid w:val="003443B2"/>
    <w:rsid w:val="003451C5"/>
    <w:rsid w:val="00345333"/>
    <w:rsid w:val="00345749"/>
    <w:rsid w:val="003459C8"/>
    <w:rsid w:val="00345BD1"/>
    <w:rsid w:val="003476B7"/>
    <w:rsid w:val="0034798F"/>
    <w:rsid w:val="00347F4E"/>
    <w:rsid w:val="003519E8"/>
    <w:rsid w:val="00351BA4"/>
    <w:rsid w:val="00351CB0"/>
    <w:rsid w:val="00352109"/>
    <w:rsid w:val="003523C5"/>
    <w:rsid w:val="003527BD"/>
    <w:rsid w:val="00353435"/>
    <w:rsid w:val="00353C6D"/>
    <w:rsid w:val="00354333"/>
    <w:rsid w:val="003553B7"/>
    <w:rsid w:val="003556BC"/>
    <w:rsid w:val="003560C6"/>
    <w:rsid w:val="0035649D"/>
    <w:rsid w:val="00356EC1"/>
    <w:rsid w:val="00357D27"/>
    <w:rsid w:val="003604F8"/>
    <w:rsid w:val="00361C2D"/>
    <w:rsid w:val="00361F44"/>
    <w:rsid w:val="003620DF"/>
    <w:rsid w:val="0036229E"/>
    <w:rsid w:val="003626F9"/>
    <w:rsid w:val="00364A06"/>
    <w:rsid w:val="00365047"/>
    <w:rsid w:val="00365880"/>
    <w:rsid w:val="00366981"/>
    <w:rsid w:val="00367553"/>
    <w:rsid w:val="0037031D"/>
    <w:rsid w:val="00371A16"/>
    <w:rsid w:val="00371BD8"/>
    <w:rsid w:val="00372080"/>
    <w:rsid w:val="003725DF"/>
    <w:rsid w:val="0037346B"/>
    <w:rsid w:val="003736C4"/>
    <w:rsid w:val="00373F23"/>
    <w:rsid w:val="00374243"/>
    <w:rsid w:val="00374A34"/>
    <w:rsid w:val="00375B5A"/>
    <w:rsid w:val="0037609A"/>
    <w:rsid w:val="003764D7"/>
    <w:rsid w:val="0037763B"/>
    <w:rsid w:val="00377A87"/>
    <w:rsid w:val="003800BA"/>
    <w:rsid w:val="00380665"/>
    <w:rsid w:val="0038096E"/>
    <w:rsid w:val="00381C93"/>
    <w:rsid w:val="003830F5"/>
    <w:rsid w:val="00383264"/>
    <w:rsid w:val="00383BEA"/>
    <w:rsid w:val="00383D8A"/>
    <w:rsid w:val="00385108"/>
    <w:rsid w:val="00385B7C"/>
    <w:rsid w:val="00385FC1"/>
    <w:rsid w:val="0038759D"/>
    <w:rsid w:val="00391A1D"/>
    <w:rsid w:val="003922E1"/>
    <w:rsid w:val="003924AD"/>
    <w:rsid w:val="00392805"/>
    <w:rsid w:val="00393FBF"/>
    <w:rsid w:val="003945C2"/>
    <w:rsid w:val="003957DC"/>
    <w:rsid w:val="00395D84"/>
    <w:rsid w:val="00395F3F"/>
    <w:rsid w:val="0039658F"/>
    <w:rsid w:val="00396CFD"/>
    <w:rsid w:val="00396EEF"/>
    <w:rsid w:val="003A073B"/>
    <w:rsid w:val="003A0897"/>
    <w:rsid w:val="003A1326"/>
    <w:rsid w:val="003A1E7E"/>
    <w:rsid w:val="003A2A00"/>
    <w:rsid w:val="003A3713"/>
    <w:rsid w:val="003A424E"/>
    <w:rsid w:val="003A46E9"/>
    <w:rsid w:val="003A4AF1"/>
    <w:rsid w:val="003A4BE6"/>
    <w:rsid w:val="003A63B1"/>
    <w:rsid w:val="003A64F1"/>
    <w:rsid w:val="003A6CD6"/>
    <w:rsid w:val="003A78A2"/>
    <w:rsid w:val="003B0099"/>
    <w:rsid w:val="003B1961"/>
    <w:rsid w:val="003B2028"/>
    <w:rsid w:val="003B2322"/>
    <w:rsid w:val="003B2B73"/>
    <w:rsid w:val="003B2DAF"/>
    <w:rsid w:val="003B3AD7"/>
    <w:rsid w:val="003B3C4C"/>
    <w:rsid w:val="003B442E"/>
    <w:rsid w:val="003B48DA"/>
    <w:rsid w:val="003B58FD"/>
    <w:rsid w:val="003B59F4"/>
    <w:rsid w:val="003B6558"/>
    <w:rsid w:val="003B6AF5"/>
    <w:rsid w:val="003B75BA"/>
    <w:rsid w:val="003C0142"/>
    <w:rsid w:val="003C0607"/>
    <w:rsid w:val="003C1E92"/>
    <w:rsid w:val="003C51DA"/>
    <w:rsid w:val="003C5C76"/>
    <w:rsid w:val="003C5F48"/>
    <w:rsid w:val="003C6092"/>
    <w:rsid w:val="003C629F"/>
    <w:rsid w:val="003C6658"/>
    <w:rsid w:val="003C6D88"/>
    <w:rsid w:val="003C7091"/>
    <w:rsid w:val="003C79AC"/>
    <w:rsid w:val="003D001E"/>
    <w:rsid w:val="003D030E"/>
    <w:rsid w:val="003D03DF"/>
    <w:rsid w:val="003D062B"/>
    <w:rsid w:val="003D0907"/>
    <w:rsid w:val="003D0A6E"/>
    <w:rsid w:val="003D0E5A"/>
    <w:rsid w:val="003D0F0C"/>
    <w:rsid w:val="003D19C4"/>
    <w:rsid w:val="003D2073"/>
    <w:rsid w:val="003D241C"/>
    <w:rsid w:val="003D2453"/>
    <w:rsid w:val="003D2945"/>
    <w:rsid w:val="003D3F36"/>
    <w:rsid w:val="003D6181"/>
    <w:rsid w:val="003D6DD5"/>
    <w:rsid w:val="003D6F00"/>
    <w:rsid w:val="003D7428"/>
    <w:rsid w:val="003E0289"/>
    <w:rsid w:val="003E05CE"/>
    <w:rsid w:val="003E0641"/>
    <w:rsid w:val="003E1337"/>
    <w:rsid w:val="003E145C"/>
    <w:rsid w:val="003E1558"/>
    <w:rsid w:val="003E1667"/>
    <w:rsid w:val="003E1CBA"/>
    <w:rsid w:val="003E3CD2"/>
    <w:rsid w:val="003E41B7"/>
    <w:rsid w:val="003E4FEC"/>
    <w:rsid w:val="003E5499"/>
    <w:rsid w:val="003E5762"/>
    <w:rsid w:val="003E5DF4"/>
    <w:rsid w:val="003E757E"/>
    <w:rsid w:val="003E769E"/>
    <w:rsid w:val="003F01DC"/>
    <w:rsid w:val="003F0D48"/>
    <w:rsid w:val="003F2199"/>
    <w:rsid w:val="003F27DC"/>
    <w:rsid w:val="003F2C30"/>
    <w:rsid w:val="003F2EB5"/>
    <w:rsid w:val="003F48D3"/>
    <w:rsid w:val="003F4A46"/>
    <w:rsid w:val="003F4B97"/>
    <w:rsid w:val="003F4CF8"/>
    <w:rsid w:val="003F7A46"/>
    <w:rsid w:val="004007DA"/>
    <w:rsid w:val="00401E9E"/>
    <w:rsid w:val="004021CB"/>
    <w:rsid w:val="00402265"/>
    <w:rsid w:val="004035AD"/>
    <w:rsid w:val="004037C4"/>
    <w:rsid w:val="0040444D"/>
    <w:rsid w:val="004045C9"/>
    <w:rsid w:val="0040483B"/>
    <w:rsid w:val="00404C73"/>
    <w:rsid w:val="00406AEA"/>
    <w:rsid w:val="00406E3A"/>
    <w:rsid w:val="00407214"/>
    <w:rsid w:val="00410490"/>
    <w:rsid w:val="00410AF7"/>
    <w:rsid w:val="00410FD0"/>
    <w:rsid w:val="004111F3"/>
    <w:rsid w:val="00411754"/>
    <w:rsid w:val="0041266E"/>
    <w:rsid w:val="004135EE"/>
    <w:rsid w:val="004138BB"/>
    <w:rsid w:val="0041474F"/>
    <w:rsid w:val="00414851"/>
    <w:rsid w:val="0041549F"/>
    <w:rsid w:val="00415691"/>
    <w:rsid w:val="00416902"/>
    <w:rsid w:val="00417FD2"/>
    <w:rsid w:val="00420DDF"/>
    <w:rsid w:val="004215EC"/>
    <w:rsid w:val="004227B9"/>
    <w:rsid w:val="00423310"/>
    <w:rsid w:val="004234EB"/>
    <w:rsid w:val="004236B1"/>
    <w:rsid w:val="00423AB1"/>
    <w:rsid w:val="004241C0"/>
    <w:rsid w:val="00424610"/>
    <w:rsid w:val="0042470F"/>
    <w:rsid w:val="00424A65"/>
    <w:rsid w:val="00424E6F"/>
    <w:rsid w:val="00425B54"/>
    <w:rsid w:val="00425B58"/>
    <w:rsid w:val="004262DF"/>
    <w:rsid w:val="004269F3"/>
    <w:rsid w:val="004273E0"/>
    <w:rsid w:val="00427A57"/>
    <w:rsid w:val="00430520"/>
    <w:rsid w:val="004306CB"/>
    <w:rsid w:val="004313EB"/>
    <w:rsid w:val="00431422"/>
    <w:rsid w:val="004316B1"/>
    <w:rsid w:val="00431BB3"/>
    <w:rsid w:val="00432195"/>
    <w:rsid w:val="004321BB"/>
    <w:rsid w:val="0043256D"/>
    <w:rsid w:val="00432A74"/>
    <w:rsid w:val="00432EEF"/>
    <w:rsid w:val="00432F09"/>
    <w:rsid w:val="00433E93"/>
    <w:rsid w:val="00434F50"/>
    <w:rsid w:val="0043513C"/>
    <w:rsid w:val="00435391"/>
    <w:rsid w:val="0043563C"/>
    <w:rsid w:val="00435758"/>
    <w:rsid w:val="00437177"/>
    <w:rsid w:val="0044015F"/>
    <w:rsid w:val="004404C8"/>
    <w:rsid w:val="00440653"/>
    <w:rsid w:val="004407BD"/>
    <w:rsid w:val="00440966"/>
    <w:rsid w:val="0044098B"/>
    <w:rsid w:val="00440CF8"/>
    <w:rsid w:val="00440EF2"/>
    <w:rsid w:val="00440FF7"/>
    <w:rsid w:val="00441047"/>
    <w:rsid w:val="00441067"/>
    <w:rsid w:val="004414DF"/>
    <w:rsid w:val="00442118"/>
    <w:rsid w:val="00442462"/>
    <w:rsid w:val="0044365D"/>
    <w:rsid w:val="00443A6F"/>
    <w:rsid w:val="00443BD8"/>
    <w:rsid w:val="00444E85"/>
    <w:rsid w:val="00445BDE"/>
    <w:rsid w:val="00446483"/>
    <w:rsid w:val="00446FA6"/>
    <w:rsid w:val="004475E8"/>
    <w:rsid w:val="00447CB4"/>
    <w:rsid w:val="004504A1"/>
    <w:rsid w:val="00451820"/>
    <w:rsid w:val="00452306"/>
    <w:rsid w:val="004524F9"/>
    <w:rsid w:val="00452C6F"/>
    <w:rsid w:val="00452EF5"/>
    <w:rsid w:val="00453CEC"/>
    <w:rsid w:val="00453DD7"/>
    <w:rsid w:val="0045412A"/>
    <w:rsid w:val="00454589"/>
    <w:rsid w:val="004545E2"/>
    <w:rsid w:val="004550F3"/>
    <w:rsid w:val="0045521E"/>
    <w:rsid w:val="004557E4"/>
    <w:rsid w:val="00455A52"/>
    <w:rsid w:val="00457C03"/>
    <w:rsid w:val="004602E8"/>
    <w:rsid w:val="004605E6"/>
    <w:rsid w:val="0046070E"/>
    <w:rsid w:val="00460D72"/>
    <w:rsid w:val="0046215B"/>
    <w:rsid w:val="00463F1C"/>
    <w:rsid w:val="00464122"/>
    <w:rsid w:val="00464AC9"/>
    <w:rsid w:val="00465625"/>
    <w:rsid w:val="00466181"/>
    <w:rsid w:val="004662F2"/>
    <w:rsid w:val="00466851"/>
    <w:rsid w:val="00466DF6"/>
    <w:rsid w:val="00467D7F"/>
    <w:rsid w:val="00470141"/>
    <w:rsid w:val="00471068"/>
    <w:rsid w:val="004710E5"/>
    <w:rsid w:val="0047115D"/>
    <w:rsid w:val="00471DFC"/>
    <w:rsid w:val="00472FBF"/>
    <w:rsid w:val="00473058"/>
    <w:rsid w:val="004733FA"/>
    <w:rsid w:val="00473431"/>
    <w:rsid w:val="00473A22"/>
    <w:rsid w:val="00473EB4"/>
    <w:rsid w:val="0047402D"/>
    <w:rsid w:val="0047411A"/>
    <w:rsid w:val="00474549"/>
    <w:rsid w:val="0047476D"/>
    <w:rsid w:val="0047531F"/>
    <w:rsid w:val="00475AAE"/>
    <w:rsid w:val="00475B47"/>
    <w:rsid w:val="00475CC5"/>
    <w:rsid w:val="00475EF7"/>
    <w:rsid w:val="0048057F"/>
    <w:rsid w:val="004807E0"/>
    <w:rsid w:val="00482903"/>
    <w:rsid w:val="00482B40"/>
    <w:rsid w:val="00483357"/>
    <w:rsid w:val="004835EA"/>
    <w:rsid w:val="00483BBF"/>
    <w:rsid w:val="00483E74"/>
    <w:rsid w:val="00484341"/>
    <w:rsid w:val="004845E0"/>
    <w:rsid w:val="00485138"/>
    <w:rsid w:val="00485848"/>
    <w:rsid w:val="00486A22"/>
    <w:rsid w:val="00486D39"/>
    <w:rsid w:val="00491AD6"/>
    <w:rsid w:val="00492EF0"/>
    <w:rsid w:val="004945F9"/>
    <w:rsid w:val="00494719"/>
    <w:rsid w:val="00494AB0"/>
    <w:rsid w:val="00495417"/>
    <w:rsid w:val="00495B5A"/>
    <w:rsid w:val="00495C03"/>
    <w:rsid w:val="004962B1"/>
    <w:rsid w:val="00496A47"/>
    <w:rsid w:val="00497032"/>
    <w:rsid w:val="004A02D6"/>
    <w:rsid w:val="004A0529"/>
    <w:rsid w:val="004A08C9"/>
    <w:rsid w:val="004A0E14"/>
    <w:rsid w:val="004A1017"/>
    <w:rsid w:val="004A2A76"/>
    <w:rsid w:val="004A32C9"/>
    <w:rsid w:val="004A343D"/>
    <w:rsid w:val="004A3DD7"/>
    <w:rsid w:val="004A3E1F"/>
    <w:rsid w:val="004A4F89"/>
    <w:rsid w:val="004A4FE8"/>
    <w:rsid w:val="004A5E2A"/>
    <w:rsid w:val="004A63CE"/>
    <w:rsid w:val="004A63F7"/>
    <w:rsid w:val="004A641C"/>
    <w:rsid w:val="004A6B6B"/>
    <w:rsid w:val="004A6C40"/>
    <w:rsid w:val="004A6DE4"/>
    <w:rsid w:val="004B04A2"/>
    <w:rsid w:val="004B1176"/>
    <w:rsid w:val="004B16D0"/>
    <w:rsid w:val="004B19B9"/>
    <w:rsid w:val="004B242F"/>
    <w:rsid w:val="004B2441"/>
    <w:rsid w:val="004B275E"/>
    <w:rsid w:val="004B2BA0"/>
    <w:rsid w:val="004B4C17"/>
    <w:rsid w:val="004B4CA1"/>
    <w:rsid w:val="004B516F"/>
    <w:rsid w:val="004B52BE"/>
    <w:rsid w:val="004B5EC7"/>
    <w:rsid w:val="004B6264"/>
    <w:rsid w:val="004B6571"/>
    <w:rsid w:val="004B71E6"/>
    <w:rsid w:val="004B7563"/>
    <w:rsid w:val="004B7A36"/>
    <w:rsid w:val="004B7CB9"/>
    <w:rsid w:val="004B7E24"/>
    <w:rsid w:val="004C08A7"/>
    <w:rsid w:val="004C0929"/>
    <w:rsid w:val="004C1B3C"/>
    <w:rsid w:val="004C1FB6"/>
    <w:rsid w:val="004C21D3"/>
    <w:rsid w:val="004C35E3"/>
    <w:rsid w:val="004C5587"/>
    <w:rsid w:val="004C5D28"/>
    <w:rsid w:val="004C5F51"/>
    <w:rsid w:val="004C6DD9"/>
    <w:rsid w:val="004C6E93"/>
    <w:rsid w:val="004C6FF7"/>
    <w:rsid w:val="004D03E4"/>
    <w:rsid w:val="004D1E59"/>
    <w:rsid w:val="004D20C1"/>
    <w:rsid w:val="004D2320"/>
    <w:rsid w:val="004D2921"/>
    <w:rsid w:val="004D32BF"/>
    <w:rsid w:val="004D414C"/>
    <w:rsid w:val="004D4B13"/>
    <w:rsid w:val="004D4E31"/>
    <w:rsid w:val="004D53E6"/>
    <w:rsid w:val="004D6CEC"/>
    <w:rsid w:val="004D77FA"/>
    <w:rsid w:val="004D7A80"/>
    <w:rsid w:val="004E08A4"/>
    <w:rsid w:val="004E0A5D"/>
    <w:rsid w:val="004E0A84"/>
    <w:rsid w:val="004E0D91"/>
    <w:rsid w:val="004E129E"/>
    <w:rsid w:val="004E28FF"/>
    <w:rsid w:val="004E2B8B"/>
    <w:rsid w:val="004E35E5"/>
    <w:rsid w:val="004E375D"/>
    <w:rsid w:val="004E4CF3"/>
    <w:rsid w:val="004E5559"/>
    <w:rsid w:val="004E62E9"/>
    <w:rsid w:val="004E64FF"/>
    <w:rsid w:val="004E70DD"/>
    <w:rsid w:val="004F015C"/>
    <w:rsid w:val="004F0912"/>
    <w:rsid w:val="004F0FC1"/>
    <w:rsid w:val="004F1306"/>
    <w:rsid w:val="004F231D"/>
    <w:rsid w:val="004F298C"/>
    <w:rsid w:val="004F3986"/>
    <w:rsid w:val="004F3E20"/>
    <w:rsid w:val="004F3F40"/>
    <w:rsid w:val="004F41DE"/>
    <w:rsid w:val="004F47CA"/>
    <w:rsid w:val="004F4EE0"/>
    <w:rsid w:val="004F57A6"/>
    <w:rsid w:val="004F5DC1"/>
    <w:rsid w:val="004F5FB2"/>
    <w:rsid w:val="004F605F"/>
    <w:rsid w:val="004F6B46"/>
    <w:rsid w:val="004F7201"/>
    <w:rsid w:val="004F7281"/>
    <w:rsid w:val="004F740C"/>
    <w:rsid w:val="00501093"/>
    <w:rsid w:val="005010BC"/>
    <w:rsid w:val="005028A1"/>
    <w:rsid w:val="00504D64"/>
    <w:rsid w:val="005050C3"/>
    <w:rsid w:val="0050535A"/>
    <w:rsid w:val="00505976"/>
    <w:rsid w:val="005062CF"/>
    <w:rsid w:val="00506561"/>
    <w:rsid w:val="00506788"/>
    <w:rsid w:val="00506AA1"/>
    <w:rsid w:val="00506CE4"/>
    <w:rsid w:val="00506E5C"/>
    <w:rsid w:val="00506F9B"/>
    <w:rsid w:val="005074EA"/>
    <w:rsid w:val="00507656"/>
    <w:rsid w:val="00510035"/>
    <w:rsid w:val="005100CC"/>
    <w:rsid w:val="0051013E"/>
    <w:rsid w:val="00512022"/>
    <w:rsid w:val="00512EA6"/>
    <w:rsid w:val="0051331D"/>
    <w:rsid w:val="00514838"/>
    <w:rsid w:val="00514F73"/>
    <w:rsid w:val="0051554C"/>
    <w:rsid w:val="00515647"/>
    <w:rsid w:val="0051590C"/>
    <w:rsid w:val="00515C6D"/>
    <w:rsid w:val="00516013"/>
    <w:rsid w:val="005164EF"/>
    <w:rsid w:val="005176FA"/>
    <w:rsid w:val="00517799"/>
    <w:rsid w:val="00517BCA"/>
    <w:rsid w:val="0052016D"/>
    <w:rsid w:val="005211D5"/>
    <w:rsid w:val="00521C6E"/>
    <w:rsid w:val="00521F99"/>
    <w:rsid w:val="0052311A"/>
    <w:rsid w:val="0052408B"/>
    <w:rsid w:val="005253AE"/>
    <w:rsid w:val="005256A6"/>
    <w:rsid w:val="0052777D"/>
    <w:rsid w:val="00527C98"/>
    <w:rsid w:val="00527E29"/>
    <w:rsid w:val="00530C2D"/>
    <w:rsid w:val="00530E42"/>
    <w:rsid w:val="005314DB"/>
    <w:rsid w:val="0053157E"/>
    <w:rsid w:val="00531B3B"/>
    <w:rsid w:val="00531F86"/>
    <w:rsid w:val="00533696"/>
    <w:rsid w:val="00533971"/>
    <w:rsid w:val="00533C44"/>
    <w:rsid w:val="00533E7C"/>
    <w:rsid w:val="00534AF7"/>
    <w:rsid w:val="00534B55"/>
    <w:rsid w:val="00535A3B"/>
    <w:rsid w:val="00536C3B"/>
    <w:rsid w:val="00537194"/>
    <w:rsid w:val="00537A5A"/>
    <w:rsid w:val="00540504"/>
    <w:rsid w:val="005409DB"/>
    <w:rsid w:val="00541691"/>
    <w:rsid w:val="00541835"/>
    <w:rsid w:val="00542B27"/>
    <w:rsid w:val="005434D7"/>
    <w:rsid w:val="00543571"/>
    <w:rsid w:val="00543AD9"/>
    <w:rsid w:val="00544EBF"/>
    <w:rsid w:val="00545C31"/>
    <w:rsid w:val="00545CC5"/>
    <w:rsid w:val="00546293"/>
    <w:rsid w:val="0054709B"/>
    <w:rsid w:val="00550357"/>
    <w:rsid w:val="005507C7"/>
    <w:rsid w:val="0055116C"/>
    <w:rsid w:val="00553794"/>
    <w:rsid w:val="005538C6"/>
    <w:rsid w:val="00554511"/>
    <w:rsid w:val="00554CC9"/>
    <w:rsid w:val="00554DA9"/>
    <w:rsid w:val="005556E4"/>
    <w:rsid w:val="00555938"/>
    <w:rsid w:val="00556E7F"/>
    <w:rsid w:val="00557DA9"/>
    <w:rsid w:val="00557E65"/>
    <w:rsid w:val="0056005C"/>
    <w:rsid w:val="005614C4"/>
    <w:rsid w:val="00561BF1"/>
    <w:rsid w:val="0056204C"/>
    <w:rsid w:val="0056376A"/>
    <w:rsid w:val="00563A85"/>
    <w:rsid w:val="00563FD7"/>
    <w:rsid w:val="0056410A"/>
    <w:rsid w:val="00565282"/>
    <w:rsid w:val="005654E4"/>
    <w:rsid w:val="0056568A"/>
    <w:rsid w:val="00567357"/>
    <w:rsid w:val="00570317"/>
    <w:rsid w:val="00570B35"/>
    <w:rsid w:val="00570EBF"/>
    <w:rsid w:val="0057196A"/>
    <w:rsid w:val="005721B1"/>
    <w:rsid w:val="00572AD7"/>
    <w:rsid w:val="00573B36"/>
    <w:rsid w:val="00574B1D"/>
    <w:rsid w:val="005751B1"/>
    <w:rsid w:val="00577004"/>
    <w:rsid w:val="005774C8"/>
    <w:rsid w:val="005807EB"/>
    <w:rsid w:val="00580A23"/>
    <w:rsid w:val="00581C31"/>
    <w:rsid w:val="00581DA5"/>
    <w:rsid w:val="005820AB"/>
    <w:rsid w:val="00582301"/>
    <w:rsid w:val="00583289"/>
    <w:rsid w:val="00583694"/>
    <w:rsid w:val="005847D4"/>
    <w:rsid w:val="00584E17"/>
    <w:rsid w:val="00584F22"/>
    <w:rsid w:val="005854B5"/>
    <w:rsid w:val="00585757"/>
    <w:rsid w:val="00586BF4"/>
    <w:rsid w:val="00587028"/>
    <w:rsid w:val="0058718C"/>
    <w:rsid w:val="00587852"/>
    <w:rsid w:val="00587BCC"/>
    <w:rsid w:val="00590037"/>
    <w:rsid w:val="005901A3"/>
    <w:rsid w:val="005907D1"/>
    <w:rsid w:val="00590866"/>
    <w:rsid w:val="005926DA"/>
    <w:rsid w:val="00593505"/>
    <w:rsid w:val="00593FBE"/>
    <w:rsid w:val="005941DD"/>
    <w:rsid w:val="0059433B"/>
    <w:rsid w:val="00596715"/>
    <w:rsid w:val="005A16A2"/>
    <w:rsid w:val="005A1862"/>
    <w:rsid w:val="005A230A"/>
    <w:rsid w:val="005A26FA"/>
    <w:rsid w:val="005A2720"/>
    <w:rsid w:val="005A275F"/>
    <w:rsid w:val="005A3165"/>
    <w:rsid w:val="005A3786"/>
    <w:rsid w:val="005B1059"/>
    <w:rsid w:val="005B20AE"/>
    <w:rsid w:val="005B296B"/>
    <w:rsid w:val="005B33F9"/>
    <w:rsid w:val="005B3805"/>
    <w:rsid w:val="005B3F85"/>
    <w:rsid w:val="005B3FD1"/>
    <w:rsid w:val="005B5082"/>
    <w:rsid w:val="005B5163"/>
    <w:rsid w:val="005B5275"/>
    <w:rsid w:val="005B532E"/>
    <w:rsid w:val="005B5373"/>
    <w:rsid w:val="005B5CCA"/>
    <w:rsid w:val="005B634C"/>
    <w:rsid w:val="005B63FB"/>
    <w:rsid w:val="005B66E8"/>
    <w:rsid w:val="005B7647"/>
    <w:rsid w:val="005C10D4"/>
    <w:rsid w:val="005C112A"/>
    <w:rsid w:val="005C1791"/>
    <w:rsid w:val="005C1E71"/>
    <w:rsid w:val="005C2908"/>
    <w:rsid w:val="005C3485"/>
    <w:rsid w:val="005C391C"/>
    <w:rsid w:val="005C3A3E"/>
    <w:rsid w:val="005C4876"/>
    <w:rsid w:val="005C4877"/>
    <w:rsid w:val="005C4B36"/>
    <w:rsid w:val="005C6498"/>
    <w:rsid w:val="005C6683"/>
    <w:rsid w:val="005C7322"/>
    <w:rsid w:val="005D0055"/>
    <w:rsid w:val="005D16EA"/>
    <w:rsid w:val="005D1C94"/>
    <w:rsid w:val="005D1DB7"/>
    <w:rsid w:val="005D1FC2"/>
    <w:rsid w:val="005D23CD"/>
    <w:rsid w:val="005D29F7"/>
    <w:rsid w:val="005D2F7F"/>
    <w:rsid w:val="005D3B46"/>
    <w:rsid w:val="005D4103"/>
    <w:rsid w:val="005D431D"/>
    <w:rsid w:val="005D43ED"/>
    <w:rsid w:val="005D4446"/>
    <w:rsid w:val="005D4FC0"/>
    <w:rsid w:val="005D5FF5"/>
    <w:rsid w:val="005D6871"/>
    <w:rsid w:val="005D68AA"/>
    <w:rsid w:val="005D7B07"/>
    <w:rsid w:val="005D7BA1"/>
    <w:rsid w:val="005E1168"/>
    <w:rsid w:val="005E21F4"/>
    <w:rsid w:val="005E34E6"/>
    <w:rsid w:val="005E3A06"/>
    <w:rsid w:val="005E56C8"/>
    <w:rsid w:val="005E6035"/>
    <w:rsid w:val="005E7D8B"/>
    <w:rsid w:val="005E7F19"/>
    <w:rsid w:val="005F1CF3"/>
    <w:rsid w:val="005F2154"/>
    <w:rsid w:val="005F21DF"/>
    <w:rsid w:val="005F27CF"/>
    <w:rsid w:val="005F30AA"/>
    <w:rsid w:val="005F3ECB"/>
    <w:rsid w:val="005F43FC"/>
    <w:rsid w:val="005F45E9"/>
    <w:rsid w:val="005F48AA"/>
    <w:rsid w:val="005F48D3"/>
    <w:rsid w:val="005F5553"/>
    <w:rsid w:val="005F6793"/>
    <w:rsid w:val="005F6939"/>
    <w:rsid w:val="005F7D76"/>
    <w:rsid w:val="005F7E4C"/>
    <w:rsid w:val="006001A8"/>
    <w:rsid w:val="006012C9"/>
    <w:rsid w:val="00601ADA"/>
    <w:rsid w:val="00601D45"/>
    <w:rsid w:val="006020BE"/>
    <w:rsid w:val="006022B2"/>
    <w:rsid w:val="00602ADD"/>
    <w:rsid w:val="00602B9E"/>
    <w:rsid w:val="0060387E"/>
    <w:rsid w:val="006039CE"/>
    <w:rsid w:val="00603A0B"/>
    <w:rsid w:val="006042EF"/>
    <w:rsid w:val="00604BEF"/>
    <w:rsid w:val="006057A1"/>
    <w:rsid w:val="0060585F"/>
    <w:rsid w:val="006060C9"/>
    <w:rsid w:val="00606573"/>
    <w:rsid w:val="006102D7"/>
    <w:rsid w:val="006103B8"/>
    <w:rsid w:val="006119F9"/>
    <w:rsid w:val="00612175"/>
    <w:rsid w:val="00612210"/>
    <w:rsid w:val="00612811"/>
    <w:rsid w:val="00612837"/>
    <w:rsid w:val="0061283E"/>
    <w:rsid w:val="00612C0D"/>
    <w:rsid w:val="00613229"/>
    <w:rsid w:val="00614422"/>
    <w:rsid w:val="006148FA"/>
    <w:rsid w:val="00614B43"/>
    <w:rsid w:val="00614B6A"/>
    <w:rsid w:val="00615808"/>
    <w:rsid w:val="006158E3"/>
    <w:rsid w:val="00616411"/>
    <w:rsid w:val="0061707C"/>
    <w:rsid w:val="006200F4"/>
    <w:rsid w:val="00620546"/>
    <w:rsid w:val="00620867"/>
    <w:rsid w:val="00621B54"/>
    <w:rsid w:val="00621EC9"/>
    <w:rsid w:val="006221F7"/>
    <w:rsid w:val="00622AA8"/>
    <w:rsid w:val="00622F1F"/>
    <w:rsid w:val="00624C9A"/>
    <w:rsid w:val="00624FBC"/>
    <w:rsid w:val="00626872"/>
    <w:rsid w:val="0062690A"/>
    <w:rsid w:val="00627628"/>
    <w:rsid w:val="00630769"/>
    <w:rsid w:val="0063109A"/>
    <w:rsid w:val="00631344"/>
    <w:rsid w:val="00631B4F"/>
    <w:rsid w:val="00632EA0"/>
    <w:rsid w:val="006338F7"/>
    <w:rsid w:val="00633E8E"/>
    <w:rsid w:val="006340D9"/>
    <w:rsid w:val="006345F0"/>
    <w:rsid w:val="00634768"/>
    <w:rsid w:val="00634C95"/>
    <w:rsid w:val="00635AD9"/>
    <w:rsid w:val="00635B41"/>
    <w:rsid w:val="00635C44"/>
    <w:rsid w:val="006361C5"/>
    <w:rsid w:val="0063626E"/>
    <w:rsid w:val="00636977"/>
    <w:rsid w:val="00636A3B"/>
    <w:rsid w:val="00637D48"/>
    <w:rsid w:val="00640505"/>
    <w:rsid w:val="00640915"/>
    <w:rsid w:val="00641E5D"/>
    <w:rsid w:val="006423E4"/>
    <w:rsid w:val="00642554"/>
    <w:rsid w:val="00642657"/>
    <w:rsid w:val="006427B4"/>
    <w:rsid w:val="006428DC"/>
    <w:rsid w:val="00643A67"/>
    <w:rsid w:val="00643F27"/>
    <w:rsid w:val="006444E0"/>
    <w:rsid w:val="00644C33"/>
    <w:rsid w:val="0064572A"/>
    <w:rsid w:val="006470D3"/>
    <w:rsid w:val="006473D9"/>
    <w:rsid w:val="006474FE"/>
    <w:rsid w:val="00647CD2"/>
    <w:rsid w:val="006510AA"/>
    <w:rsid w:val="00651628"/>
    <w:rsid w:val="00651F5D"/>
    <w:rsid w:val="006533FE"/>
    <w:rsid w:val="0065354C"/>
    <w:rsid w:val="006536D5"/>
    <w:rsid w:val="006554DE"/>
    <w:rsid w:val="00655588"/>
    <w:rsid w:val="00655760"/>
    <w:rsid w:val="006561CF"/>
    <w:rsid w:val="00656320"/>
    <w:rsid w:val="00657699"/>
    <w:rsid w:val="006578DA"/>
    <w:rsid w:val="006579E6"/>
    <w:rsid w:val="00660109"/>
    <w:rsid w:val="006607A6"/>
    <w:rsid w:val="006609B7"/>
    <w:rsid w:val="00663801"/>
    <w:rsid w:val="00663E67"/>
    <w:rsid w:val="00664DA0"/>
    <w:rsid w:val="0066595D"/>
    <w:rsid w:val="00665C26"/>
    <w:rsid w:val="006662A4"/>
    <w:rsid w:val="00670669"/>
    <w:rsid w:val="00670BCA"/>
    <w:rsid w:val="00672FC5"/>
    <w:rsid w:val="006735AD"/>
    <w:rsid w:val="00673726"/>
    <w:rsid w:val="00674184"/>
    <w:rsid w:val="00674583"/>
    <w:rsid w:val="0067459F"/>
    <w:rsid w:val="0067475E"/>
    <w:rsid w:val="00674A81"/>
    <w:rsid w:val="00674AB0"/>
    <w:rsid w:val="00675934"/>
    <w:rsid w:val="00676168"/>
    <w:rsid w:val="00676305"/>
    <w:rsid w:val="00680347"/>
    <w:rsid w:val="00680EC9"/>
    <w:rsid w:val="00681910"/>
    <w:rsid w:val="00681AF7"/>
    <w:rsid w:val="0068595F"/>
    <w:rsid w:val="0068669A"/>
    <w:rsid w:val="00686DF0"/>
    <w:rsid w:val="006876A2"/>
    <w:rsid w:val="0069018B"/>
    <w:rsid w:val="00690B8A"/>
    <w:rsid w:val="006912BD"/>
    <w:rsid w:val="0069155B"/>
    <w:rsid w:val="006929E1"/>
    <w:rsid w:val="006932D3"/>
    <w:rsid w:val="00693492"/>
    <w:rsid w:val="006936D6"/>
    <w:rsid w:val="006959C6"/>
    <w:rsid w:val="00695E6D"/>
    <w:rsid w:val="006965CA"/>
    <w:rsid w:val="00697BD9"/>
    <w:rsid w:val="006A030D"/>
    <w:rsid w:val="006A0DD0"/>
    <w:rsid w:val="006A206E"/>
    <w:rsid w:val="006A2AEE"/>
    <w:rsid w:val="006A4216"/>
    <w:rsid w:val="006A4674"/>
    <w:rsid w:val="006A6356"/>
    <w:rsid w:val="006A6B79"/>
    <w:rsid w:val="006A700F"/>
    <w:rsid w:val="006A7066"/>
    <w:rsid w:val="006A7AA3"/>
    <w:rsid w:val="006A7C16"/>
    <w:rsid w:val="006B000D"/>
    <w:rsid w:val="006B01BB"/>
    <w:rsid w:val="006B08AE"/>
    <w:rsid w:val="006B0FFC"/>
    <w:rsid w:val="006B2344"/>
    <w:rsid w:val="006B3C14"/>
    <w:rsid w:val="006B458E"/>
    <w:rsid w:val="006B5042"/>
    <w:rsid w:val="006B5580"/>
    <w:rsid w:val="006B6B63"/>
    <w:rsid w:val="006C03A0"/>
    <w:rsid w:val="006C04BF"/>
    <w:rsid w:val="006C0966"/>
    <w:rsid w:val="006C156B"/>
    <w:rsid w:val="006C15AB"/>
    <w:rsid w:val="006C1628"/>
    <w:rsid w:val="006C1D07"/>
    <w:rsid w:val="006C1DD3"/>
    <w:rsid w:val="006C21A3"/>
    <w:rsid w:val="006C2233"/>
    <w:rsid w:val="006C32D2"/>
    <w:rsid w:val="006C4743"/>
    <w:rsid w:val="006C4F37"/>
    <w:rsid w:val="006C6024"/>
    <w:rsid w:val="006C6871"/>
    <w:rsid w:val="006C6D07"/>
    <w:rsid w:val="006C7EF2"/>
    <w:rsid w:val="006D067D"/>
    <w:rsid w:val="006D1D8C"/>
    <w:rsid w:val="006D2637"/>
    <w:rsid w:val="006D28C1"/>
    <w:rsid w:val="006D3DAF"/>
    <w:rsid w:val="006D4A5C"/>
    <w:rsid w:val="006D4ABA"/>
    <w:rsid w:val="006D5032"/>
    <w:rsid w:val="006D6084"/>
    <w:rsid w:val="006D7111"/>
    <w:rsid w:val="006E117D"/>
    <w:rsid w:val="006E131C"/>
    <w:rsid w:val="006E1781"/>
    <w:rsid w:val="006E47E1"/>
    <w:rsid w:val="006E4F19"/>
    <w:rsid w:val="006E52FC"/>
    <w:rsid w:val="006E61DE"/>
    <w:rsid w:val="006E646A"/>
    <w:rsid w:val="006E67F7"/>
    <w:rsid w:val="006E7AC8"/>
    <w:rsid w:val="006E7B7E"/>
    <w:rsid w:val="006E7E7B"/>
    <w:rsid w:val="006F0056"/>
    <w:rsid w:val="006F015B"/>
    <w:rsid w:val="006F03CA"/>
    <w:rsid w:val="006F07A0"/>
    <w:rsid w:val="006F127C"/>
    <w:rsid w:val="006F1CB0"/>
    <w:rsid w:val="006F1F68"/>
    <w:rsid w:val="006F224B"/>
    <w:rsid w:val="006F316F"/>
    <w:rsid w:val="006F39D0"/>
    <w:rsid w:val="006F56F3"/>
    <w:rsid w:val="006F5AC8"/>
    <w:rsid w:val="006F5AFA"/>
    <w:rsid w:val="006F6F01"/>
    <w:rsid w:val="006F7994"/>
    <w:rsid w:val="00700884"/>
    <w:rsid w:val="00700E53"/>
    <w:rsid w:val="007011ED"/>
    <w:rsid w:val="0070131F"/>
    <w:rsid w:val="00701595"/>
    <w:rsid w:val="00702C1B"/>
    <w:rsid w:val="00702DC9"/>
    <w:rsid w:val="007044F3"/>
    <w:rsid w:val="00704C88"/>
    <w:rsid w:val="007056C4"/>
    <w:rsid w:val="00705B4F"/>
    <w:rsid w:val="00705C36"/>
    <w:rsid w:val="00705D44"/>
    <w:rsid w:val="0070699E"/>
    <w:rsid w:val="00706F5C"/>
    <w:rsid w:val="00707249"/>
    <w:rsid w:val="007073BF"/>
    <w:rsid w:val="00707D3C"/>
    <w:rsid w:val="00707ECC"/>
    <w:rsid w:val="00710A31"/>
    <w:rsid w:val="00711747"/>
    <w:rsid w:val="0071187E"/>
    <w:rsid w:val="007124AF"/>
    <w:rsid w:val="00713412"/>
    <w:rsid w:val="00713D83"/>
    <w:rsid w:val="00713F88"/>
    <w:rsid w:val="0071405D"/>
    <w:rsid w:val="0071424F"/>
    <w:rsid w:val="0071436A"/>
    <w:rsid w:val="0071594A"/>
    <w:rsid w:val="007164AE"/>
    <w:rsid w:val="00716F06"/>
    <w:rsid w:val="00717D7E"/>
    <w:rsid w:val="00720079"/>
    <w:rsid w:val="0072016A"/>
    <w:rsid w:val="0072072C"/>
    <w:rsid w:val="00720F20"/>
    <w:rsid w:val="00721436"/>
    <w:rsid w:val="00722786"/>
    <w:rsid w:val="00723047"/>
    <w:rsid w:val="00723112"/>
    <w:rsid w:val="00723290"/>
    <w:rsid w:val="0072361D"/>
    <w:rsid w:val="00723968"/>
    <w:rsid w:val="0072403C"/>
    <w:rsid w:val="00724417"/>
    <w:rsid w:val="00724CEF"/>
    <w:rsid w:val="007254A8"/>
    <w:rsid w:val="007254C4"/>
    <w:rsid w:val="0072574F"/>
    <w:rsid w:val="00726159"/>
    <w:rsid w:val="00726247"/>
    <w:rsid w:val="00727D9B"/>
    <w:rsid w:val="00727F74"/>
    <w:rsid w:val="007304F9"/>
    <w:rsid w:val="00730619"/>
    <w:rsid w:val="007309F4"/>
    <w:rsid w:val="00730C28"/>
    <w:rsid w:val="00731AA9"/>
    <w:rsid w:val="00732DB6"/>
    <w:rsid w:val="00733804"/>
    <w:rsid w:val="0073484B"/>
    <w:rsid w:val="00734C98"/>
    <w:rsid w:val="00735214"/>
    <w:rsid w:val="007355FA"/>
    <w:rsid w:val="00735A11"/>
    <w:rsid w:val="00736CC4"/>
    <w:rsid w:val="00736F01"/>
    <w:rsid w:val="00737153"/>
    <w:rsid w:val="007379F0"/>
    <w:rsid w:val="00737CC3"/>
    <w:rsid w:val="00737E96"/>
    <w:rsid w:val="007407C6"/>
    <w:rsid w:val="00740B03"/>
    <w:rsid w:val="007416C5"/>
    <w:rsid w:val="007418E5"/>
    <w:rsid w:val="007420C4"/>
    <w:rsid w:val="007458F4"/>
    <w:rsid w:val="007462B2"/>
    <w:rsid w:val="00746A6F"/>
    <w:rsid w:val="00746AF4"/>
    <w:rsid w:val="00746FDB"/>
    <w:rsid w:val="007471EA"/>
    <w:rsid w:val="00747CCE"/>
    <w:rsid w:val="0075007E"/>
    <w:rsid w:val="007521D6"/>
    <w:rsid w:val="00752825"/>
    <w:rsid w:val="00753ACD"/>
    <w:rsid w:val="0075402C"/>
    <w:rsid w:val="00754158"/>
    <w:rsid w:val="00754316"/>
    <w:rsid w:val="00754658"/>
    <w:rsid w:val="007552F3"/>
    <w:rsid w:val="007563C2"/>
    <w:rsid w:val="00756ADA"/>
    <w:rsid w:val="007571B1"/>
    <w:rsid w:val="007575B0"/>
    <w:rsid w:val="00757F97"/>
    <w:rsid w:val="0076007C"/>
    <w:rsid w:val="00760298"/>
    <w:rsid w:val="00760322"/>
    <w:rsid w:val="00760607"/>
    <w:rsid w:val="007606AE"/>
    <w:rsid w:val="007611FC"/>
    <w:rsid w:val="00761B18"/>
    <w:rsid w:val="00761BC7"/>
    <w:rsid w:val="007630AF"/>
    <w:rsid w:val="007636C4"/>
    <w:rsid w:val="00764304"/>
    <w:rsid w:val="00764A92"/>
    <w:rsid w:val="00765912"/>
    <w:rsid w:val="007663B1"/>
    <w:rsid w:val="007664C5"/>
    <w:rsid w:val="007667FB"/>
    <w:rsid w:val="00766A5D"/>
    <w:rsid w:val="007671B7"/>
    <w:rsid w:val="00770525"/>
    <w:rsid w:val="007719A2"/>
    <w:rsid w:val="00774280"/>
    <w:rsid w:val="00774B09"/>
    <w:rsid w:val="0077617A"/>
    <w:rsid w:val="0077673E"/>
    <w:rsid w:val="00777D31"/>
    <w:rsid w:val="0078041C"/>
    <w:rsid w:val="007804C7"/>
    <w:rsid w:val="00780C20"/>
    <w:rsid w:val="007811EB"/>
    <w:rsid w:val="00781D69"/>
    <w:rsid w:val="0078287F"/>
    <w:rsid w:val="00782B08"/>
    <w:rsid w:val="00782BCA"/>
    <w:rsid w:val="007835E3"/>
    <w:rsid w:val="00783BFF"/>
    <w:rsid w:val="007844F8"/>
    <w:rsid w:val="00784531"/>
    <w:rsid w:val="0078465C"/>
    <w:rsid w:val="007848A3"/>
    <w:rsid w:val="007854BC"/>
    <w:rsid w:val="00785C0C"/>
    <w:rsid w:val="00785DD4"/>
    <w:rsid w:val="00785E22"/>
    <w:rsid w:val="00787CAF"/>
    <w:rsid w:val="007902D9"/>
    <w:rsid w:val="0079090B"/>
    <w:rsid w:val="00790FA6"/>
    <w:rsid w:val="00791B02"/>
    <w:rsid w:val="00791FA1"/>
    <w:rsid w:val="00792B5A"/>
    <w:rsid w:val="0079380D"/>
    <w:rsid w:val="007942D0"/>
    <w:rsid w:val="0079513E"/>
    <w:rsid w:val="00795A70"/>
    <w:rsid w:val="007963DE"/>
    <w:rsid w:val="00796C11"/>
    <w:rsid w:val="00796F9C"/>
    <w:rsid w:val="00797D95"/>
    <w:rsid w:val="007A0BDD"/>
    <w:rsid w:val="007A0E5E"/>
    <w:rsid w:val="007A13D1"/>
    <w:rsid w:val="007A1D95"/>
    <w:rsid w:val="007A3BF4"/>
    <w:rsid w:val="007A3FCD"/>
    <w:rsid w:val="007A61A6"/>
    <w:rsid w:val="007A76A4"/>
    <w:rsid w:val="007B0651"/>
    <w:rsid w:val="007B0720"/>
    <w:rsid w:val="007B07FE"/>
    <w:rsid w:val="007B0B83"/>
    <w:rsid w:val="007B1B46"/>
    <w:rsid w:val="007B255E"/>
    <w:rsid w:val="007B281C"/>
    <w:rsid w:val="007B386D"/>
    <w:rsid w:val="007B3902"/>
    <w:rsid w:val="007B3C0A"/>
    <w:rsid w:val="007B469F"/>
    <w:rsid w:val="007B5035"/>
    <w:rsid w:val="007B574B"/>
    <w:rsid w:val="007B59D9"/>
    <w:rsid w:val="007B5EEE"/>
    <w:rsid w:val="007B6F52"/>
    <w:rsid w:val="007B734A"/>
    <w:rsid w:val="007B7A0B"/>
    <w:rsid w:val="007B7EAE"/>
    <w:rsid w:val="007C04C5"/>
    <w:rsid w:val="007C0E2B"/>
    <w:rsid w:val="007C0EF3"/>
    <w:rsid w:val="007C1233"/>
    <w:rsid w:val="007C1BF6"/>
    <w:rsid w:val="007C1DC6"/>
    <w:rsid w:val="007C1E10"/>
    <w:rsid w:val="007C2407"/>
    <w:rsid w:val="007C24CB"/>
    <w:rsid w:val="007C2A96"/>
    <w:rsid w:val="007C2BE6"/>
    <w:rsid w:val="007C2D5E"/>
    <w:rsid w:val="007C37EF"/>
    <w:rsid w:val="007C45AC"/>
    <w:rsid w:val="007C5057"/>
    <w:rsid w:val="007C6468"/>
    <w:rsid w:val="007C666B"/>
    <w:rsid w:val="007C677C"/>
    <w:rsid w:val="007C75C7"/>
    <w:rsid w:val="007C7BE4"/>
    <w:rsid w:val="007C7F2C"/>
    <w:rsid w:val="007D0100"/>
    <w:rsid w:val="007D117A"/>
    <w:rsid w:val="007D1487"/>
    <w:rsid w:val="007D1A9E"/>
    <w:rsid w:val="007D24E1"/>
    <w:rsid w:val="007D2634"/>
    <w:rsid w:val="007D2CCE"/>
    <w:rsid w:val="007D37C0"/>
    <w:rsid w:val="007D43EE"/>
    <w:rsid w:val="007D4CC2"/>
    <w:rsid w:val="007D5098"/>
    <w:rsid w:val="007D5679"/>
    <w:rsid w:val="007D68BB"/>
    <w:rsid w:val="007D6BA4"/>
    <w:rsid w:val="007D6D16"/>
    <w:rsid w:val="007D6E1C"/>
    <w:rsid w:val="007D70DF"/>
    <w:rsid w:val="007D722C"/>
    <w:rsid w:val="007D7503"/>
    <w:rsid w:val="007D7B03"/>
    <w:rsid w:val="007D7B6B"/>
    <w:rsid w:val="007D7B83"/>
    <w:rsid w:val="007E0243"/>
    <w:rsid w:val="007E1967"/>
    <w:rsid w:val="007E1E8F"/>
    <w:rsid w:val="007E26F2"/>
    <w:rsid w:val="007E2FB8"/>
    <w:rsid w:val="007E34D8"/>
    <w:rsid w:val="007E358F"/>
    <w:rsid w:val="007E405F"/>
    <w:rsid w:val="007E41BB"/>
    <w:rsid w:val="007E45EA"/>
    <w:rsid w:val="007E62B1"/>
    <w:rsid w:val="007E657E"/>
    <w:rsid w:val="007E66F1"/>
    <w:rsid w:val="007E6E12"/>
    <w:rsid w:val="007F0466"/>
    <w:rsid w:val="007F180D"/>
    <w:rsid w:val="007F25AF"/>
    <w:rsid w:val="007F271D"/>
    <w:rsid w:val="007F298F"/>
    <w:rsid w:val="007F29AE"/>
    <w:rsid w:val="007F2CDF"/>
    <w:rsid w:val="007F354E"/>
    <w:rsid w:val="007F4765"/>
    <w:rsid w:val="007F4AE7"/>
    <w:rsid w:val="007F4E63"/>
    <w:rsid w:val="007F50A5"/>
    <w:rsid w:val="007F5C79"/>
    <w:rsid w:val="007F5C84"/>
    <w:rsid w:val="007F6050"/>
    <w:rsid w:val="007F6174"/>
    <w:rsid w:val="007F6285"/>
    <w:rsid w:val="007F7009"/>
    <w:rsid w:val="007F7192"/>
    <w:rsid w:val="007F7E29"/>
    <w:rsid w:val="007F7F1D"/>
    <w:rsid w:val="008011C2"/>
    <w:rsid w:val="00801357"/>
    <w:rsid w:val="00802AF5"/>
    <w:rsid w:val="0080335D"/>
    <w:rsid w:val="00803C1D"/>
    <w:rsid w:val="00804083"/>
    <w:rsid w:val="0080415B"/>
    <w:rsid w:val="00804213"/>
    <w:rsid w:val="0080440E"/>
    <w:rsid w:val="00804934"/>
    <w:rsid w:val="0080535D"/>
    <w:rsid w:val="0080634A"/>
    <w:rsid w:val="00806635"/>
    <w:rsid w:val="00806ABE"/>
    <w:rsid w:val="00806F1C"/>
    <w:rsid w:val="008074AF"/>
    <w:rsid w:val="00807B1C"/>
    <w:rsid w:val="008104BC"/>
    <w:rsid w:val="008107A4"/>
    <w:rsid w:val="008107ED"/>
    <w:rsid w:val="00810823"/>
    <w:rsid w:val="00810A67"/>
    <w:rsid w:val="00810A6A"/>
    <w:rsid w:val="008112B9"/>
    <w:rsid w:val="008114DC"/>
    <w:rsid w:val="00811630"/>
    <w:rsid w:val="00811684"/>
    <w:rsid w:val="008117E8"/>
    <w:rsid w:val="00811F8F"/>
    <w:rsid w:val="008128E6"/>
    <w:rsid w:val="00813EB0"/>
    <w:rsid w:val="00813F2B"/>
    <w:rsid w:val="00814042"/>
    <w:rsid w:val="008143EB"/>
    <w:rsid w:val="008144C4"/>
    <w:rsid w:val="0081544B"/>
    <w:rsid w:val="00817042"/>
    <w:rsid w:val="008176C3"/>
    <w:rsid w:val="00817910"/>
    <w:rsid w:val="00820139"/>
    <w:rsid w:val="008202AE"/>
    <w:rsid w:val="008208B8"/>
    <w:rsid w:val="00820DE8"/>
    <w:rsid w:val="00821273"/>
    <w:rsid w:val="00821B4C"/>
    <w:rsid w:val="00821D94"/>
    <w:rsid w:val="008221F1"/>
    <w:rsid w:val="00822778"/>
    <w:rsid w:val="00822894"/>
    <w:rsid w:val="00822D64"/>
    <w:rsid w:val="00823110"/>
    <w:rsid w:val="0082376E"/>
    <w:rsid w:val="00823ADA"/>
    <w:rsid w:val="00823C64"/>
    <w:rsid w:val="00823E2F"/>
    <w:rsid w:val="00823EDD"/>
    <w:rsid w:val="008240E4"/>
    <w:rsid w:val="00824876"/>
    <w:rsid w:val="00825EC3"/>
    <w:rsid w:val="008264DD"/>
    <w:rsid w:val="00826DF3"/>
    <w:rsid w:val="00827CBC"/>
    <w:rsid w:val="008300C0"/>
    <w:rsid w:val="00831BED"/>
    <w:rsid w:val="00832877"/>
    <w:rsid w:val="00832E26"/>
    <w:rsid w:val="00832E8E"/>
    <w:rsid w:val="008336CB"/>
    <w:rsid w:val="008340DE"/>
    <w:rsid w:val="0083457E"/>
    <w:rsid w:val="008348D5"/>
    <w:rsid w:val="00834C5A"/>
    <w:rsid w:val="00834D36"/>
    <w:rsid w:val="008351C9"/>
    <w:rsid w:val="00836FC8"/>
    <w:rsid w:val="00840326"/>
    <w:rsid w:val="00840B31"/>
    <w:rsid w:val="00844A0A"/>
    <w:rsid w:val="00844D35"/>
    <w:rsid w:val="00844E59"/>
    <w:rsid w:val="00844F9B"/>
    <w:rsid w:val="00845802"/>
    <w:rsid w:val="00845B9B"/>
    <w:rsid w:val="008463AF"/>
    <w:rsid w:val="0085021A"/>
    <w:rsid w:val="00851BDB"/>
    <w:rsid w:val="00851CC5"/>
    <w:rsid w:val="008521AF"/>
    <w:rsid w:val="00852F0B"/>
    <w:rsid w:val="0085405F"/>
    <w:rsid w:val="0085482C"/>
    <w:rsid w:val="00854CF8"/>
    <w:rsid w:val="0085553A"/>
    <w:rsid w:val="00856A23"/>
    <w:rsid w:val="008574E7"/>
    <w:rsid w:val="0085767F"/>
    <w:rsid w:val="00861E23"/>
    <w:rsid w:val="0086368B"/>
    <w:rsid w:val="008638B4"/>
    <w:rsid w:val="00863C9C"/>
    <w:rsid w:val="008649CE"/>
    <w:rsid w:val="008652B1"/>
    <w:rsid w:val="008655F9"/>
    <w:rsid w:val="00865EFE"/>
    <w:rsid w:val="0086610D"/>
    <w:rsid w:val="008671D8"/>
    <w:rsid w:val="0086783E"/>
    <w:rsid w:val="008719E7"/>
    <w:rsid w:val="00871C40"/>
    <w:rsid w:val="00871C85"/>
    <w:rsid w:val="0087200A"/>
    <w:rsid w:val="008745E2"/>
    <w:rsid w:val="00874930"/>
    <w:rsid w:val="00874FD3"/>
    <w:rsid w:val="00875DDE"/>
    <w:rsid w:val="008765DF"/>
    <w:rsid w:val="008766B7"/>
    <w:rsid w:val="00876F89"/>
    <w:rsid w:val="00877920"/>
    <w:rsid w:val="008806D5"/>
    <w:rsid w:val="00881B2B"/>
    <w:rsid w:val="008821B1"/>
    <w:rsid w:val="00882478"/>
    <w:rsid w:val="00882724"/>
    <w:rsid w:val="008835F7"/>
    <w:rsid w:val="00883751"/>
    <w:rsid w:val="00883B4D"/>
    <w:rsid w:val="00883B77"/>
    <w:rsid w:val="00883D22"/>
    <w:rsid w:val="0088457E"/>
    <w:rsid w:val="008857D7"/>
    <w:rsid w:val="00885A68"/>
    <w:rsid w:val="00885ABF"/>
    <w:rsid w:val="00885B23"/>
    <w:rsid w:val="00886860"/>
    <w:rsid w:val="0088688D"/>
    <w:rsid w:val="008869F8"/>
    <w:rsid w:val="00886AC9"/>
    <w:rsid w:val="00887260"/>
    <w:rsid w:val="00887F68"/>
    <w:rsid w:val="008901BD"/>
    <w:rsid w:val="008904BE"/>
    <w:rsid w:val="008904E0"/>
    <w:rsid w:val="00890CE5"/>
    <w:rsid w:val="008913FD"/>
    <w:rsid w:val="008926F1"/>
    <w:rsid w:val="00892FEB"/>
    <w:rsid w:val="008935E2"/>
    <w:rsid w:val="00893A0C"/>
    <w:rsid w:val="00894649"/>
    <w:rsid w:val="00895021"/>
    <w:rsid w:val="00896980"/>
    <w:rsid w:val="00897316"/>
    <w:rsid w:val="008974D6"/>
    <w:rsid w:val="00897F43"/>
    <w:rsid w:val="008A0DE3"/>
    <w:rsid w:val="008A1567"/>
    <w:rsid w:val="008A3073"/>
    <w:rsid w:val="008A375E"/>
    <w:rsid w:val="008A3B11"/>
    <w:rsid w:val="008A43F9"/>
    <w:rsid w:val="008A4941"/>
    <w:rsid w:val="008A4979"/>
    <w:rsid w:val="008A4B06"/>
    <w:rsid w:val="008A4C96"/>
    <w:rsid w:val="008A4DF6"/>
    <w:rsid w:val="008A50C9"/>
    <w:rsid w:val="008A5491"/>
    <w:rsid w:val="008A5783"/>
    <w:rsid w:val="008A5AD6"/>
    <w:rsid w:val="008A6D11"/>
    <w:rsid w:val="008A74AD"/>
    <w:rsid w:val="008A795B"/>
    <w:rsid w:val="008A796E"/>
    <w:rsid w:val="008B0626"/>
    <w:rsid w:val="008B114D"/>
    <w:rsid w:val="008B1191"/>
    <w:rsid w:val="008B2771"/>
    <w:rsid w:val="008B294B"/>
    <w:rsid w:val="008B36FF"/>
    <w:rsid w:val="008B3861"/>
    <w:rsid w:val="008B412F"/>
    <w:rsid w:val="008B53AF"/>
    <w:rsid w:val="008B64FE"/>
    <w:rsid w:val="008B65D2"/>
    <w:rsid w:val="008B660E"/>
    <w:rsid w:val="008B6960"/>
    <w:rsid w:val="008B7065"/>
    <w:rsid w:val="008B7102"/>
    <w:rsid w:val="008B7823"/>
    <w:rsid w:val="008B7DE8"/>
    <w:rsid w:val="008C011E"/>
    <w:rsid w:val="008C1A19"/>
    <w:rsid w:val="008C1B11"/>
    <w:rsid w:val="008C287F"/>
    <w:rsid w:val="008C2E19"/>
    <w:rsid w:val="008C3255"/>
    <w:rsid w:val="008C3865"/>
    <w:rsid w:val="008C408B"/>
    <w:rsid w:val="008C45D7"/>
    <w:rsid w:val="008C4640"/>
    <w:rsid w:val="008C5CB7"/>
    <w:rsid w:val="008C7203"/>
    <w:rsid w:val="008C7997"/>
    <w:rsid w:val="008D00A0"/>
    <w:rsid w:val="008D2711"/>
    <w:rsid w:val="008D281B"/>
    <w:rsid w:val="008D354B"/>
    <w:rsid w:val="008D39CE"/>
    <w:rsid w:val="008D3CC5"/>
    <w:rsid w:val="008D41AD"/>
    <w:rsid w:val="008D5596"/>
    <w:rsid w:val="008D5652"/>
    <w:rsid w:val="008D5D2A"/>
    <w:rsid w:val="008D633A"/>
    <w:rsid w:val="008D6F34"/>
    <w:rsid w:val="008D6F99"/>
    <w:rsid w:val="008D7D42"/>
    <w:rsid w:val="008E165A"/>
    <w:rsid w:val="008E1D1B"/>
    <w:rsid w:val="008E317B"/>
    <w:rsid w:val="008E369A"/>
    <w:rsid w:val="008E371B"/>
    <w:rsid w:val="008E5262"/>
    <w:rsid w:val="008E61E6"/>
    <w:rsid w:val="008E665D"/>
    <w:rsid w:val="008F23F7"/>
    <w:rsid w:val="008F2464"/>
    <w:rsid w:val="008F25E6"/>
    <w:rsid w:val="008F42BC"/>
    <w:rsid w:val="008F4B4E"/>
    <w:rsid w:val="008F4E72"/>
    <w:rsid w:val="008F5174"/>
    <w:rsid w:val="008F5D59"/>
    <w:rsid w:val="008F5F9C"/>
    <w:rsid w:val="008F7702"/>
    <w:rsid w:val="008F7853"/>
    <w:rsid w:val="00900974"/>
    <w:rsid w:val="00901BB9"/>
    <w:rsid w:val="00901C58"/>
    <w:rsid w:val="00901D04"/>
    <w:rsid w:val="00902C0B"/>
    <w:rsid w:val="0090383D"/>
    <w:rsid w:val="00903DD3"/>
    <w:rsid w:val="009057B5"/>
    <w:rsid w:val="00906BE6"/>
    <w:rsid w:val="009070DA"/>
    <w:rsid w:val="009108A6"/>
    <w:rsid w:val="0091099C"/>
    <w:rsid w:val="00910EA6"/>
    <w:rsid w:val="00911458"/>
    <w:rsid w:val="009147D3"/>
    <w:rsid w:val="00915246"/>
    <w:rsid w:val="00915B44"/>
    <w:rsid w:val="009160CB"/>
    <w:rsid w:val="00917957"/>
    <w:rsid w:val="00917B64"/>
    <w:rsid w:val="00920280"/>
    <w:rsid w:val="00920A99"/>
    <w:rsid w:val="00921824"/>
    <w:rsid w:val="00922753"/>
    <w:rsid w:val="00922ABC"/>
    <w:rsid w:val="00922B08"/>
    <w:rsid w:val="009231CD"/>
    <w:rsid w:val="00923A73"/>
    <w:rsid w:val="00923F16"/>
    <w:rsid w:val="009240B7"/>
    <w:rsid w:val="00924312"/>
    <w:rsid w:val="0092438B"/>
    <w:rsid w:val="009249B3"/>
    <w:rsid w:val="00924B5E"/>
    <w:rsid w:val="00924D17"/>
    <w:rsid w:val="00925242"/>
    <w:rsid w:val="00925865"/>
    <w:rsid w:val="00926E02"/>
    <w:rsid w:val="009274E3"/>
    <w:rsid w:val="00927B9A"/>
    <w:rsid w:val="009300D0"/>
    <w:rsid w:val="00930E48"/>
    <w:rsid w:val="009320E7"/>
    <w:rsid w:val="00932738"/>
    <w:rsid w:val="00932DE3"/>
    <w:rsid w:val="00932ECB"/>
    <w:rsid w:val="0093333C"/>
    <w:rsid w:val="00933773"/>
    <w:rsid w:val="00934DF3"/>
    <w:rsid w:val="00935A30"/>
    <w:rsid w:val="00935E8C"/>
    <w:rsid w:val="00935EB4"/>
    <w:rsid w:val="00937486"/>
    <w:rsid w:val="0093790E"/>
    <w:rsid w:val="00937982"/>
    <w:rsid w:val="00937E66"/>
    <w:rsid w:val="00940BDD"/>
    <w:rsid w:val="00941064"/>
    <w:rsid w:val="00941934"/>
    <w:rsid w:val="00941BE5"/>
    <w:rsid w:val="00942094"/>
    <w:rsid w:val="00942221"/>
    <w:rsid w:val="009424B8"/>
    <w:rsid w:val="0094388E"/>
    <w:rsid w:val="00943C7F"/>
    <w:rsid w:val="00944968"/>
    <w:rsid w:val="009453E3"/>
    <w:rsid w:val="00946235"/>
    <w:rsid w:val="00947057"/>
    <w:rsid w:val="009470E6"/>
    <w:rsid w:val="009500F0"/>
    <w:rsid w:val="009519BD"/>
    <w:rsid w:val="00952059"/>
    <w:rsid w:val="0095206E"/>
    <w:rsid w:val="00953044"/>
    <w:rsid w:val="009530FD"/>
    <w:rsid w:val="009534F2"/>
    <w:rsid w:val="00954833"/>
    <w:rsid w:val="00955546"/>
    <w:rsid w:val="00955E29"/>
    <w:rsid w:val="00957047"/>
    <w:rsid w:val="009573F9"/>
    <w:rsid w:val="00957D43"/>
    <w:rsid w:val="009614ED"/>
    <w:rsid w:val="009619BC"/>
    <w:rsid w:val="009629D1"/>
    <w:rsid w:val="00962D54"/>
    <w:rsid w:val="00962D96"/>
    <w:rsid w:val="00963790"/>
    <w:rsid w:val="0096398F"/>
    <w:rsid w:val="00964CEE"/>
    <w:rsid w:val="00964D54"/>
    <w:rsid w:val="0096537B"/>
    <w:rsid w:val="00965F78"/>
    <w:rsid w:val="009668BC"/>
    <w:rsid w:val="009679FE"/>
    <w:rsid w:val="00967A84"/>
    <w:rsid w:val="00967C27"/>
    <w:rsid w:val="00970286"/>
    <w:rsid w:val="00970416"/>
    <w:rsid w:val="009711AA"/>
    <w:rsid w:val="009712B9"/>
    <w:rsid w:val="0097174A"/>
    <w:rsid w:val="0097193F"/>
    <w:rsid w:val="00971E45"/>
    <w:rsid w:val="0097220E"/>
    <w:rsid w:val="00972EBB"/>
    <w:rsid w:val="00973321"/>
    <w:rsid w:val="0097427F"/>
    <w:rsid w:val="00974F3B"/>
    <w:rsid w:val="0097661F"/>
    <w:rsid w:val="00977254"/>
    <w:rsid w:val="00977339"/>
    <w:rsid w:val="009775B2"/>
    <w:rsid w:val="00977C38"/>
    <w:rsid w:val="0098358D"/>
    <w:rsid w:val="00983AB7"/>
    <w:rsid w:val="00983E51"/>
    <w:rsid w:val="009854B1"/>
    <w:rsid w:val="00985536"/>
    <w:rsid w:val="00985BBD"/>
    <w:rsid w:val="00986CB2"/>
    <w:rsid w:val="00986F72"/>
    <w:rsid w:val="009873FB"/>
    <w:rsid w:val="0098758B"/>
    <w:rsid w:val="009877C5"/>
    <w:rsid w:val="00990741"/>
    <w:rsid w:val="00991692"/>
    <w:rsid w:val="0099226E"/>
    <w:rsid w:val="00992400"/>
    <w:rsid w:val="0099266F"/>
    <w:rsid w:val="00992FA3"/>
    <w:rsid w:val="00993010"/>
    <w:rsid w:val="00993912"/>
    <w:rsid w:val="009943E5"/>
    <w:rsid w:val="009953E9"/>
    <w:rsid w:val="00995541"/>
    <w:rsid w:val="00995B63"/>
    <w:rsid w:val="009961DD"/>
    <w:rsid w:val="00996684"/>
    <w:rsid w:val="00997422"/>
    <w:rsid w:val="00997ADD"/>
    <w:rsid w:val="009A077C"/>
    <w:rsid w:val="009A3767"/>
    <w:rsid w:val="009A4032"/>
    <w:rsid w:val="009A4354"/>
    <w:rsid w:val="009A4973"/>
    <w:rsid w:val="009A4C4B"/>
    <w:rsid w:val="009A4F78"/>
    <w:rsid w:val="009A57E1"/>
    <w:rsid w:val="009A7343"/>
    <w:rsid w:val="009A74B9"/>
    <w:rsid w:val="009A7AE1"/>
    <w:rsid w:val="009B12DC"/>
    <w:rsid w:val="009B19E1"/>
    <w:rsid w:val="009B318A"/>
    <w:rsid w:val="009B3C7F"/>
    <w:rsid w:val="009B453D"/>
    <w:rsid w:val="009B6B1E"/>
    <w:rsid w:val="009B7525"/>
    <w:rsid w:val="009B77D9"/>
    <w:rsid w:val="009B7A26"/>
    <w:rsid w:val="009C0743"/>
    <w:rsid w:val="009C090F"/>
    <w:rsid w:val="009C117A"/>
    <w:rsid w:val="009C24E1"/>
    <w:rsid w:val="009C2684"/>
    <w:rsid w:val="009C2FDB"/>
    <w:rsid w:val="009C42B0"/>
    <w:rsid w:val="009C441A"/>
    <w:rsid w:val="009C45D1"/>
    <w:rsid w:val="009C55BA"/>
    <w:rsid w:val="009C5758"/>
    <w:rsid w:val="009C5776"/>
    <w:rsid w:val="009C5837"/>
    <w:rsid w:val="009C6883"/>
    <w:rsid w:val="009C6A68"/>
    <w:rsid w:val="009C7113"/>
    <w:rsid w:val="009C77FC"/>
    <w:rsid w:val="009D01EA"/>
    <w:rsid w:val="009D0834"/>
    <w:rsid w:val="009D166C"/>
    <w:rsid w:val="009D171B"/>
    <w:rsid w:val="009D2869"/>
    <w:rsid w:val="009D33C6"/>
    <w:rsid w:val="009D38E3"/>
    <w:rsid w:val="009D41A9"/>
    <w:rsid w:val="009D486F"/>
    <w:rsid w:val="009D4F9E"/>
    <w:rsid w:val="009D5B22"/>
    <w:rsid w:val="009D5CE6"/>
    <w:rsid w:val="009D5F04"/>
    <w:rsid w:val="009D750F"/>
    <w:rsid w:val="009E0144"/>
    <w:rsid w:val="009E03F6"/>
    <w:rsid w:val="009E0C86"/>
    <w:rsid w:val="009E0E38"/>
    <w:rsid w:val="009E1028"/>
    <w:rsid w:val="009E16DF"/>
    <w:rsid w:val="009E1916"/>
    <w:rsid w:val="009E2BBD"/>
    <w:rsid w:val="009E362D"/>
    <w:rsid w:val="009E397C"/>
    <w:rsid w:val="009E3D06"/>
    <w:rsid w:val="009E4DA6"/>
    <w:rsid w:val="009E5FCF"/>
    <w:rsid w:val="009E74D3"/>
    <w:rsid w:val="009E7528"/>
    <w:rsid w:val="009E76D0"/>
    <w:rsid w:val="009E7B5B"/>
    <w:rsid w:val="009F00AD"/>
    <w:rsid w:val="009F16C9"/>
    <w:rsid w:val="009F1AC8"/>
    <w:rsid w:val="009F1B0F"/>
    <w:rsid w:val="009F1C5F"/>
    <w:rsid w:val="009F21E9"/>
    <w:rsid w:val="009F23E8"/>
    <w:rsid w:val="009F2FEE"/>
    <w:rsid w:val="009F3C72"/>
    <w:rsid w:val="009F403B"/>
    <w:rsid w:val="009F4568"/>
    <w:rsid w:val="009F46DD"/>
    <w:rsid w:val="009F4F46"/>
    <w:rsid w:val="009F4F9F"/>
    <w:rsid w:val="009F4FB8"/>
    <w:rsid w:val="009F502B"/>
    <w:rsid w:val="009F5B87"/>
    <w:rsid w:val="009F5D28"/>
    <w:rsid w:val="009F631D"/>
    <w:rsid w:val="009F6702"/>
    <w:rsid w:val="009F67A8"/>
    <w:rsid w:val="009F6918"/>
    <w:rsid w:val="009F6BA9"/>
    <w:rsid w:val="009F726E"/>
    <w:rsid w:val="00A00E7F"/>
    <w:rsid w:val="00A01CE7"/>
    <w:rsid w:val="00A02758"/>
    <w:rsid w:val="00A0275F"/>
    <w:rsid w:val="00A02E22"/>
    <w:rsid w:val="00A03BD1"/>
    <w:rsid w:val="00A041C8"/>
    <w:rsid w:val="00A053EF"/>
    <w:rsid w:val="00A06769"/>
    <w:rsid w:val="00A06909"/>
    <w:rsid w:val="00A07246"/>
    <w:rsid w:val="00A07BA8"/>
    <w:rsid w:val="00A12E60"/>
    <w:rsid w:val="00A12F9B"/>
    <w:rsid w:val="00A14AF5"/>
    <w:rsid w:val="00A153ED"/>
    <w:rsid w:val="00A15791"/>
    <w:rsid w:val="00A16567"/>
    <w:rsid w:val="00A17349"/>
    <w:rsid w:val="00A178CB"/>
    <w:rsid w:val="00A2112F"/>
    <w:rsid w:val="00A211A8"/>
    <w:rsid w:val="00A217B2"/>
    <w:rsid w:val="00A218E7"/>
    <w:rsid w:val="00A21BEE"/>
    <w:rsid w:val="00A22BA6"/>
    <w:rsid w:val="00A22E53"/>
    <w:rsid w:val="00A236C1"/>
    <w:rsid w:val="00A23ED8"/>
    <w:rsid w:val="00A241E1"/>
    <w:rsid w:val="00A24BFF"/>
    <w:rsid w:val="00A25938"/>
    <w:rsid w:val="00A25C4C"/>
    <w:rsid w:val="00A25EDE"/>
    <w:rsid w:val="00A26131"/>
    <w:rsid w:val="00A2695E"/>
    <w:rsid w:val="00A27392"/>
    <w:rsid w:val="00A27F6C"/>
    <w:rsid w:val="00A30319"/>
    <w:rsid w:val="00A304D2"/>
    <w:rsid w:val="00A3051A"/>
    <w:rsid w:val="00A30EFA"/>
    <w:rsid w:val="00A32E7C"/>
    <w:rsid w:val="00A3309E"/>
    <w:rsid w:val="00A3325E"/>
    <w:rsid w:val="00A33C71"/>
    <w:rsid w:val="00A34146"/>
    <w:rsid w:val="00A34166"/>
    <w:rsid w:val="00A3440F"/>
    <w:rsid w:val="00A35EDE"/>
    <w:rsid w:val="00A35F2C"/>
    <w:rsid w:val="00A36198"/>
    <w:rsid w:val="00A37172"/>
    <w:rsid w:val="00A4042B"/>
    <w:rsid w:val="00A4157C"/>
    <w:rsid w:val="00A41848"/>
    <w:rsid w:val="00A4207A"/>
    <w:rsid w:val="00A42B5E"/>
    <w:rsid w:val="00A42FF3"/>
    <w:rsid w:val="00A4319E"/>
    <w:rsid w:val="00A43AEF"/>
    <w:rsid w:val="00A44E16"/>
    <w:rsid w:val="00A46859"/>
    <w:rsid w:val="00A47707"/>
    <w:rsid w:val="00A515C1"/>
    <w:rsid w:val="00A52A1E"/>
    <w:rsid w:val="00A52B70"/>
    <w:rsid w:val="00A53396"/>
    <w:rsid w:val="00A535E0"/>
    <w:rsid w:val="00A551A7"/>
    <w:rsid w:val="00A557E8"/>
    <w:rsid w:val="00A557F5"/>
    <w:rsid w:val="00A55F42"/>
    <w:rsid w:val="00A56F05"/>
    <w:rsid w:val="00A57510"/>
    <w:rsid w:val="00A57552"/>
    <w:rsid w:val="00A57B66"/>
    <w:rsid w:val="00A57C1F"/>
    <w:rsid w:val="00A616A9"/>
    <w:rsid w:val="00A61F15"/>
    <w:rsid w:val="00A62177"/>
    <w:rsid w:val="00A622DA"/>
    <w:rsid w:val="00A62638"/>
    <w:rsid w:val="00A629BD"/>
    <w:rsid w:val="00A6455F"/>
    <w:rsid w:val="00A65AAA"/>
    <w:rsid w:val="00A65EE1"/>
    <w:rsid w:val="00A71457"/>
    <w:rsid w:val="00A7146A"/>
    <w:rsid w:val="00A7149A"/>
    <w:rsid w:val="00A71DE9"/>
    <w:rsid w:val="00A72D56"/>
    <w:rsid w:val="00A736A4"/>
    <w:rsid w:val="00A73CB2"/>
    <w:rsid w:val="00A73DB2"/>
    <w:rsid w:val="00A74AD4"/>
    <w:rsid w:val="00A74EDD"/>
    <w:rsid w:val="00A80724"/>
    <w:rsid w:val="00A80C0A"/>
    <w:rsid w:val="00A80E3C"/>
    <w:rsid w:val="00A824DB"/>
    <w:rsid w:val="00A83A38"/>
    <w:rsid w:val="00A84306"/>
    <w:rsid w:val="00A846EA"/>
    <w:rsid w:val="00A84D61"/>
    <w:rsid w:val="00A86A25"/>
    <w:rsid w:val="00A86C82"/>
    <w:rsid w:val="00A87253"/>
    <w:rsid w:val="00A87EF5"/>
    <w:rsid w:val="00A90358"/>
    <w:rsid w:val="00A907AB"/>
    <w:rsid w:val="00A9151A"/>
    <w:rsid w:val="00A92148"/>
    <w:rsid w:val="00A931C6"/>
    <w:rsid w:val="00A9379A"/>
    <w:rsid w:val="00A93B48"/>
    <w:rsid w:val="00A94A24"/>
    <w:rsid w:val="00A94F05"/>
    <w:rsid w:val="00A9648A"/>
    <w:rsid w:val="00A969C5"/>
    <w:rsid w:val="00A96CD8"/>
    <w:rsid w:val="00A97602"/>
    <w:rsid w:val="00A97A10"/>
    <w:rsid w:val="00A97DC1"/>
    <w:rsid w:val="00A97F26"/>
    <w:rsid w:val="00AA054E"/>
    <w:rsid w:val="00AA0A53"/>
    <w:rsid w:val="00AA0E84"/>
    <w:rsid w:val="00AA16F0"/>
    <w:rsid w:val="00AA18B9"/>
    <w:rsid w:val="00AA19CB"/>
    <w:rsid w:val="00AA1EFF"/>
    <w:rsid w:val="00AA4009"/>
    <w:rsid w:val="00AA494B"/>
    <w:rsid w:val="00AA4DF8"/>
    <w:rsid w:val="00AA5E24"/>
    <w:rsid w:val="00AA608C"/>
    <w:rsid w:val="00AA62C8"/>
    <w:rsid w:val="00AA6E64"/>
    <w:rsid w:val="00AA6E6D"/>
    <w:rsid w:val="00AA7F40"/>
    <w:rsid w:val="00AB09ED"/>
    <w:rsid w:val="00AB0E01"/>
    <w:rsid w:val="00AB1CE7"/>
    <w:rsid w:val="00AB2C4B"/>
    <w:rsid w:val="00AB3AAF"/>
    <w:rsid w:val="00AB43C4"/>
    <w:rsid w:val="00AB4821"/>
    <w:rsid w:val="00AB4AC1"/>
    <w:rsid w:val="00AB5388"/>
    <w:rsid w:val="00AB5815"/>
    <w:rsid w:val="00AB6281"/>
    <w:rsid w:val="00AB6309"/>
    <w:rsid w:val="00AB6AC2"/>
    <w:rsid w:val="00AB7488"/>
    <w:rsid w:val="00AC046D"/>
    <w:rsid w:val="00AC060F"/>
    <w:rsid w:val="00AC10B4"/>
    <w:rsid w:val="00AC11AF"/>
    <w:rsid w:val="00AC13ED"/>
    <w:rsid w:val="00AC29DE"/>
    <w:rsid w:val="00AC4B59"/>
    <w:rsid w:val="00AC65DB"/>
    <w:rsid w:val="00AC7CE7"/>
    <w:rsid w:val="00AD0AB7"/>
    <w:rsid w:val="00AD0B4B"/>
    <w:rsid w:val="00AD10ED"/>
    <w:rsid w:val="00AD138A"/>
    <w:rsid w:val="00AD1750"/>
    <w:rsid w:val="00AD1DEB"/>
    <w:rsid w:val="00AD23B1"/>
    <w:rsid w:val="00AD24BE"/>
    <w:rsid w:val="00AD35F4"/>
    <w:rsid w:val="00AD3906"/>
    <w:rsid w:val="00AD3CAD"/>
    <w:rsid w:val="00AD44C7"/>
    <w:rsid w:val="00AD5ACC"/>
    <w:rsid w:val="00AD633B"/>
    <w:rsid w:val="00AD65A2"/>
    <w:rsid w:val="00AD67D1"/>
    <w:rsid w:val="00AD6B39"/>
    <w:rsid w:val="00AD6DE7"/>
    <w:rsid w:val="00AD6EC2"/>
    <w:rsid w:val="00AD7073"/>
    <w:rsid w:val="00AE10B4"/>
    <w:rsid w:val="00AE1B37"/>
    <w:rsid w:val="00AE27B4"/>
    <w:rsid w:val="00AE41B1"/>
    <w:rsid w:val="00AE448F"/>
    <w:rsid w:val="00AE65FF"/>
    <w:rsid w:val="00AE66C9"/>
    <w:rsid w:val="00AE6765"/>
    <w:rsid w:val="00AE6DEF"/>
    <w:rsid w:val="00AE6EC1"/>
    <w:rsid w:val="00AE7144"/>
    <w:rsid w:val="00AE7593"/>
    <w:rsid w:val="00AF064B"/>
    <w:rsid w:val="00AF11C7"/>
    <w:rsid w:val="00AF13DE"/>
    <w:rsid w:val="00AF16FA"/>
    <w:rsid w:val="00AF25E1"/>
    <w:rsid w:val="00AF373C"/>
    <w:rsid w:val="00AF3B86"/>
    <w:rsid w:val="00AF4CE4"/>
    <w:rsid w:val="00AF5573"/>
    <w:rsid w:val="00AF6FF2"/>
    <w:rsid w:val="00AF721C"/>
    <w:rsid w:val="00AF76A6"/>
    <w:rsid w:val="00AF7959"/>
    <w:rsid w:val="00AF7BA7"/>
    <w:rsid w:val="00B00709"/>
    <w:rsid w:val="00B00F05"/>
    <w:rsid w:val="00B02135"/>
    <w:rsid w:val="00B0253A"/>
    <w:rsid w:val="00B02D9C"/>
    <w:rsid w:val="00B03504"/>
    <w:rsid w:val="00B03627"/>
    <w:rsid w:val="00B03C54"/>
    <w:rsid w:val="00B04435"/>
    <w:rsid w:val="00B05F55"/>
    <w:rsid w:val="00B05F65"/>
    <w:rsid w:val="00B07560"/>
    <w:rsid w:val="00B076C4"/>
    <w:rsid w:val="00B07AA2"/>
    <w:rsid w:val="00B10877"/>
    <w:rsid w:val="00B10C83"/>
    <w:rsid w:val="00B1127D"/>
    <w:rsid w:val="00B11767"/>
    <w:rsid w:val="00B117AC"/>
    <w:rsid w:val="00B11943"/>
    <w:rsid w:val="00B11CAC"/>
    <w:rsid w:val="00B1256F"/>
    <w:rsid w:val="00B13480"/>
    <w:rsid w:val="00B1352A"/>
    <w:rsid w:val="00B13724"/>
    <w:rsid w:val="00B1496B"/>
    <w:rsid w:val="00B15B37"/>
    <w:rsid w:val="00B16A45"/>
    <w:rsid w:val="00B200FC"/>
    <w:rsid w:val="00B20487"/>
    <w:rsid w:val="00B21427"/>
    <w:rsid w:val="00B217A1"/>
    <w:rsid w:val="00B229E1"/>
    <w:rsid w:val="00B23482"/>
    <w:rsid w:val="00B245A3"/>
    <w:rsid w:val="00B25135"/>
    <w:rsid w:val="00B25A86"/>
    <w:rsid w:val="00B260A1"/>
    <w:rsid w:val="00B261D4"/>
    <w:rsid w:val="00B27251"/>
    <w:rsid w:val="00B27528"/>
    <w:rsid w:val="00B276C5"/>
    <w:rsid w:val="00B27B20"/>
    <w:rsid w:val="00B301EF"/>
    <w:rsid w:val="00B30AB7"/>
    <w:rsid w:val="00B310CC"/>
    <w:rsid w:val="00B324BF"/>
    <w:rsid w:val="00B32B97"/>
    <w:rsid w:val="00B3368E"/>
    <w:rsid w:val="00B34AC6"/>
    <w:rsid w:val="00B35233"/>
    <w:rsid w:val="00B354B8"/>
    <w:rsid w:val="00B35A22"/>
    <w:rsid w:val="00B3670C"/>
    <w:rsid w:val="00B371BC"/>
    <w:rsid w:val="00B37268"/>
    <w:rsid w:val="00B37957"/>
    <w:rsid w:val="00B37E27"/>
    <w:rsid w:val="00B401F9"/>
    <w:rsid w:val="00B40201"/>
    <w:rsid w:val="00B40388"/>
    <w:rsid w:val="00B40C0D"/>
    <w:rsid w:val="00B415D4"/>
    <w:rsid w:val="00B41AE7"/>
    <w:rsid w:val="00B423BC"/>
    <w:rsid w:val="00B4258E"/>
    <w:rsid w:val="00B42EF8"/>
    <w:rsid w:val="00B4373D"/>
    <w:rsid w:val="00B438E5"/>
    <w:rsid w:val="00B43D43"/>
    <w:rsid w:val="00B456C3"/>
    <w:rsid w:val="00B45AF2"/>
    <w:rsid w:val="00B469D3"/>
    <w:rsid w:val="00B46BD6"/>
    <w:rsid w:val="00B46E30"/>
    <w:rsid w:val="00B47D0E"/>
    <w:rsid w:val="00B509E1"/>
    <w:rsid w:val="00B5134D"/>
    <w:rsid w:val="00B51600"/>
    <w:rsid w:val="00B52411"/>
    <w:rsid w:val="00B524AF"/>
    <w:rsid w:val="00B52E71"/>
    <w:rsid w:val="00B537CA"/>
    <w:rsid w:val="00B537EA"/>
    <w:rsid w:val="00B54A5A"/>
    <w:rsid w:val="00B54B57"/>
    <w:rsid w:val="00B54E0C"/>
    <w:rsid w:val="00B550EC"/>
    <w:rsid w:val="00B55B59"/>
    <w:rsid w:val="00B55E04"/>
    <w:rsid w:val="00B55EA8"/>
    <w:rsid w:val="00B55EC7"/>
    <w:rsid w:val="00B56F32"/>
    <w:rsid w:val="00B57E6B"/>
    <w:rsid w:val="00B62D7E"/>
    <w:rsid w:val="00B63266"/>
    <w:rsid w:val="00B63DD2"/>
    <w:rsid w:val="00B6481D"/>
    <w:rsid w:val="00B660D0"/>
    <w:rsid w:val="00B675B2"/>
    <w:rsid w:val="00B67B89"/>
    <w:rsid w:val="00B67FC3"/>
    <w:rsid w:val="00B716BC"/>
    <w:rsid w:val="00B71771"/>
    <w:rsid w:val="00B71946"/>
    <w:rsid w:val="00B727A9"/>
    <w:rsid w:val="00B72D66"/>
    <w:rsid w:val="00B738D9"/>
    <w:rsid w:val="00B739CE"/>
    <w:rsid w:val="00B73C35"/>
    <w:rsid w:val="00B73C78"/>
    <w:rsid w:val="00B745EF"/>
    <w:rsid w:val="00B746DF"/>
    <w:rsid w:val="00B74AC0"/>
    <w:rsid w:val="00B754C2"/>
    <w:rsid w:val="00B760C7"/>
    <w:rsid w:val="00B7755B"/>
    <w:rsid w:val="00B802CB"/>
    <w:rsid w:val="00B80E87"/>
    <w:rsid w:val="00B81BA0"/>
    <w:rsid w:val="00B81E55"/>
    <w:rsid w:val="00B8229B"/>
    <w:rsid w:val="00B825A0"/>
    <w:rsid w:val="00B825A7"/>
    <w:rsid w:val="00B82AE0"/>
    <w:rsid w:val="00B82D7C"/>
    <w:rsid w:val="00B83154"/>
    <w:rsid w:val="00B83558"/>
    <w:rsid w:val="00B83939"/>
    <w:rsid w:val="00B83C5C"/>
    <w:rsid w:val="00B83FC7"/>
    <w:rsid w:val="00B84F7A"/>
    <w:rsid w:val="00B85146"/>
    <w:rsid w:val="00B8525E"/>
    <w:rsid w:val="00B86251"/>
    <w:rsid w:val="00B864BC"/>
    <w:rsid w:val="00B87061"/>
    <w:rsid w:val="00B872E0"/>
    <w:rsid w:val="00B90112"/>
    <w:rsid w:val="00B9033D"/>
    <w:rsid w:val="00B906C5"/>
    <w:rsid w:val="00B90749"/>
    <w:rsid w:val="00B91408"/>
    <w:rsid w:val="00B91567"/>
    <w:rsid w:val="00B93C0A"/>
    <w:rsid w:val="00B94448"/>
    <w:rsid w:val="00B953A3"/>
    <w:rsid w:val="00B955D8"/>
    <w:rsid w:val="00B95D17"/>
    <w:rsid w:val="00B96A69"/>
    <w:rsid w:val="00B977BE"/>
    <w:rsid w:val="00B978C3"/>
    <w:rsid w:val="00BA1108"/>
    <w:rsid w:val="00BA240E"/>
    <w:rsid w:val="00BA2CBA"/>
    <w:rsid w:val="00BA3ED3"/>
    <w:rsid w:val="00BA47C1"/>
    <w:rsid w:val="00BA4839"/>
    <w:rsid w:val="00BA5135"/>
    <w:rsid w:val="00BA55A2"/>
    <w:rsid w:val="00BA5A4A"/>
    <w:rsid w:val="00BA6589"/>
    <w:rsid w:val="00BA71BC"/>
    <w:rsid w:val="00BB05BE"/>
    <w:rsid w:val="00BB0B2A"/>
    <w:rsid w:val="00BB0D77"/>
    <w:rsid w:val="00BB1270"/>
    <w:rsid w:val="00BB2FB3"/>
    <w:rsid w:val="00BB4061"/>
    <w:rsid w:val="00BB4D90"/>
    <w:rsid w:val="00BB5050"/>
    <w:rsid w:val="00BB55F9"/>
    <w:rsid w:val="00BB5846"/>
    <w:rsid w:val="00BB58A1"/>
    <w:rsid w:val="00BB5E95"/>
    <w:rsid w:val="00BB5EA8"/>
    <w:rsid w:val="00BB646C"/>
    <w:rsid w:val="00BB7584"/>
    <w:rsid w:val="00BB7595"/>
    <w:rsid w:val="00BC00AD"/>
    <w:rsid w:val="00BC022A"/>
    <w:rsid w:val="00BC04C1"/>
    <w:rsid w:val="00BC0A33"/>
    <w:rsid w:val="00BC0E11"/>
    <w:rsid w:val="00BC1582"/>
    <w:rsid w:val="00BC3331"/>
    <w:rsid w:val="00BC4E20"/>
    <w:rsid w:val="00BC5663"/>
    <w:rsid w:val="00BC5B44"/>
    <w:rsid w:val="00BC5CAD"/>
    <w:rsid w:val="00BC63A6"/>
    <w:rsid w:val="00BC6434"/>
    <w:rsid w:val="00BC647F"/>
    <w:rsid w:val="00BC68BF"/>
    <w:rsid w:val="00BC6A39"/>
    <w:rsid w:val="00BC74E1"/>
    <w:rsid w:val="00BC75FF"/>
    <w:rsid w:val="00BC7690"/>
    <w:rsid w:val="00BD02F5"/>
    <w:rsid w:val="00BD0504"/>
    <w:rsid w:val="00BD0620"/>
    <w:rsid w:val="00BD0B17"/>
    <w:rsid w:val="00BD142E"/>
    <w:rsid w:val="00BD1557"/>
    <w:rsid w:val="00BD1AD4"/>
    <w:rsid w:val="00BD1FA6"/>
    <w:rsid w:val="00BD2758"/>
    <w:rsid w:val="00BD2C45"/>
    <w:rsid w:val="00BD34E4"/>
    <w:rsid w:val="00BD3962"/>
    <w:rsid w:val="00BD4173"/>
    <w:rsid w:val="00BD4306"/>
    <w:rsid w:val="00BD578F"/>
    <w:rsid w:val="00BD5AE6"/>
    <w:rsid w:val="00BD6925"/>
    <w:rsid w:val="00BD69F9"/>
    <w:rsid w:val="00BD7568"/>
    <w:rsid w:val="00BD7BE3"/>
    <w:rsid w:val="00BD7BEC"/>
    <w:rsid w:val="00BD7DBF"/>
    <w:rsid w:val="00BE03FA"/>
    <w:rsid w:val="00BE0412"/>
    <w:rsid w:val="00BE0594"/>
    <w:rsid w:val="00BE0A71"/>
    <w:rsid w:val="00BE267C"/>
    <w:rsid w:val="00BE28ED"/>
    <w:rsid w:val="00BE413F"/>
    <w:rsid w:val="00BE4D48"/>
    <w:rsid w:val="00BE51B2"/>
    <w:rsid w:val="00BE5496"/>
    <w:rsid w:val="00BE5ED6"/>
    <w:rsid w:val="00BE69BE"/>
    <w:rsid w:val="00BE6F7B"/>
    <w:rsid w:val="00BE71ED"/>
    <w:rsid w:val="00BE73A7"/>
    <w:rsid w:val="00BE7728"/>
    <w:rsid w:val="00BE7A94"/>
    <w:rsid w:val="00BE7C1A"/>
    <w:rsid w:val="00BF0801"/>
    <w:rsid w:val="00BF0E3A"/>
    <w:rsid w:val="00BF11D7"/>
    <w:rsid w:val="00BF19C9"/>
    <w:rsid w:val="00BF1D2B"/>
    <w:rsid w:val="00BF302E"/>
    <w:rsid w:val="00BF30B9"/>
    <w:rsid w:val="00BF3221"/>
    <w:rsid w:val="00BF3A94"/>
    <w:rsid w:val="00BF3B96"/>
    <w:rsid w:val="00BF4CAB"/>
    <w:rsid w:val="00BF5C4E"/>
    <w:rsid w:val="00BF5FB5"/>
    <w:rsid w:val="00BF6C46"/>
    <w:rsid w:val="00BF7FB3"/>
    <w:rsid w:val="00C006AD"/>
    <w:rsid w:val="00C00D43"/>
    <w:rsid w:val="00C01235"/>
    <w:rsid w:val="00C01C79"/>
    <w:rsid w:val="00C01DE6"/>
    <w:rsid w:val="00C024C3"/>
    <w:rsid w:val="00C029E3"/>
    <w:rsid w:val="00C02B07"/>
    <w:rsid w:val="00C02DFA"/>
    <w:rsid w:val="00C02F1A"/>
    <w:rsid w:val="00C037D3"/>
    <w:rsid w:val="00C052CE"/>
    <w:rsid w:val="00C05629"/>
    <w:rsid w:val="00C05A68"/>
    <w:rsid w:val="00C05C5E"/>
    <w:rsid w:val="00C05E42"/>
    <w:rsid w:val="00C06255"/>
    <w:rsid w:val="00C064EE"/>
    <w:rsid w:val="00C06B82"/>
    <w:rsid w:val="00C06FC1"/>
    <w:rsid w:val="00C07225"/>
    <w:rsid w:val="00C07CE0"/>
    <w:rsid w:val="00C07FF5"/>
    <w:rsid w:val="00C10562"/>
    <w:rsid w:val="00C1062A"/>
    <w:rsid w:val="00C110E3"/>
    <w:rsid w:val="00C11105"/>
    <w:rsid w:val="00C11136"/>
    <w:rsid w:val="00C121A6"/>
    <w:rsid w:val="00C122F2"/>
    <w:rsid w:val="00C12FD8"/>
    <w:rsid w:val="00C1333C"/>
    <w:rsid w:val="00C13715"/>
    <w:rsid w:val="00C1371C"/>
    <w:rsid w:val="00C13F4E"/>
    <w:rsid w:val="00C144E6"/>
    <w:rsid w:val="00C145DD"/>
    <w:rsid w:val="00C1501E"/>
    <w:rsid w:val="00C15029"/>
    <w:rsid w:val="00C15167"/>
    <w:rsid w:val="00C15866"/>
    <w:rsid w:val="00C170B4"/>
    <w:rsid w:val="00C17180"/>
    <w:rsid w:val="00C17A1F"/>
    <w:rsid w:val="00C17A60"/>
    <w:rsid w:val="00C2045D"/>
    <w:rsid w:val="00C207D0"/>
    <w:rsid w:val="00C20EEF"/>
    <w:rsid w:val="00C20F72"/>
    <w:rsid w:val="00C22D5A"/>
    <w:rsid w:val="00C23FD2"/>
    <w:rsid w:val="00C25CAE"/>
    <w:rsid w:val="00C260D9"/>
    <w:rsid w:val="00C27181"/>
    <w:rsid w:val="00C27201"/>
    <w:rsid w:val="00C27DCD"/>
    <w:rsid w:val="00C30470"/>
    <w:rsid w:val="00C30A3E"/>
    <w:rsid w:val="00C30E17"/>
    <w:rsid w:val="00C30ECF"/>
    <w:rsid w:val="00C3124E"/>
    <w:rsid w:val="00C312F8"/>
    <w:rsid w:val="00C317DD"/>
    <w:rsid w:val="00C32C19"/>
    <w:rsid w:val="00C32D50"/>
    <w:rsid w:val="00C33042"/>
    <w:rsid w:val="00C338E2"/>
    <w:rsid w:val="00C34812"/>
    <w:rsid w:val="00C34A6F"/>
    <w:rsid w:val="00C350A1"/>
    <w:rsid w:val="00C353A7"/>
    <w:rsid w:val="00C359C6"/>
    <w:rsid w:val="00C36DCB"/>
    <w:rsid w:val="00C3724A"/>
    <w:rsid w:val="00C37AF5"/>
    <w:rsid w:val="00C40835"/>
    <w:rsid w:val="00C40B35"/>
    <w:rsid w:val="00C40C42"/>
    <w:rsid w:val="00C41C92"/>
    <w:rsid w:val="00C421F0"/>
    <w:rsid w:val="00C423D1"/>
    <w:rsid w:val="00C4244B"/>
    <w:rsid w:val="00C428F7"/>
    <w:rsid w:val="00C430DF"/>
    <w:rsid w:val="00C43EBB"/>
    <w:rsid w:val="00C44BBE"/>
    <w:rsid w:val="00C44EA1"/>
    <w:rsid w:val="00C45B5D"/>
    <w:rsid w:val="00C463FB"/>
    <w:rsid w:val="00C46602"/>
    <w:rsid w:val="00C4761C"/>
    <w:rsid w:val="00C47A1C"/>
    <w:rsid w:val="00C47EC7"/>
    <w:rsid w:val="00C50A84"/>
    <w:rsid w:val="00C51065"/>
    <w:rsid w:val="00C520A8"/>
    <w:rsid w:val="00C52DB3"/>
    <w:rsid w:val="00C53BE3"/>
    <w:rsid w:val="00C53FBE"/>
    <w:rsid w:val="00C541FE"/>
    <w:rsid w:val="00C54A27"/>
    <w:rsid w:val="00C5528D"/>
    <w:rsid w:val="00C55979"/>
    <w:rsid w:val="00C55A5A"/>
    <w:rsid w:val="00C55C84"/>
    <w:rsid w:val="00C55CFB"/>
    <w:rsid w:val="00C569A3"/>
    <w:rsid w:val="00C61015"/>
    <w:rsid w:val="00C61052"/>
    <w:rsid w:val="00C61883"/>
    <w:rsid w:val="00C62AD1"/>
    <w:rsid w:val="00C63244"/>
    <w:rsid w:val="00C643AA"/>
    <w:rsid w:val="00C647A4"/>
    <w:rsid w:val="00C649CB"/>
    <w:rsid w:val="00C64ED9"/>
    <w:rsid w:val="00C64F0C"/>
    <w:rsid w:val="00C651D6"/>
    <w:rsid w:val="00C653A0"/>
    <w:rsid w:val="00C66508"/>
    <w:rsid w:val="00C66806"/>
    <w:rsid w:val="00C66896"/>
    <w:rsid w:val="00C66924"/>
    <w:rsid w:val="00C6742D"/>
    <w:rsid w:val="00C6753F"/>
    <w:rsid w:val="00C67EB9"/>
    <w:rsid w:val="00C7069B"/>
    <w:rsid w:val="00C70F4F"/>
    <w:rsid w:val="00C7105B"/>
    <w:rsid w:val="00C712CD"/>
    <w:rsid w:val="00C7147B"/>
    <w:rsid w:val="00C71CFE"/>
    <w:rsid w:val="00C7340F"/>
    <w:rsid w:val="00C73785"/>
    <w:rsid w:val="00C7407D"/>
    <w:rsid w:val="00C75A76"/>
    <w:rsid w:val="00C75DF6"/>
    <w:rsid w:val="00C76790"/>
    <w:rsid w:val="00C7680E"/>
    <w:rsid w:val="00C76948"/>
    <w:rsid w:val="00C76B86"/>
    <w:rsid w:val="00C76DBF"/>
    <w:rsid w:val="00C77965"/>
    <w:rsid w:val="00C77B92"/>
    <w:rsid w:val="00C804C2"/>
    <w:rsid w:val="00C8078D"/>
    <w:rsid w:val="00C80DD6"/>
    <w:rsid w:val="00C811E5"/>
    <w:rsid w:val="00C81D64"/>
    <w:rsid w:val="00C8206B"/>
    <w:rsid w:val="00C8292D"/>
    <w:rsid w:val="00C83998"/>
    <w:rsid w:val="00C839E9"/>
    <w:rsid w:val="00C83C5C"/>
    <w:rsid w:val="00C83CE3"/>
    <w:rsid w:val="00C83D05"/>
    <w:rsid w:val="00C83DA5"/>
    <w:rsid w:val="00C840FC"/>
    <w:rsid w:val="00C84D9F"/>
    <w:rsid w:val="00C8527E"/>
    <w:rsid w:val="00C864A5"/>
    <w:rsid w:val="00C86A80"/>
    <w:rsid w:val="00C873BD"/>
    <w:rsid w:val="00C9019F"/>
    <w:rsid w:val="00C903EE"/>
    <w:rsid w:val="00C908D8"/>
    <w:rsid w:val="00C90C70"/>
    <w:rsid w:val="00C90D17"/>
    <w:rsid w:val="00C9175C"/>
    <w:rsid w:val="00C9181A"/>
    <w:rsid w:val="00C91C18"/>
    <w:rsid w:val="00C921AB"/>
    <w:rsid w:val="00C923AF"/>
    <w:rsid w:val="00C92512"/>
    <w:rsid w:val="00C929EE"/>
    <w:rsid w:val="00C952C8"/>
    <w:rsid w:val="00C95944"/>
    <w:rsid w:val="00C95B67"/>
    <w:rsid w:val="00C96244"/>
    <w:rsid w:val="00C9664B"/>
    <w:rsid w:val="00C967E6"/>
    <w:rsid w:val="00C969F5"/>
    <w:rsid w:val="00C97D1F"/>
    <w:rsid w:val="00CA0146"/>
    <w:rsid w:val="00CA0598"/>
    <w:rsid w:val="00CA1A42"/>
    <w:rsid w:val="00CA29E8"/>
    <w:rsid w:val="00CA3023"/>
    <w:rsid w:val="00CA3442"/>
    <w:rsid w:val="00CA37BE"/>
    <w:rsid w:val="00CA3B30"/>
    <w:rsid w:val="00CA3E91"/>
    <w:rsid w:val="00CA4361"/>
    <w:rsid w:val="00CA528E"/>
    <w:rsid w:val="00CA53A1"/>
    <w:rsid w:val="00CA6CE2"/>
    <w:rsid w:val="00CA6D64"/>
    <w:rsid w:val="00CB12FE"/>
    <w:rsid w:val="00CB18FD"/>
    <w:rsid w:val="00CB21B9"/>
    <w:rsid w:val="00CB24A4"/>
    <w:rsid w:val="00CB410A"/>
    <w:rsid w:val="00CB4D5C"/>
    <w:rsid w:val="00CB4E87"/>
    <w:rsid w:val="00CB68DC"/>
    <w:rsid w:val="00CB69B7"/>
    <w:rsid w:val="00CB6B81"/>
    <w:rsid w:val="00CB718C"/>
    <w:rsid w:val="00CB7234"/>
    <w:rsid w:val="00CC0B79"/>
    <w:rsid w:val="00CC2F25"/>
    <w:rsid w:val="00CC4C83"/>
    <w:rsid w:val="00CC6124"/>
    <w:rsid w:val="00CC61E4"/>
    <w:rsid w:val="00CC693C"/>
    <w:rsid w:val="00CC7242"/>
    <w:rsid w:val="00CC737A"/>
    <w:rsid w:val="00CD06F8"/>
    <w:rsid w:val="00CD0BF1"/>
    <w:rsid w:val="00CD1770"/>
    <w:rsid w:val="00CD1FA7"/>
    <w:rsid w:val="00CD2199"/>
    <w:rsid w:val="00CD2CC5"/>
    <w:rsid w:val="00CD3386"/>
    <w:rsid w:val="00CD40ED"/>
    <w:rsid w:val="00CD46C4"/>
    <w:rsid w:val="00CD53E7"/>
    <w:rsid w:val="00CD64E5"/>
    <w:rsid w:val="00CD653A"/>
    <w:rsid w:val="00CD65F5"/>
    <w:rsid w:val="00CD6753"/>
    <w:rsid w:val="00CD6BB4"/>
    <w:rsid w:val="00CD6C3D"/>
    <w:rsid w:val="00CD6D9B"/>
    <w:rsid w:val="00CD7065"/>
    <w:rsid w:val="00CD7322"/>
    <w:rsid w:val="00CD7F21"/>
    <w:rsid w:val="00CE151B"/>
    <w:rsid w:val="00CE155D"/>
    <w:rsid w:val="00CE3589"/>
    <w:rsid w:val="00CE3931"/>
    <w:rsid w:val="00CE3F93"/>
    <w:rsid w:val="00CE4298"/>
    <w:rsid w:val="00CE4B36"/>
    <w:rsid w:val="00CE53F4"/>
    <w:rsid w:val="00CE57DE"/>
    <w:rsid w:val="00CE5ECD"/>
    <w:rsid w:val="00CE60B2"/>
    <w:rsid w:val="00CE610C"/>
    <w:rsid w:val="00CE65C1"/>
    <w:rsid w:val="00CE68ED"/>
    <w:rsid w:val="00CE6A21"/>
    <w:rsid w:val="00CE6D54"/>
    <w:rsid w:val="00CE7E81"/>
    <w:rsid w:val="00CF00F0"/>
    <w:rsid w:val="00CF0582"/>
    <w:rsid w:val="00CF074C"/>
    <w:rsid w:val="00CF08D0"/>
    <w:rsid w:val="00CF1FE4"/>
    <w:rsid w:val="00CF2B27"/>
    <w:rsid w:val="00CF5E7F"/>
    <w:rsid w:val="00CF6101"/>
    <w:rsid w:val="00CF71C2"/>
    <w:rsid w:val="00CF7871"/>
    <w:rsid w:val="00D011D9"/>
    <w:rsid w:val="00D01812"/>
    <w:rsid w:val="00D01B51"/>
    <w:rsid w:val="00D01EB8"/>
    <w:rsid w:val="00D01FF5"/>
    <w:rsid w:val="00D03BC0"/>
    <w:rsid w:val="00D048AA"/>
    <w:rsid w:val="00D04EF2"/>
    <w:rsid w:val="00D05D42"/>
    <w:rsid w:val="00D075B1"/>
    <w:rsid w:val="00D10087"/>
    <w:rsid w:val="00D10643"/>
    <w:rsid w:val="00D106B3"/>
    <w:rsid w:val="00D11B77"/>
    <w:rsid w:val="00D12699"/>
    <w:rsid w:val="00D1333F"/>
    <w:rsid w:val="00D135BA"/>
    <w:rsid w:val="00D135F5"/>
    <w:rsid w:val="00D13B1B"/>
    <w:rsid w:val="00D13C29"/>
    <w:rsid w:val="00D142FF"/>
    <w:rsid w:val="00D150A4"/>
    <w:rsid w:val="00D155CF"/>
    <w:rsid w:val="00D15AA1"/>
    <w:rsid w:val="00D15AAD"/>
    <w:rsid w:val="00D161CA"/>
    <w:rsid w:val="00D1680C"/>
    <w:rsid w:val="00D205E0"/>
    <w:rsid w:val="00D225FD"/>
    <w:rsid w:val="00D24472"/>
    <w:rsid w:val="00D24F79"/>
    <w:rsid w:val="00D25592"/>
    <w:rsid w:val="00D261DC"/>
    <w:rsid w:val="00D26B76"/>
    <w:rsid w:val="00D26B91"/>
    <w:rsid w:val="00D27776"/>
    <w:rsid w:val="00D27788"/>
    <w:rsid w:val="00D27C8C"/>
    <w:rsid w:val="00D30E7B"/>
    <w:rsid w:val="00D31014"/>
    <w:rsid w:val="00D31468"/>
    <w:rsid w:val="00D31ADB"/>
    <w:rsid w:val="00D3297A"/>
    <w:rsid w:val="00D32FE1"/>
    <w:rsid w:val="00D339A5"/>
    <w:rsid w:val="00D33C2E"/>
    <w:rsid w:val="00D34D0F"/>
    <w:rsid w:val="00D34D10"/>
    <w:rsid w:val="00D35901"/>
    <w:rsid w:val="00D3666A"/>
    <w:rsid w:val="00D40528"/>
    <w:rsid w:val="00D40D52"/>
    <w:rsid w:val="00D412B6"/>
    <w:rsid w:val="00D417A3"/>
    <w:rsid w:val="00D42432"/>
    <w:rsid w:val="00D42D1E"/>
    <w:rsid w:val="00D43267"/>
    <w:rsid w:val="00D4374D"/>
    <w:rsid w:val="00D43E61"/>
    <w:rsid w:val="00D4440B"/>
    <w:rsid w:val="00D448B8"/>
    <w:rsid w:val="00D449BC"/>
    <w:rsid w:val="00D45350"/>
    <w:rsid w:val="00D45D5B"/>
    <w:rsid w:val="00D460DA"/>
    <w:rsid w:val="00D4615D"/>
    <w:rsid w:val="00D4660D"/>
    <w:rsid w:val="00D47745"/>
    <w:rsid w:val="00D47EFE"/>
    <w:rsid w:val="00D51132"/>
    <w:rsid w:val="00D5154F"/>
    <w:rsid w:val="00D520E5"/>
    <w:rsid w:val="00D524A4"/>
    <w:rsid w:val="00D52944"/>
    <w:rsid w:val="00D53181"/>
    <w:rsid w:val="00D5354F"/>
    <w:rsid w:val="00D55405"/>
    <w:rsid w:val="00D5614E"/>
    <w:rsid w:val="00D567F2"/>
    <w:rsid w:val="00D56B3F"/>
    <w:rsid w:val="00D57BE4"/>
    <w:rsid w:val="00D601CB"/>
    <w:rsid w:val="00D602DC"/>
    <w:rsid w:val="00D6052D"/>
    <w:rsid w:val="00D61642"/>
    <w:rsid w:val="00D61E28"/>
    <w:rsid w:val="00D620C0"/>
    <w:rsid w:val="00D63347"/>
    <w:rsid w:val="00D63888"/>
    <w:rsid w:val="00D63C8A"/>
    <w:rsid w:val="00D63E34"/>
    <w:rsid w:val="00D642C9"/>
    <w:rsid w:val="00D668E4"/>
    <w:rsid w:val="00D704C2"/>
    <w:rsid w:val="00D705BC"/>
    <w:rsid w:val="00D70B4F"/>
    <w:rsid w:val="00D70C26"/>
    <w:rsid w:val="00D70F92"/>
    <w:rsid w:val="00D70F9B"/>
    <w:rsid w:val="00D71556"/>
    <w:rsid w:val="00D71A46"/>
    <w:rsid w:val="00D71BE5"/>
    <w:rsid w:val="00D7269A"/>
    <w:rsid w:val="00D728C2"/>
    <w:rsid w:val="00D72CB0"/>
    <w:rsid w:val="00D73F81"/>
    <w:rsid w:val="00D74234"/>
    <w:rsid w:val="00D74D3E"/>
    <w:rsid w:val="00D74E1B"/>
    <w:rsid w:val="00D76D34"/>
    <w:rsid w:val="00D7721E"/>
    <w:rsid w:val="00D8107E"/>
    <w:rsid w:val="00D820DE"/>
    <w:rsid w:val="00D8272A"/>
    <w:rsid w:val="00D82A20"/>
    <w:rsid w:val="00D8314D"/>
    <w:rsid w:val="00D834F8"/>
    <w:rsid w:val="00D8486D"/>
    <w:rsid w:val="00D84DAE"/>
    <w:rsid w:val="00D851ED"/>
    <w:rsid w:val="00D853C5"/>
    <w:rsid w:val="00D855FB"/>
    <w:rsid w:val="00D85BB5"/>
    <w:rsid w:val="00D86C49"/>
    <w:rsid w:val="00D8755F"/>
    <w:rsid w:val="00D87CA5"/>
    <w:rsid w:val="00D9052D"/>
    <w:rsid w:val="00D90557"/>
    <w:rsid w:val="00D907A9"/>
    <w:rsid w:val="00D914A8"/>
    <w:rsid w:val="00D91757"/>
    <w:rsid w:val="00D934F4"/>
    <w:rsid w:val="00D944C5"/>
    <w:rsid w:val="00D944DE"/>
    <w:rsid w:val="00D94900"/>
    <w:rsid w:val="00D959D4"/>
    <w:rsid w:val="00D95C00"/>
    <w:rsid w:val="00D96965"/>
    <w:rsid w:val="00D969BB"/>
    <w:rsid w:val="00D96D3A"/>
    <w:rsid w:val="00D9793F"/>
    <w:rsid w:val="00D97CBC"/>
    <w:rsid w:val="00DA00CF"/>
    <w:rsid w:val="00DA1148"/>
    <w:rsid w:val="00DA16C1"/>
    <w:rsid w:val="00DA1978"/>
    <w:rsid w:val="00DA20E0"/>
    <w:rsid w:val="00DA2B61"/>
    <w:rsid w:val="00DA32F0"/>
    <w:rsid w:val="00DA3D0C"/>
    <w:rsid w:val="00DA3DE0"/>
    <w:rsid w:val="00DA4B08"/>
    <w:rsid w:val="00DA52CE"/>
    <w:rsid w:val="00DA67F1"/>
    <w:rsid w:val="00DA76FC"/>
    <w:rsid w:val="00DB0466"/>
    <w:rsid w:val="00DB094D"/>
    <w:rsid w:val="00DB0BD4"/>
    <w:rsid w:val="00DB0D97"/>
    <w:rsid w:val="00DB1016"/>
    <w:rsid w:val="00DB1589"/>
    <w:rsid w:val="00DB164C"/>
    <w:rsid w:val="00DB2BA3"/>
    <w:rsid w:val="00DB352A"/>
    <w:rsid w:val="00DB3A68"/>
    <w:rsid w:val="00DB3EEB"/>
    <w:rsid w:val="00DB46EB"/>
    <w:rsid w:val="00DB4ABC"/>
    <w:rsid w:val="00DB4E8D"/>
    <w:rsid w:val="00DB510B"/>
    <w:rsid w:val="00DB5309"/>
    <w:rsid w:val="00DB61AD"/>
    <w:rsid w:val="00DC0D63"/>
    <w:rsid w:val="00DC2339"/>
    <w:rsid w:val="00DC2D71"/>
    <w:rsid w:val="00DC3260"/>
    <w:rsid w:val="00DC3B4A"/>
    <w:rsid w:val="00DC40FC"/>
    <w:rsid w:val="00DC4343"/>
    <w:rsid w:val="00DC4490"/>
    <w:rsid w:val="00DC4FA1"/>
    <w:rsid w:val="00DC5455"/>
    <w:rsid w:val="00DC55BF"/>
    <w:rsid w:val="00DC6380"/>
    <w:rsid w:val="00DC67C6"/>
    <w:rsid w:val="00DC6AC8"/>
    <w:rsid w:val="00DC7A18"/>
    <w:rsid w:val="00DD0509"/>
    <w:rsid w:val="00DD05B2"/>
    <w:rsid w:val="00DD1620"/>
    <w:rsid w:val="00DD1D0E"/>
    <w:rsid w:val="00DD22AA"/>
    <w:rsid w:val="00DD2AA8"/>
    <w:rsid w:val="00DD30A1"/>
    <w:rsid w:val="00DD33C7"/>
    <w:rsid w:val="00DD3673"/>
    <w:rsid w:val="00DD376C"/>
    <w:rsid w:val="00DD380A"/>
    <w:rsid w:val="00DD3E54"/>
    <w:rsid w:val="00DD41BF"/>
    <w:rsid w:val="00DD4C10"/>
    <w:rsid w:val="00DD5608"/>
    <w:rsid w:val="00DD5D55"/>
    <w:rsid w:val="00DD65F8"/>
    <w:rsid w:val="00DD6725"/>
    <w:rsid w:val="00DD67FB"/>
    <w:rsid w:val="00DD69A0"/>
    <w:rsid w:val="00DD6A30"/>
    <w:rsid w:val="00DD7455"/>
    <w:rsid w:val="00DD7487"/>
    <w:rsid w:val="00DD788C"/>
    <w:rsid w:val="00DD7FF4"/>
    <w:rsid w:val="00DE0C49"/>
    <w:rsid w:val="00DE4A68"/>
    <w:rsid w:val="00DE4E34"/>
    <w:rsid w:val="00DE53B7"/>
    <w:rsid w:val="00DE5991"/>
    <w:rsid w:val="00DE5D7D"/>
    <w:rsid w:val="00DE66E2"/>
    <w:rsid w:val="00DE672A"/>
    <w:rsid w:val="00DE6BEA"/>
    <w:rsid w:val="00DE7669"/>
    <w:rsid w:val="00DE7F93"/>
    <w:rsid w:val="00DF0258"/>
    <w:rsid w:val="00DF05C3"/>
    <w:rsid w:val="00DF069D"/>
    <w:rsid w:val="00DF078B"/>
    <w:rsid w:val="00DF17C4"/>
    <w:rsid w:val="00DF3D44"/>
    <w:rsid w:val="00DF4118"/>
    <w:rsid w:val="00DF488C"/>
    <w:rsid w:val="00DF48BB"/>
    <w:rsid w:val="00DF4B45"/>
    <w:rsid w:val="00DF5173"/>
    <w:rsid w:val="00DF5C01"/>
    <w:rsid w:val="00DF62CD"/>
    <w:rsid w:val="00DF6567"/>
    <w:rsid w:val="00DF6ADD"/>
    <w:rsid w:val="00DF6F94"/>
    <w:rsid w:val="00E002AD"/>
    <w:rsid w:val="00E00653"/>
    <w:rsid w:val="00E00AE6"/>
    <w:rsid w:val="00E00F9A"/>
    <w:rsid w:val="00E02A8B"/>
    <w:rsid w:val="00E02EF7"/>
    <w:rsid w:val="00E02F6A"/>
    <w:rsid w:val="00E034E0"/>
    <w:rsid w:val="00E03D86"/>
    <w:rsid w:val="00E05FD4"/>
    <w:rsid w:val="00E06911"/>
    <w:rsid w:val="00E06A8A"/>
    <w:rsid w:val="00E07EC1"/>
    <w:rsid w:val="00E108F7"/>
    <w:rsid w:val="00E10A05"/>
    <w:rsid w:val="00E115AF"/>
    <w:rsid w:val="00E126DA"/>
    <w:rsid w:val="00E13173"/>
    <w:rsid w:val="00E1326A"/>
    <w:rsid w:val="00E13CB7"/>
    <w:rsid w:val="00E13F45"/>
    <w:rsid w:val="00E14D1E"/>
    <w:rsid w:val="00E1651D"/>
    <w:rsid w:val="00E1695A"/>
    <w:rsid w:val="00E16BDD"/>
    <w:rsid w:val="00E174E8"/>
    <w:rsid w:val="00E2006C"/>
    <w:rsid w:val="00E20DBC"/>
    <w:rsid w:val="00E21AE3"/>
    <w:rsid w:val="00E22A51"/>
    <w:rsid w:val="00E22FAF"/>
    <w:rsid w:val="00E2330C"/>
    <w:rsid w:val="00E234B0"/>
    <w:rsid w:val="00E23EED"/>
    <w:rsid w:val="00E23EF2"/>
    <w:rsid w:val="00E244F5"/>
    <w:rsid w:val="00E24A75"/>
    <w:rsid w:val="00E25C9C"/>
    <w:rsid w:val="00E279D0"/>
    <w:rsid w:val="00E3092A"/>
    <w:rsid w:val="00E30FFE"/>
    <w:rsid w:val="00E31BE3"/>
    <w:rsid w:val="00E31D16"/>
    <w:rsid w:val="00E32222"/>
    <w:rsid w:val="00E33207"/>
    <w:rsid w:val="00E34748"/>
    <w:rsid w:val="00E347C4"/>
    <w:rsid w:val="00E34E8B"/>
    <w:rsid w:val="00E359F0"/>
    <w:rsid w:val="00E35BDD"/>
    <w:rsid w:val="00E37085"/>
    <w:rsid w:val="00E37A08"/>
    <w:rsid w:val="00E37FC2"/>
    <w:rsid w:val="00E4036F"/>
    <w:rsid w:val="00E40B48"/>
    <w:rsid w:val="00E42127"/>
    <w:rsid w:val="00E42180"/>
    <w:rsid w:val="00E4278F"/>
    <w:rsid w:val="00E4295E"/>
    <w:rsid w:val="00E42BCE"/>
    <w:rsid w:val="00E432C1"/>
    <w:rsid w:val="00E432FA"/>
    <w:rsid w:val="00E4357F"/>
    <w:rsid w:val="00E43BBD"/>
    <w:rsid w:val="00E43F6B"/>
    <w:rsid w:val="00E447E0"/>
    <w:rsid w:val="00E4497C"/>
    <w:rsid w:val="00E45934"/>
    <w:rsid w:val="00E45EA1"/>
    <w:rsid w:val="00E46431"/>
    <w:rsid w:val="00E46DC6"/>
    <w:rsid w:val="00E47826"/>
    <w:rsid w:val="00E5028E"/>
    <w:rsid w:val="00E5119D"/>
    <w:rsid w:val="00E5124C"/>
    <w:rsid w:val="00E517F6"/>
    <w:rsid w:val="00E51AFC"/>
    <w:rsid w:val="00E52034"/>
    <w:rsid w:val="00E523D0"/>
    <w:rsid w:val="00E5280A"/>
    <w:rsid w:val="00E5298E"/>
    <w:rsid w:val="00E52B3E"/>
    <w:rsid w:val="00E53532"/>
    <w:rsid w:val="00E53E33"/>
    <w:rsid w:val="00E563C2"/>
    <w:rsid w:val="00E56839"/>
    <w:rsid w:val="00E57BF5"/>
    <w:rsid w:val="00E60661"/>
    <w:rsid w:val="00E61370"/>
    <w:rsid w:val="00E62101"/>
    <w:rsid w:val="00E62984"/>
    <w:rsid w:val="00E6379D"/>
    <w:rsid w:val="00E641ED"/>
    <w:rsid w:val="00E64557"/>
    <w:rsid w:val="00E64BD7"/>
    <w:rsid w:val="00E6560F"/>
    <w:rsid w:val="00E65B89"/>
    <w:rsid w:val="00E664A9"/>
    <w:rsid w:val="00E66ED5"/>
    <w:rsid w:val="00E66F42"/>
    <w:rsid w:val="00E70710"/>
    <w:rsid w:val="00E71E7B"/>
    <w:rsid w:val="00E72CEE"/>
    <w:rsid w:val="00E7306F"/>
    <w:rsid w:val="00E7456F"/>
    <w:rsid w:val="00E748E9"/>
    <w:rsid w:val="00E74C4C"/>
    <w:rsid w:val="00E752FC"/>
    <w:rsid w:val="00E75E80"/>
    <w:rsid w:val="00E76173"/>
    <w:rsid w:val="00E76D97"/>
    <w:rsid w:val="00E772BF"/>
    <w:rsid w:val="00E7773C"/>
    <w:rsid w:val="00E805BE"/>
    <w:rsid w:val="00E80FFB"/>
    <w:rsid w:val="00E819A6"/>
    <w:rsid w:val="00E828E0"/>
    <w:rsid w:val="00E8379C"/>
    <w:rsid w:val="00E84269"/>
    <w:rsid w:val="00E85C7F"/>
    <w:rsid w:val="00E861F3"/>
    <w:rsid w:val="00E900DD"/>
    <w:rsid w:val="00E90280"/>
    <w:rsid w:val="00E90D5B"/>
    <w:rsid w:val="00E90DC3"/>
    <w:rsid w:val="00E90E4D"/>
    <w:rsid w:val="00E91756"/>
    <w:rsid w:val="00E91998"/>
    <w:rsid w:val="00E92F56"/>
    <w:rsid w:val="00E930FA"/>
    <w:rsid w:val="00E93B3D"/>
    <w:rsid w:val="00E93F78"/>
    <w:rsid w:val="00E943A9"/>
    <w:rsid w:val="00E94BF6"/>
    <w:rsid w:val="00E95872"/>
    <w:rsid w:val="00E95A08"/>
    <w:rsid w:val="00E95D05"/>
    <w:rsid w:val="00E960C6"/>
    <w:rsid w:val="00E96B04"/>
    <w:rsid w:val="00EA02F0"/>
    <w:rsid w:val="00EA1246"/>
    <w:rsid w:val="00EA1FD8"/>
    <w:rsid w:val="00EA25A1"/>
    <w:rsid w:val="00EA2772"/>
    <w:rsid w:val="00EA308A"/>
    <w:rsid w:val="00EA30F1"/>
    <w:rsid w:val="00EA30FC"/>
    <w:rsid w:val="00EA3D4B"/>
    <w:rsid w:val="00EA40F1"/>
    <w:rsid w:val="00EA43FC"/>
    <w:rsid w:val="00EA4428"/>
    <w:rsid w:val="00EA46ED"/>
    <w:rsid w:val="00EA533E"/>
    <w:rsid w:val="00EA53BD"/>
    <w:rsid w:val="00EA5BE2"/>
    <w:rsid w:val="00EA672F"/>
    <w:rsid w:val="00EA6C03"/>
    <w:rsid w:val="00EA7766"/>
    <w:rsid w:val="00EA79B0"/>
    <w:rsid w:val="00EB0EF0"/>
    <w:rsid w:val="00EB1CBA"/>
    <w:rsid w:val="00EB2AD4"/>
    <w:rsid w:val="00EB34BC"/>
    <w:rsid w:val="00EB3B2E"/>
    <w:rsid w:val="00EB4328"/>
    <w:rsid w:val="00EB436E"/>
    <w:rsid w:val="00EB442C"/>
    <w:rsid w:val="00EB4726"/>
    <w:rsid w:val="00EB5B39"/>
    <w:rsid w:val="00EB67A7"/>
    <w:rsid w:val="00EB7BCA"/>
    <w:rsid w:val="00EC04EB"/>
    <w:rsid w:val="00EC0774"/>
    <w:rsid w:val="00EC08F8"/>
    <w:rsid w:val="00EC1CA1"/>
    <w:rsid w:val="00EC2623"/>
    <w:rsid w:val="00EC2CC3"/>
    <w:rsid w:val="00EC48E6"/>
    <w:rsid w:val="00EC5421"/>
    <w:rsid w:val="00EC5BF4"/>
    <w:rsid w:val="00EC5F1D"/>
    <w:rsid w:val="00EC70E8"/>
    <w:rsid w:val="00EC741E"/>
    <w:rsid w:val="00EC7C5F"/>
    <w:rsid w:val="00EC7E59"/>
    <w:rsid w:val="00ED0283"/>
    <w:rsid w:val="00ED09CE"/>
    <w:rsid w:val="00ED0CE7"/>
    <w:rsid w:val="00ED16EC"/>
    <w:rsid w:val="00ED1D97"/>
    <w:rsid w:val="00ED267E"/>
    <w:rsid w:val="00ED3B60"/>
    <w:rsid w:val="00ED3C0E"/>
    <w:rsid w:val="00ED3E70"/>
    <w:rsid w:val="00ED411E"/>
    <w:rsid w:val="00ED4EEE"/>
    <w:rsid w:val="00ED5069"/>
    <w:rsid w:val="00ED638D"/>
    <w:rsid w:val="00ED67E4"/>
    <w:rsid w:val="00ED6A44"/>
    <w:rsid w:val="00ED6B1F"/>
    <w:rsid w:val="00ED77EF"/>
    <w:rsid w:val="00EE08F9"/>
    <w:rsid w:val="00EE0B44"/>
    <w:rsid w:val="00EE0CBF"/>
    <w:rsid w:val="00EE0EEC"/>
    <w:rsid w:val="00EE166D"/>
    <w:rsid w:val="00EE1D1F"/>
    <w:rsid w:val="00EE216C"/>
    <w:rsid w:val="00EE21B8"/>
    <w:rsid w:val="00EE3028"/>
    <w:rsid w:val="00EE308A"/>
    <w:rsid w:val="00EE3424"/>
    <w:rsid w:val="00EE4255"/>
    <w:rsid w:val="00EE59AC"/>
    <w:rsid w:val="00EE5EC2"/>
    <w:rsid w:val="00EE65D6"/>
    <w:rsid w:val="00EE7605"/>
    <w:rsid w:val="00EE7BBF"/>
    <w:rsid w:val="00EE7F7B"/>
    <w:rsid w:val="00EF10BE"/>
    <w:rsid w:val="00EF1393"/>
    <w:rsid w:val="00EF1CDE"/>
    <w:rsid w:val="00EF1DE3"/>
    <w:rsid w:val="00EF1F19"/>
    <w:rsid w:val="00EF27A9"/>
    <w:rsid w:val="00EF35B7"/>
    <w:rsid w:val="00EF4C39"/>
    <w:rsid w:val="00EF5A63"/>
    <w:rsid w:val="00EF61A6"/>
    <w:rsid w:val="00EF68DA"/>
    <w:rsid w:val="00EF6BBE"/>
    <w:rsid w:val="00EF70A2"/>
    <w:rsid w:val="00EF7B84"/>
    <w:rsid w:val="00EF7E3E"/>
    <w:rsid w:val="00F00266"/>
    <w:rsid w:val="00F00AD6"/>
    <w:rsid w:val="00F0100B"/>
    <w:rsid w:val="00F016F6"/>
    <w:rsid w:val="00F02346"/>
    <w:rsid w:val="00F02DE0"/>
    <w:rsid w:val="00F0395C"/>
    <w:rsid w:val="00F047A5"/>
    <w:rsid w:val="00F04832"/>
    <w:rsid w:val="00F04CE5"/>
    <w:rsid w:val="00F053FF"/>
    <w:rsid w:val="00F054FE"/>
    <w:rsid w:val="00F05737"/>
    <w:rsid w:val="00F068BC"/>
    <w:rsid w:val="00F06C9F"/>
    <w:rsid w:val="00F07DD0"/>
    <w:rsid w:val="00F07DF2"/>
    <w:rsid w:val="00F07EAD"/>
    <w:rsid w:val="00F105B4"/>
    <w:rsid w:val="00F11256"/>
    <w:rsid w:val="00F1137B"/>
    <w:rsid w:val="00F1190C"/>
    <w:rsid w:val="00F1294C"/>
    <w:rsid w:val="00F133B0"/>
    <w:rsid w:val="00F13829"/>
    <w:rsid w:val="00F139DB"/>
    <w:rsid w:val="00F14738"/>
    <w:rsid w:val="00F15406"/>
    <w:rsid w:val="00F155CC"/>
    <w:rsid w:val="00F157FC"/>
    <w:rsid w:val="00F16C52"/>
    <w:rsid w:val="00F17101"/>
    <w:rsid w:val="00F174AE"/>
    <w:rsid w:val="00F17E54"/>
    <w:rsid w:val="00F2004A"/>
    <w:rsid w:val="00F20180"/>
    <w:rsid w:val="00F201D7"/>
    <w:rsid w:val="00F21013"/>
    <w:rsid w:val="00F2189E"/>
    <w:rsid w:val="00F2199A"/>
    <w:rsid w:val="00F22163"/>
    <w:rsid w:val="00F2562C"/>
    <w:rsid w:val="00F25AD0"/>
    <w:rsid w:val="00F260D4"/>
    <w:rsid w:val="00F26C4B"/>
    <w:rsid w:val="00F26DBE"/>
    <w:rsid w:val="00F27B4D"/>
    <w:rsid w:val="00F3032C"/>
    <w:rsid w:val="00F30736"/>
    <w:rsid w:val="00F312C0"/>
    <w:rsid w:val="00F31C71"/>
    <w:rsid w:val="00F31DA4"/>
    <w:rsid w:val="00F33451"/>
    <w:rsid w:val="00F33ED4"/>
    <w:rsid w:val="00F34351"/>
    <w:rsid w:val="00F34A55"/>
    <w:rsid w:val="00F34BB2"/>
    <w:rsid w:val="00F34F8A"/>
    <w:rsid w:val="00F35677"/>
    <w:rsid w:val="00F357DB"/>
    <w:rsid w:val="00F35C7B"/>
    <w:rsid w:val="00F3618A"/>
    <w:rsid w:val="00F362D5"/>
    <w:rsid w:val="00F36649"/>
    <w:rsid w:val="00F36B44"/>
    <w:rsid w:val="00F378AF"/>
    <w:rsid w:val="00F37A78"/>
    <w:rsid w:val="00F4020F"/>
    <w:rsid w:val="00F40881"/>
    <w:rsid w:val="00F40DC7"/>
    <w:rsid w:val="00F417A7"/>
    <w:rsid w:val="00F417DB"/>
    <w:rsid w:val="00F41801"/>
    <w:rsid w:val="00F42926"/>
    <w:rsid w:val="00F42D70"/>
    <w:rsid w:val="00F43050"/>
    <w:rsid w:val="00F432EE"/>
    <w:rsid w:val="00F43400"/>
    <w:rsid w:val="00F44385"/>
    <w:rsid w:val="00F44874"/>
    <w:rsid w:val="00F44926"/>
    <w:rsid w:val="00F451EA"/>
    <w:rsid w:val="00F4569E"/>
    <w:rsid w:val="00F458D9"/>
    <w:rsid w:val="00F4635F"/>
    <w:rsid w:val="00F465BB"/>
    <w:rsid w:val="00F471AC"/>
    <w:rsid w:val="00F479D3"/>
    <w:rsid w:val="00F47EF3"/>
    <w:rsid w:val="00F47F11"/>
    <w:rsid w:val="00F5292B"/>
    <w:rsid w:val="00F52F1C"/>
    <w:rsid w:val="00F52F87"/>
    <w:rsid w:val="00F5481C"/>
    <w:rsid w:val="00F54B80"/>
    <w:rsid w:val="00F54F1B"/>
    <w:rsid w:val="00F55575"/>
    <w:rsid w:val="00F55A2F"/>
    <w:rsid w:val="00F55C77"/>
    <w:rsid w:val="00F55FA6"/>
    <w:rsid w:val="00F56D0C"/>
    <w:rsid w:val="00F56F46"/>
    <w:rsid w:val="00F57B6F"/>
    <w:rsid w:val="00F57D6C"/>
    <w:rsid w:val="00F6132C"/>
    <w:rsid w:val="00F6162C"/>
    <w:rsid w:val="00F618B3"/>
    <w:rsid w:val="00F629B8"/>
    <w:rsid w:val="00F64552"/>
    <w:rsid w:val="00F64D60"/>
    <w:rsid w:val="00F66C21"/>
    <w:rsid w:val="00F66E8B"/>
    <w:rsid w:val="00F671F1"/>
    <w:rsid w:val="00F71990"/>
    <w:rsid w:val="00F727D9"/>
    <w:rsid w:val="00F73C3B"/>
    <w:rsid w:val="00F73FC6"/>
    <w:rsid w:val="00F748CB"/>
    <w:rsid w:val="00F74981"/>
    <w:rsid w:val="00F764BD"/>
    <w:rsid w:val="00F7661F"/>
    <w:rsid w:val="00F76CA0"/>
    <w:rsid w:val="00F76FC7"/>
    <w:rsid w:val="00F773A1"/>
    <w:rsid w:val="00F774B4"/>
    <w:rsid w:val="00F77587"/>
    <w:rsid w:val="00F7781B"/>
    <w:rsid w:val="00F77FEB"/>
    <w:rsid w:val="00F804E2"/>
    <w:rsid w:val="00F82307"/>
    <w:rsid w:val="00F82A31"/>
    <w:rsid w:val="00F82F69"/>
    <w:rsid w:val="00F83487"/>
    <w:rsid w:val="00F83E17"/>
    <w:rsid w:val="00F84488"/>
    <w:rsid w:val="00F8606D"/>
    <w:rsid w:val="00F86F00"/>
    <w:rsid w:val="00F875F0"/>
    <w:rsid w:val="00F877FF"/>
    <w:rsid w:val="00F87A90"/>
    <w:rsid w:val="00F90324"/>
    <w:rsid w:val="00F90E81"/>
    <w:rsid w:val="00F91319"/>
    <w:rsid w:val="00F9139A"/>
    <w:rsid w:val="00F91D99"/>
    <w:rsid w:val="00F92317"/>
    <w:rsid w:val="00F93401"/>
    <w:rsid w:val="00F93A26"/>
    <w:rsid w:val="00F96CDA"/>
    <w:rsid w:val="00F96F91"/>
    <w:rsid w:val="00FA0ACC"/>
    <w:rsid w:val="00FA111A"/>
    <w:rsid w:val="00FA1F09"/>
    <w:rsid w:val="00FA22C3"/>
    <w:rsid w:val="00FA2638"/>
    <w:rsid w:val="00FA280D"/>
    <w:rsid w:val="00FA3712"/>
    <w:rsid w:val="00FA3744"/>
    <w:rsid w:val="00FA37D1"/>
    <w:rsid w:val="00FA3E68"/>
    <w:rsid w:val="00FA4769"/>
    <w:rsid w:val="00FA4AE2"/>
    <w:rsid w:val="00FA4CBA"/>
    <w:rsid w:val="00FA5C97"/>
    <w:rsid w:val="00FA6642"/>
    <w:rsid w:val="00FA7269"/>
    <w:rsid w:val="00FA7820"/>
    <w:rsid w:val="00FA7A2E"/>
    <w:rsid w:val="00FA7DDB"/>
    <w:rsid w:val="00FB06B2"/>
    <w:rsid w:val="00FB271B"/>
    <w:rsid w:val="00FB29BC"/>
    <w:rsid w:val="00FB307B"/>
    <w:rsid w:val="00FB3453"/>
    <w:rsid w:val="00FB3688"/>
    <w:rsid w:val="00FB38C3"/>
    <w:rsid w:val="00FB3A6A"/>
    <w:rsid w:val="00FB3E34"/>
    <w:rsid w:val="00FB4B73"/>
    <w:rsid w:val="00FB5412"/>
    <w:rsid w:val="00FB5D09"/>
    <w:rsid w:val="00FB630E"/>
    <w:rsid w:val="00FB6332"/>
    <w:rsid w:val="00FB6795"/>
    <w:rsid w:val="00FC0CB0"/>
    <w:rsid w:val="00FC1423"/>
    <w:rsid w:val="00FC1771"/>
    <w:rsid w:val="00FC1AA1"/>
    <w:rsid w:val="00FC2993"/>
    <w:rsid w:val="00FC2CC2"/>
    <w:rsid w:val="00FC3853"/>
    <w:rsid w:val="00FC41D8"/>
    <w:rsid w:val="00FC4A60"/>
    <w:rsid w:val="00FC4D7A"/>
    <w:rsid w:val="00FC5855"/>
    <w:rsid w:val="00FC60F7"/>
    <w:rsid w:val="00FC64ED"/>
    <w:rsid w:val="00FC67DE"/>
    <w:rsid w:val="00FC68E6"/>
    <w:rsid w:val="00FC6AF6"/>
    <w:rsid w:val="00FC71B8"/>
    <w:rsid w:val="00FC797A"/>
    <w:rsid w:val="00FC79E4"/>
    <w:rsid w:val="00FC7B85"/>
    <w:rsid w:val="00FD0449"/>
    <w:rsid w:val="00FD05F3"/>
    <w:rsid w:val="00FD067F"/>
    <w:rsid w:val="00FD074F"/>
    <w:rsid w:val="00FD10BB"/>
    <w:rsid w:val="00FD14EC"/>
    <w:rsid w:val="00FD1BD8"/>
    <w:rsid w:val="00FD2316"/>
    <w:rsid w:val="00FD2439"/>
    <w:rsid w:val="00FD28ED"/>
    <w:rsid w:val="00FD3455"/>
    <w:rsid w:val="00FD4352"/>
    <w:rsid w:val="00FD43B6"/>
    <w:rsid w:val="00FD4AE8"/>
    <w:rsid w:val="00FD5187"/>
    <w:rsid w:val="00FD528E"/>
    <w:rsid w:val="00FD57DE"/>
    <w:rsid w:val="00FD610E"/>
    <w:rsid w:val="00FD61B7"/>
    <w:rsid w:val="00FD6CF2"/>
    <w:rsid w:val="00FD6D97"/>
    <w:rsid w:val="00FD70BC"/>
    <w:rsid w:val="00FD7394"/>
    <w:rsid w:val="00FD7DD3"/>
    <w:rsid w:val="00FE08FD"/>
    <w:rsid w:val="00FE09AB"/>
    <w:rsid w:val="00FE0B39"/>
    <w:rsid w:val="00FE2086"/>
    <w:rsid w:val="00FE2218"/>
    <w:rsid w:val="00FE2B4E"/>
    <w:rsid w:val="00FE2D2D"/>
    <w:rsid w:val="00FE2FBE"/>
    <w:rsid w:val="00FE30D1"/>
    <w:rsid w:val="00FE3C6C"/>
    <w:rsid w:val="00FE4363"/>
    <w:rsid w:val="00FE47ED"/>
    <w:rsid w:val="00FE4B94"/>
    <w:rsid w:val="00FE617A"/>
    <w:rsid w:val="00FE666F"/>
    <w:rsid w:val="00FE697B"/>
    <w:rsid w:val="00FF0021"/>
    <w:rsid w:val="00FF0B3C"/>
    <w:rsid w:val="00FF0D54"/>
    <w:rsid w:val="00FF19F9"/>
    <w:rsid w:val="00FF21AE"/>
    <w:rsid w:val="00FF43A4"/>
    <w:rsid w:val="00FF4815"/>
    <w:rsid w:val="00FF4E4E"/>
    <w:rsid w:val="00FF5C6F"/>
    <w:rsid w:val="00FF6024"/>
    <w:rsid w:val="00FF63FD"/>
    <w:rsid w:val="00FF6848"/>
    <w:rsid w:val="00FF6D1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ABC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48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nhideWhenUsed="1" w:qFormat="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7488"/>
    <w:pPr>
      <w:spacing w:before="120" w:after="120" w:line="240" w:lineRule="auto"/>
    </w:pPr>
    <w:rPr>
      <w:rFonts w:ascii="Segoe UI" w:hAnsi="Segoe UI"/>
    </w:rPr>
  </w:style>
  <w:style w:type="paragraph" w:styleId="Heading1">
    <w:name w:val="heading 1"/>
    <w:basedOn w:val="Normal"/>
    <w:next w:val="Normal"/>
    <w:link w:val="Heading1Char"/>
    <w:uiPriority w:val="9"/>
    <w:qFormat/>
    <w:rsid w:val="008D41AD"/>
    <w:pPr>
      <w:spacing w:before="360" w:line="560" w:lineRule="exact"/>
      <w:outlineLvl w:val="0"/>
    </w:pPr>
    <w:rPr>
      <w:rFonts w:ascii="Segoe UI Semibold" w:hAnsi="Segoe UI Semibold"/>
      <w:color w:val="0074A1"/>
      <w:sz w:val="44"/>
      <w:szCs w:val="44"/>
    </w:rPr>
  </w:style>
  <w:style w:type="paragraph" w:styleId="Heading2">
    <w:name w:val="heading 2"/>
    <w:basedOn w:val="silentheading"/>
    <w:next w:val="Normal"/>
    <w:link w:val="Heading2Char"/>
    <w:uiPriority w:val="9"/>
    <w:qFormat/>
    <w:rsid w:val="00227EA0"/>
    <w:pPr>
      <w:spacing w:after="240" w:line="440" w:lineRule="atLeast"/>
      <w:outlineLvl w:val="1"/>
    </w:pPr>
  </w:style>
  <w:style w:type="paragraph" w:styleId="Heading3">
    <w:name w:val="heading 3"/>
    <w:aliases w:val="h3"/>
    <w:basedOn w:val="Normal"/>
    <w:next w:val="Normal"/>
    <w:link w:val="Heading3Char"/>
    <w:qFormat/>
    <w:rsid w:val="003277E0"/>
    <w:pPr>
      <w:spacing w:before="240" w:after="240"/>
      <w:outlineLvl w:val="2"/>
    </w:pPr>
    <w:rPr>
      <w:rFonts w:cs="Segoe UI"/>
      <w:b/>
      <w:color w:val="000000" w:themeColor="text1"/>
      <w:sz w:val="24"/>
      <w:szCs w:val="24"/>
    </w:rPr>
  </w:style>
  <w:style w:type="paragraph" w:styleId="Heading4">
    <w:name w:val="heading 4"/>
    <w:aliases w:val="h4"/>
    <w:basedOn w:val="Normal"/>
    <w:next w:val="Normal"/>
    <w:link w:val="Heading4Char"/>
    <w:qFormat/>
    <w:rsid w:val="00C712CD"/>
    <w:pPr>
      <w:spacing w:before="240" w:after="240"/>
      <w:outlineLvl w:val="3"/>
    </w:pPr>
    <w:rPr>
      <w:b/>
      <w:i/>
    </w:rPr>
  </w:style>
  <w:style w:type="paragraph" w:styleId="Heading5">
    <w:name w:val="heading 5"/>
    <w:basedOn w:val="Heading4"/>
    <w:next w:val="Normal"/>
    <w:link w:val="Heading5Char"/>
    <w:unhideWhenUsed/>
    <w:qFormat/>
    <w:rsid w:val="00C712CD"/>
    <w:pPr>
      <w:keepNext/>
      <w:keepLines/>
      <w:spacing w:before="200" w:after="0"/>
      <w:outlineLvl w:val="4"/>
    </w:pPr>
    <w:rPr>
      <w:rFonts w:eastAsiaTheme="majorEastAsia" w:cstheme="majorBidi"/>
      <w:b w:val="0"/>
      <w:color w:val="13345C" w:themeColor="accent1" w:themeShade="7F"/>
    </w:rPr>
  </w:style>
  <w:style w:type="paragraph" w:styleId="Heading6">
    <w:name w:val="heading 6"/>
    <w:aliases w:val="do not use"/>
    <w:basedOn w:val="Normal"/>
    <w:next w:val="Normal"/>
    <w:link w:val="Heading6Char"/>
    <w:unhideWhenUsed/>
    <w:qFormat/>
    <w:rsid w:val="001F68BA"/>
    <w:pPr>
      <w:keepNext/>
      <w:keepLines/>
      <w:spacing w:before="200" w:after="0"/>
      <w:outlineLvl w:val="5"/>
    </w:pPr>
    <w:rPr>
      <w:rFonts w:asciiTheme="majorHAnsi" w:eastAsiaTheme="majorEastAsia" w:hAnsiTheme="majorHAnsi" w:cstheme="majorBidi"/>
      <w:i/>
      <w:iCs/>
      <w:color w:val="13345C" w:themeColor="accent1" w:themeShade="7F"/>
    </w:rPr>
  </w:style>
  <w:style w:type="paragraph" w:styleId="Heading7">
    <w:name w:val="heading 7"/>
    <w:aliases w:val="not req'd"/>
    <w:basedOn w:val="Normal"/>
    <w:next w:val="Normal"/>
    <w:link w:val="Heading7Char"/>
    <w:qFormat/>
    <w:rsid w:val="00C32D50"/>
    <w:pPr>
      <w:keepNext/>
      <w:tabs>
        <w:tab w:val="num" w:pos="1296"/>
      </w:tabs>
      <w:spacing w:before="0" w:after="240"/>
      <w:ind w:left="1296" w:hanging="1296"/>
      <w:outlineLvl w:val="6"/>
    </w:pPr>
    <w:rPr>
      <w:rFonts w:ascii="Times New Roman" w:eastAsia="Times New Roman" w:hAnsi="Times New Roman" w:cs="Times New Roman"/>
      <w:i/>
      <w:sz w:val="24"/>
      <w:szCs w:val="20"/>
      <w:lang w:eastAsia="en-AU"/>
    </w:rPr>
  </w:style>
  <w:style w:type="paragraph" w:styleId="Heading8">
    <w:name w:val="heading 8"/>
    <w:aliases w:val=" not required,not required"/>
    <w:basedOn w:val="Normal"/>
    <w:next w:val="Normal"/>
    <w:link w:val="Heading8Char"/>
    <w:qFormat/>
    <w:rsid w:val="00C32D50"/>
    <w:pPr>
      <w:keepNext/>
      <w:tabs>
        <w:tab w:val="num" w:pos="1440"/>
      </w:tabs>
      <w:spacing w:before="0" w:after="0"/>
      <w:ind w:left="1440" w:hanging="1440"/>
      <w:outlineLvl w:val="7"/>
    </w:pPr>
    <w:rPr>
      <w:rFonts w:ascii="Times New Roman" w:eastAsia="Times New Roman" w:hAnsi="Times New Roman" w:cs="Times New Roman"/>
      <w:b/>
      <w:sz w:val="24"/>
      <w:szCs w:val="20"/>
      <w:lang w:val="en-GB" w:eastAsia="en-AU"/>
    </w:rPr>
  </w:style>
  <w:style w:type="paragraph" w:styleId="Heading9">
    <w:name w:val="heading 9"/>
    <w:aliases w:val="not requird"/>
    <w:basedOn w:val="Normal"/>
    <w:next w:val="Normal"/>
    <w:link w:val="Heading9Char"/>
    <w:qFormat/>
    <w:rsid w:val="00C32D50"/>
    <w:pPr>
      <w:keepNext/>
      <w:tabs>
        <w:tab w:val="left" w:pos="709"/>
        <w:tab w:val="num" w:pos="1584"/>
      </w:tabs>
      <w:spacing w:before="0" w:after="0"/>
      <w:ind w:left="1584" w:hanging="1584"/>
      <w:outlineLvl w:val="8"/>
    </w:pPr>
    <w:rPr>
      <w:rFonts w:ascii="Times New Roman" w:eastAsia="Times New Roman" w:hAnsi="Times New Roman"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unhideWhenUsed/>
    <w:qFormat/>
    <w:rsid w:val="00446483"/>
    <w:rPr>
      <w:i/>
      <w:iCs/>
      <w:color w:val="808080" w:themeColor="text1" w:themeTint="7F"/>
    </w:rPr>
  </w:style>
  <w:style w:type="paragraph" w:styleId="BalloonText">
    <w:name w:val="Balloon Text"/>
    <w:basedOn w:val="Normal"/>
    <w:link w:val="BalloonTextChar"/>
    <w:uiPriority w:val="99"/>
    <w:semiHidden/>
    <w:unhideWhenUsed/>
    <w:rsid w:val="00E421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127"/>
    <w:rPr>
      <w:rFonts w:ascii="Tahoma" w:hAnsi="Tahoma" w:cs="Tahoma"/>
      <w:sz w:val="16"/>
      <w:szCs w:val="16"/>
    </w:rPr>
  </w:style>
  <w:style w:type="character" w:styleId="Hyperlink">
    <w:name w:val="Hyperlink"/>
    <w:basedOn w:val="DefaultParagraphFont"/>
    <w:uiPriority w:val="99"/>
    <w:unhideWhenUsed/>
    <w:qFormat/>
    <w:rsid w:val="00572AD7"/>
    <w:rPr>
      <w:color w:val="0257BE"/>
    </w:rPr>
  </w:style>
  <w:style w:type="paragraph" w:styleId="Header">
    <w:name w:val="header"/>
    <w:aliases w:val="EAHeader"/>
    <w:basedOn w:val="Normal"/>
    <w:link w:val="HeaderChar"/>
    <w:unhideWhenUsed/>
    <w:rsid w:val="006A6B79"/>
    <w:pPr>
      <w:tabs>
        <w:tab w:val="center" w:pos="4513"/>
        <w:tab w:val="right" w:pos="9026"/>
      </w:tabs>
      <w:spacing w:after="0"/>
      <w:jc w:val="right"/>
    </w:pPr>
    <w:rPr>
      <w:color w:val="0070C0"/>
      <w:sz w:val="18"/>
    </w:rPr>
  </w:style>
  <w:style w:type="character" w:customStyle="1" w:styleId="HeaderChar">
    <w:name w:val="Header Char"/>
    <w:aliases w:val="EAHeader Char"/>
    <w:basedOn w:val="DefaultParagraphFont"/>
    <w:link w:val="Header"/>
    <w:rsid w:val="00084028"/>
    <w:rPr>
      <w:rFonts w:ascii="Segoe UI" w:hAnsi="Segoe UI"/>
      <w:color w:val="0070C0"/>
      <w:sz w:val="18"/>
    </w:rPr>
  </w:style>
  <w:style w:type="paragraph" w:styleId="Footer">
    <w:name w:val="footer"/>
    <w:basedOn w:val="Normal"/>
    <w:link w:val="FooterChar"/>
    <w:uiPriority w:val="99"/>
    <w:unhideWhenUsed/>
    <w:rsid w:val="00227EA0"/>
    <w:pPr>
      <w:tabs>
        <w:tab w:val="center" w:pos="4513"/>
        <w:tab w:val="right" w:pos="9026"/>
      </w:tabs>
      <w:spacing w:after="0"/>
    </w:pPr>
    <w:rPr>
      <w:color w:val="02747E" w:themeColor="accent6" w:themeShade="80"/>
      <w:sz w:val="18"/>
    </w:rPr>
  </w:style>
  <w:style w:type="character" w:customStyle="1" w:styleId="FooterChar">
    <w:name w:val="Footer Char"/>
    <w:basedOn w:val="DefaultParagraphFont"/>
    <w:link w:val="Footer"/>
    <w:uiPriority w:val="99"/>
    <w:rsid w:val="00084028"/>
    <w:rPr>
      <w:rFonts w:ascii="Segoe UI" w:hAnsi="Segoe UI"/>
      <w:color w:val="02747E" w:themeColor="accent6" w:themeShade="80"/>
      <w:sz w:val="18"/>
    </w:rPr>
  </w:style>
  <w:style w:type="character" w:customStyle="1" w:styleId="Heading1Char">
    <w:name w:val="Heading 1 Char"/>
    <w:basedOn w:val="DefaultParagraphFont"/>
    <w:link w:val="Heading1"/>
    <w:uiPriority w:val="9"/>
    <w:rsid w:val="00B83C5C"/>
    <w:rPr>
      <w:rFonts w:ascii="Segoe UI Semibold" w:hAnsi="Segoe UI Semibold"/>
      <w:color w:val="0074A1"/>
      <w:sz w:val="44"/>
      <w:szCs w:val="44"/>
    </w:rPr>
  </w:style>
  <w:style w:type="character" w:customStyle="1" w:styleId="Heading2Char">
    <w:name w:val="Heading 2 Char"/>
    <w:basedOn w:val="DefaultParagraphFont"/>
    <w:link w:val="Heading2"/>
    <w:uiPriority w:val="9"/>
    <w:rsid w:val="00084028"/>
    <w:rPr>
      <w:rFonts w:ascii="Segoe UI" w:hAnsi="Segoe UI" w:cs="Segoe UI"/>
      <w:b/>
      <w:color w:val="0074A1"/>
      <w:sz w:val="28"/>
      <w:szCs w:val="28"/>
    </w:rPr>
  </w:style>
  <w:style w:type="character" w:customStyle="1" w:styleId="Heading3Char">
    <w:name w:val="Heading 3 Char"/>
    <w:aliases w:val="h3 Char"/>
    <w:basedOn w:val="DefaultParagraphFont"/>
    <w:link w:val="Heading3"/>
    <w:uiPriority w:val="9"/>
    <w:rsid w:val="00084028"/>
    <w:rPr>
      <w:rFonts w:ascii="Segoe UI" w:hAnsi="Segoe UI" w:cs="Segoe UI"/>
      <w:b/>
      <w:color w:val="000000" w:themeColor="text1"/>
      <w:sz w:val="24"/>
      <w:szCs w:val="24"/>
    </w:rPr>
  </w:style>
  <w:style w:type="paragraph" w:styleId="ListParagraph">
    <w:name w:val="List Paragraph"/>
    <w:aliases w:val="List Paragraph1,List Paragraph11,Recommendation,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446483"/>
    <w:pPr>
      <w:ind w:left="720"/>
      <w:contextualSpacing/>
    </w:pPr>
  </w:style>
  <w:style w:type="paragraph" w:customStyle="1" w:styleId="bullet">
    <w:name w:val="bullet"/>
    <w:basedOn w:val="Normal"/>
    <w:qFormat/>
    <w:rsid w:val="00BC4E20"/>
    <w:pPr>
      <w:numPr>
        <w:numId w:val="1"/>
      </w:numPr>
      <w:spacing w:before="80" w:after="80"/>
    </w:pPr>
  </w:style>
  <w:style w:type="paragraph" w:customStyle="1" w:styleId="bullet2">
    <w:name w:val="bullet 2"/>
    <w:basedOn w:val="bullet"/>
    <w:uiPriority w:val="11"/>
    <w:qFormat/>
    <w:rsid w:val="00BC4E20"/>
    <w:pPr>
      <w:numPr>
        <w:numId w:val="2"/>
      </w:numPr>
    </w:pPr>
  </w:style>
  <w:style w:type="paragraph" w:customStyle="1" w:styleId="introductiontext">
    <w:name w:val="introduction text"/>
    <w:basedOn w:val="Normal"/>
    <w:rsid w:val="002F4BB9"/>
    <w:pPr>
      <w:spacing w:before="160" w:after="160" w:line="320" w:lineRule="exact"/>
    </w:pPr>
    <w:rPr>
      <w:rFonts w:ascii="Segoe UI Semibold" w:hAnsi="Segoe UI Semibold"/>
      <w:color w:val="0074A1"/>
      <w:sz w:val="24"/>
      <w:szCs w:val="24"/>
    </w:rPr>
  </w:style>
  <w:style w:type="character" w:customStyle="1" w:styleId="Heading5Char">
    <w:name w:val="Heading 5 Char"/>
    <w:basedOn w:val="DefaultParagraphFont"/>
    <w:link w:val="Heading5"/>
    <w:rsid w:val="00C712CD"/>
    <w:rPr>
      <w:rFonts w:ascii="Segoe UI" w:eastAsiaTheme="majorEastAsia" w:hAnsi="Segoe UI" w:cstheme="majorBidi"/>
      <w:i/>
      <w:color w:val="13345C" w:themeColor="accent1" w:themeShade="7F"/>
    </w:rPr>
  </w:style>
  <w:style w:type="paragraph" w:styleId="TOC3">
    <w:name w:val="toc 3"/>
    <w:basedOn w:val="Normal"/>
    <w:next w:val="Normal"/>
    <w:autoRedefine/>
    <w:uiPriority w:val="39"/>
    <w:unhideWhenUsed/>
    <w:qFormat/>
    <w:rsid w:val="009877C5"/>
    <w:pPr>
      <w:spacing w:after="100"/>
      <w:ind w:left="440"/>
    </w:pPr>
  </w:style>
  <w:style w:type="paragraph" w:styleId="TableofFigures">
    <w:name w:val="table of figures"/>
    <w:basedOn w:val="Normal"/>
    <w:next w:val="Normal"/>
    <w:uiPriority w:val="99"/>
    <w:unhideWhenUsed/>
    <w:rsid w:val="009877C5"/>
    <w:pPr>
      <w:spacing w:after="0"/>
    </w:pPr>
  </w:style>
  <w:style w:type="table" w:styleId="TableGrid">
    <w:name w:val="Table Grid"/>
    <w:basedOn w:val="TableNormal"/>
    <w:uiPriority w:val="59"/>
    <w:rsid w:val="00082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itablestyle">
    <w:name w:val="dpi table style"/>
    <w:basedOn w:val="TableGrid"/>
    <w:uiPriority w:val="99"/>
    <w:rsid w:val="00917B64"/>
    <w:pPr>
      <w:spacing w:before="20" w:after="20" w:line="240" w:lineRule="atLeast"/>
    </w:pPr>
    <w:rPr>
      <w:rFonts w:ascii="Segoe UI Semibold" w:hAnsi="Segoe UI Semibold"/>
      <w:color w:val="000000" w:themeColor="text1"/>
      <w:sz w:val="20"/>
    </w:rPr>
    <w:tblPr>
      <w:tblStyleRowBandSize w:val="1"/>
      <w:tblStyleColBandSize w:val="1"/>
      <w:tblBorders>
        <w:top w:val="none" w:sz="0" w:space="0" w:color="auto"/>
        <w:left w:val="none" w:sz="0" w:space="0" w:color="auto"/>
        <w:bottom w:val="single" w:sz="4" w:space="0" w:color="000000" w:themeColor="text1"/>
        <w:right w:val="none" w:sz="0" w:space="0" w:color="auto"/>
        <w:insideH w:val="single" w:sz="4" w:space="0" w:color="000000" w:themeColor="text1"/>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SimSun-ExtB" w:hAnsi="@SimSun-ExtB"/>
        <w:b/>
        <w:i w:val="0"/>
        <w:color w:val="000000" w:themeColor="text1"/>
        <w:sz w:val="20"/>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FE1" w:themeFill="accent3" w:themeFillTint="66"/>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hemeColor="text1"/>
        </w:tcBorders>
      </w:tcPr>
    </w:tblStylePr>
  </w:style>
  <w:style w:type="table" w:styleId="LightList-Accent3">
    <w:name w:val="Light List Accent 3"/>
    <w:basedOn w:val="TableNormal"/>
    <w:uiPriority w:val="61"/>
    <w:rsid w:val="00F362D5"/>
    <w:pPr>
      <w:spacing w:after="0" w:line="240" w:lineRule="auto"/>
    </w:pPr>
    <w:rPr>
      <w:rFonts w:eastAsiaTheme="minorEastAsia"/>
      <w:lang w:val="en-US" w:eastAsia="ja-JP"/>
    </w:rPr>
    <w:tblPr>
      <w:tblStyleRowBandSize w:val="1"/>
      <w:tblStyleColBandSize w:val="1"/>
      <w:tblBorders>
        <w:top w:val="single" w:sz="8" w:space="0" w:color="B0D8B5" w:themeColor="accent3"/>
        <w:left w:val="single" w:sz="8" w:space="0" w:color="B0D8B5" w:themeColor="accent3"/>
        <w:bottom w:val="single" w:sz="8" w:space="0" w:color="B0D8B5" w:themeColor="accent3"/>
        <w:right w:val="single" w:sz="8" w:space="0" w:color="B0D8B5" w:themeColor="accent3"/>
      </w:tblBorders>
    </w:tblPr>
    <w:tblStylePr w:type="firstRow">
      <w:pPr>
        <w:spacing w:before="0" w:after="0" w:line="240" w:lineRule="auto"/>
      </w:pPr>
      <w:rPr>
        <w:b/>
        <w:bCs/>
        <w:color w:val="FFFFFF" w:themeColor="background1"/>
      </w:rPr>
      <w:tblPr/>
      <w:tcPr>
        <w:shd w:val="clear" w:color="auto" w:fill="B0D8B5" w:themeFill="accent3"/>
      </w:tcPr>
    </w:tblStylePr>
    <w:tblStylePr w:type="lastRow">
      <w:pPr>
        <w:spacing w:before="0" w:after="0" w:line="240" w:lineRule="auto"/>
      </w:pPr>
      <w:rPr>
        <w:b/>
        <w:bCs/>
      </w:rPr>
      <w:tblPr/>
      <w:tcPr>
        <w:tcBorders>
          <w:top w:val="double" w:sz="6" w:space="0" w:color="B0D8B5" w:themeColor="accent3"/>
          <w:left w:val="single" w:sz="8" w:space="0" w:color="B0D8B5" w:themeColor="accent3"/>
          <w:bottom w:val="single" w:sz="8" w:space="0" w:color="B0D8B5" w:themeColor="accent3"/>
          <w:right w:val="single" w:sz="8" w:space="0" w:color="B0D8B5" w:themeColor="accent3"/>
        </w:tcBorders>
      </w:tcPr>
    </w:tblStylePr>
    <w:tblStylePr w:type="firstCol">
      <w:rPr>
        <w:b/>
        <w:bCs/>
      </w:rPr>
    </w:tblStylePr>
    <w:tblStylePr w:type="lastCol">
      <w:rPr>
        <w:b/>
        <w:bCs/>
      </w:rPr>
    </w:tblStylePr>
    <w:tblStylePr w:type="band1Vert">
      <w:tblPr/>
      <w:tcPr>
        <w:tcBorders>
          <w:top w:val="single" w:sz="8" w:space="0" w:color="B0D8B5" w:themeColor="accent3"/>
          <w:left w:val="single" w:sz="8" w:space="0" w:color="B0D8B5" w:themeColor="accent3"/>
          <w:bottom w:val="single" w:sz="8" w:space="0" w:color="B0D8B5" w:themeColor="accent3"/>
          <w:right w:val="single" w:sz="8" w:space="0" w:color="B0D8B5" w:themeColor="accent3"/>
        </w:tcBorders>
      </w:tcPr>
    </w:tblStylePr>
    <w:tblStylePr w:type="band1Horz">
      <w:tblPr/>
      <w:tcPr>
        <w:tcBorders>
          <w:top w:val="single" w:sz="8" w:space="0" w:color="B0D8B5" w:themeColor="accent3"/>
          <w:left w:val="single" w:sz="8" w:space="0" w:color="B0D8B5" w:themeColor="accent3"/>
          <w:bottom w:val="single" w:sz="8" w:space="0" w:color="B0D8B5" w:themeColor="accent3"/>
          <w:right w:val="single" w:sz="8" w:space="0" w:color="B0D8B5" w:themeColor="accent3"/>
        </w:tcBorders>
      </w:tcPr>
    </w:tblStylePr>
  </w:style>
  <w:style w:type="paragraph" w:customStyle="1" w:styleId="Copyright">
    <w:name w:val="Copyright"/>
    <w:basedOn w:val="Normal"/>
    <w:semiHidden/>
    <w:rsid w:val="00964D54"/>
    <w:pPr>
      <w:pBdr>
        <w:top w:val="single" w:sz="4" w:space="4" w:color="008FCC"/>
      </w:pBdr>
      <w:tabs>
        <w:tab w:val="left" w:pos="340"/>
      </w:tabs>
      <w:spacing w:before="60" w:after="80" w:line="180" w:lineRule="exact"/>
    </w:pPr>
    <w:rPr>
      <w:rFonts w:eastAsia="Times New Roman" w:cs="Segoe UI"/>
      <w:sz w:val="16"/>
      <w:szCs w:val="14"/>
    </w:rPr>
  </w:style>
  <w:style w:type="paragraph" w:customStyle="1" w:styleId="references">
    <w:name w:val="references"/>
    <w:basedOn w:val="Normal"/>
    <w:rsid w:val="00F2004A"/>
    <w:pPr>
      <w:ind w:left="567" w:hanging="567"/>
    </w:pPr>
  </w:style>
  <w:style w:type="paragraph" w:styleId="Caption">
    <w:name w:val="caption"/>
    <w:aliases w:val="Figure text or caption"/>
    <w:basedOn w:val="Normal"/>
    <w:next w:val="Normal"/>
    <w:link w:val="CaptionChar"/>
    <w:uiPriority w:val="12"/>
    <w:unhideWhenUsed/>
    <w:qFormat/>
    <w:rsid w:val="005062CF"/>
    <w:pPr>
      <w:spacing w:before="180" w:after="180" w:line="240" w:lineRule="exact"/>
    </w:pPr>
    <w:rPr>
      <w:rFonts w:ascii="Segoe UI Semibold" w:eastAsia="Times New Roman" w:hAnsi="Segoe UI Semibold" w:cs="Times New Roman"/>
      <w:color w:val="016295" w:themeColor="accent2" w:themeShade="80"/>
    </w:rPr>
  </w:style>
  <w:style w:type="paragraph" w:styleId="TOC2">
    <w:name w:val="toc 2"/>
    <w:basedOn w:val="Normal"/>
    <w:next w:val="Normal"/>
    <w:autoRedefine/>
    <w:uiPriority w:val="39"/>
    <w:unhideWhenUsed/>
    <w:qFormat/>
    <w:rsid w:val="006E131C"/>
    <w:pPr>
      <w:tabs>
        <w:tab w:val="right" w:leader="dot" w:pos="9060"/>
      </w:tabs>
      <w:spacing w:after="100"/>
      <w:ind w:left="220"/>
    </w:pPr>
  </w:style>
  <w:style w:type="paragraph" w:styleId="TOC1">
    <w:name w:val="toc 1"/>
    <w:basedOn w:val="Normal"/>
    <w:next w:val="Normal"/>
    <w:autoRedefine/>
    <w:uiPriority w:val="39"/>
    <w:unhideWhenUsed/>
    <w:qFormat/>
    <w:rsid w:val="00785DD4"/>
    <w:pPr>
      <w:tabs>
        <w:tab w:val="right" w:leader="dot" w:pos="9060"/>
      </w:tabs>
      <w:spacing w:after="100"/>
      <w:ind w:left="142"/>
    </w:pPr>
    <w:rPr>
      <w:noProof/>
    </w:rPr>
  </w:style>
  <w:style w:type="paragraph" w:customStyle="1" w:styleId="seriestitle">
    <w:name w:val="series title"/>
    <w:basedOn w:val="Normal"/>
    <w:rsid w:val="00572AD7"/>
    <w:pPr>
      <w:spacing w:line="560" w:lineRule="exact"/>
    </w:pPr>
    <w:rPr>
      <w:rFonts w:ascii="Segoe UI Light" w:hAnsi="Segoe UI Light" w:cs="Segoe UI"/>
      <w:color w:val="FFFFFF" w:themeColor="background1"/>
      <w:sz w:val="44"/>
      <w:szCs w:val="44"/>
    </w:rPr>
  </w:style>
  <w:style w:type="paragraph" w:customStyle="1" w:styleId="silentheading">
    <w:name w:val="silent heading"/>
    <w:rsid w:val="001C33C1"/>
    <w:pPr>
      <w:spacing w:before="360"/>
    </w:pPr>
    <w:rPr>
      <w:rFonts w:ascii="Segoe UI" w:hAnsi="Segoe UI" w:cs="Segoe UI"/>
      <w:b/>
      <w:color w:val="0074A1"/>
      <w:sz w:val="28"/>
      <w:szCs w:val="28"/>
    </w:rPr>
  </w:style>
  <w:style w:type="paragraph" w:customStyle="1" w:styleId="imprintheading">
    <w:name w:val="imprint heading"/>
    <w:basedOn w:val="Normal"/>
    <w:rsid w:val="00516013"/>
    <w:rPr>
      <w:b/>
      <w:sz w:val="20"/>
      <w:szCs w:val="20"/>
    </w:rPr>
  </w:style>
  <w:style w:type="paragraph" w:customStyle="1" w:styleId="imprinttext">
    <w:name w:val="imprint text"/>
    <w:basedOn w:val="Normal"/>
    <w:rsid w:val="00516013"/>
    <w:rPr>
      <w:sz w:val="20"/>
      <w:szCs w:val="20"/>
    </w:rPr>
  </w:style>
  <w:style w:type="paragraph" w:customStyle="1" w:styleId="copyrightdisclaimer">
    <w:name w:val="copyright / disclaimer"/>
    <w:basedOn w:val="Copyright"/>
    <w:rsid w:val="00516013"/>
    <w:pPr>
      <w:pBdr>
        <w:top w:val="single" w:sz="4" w:space="6" w:color="008FCC"/>
      </w:pBdr>
    </w:pPr>
    <w:rPr>
      <w:szCs w:val="16"/>
    </w:rPr>
  </w:style>
  <w:style w:type="character" w:customStyle="1" w:styleId="Heading4Char">
    <w:name w:val="Heading 4 Char"/>
    <w:aliases w:val="h4 Char"/>
    <w:basedOn w:val="DefaultParagraphFont"/>
    <w:link w:val="Heading4"/>
    <w:rsid w:val="00C712CD"/>
    <w:rPr>
      <w:rFonts w:ascii="Segoe UI" w:hAnsi="Segoe UI"/>
      <w:b/>
      <w:i/>
    </w:rPr>
  </w:style>
  <w:style w:type="character" w:styleId="PlaceholderText">
    <w:name w:val="Placeholder Text"/>
    <w:basedOn w:val="DefaultParagraphFont"/>
    <w:uiPriority w:val="99"/>
    <w:semiHidden/>
    <w:rsid w:val="0060585F"/>
    <w:rPr>
      <w:color w:val="808080"/>
    </w:rPr>
  </w:style>
  <w:style w:type="paragraph" w:customStyle="1" w:styleId="featuretexthead">
    <w:name w:val="feature text head"/>
    <w:basedOn w:val="Normal"/>
    <w:rsid w:val="00227EA0"/>
    <w:pPr>
      <w:spacing w:line="300" w:lineRule="atLeast"/>
    </w:pPr>
    <w:rPr>
      <w:b/>
      <w:color w:val="02747E" w:themeColor="accent6" w:themeShade="80"/>
      <w:sz w:val="24"/>
    </w:rPr>
  </w:style>
  <w:style w:type="paragraph" w:customStyle="1" w:styleId="tabletext">
    <w:name w:val="table text"/>
    <w:basedOn w:val="bullet2"/>
    <w:uiPriority w:val="99"/>
    <w:rsid w:val="00452306"/>
    <w:pPr>
      <w:numPr>
        <w:numId w:val="0"/>
      </w:numPr>
      <w:spacing w:before="5" w:after="5" w:line="240" w:lineRule="exact"/>
    </w:pPr>
    <w:rPr>
      <w:sz w:val="20"/>
      <w:szCs w:val="20"/>
    </w:rPr>
  </w:style>
  <w:style w:type="paragraph" w:customStyle="1" w:styleId="tableheadertext">
    <w:name w:val="table header text"/>
    <w:basedOn w:val="bullet2"/>
    <w:rsid w:val="008A5AD6"/>
    <w:pPr>
      <w:numPr>
        <w:numId w:val="0"/>
      </w:numPr>
      <w:spacing w:beforeLines="25" w:before="25" w:afterLines="25" w:after="25" w:line="240" w:lineRule="exact"/>
    </w:pPr>
    <w:rPr>
      <w:rFonts w:ascii="Segoe UI Semibold" w:hAnsi="Segoe UI Semibold" w:cs="Segoe UI"/>
      <w:b/>
      <w:color w:val="000000" w:themeColor="text1"/>
      <w:sz w:val="20"/>
      <w:szCs w:val="20"/>
    </w:rPr>
  </w:style>
  <w:style w:type="table" w:styleId="LightShading">
    <w:name w:val="Light Shading"/>
    <w:basedOn w:val="TableNormal"/>
    <w:uiPriority w:val="60"/>
    <w:rsid w:val="005D43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21D94"/>
    <w:pPr>
      <w:spacing w:after="0" w:line="240" w:lineRule="auto"/>
    </w:pPr>
    <w:rPr>
      <w:color w:val="1D4F8B" w:themeColor="accent1" w:themeShade="BF"/>
    </w:rPr>
    <w:tblPr>
      <w:tblStyleRowBandSize w:val="1"/>
      <w:tblStyleColBandSize w:val="1"/>
      <w:tblBorders>
        <w:top w:val="single" w:sz="8" w:space="0" w:color="276ABB" w:themeColor="accent1"/>
        <w:bottom w:val="single" w:sz="8" w:space="0" w:color="276ABB" w:themeColor="accent1"/>
      </w:tblBorders>
    </w:tblPr>
    <w:tblStylePr w:type="firstRow">
      <w:pPr>
        <w:spacing w:before="0" w:after="0" w:line="240" w:lineRule="auto"/>
      </w:pPr>
      <w:rPr>
        <w:b/>
        <w:bCs/>
      </w:rPr>
      <w:tblPr/>
      <w:tcPr>
        <w:tcBorders>
          <w:top w:val="single" w:sz="8" w:space="0" w:color="276ABB" w:themeColor="accent1"/>
          <w:left w:val="nil"/>
          <w:bottom w:val="single" w:sz="8" w:space="0" w:color="276ABB" w:themeColor="accent1"/>
          <w:right w:val="nil"/>
          <w:insideH w:val="nil"/>
          <w:insideV w:val="nil"/>
        </w:tcBorders>
      </w:tcPr>
    </w:tblStylePr>
    <w:tblStylePr w:type="lastRow">
      <w:pPr>
        <w:spacing w:before="0" w:after="0" w:line="240" w:lineRule="auto"/>
      </w:pPr>
      <w:rPr>
        <w:b/>
        <w:bCs/>
      </w:rPr>
      <w:tblPr/>
      <w:tcPr>
        <w:tcBorders>
          <w:top w:val="single" w:sz="8" w:space="0" w:color="276ABB" w:themeColor="accent1"/>
          <w:left w:val="nil"/>
          <w:bottom w:val="single" w:sz="8" w:space="0" w:color="276AB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hemeFill="accent1" w:themeFillTint="3F"/>
      </w:tcPr>
    </w:tblStylePr>
    <w:tblStylePr w:type="band1Horz">
      <w:tblPr/>
      <w:tcPr>
        <w:tcBorders>
          <w:left w:val="nil"/>
          <w:right w:val="nil"/>
          <w:insideH w:val="nil"/>
          <w:insideV w:val="nil"/>
        </w:tcBorders>
        <w:shd w:val="clear" w:color="auto" w:fill="C4D9F3" w:themeFill="accent1" w:themeFillTint="3F"/>
      </w:tcPr>
    </w:tblStylePr>
  </w:style>
  <w:style w:type="table" w:styleId="LightShading-Accent6">
    <w:name w:val="Light Shading Accent 6"/>
    <w:basedOn w:val="TableNormal"/>
    <w:uiPriority w:val="60"/>
    <w:rsid w:val="004007DA"/>
    <w:pPr>
      <w:spacing w:after="0" w:line="240" w:lineRule="auto"/>
    </w:pPr>
    <w:rPr>
      <w:color w:val="03AEBC" w:themeColor="accent6" w:themeShade="BF"/>
    </w:rPr>
    <w:tblPr>
      <w:tblStyleRowBandSize w:val="1"/>
      <w:tblStyleColBandSize w:val="1"/>
      <w:tblBorders>
        <w:top w:val="single" w:sz="8" w:space="0" w:color="05E9FB" w:themeColor="accent6"/>
        <w:bottom w:val="single" w:sz="8" w:space="0" w:color="05E9FB" w:themeColor="accent6"/>
      </w:tblBorders>
    </w:tblPr>
    <w:tblStylePr w:type="firstRow">
      <w:pPr>
        <w:spacing w:before="0" w:after="0" w:line="240" w:lineRule="auto"/>
      </w:pPr>
      <w:rPr>
        <w:b/>
        <w:bCs/>
      </w:rPr>
      <w:tblPr/>
      <w:tcPr>
        <w:tcBorders>
          <w:top w:val="single" w:sz="8" w:space="0" w:color="05E9FB" w:themeColor="accent6"/>
          <w:left w:val="nil"/>
          <w:bottom w:val="single" w:sz="8" w:space="0" w:color="05E9FB" w:themeColor="accent6"/>
          <w:right w:val="nil"/>
          <w:insideH w:val="nil"/>
          <w:insideV w:val="nil"/>
        </w:tcBorders>
      </w:tcPr>
    </w:tblStylePr>
    <w:tblStylePr w:type="lastRow">
      <w:pPr>
        <w:spacing w:before="0" w:after="0" w:line="240" w:lineRule="auto"/>
      </w:pPr>
      <w:rPr>
        <w:b/>
        <w:bCs/>
      </w:rPr>
      <w:tblPr/>
      <w:tcPr>
        <w:tcBorders>
          <w:top w:val="single" w:sz="8" w:space="0" w:color="05E9FB" w:themeColor="accent6"/>
          <w:left w:val="nil"/>
          <w:bottom w:val="single" w:sz="8" w:space="0" w:color="05E9F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hemeFill="accent6" w:themeFillTint="3F"/>
      </w:tcPr>
    </w:tblStylePr>
    <w:tblStylePr w:type="band1Horz">
      <w:tblPr/>
      <w:tcPr>
        <w:tcBorders>
          <w:left w:val="nil"/>
          <w:right w:val="nil"/>
          <w:insideH w:val="nil"/>
          <w:insideV w:val="nil"/>
        </w:tcBorders>
        <w:shd w:val="clear" w:color="auto" w:fill="C1F9FE" w:themeFill="accent6" w:themeFillTint="3F"/>
      </w:tcPr>
    </w:tblStylePr>
  </w:style>
  <w:style w:type="table" w:styleId="LightShading-Accent2">
    <w:name w:val="Light Shading Accent 2"/>
    <w:basedOn w:val="TableGrid"/>
    <w:uiPriority w:val="60"/>
    <w:rsid w:val="004007DA"/>
    <w:rPr>
      <w:color w:val="0292DF" w:themeColor="accent2" w:themeShade="BF"/>
    </w:rPr>
    <w:tblPr>
      <w:tblStyleRowBandSize w:val="1"/>
      <w:tblStyleColBandSize w:val="1"/>
      <w:tblBorders>
        <w:top w:val="single" w:sz="8" w:space="0" w:color="31B6FD" w:themeColor="accent2"/>
        <w:left w:val="none" w:sz="0" w:space="0" w:color="auto"/>
        <w:bottom w:val="single" w:sz="8" w:space="0" w:color="31B6FD" w:themeColor="accent2"/>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themeColor="accent2"/>
          <w:left w:val="nil"/>
          <w:bottom w:val="single" w:sz="8" w:space="0" w:color="31B6FD" w:themeColor="accent2"/>
          <w:right w:val="nil"/>
          <w:insideH w:val="nil"/>
          <w:insideV w:val="nil"/>
        </w:tcBorders>
      </w:tcPr>
    </w:tblStylePr>
    <w:tblStylePr w:type="lastRow">
      <w:pPr>
        <w:spacing w:before="0" w:after="0" w:line="240" w:lineRule="auto"/>
      </w:pPr>
      <w:rPr>
        <w:b/>
        <w:bCs/>
      </w:rPr>
      <w:tblPr/>
      <w:tcPr>
        <w:tcBorders>
          <w:top w:val="single" w:sz="8" w:space="0" w:color="31B6FD" w:themeColor="accent2"/>
          <w:left w:val="nil"/>
          <w:bottom w:val="single" w:sz="8" w:space="0" w:color="31B6F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hemeFill="accent2" w:themeFillTint="3F"/>
      </w:tcPr>
    </w:tblStylePr>
    <w:tblStylePr w:type="band1Horz">
      <w:tblPr/>
      <w:tcPr>
        <w:tcBorders>
          <w:left w:val="nil"/>
          <w:right w:val="nil"/>
          <w:insideH w:val="nil"/>
          <w:insideV w:val="nil"/>
        </w:tcBorders>
        <w:shd w:val="clear" w:color="auto" w:fill="CBECFE" w:themeFill="accent2" w:themeFillTint="3F"/>
      </w:tcPr>
    </w:tblStylePr>
  </w:style>
  <w:style w:type="paragraph" w:styleId="FootnoteText">
    <w:name w:val="footnote text"/>
    <w:basedOn w:val="Normal"/>
    <w:link w:val="FootnoteTextChar"/>
    <w:uiPriority w:val="99"/>
    <w:unhideWhenUsed/>
    <w:rsid w:val="00FE47ED"/>
    <w:pPr>
      <w:spacing w:before="0" w:after="0"/>
    </w:pPr>
    <w:rPr>
      <w:rFonts w:asciiTheme="minorHAnsi" w:eastAsiaTheme="minorEastAsia" w:hAnsiTheme="minorHAnsi"/>
      <w:sz w:val="20"/>
      <w:szCs w:val="20"/>
      <w:lang w:val="en-US" w:eastAsia="ja-JP"/>
    </w:rPr>
  </w:style>
  <w:style w:type="character" w:customStyle="1" w:styleId="FootnoteTextChar">
    <w:name w:val="Footnote Text Char"/>
    <w:basedOn w:val="DefaultParagraphFont"/>
    <w:link w:val="FootnoteText"/>
    <w:uiPriority w:val="99"/>
    <w:rsid w:val="00446483"/>
    <w:rPr>
      <w:rFonts w:eastAsiaTheme="minorEastAsia"/>
      <w:sz w:val="20"/>
      <w:szCs w:val="20"/>
      <w:lang w:val="en-US" w:eastAsia="ja-JP"/>
    </w:rPr>
  </w:style>
  <w:style w:type="table" w:styleId="MediumList2-Accent1">
    <w:name w:val="Medium List 2 Accent 1"/>
    <w:basedOn w:val="TableNormal"/>
    <w:uiPriority w:val="66"/>
    <w:rsid w:val="002467F0"/>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276ABB" w:themeColor="accent1"/>
        <w:left w:val="single" w:sz="8" w:space="0" w:color="276ABB" w:themeColor="accent1"/>
        <w:bottom w:val="single" w:sz="8" w:space="0" w:color="276ABB" w:themeColor="accent1"/>
        <w:right w:val="single" w:sz="8" w:space="0" w:color="276ABB" w:themeColor="accent1"/>
      </w:tblBorders>
    </w:tblPr>
    <w:tblStylePr w:type="firstRow">
      <w:rPr>
        <w:sz w:val="24"/>
        <w:szCs w:val="24"/>
      </w:rPr>
      <w:tblPr/>
      <w:tcPr>
        <w:tcBorders>
          <w:top w:val="nil"/>
          <w:left w:val="nil"/>
          <w:bottom w:val="single" w:sz="24" w:space="0" w:color="276ABB" w:themeColor="accent1"/>
          <w:right w:val="nil"/>
          <w:insideH w:val="nil"/>
          <w:insideV w:val="nil"/>
        </w:tcBorders>
        <w:shd w:val="clear" w:color="auto" w:fill="FFFFFF" w:themeFill="background1"/>
      </w:tcPr>
    </w:tblStylePr>
    <w:tblStylePr w:type="lastRow">
      <w:tblPr/>
      <w:tcPr>
        <w:tcBorders>
          <w:top w:val="single" w:sz="8" w:space="0" w:color="276AB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6ABB" w:themeColor="accent1"/>
          <w:insideH w:val="nil"/>
          <w:insideV w:val="nil"/>
        </w:tcBorders>
        <w:shd w:val="clear" w:color="auto" w:fill="FFFFFF" w:themeFill="background1"/>
      </w:tcPr>
    </w:tblStylePr>
    <w:tblStylePr w:type="lastCol">
      <w:tblPr/>
      <w:tcPr>
        <w:tcBorders>
          <w:top w:val="nil"/>
          <w:left w:val="single" w:sz="8" w:space="0" w:color="276AB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D9F3" w:themeFill="accent1" w:themeFillTint="3F"/>
      </w:tcPr>
    </w:tblStylePr>
    <w:tblStylePr w:type="band1Horz">
      <w:tblPr/>
      <w:tcPr>
        <w:tcBorders>
          <w:top w:val="nil"/>
          <w:bottom w:val="nil"/>
          <w:insideH w:val="nil"/>
          <w:insideV w:val="nil"/>
        </w:tcBorders>
        <w:shd w:val="clear" w:color="auto" w:fill="C4D9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next w:val="Normal"/>
    <w:link w:val="TitleChar"/>
    <w:uiPriority w:val="10"/>
    <w:qFormat/>
    <w:rsid w:val="00254DA8"/>
    <w:pPr>
      <w:spacing w:before="360" w:after="120" w:line="264" w:lineRule="auto"/>
    </w:pPr>
    <w:rPr>
      <w:rFonts w:ascii="Segoe UI Semibold" w:hAnsi="Segoe UI Semibold"/>
      <w:color w:val="9AF6FD" w:themeColor="accent6" w:themeTint="66"/>
      <w:sz w:val="44"/>
      <w:szCs w:val="44"/>
    </w:rPr>
  </w:style>
  <w:style w:type="character" w:customStyle="1" w:styleId="TitleChar">
    <w:name w:val="Title Char"/>
    <w:basedOn w:val="DefaultParagraphFont"/>
    <w:link w:val="Title"/>
    <w:uiPriority w:val="10"/>
    <w:rsid w:val="00254DA8"/>
    <w:rPr>
      <w:rFonts w:ascii="Segoe UI Semibold" w:hAnsi="Segoe UI Semibold"/>
      <w:color w:val="9AF6FD" w:themeColor="accent6" w:themeTint="66"/>
      <w:sz w:val="44"/>
      <w:szCs w:val="44"/>
    </w:rPr>
  </w:style>
  <w:style w:type="paragraph" w:customStyle="1" w:styleId="Logo">
    <w:name w:val="Logo"/>
    <w:basedOn w:val="Header"/>
    <w:link w:val="LogoChar"/>
    <w:rsid w:val="004A6B6B"/>
    <w:pPr>
      <w:framePr w:wrap="around" w:vAnchor="page" w:hAnchor="page" w:x="1458" w:y="1521" w:anchorLock="1"/>
    </w:pPr>
    <w:rPr>
      <w:noProof/>
      <w:lang w:eastAsia="en-AU"/>
    </w:rPr>
  </w:style>
  <w:style w:type="paragraph" w:customStyle="1" w:styleId="FooterBanner">
    <w:name w:val="Footer Banner"/>
    <w:basedOn w:val="Footer"/>
    <w:link w:val="FooterBannerChar"/>
    <w:rsid w:val="00A907AB"/>
    <w:pPr>
      <w:framePr w:wrap="around" w:vAnchor="page" w:hAnchor="page" w:y="10978" w:anchorLock="1"/>
    </w:pPr>
    <w:rPr>
      <w:noProof/>
      <w:lang w:eastAsia="en-AU"/>
    </w:rPr>
  </w:style>
  <w:style w:type="character" w:customStyle="1" w:styleId="LogoChar">
    <w:name w:val="Logo Char"/>
    <w:basedOn w:val="HeaderChar"/>
    <w:link w:val="Logo"/>
    <w:rsid w:val="004A6B6B"/>
    <w:rPr>
      <w:rFonts w:ascii="Segoe UI" w:hAnsi="Segoe UI"/>
      <w:noProof/>
      <w:color w:val="0070C0"/>
      <w:sz w:val="18"/>
      <w:lang w:eastAsia="en-AU"/>
    </w:rPr>
  </w:style>
  <w:style w:type="table" w:customStyle="1" w:styleId="Frame">
    <w:name w:val="Frame"/>
    <w:basedOn w:val="TableNormal"/>
    <w:uiPriority w:val="99"/>
    <w:rsid w:val="00A907AB"/>
    <w:pPr>
      <w:spacing w:after="0" w:line="240" w:lineRule="auto"/>
    </w:pPr>
    <w:tblPr>
      <w:tblCellMar>
        <w:left w:w="0" w:type="dxa"/>
        <w:right w:w="0" w:type="dxa"/>
      </w:tblCellMar>
    </w:tblPr>
  </w:style>
  <w:style w:type="character" w:customStyle="1" w:styleId="FooterBannerChar">
    <w:name w:val="Footer Banner Char"/>
    <w:basedOn w:val="FooterChar"/>
    <w:link w:val="FooterBanner"/>
    <w:rsid w:val="00084028"/>
    <w:rPr>
      <w:rFonts w:ascii="Segoe UI" w:hAnsi="Segoe UI"/>
      <w:noProof/>
      <w:color w:val="02747E" w:themeColor="accent6" w:themeShade="80"/>
      <w:sz w:val="18"/>
      <w:lang w:eastAsia="en-AU"/>
    </w:rPr>
  </w:style>
  <w:style w:type="paragraph" w:styleId="NoSpacing">
    <w:name w:val="No Spacing"/>
    <w:uiPriority w:val="1"/>
    <w:unhideWhenUsed/>
    <w:qFormat/>
    <w:rsid w:val="00A907AB"/>
    <w:pPr>
      <w:spacing w:after="0" w:line="240" w:lineRule="auto"/>
    </w:pPr>
    <w:rPr>
      <w:rFonts w:ascii="Segoe UI" w:hAnsi="Segoe UI"/>
    </w:rPr>
  </w:style>
  <w:style w:type="paragraph" w:customStyle="1" w:styleId="TitleBox">
    <w:name w:val="Title Box"/>
    <w:basedOn w:val="Normal"/>
    <w:link w:val="TitleBoxChar"/>
    <w:rsid w:val="004A6B6B"/>
    <w:pPr>
      <w:framePr w:w="11907" w:wrap="notBeside" w:vAnchor="text" w:hAnchor="page" w:y="1" w:anchorLock="1"/>
    </w:pPr>
  </w:style>
  <w:style w:type="character" w:customStyle="1" w:styleId="TitleBoxChar">
    <w:name w:val="Title Box Char"/>
    <w:basedOn w:val="DefaultParagraphFont"/>
    <w:link w:val="TitleBox"/>
    <w:rsid w:val="004A6B6B"/>
    <w:rPr>
      <w:rFonts w:ascii="Segoe UI" w:hAnsi="Segoe UI"/>
    </w:rPr>
  </w:style>
  <w:style w:type="character" w:styleId="FootnoteReference">
    <w:name w:val="footnote reference"/>
    <w:basedOn w:val="DefaultParagraphFont"/>
    <w:uiPriority w:val="99"/>
    <w:unhideWhenUsed/>
    <w:rsid w:val="002351EF"/>
    <w:rPr>
      <w:vertAlign w:val="superscript"/>
    </w:rPr>
  </w:style>
  <w:style w:type="character" w:styleId="FollowedHyperlink">
    <w:name w:val="FollowedHyperlink"/>
    <w:basedOn w:val="DefaultParagraphFont"/>
    <w:uiPriority w:val="99"/>
    <w:semiHidden/>
    <w:unhideWhenUsed/>
    <w:rsid w:val="005556E4"/>
    <w:rPr>
      <w:color w:val="5EAEFF" w:themeColor="followedHyperlink"/>
      <w:u w:val="single"/>
    </w:rPr>
  </w:style>
  <w:style w:type="paragraph" w:customStyle="1" w:styleId="TableText0">
    <w:name w:val="Table Text"/>
    <w:basedOn w:val="Normal"/>
    <w:rsid w:val="005100CC"/>
    <w:pPr>
      <w:spacing w:before="80" w:after="80"/>
    </w:pPr>
    <w:rPr>
      <w:rFonts w:ascii="Verdana" w:eastAsia="Times New Roman" w:hAnsi="Verdana" w:cs="Times New Roman"/>
      <w:sz w:val="20"/>
      <w:szCs w:val="24"/>
      <w:lang w:eastAsia="en-AU"/>
    </w:rPr>
  </w:style>
  <w:style w:type="paragraph" w:customStyle="1" w:styleId="TableHeading">
    <w:name w:val="Table Heading"/>
    <w:basedOn w:val="TableText0"/>
    <w:rsid w:val="005100CC"/>
    <w:pPr>
      <w:keepNext/>
    </w:pPr>
    <w:rPr>
      <w:b/>
    </w:rPr>
  </w:style>
  <w:style w:type="paragraph" w:customStyle="1" w:styleId="TableCaption">
    <w:name w:val="Table Caption"/>
    <w:basedOn w:val="Normal"/>
    <w:next w:val="Normal"/>
    <w:rsid w:val="005100CC"/>
    <w:pPr>
      <w:keepNext/>
      <w:spacing w:before="240" w:after="240"/>
    </w:pPr>
    <w:rPr>
      <w:rFonts w:ascii="Verdana" w:eastAsia="Times New Roman" w:hAnsi="Verdana" w:cs="Times New Roman"/>
      <w:b/>
      <w:sz w:val="20"/>
      <w:szCs w:val="24"/>
      <w:lang w:eastAsia="en-AU"/>
    </w:rPr>
  </w:style>
  <w:style w:type="paragraph" w:styleId="ListBullet">
    <w:name w:val="List Bullet"/>
    <w:basedOn w:val="Normal"/>
    <w:rsid w:val="005100CC"/>
    <w:pPr>
      <w:tabs>
        <w:tab w:val="num" w:pos="567"/>
      </w:tabs>
      <w:spacing w:before="240" w:after="0"/>
      <w:ind w:left="567" w:hanging="567"/>
    </w:pPr>
    <w:rPr>
      <w:rFonts w:ascii="Verdana" w:eastAsia="Times New Roman" w:hAnsi="Verdana" w:cs="Times New Roman"/>
      <w:sz w:val="20"/>
      <w:szCs w:val="24"/>
      <w:lang w:eastAsia="en-AU"/>
    </w:rPr>
  </w:style>
  <w:style w:type="paragraph" w:customStyle="1" w:styleId="Footnote">
    <w:name w:val="Footnote"/>
    <w:next w:val="Normal"/>
    <w:rsid w:val="005100CC"/>
    <w:pPr>
      <w:spacing w:before="60" w:after="60" w:line="240" w:lineRule="auto"/>
    </w:pPr>
    <w:rPr>
      <w:rFonts w:ascii="Verdana" w:eastAsia="Times New Roman" w:hAnsi="Verdana" w:cs="Arial"/>
      <w:bCs/>
      <w:kern w:val="28"/>
      <w:sz w:val="16"/>
      <w:szCs w:val="16"/>
      <w:lang w:eastAsia="en-AU"/>
    </w:rPr>
  </w:style>
  <w:style w:type="paragraph" w:customStyle="1" w:styleId="Figure">
    <w:name w:val="Figure"/>
    <w:basedOn w:val="Normal"/>
    <w:next w:val="ListBullet3"/>
    <w:uiPriority w:val="99"/>
    <w:rsid w:val="00300083"/>
    <w:pPr>
      <w:spacing w:before="240" w:after="0"/>
    </w:pPr>
    <w:rPr>
      <w:rFonts w:ascii="Verdana" w:eastAsia="Times New Roman" w:hAnsi="Verdana" w:cs="Times New Roman"/>
      <w:sz w:val="20"/>
      <w:szCs w:val="24"/>
      <w:lang w:eastAsia="en-AU"/>
    </w:rPr>
  </w:style>
  <w:style w:type="paragraph" w:customStyle="1" w:styleId="CaseStudyHeading">
    <w:name w:val="Case Study Heading"/>
    <w:basedOn w:val="Normal"/>
    <w:next w:val="Normal"/>
    <w:uiPriority w:val="99"/>
    <w:qFormat/>
    <w:rsid w:val="00300083"/>
    <w:pPr>
      <w:spacing w:before="240" w:after="0"/>
    </w:pPr>
    <w:rPr>
      <w:rFonts w:ascii="Verdana" w:eastAsia="Times New Roman" w:hAnsi="Verdana" w:cs="Times New Roman"/>
      <w:b/>
      <w:bCs/>
      <w:sz w:val="20"/>
      <w:szCs w:val="20"/>
      <w:lang w:eastAsia="en-AU"/>
    </w:rPr>
  </w:style>
  <w:style w:type="paragraph" w:styleId="ListBullet3">
    <w:name w:val="List Bullet 3"/>
    <w:basedOn w:val="Normal"/>
    <w:uiPriority w:val="99"/>
    <w:unhideWhenUsed/>
    <w:qFormat/>
    <w:rsid w:val="00300083"/>
    <w:pPr>
      <w:numPr>
        <w:numId w:val="3"/>
      </w:numPr>
      <w:contextualSpacing/>
    </w:pPr>
  </w:style>
  <w:style w:type="character" w:styleId="CommentReference">
    <w:name w:val="annotation reference"/>
    <w:basedOn w:val="DefaultParagraphFont"/>
    <w:uiPriority w:val="99"/>
    <w:unhideWhenUsed/>
    <w:qFormat/>
    <w:rsid w:val="00074693"/>
    <w:rPr>
      <w:sz w:val="16"/>
      <w:szCs w:val="16"/>
    </w:rPr>
  </w:style>
  <w:style w:type="paragraph" w:styleId="CommentText">
    <w:name w:val="annotation text"/>
    <w:basedOn w:val="Normal"/>
    <w:link w:val="CommentTextChar"/>
    <w:uiPriority w:val="99"/>
    <w:unhideWhenUsed/>
    <w:qFormat/>
    <w:rsid w:val="00074693"/>
    <w:rPr>
      <w:sz w:val="20"/>
      <w:szCs w:val="20"/>
    </w:rPr>
  </w:style>
  <w:style w:type="character" w:customStyle="1" w:styleId="CommentTextChar">
    <w:name w:val="Comment Text Char"/>
    <w:basedOn w:val="DefaultParagraphFont"/>
    <w:link w:val="CommentText"/>
    <w:uiPriority w:val="99"/>
    <w:rsid w:val="00074693"/>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074693"/>
    <w:rPr>
      <w:b/>
      <w:bCs/>
    </w:rPr>
  </w:style>
  <w:style w:type="character" w:customStyle="1" w:styleId="CommentSubjectChar">
    <w:name w:val="Comment Subject Char"/>
    <w:basedOn w:val="CommentTextChar"/>
    <w:link w:val="CommentSubject"/>
    <w:uiPriority w:val="99"/>
    <w:semiHidden/>
    <w:rsid w:val="00074693"/>
    <w:rPr>
      <w:rFonts w:ascii="Segoe UI" w:hAnsi="Segoe UI"/>
      <w:b/>
      <w:bCs/>
      <w:sz w:val="20"/>
      <w:szCs w:val="20"/>
    </w:rPr>
  </w:style>
  <w:style w:type="paragraph" w:customStyle="1" w:styleId="Pa47">
    <w:name w:val="Pa47"/>
    <w:basedOn w:val="Normal"/>
    <w:next w:val="Normal"/>
    <w:uiPriority w:val="99"/>
    <w:rsid w:val="00FF0021"/>
    <w:pPr>
      <w:autoSpaceDE w:val="0"/>
      <w:autoSpaceDN w:val="0"/>
      <w:adjustRightInd w:val="0"/>
      <w:spacing w:before="0" w:after="0" w:line="381" w:lineRule="atLeast"/>
    </w:pPr>
    <w:rPr>
      <w:rFonts w:ascii="AGaramond" w:hAnsi="AGaramond"/>
      <w:sz w:val="24"/>
      <w:szCs w:val="24"/>
    </w:rPr>
  </w:style>
  <w:style w:type="paragraph" w:customStyle="1" w:styleId="Pa31">
    <w:name w:val="Pa31"/>
    <w:basedOn w:val="Normal"/>
    <w:next w:val="Normal"/>
    <w:uiPriority w:val="99"/>
    <w:rsid w:val="00FF0021"/>
    <w:pPr>
      <w:autoSpaceDE w:val="0"/>
      <w:autoSpaceDN w:val="0"/>
      <w:adjustRightInd w:val="0"/>
      <w:spacing w:before="0" w:after="0" w:line="201" w:lineRule="atLeast"/>
    </w:pPr>
    <w:rPr>
      <w:rFonts w:ascii="AGaramond" w:hAnsi="AGaramond"/>
      <w:sz w:val="24"/>
      <w:szCs w:val="24"/>
    </w:rPr>
  </w:style>
  <w:style w:type="paragraph" w:customStyle="1" w:styleId="Pa15">
    <w:name w:val="Pa15"/>
    <w:basedOn w:val="Normal"/>
    <w:next w:val="Normal"/>
    <w:uiPriority w:val="99"/>
    <w:rsid w:val="00FF0021"/>
    <w:pPr>
      <w:autoSpaceDE w:val="0"/>
      <w:autoSpaceDN w:val="0"/>
      <w:adjustRightInd w:val="0"/>
      <w:spacing w:before="0" w:after="0" w:line="201" w:lineRule="atLeast"/>
    </w:pPr>
    <w:rPr>
      <w:rFonts w:ascii="AGaramond" w:hAnsi="AGaramond"/>
      <w:sz w:val="24"/>
      <w:szCs w:val="24"/>
    </w:rPr>
  </w:style>
  <w:style w:type="paragraph" w:customStyle="1" w:styleId="Pa26">
    <w:name w:val="Pa26"/>
    <w:basedOn w:val="Normal"/>
    <w:next w:val="Normal"/>
    <w:uiPriority w:val="99"/>
    <w:rsid w:val="00FF0021"/>
    <w:pPr>
      <w:autoSpaceDE w:val="0"/>
      <w:autoSpaceDN w:val="0"/>
      <w:adjustRightInd w:val="0"/>
      <w:spacing w:before="0" w:after="0" w:line="381" w:lineRule="atLeast"/>
    </w:pPr>
    <w:rPr>
      <w:rFonts w:ascii="AGaramond" w:hAnsi="AGaramond"/>
      <w:sz w:val="24"/>
      <w:szCs w:val="24"/>
    </w:rPr>
  </w:style>
  <w:style w:type="paragraph" w:customStyle="1" w:styleId="Pa14">
    <w:name w:val="Pa14"/>
    <w:basedOn w:val="Normal"/>
    <w:next w:val="Normal"/>
    <w:uiPriority w:val="99"/>
    <w:rsid w:val="00FF0021"/>
    <w:pPr>
      <w:autoSpaceDE w:val="0"/>
      <w:autoSpaceDN w:val="0"/>
      <w:adjustRightInd w:val="0"/>
      <w:spacing w:before="0" w:after="0" w:line="161" w:lineRule="atLeast"/>
    </w:pPr>
    <w:rPr>
      <w:rFonts w:ascii="FS Me" w:hAnsi="FS Me"/>
      <w:sz w:val="24"/>
      <w:szCs w:val="24"/>
    </w:rPr>
  </w:style>
  <w:style w:type="paragraph" w:customStyle="1" w:styleId="Pa20">
    <w:name w:val="Pa20"/>
    <w:basedOn w:val="Normal"/>
    <w:next w:val="Normal"/>
    <w:uiPriority w:val="99"/>
    <w:rsid w:val="00FF0021"/>
    <w:pPr>
      <w:autoSpaceDE w:val="0"/>
      <w:autoSpaceDN w:val="0"/>
      <w:adjustRightInd w:val="0"/>
      <w:spacing w:before="0" w:after="0" w:line="141" w:lineRule="atLeast"/>
    </w:pPr>
    <w:rPr>
      <w:rFonts w:ascii="FS Me" w:hAnsi="FS Me"/>
      <w:sz w:val="24"/>
      <w:szCs w:val="24"/>
    </w:rPr>
  </w:style>
  <w:style w:type="paragraph" w:customStyle="1" w:styleId="Pa22">
    <w:name w:val="Pa22"/>
    <w:basedOn w:val="Normal"/>
    <w:next w:val="Normal"/>
    <w:uiPriority w:val="99"/>
    <w:rsid w:val="00FF0021"/>
    <w:pPr>
      <w:autoSpaceDE w:val="0"/>
      <w:autoSpaceDN w:val="0"/>
      <w:adjustRightInd w:val="0"/>
      <w:spacing w:before="0" w:after="0" w:line="141" w:lineRule="atLeast"/>
    </w:pPr>
    <w:rPr>
      <w:rFonts w:ascii="FS Me" w:hAnsi="FS Me"/>
      <w:sz w:val="24"/>
      <w:szCs w:val="24"/>
    </w:rPr>
  </w:style>
  <w:style w:type="character" w:customStyle="1" w:styleId="A29">
    <w:name w:val="A29"/>
    <w:uiPriority w:val="99"/>
    <w:rsid w:val="00FF0021"/>
    <w:rPr>
      <w:rFonts w:cs="FS Me"/>
      <w:b/>
      <w:bCs/>
      <w:color w:val="221E1F"/>
      <w:sz w:val="9"/>
      <w:szCs w:val="9"/>
    </w:rPr>
  </w:style>
  <w:style w:type="character" w:customStyle="1" w:styleId="A4">
    <w:name w:val="A4"/>
    <w:uiPriority w:val="99"/>
    <w:rsid w:val="00FF0021"/>
    <w:rPr>
      <w:rFonts w:ascii="FS Me Light" w:hAnsi="FS Me Light" w:cs="FS Me Light"/>
      <w:color w:val="221E1F"/>
      <w:sz w:val="18"/>
      <w:szCs w:val="18"/>
    </w:rPr>
  </w:style>
  <w:style w:type="character" w:customStyle="1" w:styleId="A15">
    <w:name w:val="A15"/>
    <w:uiPriority w:val="99"/>
    <w:rsid w:val="00FF0021"/>
    <w:rPr>
      <w:rFonts w:cs="AGaramond"/>
      <w:color w:val="221E1F"/>
      <w:sz w:val="13"/>
      <w:szCs w:val="13"/>
    </w:rPr>
  </w:style>
  <w:style w:type="paragraph" w:customStyle="1" w:styleId="Default">
    <w:name w:val="Default"/>
    <w:rsid w:val="00312D96"/>
    <w:pPr>
      <w:autoSpaceDE w:val="0"/>
      <w:autoSpaceDN w:val="0"/>
      <w:adjustRightInd w:val="0"/>
      <w:spacing w:after="0" w:line="240" w:lineRule="auto"/>
    </w:pPr>
    <w:rPr>
      <w:rFonts w:ascii="AGaramond" w:hAnsi="AGaramond" w:cs="AGaramond"/>
      <w:color w:val="000000"/>
      <w:sz w:val="24"/>
      <w:szCs w:val="24"/>
    </w:rPr>
  </w:style>
  <w:style w:type="paragraph" w:customStyle="1" w:styleId="Pa21">
    <w:name w:val="Pa21"/>
    <w:basedOn w:val="Default"/>
    <w:next w:val="Default"/>
    <w:uiPriority w:val="99"/>
    <w:rsid w:val="00312D96"/>
    <w:pPr>
      <w:spacing w:line="141" w:lineRule="atLeast"/>
    </w:pPr>
    <w:rPr>
      <w:rFonts w:cstheme="minorBidi"/>
      <w:color w:val="auto"/>
    </w:rPr>
  </w:style>
  <w:style w:type="paragraph" w:styleId="TOC4">
    <w:name w:val="toc 4"/>
    <w:basedOn w:val="Normal"/>
    <w:next w:val="Normal"/>
    <w:autoRedefine/>
    <w:uiPriority w:val="39"/>
    <w:unhideWhenUsed/>
    <w:rsid w:val="00C54A27"/>
    <w:pPr>
      <w:spacing w:before="0" w:after="100" w:line="276" w:lineRule="auto"/>
      <w:ind w:left="660"/>
    </w:pPr>
    <w:rPr>
      <w:rFonts w:eastAsiaTheme="minorEastAsia"/>
      <w:lang w:eastAsia="en-AU"/>
    </w:rPr>
  </w:style>
  <w:style w:type="paragraph" w:styleId="TOC5">
    <w:name w:val="toc 5"/>
    <w:basedOn w:val="Normal"/>
    <w:next w:val="Normal"/>
    <w:autoRedefine/>
    <w:uiPriority w:val="39"/>
    <w:unhideWhenUsed/>
    <w:rsid w:val="00C54A27"/>
    <w:pPr>
      <w:spacing w:before="0" w:after="100" w:line="276" w:lineRule="auto"/>
      <w:ind w:left="880"/>
    </w:pPr>
    <w:rPr>
      <w:rFonts w:eastAsiaTheme="minorEastAsia"/>
      <w:lang w:eastAsia="en-AU"/>
    </w:rPr>
  </w:style>
  <w:style w:type="paragraph" w:styleId="TOC6">
    <w:name w:val="toc 6"/>
    <w:basedOn w:val="Normal"/>
    <w:next w:val="Normal"/>
    <w:autoRedefine/>
    <w:uiPriority w:val="39"/>
    <w:unhideWhenUsed/>
    <w:rsid w:val="00706F5C"/>
    <w:pPr>
      <w:spacing w:before="0" w:after="100" w:line="276"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706F5C"/>
    <w:pPr>
      <w:spacing w:before="0" w:after="100" w:line="276"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706F5C"/>
    <w:pPr>
      <w:spacing w:before="0" w:after="100" w:line="276"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706F5C"/>
    <w:pPr>
      <w:spacing w:before="0" w:after="100" w:line="276" w:lineRule="auto"/>
      <w:ind w:left="1760"/>
    </w:pPr>
    <w:rPr>
      <w:rFonts w:asciiTheme="minorHAnsi" w:eastAsiaTheme="minorEastAsia" w:hAnsiTheme="minorHAnsi"/>
      <w:lang w:eastAsia="en-AU"/>
    </w:rPr>
  </w:style>
  <w:style w:type="paragraph" w:customStyle="1" w:styleId="Text">
    <w:name w:val="Text"/>
    <w:basedOn w:val="Normal"/>
    <w:link w:val="TextChar"/>
    <w:locked/>
    <w:rsid w:val="001A2662"/>
    <w:pPr>
      <w:spacing w:after="60"/>
      <w:ind w:left="851"/>
    </w:pPr>
    <w:rPr>
      <w:rFonts w:ascii="Arial" w:eastAsia="Times New Roman" w:hAnsi="Arial" w:cs="Times New Roman"/>
      <w:szCs w:val="20"/>
    </w:rPr>
  </w:style>
  <w:style w:type="character" w:customStyle="1" w:styleId="TextChar">
    <w:name w:val="Text Char"/>
    <w:link w:val="Text"/>
    <w:rsid w:val="001A2662"/>
    <w:rPr>
      <w:rFonts w:ascii="Arial" w:eastAsia="Times New Roman" w:hAnsi="Arial" w:cs="Times New Roman"/>
      <w:szCs w:val="20"/>
    </w:rPr>
  </w:style>
  <w:style w:type="paragraph" w:styleId="BodyText">
    <w:name w:val="Body Text"/>
    <w:aliases w:val="Subhead"/>
    <w:basedOn w:val="Normal"/>
    <w:link w:val="BodyTextChar"/>
    <w:rsid w:val="00EF6BBE"/>
    <w:pPr>
      <w:spacing w:before="0" w:after="0"/>
    </w:pPr>
    <w:rPr>
      <w:rFonts w:ascii="Times New Roman" w:eastAsia="Times New Roman" w:hAnsi="Times New Roman" w:cs="Times New Roman"/>
      <w:sz w:val="24"/>
      <w:szCs w:val="20"/>
    </w:rPr>
  </w:style>
  <w:style w:type="character" w:customStyle="1" w:styleId="BodyTextChar">
    <w:name w:val="Body Text Char"/>
    <w:aliases w:val="Subhead Char"/>
    <w:basedOn w:val="DefaultParagraphFont"/>
    <w:link w:val="BodyText"/>
    <w:rsid w:val="00EF6BBE"/>
    <w:rPr>
      <w:rFonts w:ascii="Times New Roman" w:eastAsia="Times New Roman" w:hAnsi="Times New Roman" w:cs="Times New Roman"/>
      <w:sz w:val="24"/>
      <w:szCs w:val="20"/>
    </w:rPr>
  </w:style>
  <w:style w:type="paragraph" w:customStyle="1" w:styleId="Indent15">
    <w:name w:val="Indent 1.5"/>
    <w:basedOn w:val="Normal"/>
    <w:rsid w:val="00EF6BBE"/>
    <w:pPr>
      <w:keepLines/>
      <w:spacing w:before="240" w:after="0"/>
      <w:jc w:val="both"/>
    </w:pPr>
    <w:rPr>
      <w:rFonts w:ascii="Times New Roman" w:eastAsia="Times New Roman" w:hAnsi="Times New Roman" w:cs="Times New Roman"/>
      <w:sz w:val="24"/>
      <w:szCs w:val="20"/>
    </w:rPr>
  </w:style>
  <w:style w:type="paragraph" w:customStyle="1" w:styleId="Partheading">
    <w:name w:val="Part heading"/>
    <w:basedOn w:val="Heading3"/>
    <w:uiPriority w:val="99"/>
    <w:rsid w:val="00EF6BBE"/>
    <w:pPr>
      <w:numPr>
        <w:ilvl w:val="12"/>
      </w:numPr>
      <w:spacing w:after="0"/>
      <w:jc w:val="center"/>
    </w:pPr>
    <w:rPr>
      <w:rFonts w:ascii="Times New Roman" w:eastAsia="Times New Roman" w:hAnsi="Times New Roman" w:cs="Times New Roman"/>
      <w:color w:val="auto"/>
      <w:szCs w:val="20"/>
    </w:rPr>
  </w:style>
  <w:style w:type="numbering" w:customStyle="1" w:styleId="List1">
    <w:name w:val="List1"/>
    <w:basedOn w:val="NoList"/>
    <w:uiPriority w:val="99"/>
    <w:rsid w:val="00B40C0D"/>
    <w:pPr>
      <w:numPr>
        <w:numId w:val="7"/>
      </w:numPr>
    </w:pPr>
  </w:style>
  <w:style w:type="paragraph" w:styleId="ListNumber">
    <w:name w:val="List Number"/>
    <w:basedOn w:val="Normal"/>
    <w:uiPriority w:val="9"/>
    <w:qFormat/>
    <w:rsid w:val="001F2F0B"/>
    <w:pPr>
      <w:numPr>
        <w:numId w:val="13"/>
      </w:numPr>
    </w:pPr>
    <w:rPr>
      <w:rFonts w:eastAsia="Calibri" w:cs="Times New Roman"/>
      <w:i/>
    </w:rPr>
  </w:style>
  <w:style w:type="paragraph" w:styleId="ListBullet2">
    <w:name w:val="List Bullet 2"/>
    <w:basedOn w:val="Normal"/>
    <w:uiPriority w:val="8"/>
    <w:rsid w:val="00B40C0D"/>
    <w:pPr>
      <w:ind w:left="794" w:hanging="369"/>
      <w:contextualSpacing/>
    </w:pPr>
    <w:rPr>
      <w:rFonts w:ascii="Cambria" w:eastAsia="Calibri" w:hAnsi="Cambria" w:cs="Times New Roman"/>
    </w:rPr>
  </w:style>
  <w:style w:type="paragraph" w:styleId="ListNumber2">
    <w:name w:val="List Number 2"/>
    <w:uiPriority w:val="10"/>
    <w:qFormat/>
    <w:rsid w:val="00B40C0D"/>
    <w:pPr>
      <w:numPr>
        <w:ilvl w:val="1"/>
        <w:numId w:val="13"/>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B40C0D"/>
    <w:pPr>
      <w:numPr>
        <w:ilvl w:val="2"/>
        <w:numId w:val="13"/>
      </w:numPr>
      <w:spacing w:before="120" w:after="120" w:line="264" w:lineRule="auto"/>
    </w:pPr>
    <w:rPr>
      <w:rFonts w:ascii="Cambria" w:eastAsia="Times New Roman" w:hAnsi="Cambria" w:cs="Times New Roman"/>
      <w:szCs w:val="24"/>
    </w:rPr>
  </w:style>
  <w:style w:type="paragraph" w:customStyle="1" w:styleId="DisseminationLimitingMarker">
    <w:name w:val="Dissemination Limiting Marker"/>
    <w:next w:val="Normal"/>
    <w:uiPriority w:val="27"/>
    <w:rsid w:val="00B40C0D"/>
    <w:pPr>
      <w:tabs>
        <w:tab w:val="center" w:pos="4820"/>
      </w:tabs>
      <w:spacing w:after="0" w:line="240" w:lineRule="auto"/>
      <w:jc w:val="center"/>
    </w:pPr>
    <w:rPr>
      <w:rFonts w:ascii="Calibri" w:eastAsia="Calibri" w:hAnsi="Calibri" w:cs="Times New Roman"/>
      <w:b/>
      <w:color w:val="FF0000"/>
      <w:sz w:val="36"/>
      <w:szCs w:val="36"/>
    </w:rPr>
  </w:style>
  <w:style w:type="character" w:styleId="Strong">
    <w:name w:val="Strong"/>
    <w:aliases w:val="Bold"/>
    <w:basedOn w:val="DefaultParagraphFont"/>
    <w:uiPriority w:val="22"/>
    <w:qFormat/>
    <w:rsid w:val="00B40C0D"/>
    <w:rPr>
      <w:b/>
      <w:bCs/>
    </w:rPr>
  </w:style>
  <w:style w:type="character" w:styleId="Emphasis">
    <w:name w:val="Emphasis"/>
    <w:basedOn w:val="DefaultParagraphFont"/>
    <w:uiPriority w:val="20"/>
    <w:qFormat/>
    <w:rsid w:val="00B40C0D"/>
    <w:rPr>
      <w:i/>
      <w:iCs/>
    </w:rPr>
  </w:style>
  <w:style w:type="paragraph" w:styleId="Quote">
    <w:name w:val="Quote"/>
    <w:basedOn w:val="Normal"/>
    <w:next w:val="Normal"/>
    <w:link w:val="QuoteChar"/>
    <w:uiPriority w:val="18"/>
    <w:qFormat/>
    <w:rsid w:val="00B40C0D"/>
    <w:pPr>
      <w:spacing w:after="0"/>
      <w:ind w:left="709" w:right="567"/>
    </w:pPr>
    <w:rPr>
      <w:rFonts w:ascii="Cambria" w:eastAsia="Times New Roman" w:hAnsi="Cambria" w:cs="Times New Roman"/>
      <w:iCs/>
      <w:color w:val="000000"/>
      <w:sz w:val="20"/>
      <w:szCs w:val="24"/>
    </w:rPr>
  </w:style>
  <w:style w:type="character" w:customStyle="1" w:styleId="QuoteChar">
    <w:name w:val="Quote Char"/>
    <w:basedOn w:val="DefaultParagraphFont"/>
    <w:link w:val="Quote"/>
    <w:uiPriority w:val="18"/>
    <w:rsid w:val="00B40C0D"/>
    <w:rPr>
      <w:rFonts w:ascii="Cambria" w:eastAsia="Times New Roman" w:hAnsi="Cambria" w:cs="Times New Roman"/>
      <w:iCs/>
      <w:color w:val="000000"/>
      <w:sz w:val="20"/>
      <w:szCs w:val="24"/>
    </w:rPr>
  </w:style>
  <w:style w:type="paragraph" w:styleId="TOCHeading">
    <w:name w:val="TOC Heading"/>
    <w:next w:val="Normal"/>
    <w:uiPriority w:val="39"/>
    <w:qFormat/>
    <w:rsid w:val="00B40C0D"/>
    <w:pPr>
      <w:pageBreakBefore/>
      <w:spacing w:before="480" w:after="0"/>
    </w:pPr>
    <w:rPr>
      <w:rFonts w:ascii="Calibri" w:eastAsiaTheme="minorEastAsia" w:hAnsi="Calibri"/>
      <w:bCs/>
      <w:color w:val="000000"/>
      <w:sz w:val="56"/>
      <w:szCs w:val="28"/>
      <w:lang w:eastAsia="ja-JP"/>
    </w:rPr>
  </w:style>
  <w:style w:type="paragraph" w:customStyle="1" w:styleId="Footeraddress">
    <w:name w:val="Footer address"/>
    <w:basedOn w:val="Normal"/>
    <w:next w:val="ListBullet2"/>
    <w:semiHidden/>
    <w:qFormat/>
    <w:rsid w:val="00B40C0D"/>
    <w:pPr>
      <w:tabs>
        <w:tab w:val="center" w:pos="4536"/>
      </w:tabs>
      <w:jc w:val="center"/>
    </w:pPr>
    <w:rPr>
      <w:rFonts w:ascii="Cambria" w:eastAsia="Calibri" w:hAnsi="Cambria" w:cs="Times New Roman"/>
      <w:sz w:val="16"/>
    </w:rPr>
  </w:style>
  <w:style w:type="paragraph" w:customStyle="1" w:styleId="BoxText">
    <w:name w:val="Box Text"/>
    <w:basedOn w:val="Normal"/>
    <w:uiPriority w:val="19"/>
    <w:qFormat/>
    <w:rsid w:val="00B40C0D"/>
    <w:pPr>
      <w:pBdr>
        <w:top w:val="single" w:sz="4" w:space="10" w:color="auto"/>
        <w:left w:val="single" w:sz="4" w:space="10" w:color="auto"/>
        <w:bottom w:val="single" w:sz="4" w:space="10" w:color="auto"/>
        <w:right w:val="single" w:sz="4" w:space="10" w:color="auto"/>
      </w:pBdr>
    </w:pPr>
    <w:rPr>
      <w:rFonts w:ascii="Cambria" w:eastAsia="Calibri" w:hAnsi="Cambria" w:cs="Times New Roman"/>
      <w:sz w:val="20"/>
    </w:rPr>
  </w:style>
  <w:style w:type="paragraph" w:customStyle="1" w:styleId="FigureTableNoteSource">
    <w:name w:val="Figure/Table Note/Source"/>
    <w:basedOn w:val="Normal"/>
    <w:next w:val="Normal"/>
    <w:uiPriority w:val="16"/>
    <w:qFormat/>
    <w:rsid w:val="00B40C0D"/>
    <w:pPr>
      <w:spacing w:after="0" w:line="264" w:lineRule="auto"/>
      <w:contextualSpacing/>
    </w:pPr>
    <w:rPr>
      <w:rFonts w:ascii="Cambria" w:eastAsia="Calibri" w:hAnsi="Cambria" w:cs="Times New Roman"/>
      <w:sz w:val="18"/>
    </w:rPr>
  </w:style>
  <w:style w:type="paragraph" w:customStyle="1" w:styleId="BasicParagraph">
    <w:name w:val="[Basic Paragraph]"/>
    <w:basedOn w:val="Normal"/>
    <w:uiPriority w:val="99"/>
    <w:rsid w:val="00B40C0D"/>
    <w:pPr>
      <w:widowControl w:val="0"/>
      <w:autoSpaceDE w:val="0"/>
      <w:autoSpaceDN w:val="0"/>
      <w:adjustRightInd w:val="0"/>
      <w:spacing w:before="0" w:after="0" w:line="288" w:lineRule="auto"/>
      <w:textAlignment w:val="center"/>
    </w:pPr>
    <w:rPr>
      <w:rFonts w:ascii="MinionPro-Regular" w:eastAsiaTheme="minorEastAsia" w:hAnsi="MinionPro-Regular" w:cs="MinionPro-Regular"/>
      <w:color w:val="000000"/>
      <w:sz w:val="24"/>
      <w:szCs w:val="24"/>
      <w:lang w:val="en-US"/>
    </w:rPr>
  </w:style>
  <w:style w:type="numbering" w:customStyle="1" w:styleId="Headings">
    <w:name w:val="Headings"/>
    <w:uiPriority w:val="99"/>
    <w:rsid w:val="00B40C0D"/>
    <w:pPr>
      <w:numPr>
        <w:numId w:val="14"/>
      </w:numPr>
    </w:pPr>
  </w:style>
  <w:style w:type="paragraph" w:customStyle="1" w:styleId="Preliminarycontentheading">
    <w:name w:val="Preliminary content heading"/>
    <w:link w:val="PreliminarycontentheadingChar"/>
    <w:uiPriority w:val="28"/>
    <w:qFormat/>
    <w:rsid w:val="00B40C0D"/>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B40C0D"/>
    <w:rPr>
      <w:rFonts w:ascii="Calibri" w:eastAsia="Times New Roman" w:hAnsi="Calibri" w:cs="Times New Roman"/>
      <w:bCs/>
      <w:color w:val="000000"/>
      <w:sz w:val="56"/>
      <w:szCs w:val="28"/>
      <w:lang w:eastAsia="ja-JP"/>
    </w:rPr>
  </w:style>
  <w:style w:type="paragraph" w:customStyle="1" w:styleId="BoxTextBullet">
    <w:name w:val="Box Text Bullet"/>
    <w:basedOn w:val="BoxText"/>
    <w:uiPriority w:val="21"/>
    <w:qFormat/>
    <w:rsid w:val="00B40C0D"/>
    <w:pPr>
      <w:numPr>
        <w:numId w:val="8"/>
      </w:numPr>
      <w:tabs>
        <w:tab w:val="left" w:pos="227"/>
      </w:tabs>
      <w:ind w:left="0" w:firstLine="0"/>
    </w:pPr>
  </w:style>
  <w:style w:type="paragraph" w:customStyle="1" w:styleId="TableBullet">
    <w:name w:val="Table Bullet"/>
    <w:basedOn w:val="TableText0"/>
    <w:uiPriority w:val="15"/>
    <w:qFormat/>
    <w:rsid w:val="00B40C0D"/>
    <w:pPr>
      <w:numPr>
        <w:numId w:val="9"/>
      </w:numPr>
      <w:spacing w:before="60" w:after="60"/>
    </w:pPr>
    <w:rPr>
      <w:rFonts w:ascii="Cambria" w:eastAsia="Calibri" w:hAnsi="Cambria"/>
      <w:sz w:val="18"/>
      <w:szCs w:val="22"/>
      <w:lang w:eastAsia="en-US"/>
    </w:rPr>
  </w:style>
  <w:style w:type="paragraph" w:customStyle="1" w:styleId="BoxHeading">
    <w:name w:val="Box Heading"/>
    <w:basedOn w:val="BoxText"/>
    <w:uiPriority w:val="20"/>
    <w:qFormat/>
    <w:rsid w:val="00B40C0D"/>
    <w:rPr>
      <w:b/>
    </w:rPr>
  </w:style>
  <w:style w:type="paragraph" w:customStyle="1" w:styleId="Securityclassification">
    <w:name w:val="Security classification"/>
    <w:basedOn w:val="Normal"/>
    <w:uiPriority w:val="26"/>
    <w:qFormat/>
    <w:rsid w:val="00B40C0D"/>
    <w:pPr>
      <w:tabs>
        <w:tab w:val="center" w:pos="4820"/>
      </w:tabs>
      <w:spacing w:after="0"/>
      <w:jc w:val="center"/>
    </w:pPr>
    <w:rPr>
      <w:rFonts w:ascii="Cambria" w:eastAsia="Calibri" w:hAnsi="Cambria" w:cs="Times New Roman"/>
      <w:b/>
      <w:caps/>
      <w:color w:val="FF0000"/>
      <w:sz w:val="36"/>
      <w:szCs w:val="36"/>
    </w:rPr>
  </w:style>
  <w:style w:type="paragraph" w:customStyle="1" w:styleId="BoxSource">
    <w:name w:val="Box Source"/>
    <w:basedOn w:val="FigureTableNoteSource"/>
    <w:uiPriority w:val="22"/>
    <w:qFormat/>
    <w:rsid w:val="00B40C0D"/>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rsid w:val="00B40C0D"/>
    <w:pPr>
      <w:pageBreakBefore/>
      <w:numPr>
        <w:numId w:val="16"/>
      </w:numPr>
      <w:spacing w:after="240" w:line="240" w:lineRule="auto"/>
    </w:pPr>
    <w:rPr>
      <w:rFonts w:eastAsia="Times New Roman" w:cs="Times New Roman"/>
      <w:b/>
      <w:bCs/>
      <w:sz w:val="56"/>
      <w:szCs w:val="24"/>
    </w:rPr>
  </w:style>
  <w:style w:type="numbering" w:customStyle="1" w:styleId="Appendix">
    <w:name w:val="Appendix"/>
    <w:uiPriority w:val="99"/>
    <w:rsid w:val="00B40C0D"/>
    <w:pPr>
      <w:numPr>
        <w:numId w:val="15"/>
      </w:numPr>
    </w:pPr>
  </w:style>
  <w:style w:type="numbering" w:customStyle="1" w:styleId="ListBullets">
    <w:name w:val="ListBullets"/>
    <w:uiPriority w:val="99"/>
    <w:rsid w:val="00B40C0D"/>
    <w:pPr>
      <w:numPr>
        <w:numId w:val="10"/>
      </w:numPr>
    </w:pPr>
  </w:style>
  <w:style w:type="paragraph" w:styleId="ListBullet4">
    <w:name w:val="List Bullet 4"/>
    <w:basedOn w:val="Normal"/>
    <w:uiPriority w:val="99"/>
    <w:unhideWhenUsed/>
    <w:rsid w:val="00B40C0D"/>
    <w:pPr>
      <w:numPr>
        <w:numId w:val="11"/>
      </w:numPr>
      <w:spacing w:after="0"/>
      <w:contextualSpacing/>
    </w:pPr>
    <w:rPr>
      <w:rFonts w:ascii="Cambria" w:eastAsia="Calibri" w:hAnsi="Cambria" w:cs="Times New Roman"/>
    </w:rPr>
  </w:style>
  <w:style w:type="numbering" w:customStyle="1" w:styleId="ListNumbers">
    <w:name w:val="ListNumbers"/>
    <w:uiPriority w:val="99"/>
    <w:rsid w:val="00B40C0D"/>
    <w:pPr>
      <w:numPr>
        <w:numId w:val="12"/>
      </w:numPr>
    </w:pPr>
  </w:style>
  <w:style w:type="paragraph" w:customStyle="1" w:styleId="Picture">
    <w:name w:val="Picture"/>
    <w:rsid w:val="00B40C0D"/>
    <w:pPr>
      <w:spacing w:after="0" w:line="240" w:lineRule="auto"/>
    </w:pPr>
    <w:rPr>
      <w:rFonts w:ascii="Calibri" w:eastAsiaTheme="minorEastAsia" w:hAnsi="Calibri"/>
      <w:bCs/>
      <w:color w:val="000000"/>
      <w:szCs w:val="28"/>
      <w:lang w:eastAsia="ja-JP"/>
    </w:rPr>
  </w:style>
  <w:style w:type="paragraph" w:styleId="Subtitle">
    <w:name w:val="Subtitle"/>
    <w:basedOn w:val="Normal"/>
    <w:next w:val="Normal"/>
    <w:link w:val="SubtitleChar"/>
    <w:uiPriority w:val="23"/>
    <w:qFormat/>
    <w:rsid w:val="00B40C0D"/>
    <w:pPr>
      <w:spacing w:after="0"/>
      <w:ind w:left="1701"/>
    </w:pPr>
    <w:rPr>
      <w:rFonts w:ascii="Cambria" w:eastAsia="Calibri" w:hAnsi="Cambria" w:cs="Times New Roman"/>
      <w:sz w:val="40"/>
      <w:szCs w:val="40"/>
      <w:lang w:eastAsia="ja-JP"/>
    </w:rPr>
  </w:style>
  <w:style w:type="character" w:customStyle="1" w:styleId="SubtitleChar">
    <w:name w:val="Subtitle Char"/>
    <w:basedOn w:val="DefaultParagraphFont"/>
    <w:link w:val="Subtitle"/>
    <w:uiPriority w:val="23"/>
    <w:rsid w:val="00B40C0D"/>
    <w:rPr>
      <w:rFonts w:ascii="Cambria" w:eastAsia="Calibri" w:hAnsi="Cambria" w:cs="Times New Roman"/>
      <w:sz w:val="40"/>
      <w:szCs w:val="40"/>
      <w:lang w:eastAsia="ja-JP"/>
    </w:rPr>
  </w:style>
  <w:style w:type="paragraph" w:styleId="Date">
    <w:name w:val="Date"/>
    <w:basedOn w:val="Normal"/>
    <w:next w:val="Normal"/>
    <w:link w:val="DateChar"/>
    <w:uiPriority w:val="99"/>
    <w:unhideWhenUsed/>
    <w:rsid w:val="00B40C0D"/>
    <w:pPr>
      <w:pBdr>
        <w:top w:val="single" w:sz="4" w:space="1" w:color="auto"/>
      </w:pBdr>
      <w:spacing w:after="0"/>
      <w:ind w:left="1701"/>
      <w:jc w:val="right"/>
    </w:pPr>
    <w:rPr>
      <w:rFonts w:ascii="Cambria" w:eastAsia="Calibri" w:hAnsi="Cambria" w:cs="Times New Roman"/>
      <w:sz w:val="28"/>
      <w:szCs w:val="28"/>
    </w:rPr>
  </w:style>
  <w:style w:type="character" w:customStyle="1" w:styleId="DateChar">
    <w:name w:val="Date Char"/>
    <w:basedOn w:val="DefaultParagraphFont"/>
    <w:link w:val="Date"/>
    <w:uiPriority w:val="99"/>
    <w:rsid w:val="00B40C0D"/>
    <w:rPr>
      <w:rFonts w:ascii="Cambria" w:eastAsia="Calibri" w:hAnsi="Cambria" w:cs="Times New Roman"/>
      <w:sz w:val="28"/>
      <w:szCs w:val="28"/>
    </w:rPr>
  </w:style>
  <w:style w:type="paragraph" w:customStyle="1" w:styleId="AppendixHeading2">
    <w:name w:val="Appendix Heading 2"/>
    <w:rsid w:val="00B40C0D"/>
    <w:pPr>
      <w:numPr>
        <w:ilvl w:val="1"/>
        <w:numId w:val="16"/>
      </w:numPr>
      <w:spacing w:after="0" w:line="240" w:lineRule="auto"/>
    </w:pPr>
    <w:rPr>
      <w:rFonts w:eastAsia="Times New Roman" w:cs="Times New Roman"/>
      <w:b/>
      <w:bCs/>
      <w:sz w:val="32"/>
      <w:szCs w:val="24"/>
    </w:rPr>
  </w:style>
  <w:style w:type="paragraph" w:customStyle="1" w:styleId="AppendixHeading3">
    <w:name w:val="Appendix Heading 3"/>
    <w:rsid w:val="00B40C0D"/>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rsid w:val="00B40C0D"/>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rsid w:val="00B40C0D"/>
  </w:style>
  <w:style w:type="paragraph" w:styleId="Revision">
    <w:name w:val="Revision"/>
    <w:hidden/>
    <w:uiPriority w:val="99"/>
    <w:semiHidden/>
    <w:rsid w:val="00B40C0D"/>
    <w:pPr>
      <w:spacing w:after="0" w:line="240" w:lineRule="auto"/>
    </w:pPr>
    <w:rPr>
      <w:rFonts w:ascii="Cambria" w:eastAsia="Calibri" w:hAnsi="Cambria" w:cs="Times New Roman"/>
    </w:rPr>
  </w:style>
  <w:style w:type="paragraph" w:customStyle="1" w:styleId="font5">
    <w:name w:val="font5"/>
    <w:basedOn w:val="Normal"/>
    <w:rsid w:val="00B40C0D"/>
    <w:pPr>
      <w:spacing w:before="100" w:beforeAutospacing="1" w:after="100" w:afterAutospacing="1"/>
    </w:pPr>
    <w:rPr>
      <w:rFonts w:ascii="Calibri" w:eastAsia="Times New Roman" w:hAnsi="Calibri" w:cs="Times New Roman"/>
      <w:color w:val="000000"/>
      <w:sz w:val="20"/>
      <w:szCs w:val="20"/>
      <w:lang w:eastAsia="en-AU"/>
    </w:rPr>
  </w:style>
  <w:style w:type="paragraph" w:customStyle="1" w:styleId="font6">
    <w:name w:val="font6"/>
    <w:basedOn w:val="Normal"/>
    <w:rsid w:val="00B40C0D"/>
    <w:pPr>
      <w:spacing w:before="100" w:beforeAutospacing="1" w:after="100" w:afterAutospacing="1"/>
    </w:pPr>
    <w:rPr>
      <w:rFonts w:ascii="Calibri" w:eastAsia="Times New Roman" w:hAnsi="Calibri" w:cs="Times New Roman"/>
      <w:b/>
      <w:bCs/>
      <w:color w:val="000000"/>
      <w:sz w:val="20"/>
      <w:szCs w:val="20"/>
      <w:lang w:eastAsia="en-AU"/>
    </w:rPr>
  </w:style>
  <w:style w:type="paragraph" w:customStyle="1" w:styleId="font7">
    <w:name w:val="font7"/>
    <w:basedOn w:val="Normal"/>
    <w:rsid w:val="00B40C0D"/>
    <w:pPr>
      <w:spacing w:before="100" w:beforeAutospacing="1" w:after="100" w:afterAutospacing="1"/>
    </w:pPr>
    <w:rPr>
      <w:rFonts w:ascii="Calibri" w:eastAsia="Times New Roman" w:hAnsi="Calibri" w:cs="Times New Roman"/>
      <w:b/>
      <w:bCs/>
      <w:color w:val="000000"/>
      <w:sz w:val="20"/>
      <w:szCs w:val="20"/>
      <w:lang w:eastAsia="en-AU"/>
    </w:rPr>
  </w:style>
  <w:style w:type="paragraph" w:customStyle="1" w:styleId="font8">
    <w:name w:val="font8"/>
    <w:basedOn w:val="Normal"/>
    <w:rsid w:val="00B40C0D"/>
    <w:pPr>
      <w:spacing w:before="100" w:beforeAutospacing="1" w:after="100" w:afterAutospacing="1"/>
    </w:pPr>
    <w:rPr>
      <w:rFonts w:ascii="Calibri" w:eastAsia="Times New Roman" w:hAnsi="Calibri" w:cs="Times New Roman"/>
      <w:color w:val="000000"/>
      <w:sz w:val="20"/>
      <w:szCs w:val="20"/>
      <w:lang w:eastAsia="en-AU"/>
    </w:rPr>
  </w:style>
  <w:style w:type="paragraph" w:customStyle="1" w:styleId="font9">
    <w:name w:val="font9"/>
    <w:basedOn w:val="Normal"/>
    <w:rsid w:val="00B40C0D"/>
    <w:pPr>
      <w:spacing w:before="100" w:beforeAutospacing="1" w:after="100" w:afterAutospacing="1"/>
    </w:pPr>
    <w:rPr>
      <w:rFonts w:ascii="Calibri" w:eastAsia="Times New Roman" w:hAnsi="Calibri" w:cs="Times New Roman"/>
      <w:sz w:val="20"/>
      <w:szCs w:val="20"/>
      <w:lang w:eastAsia="en-AU"/>
    </w:rPr>
  </w:style>
  <w:style w:type="paragraph" w:customStyle="1" w:styleId="font10">
    <w:name w:val="font10"/>
    <w:basedOn w:val="Normal"/>
    <w:rsid w:val="00B40C0D"/>
    <w:pPr>
      <w:spacing w:before="100" w:beforeAutospacing="1" w:after="100" w:afterAutospacing="1"/>
    </w:pPr>
    <w:rPr>
      <w:rFonts w:ascii="Calibri" w:eastAsia="Times New Roman" w:hAnsi="Calibri" w:cs="Times New Roman"/>
      <w:sz w:val="20"/>
      <w:szCs w:val="20"/>
      <w:lang w:eastAsia="en-AU"/>
    </w:rPr>
  </w:style>
  <w:style w:type="paragraph" w:customStyle="1" w:styleId="xl66">
    <w:name w:val="xl66"/>
    <w:basedOn w:val="Normal"/>
    <w:rsid w:val="00B40C0D"/>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67">
    <w:name w:val="xl67"/>
    <w:basedOn w:val="Normal"/>
    <w:rsid w:val="00B40C0D"/>
    <w:pPr>
      <w:pBdr>
        <w:top w:val="single" w:sz="4" w:space="0" w:color="auto"/>
        <w:left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68">
    <w:name w:val="xl68"/>
    <w:basedOn w:val="Normal"/>
    <w:rsid w:val="00B40C0D"/>
    <w:pPr>
      <w:pBdr>
        <w:top w:val="single" w:sz="4" w:space="0" w:color="auto"/>
        <w:left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cs="Times New Roman"/>
      <w:b/>
      <w:bCs/>
      <w:sz w:val="20"/>
      <w:szCs w:val="20"/>
      <w:lang w:eastAsia="en-AU"/>
    </w:rPr>
  </w:style>
  <w:style w:type="paragraph" w:customStyle="1" w:styleId="xl69">
    <w:name w:val="xl69"/>
    <w:basedOn w:val="Normal"/>
    <w:rsid w:val="00B40C0D"/>
    <w:pPr>
      <w:pBdr>
        <w:top w:val="single" w:sz="4" w:space="0" w:color="auto"/>
        <w:lef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eastAsia="en-AU"/>
    </w:rPr>
  </w:style>
  <w:style w:type="paragraph" w:customStyle="1" w:styleId="xl70">
    <w:name w:val="xl70"/>
    <w:basedOn w:val="Normal"/>
    <w:rsid w:val="00B40C0D"/>
    <w:pPr>
      <w:pBdr>
        <w:top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eastAsia="en-AU"/>
    </w:rPr>
  </w:style>
  <w:style w:type="paragraph" w:customStyle="1" w:styleId="xl71">
    <w:name w:val="xl71"/>
    <w:basedOn w:val="Normal"/>
    <w:rsid w:val="00B40C0D"/>
    <w:pPr>
      <w:pBdr>
        <w:top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eastAsia="en-AU"/>
    </w:rPr>
  </w:style>
  <w:style w:type="paragraph" w:customStyle="1" w:styleId="xl72">
    <w:name w:val="xl72"/>
    <w:basedOn w:val="Normal"/>
    <w:rsid w:val="00B40C0D"/>
    <w:pPr>
      <w:pBdr>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73">
    <w:name w:val="xl73"/>
    <w:basedOn w:val="Normal"/>
    <w:rsid w:val="00B40C0D"/>
    <w:pPr>
      <w:pBdr>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cs="Times New Roman"/>
      <w:b/>
      <w:bCs/>
      <w:sz w:val="20"/>
      <w:szCs w:val="20"/>
      <w:lang w:eastAsia="en-AU"/>
    </w:rPr>
  </w:style>
  <w:style w:type="paragraph" w:customStyle="1" w:styleId="xl74">
    <w:name w:val="xl74"/>
    <w:basedOn w:val="Normal"/>
    <w:rsid w:val="00B40C0D"/>
    <w:pPr>
      <w:pBdr>
        <w:left w:val="single" w:sz="4" w:space="0" w:color="auto"/>
        <w:bottom w:val="single" w:sz="4" w:space="0" w:color="auto"/>
      </w:pBdr>
      <w:shd w:val="clear" w:color="000000" w:fill="D9D9D9"/>
      <w:spacing w:before="100" w:beforeAutospacing="1" w:after="100" w:afterAutospacing="1"/>
      <w:jc w:val="right"/>
    </w:pPr>
    <w:rPr>
      <w:rFonts w:ascii="Times New Roman" w:eastAsia="Times New Roman" w:hAnsi="Times New Roman" w:cs="Times New Roman"/>
      <w:sz w:val="20"/>
      <w:szCs w:val="20"/>
      <w:lang w:eastAsia="en-AU"/>
    </w:rPr>
  </w:style>
  <w:style w:type="paragraph" w:customStyle="1" w:styleId="xl75">
    <w:name w:val="xl75"/>
    <w:basedOn w:val="Normal"/>
    <w:rsid w:val="00B40C0D"/>
    <w:pPr>
      <w:pBdr>
        <w:bottom w:val="single" w:sz="4" w:space="0" w:color="auto"/>
      </w:pBdr>
      <w:shd w:val="clear" w:color="000000" w:fill="D9D9D9"/>
      <w:spacing w:before="100" w:beforeAutospacing="1" w:after="100" w:afterAutospacing="1"/>
      <w:jc w:val="right"/>
    </w:pPr>
    <w:rPr>
      <w:rFonts w:ascii="Times New Roman" w:eastAsia="Times New Roman" w:hAnsi="Times New Roman" w:cs="Times New Roman"/>
      <w:sz w:val="20"/>
      <w:szCs w:val="20"/>
      <w:lang w:eastAsia="en-AU"/>
    </w:rPr>
  </w:style>
  <w:style w:type="paragraph" w:customStyle="1" w:styleId="xl76">
    <w:name w:val="xl76"/>
    <w:basedOn w:val="Normal"/>
    <w:rsid w:val="00B40C0D"/>
    <w:pPr>
      <w:pBdr>
        <w:bottom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cs="Times New Roman"/>
      <w:b/>
      <w:bCs/>
      <w:sz w:val="20"/>
      <w:szCs w:val="20"/>
      <w:lang w:eastAsia="en-AU"/>
    </w:rPr>
  </w:style>
  <w:style w:type="paragraph" w:customStyle="1" w:styleId="xl77">
    <w:name w:val="xl77"/>
    <w:basedOn w:val="Normal"/>
    <w:rsid w:val="00B40C0D"/>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78">
    <w:name w:val="xl78"/>
    <w:basedOn w:val="Normal"/>
    <w:rsid w:val="00B40C0D"/>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79">
    <w:name w:val="xl79"/>
    <w:basedOn w:val="Normal"/>
    <w:rsid w:val="00B40C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80">
    <w:name w:val="xl80"/>
    <w:basedOn w:val="Normal"/>
    <w:rsid w:val="00B40C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1">
    <w:name w:val="xl81"/>
    <w:basedOn w:val="Normal"/>
    <w:rsid w:val="00B40C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2">
    <w:name w:val="xl82"/>
    <w:basedOn w:val="Normal"/>
    <w:rsid w:val="00B40C0D"/>
    <w:pPr>
      <w:shd w:val="clear" w:color="000000" w:fill="D9D9D9"/>
      <w:spacing w:before="100" w:beforeAutospacing="1" w:after="100" w:afterAutospacing="1"/>
    </w:pPr>
    <w:rPr>
      <w:rFonts w:ascii="Times New Roman" w:eastAsia="Times New Roman" w:hAnsi="Times New Roman" w:cs="Times New Roman"/>
      <w:sz w:val="20"/>
      <w:szCs w:val="20"/>
      <w:lang w:eastAsia="en-AU"/>
    </w:rPr>
  </w:style>
  <w:style w:type="paragraph" w:customStyle="1" w:styleId="xl83">
    <w:name w:val="xl83"/>
    <w:basedOn w:val="Normal"/>
    <w:rsid w:val="00B40C0D"/>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4">
    <w:name w:val="xl84"/>
    <w:basedOn w:val="Normal"/>
    <w:rsid w:val="00B40C0D"/>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5">
    <w:name w:val="xl85"/>
    <w:basedOn w:val="Normal"/>
    <w:rsid w:val="00B40C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6">
    <w:name w:val="xl86"/>
    <w:basedOn w:val="Normal"/>
    <w:rsid w:val="00B40C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7">
    <w:name w:val="xl87"/>
    <w:basedOn w:val="Normal"/>
    <w:rsid w:val="00B40C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8">
    <w:name w:val="xl88"/>
    <w:basedOn w:val="Normal"/>
    <w:rsid w:val="00B40C0D"/>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9">
    <w:name w:val="xl89"/>
    <w:basedOn w:val="Normal"/>
    <w:rsid w:val="00B40C0D"/>
    <w:pPr>
      <w:pBdr>
        <w:top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90">
    <w:name w:val="xl90"/>
    <w:basedOn w:val="Normal"/>
    <w:rsid w:val="00B40C0D"/>
    <w:pPr>
      <w:pBdr>
        <w:lef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91">
    <w:name w:val="xl91"/>
    <w:basedOn w:val="Normal"/>
    <w:rsid w:val="00B40C0D"/>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92">
    <w:name w:val="xl92"/>
    <w:basedOn w:val="Normal"/>
    <w:rsid w:val="00B40C0D"/>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93">
    <w:name w:val="xl93"/>
    <w:basedOn w:val="Normal"/>
    <w:rsid w:val="00B40C0D"/>
    <w:pPr>
      <w:pBdr>
        <w:bottom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94">
    <w:name w:val="xl94"/>
    <w:basedOn w:val="Normal"/>
    <w:rsid w:val="00B40C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95">
    <w:name w:val="xl95"/>
    <w:basedOn w:val="Normal"/>
    <w:rsid w:val="00B40C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96">
    <w:name w:val="xl96"/>
    <w:basedOn w:val="Normal"/>
    <w:rsid w:val="00B40C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97">
    <w:name w:val="xl97"/>
    <w:basedOn w:val="Normal"/>
    <w:rsid w:val="00B40C0D"/>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98">
    <w:name w:val="xl98"/>
    <w:basedOn w:val="Normal"/>
    <w:rsid w:val="00B40C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99">
    <w:name w:val="xl99"/>
    <w:basedOn w:val="Normal"/>
    <w:rsid w:val="00B40C0D"/>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100">
    <w:name w:val="xl100"/>
    <w:basedOn w:val="Normal"/>
    <w:rsid w:val="00B40C0D"/>
    <w:pPr>
      <w:pBdr>
        <w:right w:val="single" w:sz="4" w:space="0" w:color="auto"/>
      </w:pBdr>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101">
    <w:name w:val="xl101"/>
    <w:basedOn w:val="Normal"/>
    <w:rsid w:val="00B40C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102">
    <w:name w:val="xl102"/>
    <w:basedOn w:val="Normal"/>
    <w:rsid w:val="00B40C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103">
    <w:name w:val="xl103"/>
    <w:basedOn w:val="Normal"/>
    <w:rsid w:val="00B40C0D"/>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104">
    <w:name w:val="xl104"/>
    <w:basedOn w:val="Normal"/>
    <w:rsid w:val="00B40C0D"/>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105">
    <w:name w:val="xl105"/>
    <w:basedOn w:val="Normal"/>
    <w:rsid w:val="00B40C0D"/>
    <w:pPr>
      <w:shd w:val="clear" w:color="000000" w:fill="D9D9D9"/>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106">
    <w:name w:val="xl106"/>
    <w:basedOn w:val="Normal"/>
    <w:rsid w:val="00B40C0D"/>
    <w:pPr>
      <w:pBdr>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en-AU"/>
    </w:rPr>
  </w:style>
  <w:style w:type="paragraph" w:customStyle="1" w:styleId="xl107">
    <w:name w:val="xl107"/>
    <w:basedOn w:val="Normal"/>
    <w:rsid w:val="00B40C0D"/>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108">
    <w:name w:val="xl108"/>
    <w:basedOn w:val="Normal"/>
    <w:rsid w:val="00B40C0D"/>
    <w:pPr>
      <w:pBdr>
        <w:top w:val="single" w:sz="4" w:space="0" w:color="auto"/>
        <w:left w:val="single" w:sz="4"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b/>
      <w:bCs/>
      <w:color w:val="000000"/>
      <w:sz w:val="20"/>
      <w:szCs w:val="20"/>
      <w:lang w:eastAsia="en-AU"/>
    </w:rPr>
  </w:style>
  <w:style w:type="paragraph" w:customStyle="1" w:styleId="xl109">
    <w:name w:val="xl109"/>
    <w:basedOn w:val="Normal"/>
    <w:rsid w:val="00B40C0D"/>
    <w:pPr>
      <w:pBdr>
        <w:top w:val="single" w:sz="4"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b/>
      <w:bCs/>
      <w:color w:val="000000"/>
      <w:sz w:val="20"/>
      <w:szCs w:val="20"/>
      <w:lang w:eastAsia="en-AU"/>
    </w:rPr>
  </w:style>
  <w:style w:type="paragraph" w:customStyle="1" w:styleId="xl110">
    <w:name w:val="xl110"/>
    <w:basedOn w:val="Normal"/>
    <w:rsid w:val="00B40C0D"/>
    <w:pPr>
      <w:pBdr>
        <w:top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color w:val="000000"/>
      <w:sz w:val="20"/>
      <w:szCs w:val="20"/>
      <w:lang w:eastAsia="en-AU"/>
    </w:rPr>
  </w:style>
  <w:style w:type="paragraph" w:customStyle="1" w:styleId="xl111">
    <w:name w:val="xl111"/>
    <w:basedOn w:val="Normal"/>
    <w:rsid w:val="00B40C0D"/>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0"/>
      <w:szCs w:val="20"/>
      <w:lang w:eastAsia="en-AU"/>
    </w:rPr>
  </w:style>
  <w:style w:type="paragraph" w:customStyle="1" w:styleId="xl112">
    <w:name w:val="xl112"/>
    <w:basedOn w:val="Normal"/>
    <w:rsid w:val="00B40C0D"/>
    <w:pPr>
      <w:pBdr>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0"/>
      <w:szCs w:val="20"/>
      <w:lang w:eastAsia="en-AU"/>
    </w:rPr>
  </w:style>
  <w:style w:type="paragraph" w:customStyle="1" w:styleId="xl113">
    <w:name w:val="xl113"/>
    <w:basedOn w:val="Normal"/>
    <w:rsid w:val="00B40C0D"/>
    <w:pPr>
      <w:pBdr>
        <w:left w:val="single" w:sz="4" w:space="0" w:color="auto"/>
      </w:pBdr>
      <w:spacing w:before="100" w:beforeAutospacing="1" w:after="100" w:afterAutospacing="1"/>
      <w:jc w:val="right"/>
    </w:pPr>
    <w:rPr>
      <w:rFonts w:ascii="Times New Roman" w:eastAsia="Times New Roman" w:hAnsi="Times New Roman" w:cs="Times New Roman"/>
      <w:sz w:val="20"/>
      <w:szCs w:val="20"/>
      <w:lang w:eastAsia="en-AU"/>
    </w:rPr>
  </w:style>
  <w:style w:type="paragraph" w:customStyle="1" w:styleId="xl114">
    <w:name w:val="xl114"/>
    <w:basedOn w:val="Normal"/>
    <w:rsid w:val="00B40C0D"/>
    <w:pPr>
      <w:spacing w:before="100" w:beforeAutospacing="1" w:after="100" w:afterAutospacing="1"/>
      <w:jc w:val="right"/>
    </w:pPr>
    <w:rPr>
      <w:rFonts w:ascii="Times New Roman" w:eastAsia="Times New Roman" w:hAnsi="Times New Roman" w:cs="Times New Roman"/>
      <w:sz w:val="20"/>
      <w:szCs w:val="20"/>
      <w:lang w:eastAsia="en-AU"/>
    </w:rPr>
  </w:style>
  <w:style w:type="paragraph" w:customStyle="1" w:styleId="xl115">
    <w:name w:val="xl115"/>
    <w:basedOn w:val="Normal"/>
    <w:rsid w:val="00B40C0D"/>
    <w:pPr>
      <w:pBdr>
        <w:right w:val="single" w:sz="4" w:space="0" w:color="auto"/>
      </w:pBdr>
      <w:spacing w:before="100" w:beforeAutospacing="1" w:after="100" w:afterAutospacing="1"/>
      <w:jc w:val="right"/>
    </w:pPr>
    <w:rPr>
      <w:rFonts w:ascii="Times New Roman" w:eastAsia="Times New Roman" w:hAnsi="Times New Roman" w:cs="Times New Roman"/>
      <w:b/>
      <w:bCs/>
      <w:sz w:val="20"/>
      <w:szCs w:val="20"/>
      <w:lang w:eastAsia="en-AU"/>
    </w:rPr>
  </w:style>
  <w:style w:type="paragraph" w:customStyle="1" w:styleId="xl116">
    <w:name w:val="xl116"/>
    <w:basedOn w:val="Normal"/>
    <w:uiPriority w:val="9"/>
    <w:rsid w:val="00B40C0D"/>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AU"/>
    </w:rPr>
  </w:style>
  <w:style w:type="paragraph" w:customStyle="1" w:styleId="xl117">
    <w:name w:val="xl117"/>
    <w:basedOn w:val="Normal"/>
    <w:uiPriority w:val="9"/>
    <w:rsid w:val="00B40C0D"/>
    <w:pPr>
      <w:pBdr>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0"/>
      <w:szCs w:val="20"/>
      <w:lang w:eastAsia="en-AU"/>
    </w:rPr>
  </w:style>
  <w:style w:type="paragraph" w:customStyle="1" w:styleId="xl118">
    <w:name w:val="xl118"/>
    <w:basedOn w:val="Normal"/>
    <w:uiPriority w:val="9"/>
    <w:rsid w:val="00B40C0D"/>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119">
    <w:name w:val="xl119"/>
    <w:basedOn w:val="Normal"/>
    <w:uiPriority w:val="9"/>
    <w:rsid w:val="00B40C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0"/>
      <w:szCs w:val="20"/>
      <w:lang w:eastAsia="en-AU"/>
    </w:rPr>
  </w:style>
  <w:style w:type="paragraph" w:customStyle="1" w:styleId="xl120">
    <w:name w:val="xl120"/>
    <w:basedOn w:val="Normal"/>
    <w:uiPriority w:val="9"/>
    <w:rsid w:val="00B40C0D"/>
    <w:pPr>
      <w:pBdr>
        <w:top w:val="single" w:sz="4" w:space="0" w:color="auto"/>
        <w:left w:val="single" w:sz="4"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b/>
      <w:bCs/>
      <w:color w:val="000000"/>
      <w:sz w:val="20"/>
      <w:szCs w:val="20"/>
      <w:lang w:eastAsia="en-AU"/>
    </w:rPr>
  </w:style>
  <w:style w:type="paragraph" w:customStyle="1" w:styleId="xl121">
    <w:name w:val="xl121"/>
    <w:basedOn w:val="Normal"/>
    <w:uiPriority w:val="9"/>
    <w:rsid w:val="00B40C0D"/>
    <w:pPr>
      <w:pBdr>
        <w:top w:val="single" w:sz="4"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b/>
      <w:bCs/>
      <w:color w:val="000000"/>
      <w:sz w:val="20"/>
      <w:szCs w:val="20"/>
      <w:lang w:eastAsia="en-AU"/>
    </w:rPr>
  </w:style>
  <w:style w:type="paragraph" w:customStyle="1" w:styleId="xl122">
    <w:name w:val="xl122"/>
    <w:basedOn w:val="Normal"/>
    <w:uiPriority w:val="9"/>
    <w:rsid w:val="00B40C0D"/>
    <w:pPr>
      <w:pBdr>
        <w:top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color w:val="000000"/>
      <w:sz w:val="20"/>
      <w:szCs w:val="20"/>
      <w:lang w:eastAsia="en-AU"/>
    </w:rPr>
  </w:style>
  <w:style w:type="paragraph" w:customStyle="1" w:styleId="xl123">
    <w:name w:val="xl123"/>
    <w:basedOn w:val="Normal"/>
    <w:uiPriority w:val="9"/>
    <w:rsid w:val="00B40C0D"/>
    <w:pPr>
      <w:pBdr>
        <w:left w:val="single" w:sz="4"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sz w:val="20"/>
      <w:szCs w:val="20"/>
      <w:lang w:eastAsia="en-AU"/>
    </w:rPr>
  </w:style>
  <w:style w:type="paragraph" w:customStyle="1" w:styleId="xl124">
    <w:name w:val="xl124"/>
    <w:basedOn w:val="Normal"/>
    <w:uiPriority w:val="9"/>
    <w:rsid w:val="00B40C0D"/>
    <w:pPr>
      <w:pBdr>
        <w:top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0"/>
      <w:szCs w:val="20"/>
      <w:lang w:eastAsia="en-AU"/>
    </w:rPr>
  </w:style>
  <w:style w:type="character" w:customStyle="1" w:styleId="apple-converted-space">
    <w:name w:val="apple-converted-space"/>
    <w:basedOn w:val="DefaultParagraphFont"/>
    <w:uiPriority w:val="99"/>
    <w:rsid w:val="00B9033D"/>
  </w:style>
  <w:style w:type="numbering" w:customStyle="1" w:styleId="BulletList">
    <w:name w:val="Bullet List"/>
    <w:uiPriority w:val="99"/>
    <w:rsid w:val="00B9033D"/>
    <w:pPr>
      <w:numPr>
        <w:numId w:val="17"/>
      </w:numPr>
    </w:pPr>
  </w:style>
  <w:style w:type="paragraph" w:styleId="ListBullet5">
    <w:name w:val="List Bullet 5"/>
    <w:basedOn w:val="Normal"/>
    <w:uiPriority w:val="99"/>
    <w:unhideWhenUsed/>
    <w:rsid w:val="00B9033D"/>
    <w:pPr>
      <w:spacing w:before="0" w:after="200" w:line="276" w:lineRule="auto"/>
      <w:ind w:left="1800" w:hanging="360"/>
    </w:pPr>
    <w:rPr>
      <w:rFonts w:ascii="Arial" w:eastAsia="Calibri" w:hAnsi="Arial" w:cs="Times New Roman"/>
    </w:rPr>
  </w:style>
  <w:style w:type="paragraph" w:styleId="NormalWeb">
    <w:name w:val="Normal (Web)"/>
    <w:basedOn w:val="Normal"/>
    <w:uiPriority w:val="99"/>
    <w:unhideWhenUsed/>
    <w:rsid w:val="00A03BD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6Char">
    <w:name w:val="Heading 6 Char"/>
    <w:aliases w:val="do not use Char"/>
    <w:basedOn w:val="DefaultParagraphFont"/>
    <w:link w:val="Heading6"/>
    <w:uiPriority w:val="9"/>
    <w:rsid w:val="001F68BA"/>
    <w:rPr>
      <w:rFonts w:asciiTheme="majorHAnsi" w:eastAsiaTheme="majorEastAsia" w:hAnsiTheme="majorHAnsi" w:cstheme="majorBidi"/>
      <w:i/>
      <w:iCs/>
      <w:color w:val="13345C" w:themeColor="accent1" w:themeShade="7F"/>
    </w:rPr>
  </w:style>
  <w:style w:type="paragraph" w:customStyle="1" w:styleId="Bullets">
    <w:name w:val="Bullets"/>
    <w:basedOn w:val="Normal"/>
    <w:link w:val="BulletsChar"/>
    <w:rsid w:val="001F68BA"/>
    <w:pPr>
      <w:numPr>
        <w:numId w:val="18"/>
      </w:numPr>
    </w:pPr>
    <w:rPr>
      <w:rFonts w:ascii="Book Antiqua" w:eastAsia="Times New Roman" w:hAnsi="Book Antiqua" w:cs="Times New Roman"/>
      <w:szCs w:val="20"/>
    </w:rPr>
  </w:style>
  <w:style w:type="numbering" w:customStyle="1" w:styleId="NRCListBullets">
    <w:name w:val="NRC List Bullets"/>
    <w:rsid w:val="001F68BA"/>
    <w:pPr>
      <w:numPr>
        <w:numId w:val="18"/>
      </w:numPr>
    </w:pPr>
  </w:style>
  <w:style w:type="paragraph" w:customStyle="1" w:styleId="Pa9">
    <w:name w:val="Pa9"/>
    <w:basedOn w:val="Default"/>
    <w:next w:val="Default"/>
    <w:uiPriority w:val="99"/>
    <w:rsid w:val="001F68BA"/>
    <w:pPr>
      <w:spacing w:line="181" w:lineRule="atLeast"/>
    </w:pPr>
    <w:rPr>
      <w:rFonts w:ascii="Univers 55" w:hAnsi="Univers 55" w:cstheme="minorBidi"/>
      <w:color w:val="auto"/>
    </w:rPr>
  </w:style>
  <w:style w:type="paragraph" w:customStyle="1" w:styleId="Pa4">
    <w:name w:val="Pa4"/>
    <w:basedOn w:val="Default"/>
    <w:next w:val="Default"/>
    <w:uiPriority w:val="99"/>
    <w:rsid w:val="001F68BA"/>
    <w:pPr>
      <w:spacing w:line="201" w:lineRule="atLeast"/>
    </w:pPr>
    <w:rPr>
      <w:rFonts w:ascii="Arial" w:hAnsi="Arial" w:cs="Arial"/>
      <w:color w:val="auto"/>
    </w:rPr>
  </w:style>
  <w:style w:type="paragraph" w:customStyle="1" w:styleId="Pa5">
    <w:name w:val="Pa5"/>
    <w:basedOn w:val="Default"/>
    <w:next w:val="Default"/>
    <w:uiPriority w:val="99"/>
    <w:rsid w:val="001F68BA"/>
    <w:pPr>
      <w:spacing w:line="201" w:lineRule="atLeast"/>
    </w:pPr>
    <w:rPr>
      <w:rFonts w:ascii="Arial" w:hAnsi="Arial" w:cs="Arial"/>
      <w:color w:val="auto"/>
    </w:rPr>
  </w:style>
  <w:style w:type="character" w:customStyle="1" w:styleId="A6">
    <w:name w:val="A6"/>
    <w:uiPriority w:val="99"/>
    <w:rsid w:val="001F68BA"/>
    <w:rPr>
      <w:color w:val="000000"/>
      <w:sz w:val="20"/>
      <w:szCs w:val="20"/>
    </w:rPr>
  </w:style>
  <w:style w:type="paragraph" w:customStyle="1" w:styleId="Pa49">
    <w:name w:val="Pa49"/>
    <w:basedOn w:val="Default"/>
    <w:next w:val="Default"/>
    <w:uiPriority w:val="99"/>
    <w:rsid w:val="001F68BA"/>
    <w:pPr>
      <w:spacing w:line="131" w:lineRule="atLeast"/>
    </w:pPr>
    <w:rPr>
      <w:rFonts w:ascii="FS Me Light" w:hAnsi="FS Me Light" w:cstheme="minorBidi"/>
      <w:color w:val="auto"/>
    </w:rPr>
  </w:style>
  <w:style w:type="character" w:customStyle="1" w:styleId="A40">
    <w:name w:val="A40"/>
    <w:uiPriority w:val="99"/>
    <w:rsid w:val="001F68BA"/>
    <w:rPr>
      <w:rFonts w:cs="FS Me Light"/>
      <w:color w:val="000000"/>
      <w:sz w:val="13"/>
      <w:szCs w:val="13"/>
      <w:u w:val="single"/>
    </w:rPr>
  </w:style>
  <w:style w:type="paragraph" w:customStyle="1" w:styleId="xl65">
    <w:name w:val="xl65"/>
    <w:basedOn w:val="Normal"/>
    <w:rsid w:val="001F68BA"/>
    <w:pP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n-AU"/>
    </w:rPr>
  </w:style>
  <w:style w:type="paragraph" w:customStyle="1" w:styleId="Pa51">
    <w:name w:val="Pa51"/>
    <w:basedOn w:val="Default"/>
    <w:next w:val="Default"/>
    <w:uiPriority w:val="99"/>
    <w:rsid w:val="001F68BA"/>
    <w:pPr>
      <w:spacing w:line="131" w:lineRule="atLeast"/>
    </w:pPr>
    <w:rPr>
      <w:rFonts w:ascii="FS Me Light" w:hAnsi="FS Me Light" w:cstheme="minorBidi"/>
      <w:color w:val="auto"/>
    </w:rPr>
  </w:style>
  <w:style w:type="paragraph" w:customStyle="1" w:styleId="Pa36">
    <w:name w:val="Pa36"/>
    <w:basedOn w:val="Default"/>
    <w:next w:val="Default"/>
    <w:uiPriority w:val="99"/>
    <w:rsid w:val="001F68BA"/>
    <w:pPr>
      <w:spacing w:line="131" w:lineRule="atLeast"/>
    </w:pPr>
    <w:rPr>
      <w:rFonts w:ascii="FS Me Light" w:hAnsi="FS Me Light" w:cstheme="minorBidi"/>
      <w:color w:val="auto"/>
    </w:rPr>
  </w:style>
  <w:style w:type="character" w:customStyle="1" w:styleId="A9">
    <w:name w:val="A9"/>
    <w:uiPriority w:val="99"/>
    <w:rsid w:val="001F68BA"/>
    <w:rPr>
      <w:rFonts w:cs="FS Me Light"/>
      <w:color w:val="000000"/>
      <w:sz w:val="13"/>
      <w:szCs w:val="13"/>
    </w:rPr>
  </w:style>
  <w:style w:type="paragraph" w:customStyle="1" w:styleId="Note">
    <w:name w:val="Note"/>
    <w:basedOn w:val="Normal"/>
    <w:rsid w:val="001F68BA"/>
    <w:pPr>
      <w:spacing w:before="60" w:after="60"/>
      <w:ind w:left="284" w:right="284"/>
    </w:pPr>
    <w:rPr>
      <w:rFonts w:ascii="Arial" w:eastAsiaTheme="minorEastAsia" w:hAnsi="Arial"/>
      <w:sz w:val="18"/>
      <w:szCs w:val="24"/>
    </w:rPr>
  </w:style>
  <w:style w:type="paragraph" w:customStyle="1" w:styleId="Tabletext1">
    <w:name w:val="Table text"/>
    <w:basedOn w:val="BodyText"/>
    <w:link w:val="TabletextChar"/>
    <w:rsid w:val="001F68BA"/>
    <w:pPr>
      <w:spacing w:before="60" w:after="60"/>
    </w:pPr>
    <w:rPr>
      <w:rFonts w:ascii="Arial" w:hAnsi="Arial"/>
      <w:sz w:val="18"/>
    </w:rPr>
  </w:style>
  <w:style w:type="paragraph" w:customStyle="1" w:styleId="Tablefigure">
    <w:name w:val="Table figure"/>
    <w:basedOn w:val="Tabletext1"/>
    <w:rsid w:val="001F68BA"/>
    <w:pPr>
      <w:jc w:val="right"/>
    </w:pPr>
  </w:style>
  <w:style w:type="paragraph" w:customStyle="1" w:styleId="Tableheading0">
    <w:name w:val="Table heading"/>
    <w:basedOn w:val="Tabletext1"/>
    <w:rsid w:val="001F68BA"/>
    <w:pPr>
      <w:keepNext/>
    </w:pPr>
    <w:rPr>
      <w:b/>
    </w:rPr>
  </w:style>
  <w:style w:type="table" w:customStyle="1" w:styleId="TableGrid3">
    <w:name w:val="Table Grid3"/>
    <w:basedOn w:val="TableNormal"/>
    <w:next w:val="TableGrid"/>
    <w:uiPriority w:val="59"/>
    <w:rsid w:val="001F68BA"/>
    <w:pPr>
      <w:spacing w:after="0" w:line="240" w:lineRule="auto"/>
    </w:pPr>
    <w:rPr>
      <w:rFonts w:eastAsiaTheme="minorEastAs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1"/>
    <w:rsid w:val="001F68BA"/>
    <w:rPr>
      <w:rFonts w:ascii="Arial" w:eastAsia="Times New Roman" w:hAnsi="Arial" w:cs="Times New Roman"/>
      <w:sz w:val="18"/>
      <w:szCs w:val="20"/>
    </w:rPr>
  </w:style>
  <w:style w:type="character" w:customStyle="1" w:styleId="ListParagraphChar">
    <w:name w:val="List Paragraph Char"/>
    <w:aliases w:val="List Paragraph1 Char,List Paragraph11 Char,Recommendation Char,NFP GP Bulleted List Char,List Paragraph2 Char,FooterText Char,numbered Char,Paragraphe de liste1 Char,Bulletr List Paragraph Char,列出段落 Char,列出段落1 Char,Listeafsnit1 Char"/>
    <w:basedOn w:val="DefaultParagraphFont"/>
    <w:link w:val="ListParagraph"/>
    <w:uiPriority w:val="34"/>
    <w:rsid w:val="001F68BA"/>
    <w:rPr>
      <w:rFonts w:ascii="Segoe UI" w:hAnsi="Segoe UI"/>
    </w:rPr>
  </w:style>
  <w:style w:type="paragraph" w:customStyle="1" w:styleId="Tablecaption0">
    <w:name w:val="Table caption"/>
    <w:basedOn w:val="BodyText"/>
    <w:link w:val="TablecaptionChar"/>
    <w:rsid w:val="00FD610E"/>
    <w:pPr>
      <w:keepNext/>
      <w:keepLines/>
      <w:spacing w:before="240" w:after="120"/>
      <w:ind w:left="993" w:hanging="993"/>
    </w:pPr>
    <w:rPr>
      <w:rFonts w:ascii="Arial" w:hAnsi="Arial" w:cs="Arial"/>
      <w:b/>
      <w:noProof/>
      <w:sz w:val="20"/>
      <w:szCs w:val="16"/>
      <w:lang w:eastAsia="en-AU"/>
    </w:rPr>
  </w:style>
  <w:style w:type="character" w:customStyle="1" w:styleId="TablecaptionChar">
    <w:name w:val="Table caption Char"/>
    <w:basedOn w:val="DefaultParagraphFont"/>
    <w:link w:val="Tablecaption0"/>
    <w:rsid w:val="00FD610E"/>
    <w:rPr>
      <w:rFonts w:ascii="Arial" w:eastAsia="Times New Roman" w:hAnsi="Arial" w:cs="Arial"/>
      <w:b/>
      <w:noProof/>
      <w:sz w:val="20"/>
      <w:szCs w:val="16"/>
      <w:lang w:eastAsia="en-AU"/>
    </w:rPr>
  </w:style>
  <w:style w:type="character" w:customStyle="1" w:styleId="BulletsChar">
    <w:name w:val="Bullets Char"/>
    <w:basedOn w:val="DefaultParagraphFont"/>
    <w:link w:val="Bullets"/>
    <w:rsid w:val="00FD610E"/>
    <w:rPr>
      <w:rFonts w:ascii="Book Antiqua" w:eastAsia="Times New Roman" w:hAnsi="Book Antiqua" w:cs="Times New Roman"/>
      <w:szCs w:val="20"/>
    </w:rPr>
  </w:style>
  <w:style w:type="table" w:customStyle="1" w:styleId="AoM">
    <w:name w:val="AoM"/>
    <w:basedOn w:val="TableNormal"/>
    <w:uiPriority w:val="99"/>
    <w:rsid w:val="00FD610E"/>
    <w:pPr>
      <w:spacing w:after="0" w:line="240" w:lineRule="auto"/>
    </w:pPr>
    <w:tblPr/>
  </w:style>
  <w:style w:type="paragraph" w:customStyle="1" w:styleId="IndicatorText">
    <w:name w:val="IndicatorText"/>
    <w:basedOn w:val="Normal"/>
    <w:rsid w:val="00DC3260"/>
    <w:pPr>
      <w:overflowPunct w:val="0"/>
      <w:autoSpaceDE w:val="0"/>
      <w:autoSpaceDN w:val="0"/>
      <w:adjustRightInd w:val="0"/>
      <w:spacing w:before="0" w:after="180"/>
      <w:ind w:left="360"/>
    </w:pPr>
    <w:rPr>
      <w:rFonts w:ascii="Verdana" w:eastAsia="Times New Roman" w:hAnsi="Verdana" w:cs="Times New Roman"/>
      <w:sz w:val="18"/>
      <w:szCs w:val="20"/>
      <w:lang w:eastAsia="en-AU"/>
    </w:rPr>
  </w:style>
  <w:style w:type="paragraph" w:customStyle="1" w:styleId="xl63">
    <w:name w:val="xl63"/>
    <w:basedOn w:val="Normal"/>
    <w:rsid w:val="005507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Segoe UI"/>
      <w:b/>
      <w:bCs/>
      <w:sz w:val="24"/>
      <w:szCs w:val="24"/>
      <w:lang w:eastAsia="en-AU"/>
    </w:rPr>
  </w:style>
  <w:style w:type="paragraph" w:customStyle="1" w:styleId="xl64">
    <w:name w:val="xl64"/>
    <w:basedOn w:val="Normal"/>
    <w:rsid w:val="005507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Segoe UI"/>
      <w:b/>
      <w:bCs/>
      <w:color w:val="000000"/>
      <w:sz w:val="24"/>
      <w:szCs w:val="24"/>
      <w:lang w:eastAsia="en-AU"/>
    </w:rPr>
  </w:style>
  <w:style w:type="paragraph" w:customStyle="1" w:styleId="TableParagraph">
    <w:name w:val="Table Paragraph"/>
    <w:basedOn w:val="Normal"/>
    <w:uiPriority w:val="1"/>
    <w:rsid w:val="000B52E8"/>
    <w:pPr>
      <w:widowControl w:val="0"/>
      <w:spacing w:before="0" w:after="0"/>
    </w:pPr>
    <w:rPr>
      <w:rFonts w:asciiTheme="minorHAnsi" w:hAnsiTheme="minorHAnsi"/>
      <w:lang w:val="en-US"/>
    </w:rPr>
  </w:style>
  <w:style w:type="paragraph" w:customStyle="1" w:styleId="acthead5">
    <w:name w:val="acthead5"/>
    <w:basedOn w:val="Normal"/>
    <w:rsid w:val="00224B9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224B9C"/>
  </w:style>
  <w:style w:type="paragraph" w:customStyle="1" w:styleId="subsectionhead">
    <w:name w:val="subsectionhead"/>
    <w:basedOn w:val="Normal"/>
    <w:rsid w:val="00224B9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subsection">
    <w:name w:val="subsection"/>
    <w:basedOn w:val="Normal"/>
    <w:rsid w:val="00224B9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basedOn w:val="Normal"/>
    <w:rsid w:val="00224B9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aptionChar">
    <w:name w:val="Caption Char"/>
    <w:aliases w:val="Figure text or caption Char"/>
    <w:basedOn w:val="DefaultParagraphFont"/>
    <w:link w:val="Caption"/>
    <w:uiPriority w:val="12"/>
    <w:rsid w:val="00151DC1"/>
    <w:rPr>
      <w:rFonts w:ascii="Segoe UI Semibold" w:eastAsia="Times New Roman" w:hAnsi="Segoe UI Semibold" w:cs="Times New Roman"/>
      <w:color w:val="016295" w:themeColor="accent2" w:themeShade="80"/>
    </w:rPr>
  </w:style>
  <w:style w:type="paragraph" w:customStyle="1" w:styleId="Tables">
    <w:name w:val="Tables"/>
    <w:basedOn w:val="ListParagraph"/>
    <w:link w:val="TablesChar"/>
    <w:qFormat/>
    <w:rsid w:val="00151DC1"/>
    <w:pPr>
      <w:ind w:left="0"/>
      <w:contextualSpacing w:val="0"/>
    </w:pPr>
    <w:rPr>
      <w:rFonts w:ascii="Cambria" w:eastAsiaTheme="minorEastAsia" w:hAnsi="Cambria"/>
      <w:sz w:val="20"/>
    </w:rPr>
  </w:style>
  <w:style w:type="character" w:customStyle="1" w:styleId="TablesChar">
    <w:name w:val="Tables Char"/>
    <w:basedOn w:val="ListParagraphChar"/>
    <w:link w:val="Tables"/>
    <w:rsid w:val="00151DC1"/>
    <w:rPr>
      <w:rFonts w:ascii="Cambria" w:eastAsiaTheme="minorEastAsia" w:hAnsi="Cambria"/>
      <w:sz w:val="20"/>
    </w:rPr>
  </w:style>
  <w:style w:type="paragraph" w:customStyle="1" w:styleId="m-7591296072532151821gmail-m4861897216490525580gmail-m-2984386167515359681m7537874062702145826m3566475007461973633msolistparagraph">
    <w:name w:val="m_-7591296072532151821gmail-m4861897216490525580gmail-m-2984386167515359681m7537874062702145826m3566475007461973633msolistparagraph"/>
    <w:basedOn w:val="Normal"/>
    <w:rsid w:val="007606AE"/>
    <w:pPr>
      <w:spacing w:before="100" w:beforeAutospacing="1" w:after="100" w:afterAutospacing="1"/>
    </w:pPr>
    <w:rPr>
      <w:rFonts w:ascii="Times New Roman" w:hAnsi="Times New Roman" w:cs="Times New Roman"/>
      <w:sz w:val="24"/>
      <w:szCs w:val="24"/>
      <w:lang w:eastAsia="en-AU"/>
    </w:rPr>
  </w:style>
  <w:style w:type="character" w:customStyle="1" w:styleId="Heading7Char">
    <w:name w:val="Heading 7 Char"/>
    <w:aliases w:val="not req'd Char"/>
    <w:basedOn w:val="DefaultParagraphFont"/>
    <w:link w:val="Heading7"/>
    <w:rsid w:val="00C32D50"/>
    <w:rPr>
      <w:rFonts w:ascii="Times New Roman" w:eastAsia="Times New Roman" w:hAnsi="Times New Roman" w:cs="Times New Roman"/>
      <w:i/>
      <w:sz w:val="24"/>
      <w:szCs w:val="20"/>
      <w:lang w:eastAsia="en-AU"/>
    </w:rPr>
  </w:style>
  <w:style w:type="character" w:customStyle="1" w:styleId="Heading8Char">
    <w:name w:val="Heading 8 Char"/>
    <w:aliases w:val=" not required Char,not required Char"/>
    <w:basedOn w:val="DefaultParagraphFont"/>
    <w:link w:val="Heading8"/>
    <w:rsid w:val="00C32D50"/>
    <w:rPr>
      <w:rFonts w:ascii="Times New Roman" w:eastAsia="Times New Roman" w:hAnsi="Times New Roman" w:cs="Times New Roman"/>
      <w:b/>
      <w:sz w:val="24"/>
      <w:szCs w:val="20"/>
      <w:lang w:val="en-GB" w:eastAsia="en-AU"/>
    </w:rPr>
  </w:style>
  <w:style w:type="character" w:customStyle="1" w:styleId="Heading9Char">
    <w:name w:val="Heading 9 Char"/>
    <w:aliases w:val="not requird Char"/>
    <w:basedOn w:val="DefaultParagraphFont"/>
    <w:link w:val="Heading9"/>
    <w:rsid w:val="00C32D50"/>
    <w:rPr>
      <w:rFonts w:ascii="Times New Roman" w:eastAsia="Times New Roman" w:hAnsi="Times New Roman" w:cs="Times New Roman"/>
      <w:sz w:val="24"/>
      <w:szCs w:val="20"/>
      <w:lang w:eastAsia="en-AU"/>
    </w:rPr>
  </w:style>
  <w:style w:type="paragraph" w:customStyle="1" w:styleId="clause">
    <w:name w:val="clause"/>
    <w:basedOn w:val="Heading1"/>
    <w:rsid w:val="00C32D50"/>
    <w:pPr>
      <w:tabs>
        <w:tab w:val="num" w:pos="432"/>
      </w:tabs>
      <w:spacing w:before="240" w:after="0" w:line="240" w:lineRule="auto"/>
      <w:ind w:left="432" w:hanging="432"/>
      <w:jc w:val="both"/>
    </w:pPr>
    <w:rPr>
      <w:rFonts w:ascii="Times New Roman" w:eastAsia="Times New Roman" w:hAnsi="Times New Roman" w:cs="Times New Roman"/>
      <w:color w:val="auto"/>
      <w:sz w:val="24"/>
      <w:szCs w:val="20"/>
      <w:lang w:eastAsia="en-AU"/>
    </w:rPr>
  </w:style>
  <w:style w:type="paragraph" w:customStyle="1" w:styleId="subclause">
    <w:name w:val="subclause"/>
    <w:basedOn w:val="Normal"/>
    <w:rsid w:val="00C32D50"/>
    <w:pPr>
      <w:spacing w:before="240" w:after="0"/>
      <w:ind w:left="718" w:hanging="576"/>
    </w:pPr>
    <w:rPr>
      <w:rFonts w:ascii="Times New Roman" w:eastAsia="Times New Roman" w:hAnsi="Times New Roman" w:cs="Times New Roman"/>
      <w:sz w:val="24"/>
      <w:szCs w:val="20"/>
      <w:lang w:val="en-US" w:eastAsia="en-AU"/>
    </w:rPr>
  </w:style>
  <w:style w:type="character" w:customStyle="1" w:styleId="frag-heading">
    <w:name w:val="frag-heading"/>
    <w:basedOn w:val="DefaultParagraphFont"/>
    <w:rsid w:val="007304F9"/>
  </w:style>
  <w:style w:type="paragraph" w:customStyle="1" w:styleId="msonormal0">
    <w:name w:val="msonormal"/>
    <w:basedOn w:val="Normal"/>
    <w:rsid w:val="00AD3CAD"/>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12">
    <w:name w:val="Para 12"/>
    <w:basedOn w:val="Normal"/>
    <w:uiPriority w:val="99"/>
    <w:rsid w:val="00AD3CAD"/>
    <w:pPr>
      <w:spacing w:before="0" w:after="240"/>
    </w:pPr>
    <w:rPr>
      <w:rFonts w:ascii="Times New Roman" w:eastAsia="Times New Roman" w:hAnsi="Times New Roman" w:cs="Times New Roman"/>
      <w:color w:val="000000"/>
      <w:sz w:val="24"/>
      <w:szCs w:val="20"/>
    </w:rPr>
  </w:style>
  <w:style w:type="character" w:customStyle="1" w:styleId="UnresolvedMention1">
    <w:name w:val="Unresolved Mention1"/>
    <w:basedOn w:val="DefaultParagraphFont"/>
    <w:uiPriority w:val="99"/>
    <w:semiHidden/>
    <w:unhideWhenUsed/>
    <w:rsid w:val="00AD3CAD"/>
    <w:rPr>
      <w:color w:val="605E5C"/>
      <w:shd w:val="clear" w:color="auto" w:fill="E1DFDD"/>
    </w:rPr>
  </w:style>
  <w:style w:type="character" w:customStyle="1" w:styleId="legvalue">
    <w:name w:val="leg_value"/>
    <w:basedOn w:val="DefaultParagraphFont"/>
    <w:rsid w:val="004B4CA1"/>
  </w:style>
  <w:style w:type="character" w:customStyle="1" w:styleId="UnresolvedMention2">
    <w:name w:val="Unresolved Mention2"/>
    <w:basedOn w:val="DefaultParagraphFont"/>
    <w:uiPriority w:val="99"/>
    <w:semiHidden/>
    <w:unhideWhenUsed/>
    <w:rsid w:val="00124700"/>
    <w:rPr>
      <w:color w:val="605E5C"/>
      <w:shd w:val="clear" w:color="auto" w:fill="E1DFDD"/>
    </w:rPr>
  </w:style>
  <w:style w:type="character" w:customStyle="1" w:styleId="UnresolvedMention3">
    <w:name w:val="Unresolved Mention3"/>
    <w:basedOn w:val="DefaultParagraphFont"/>
    <w:uiPriority w:val="99"/>
    <w:semiHidden/>
    <w:unhideWhenUsed/>
    <w:rsid w:val="007D6E1C"/>
    <w:rPr>
      <w:color w:val="605E5C"/>
      <w:shd w:val="clear" w:color="auto" w:fill="E1DFDD"/>
    </w:rPr>
  </w:style>
  <w:style w:type="paragraph" w:styleId="BodyText2">
    <w:name w:val="Body Text 2"/>
    <w:basedOn w:val="Normal"/>
    <w:link w:val="BodyText2Char"/>
    <w:semiHidden/>
    <w:unhideWhenUsed/>
    <w:rsid w:val="006536D5"/>
    <w:pPr>
      <w:spacing w:line="480" w:lineRule="auto"/>
    </w:pPr>
  </w:style>
  <w:style w:type="character" w:customStyle="1" w:styleId="BodyText2Char">
    <w:name w:val="Body Text 2 Char"/>
    <w:basedOn w:val="DefaultParagraphFont"/>
    <w:link w:val="BodyText2"/>
    <w:semiHidden/>
    <w:rsid w:val="006536D5"/>
    <w:rPr>
      <w:rFonts w:ascii="Segoe UI" w:hAnsi="Segoe UI"/>
    </w:rPr>
  </w:style>
  <w:style w:type="paragraph" w:customStyle="1" w:styleId="Def">
    <w:name w:val="Def"/>
    <w:basedOn w:val="Indent35"/>
    <w:rsid w:val="00A90358"/>
    <w:pPr>
      <w:ind w:left="709" w:firstLine="0"/>
    </w:pPr>
  </w:style>
  <w:style w:type="paragraph" w:customStyle="1" w:styleId="Indent35">
    <w:name w:val="Indent 3.5"/>
    <w:basedOn w:val="Indent25"/>
    <w:rsid w:val="00A90358"/>
    <w:pPr>
      <w:ind w:left="1985"/>
    </w:pPr>
  </w:style>
  <w:style w:type="paragraph" w:customStyle="1" w:styleId="Indent25">
    <w:name w:val="Indent 2.5"/>
    <w:basedOn w:val="Indent15"/>
    <w:rsid w:val="00A90358"/>
    <w:pPr>
      <w:ind w:left="1418" w:hanging="568"/>
    </w:pPr>
    <w:rPr>
      <w:lang w:eastAsia="en-AU"/>
    </w:rPr>
  </w:style>
  <w:style w:type="paragraph" w:styleId="BodyText3">
    <w:name w:val="Body Text 3"/>
    <w:basedOn w:val="Normal"/>
    <w:link w:val="BodyText3Char"/>
    <w:semiHidden/>
    <w:rsid w:val="00A90358"/>
    <w:pPr>
      <w:spacing w:before="240" w:after="0"/>
      <w:jc w:val="both"/>
    </w:pPr>
    <w:rPr>
      <w:rFonts w:ascii="Times New Roman" w:eastAsia="Times New Roman" w:hAnsi="Times New Roman" w:cs="Times New Roman"/>
      <w:i/>
      <w:color w:val="FF0000"/>
      <w:sz w:val="24"/>
      <w:szCs w:val="20"/>
      <w:lang w:eastAsia="en-AU"/>
    </w:rPr>
  </w:style>
  <w:style w:type="character" w:customStyle="1" w:styleId="BodyText3Char">
    <w:name w:val="Body Text 3 Char"/>
    <w:basedOn w:val="DefaultParagraphFont"/>
    <w:link w:val="BodyText3"/>
    <w:semiHidden/>
    <w:rsid w:val="00A90358"/>
    <w:rPr>
      <w:rFonts w:ascii="Times New Roman" w:eastAsia="Times New Roman" w:hAnsi="Times New Roman" w:cs="Times New Roman"/>
      <w:i/>
      <w:color w:val="FF0000"/>
      <w:sz w:val="24"/>
      <w:szCs w:val="20"/>
      <w:lang w:eastAsia="en-AU"/>
    </w:rPr>
  </w:style>
  <w:style w:type="paragraph" w:customStyle="1" w:styleId="standardunumberedpara">
    <w:name w:val="standard unumbered para"/>
    <w:basedOn w:val="StandardPara"/>
    <w:rsid w:val="00A90358"/>
  </w:style>
  <w:style w:type="paragraph" w:customStyle="1" w:styleId="StandardPara">
    <w:name w:val="Standard Para"/>
    <w:basedOn w:val="Normal"/>
    <w:rsid w:val="00A90358"/>
    <w:pPr>
      <w:spacing w:before="0" w:after="0"/>
      <w:ind w:left="567" w:hanging="567"/>
    </w:pPr>
    <w:rPr>
      <w:rFonts w:ascii="Times New Roman" w:eastAsia="Times New Roman" w:hAnsi="Times New Roman" w:cs="Times New Roman"/>
      <w:szCs w:val="20"/>
      <w:lang w:eastAsia="en-AU"/>
    </w:rPr>
  </w:style>
  <w:style w:type="paragraph" w:customStyle="1" w:styleId="level3indent">
    <w:name w:val="level 3 indent"/>
    <w:basedOn w:val="Normal"/>
    <w:rsid w:val="00A90358"/>
    <w:pPr>
      <w:spacing w:before="0" w:after="0"/>
      <w:ind w:left="2880" w:hanging="720"/>
      <w:jc w:val="both"/>
    </w:pPr>
    <w:rPr>
      <w:rFonts w:ascii="Times New Roman" w:eastAsia="Times New Roman" w:hAnsi="Times New Roman" w:cs="Times New Roman"/>
      <w:szCs w:val="20"/>
      <w:lang w:eastAsia="en-AU"/>
    </w:rPr>
  </w:style>
  <w:style w:type="paragraph" w:customStyle="1" w:styleId="HR">
    <w:name w:val="HR"/>
    <w:aliases w:val="Regulation Heading"/>
    <w:basedOn w:val="Normal"/>
    <w:next w:val="R1"/>
    <w:rsid w:val="00A90358"/>
    <w:pPr>
      <w:keepNext/>
      <w:tabs>
        <w:tab w:val="left" w:pos="964"/>
      </w:tabs>
      <w:spacing w:before="360" w:after="0"/>
      <w:ind w:left="567" w:hanging="567"/>
    </w:pPr>
    <w:rPr>
      <w:rFonts w:ascii="Helvetica" w:eastAsia="Times New Roman" w:hAnsi="Helvetica" w:cs="Times New Roman"/>
      <w:b/>
      <w:sz w:val="24"/>
      <w:szCs w:val="20"/>
      <w:lang w:eastAsia="en-AU"/>
    </w:rPr>
  </w:style>
  <w:style w:type="paragraph" w:customStyle="1" w:styleId="R1">
    <w:name w:val="R1"/>
    <w:aliases w:val="1. or 1.(1)"/>
    <w:basedOn w:val="Normal"/>
    <w:next w:val="P1"/>
    <w:rsid w:val="00A90358"/>
    <w:pPr>
      <w:tabs>
        <w:tab w:val="right" w:pos="794"/>
        <w:tab w:val="left" w:pos="964"/>
      </w:tabs>
      <w:spacing w:after="0" w:line="260" w:lineRule="exact"/>
      <w:ind w:left="964" w:hanging="964"/>
      <w:jc w:val="both"/>
    </w:pPr>
    <w:rPr>
      <w:rFonts w:ascii="Times" w:eastAsia="Times New Roman" w:hAnsi="Times" w:cs="Times New Roman"/>
      <w:sz w:val="24"/>
      <w:szCs w:val="20"/>
      <w:lang w:eastAsia="en-AU"/>
    </w:rPr>
  </w:style>
  <w:style w:type="paragraph" w:customStyle="1" w:styleId="P1">
    <w:name w:val="P1"/>
    <w:aliases w:val="(a)"/>
    <w:basedOn w:val="Normal"/>
    <w:rsid w:val="00A90358"/>
    <w:pPr>
      <w:keepNext/>
      <w:keepLines/>
      <w:tabs>
        <w:tab w:val="right" w:pos="1276"/>
      </w:tabs>
      <w:spacing w:before="40" w:after="0" w:line="260" w:lineRule="atLeast"/>
      <w:ind w:left="1560" w:hanging="1422"/>
      <w:jc w:val="both"/>
    </w:pPr>
    <w:rPr>
      <w:rFonts w:ascii="Times" w:eastAsia="Times New Roman" w:hAnsi="Times" w:cs="Times New Roman"/>
      <w:sz w:val="24"/>
      <w:szCs w:val="20"/>
      <w:lang w:eastAsia="en-AU"/>
    </w:rPr>
  </w:style>
  <w:style w:type="character" w:styleId="PageNumber">
    <w:name w:val="page number"/>
    <w:basedOn w:val="DefaultParagraphFont"/>
    <w:semiHidden/>
    <w:rsid w:val="00A90358"/>
  </w:style>
  <w:style w:type="paragraph" w:styleId="BodyTextIndent">
    <w:name w:val="Body Text Indent"/>
    <w:basedOn w:val="Normal"/>
    <w:link w:val="BodyTextIndentChar"/>
    <w:semiHidden/>
    <w:rsid w:val="00A90358"/>
    <w:pPr>
      <w:spacing w:after="0"/>
      <w:ind w:left="720"/>
      <w:jc w:val="both"/>
    </w:pPr>
    <w:rPr>
      <w:rFonts w:ascii="Times New Roman" w:eastAsia="Times New Roman" w:hAnsi="Times New Roman" w:cs="Times New Roman"/>
      <w:sz w:val="24"/>
      <w:szCs w:val="20"/>
      <w:lang w:eastAsia="en-AU"/>
    </w:rPr>
  </w:style>
  <w:style w:type="character" w:customStyle="1" w:styleId="BodyTextIndentChar">
    <w:name w:val="Body Text Indent Char"/>
    <w:basedOn w:val="DefaultParagraphFont"/>
    <w:link w:val="BodyTextIndent"/>
    <w:semiHidden/>
    <w:rsid w:val="00A90358"/>
    <w:rPr>
      <w:rFonts w:ascii="Times New Roman" w:eastAsia="Times New Roman" w:hAnsi="Times New Roman" w:cs="Times New Roman"/>
      <w:sz w:val="24"/>
      <w:szCs w:val="20"/>
      <w:lang w:eastAsia="en-AU"/>
    </w:rPr>
  </w:style>
  <w:style w:type="paragraph" w:styleId="BlockText">
    <w:name w:val="Block Text"/>
    <w:basedOn w:val="Normal"/>
    <w:semiHidden/>
    <w:rsid w:val="00A90358"/>
    <w:pPr>
      <w:numPr>
        <w:ilvl w:val="12"/>
      </w:numPr>
      <w:spacing w:before="0"/>
      <w:ind w:left="1418" w:right="1" w:hanging="1418"/>
    </w:pPr>
    <w:rPr>
      <w:rFonts w:ascii="Times New Roman" w:eastAsia="Times New Roman" w:hAnsi="Times New Roman" w:cs="Times New Roman"/>
      <w:sz w:val="24"/>
      <w:szCs w:val="20"/>
      <w:lang w:eastAsia="en-AU"/>
    </w:rPr>
  </w:style>
  <w:style w:type="paragraph" w:styleId="BodyTextIndent2">
    <w:name w:val="Body Text Indent 2"/>
    <w:basedOn w:val="Normal"/>
    <w:link w:val="BodyTextIndent2Char"/>
    <w:semiHidden/>
    <w:rsid w:val="00A90358"/>
    <w:pPr>
      <w:spacing w:before="0"/>
      <w:ind w:left="1418" w:hanging="709"/>
    </w:pPr>
    <w:rPr>
      <w:rFonts w:ascii="Times New Roman" w:eastAsia="Times New Roman" w:hAnsi="Times New Roman" w:cs="Times New Roman"/>
      <w:sz w:val="24"/>
      <w:szCs w:val="20"/>
      <w:lang w:eastAsia="en-AU"/>
    </w:rPr>
  </w:style>
  <w:style w:type="character" w:customStyle="1" w:styleId="BodyTextIndent2Char">
    <w:name w:val="Body Text Indent 2 Char"/>
    <w:basedOn w:val="DefaultParagraphFont"/>
    <w:link w:val="BodyTextIndent2"/>
    <w:semiHidden/>
    <w:rsid w:val="00A90358"/>
    <w:rPr>
      <w:rFonts w:ascii="Times New Roman" w:eastAsia="Times New Roman" w:hAnsi="Times New Roman" w:cs="Times New Roman"/>
      <w:sz w:val="24"/>
      <w:szCs w:val="20"/>
      <w:lang w:eastAsia="en-AU"/>
    </w:rPr>
  </w:style>
  <w:style w:type="paragraph" w:styleId="BodyTextIndent3">
    <w:name w:val="Body Text Indent 3"/>
    <w:basedOn w:val="Normal"/>
    <w:link w:val="BodyTextIndent3Char"/>
    <w:semiHidden/>
    <w:rsid w:val="00A90358"/>
    <w:pPr>
      <w:spacing w:before="0"/>
      <w:ind w:left="851" w:hanging="851"/>
    </w:pPr>
    <w:rPr>
      <w:rFonts w:ascii="Times New Roman" w:eastAsia="Times New Roman" w:hAnsi="Times New Roman" w:cs="Times New Roman"/>
      <w:sz w:val="24"/>
      <w:szCs w:val="20"/>
      <w:lang w:eastAsia="en-AU"/>
    </w:rPr>
  </w:style>
  <w:style w:type="character" w:customStyle="1" w:styleId="BodyTextIndent3Char">
    <w:name w:val="Body Text Indent 3 Char"/>
    <w:basedOn w:val="DefaultParagraphFont"/>
    <w:link w:val="BodyTextIndent3"/>
    <w:semiHidden/>
    <w:rsid w:val="00A90358"/>
    <w:rPr>
      <w:rFonts w:ascii="Times New Roman" w:eastAsia="Times New Roman" w:hAnsi="Times New Roman" w:cs="Times New Roman"/>
      <w:sz w:val="24"/>
      <w:szCs w:val="20"/>
      <w:lang w:eastAsia="en-AU"/>
    </w:rPr>
  </w:style>
  <w:style w:type="paragraph" w:customStyle="1" w:styleId="Style18">
    <w:name w:val="Style18"/>
    <w:rsid w:val="00A90358"/>
    <w:pPr>
      <w:spacing w:after="0" w:line="240" w:lineRule="auto"/>
    </w:pPr>
    <w:rPr>
      <w:rFonts w:ascii="Arial" w:eastAsia="Times New Roman" w:hAnsi="Arial" w:cs="Times New Roman"/>
      <w:snapToGrid w:val="0"/>
      <w:sz w:val="24"/>
      <w:szCs w:val="20"/>
      <w:lang w:val="en-US"/>
    </w:rPr>
  </w:style>
  <w:style w:type="paragraph" w:customStyle="1" w:styleId="Chapter">
    <w:name w:val="Chapter"/>
    <w:basedOn w:val="Normal"/>
    <w:rsid w:val="00A90358"/>
    <w:pPr>
      <w:spacing w:before="0" w:after="0"/>
    </w:pPr>
    <w:rPr>
      <w:rFonts w:ascii="Arial" w:eastAsia="Times New Roman" w:hAnsi="Arial" w:cs="Times New Roman"/>
      <w:spacing w:val="-52"/>
      <w:sz w:val="56"/>
      <w:szCs w:val="20"/>
      <w:lang w:val="en-US" w:eastAsia="en-AU"/>
    </w:rPr>
  </w:style>
  <w:style w:type="paragraph" w:customStyle="1" w:styleId="BodyText24">
    <w:name w:val="Body Text 24"/>
    <w:basedOn w:val="Normal"/>
    <w:semiHidden/>
    <w:rsid w:val="00A90358"/>
    <w:pPr>
      <w:spacing w:before="0" w:after="0"/>
      <w:ind w:left="1418" w:hanging="698"/>
    </w:pPr>
    <w:rPr>
      <w:rFonts w:ascii="Times New Roman" w:eastAsia="Times New Roman" w:hAnsi="Times New Roman" w:cs="Times New Roman"/>
      <w:sz w:val="24"/>
      <w:szCs w:val="20"/>
      <w:lang w:eastAsia="en-AU"/>
    </w:rPr>
  </w:style>
  <w:style w:type="paragraph" w:customStyle="1" w:styleId="Attclause">
    <w:name w:val="Att clause"/>
    <w:basedOn w:val="Normal"/>
    <w:rsid w:val="00A90358"/>
    <w:pPr>
      <w:numPr>
        <w:numId w:val="44"/>
      </w:numPr>
      <w:spacing w:before="240" w:after="0"/>
      <w:jc w:val="both"/>
    </w:pPr>
    <w:rPr>
      <w:rFonts w:ascii="Times New Roman" w:eastAsia="Times New Roman" w:hAnsi="Times New Roman" w:cs="Times New Roman"/>
      <w:sz w:val="24"/>
      <w:szCs w:val="20"/>
      <w:lang w:eastAsia="en-AU"/>
    </w:rPr>
  </w:style>
  <w:style w:type="paragraph" w:customStyle="1" w:styleId="TableIndnt">
    <w:name w:val="TableIndnt"/>
    <w:basedOn w:val="Normal"/>
    <w:rsid w:val="00A90358"/>
    <w:pPr>
      <w:spacing w:before="40" w:after="40"/>
      <w:ind w:left="986" w:hanging="561"/>
    </w:pPr>
    <w:rPr>
      <w:rFonts w:ascii="Times" w:eastAsia="Times New Roman" w:hAnsi="Times" w:cs="Times New Roman"/>
      <w:sz w:val="24"/>
      <w:szCs w:val="20"/>
      <w:lang w:eastAsia="en-AU"/>
    </w:rPr>
  </w:style>
  <w:style w:type="paragraph" w:customStyle="1" w:styleId="Style2">
    <w:name w:val="Style2"/>
    <w:basedOn w:val="Normal"/>
    <w:link w:val="Style2Char"/>
    <w:rsid w:val="00A90358"/>
    <w:pPr>
      <w:spacing w:before="0" w:after="0"/>
    </w:pPr>
    <w:rPr>
      <w:rFonts w:ascii="Arial" w:eastAsia="Times New Roman" w:hAnsi="Arial" w:cs="Times New Roman"/>
      <w:b/>
      <w:sz w:val="24"/>
      <w:szCs w:val="20"/>
      <w:lang w:eastAsia="en-AU"/>
    </w:rPr>
  </w:style>
  <w:style w:type="paragraph" w:customStyle="1" w:styleId="Captiontable">
    <w:name w:val="Caption table"/>
    <w:basedOn w:val="Caption"/>
    <w:qFormat/>
    <w:rsid w:val="00A90358"/>
    <w:pPr>
      <w:spacing w:before="0" w:after="0" w:line="240" w:lineRule="auto"/>
    </w:pPr>
    <w:rPr>
      <w:rFonts w:ascii="Times New Roman" w:hAnsi="Times New Roman"/>
      <w:b/>
      <w:bCs/>
      <w:color w:val="auto"/>
      <w:szCs w:val="20"/>
    </w:rPr>
  </w:style>
  <w:style w:type="character" w:customStyle="1" w:styleId="norm1">
    <w:name w:val="norm1"/>
    <w:rsid w:val="00A90358"/>
    <w:rPr>
      <w:rFonts w:ascii="Verdana" w:hAnsi="Verdana" w:hint="default"/>
    </w:rPr>
  </w:style>
  <w:style w:type="paragraph" w:customStyle="1" w:styleId="Arrow">
    <w:name w:val="Arrow"/>
    <w:basedOn w:val="Normal"/>
    <w:rsid w:val="00A90358"/>
    <w:pPr>
      <w:numPr>
        <w:numId w:val="45"/>
      </w:numPr>
      <w:spacing w:before="240" w:after="0"/>
      <w:jc w:val="both"/>
    </w:pPr>
    <w:rPr>
      <w:rFonts w:ascii="Times New (W1)" w:eastAsia="Times New Roman" w:hAnsi="Times New (W1)" w:cs="Times New Roman"/>
      <w:szCs w:val="20"/>
    </w:rPr>
  </w:style>
  <w:style w:type="paragraph" w:customStyle="1" w:styleId="StyleHeading5Before6ptAfter3pt">
    <w:name w:val="Style Heading 5 + Before:  6 pt After:  3 pt"/>
    <w:basedOn w:val="Heading5"/>
    <w:rsid w:val="00A90358"/>
    <w:pPr>
      <w:keepLines w:val="0"/>
      <w:spacing w:before="120" w:after="60"/>
      <w:jc w:val="both"/>
    </w:pPr>
    <w:rPr>
      <w:rFonts w:ascii="Times New (W1)" w:eastAsia="Times New Roman" w:hAnsi="Times New (W1)" w:cs="Times New Roman"/>
      <w:b/>
      <w:bCs/>
      <w:color w:val="auto"/>
      <w:szCs w:val="20"/>
    </w:rPr>
  </w:style>
  <w:style w:type="paragraph" w:customStyle="1" w:styleId="StyleHeading5Before6ptAfter6pt">
    <w:name w:val="Style Heading 5 + Before:  6 pt After:  6 pt"/>
    <w:basedOn w:val="Heading5"/>
    <w:rsid w:val="00A90358"/>
    <w:pPr>
      <w:keepLines w:val="0"/>
      <w:spacing w:before="120" w:after="120"/>
      <w:jc w:val="both"/>
    </w:pPr>
    <w:rPr>
      <w:rFonts w:ascii="Times New (W1)" w:eastAsia="Times New Roman" w:hAnsi="Times New (W1)" w:cs="Times New Roman"/>
      <w:b/>
      <w:bCs/>
      <w:color w:val="auto"/>
      <w:szCs w:val="20"/>
    </w:rPr>
  </w:style>
  <w:style w:type="paragraph" w:customStyle="1" w:styleId="StyleHeading5Before18ptAfter6pt">
    <w:name w:val="Style Heading 5 + Before:  18 pt After:  6 pt"/>
    <w:basedOn w:val="Heading5"/>
    <w:rsid w:val="00A90358"/>
    <w:pPr>
      <w:keepLines w:val="0"/>
      <w:spacing w:before="360" w:after="120"/>
      <w:jc w:val="both"/>
    </w:pPr>
    <w:rPr>
      <w:rFonts w:ascii="Times New (W1)" w:eastAsia="Times New Roman" w:hAnsi="Times New (W1)" w:cs="Times New Roman"/>
      <w:b/>
      <w:bCs/>
      <w:color w:val="auto"/>
      <w:szCs w:val="20"/>
    </w:rPr>
  </w:style>
  <w:style w:type="paragraph" w:customStyle="1" w:styleId="StyleHeading112ptBoldJustifiedBefore6pt">
    <w:name w:val="Style Heading 1 + 12 pt Bold Justified Before:  6 pt"/>
    <w:basedOn w:val="Heading1"/>
    <w:rsid w:val="00A90358"/>
    <w:pPr>
      <w:tabs>
        <w:tab w:val="left" w:pos="0"/>
        <w:tab w:val="left" w:pos="567"/>
      </w:tabs>
      <w:spacing w:before="120" w:after="0" w:line="240" w:lineRule="auto"/>
      <w:jc w:val="both"/>
    </w:pPr>
    <w:rPr>
      <w:rFonts w:ascii="Times New Roman" w:eastAsia="Times New Roman" w:hAnsi="Times New Roman" w:cs="Times New Roman"/>
      <w:bCs/>
      <w:color w:val="auto"/>
      <w:kern w:val="28"/>
      <w:sz w:val="24"/>
      <w:szCs w:val="20"/>
    </w:rPr>
  </w:style>
  <w:style w:type="paragraph" w:customStyle="1" w:styleId="StyleHeading5After6pt">
    <w:name w:val="Style Heading 5 + After:  6 pt"/>
    <w:basedOn w:val="Heading5"/>
    <w:rsid w:val="00A90358"/>
    <w:pPr>
      <w:keepLines w:val="0"/>
      <w:spacing w:before="240" w:after="120"/>
      <w:jc w:val="both"/>
    </w:pPr>
    <w:rPr>
      <w:rFonts w:ascii="Times New (W1)" w:eastAsia="Times New Roman" w:hAnsi="Times New (W1)" w:cs="Times New Roman"/>
      <w:b/>
      <w:bCs/>
      <w:color w:val="auto"/>
      <w:szCs w:val="20"/>
    </w:rPr>
  </w:style>
  <w:style w:type="paragraph" w:customStyle="1" w:styleId="StyleHeading112pt">
    <w:name w:val="Style Heading 1 + 12 pt"/>
    <w:basedOn w:val="Heading1"/>
    <w:rsid w:val="00A90358"/>
    <w:pPr>
      <w:tabs>
        <w:tab w:val="left" w:pos="0"/>
        <w:tab w:val="left" w:pos="567"/>
      </w:tabs>
      <w:spacing w:before="0" w:after="0" w:line="240" w:lineRule="auto"/>
      <w:jc w:val="both"/>
    </w:pPr>
    <w:rPr>
      <w:rFonts w:ascii="Times New Roman" w:eastAsia="Times New Roman" w:hAnsi="Times New Roman" w:cs="Times New Roman"/>
      <w:b/>
      <w:color w:val="auto"/>
      <w:kern w:val="28"/>
      <w:sz w:val="24"/>
      <w:szCs w:val="20"/>
    </w:rPr>
  </w:style>
  <w:style w:type="character" w:customStyle="1" w:styleId="Heading1CharChar">
    <w:name w:val="Heading 1 Char Char"/>
    <w:rsid w:val="00A90358"/>
    <w:rPr>
      <w:rFonts w:ascii="Arial Bold" w:hAnsi="Arial Bold"/>
      <w:b/>
      <w:kern w:val="28"/>
      <w:sz w:val="28"/>
      <w:lang w:val="en-AU" w:eastAsia="en-US" w:bidi="ar-SA"/>
    </w:rPr>
  </w:style>
  <w:style w:type="character" w:customStyle="1" w:styleId="StyleHeading112ptChar">
    <w:name w:val="Style Heading 1 + 12 pt Char"/>
    <w:rsid w:val="00A90358"/>
    <w:rPr>
      <w:rFonts w:ascii="Arial Bold" w:hAnsi="Arial Bold"/>
      <w:b/>
      <w:kern w:val="28"/>
      <w:sz w:val="24"/>
      <w:lang w:val="en-AU" w:eastAsia="en-US" w:bidi="ar-SA"/>
    </w:rPr>
  </w:style>
  <w:style w:type="paragraph" w:customStyle="1" w:styleId="StyleHeading212ptBoldJustifiedBefore6ptAfter6">
    <w:name w:val="Style Heading 2 + 12 pt Bold Justified Before:  6 pt After:  6 ..."/>
    <w:basedOn w:val="Heading2"/>
    <w:rsid w:val="00A90358"/>
    <w:pPr>
      <w:tabs>
        <w:tab w:val="left" w:pos="567"/>
      </w:tabs>
      <w:spacing w:before="120" w:after="120" w:line="240" w:lineRule="auto"/>
      <w:jc w:val="both"/>
    </w:pPr>
    <w:rPr>
      <w:rFonts w:ascii="Times New Roman" w:eastAsia="Times New Roman" w:hAnsi="Times New Roman" w:cs="Times New Roman"/>
      <w:b w:val="0"/>
      <w:bCs/>
      <w:color w:val="auto"/>
      <w:sz w:val="24"/>
      <w:szCs w:val="20"/>
    </w:rPr>
  </w:style>
  <w:style w:type="paragraph" w:customStyle="1" w:styleId="StyleHeading2BoldItalicRight0cmAfter6pt">
    <w:name w:val="Style Heading 2 + Bold Italic Right:  0 cm After:  6 pt"/>
    <w:basedOn w:val="Heading2"/>
    <w:rsid w:val="00A90358"/>
    <w:pPr>
      <w:tabs>
        <w:tab w:val="left" w:pos="567"/>
      </w:tabs>
      <w:spacing w:before="0" w:after="120" w:line="240" w:lineRule="auto"/>
      <w:ind w:right="1"/>
      <w:jc w:val="both"/>
    </w:pPr>
    <w:rPr>
      <w:rFonts w:ascii="Times New Roman" w:eastAsia="Times New Roman" w:hAnsi="Times New Roman" w:cs="Times New Roman"/>
      <w:b w:val="0"/>
      <w:bCs/>
      <w:i/>
      <w:iCs/>
      <w:color w:val="auto"/>
      <w:sz w:val="26"/>
      <w:szCs w:val="20"/>
    </w:rPr>
  </w:style>
  <w:style w:type="paragraph" w:customStyle="1" w:styleId="StyleHeading2BoldItalicBefore6ptAfter6pt">
    <w:name w:val="Style Heading 2 + Bold Italic Before:  6 pt After:  6 pt"/>
    <w:basedOn w:val="Heading2"/>
    <w:rsid w:val="00A90358"/>
    <w:pPr>
      <w:tabs>
        <w:tab w:val="left" w:pos="567"/>
      </w:tabs>
      <w:spacing w:before="120" w:after="120" w:line="240" w:lineRule="auto"/>
      <w:jc w:val="both"/>
    </w:pPr>
    <w:rPr>
      <w:rFonts w:ascii="Times New Roman" w:eastAsia="Times New Roman" w:hAnsi="Times New Roman" w:cs="Times New Roman"/>
      <w:b w:val="0"/>
      <w:bCs/>
      <w:i/>
      <w:iCs/>
      <w:color w:val="auto"/>
      <w:sz w:val="26"/>
      <w:szCs w:val="20"/>
    </w:rPr>
  </w:style>
  <w:style w:type="paragraph" w:customStyle="1" w:styleId="StyleHeading1Bold">
    <w:name w:val="Style Heading 1 + Bold"/>
    <w:basedOn w:val="Heading1"/>
    <w:rsid w:val="00A90358"/>
    <w:pPr>
      <w:tabs>
        <w:tab w:val="left" w:pos="0"/>
        <w:tab w:val="left" w:pos="567"/>
      </w:tabs>
      <w:spacing w:before="0" w:after="0" w:line="240" w:lineRule="auto"/>
      <w:jc w:val="both"/>
    </w:pPr>
    <w:rPr>
      <w:rFonts w:ascii="Times New Roman" w:eastAsia="Times New Roman" w:hAnsi="Times New Roman" w:cs="Times New Roman"/>
      <w:bCs/>
      <w:color w:val="auto"/>
      <w:kern w:val="28"/>
      <w:sz w:val="36"/>
      <w:szCs w:val="20"/>
    </w:rPr>
  </w:style>
  <w:style w:type="paragraph" w:styleId="DocumentMap">
    <w:name w:val="Document Map"/>
    <w:basedOn w:val="Normal"/>
    <w:link w:val="DocumentMapChar"/>
    <w:semiHidden/>
    <w:rsid w:val="00A90358"/>
    <w:pPr>
      <w:shd w:val="clear" w:color="auto" w:fill="000080"/>
      <w:spacing w:before="0" w:after="0"/>
      <w:jc w:val="both"/>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A90358"/>
    <w:rPr>
      <w:rFonts w:ascii="Tahoma" w:eastAsia="Times New Roman" w:hAnsi="Tahoma" w:cs="Tahoma"/>
      <w:sz w:val="20"/>
      <w:szCs w:val="20"/>
      <w:shd w:val="clear" w:color="auto" w:fill="000080"/>
    </w:rPr>
  </w:style>
  <w:style w:type="paragraph" w:customStyle="1" w:styleId="StyleHeading1Left0cmHanging16cm">
    <w:name w:val="Style Heading 1 + Left:  0 cm Hanging:  1.6 cm"/>
    <w:basedOn w:val="Default"/>
    <w:next w:val="Default"/>
    <w:rsid w:val="00A90358"/>
    <w:rPr>
      <w:rFonts w:ascii="Arial" w:eastAsia="Times New Roman" w:hAnsi="Arial" w:cs="Times New Roman"/>
      <w:color w:val="auto"/>
      <w:sz w:val="20"/>
      <w:lang w:val="en-US"/>
    </w:rPr>
  </w:style>
  <w:style w:type="character" w:customStyle="1" w:styleId="CharChar">
    <w:name w:val="Char Char"/>
    <w:rsid w:val="00A90358"/>
    <w:rPr>
      <w:kern w:val="28"/>
      <w:sz w:val="22"/>
      <w:lang w:val="en-AU" w:eastAsia="en-US" w:bidi="ar-SA"/>
    </w:rPr>
  </w:style>
  <w:style w:type="paragraph" w:customStyle="1" w:styleId="TOCI">
    <w:name w:val="TOCI"/>
    <w:basedOn w:val="Default"/>
    <w:next w:val="Default"/>
    <w:rsid w:val="00A90358"/>
    <w:rPr>
      <w:rFonts w:ascii="Arial" w:eastAsia="Times New Roman" w:hAnsi="Arial" w:cs="Times New Roman"/>
      <w:color w:val="auto"/>
      <w:sz w:val="20"/>
      <w:lang w:val="en-US"/>
    </w:rPr>
  </w:style>
  <w:style w:type="paragraph" w:styleId="EndnoteText">
    <w:name w:val="endnote text"/>
    <w:basedOn w:val="Normal"/>
    <w:link w:val="EndnoteTextChar"/>
    <w:uiPriority w:val="99"/>
    <w:semiHidden/>
    <w:unhideWhenUsed/>
    <w:rsid w:val="00A90358"/>
    <w:pPr>
      <w:spacing w:before="0" w:after="0"/>
      <w:jc w:val="both"/>
    </w:pPr>
    <w:rPr>
      <w:rFonts w:ascii="Times New (W1)" w:eastAsia="Times New Roman" w:hAnsi="Times New (W1)" w:cs="Times New Roman"/>
      <w:sz w:val="20"/>
      <w:szCs w:val="20"/>
    </w:rPr>
  </w:style>
  <w:style w:type="character" w:customStyle="1" w:styleId="EndnoteTextChar">
    <w:name w:val="Endnote Text Char"/>
    <w:basedOn w:val="DefaultParagraphFont"/>
    <w:link w:val="EndnoteText"/>
    <w:uiPriority w:val="99"/>
    <w:semiHidden/>
    <w:rsid w:val="00A90358"/>
    <w:rPr>
      <w:rFonts w:ascii="Times New (W1)" w:eastAsia="Times New Roman" w:hAnsi="Times New (W1)" w:cs="Times New Roman"/>
      <w:sz w:val="20"/>
      <w:szCs w:val="20"/>
    </w:rPr>
  </w:style>
  <w:style w:type="character" w:styleId="EndnoteReference">
    <w:name w:val="endnote reference"/>
    <w:uiPriority w:val="99"/>
    <w:semiHidden/>
    <w:unhideWhenUsed/>
    <w:rsid w:val="00A90358"/>
    <w:rPr>
      <w:vertAlign w:val="superscript"/>
    </w:rPr>
  </w:style>
  <w:style w:type="character" w:customStyle="1" w:styleId="bodycopy1">
    <w:name w:val="bodycopy1"/>
    <w:rsid w:val="00A90358"/>
    <w:rPr>
      <w:rFonts w:ascii="Verdana" w:hAnsi="Verdana" w:hint="default"/>
      <w:b w:val="0"/>
      <w:bCs w:val="0"/>
      <w:strike w:val="0"/>
      <w:dstrike w:val="0"/>
      <w:color w:val="000000"/>
      <w:sz w:val="17"/>
      <w:szCs w:val="17"/>
      <w:u w:val="none"/>
      <w:effect w:val="none"/>
    </w:rPr>
  </w:style>
  <w:style w:type="character" w:customStyle="1" w:styleId="Style2Char">
    <w:name w:val="Style2 Char"/>
    <w:link w:val="Style2"/>
    <w:rsid w:val="00A90358"/>
    <w:rPr>
      <w:rFonts w:ascii="Arial" w:eastAsia="Times New Roman" w:hAnsi="Arial" w:cs="Times New Roman"/>
      <w:b/>
      <w:sz w:val="24"/>
      <w:szCs w:val="20"/>
      <w:lang w:eastAsia="en-AU"/>
    </w:rPr>
  </w:style>
  <w:style w:type="numbering" w:customStyle="1" w:styleId="Style1">
    <w:name w:val="Style1"/>
    <w:uiPriority w:val="99"/>
    <w:rsid w:val="00A90358"/>
    <w:pPr>
      <w:numPr>
        <w:numId w:val="46"/>
      </w:numPr>
    </w:pPr>
  </w:style>
  <w:style w:type="paragraph" w:customStyle="1" w:styleId="Figureheading">
    <w:name w:val="Figure heading"/>
    <w:basedOn w:val="BodyText"/>
    <w:rsid w:val="00A90358"/>
    <w:pPr>
      <w:spacing w:before="120" w:after="120"/>
      <w:jc w:val="both"/>
    </w:pPr>
    <w:rPr>
      <w:rFonts w:ascii="Arial" w:hAnsi="Arial" w:cs="Arial"/>
      <w:bCs/>
      <w:sz w:val="22"/>
      <w:szCs w:val="22"/>
      <w:lang w:val="en-US"/>
    </w:rPr>
  </w:style>
  <w:style w:type="paragraph" w:styleId="Index1">
    <w:name w:val="index 1"/>
    <w:basedOn w:val="Normal"/>
    <w:next w:val="Normal"/>
    <w:autoRedefine/>
    <w:uiPriority w:val="99"/>
    <w:rsid w:val="00A90358"/>
    <w:pPr>
      <w:spacing w:before="0" w:after="0"/>
      <w:ind w:left="220" w:hanging="220"/>
      <w:jc w:val="both"/>
    </w:pPr>
    <w:rPr>
      <w:rFonts w:ascii="Times New (W1)" w:eastAsia="Times New Roman" w:hAnsi="Times New (W1)" w:cs="Times New Roman"/>
      <w:szCs w:val="20"/>
    </w:rPr>
  </w:style>
  <w:style w:type="paragraph" w:customStyle="1" w:styleId="DefaultParagraph">
    <w:name w:val="Default Paragraph"/>
    <w:basedOn w:val="Normal"/>
    <w:rsid w:val="00A90358"/>
    <w:pPr>
      <w:spacing w:before="0"/>
      <w:jc w:val="both"/>
    </w:pPr>
    <w:rPr>
      <w:rFonts w:ascii="Arial" w:eastAsia="Times New Roman" w:hAnsi="Arial" w:cs="Times New Roman"/>
      <w:sz w:val="24"/>
      <w:szCs w:val="20"/>
    </w:rPr>
  </w:style>
  <w:style w:type="paragraph" w:customStyle="1" w:styleId="Pa23">
    <w:name w:val="Pa23"/>
    <w:basedOn w:val="Default"/>
    <w:next w:val="Default"/>
    <w:uiPriority w:val="99"/>
    <w:rsid w:val="00A90358"/>
    <w:pPr>
      <w:spacing w:line="281" w:lineRule="atLeast"/>
    </w:pPr>
    <w:rPr>
      <w:rFonts w:ascii="GillSans Light" w:eastAsia="Times New Roman" w:hAnsi="GillSans Light" w:cs="Times New Roman"/>
      <w:color w:val="auto"/>
      <w:lang w:val="en-US"/>
    </w:rPr>
  </w:style>
  <w:style w:type="paragraph" w:customStyle="1" w:styleId="TableBoxtext">
    <w:name w:val="Table/Box text"/>
    <w:next w:val="Normal"/>
    <w:uiPriority w:val="27"/>
    <w:qFormat/>
    <w:rsid w:val="00A90358"/>
    <w:pPr>
      <w:spacing w:after="0" w:line="240" w:lineRule="auto"/>
    </w:pPr>
    <w:rPr>
      <w:rFonts w:ascii="Cambria" w:eastAsia="Calibri" w:hAnsi="Cambria" w:cs="Times New Roman"/>
      <w:color w:val="000000"/>
      <w:sz w:val="19"/>
    </w:rPr>
  </w:style>
  <w:style w:type="character" w:customStyle="1" w:styleId="st1">
    <w:name w:val="st1"/>
    <w:rsid w:val="00A90358"/>
  </w:style>
  <w:style w:type="character" w:customStyle="1" w:styleId="wffiletext">
    <w:name w:val="wf_file_text"/>
    <w:rsid w:val="00A90358"/>
  </w:style>
  <w:style w:type="character" w:customStyle="1" w:styleId="wffilesize">
    <w:name w:val="wf_file_size"/>
    <w:rsid w:val="00A90358"/>
  </w:style>
  <w:style w:type="character" w:customStyle="1" w:styleId="xbe">
    <w:name w:val="_xbe"/>
    <w:rsid w:val="00A90358"/>
  </w:style>
  <w:style w:type="table" w:customStyle="1" w:styleId="GridTable1Light1">
    <w:name w:val="Grid Table 1 Light1"/>
    <w:basedOn w:val="TableNormal"/>
    <w:uiPriority w:val="46"/>
    <w:rsid w:val="00A9035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a1">
    <w:name w:val="Pa1"/>
    <w:basedOn w:val="Default"/>
    <w:next w:val="Default"/>
    <w:uiPriority w:val="99"/>
    <w:rsid w:val="00A90358"/>
    <w:pPr>
      <w:spacing w:line="201" w:lineRule="atLeast"/>
    </w:pPr>
    <w:rPr>
      <w:rFonts w:ascii="Officina Sans ITC TT" w:eastAsia="Calibri" w:hAnsi="Officina Sans ITC TT" w:cs="Times New Roman"/>
      <w:color w:val="auto"/>
    </w:rPr>
  </w:style>
  <w:style w:type="character" w:customStyle="1" w:styleId="subheading-category">
    <w:name w:val="subheading-category"/>
    <w:rsid w:val="00A90358"/>
  </w:style>
  <w:style w:type="paragraph" w:customStyle="1" w:styleId="QTBDot">
    <w:name w:val="QTBDot"/>
    <w:basedOn w:val="Normal"/>
    <w:link w:val="QTBDotChar"/>
    <w:rsid w:val="00A90358"/>
    <w:pPr>
      <w:tabs>
        <w:tab w:val="num" w:pos="567"/>
      </w:tabs>
      <w:spacing w:before="0" w:line="360" w:lineRule="auto"/>
      <w:ind w:left="567" w:hanging="567"/>
    </w:pPr>
    <w:rPr>
      <w:rFonts w:ascii="Arial" w:eastAsia="Times New Roman" w:hAnsi="Arial" w:cs="Times New Roman"/>
      <w:sz w:val="28"/>
      <w:szCs w:val="20"/>
    </w:rPr>
  </w:style>
  <w:style w:type="character" w:customStyle="1" w:styleId="QTBDotChar">
    <w:name w:val="QTBDot Char"/>
    <w:link w:val="QTBDot"/>
    <w:locked/>
    <w:rsid w:val="00A90358"/>
    <w:rPr>
      <w:rFonts w:ascii="Arial" w:eastAsia="Times New Roman" w:hAnsi="Arial" w:cs="Times New Roman"/>
      <w:sz w:val="28"/>
      <w:szCs w:val="20"/>
    </w:rPr>
  </w:style>
  <w:style w:type="paragraph" w:customStyle="1" w:styleId="CharChar1Char">
    <w:name w:val="Char Char1 Char"/>
    <w:basedOn w:val="Normal"/>
    <w:rsid w:val="00A90358"/>
    <w:pPr>
      <w:spacing w:before="0" w:after="0"/>
    </w:pPr>
    <w:rPr>
      <w:rFonts w:ascii="Arial" w:eastAsia="Times New Roman" w:hAnsi="Arial" w:cs="Times New Roman"/>
      <w:szCs w:val="20"/>
    </w:rPr>
  </w:style>
  <w:style w:type="paragraph" w:customStyle="1" w:styleId="Captionmap">
    <w:name w:val="Caption map"/>
    <w:basedOn w:val="Caption"/>
    <w:qFormat/>
    <w:rsid w:val="00A90358"/>
    <w:pPr>
      <w:keepNext/>
      <w:tabs>
        <w:tab w:val="left" w:pos="0"/>
      </w:tabs>
      <w:spacing w:before="0" w:after="0" w:line="240" w:lineRule="auto"/>
    </w:pPr>
    <w:rPr>
      <w:rFonts w:ascii="Times New Roman" w:hAnsi="Times New Roman"/>
      <w:b/>
      <w:bCs/>
      <w:color w:val="auto"/>
      <w:szCs w:val="20"/>
    </w:rPr>
  </w:style>
  <w:style w:type="paragraph" w:customStyle="1" w:styleId="Captionfigure">
    <w:name w:val="Caption figure"/>
    <w:basedOn w:val="Caption"/>
    <w:qFormat/>
    <w:rsid w:val="00A90358"/>
    <w:pPr>
      <w:spacing w:before="0" w:after="0" w:line="240" w:lineRule="auto"/>
    </w:pPr>
    <w:rPr>
      <w:rFonts w:ascii="Times New Roman" w:hAnsi="Times New Roman"/>
      <w:b/>
      <w:bCs/>
      <w:color w:val="auto"/>
      <w:szCs w:val="20"/>
    </w:rPr>
  </w:style>
  <w:style w:type="numbering" w:customStyle="1" w:styleId="NoList1">
    <w:name w:val="No List1"/>
    <w:next w:val="NoList"/>
    <w:uiPriority w:val="99"/>
    <w:semiHidden/>
    <w:unhideWhenUsed/>
    <w:rsid w:val="00A90358"/>
  </w:style>
  <w:style w:type="table" w:customStyle="1" w:styleId="TableGrid1">
    <w:name w:val="Table Grid1"/>
    <w:basedOn w:val="TableNormal"/>
    <w:next w:val="TableGrid"/>
    <w:uiPriority w:val="39"/>
    <w:rsid w:val="00A90358"/>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A90358"/>
    <w:pPr>
      <w:numPr>
        <w:numId w:val="43"/>
      </w:numPr>
    </w:pPr>
  </w:style>
  <w:style w:type="table" w:customStyle="1" w:styleId="GridTable1Light11">
    <w:name w:val="Grid Table 1 Light11"/>
    <w:basedOn w:val="TableNormal"/>
    <w:uiPriority w:val="46"/>
    <w:rsid w:val="00A90358"/>
    <w:pPr>
      <w:spacing w:after="0" w:line="240" w:lineRule="auto"/>
    </w:pPr>
    <w:rPr>
      <w:rFonts w:ascii="Calibri" w:eastAsia="Calibri" w:hAnsi="Calibri" w:cs="Times New Roman"/>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38345">
      <w:bodyDiv w:val="1"/>
      <w:marLeft w:val="0"/>
      <w:marRight w:val="0"/>
      <w:marTop w:val="0"/>
      <w:marBottom w:val="0"/>
      <w:divBdr>
        <w:top w:val="none" w:sz="0" w:space="0" w:color="auto"/>
        <w:left w:val="none" w:sz="0" w:space="0" w:color="auto"/>
        <w:bottom w:val="none" w:sz="0" w:space="0" w:color="auto"/>
        <w:right w:val="none" w:sz="0" w:space="0" w:color="auto"/>
      </w:divBdr>
    </w:div>
    <w:div w:id="83573186">
      <w:bodyDiv w:val="1"/>
      <w:marLeft w:val="0"/>
      <w:marRight w:val="0"/>
      <w:marTop w:val="0"/>
      <w:marBottom w:val="0"/>
      <w:divBdr>
        <w:top w:val="none" w:sz="0" w:space="0" w:color="auto"/>
        <w:left w:val="none" w:sz="0" w:space="0" w:color="auto"/>
        <w:bottom w:val="none" w:sz="0" w:space="0" w:color="auto"/>
        <w:right w:val="none" w:sz="0" w:space="0" w:color="auto"/>
      </w:divBdr>
    </w:div>
    <w:div w:id="94256164">
      <w:bodyDiv w:val="1"/>
      <w:marLeft w:val="0"/>
      <w:marRight w:val="0"/>
      <w:marTop w:val="0"/>
      <w:marBottom w:val="0"/>
      <w:divBdr>
        <w:top w:val="none" w:sz="0" w:space="0" w:color="auto"/>
        <w:left w:val="none" w:sz="0" w:space="0" w:color="auto"/>
        <w:bottom w:val="none" w:sz="0" w:space="0" w:color="auto"/>
        <w:right w:val="none" w:sz="0" w:space="0" w:color="auto"/>
      </w:divBdr>
    </w:div>
    <w:div w:id="97257462">
      <w:bodyDiv w:val="1"/>
      <w:marLeft w:val="0"/>
      <w:marRight w:val="0"/>
      <w:marTop w:val="0"/>
      <w:marBottom w:val="0"/>
      <w:divBdr>
        <w:top w:val="none" w:sz="0" w:space="0" w:color="auto"/>
        <w:left w:val="none" w:sz="0" w:space="0" w:color="auto"/>
        <w:bottom w:val="none" w:sz="0" w:space="0" w:color="auto"/>
        <w:right w:val="none" w:sz="0" w:space="0" w:color="auto"/>
      </w:divBdr>
    </w:div>
    <w:div w:id="157380165">
      <w:bodyDiv w:val="1"/>
      <w:marLeft w:val="0"/>
      <w:marRight w:val="0"/>
      <w:marTop w:val="0"/>
      <w:marBottom w:val="0"/>
      <w:divBdr>
        <w:top w:val="none" w:sz="0" w:space="0" w:color="auto"/>
        <w:left w:val="none" w:sz="0" w:space="0" w:color="auto"/>
        <w:bottom w:val="none" w:sz="0" w:space="0" w:color="auto"/>
        <w:right w:val="none" w:sz="0" w:space="0" w:color="auto"/>
      </w:divBdr>
    </w:div>
    <w:div w:id="175314793">
      <w:bodyDiv w:val="1"/>
      <w:marLeft w:val="0"/>
      <w:marRight w:val="0"/>
      <w:marTop w:val="0"/>
      <w:marBottom w:val="0"/>
      <w:divBdr>
        <w:top w:val="none" w:sz="0" w:space="0" w:color="auto"/>
        <w:left w:val="none" w:sz="0" w:space="0" w:color="auto"/>
        <w:bottom w:val="none" w:sz="0" w:space="0" w:color="auto"/>
        <w:right w:val="none" w:sz="0" w:space="0" w:color="auto"/>
      </w:divBdr>
    </w:div>
    <w:div w:id="215287525">
      <w:bodyDiv w:val="1"/>
      <w:marLeft w:val="0"/>
      <w:marRight w:val="0"/>
      <w:marTop w:val="0"/>
      <w:marBottom w:val="0"/>
      <w:divBdr>
        <w:top w:val="none" w:sz="0" w:space="0" w:color="auto"/>
        <w:left w:val="none" w:sz="0" w:space="0" w:color="auto"/>
        <w:bottom w:val="none" w:sz="0" w:space="0" w:color="auto"/>
        <w:right w:val="none" w:sz="0" w:space="0" w:color="auto"/>
      </w:divBdr>
      <w:divsChild>
        <w:div w:id="1757358723">
          <w:marLeft w:val="0"/>
          <w:marRight w:val="0"/>
          <w:marTop w:val="0"/>
          <w:marBottom w:val="0"/>
          <w:divBdr>
            <w:top w:val="none" w:sz="0" w:space="0" w:color="auto"/>
            <w:left w:val="none" w:sz="0" w:space="0" w:color="auto"/>
            <w:bottom w:val="none" w:sz="0" w:space="0" w:color="auto"/>
            <w:right w:val="none" w:sz="0" w:space="0" w:color="auto"/>
          </w:divBdr>
          <w:divsChild>
            <w:div w:id="50541153">
              <w:marLeft w:val="0"/>
              <w:marRight w:val="0"/>
              <w:marTop w:val="0"/>
              <w:marBottom w:val="0"/>
              <w:divBdr>
                <w:top w:val="none" w:sz="0" w:space="0" w:color="auto"/>
                <w:left w:val="none" w:sz="0" w:space="0" w:color="auto"/>
                <w:bottom w:val="none" w:sz="0" w:space="0" w:color="auto"/>
                <w:right w:val="none" w:sz="0" w:space="0" w:color="auto"/>
              </w:divBdr>
            </w:div>
            <w:div w:id="58864668">
              <w:marLeft w:val="0"/>
              <w:marRight w:val="0"/>
              <w:marTop w:val="0"/>
              <w:marBottom w:val="0"/>
              <w:divBdr>
                <w:top w:val="none" w:sz="0" w:space="0" w:color="auto"/>
                <w:left w:val="none" w:sz="0" w:space="0" w:color="auto"/>
                <w:bottom w:val="none" w:sz="0" w:space="0" w:color="auto"/>
                <w:right w:val="none" w:sz="0" w:space="0" w:color="auto"/>
              </w:divBdr>
            </w:div>
            <w:div w:id="74128673">
              <w:marLeft w:val="0"/>
              <w:marRight w:val="0"/>
              <w:marTop w:val="0"/>
              <w:marBottom w:val="0"/>
              <w:divBdr>
                <w:top w:val="none" w:sz="0" w:space="0" w:color="auto"/>
                <w:left w:val="none" w:sz="0" w:space="0" w:color="auto"/>
                <w:bottom w:val="none" w:sz="0" w:space="0" w:color="auto"/>
                <w:right w:val="none" w:sz="0" w:space="0" w:color="auto"/>
              </w:divBdr>
            </w:div>
            <w:div w:id="87969799">
              <w:marLeft w:val="0"/>
              <w:marRight w:val="0"/>
              <w:marTop w:val="0"/>
              <w:marBottom w:val="0"/>
              <w:divBdr>
                <w:top w:val="none" w:sz="0" w:space="0" w:color="auto"/>
                <w:left w:val="none" w:sz="0" w:space="0" w:color="auto"/>
                <w:bottom w:val="none" w:sz="0" w:space="0" w:color="auto"/>
                <w:right w:val="none" w:sz="0" w:space="0" w:color="auto"/>
              </w:divBdr>
            </w:div>
            <w:div w:id="125130050">
              <w:marLeft w:val="0"/>
              <w:marRight w:val="0"/>
              <w:marTop w:val="0"/>
              <w:marBottom w:val="0"/>
              <w:divBdr>
                <w:top w:val="none" w:sz="0" w:space="0" w:color="auto"/>
                <w:left w:val="none" w:sz="0" w:space="0" w:color="auto"/>
                <w:bottom w:val="none" w:sz="0" w:space="0" w:color="auto"/>
                <w:right w:val="none" w:sz="0" w:space="0" w:color="auto"/>
              </w:divBdr>
            </w:div>
            <w:div w:id="189532445">
              <w:marLeft w:val="0"/>
              <w:marRight w:val="0"/>
              <w:marTop w:val="0"/>
              <w:marBottom w:val="0"/>
              <w:divBdr>
                <w:top w:val="none" w:sz="0" w:space="0" w:color="auto"/>
                <w:left w:val="none" w:sz="0" w:space="0" w:color="auto"/>
                <w:bottom w:val="none" w:sz="0" w:space="0" w:color="auto"/>
                <w:right w:val="none" w:sz="0" w:space="0" w:color="auto"/>
              </w:divBdr>
            </w:div>
            <w:div w:id="201944969">
              <w:marLeft w:val="0"/>
              <w:marRight w:val="0"/>
              <w:marTop w:val="0"/>
              <w:marBottom w:val="0"/>
              <w:divBdr>
                <w:top w:val="none" w:sz="0" w:space="0" w:color="auto"/>
                <w:left w:val="none" w:sz="0" w:space="0" w:color="auto"/>
                <w:bottom w:val="none" w:sz="0" w:space="0" w:color="auto"/>
                <w:right w:val="none" w:sz="0" w:space="0" w:color="auto"/>
              </w:divBdr>
            </w:div>
            <w:div w:id="212810596">
              <w:marLeft w:val="0"/>
              <w:marRight w:val="0"/>
              <w:marTop w:val="0"/>
              <w:marBottom w:val="0"/>
              <w:divBdr>
                <w:top w:val="none" w:sz="0" w:space="0" w:color="auto"/>
                <w:left w:val="none" w:sz="0" w:space="0" w:color="auto"/>
                <w:bottom w:val="none" w:sz="0" w:space="0" w:color="auto"/>
                <w:right w:val="none" w:sz="0" w:space="0" w:color="auto"/>
              </w:divBdr>
            </w:div>
            <w:div w:id="230193830">
              <w:marLeft w:val="0"/>
              <w:marRight w:val="0"/>
              <w:marTop w:val="0"/>
              <w:marBottom w:val="0"/>
              <w:divBdr>
                <w:top w:val="none" w:sz="0" w:space="0" w:color="auto"/>
                <w:left w:val="none" w:sz="0" w:space="0" w:color="auto"/>
                <w:bottom w:val="none" w:sz="0" w:space="0" w:color="auto"/>
                <w:right w:val="none" w:sz="0" w:space="0" w:color="auto"/>
              </w:divBdr>
            </w:div>
            <w:div w:id="252515662">
              <w:marLeft w:val="0"/>
              <w:marRight w:val="0"/>
              <w:marTop w:val="0"/>
              <w:marBottom w:val="0"/>
              <w:divBdr>
                <w:top w:val="none" w:sz="0" w:space="0" w:color="auto"/>
                <w:left w:val="none" w:sz="0" w:space="0" w:color="auto"/>
                <w:bottom w:val="none" w:sz="0" w:space="0" w:color="auto"/>
                <w:right w:val="none" w:sz="0" w:space="0" w:color="auto"/>
              </w:divBdr>
            </w:div>
            <w:div w:id="264727246">
              <w:marLeft w:val="0"/>
              <w:marRight w:val="0"/>
              <w:marTop w:val="0"/>
              <w:marBottom w:val="0"/>
              <w:divBdr>
                <w:top w:val="none" w:sz="0" w:space="0" w:color="auto"/>
                <w:left w:val="none" w:sz="0" w:space="0" w:color="auto"/>
                <w:bottom w:val="none" w:sz="0" w:space="0" w:color="auto"/>
                <w:right w:val="none" w:sz="0" w:space="0" w:color="auto"/>
              </w:divBdr>
            </w:div>
            <w:div w:id="268321227">
              <w:marLeft w:val="0"/>
              <w:marRight w:val="0"/>
              <w:marTop w:val="0"/>
              <w:marBottom w:val="0"/>
              <w:divBdr>
                <w:top w:val="none" w:sz="0" w:space="0" w:color="auto"/>
                <w:left w:val="none" w:sz="0" w:space="0" w:color="auto"/>
                <w:bottom w:val="none" w:sz="0" w:space="0" w:color="auto"/>
                <w:right w:val="none" w:sz="0" w:space="0" w:color="auto"/>
              </w:divBdr>
            </w:div>
            <w:div w:id="269706750">
              <w:marLeft w:val="0"/>
              <w:marRight w:val="0"/>
              <w:marTop w:val="0"/>
              <w:marBottom w:val="0"/>
              <w:divBdr>
                <w:top w:val="none" w:sz="0" w:space="0" w:color="auto"/>
                <w:left w:val="none" w:sz="0" w:space="0" w:color="auto"/>
                <w:bottom w:val="none" w:sz="0" w:space="0" w:color="auto"/>
                <w:right w:val="none" w:sz="0" w:space="0" w:color="auto"/>
              </w:divBdr>
            </w:div>
            <w:div w:id="276066784">
              <w:marLeft w:val="0"/>
              <w:marRight w:val="0"/>
              <w:marTop w:val="0"/>
              <w:marBottom w:val="0"/>
              <w:divBdr>
                <w:top w:val="none" w:sz="0" w:space="0" w:color="auto"/>
                <w:left w:val="none" w:sz="0" w:space="0" w:color="auto"/>
                <w:bottom w:val="none" w:sz="0" w:space="0" w:color="auto"/>
                <w:right w:val="none" w:sz="0" w:space="0" w:color="auto"/>
              </w:divBdr>
            </w:div>
            <w:div w:id="299310593">
              <w:marLeft w:val="0"/>
              <w:marRight w:val="0"/>
              <w:marTop w:val="0"/>
              <w:marBottom w:val="0"/>
              <w:divBdr>
                <w:top w:val="none" w:sz="0" w:space="0" w:color="auto"/>
                <w:left w:val="none" w:sz="0" w:space="0" w:color="auto"/>
                <w:bottom w:val="none" w:sz="0" w:space="0" w:color="auto"/>
                <w:right w:val="none" w:sz="0" w:space="0" w:color="auto"/>
              </w:divBdr>
            </w:div>
            <w:div w:id="313224991">
              <w:marLeft w:val="0"/>
              <w:marRight w:val="0"/>
              <w:marTop w:val="0"/>
              <w:marBottom w:val="0"/>
              <w:divBdr>
                <w:top w:val="none" w:sz="0" w:space="0" w:color="auto"/>
                <w:left w:val="none" w:sz="0" w:space="0" w:color="auto"/>
                <w:bottom w:val="none" w:sz="0" w:space="0" w:color="auto"/>
                <w:right w:val="none" w:sz="0" w:space="0" w:color="auto"/>
              </w:divBdr>
            </w:div>
            <w:div w:id="358438330">
              <w:marLeft w:val="0"/>
              <w:marRight w:val="0"/>
              <w:marTop w:val="0"/>
              <w:marBottom w:val="0"/>
              <w:divBdr>
                <w:top w:val="none" w:sz="0" w:space="0" w:color="auto"/>
                <w:left w:val="none" w:sz="0" w:space="0" w:color="auto"/>
                <w:bottom w:val="none" w:sz="0" w:space="0" w:color="auto"/>
                <w:right w:val="none" w:sz="0" w:space="0" w:color="auto"/>
              </w:divBdr>
            </w:div>
            <w:div w:id="371923068">
              <w:marLeft w:val="0"/>
              <w:marRight w:val="0"/>
              <w:marTop w:val="0"/>
              <w:marBottom w:val="0"/>
              <w:divBdr>
                <w:top w:val="none" w:sz="0" w:space="0" w:color="auto"/>
                <w:left w:val="none" w:sz="0" w:space="0" w:color="auto"/>
                <w:bottom w:val="none" w:sz="0" w:space="0" w:color="auto"/>
                <w:right w:val="none" w:sz="0" w:space="0" w:color="auto"/>
              </w:divBdr>
            </w:div>
            <w:div w:id="410735120">
              <w:marLeft w:val="0"/>
              <w:marRight w:val="0"/>
              <w:marTop w:val="0"/>
              <w:marBottom w:val="0"/>
              <w:divBdr>
                <w:top w:val="none" w:sz="0" w:space="0" w:color="auto"/>
                <w:left w:val="none" w:sz="0" w:space="0" w:color="auto"/>
                <w:bottom w:val="none" w:sz="0" w:space="0" w:color="auto"/>
                <w:right w:val="none" w:sz="0" w:space="0" w:color="auto"/>
              </w:divBdr>
            </w:div>
            <w:div w:id="423039134">
              <w:marLeft w:val="0"/>
              <w:marRight w:val="0"/>
              <w:marTop w:val="0"/>
              <w:marBottom w:val="0"/>
              <w:divBdr>
                <w:top w:val="none" w:sz="0" w:space="0" w:color="auto"/>
                <w:left w:val="none" w:sz="0" w:space="0" w:color="auto"/>
                <w:bottom w:val="none" w:sz="0" w:space="0" w:color="auto"/>
                <w:right w:val="none" w:sz="0" w:space="0" w:color="auto"/>
              </w:divBdr>
            </w:div>
            <w:div w:id="429740474">
              <w:marLeft w:val="0"/>
              <w:marRight w:val="0"/>
              <w:marTop w:val="0"/>
              <w:marBottom w:val="0"/>
              <w:divBdr>
                <w:top w:val="none" w:sz="0" w:space="0" w:color="auto"/>
                <w:left w:val="none" w:sz="0" w:space="0" w:color="auto"/>
                <w:bottom w:val="none" w:sz="0" w:space="0" w:color="auto"/>
                <w:right w:val="none" w:sz="0" w:space="0" w:color="auto"/>
              </w:divBdr>
            </w:div>
            <w:div w:id="436756208">
              <w:marLeft w:val="0"/>
              <w:marRight w:val="0"/>
              <w:marTop w:val="0"/>
              <w:marBottom w:val="0"/>
              <w:divBdr>
                <w:top w:val="none" w:sz="0" w:space="0" w:color="auto"/>
                <w:left w:val="none" w:sz="0" w:space="0" w:color="auto"/>
                <w:bottom w:val="none" w:sz="0" w:space="0" w:color="auto"/>
                <w:right w:val="none" w:sz="0" w:space="0" w:color="auto"/>
              </w:divBdr>
            </w:div>
            <w:div w:id="454256659">
              <w:marLeft w:val="0"/>
              <w:marRight w:val="0"/>
              <w:marTop w:val="0"/>
              <w:marBottom w:val="0"/>
              <w:divBdr>
                <w:top w:val="none" w:sz="0" w:space="0" w:color="auto"/>
                <w:left w:val="none" w:sz="0" w:space="0" w:color="auto"/>
                <w:bottom w:val="none" w:sz="0" w:space="0" w:color="auto"/>
                <w:right w:val="none" w:sz="0" w:space="0" w:color="auto"/>
              </w:divBdr>
            </w:div>
            <w:div w:id="496849664">
              <w:marLeft w:val="0"/>
              <w:marRight w:val="0"/>
              <w:marTop w:val="0"/>
              <w:marBottom w:val="0"/>
              <w:divBdr>
                <w:top w:val="none" w:sz="0" w:space="0" w:color="auto"/>
                <w:left w:val="none" w:sz="0" w:space="0" w:color="auto"/>
                <w:bottom w:val="none" w:sz="0" w:space="0" w:color="auto"/>
                <w:right w:val="none" w:sz="0" w:space="0" w:color="auto"/>
              </w:divBdr>
            </w:div>
            <w:div w:id="499076964">
              <w:marLeft w:val="0"/>
              <w:marRight w:val="0"/>
              <w:marTop w:val="0"/>
              <w:marBottom w:val="0"/>
              <w:divBdr>
                <w:top w:val="none" w:sz="0" w:space="0" w:color="auto"/>
                <w:left w:val="none" w:sz="0" w:space="0" w:color="auto"/>
                <w:bottom w:val="none" w:sz="0" w:space="0" w:color="auto"/>
                <w:right w:val="none" w:sz="0" w:space="0" w:color="auto"/>
              </w:divBdr>
            </w:div>
            <w:div w:id="531654137">
              <w:marLeft w:val="0"/>
              <w:marRight w:val="0"/>
              <w:marTop w:val="0"/>
              <w:marBottom w:val="0"/>
              <w:divBdr>
                <w:top w:val="none" w:sz="0" w:space="0" w:color="auto"/>
                <w:left w:val="none" w:sz="0" w:space="0" w:color="auto"/>
                <w:bottom w:val="none" w:sz="0" w:space="0" w:color="auto"/>
                <w:right w:val="none" w:sz="0" w:space="0" w:color="auto"/>
              </w:divBdr>
            </w:div>
            <w:div w:id="548763585">
              <w:marLeft w:val="0"/>
              <w:marRight w:val="0"/>
              <w:marTop w:val="0"/>
              <w:marBottom w:val="0"/>
              <w:divBdr>
                <w:top w:val="none" w:sz="0" w:space="0" w:color="auto"/>
                <w:left w:val="none" w:sz="0" w:space="0" w:color="auto"/>
                <w:bottom w:val="none" w:sz="0" w:space="0" w:color="auto"/>
                <w:right w:val="none" w:sz="0" w:space="0" w:color="auto"/>
              </w:divBdr>
            </w:div>
            <w:div w:id="549270067">
              <w:marLeft w:val="0"/>
              <w:marRight w:val="0"/>
              <w:marTop w:val="0"/>
              <w:marBottom w:val="0"/>
              <w:divBdr>
                <w:top w:val="none" w:sz="0" w:space="0" w:color="auto"/>
                <w:left w:val="none" w:sz="0" w:space="0" w:color="auto"/>
                <w:bottom w:val="none" w:sz="0" w:space="0" w:color="auto"/>
                <w:right w:val="none" w:sz="0" w:space="0" w:color="auto"/>
              </w:divBdr>
            </w:div>
            <w:div w:id="560479386">
              <w:marLeft w:val="0"/>
              <w:marRight w:val="0"/>
              <w:marTop w:val="0"/>
              <w:marBottom w:val="0"/>
              <w:divBdr>
                <w:top w:val="none" w:sz="0" w:space="0" w:color="auto"/>
                <w:left w:val="none" w:sz="0" w:space="0" w:color="auto"/>
                <w:bottom w:val="none" w:sz="0" w:space="0" w:color="auto"/>
                <w:right w:val="none" w:sz="0" w:space="0" w:color="auto"/>
              </w:divBdr>
            </w:div>
            <w:div w:id="579876492">
              <w:marLeft w:val="0"/>
              <w:marRight w:val="0"/>
              <w:marTop w:val="0"/>
              <w:marBottom w:val="0"/>
              <w:divBdr>
                <w:top w:val="none" w:sz="0" w:space="0" w:color="auto"/>
                <w:left w:val="none" w:sz="0" w:space="0" w:color="auto"/>
                <w:bottom w:val="none" w:sz="0" w:space="0" w:color="auto"/>
                <w:right w:val="none" w:sz="0" w:space="0" w:color="auto"/>
              </w:divBdr>
            </w:div>
            <w:div w:id="582687875">
              <w:marLeft w:val="0"/>
              <w:marRight w:val="0"/>
              <w:marTop w:val="0"/>
              <w:marBottom w:val="0"/>
              <w:divBdr>
                <w:top w:val="none" w:sz="0" w:space="0" w:color="auto"/>
                <w:left w:val="none" w:sz="0" w:space="0" w:color="auto"/>
                <w:bottom w:val="none" w:sz="0" w:space="0" w:color="auto"/>
                <w:right w:val="none" w:sz="0" w:space="0" w:color="auto"/>
              </w:divBdr>
            </w:div>
            <w:div w:id="591857468">
              <w:marLeft w:val="0"/>
              <w:marRight w:val="0"/>
              <w:marTop w:val="0"/>
              <w:marBottom w:val="0"/>
              <w:divBdr>
                <w:top w:val="none" w:sz="0" w:space="0" w:color="auto"/>
                <w:left w:val="none" w:sz="0" w:space="0" w:color="auto"/>
                <w:bottom w:val="none" w:sz="0" w:space="0" w:color="auto"/>
                <w:right w:val="none" w:sz="0" w:space="0" w:color="auto"/>
              </w:divBdr>
            </w:div>
            <w:div w:id="636835125">
              <w:marLeft w:val="0"/>
              <w:marRight w:val="0"/>
              <w:marTop w:val="0"/>
              <w:marBottom w:val="0"/>
              <w:divBdr>
                <w:top w:val="none" w:sz="0" w:space="0" w:color="auto"/>
                <w:left w:val="none" w:sz="0" w:space="0" w:color="auto"/>
                <w:bottom w:val="none" w:sz="0" w:space="0" w:color="auto"/>
                <w:right w:val="none" w:sz="0" w:space="0" w:color="auto"/>
              </w:divBdr>
            </w:div>
            <w:div w:id="644091526">
              <w:marLeft w:val="0"/>
              <w:marRight w:val="0"/>
              <w:marTop w:val="0"/>
              <w:marBottom w:val="0"/>
              <w:divBdr>
                <w:top w:val="none" w:sz="0" w:space="0" w:color="auto"/>
                <w:left w:val="none" w:sz="0" w:space="0" w:color="auto"/>
                <w:bottom w:val="none" w:sz="0" w:space="0" w:color="auto"/>
                <w:right w:val="none" w:sz="0" w:space="0" w:color="auto"/>
              </w:divBdr>
            </w:div>
            <w:div w:id="658078410">
              <w:marLeft w:val="0"/>
              <w:marRight w:val="0"/>
              <w:marTop w:val="0"/>
              <w:marBottom w:val="0"/>
              <w:divBdr>
                <w:top w:val="none" w:sz="0" w:space="0" w:color="auto"/>
                <w:left w:val="none" w:sz="0" w:space="0" w:color="auto"/>
                <w:bottom w:val="none" w:sz="0" w:space="0" w:color="auto"/>
                <w:right w:val="none" w:sz="0" w:space="0" w:color="auto"/>
              </w:divBdr>
            </w:div>
            <w:div w:id="697848790">
              <w:marLeft w:val="0"/>
              <w:marRight w:val="0"/>
              <w:marTop w:val="0"/>
              <w:marBottom w:val="0"/>
              <w:divBdr>
                <w:top w:val="none" w:sz="0" w:space="0" w:color="auto"/>
                <w:left w:val="none" w:sz="0" w:space="0" w:color="auto"/>
                <w:bottom w:val="none" w:sz="0" w:space="0" w:color="auto"/>
                <w:right w:val="none" w:sz="0" w:space="0" w:color="auto"/>
              </w:divBdr>
            </w:div>
            <w:div w:id="705377739">
              <w:marLeft w:val="0"/>
              <w:marRight w:val="0"/>
              <w:marTop w:val="0"/>
              <w:marBottom w:val="0"/>
              <w:divBdr>
                <w:top w:val="none" w:sz="0" w:space="0" w:color="auto"/>
                <w:left w:val="none" w:sz="0" w:space="0" w:color="auto"/>
                <w:bottom w:val="none" w:sz="0" w:space="0" w:color="auto"/>
                <w:right w:val="none" w:sz="0" w:space="0" w:color="auto"/>
              </w:divBdr>
            </w:div>
            <w:div w:id="743067998">
              <w:marLeft w:val="0"/>
              <w:marRight w:val="0"/>
              <w:marTop w:val="0"/>
              <w:marBottom w:val="0"/>
              <w:divBdr>
                <w:top w:val="none" w:sz="0" w:space="0" w:color="auto"/>
                <w:left w:val="none" w:sz="0" w:space="0" w:color="auto"/>
                <w:bottom w:val="none" w:sz="0" w:space="0" w:color="auto"/>
                <w:right w:val="none" w:sz="0" w:space="0" w:color="auto"/>
              </w:divBdr>
            </w:div>
            <w:div w:id="759571670">
              <w:marLeft w:val="0"/>
              <w:marRight w:val="0"/>
              <w:marTop w:val="0"/>
              <w:marBottom w:val="0"/>
              <w:divBdr>
                <w:top w:val="none" w:sz="0" w:space="0" w:color="auto"/>
                <w:left w:val="none" w:sz="0" w:space="0" w:color="auto"/>
                <w:bottom w:val="none" w:sz="0" w:space="0" w:color="auto"/>
                <w:right w:val="none" w:sz="0" w:space="0" w:color="auto"/>
              </w:divBdr>
            </w:div>
            <w:div w:id="761338436">
              <w:marLeft w:val="0"/>
              <w:marRight w:val="0"/>
              <w:marTop w:val="0"/>
              <w:marBottom w:val="0"/>
              <w:divBdr>
                <w:top w:val="none" w:sz="0" w:space="0" w:color="auto"/>
                <w:left w:val="none" w:sz="0" w:space="0" w:color="auto"/>
                <w:bottom w:val="none" w:sz="0" w:space="0" w:color="auto"/>
                <w:right w:val="none" w:sz="0" w:space="0" w:color="auto"/>
              </w:divBdr>
            </w:div>
            <w:div w:id="763844945">
              <w:marLeft w:val="0"/>
              <w:marRight w:val="0"/>
              <w:marTop w:val="0"/>
              <w:marBottom w:val="0"/>
              <w:divBdr>
                <w:top w:val="none" w:sz="0" w:space="0" w:color="auto"/>
                <w:left w:val="none" w:sz="0" w:space="0" w:color="auto"/>
                <w:bottom w:val="none" w:sz="0" w:space="0" w:color="auto"/>
                <w:right w:val="none" w:sz="0" w:space="0" w:color="auto"/>
              </w:divBdr>
            </w:div>
            <w:div w:id="770663679">
              <w:marLeft w:val="0"/>
              <w:marRight w:val="0"/>
              <w:marTop w:val="0"/>
              <w:marBottom w:val="0"/>
              <w:divBdr>
                <w:top w:val="none" w:sz="0" w:space="0" w:color="auto"/>
                <w:left w:val="none" w:sz="0" w:space="0" w:color="auto"/>
                <w:bottom w:val="none" w:sz="0" w:space="0" w:color="auto"/>
                <w:right w:val="none" w:sz="0" w:space="0" w:color="auto"/>
              </w:divBdr>
            </w:div>
            <w:div w:id="794252276">
              <w:marLeft w:val="0"/>
              <w:marRight w:val="0"/>
              <w:marTop w:val="0"/>
              <w:marBottom w:val="0"/>
              <w:divBdr>
                <w:top w:val="none" w:sz="0" w:space="0" w:color="auto"/>
                <w:left w:val="none" w:sz="0" w:space="0" w:color="auto"/>
                <w:bottom w:val="none" w:sz="0" w:space="0" w:color="auto"/>
                <w:right w:val="none" w:sz="0" w:space="0" w:color="auto"/>
              </w:divBdr>
            </w:div>
            <w:div w:id="855920277">
              <w:marLeft w:val="0"/>
              <w:marRight w:val="0"/>
              <w:marTop w:val="0"/>
              <w:marBottom w:val="0"/>
              <w:divBdr>
                <w:top w:val="none" w:sz="0" w:space="0" w:color="auto"/>
                <w:left w:val="none" w:sz="0" w:space="0" w:color="auto"/>
                <w:bottom w:val="none" w:sz="0" w:space="0" w:color="auto"/>
                <w:right w:val="none" w:sz="0" w:space="0" w:color="auto"/>
              </w:divBdr>
            </w:div>
            <w:div w:id="865405397">
              <w:marLeft w:val="0"/>
              <w:marRight w:val="0"/>
              <w:marTop w:val="0"/>
              <w:marBottom w:val="0"/>
              <w:divBdr>
                <w:top w:val="none" w:sz="0" w:space="0" w:color="auto"/>
                <w:left w:val="none" w:sz="0" w:space="0" w:color="auto"/>
                <w:bottom w:val="none" w:sz="0" w:space="0" w:color="auto"/>
                <w:right w:val="none" w:sz="0" w:space="0" w:color="auto"/>
              </w:divBdr>
            </w:div>
            <w:div w:id="933246730">
              <w:marLeft w:val="0"/>
              <w:marRight w:val="0"/>
              <w:marTop w:val="0"/>
              <w:marBottom w:val="0"/>
              <w:divBdr>
                <w:top w:val="none" w:sz="0" w:space="0" w:color="auto"/>
                <w:left w:val="none" w:sz="0" w:space="0" w:color="auto"/>
                <w:bottom w:val="none" w:sz="0" w:space="0" w:color="auto"/>
                <w:right w:val="none" w:sz="0" w:space="0" w:color="auto"/>
              </w:divBdr>
            </w:div>
            <w:div w:id="953950462">
              <w:marLeft w:val="0"/>
              <w:marRight w:val="0"/>
              <w:marTop w:val="0"/>
              <w:marBottom w:val="0"/>
              <w:divBdr>
                <w:top w:val="none" w:sz="0" w:space="0" w:color="auto"/>
                <w:left w:val="none" w:sz="0" w:space="0" w:color="auto"/>
                <w:bottom w:val="none" w:sz="0" w:space="0" w:color="auto"/>
                <w:right w:val="none" w:sz="0" w:space="0" w:color="auto"/>
              </w:divBdr>
            </w:div>
            <w:div w:id="961963298">
              <w:marLeft w:val="0"/>
              <w:marRight w:val="0"/>
              <w:marTop w:val="0"/>
              <w:marBottom w:val="0"/>
              <w:divBdr>
                <w:top w:val="none" w:sz="0" w:space="0" w:color="auto"/>
                <w:left w:val="none" w:sz="0" w:space="0" w:color="auto"/>
                <w:bottom w:val="none" w:sz="0" w:space="0" w:color="auto"/>
                <w:right w:val="none" w:sz="0" w:space="0" w:color="auto"/>
              </w:divBdr>
            </w:div>
            <w:div w:id="969163527">
              <w:marLeft w:val="0"/>
              <w:marRight w:val="0"/>
              <w:marTop w:val="0"/>
              <w:marBottom w:val="0"/>
              <w:divBdr>
                <w:top w:val="none" w:sz="0" w:space="0" w:color="auto"/>
                <w:left w:val="none" w:sz="0" w:space="0" w:color="auto"/>
                <w:bottom w:val="none" w:sz="0" w:space="0" w:color="auto"/>
                <w:right w:val="none" w:sz="0" w:space="0" w:color="auto"/>
              </w:divBdr>
            </w:div>
            <w:div w:id="997928672">
              <w:marLeft w:val="0"/>
              <w:marRight w:val="0"/>
              <w:marTop w:val="0"/>
              <w:marBottom w:val="0"/>
              <w:divBdr>
                <w:top w:val="none" w:sz="0" w:space="0" w:color="auto"/>
                <w:left w:val="none" w:sz="0" w:space="0" w:color="auto"/>
                <w:bottom w:val="none" w:sz="0" w:space="0" w:color="auto"/>
                <w:right w:val="none" w:sz="0" w:space="0" w:color="auto"/>
              </w:divBdr>
            </w:div>
            <w:div w:id="1000237601">
              <w:marLeft w:val="0"/>
              <w:marRight w:val="0"/>
              <w:marTop w:val="0"/>
              <w:marBottom w:val="0"/>
              <w:divBdr>
                <w:top w:val="none" w:sz="0" w:space="0" w:color="auto"/>
                <w:left w:val="none" w:sz="0" w:space="0" w:color="auto"/>
                <w:bottom w:val="none" w:sz="0" w:space="0" w:color="auto"/>
                <w:right w:val="none" w:sz="0" w:space="0" w:color="auto"/>
              </w:divBdr>
            </w:div>
            <w:div w:id="1013189755">
              <w:marLeft w:val="0"/>
              <w:marRight w:val="0"/>
              <w:marTop w:val="0"/>
              <w:marBottom w:val="0"/>
              <w:divBdr>
                <w:top w:val="none" w:sz="0" w:space="0" w:color="auto"/>
                <w:left w:val="none" w:sz="0" w:space="0" w:color="auto"/>
                <w:bottom w:val="none" w:sz="0" w:space="0" w:color="auto"/>
                <w:right w:val="none" w:sz="0" w:space="0" w:color="auto"/>
              </w:divBdr>
            </w:div>
            <w:div w:id="1036780328">
              <w:marLeft w:val="0"/>
              <w:marRight w:val="0"/>
              <w:marTop w:val="0"/>
              <w:marBottom w:val="0"/>
              <w:divBdr>
                <w:top w:val="none" w:sz="0" w:space="0" w:color="auto"/>
                <w:left w:val="none" w:sz="0" w:space="0" w:color="auto"/>
                <w:bottom w:val="none" w:sz="0" w:space="0" w:color="auto"/>
                <w:right w:val="none" w:sz="0" w:space="0" w:color="auto"/>
              </w:divBdr>
            </w:div>
            <w:div w:id="1038434239">
              <w:marLeft w:val="0"/>
              <w:marRight w:val="0"/>
              <w:marTop w:val="0"/>
              <w:marBottom w:val="0"/>
              <w:divBdr>
                <w:top w:val="none" w:sz="0" w:space="0" w:color="auto"/>
                <w:left w:val="none" w:sz="0" w:space="0" w:color="auto"/>
                <w:bottom w:val="none" w:sz="0" w:space="0" w:color="auto"/>
                <w:right w:val="none" w:sz="0" w:space="0" w:color="auto"/>
              </w:divBdr>
            </w:div>
            <w:div w:id="1048067661">
              <w:marLeft w:val="0"/>
              <w:marRight w:val="0"/>
              <w:marTop w:val="0"/>
              <w:marBottom w:val="0"/>
              <w:divBdr>
                <w:top w:val="none" w:sz="0" w:space="0" w:color="auto"/>
                <w:left w:val="none" w:sz="0" w:space="0" w:color="auto"/>
                <w:bottom w:val="none" w:sz="0" w:space="0" w:color="auto"/>
                <w:right w:val="none" w:sz="0" w:space="0" w:color="auto"/>
              </w:divBdr>
            </w:div>
            <w:div w:id="1091046080">
              <w:marLeft w:val="0"/>
              <w:marRight w:val="0"/>
              <w:marTop w:val="0"/>
              <w:marBottom w:val="0"/>
              <w:divBdr>
                <w:top w:val="none" w:sz="0" w:space="0" w:color="auto"/>
                <w:left w:val="none" w:sz="0" w:space="0" w:color="auto"/>
                <w:bottom w:val="none" w:sz="0" w:space="0" w:color="auto"/>
                <w:right w:val="none" w:sz="0" w:space="0" w:color="auto"/>
              </w:divBdr>
            </w:div>
            <w:div w:id="1096630678">
              <w:marLeft w:val="0"/>
              <w:marRight w:val="0"/>
              <w:marTop w:val="0"/>
              <w:marBottom w:val="0"/>
              <w:divBdr>
                <w:top w:val="none" w:sz="0" w:space="0" w:color="auto"/>
                <w:left w:val="none" w:sz="0" w:space="0" w:color="auto"/>
                <w:bottom w:val="none" w:sz="0" w:space="0" w:color="auto"/>
                <w:right w:val="none" w:sz="0" w:space="0" w:color="auto"/>
              </w:divBdr>
            </w:div>
            <w:div w:id="1111126341">
              <w:marLeft w:val="0"/>
              <w:marRight w:val="0"/>
              <w:marTop w:val="0"/>
              <w:marBottom w:val="0"/>
              <w:divBdr>
                <w:top w:val="none" w:sz="0" w:space="0" w:color="auto"/>
                <w:left w:val="none" w:sz="0" w:space="0" w:color="auto"/>
                <w:bottom w:val="none" w:sz="0" w:space="0" w:color="auto"/>
                <w:right w:val="none" w:sz="0" w:space="0" w:color="auto"/>
              </w:divBdr>
            </w:div>
            <w:div w:id="1130243297">
              <w:marLeft w:val="0"/>
              <w:marRight w:val="0"/>
              <w:marTop w:val="0"/>
              <w:marBottom w:val="0"/>
              <w:divBdr>
                <w:top w:val="none" w:sz="0" w:space="0" w:color="auto"/>
                <w:left w:val="none" w:sz="0" w:space="0" w:color="auto"/>
                <w:bottom w:val="none" w:sz="0" w:space="0" w:color="auto"/>
                <w:right w:val="none" w:sz="0" w:space="0" w:color="auto"/>
              </w:divBdr>
            </w:div>
            <w:div w:id="1144545240">
              <w:marLeft w:val="0"/>
              <w:marRight w:val="0"/>
              <w:marTop w:val="0"/>
              <w:marBottom w:val="0"/>
              <w:divBdr>
                <w:top w:val="none" w:sz="0" w:space="0" w:color="auto"/>
                <w:left w:val="none" w:sz="0" w:space="0" w:color="auto"/>
                <w:bottom w:val="none" w:sz="0" w:space="0" w:color="auto"/>
                <w:right w:val="none" w:sz="0" w:space="0" w:color="auto"/>
              </w:divBdr>
            </w:div>
            <w:div w:id="1155490219">
              <w:marLeft w:val="0"/>
              <w:marRight w:val="0"/>
              <w:marTop w:val="0"/>
              <w:marBottom w:val="0"/>
              <w:divBdr>
                <w:top w:val="none" w:sz="0" w:space="0" w:color="auto"/>
                <w:left w:val="none" w:sz="0" w:space="0" w:color="auto"/>
                <w:bottom w:val="none" w:sz="0" w:space="0" w:color="auto"/>
                <w:right w:val="none" w:sz="0" w:space="0" w:color="auto"/>
              </w:divBdr>
            </w:div>
            <w:div w:id="1190530806">
              <w:marLeft w:val="0"/>
              <w:marRight w:val="0"/>
              <w:marTop w:val="0"/>
              <w:marBottom w:val="0"/>
              <w:divBdr>
                <w:top w:val="none" w:sz="0" w:space="0" w:color="auto"/>
                <w:left w:val="none" w:sz="0" w:space="0" w:color="auto"/>
                <w:bottom w:val="none" w:sz="0" w:space="0" w:color="auto"/>
                <w:right w:val="none" w:sz="0" w:space="0" w:color="auto"/>
              </w:divBdr>
            </w:div>
            <w:div w:id="1201893386">
              <w:marLeft w:val="0"/>
              <w:marRight w:val="0"/>
              <w:marTop w:val="0"/>
              <w:marBottom w:val="0"/>
              <w:divBdr>
                <w:top w:val="none" w:sz="0" w:space="0" w:color="auto"/>
                <w:left w:val="none" w:sz="0" w:space="0" w:color="auto"/>
                <w:bottom w:val="none" w:sz="0" w:space="0" w:color="auto"/>
                <w:right w:val="none" w:sz="0" w:space="0" w:color="auto"/>
              </w:divBdr>
            </w:div>
            <w:div w:id="1256281422">
              <w:marLeft w:val="0"/>
              <w:marRight w:val="0"/>
              <w:marTop w:val="0"/>
              <w:marBottom w:val="0"/>
              <w:divBdr>
                <w:top w:val="none" w:sz="0" w:space="0" w:color="auto"/>
                <w:left w:val="none" w:sz="0" w:space="0" w:color="auto"/>
                <w:bottom w:val="none" w:sz="0" w:space="0" w:color="auto"/>
                <w:right w:val="none" w:sz="0" w:space="0" w:color="auto"/>
              </w:divBdr>
            </w:div>
            <w:div w:id="1256404840">
              <w:marLeft w:val="0"/>
              <w:marRight w:val="0"/>
              <w:marTop w:val="0"/>
              <w:marBottom w:val="0"/>
              <w:divBdr>
                <w:top w:val="none" w:sz="0" w:space="0" w:color="auto"/>
                <w:left w:val="none" w:sz="0" w:space="0" w:color="auto"/>
                <w:bottom w:val="none" w:sz="0" w:space="0" w:color="auto"/>
                <w:right w:val="none" w:sz="0" w:space="0" w:color="auto"/>
              </w:divBdr>
            </w:div>
            <w:div w:id="1276408413">
              <w:marLeft w:val="0"/>
              <w:marRight w:val="0"/>
              <w:marTop w:val="0"/>
              <w:marBottom w:val="0"/>
              <w:divBdr>
                <w:top w:val="none" w:sz="0" w:space="0" w:color="auto"/>
                <w:left w:val="none" w:sz="0" w:space="0" w:color="auto"/>
                <w:bottom w:val="none" w:sz="0" w:space="0" w:color="auto"/>
                <w:right w:val="none" w:sz="0" w:space="0" w:color="auto"/>
              </w:divBdr>
            </w:div>
            <w:div w:id="1301961949">
              <w:marLeft w:val="0"/>
              <w:marRight w:val="0"/>
              <w:marTop w:val="0"/>
              <w:marBottom w:val="0"/>
              <w:divBdr>
                <w:top w:val="none" w:sz="0" w:space="0" w:color="auto"/>
                <w:left w:val="none" w:sz="0" w:space="0" w:color="auto"/>
                <w:bottom w:val="none" w:sz="0" w:space="0" w:color="auto"/>
                <w:right w:val="none" w:sz="0" w:space="0" w:color="auto"/>
              </w:divBdr>
            </w:div>
            <w:div w:id="1338657852">
              <w:marLeft w:val="0"/>
              <w:marRight w:val="0"/>
              <w:marTop w:val="0"/>
              <w:marBottom w:val="0"/>
              <w:divBdr>
                <w:top w:val="none" w:sz="0" w:space="0" w:color="auto"/>
                <w:left w:val="none" w:sz="0" w:space="0" w:color="auto"/>
                <w:bottom w:val="none" w:sz="0" w:space="0" w:color="auto"/>
                <w:right w:val="none" w:sz="0" w:space="0" w:color="auto"/>
              </w:divBdr>
            </w:div>
            <w:div w:id="1377001294">
              <w:marLeft w:val="0"/>
              <w:marRight w:val="0"/>
              <w:marTop w:val="0"/>
              <w:marBottom w:val="0"/>
              <w:divBdr>
                <w:top w:val="none" w:sz="0" w:space="0" w:color="auto"/>
                <w:left w:val="none" w:sz="0" w:space="0" w:color="auto"/>
                <w:bottom w:val="none" w:sz="0" w:space="0" w:color="auto"/>
                <w:right w:val="none" w:sz="0" w:space="0" w:color="auto"/>
              </w:divBdr>
            </w:div>
            <w:div w:id="1399522040">
              <w:marLeft w:val="0"/>
              <w:marRight w:val="0"/>
              <w:marTop w:val="0"/>
              <w:marBottom w:val="0"/>
              <w:divBdr>
                <w:top w:val="none" w:sz="0" w:space="0" w:color="auto"/>
                <w:left w:val="none" w:sz="0" w:space="0" w:color="auto"/>
                <w:bottom w:val="none" w:sz="0" w:space="0" w:color="auto"/>
                <w:right w:val="none" w:sz="0" w:space="0" w:color="auto"/>
              </w:divBdr>
            </w:div>
            <w:div w:id="1412124520">
              <w:marLeft w:val="0"/>
              <w:marRight w:val="0"/>
              <w:marTop w:val="0"/>
              <w:marBottom w:val="0"/>
              <w:divBdr>
                <w:top w:val="none" w:sz="0" w:space="0" w:color="auto"/>
                <w:left w:val="none" w:sz="0" w:space="0" w:color="auto"/>
                <w:bottom w:val="none" w:sz="0" w:space="0" w:color="auto"/>
                <w:right w:val="none" w:sz="0" w:space="0" w:color="auto"/>
              </w:divBdr>
            </w:div>
            <w:div w:id="1415783179">
              <w:marLeft w:val="0"/>
              <w:marRight w:val="0"/>
              <w:marTop w:val="0"/>
              <w:marBottom w:val="0"/>
              <w:divBdr>
                <w:top w:val="none" w:sz="0" w:space="0" w:color="auto"/>
                <w:left w:val="none" w:sz="0" w:space="0" w:color="auto"/>
                <w:bottom w:val="none" w:sz="0" w:space="0" w:color="auto"/>
                <w:right w:val="none" w:sz="0" w:space="0" w:color="auto"/>
              </w:divBdr>
            </w:div>
            <w:div w:id="1420325318">
              <w:marLeft w:val="0"/>
              <w:marRight w:val="0"/>
              <w:marTop w:val="0"/>
              <w:marBottom w:val="0"/>
              <w:divBdr>
                <w:top w:val="none" w:sz="0" w:space="0" w:color="auto"/>
                <w:left w:val="none" w:sz="0" w:space="0" w:color="auto"/>
                <w:bottom w:val="none" w:sz="0" w:space="0" w:color="auto"/>
                <w:right w:val="none" w:sz="0" w:space="0" w:color="auto"/>
              </w:divBdr>
            </w:div>
            <w:div w:id="1430345370">
              <w:marLeft w:val="0"/>
              <w:marRight w:val="0"/>
              <w:marTop w:val="0"/>
              <w:marBottom w:val="0"/>
              <w:divBdr>
                <w:top w:val="none" w:sz="0" w:space="0" w:color="auto"/>
                <w:left w:val="none" w:sz="0" w:space="0" w:color="auto"/>
                <w:bottom w:val="none" w:sz="0" w:space="0" w:color="auto"/>
                <w:right w:val="none" w:sz="0" w:space="0" w:color="auto"/>
              </w:divBdr>
            </w:div>
            <w:div w:id="1433042245">
              <w:marLeft w:val="0"/>
              <w:marRight w:val="0"/>
              <w:marTop w:val="0"/>
              <w:marBottom w:val="0"/>
              <w:divBdr>
                <w:top w:val="none" w:sz="0" w:space="0" w:color="auto"/>
                <w:left w:val="none" w:sz="0" w:space="0" w:color="auto"/>
                <w:bottom w:val="none" w:sz="0" w:space="0" w:color="auto"/>
                <w:right w:val="none" w:sz="0" w:space="0" w:color="auto"/>
              </w:divBdr>
            </w:div>
            <w:div w:id="1446652249">
              <w:marLeft w:val="0"/>
              <w:marRight w:val="0"/>
              <w:marTop w:val="0"/>
              <w:marBottom w:val="0"/>
              <w:divBdr>
                <w:top w:val="none" w:sz="0" w:space="0" w:color="auto"/>
                <w:left w:val="none" w:sz="0" w:space="0" w:color="auto"/>
                <w:bottom w:val="none" w:sz="0" w:space="0" w:color="auto"/>
                <w:right w:val="none" w:sz="0" w:space="0" w:color="auto"/>
              </w:divBdr>
            </w:div>
            <w:div w:id="1466118704">
              <w:marLeft w:val="0"/>
              <w:marRight w:val="0"/>
              <w:marTop w:val="0"/>
              <w:marBottom w:val="0"/>
              <w:divBdr>
                <w:top w:val="none" w:sz="0" w:space="0" w:color="auto"/>
                <w:left w:val="none" w:sz="0" w:space="0" w:color="auto"/>
                <w:bottom w:val="none" w:sz="0" w:space="0" w:color="auto"/>
                <w:right w:val="none" w:sz="0" w:space="0" w:color="auto"/>
              </w:divBdr>
            </w:div>
            <w:div w:id="1498765501">
              <w:marLeft w:val="0"/>
              <w:marRight w:val="0"/>
              <w:marTop w:val="0"/>
              <w:marBottom w:val="0"/>
              <w:divBdr>
                <w:top w:val="none" w:sz="0" w:space="0" w:color="auto"/>
                <w:left w:val="none" w:sz="0" w:space="0" w:color="auto"/>
                <w:bottom w:val="none" w:sz="0" w:space="0" w:color="auto"/>
                <w:right w:val="none" w:sz="0" w:space="0" w:color="auto"/>
              </w:divBdr>
            </w:div>
            <w:div w:id="1513447075">
              <w:marLeft w:val="0"/>
              <w:marRight w:val="0"/>
              <w:marTop w:val="0"/>
              <w:marBottom w:val="0"/>
              <w:divBdr>
                <w:top w:val="none" w:sz="0" w:space="0" w:color="auto"/>
                <w:left w:val="none" w:sz="0" w:space="0" w:color="auto"/>
                <w:bottom w:val="none" w:sz="0" w:space="0" w:color="auto"/>
                <w:right w:val="none" w:sz="0" w:space="0" w:color="auto"/>
              </w:divBdr>
            </w:div>
            <w:div w:id="1525560407">
              <w:marLeft w:val="0"/>
              <w:marRight w:val="0"/>
              <w:marTop w:val="0"/>
              <w:marBottom w:val="0"/>
              <w:divBdr>
                <w:top w:val="none" w:sz="0" w:space="0" w:color="auto"/>
                <w:left w:val="none" w:sz="0" w:space="0" w:color="auto"/>
                <w:bottom w:val="none" w:sz="0" w:space="0" w:color="auto"/>
                <w:right w:val="none" w:sz="0" w:space="0" w:color="auto"/>
              </w:divBdr>
            </w:div>
            <w:div w:id="1528178289">
              <w:marLeft w:val="0"/>
              <w:marRight w:val="0"/>
              <w:marTop w:val="0"/>
              <w:marBottom w:val="0"/>
              <w:divBdr>
                <w:top w:val="none" w:sz="0" w:space="0" w:color="auto"/>
                <w:left w:val="none" w:sz="0" w:space="0" w:color="auto"/>
                <w:bottom w:val="none" w:sz="0" w:space="0" w:color="auto"/>
                <w:right w:val="none" w:sz="0" w:space="0" w:color="auto"/>
              </w:divBdr>
            </w:div>
            <w:div w:id="1531605353">
              <w:marLeft w:val="0"/>
              <w:marRight w:val="0"/>
              <w:marTop w:val="0"/>
              <w:marBottom w:val="0"/>
              <w:divBdr>
                <w:top w:val="none" w:sz="0" w:space="0" w:color="auto"/>
                <w:left w:val="none" w:sz="0" w:space="0" w:color="auto"/>
                <w:bottom w:val="none" w:sz="0" w:space="0" w:color="auto"/>
                <w:right w:val="none" w:sz="0" w:space="0" w:color="auto"/>
              </w:divBdr>
            </w:div>
            <w:div w:id="1547908248">
              <w:marLeft w:val="0"/>
              <w:marRight w:val="0"/>
              <w:marTop w:val="0"/>
              <w:marBottom w:val="0"/>
              <w:divBdr>
                <w:top w:val="none" w:sz="0" w:space="0" w:color="auto"/>
                <w:left w:val="none" w:sz="0" w:space="0" w:color="auto"/>
                <w:bottom w:val="none" w:sz="0" w:space="0" w:color="auto"/>
                <w:right w:val="none" w:sz="0" w:space="0" w:color="auto"/>
              </w:divBdr>
            </w:div>
            <w:div w:id="1548835480">
              <w:marLeft w:val="0"/>
              <w:marRight w:val="0"/>
              <w:marTop w:val="0"/>
              <w:marBottom w:val="0"/>
              <w:divBdr>
                <w:top w:val="none" w:sz="0" w:space="0" w:color="auto"/>
                <w:left w:val="none" w:sz="0" w:space="0" w:color="auto"/>
                <w:bottom w:val="none" w:sz="0" w:space="0" w:color="auto"/>
                <w:right w:val="none" w:sz="0" w:space="0" w:color="auto"/>
              </w:divBdr>
            </w:div>
            <w:div w:id="1584606970">
              <w:marLeft w:val="0"/>
              <w:marRight w:val="0"/>
              <w:marTop w:val="0"/>
              <w:marBottom w:val="0"/>
              <w:divBdr>
                <w:top w:val="none" w:sz="0" w:space="0" w:color="auto"/>
                <w:left w:val="none" w:sz="0" w:space="0" w:color="auto"/>
                <w:bottom w:val="none" w:sz="0" w:space="0" w:color="auto"/>
                <w:right w:val="none" w:sz="0" w:space="0" w:color="auto"/>
              </w:divBdr>
            </w:div>
            <w:div w:id="1622296996">
              <w:marLeft w:val="0"/>
              <w:marRight w:val="0"/>
              <w:marTop w:val="0"/>
              <w:marBottom w:val="0"/>
              <w:divBdr>
                <w:top w:val="none" w:sz="0" w:space="0" w:color="auto"/>
                <w:left w:val="none" w:sz="0" w:space="0" w:color="auto"/>
                <w:bottom w:val="none" w:sz="0" w:space="0" w:color="auto"/>
                <w:right w:val="none" w:sz="0" w:space="0" w:color="auto"/>
              </w:divBdr>
            </w:div>
            <w:div w:id="1647274070">
              <w:marLeft w:val="0"/>
              <w:marRight w:val="0"/>
              <w:marTop w:val="0"/>
              <w:marBottom w:val="0"/>
              <w:divBdr>
                <w:top w:val="none" w:sz="0" w:space="0" w:color="auto"/>
                <w:left w:val="none" w:sz="0" w:space="0" w:color="auto"/>
                <w:bottom w:val="none" w:sz="0" w:space="0" w:color="auto"/>
                <w:right w:val="none" w:sz="0" w:space="0" w:color="auto"/>
              </w:divBdr>
            </w:div>
            <w:div w:id="1655449807">
              <w:marLeft w:val="0"/>
              <w:marRight w:val="0"/>
              <w:marTop w:val="0"/>
              <w:marBottom w:val="0"/>
              <w:divBdr>
                <w:top w:val="none" w:sz="0" w:space="0" w:color="auto"/>
                <w:left w:val="none" w:sz="0" w:space="0" w:color="auto"/>
                <w:bottom w:val="none" w:sz="0" w:space="0" w:color="auto"/>
                <w:right w:val="none" w:sz="0" w:space="0" w:color="auto"/>
              </w:divBdr>
            </w:div>
            <w:div w:id="1663969399">
              <w:marLeft w:val="0"/>
              <w:marRight w:val="0"/>
              <w:marTop w:val="0"/>
              <w:marBottom w:val="0"/>
              <w:divBdr>
                <w:top w:val="none" w:sz="0" w:space="0" w:color="auto"/>
                <w:left w:val="none" w:sz="0" w:space="0" w:color="auto"/>
                <w:bottom w:val="none" w:sz="0" w:space="0" w:color="auto"/>
                <w:right w:val="none" w:sz="0" w:space="0" w:color="auto"/>
              </w:divBdr>
            </w:div>
            <w:div w:id="1664629107">
              <w:marLeft w:val="0"/>
              <w:marRight w:val="0"/>
              <w:marTop w:val="0"/>
              <w:marBottom w:val="0"/>
              <w:divBdr>
                <w:top w:val="none" w:sz="0" w:space="0" w:color="auto"/>
                <w:left w:val="none" w:sz="0" w:space="0" w:color="auto"/>
                <w:bottom w:val="none" w:sz="0" w:space="0" w:color="auto"/>
                <w:right w:val="none" w:sz="0" w:space="0" w:color="auto"/>
              </w:divBdr>
            </w:div>
            <w:div w:id="1680690677">
              <w:marLeft w:val="0"/>
              <w:marRight w:val="0"/>
              <w:marTop w:val="0"/>
              <w:marBottom w:val="0"/>
              <w:divBdr>
                <w:top w:val="none" w:sz="0" w:space="0" w:color="auto"/>
                <w:left w:val="none" w:sz="0" w:space="0" w:color="auto"/>
                <w:bottom w:val="none" w:sz="0" w:space="0" w:color="auto"/>
                <w:right w:val="none" w:sz="0" w:space="0" w:color="auto"/>
              </w:divBdr>
            </w:div>
            <w:div w:id="1717970433">
              <w:marLeft w:val="0"/>
              <w:marRight w:val="0"/>
              <w:marTop w:val="0"/>
              <w:marBottom w:val="0"/>
              <w:divBdr>
                <w:top w:val="none" w:sz="0" w:space="0" w:color="auto"/>
                <w:left w:val="none" w:sz="0" w:space="0" w:color="auto"/>
                <w:bottom w:val="none" w:sz="0" w:space="0" w:color="auto"/>
                <w:right w:val="none" w:sz="0" w:space="0" w:color="auto"/>
              </w:divBdr>
            </w:div>
            <w:div w:id="1732383405">
              <w:marLeft w:val="0"/>
              <w:marRight w:val="0"/>
              <w:marTop w:val="0"/>
              <w:marBottom w:val="0"/>
              <w:divBdr>
                <w:top w:val="none" w:sz="0" w:space="0" w:color="auto"/>
                <w:left w:val="none" w:sz="0" w:space="0" w:color="auto"/>
                <w:bottom w:val="none" w:sz="0" w:space="0" w:color="auto"/>
                <w:right w:val="none" w:sz="0" w:space="0" w:color="auto"/>
              </w:divBdr>
            </w:div>
            <w:div w:id="1733890266">
              <w:marLeft w:val="0"/>
              <w:marRight w:val="0"/>
              <w:marTop w:val="0"/>
              <w:marBottom w:val="0"/>
              <w:divBdr>
                <w:top w:val="none" w:sz="0" w:space="0" w:color="auto"/>
                <w:left w:val="none" w:sz="0" w:space="0" w:color="auto"/>
                <w:bottom w:val="none" w:sz="0" w:space="0" w:color="auto"/>
                <w:right w:val="none" w:sz="0" w:space="0" w:color="auto"/>
              </w:divBdr>
            </w:div>
            <w:div w:id="1740790441">
              <w:marLeft w:val="0"/>
              <w:marRight w:val="0"/>
              <w:marTop w:val="0"/>
              <w:marBottom w:val="0"/>
              <w:divBdr>
                <w:top w:val="none" w:sz="0" w:space="0" w:color="auto"/>
                <w:left w:val="none" w:sz="0" w:space="0" w:color="auto"/>
                <w:bottom w:val="none" w:sz="0" w:space="0" w:color="auto"/>
                <w:right w:val="none" w:sz="0" w:space="0" w:color="auto"/>
              </w:divBdr>
            </w:div>
            <w:div w:id="1755126508">
              <w:marLeft w:val="0"/>
              <w:marRight w:val="0"/>
              <w:marTop w:val="0"/>
              <w:marBottom w:val="0"/>
              <w:divBdr>
                <w:top w:val="none" w:sz="0" w:space="0" w:color="auto"/>
                <w:left w:val="none" w:sz="0" w:space="0" w:color="auto"/>
                <w:bottom w:val="none" w:sz="0" w:space="0" w:color="auto"/>
                <w:right w:val="none" w:sz="0" w:space="0" w:color="auto"/>
              </w:divBdr>
            </w:div>
            <w:div w:id="1778137912">
              <w:marLeft w:val="0"/>
              <w:marRight w:val="0"/>
              <w:marTop w:val="0"/>
              <w:marBottom w:val="0"/>
              <w:divBdr>
                <w:top w:val="none" w:sz="0" w:space="0" w:color="auto"/>
                <w:left w:val="none" w:sz="0" w:space="0" w:color="auto"/>
                <w:bottom w:val="none" w:sz="0" w:space="0" w:color="auto"/>
                <w:right w:val="none" w:sz="0" w:space="0" w:color="auto"/>
              </w:divBdr>
            </w:div>
            <w:div w:id="1779569239">
              <w:marLeft w:val="0"/>
              <w:marRight w:val="0"/>
              <w:marTop w:val="0"/>
              <w:marBottom w:val="0"/>
              <w:divBdr>
                <w:top w:val="none" w:sz="0" w:space="0" w:color="auto"/>
                <w:left w:val="none" w:sz="0" w:space="0" w:color="auto"/>
                <w:bottom w:val="none" w:sz="0" w:space="0" w:color="auto"/>
                <w:right w:val="none" w:sz="0" w:space="0" w:color="auto"/>
              </w:divBdr>
            </w:div>
            <w:div w:id="1785807693">
              <w:marLeft w:val="0"/>
              <w:marRight w:val="0"/>
              <w:marTop w:val="0"/>
              <w:marBottom w:val="0"/>
              <w:divBdr>
                <w:top w:val="none" w:sz="0" w:space="0" w:color="auto"/>
                <w:left w:val="none" w:sz="0" w:space="0" w:color="auto"/>
                <w:bottom w:val="none" w:sz="0" w:space="0" w:color="auto"/>
                <w:right w:val="none" w:sz="0" w:space="0" w:color="auto"/>
              </w:divBdr>
            </w:div>
            <w:div w:id="1791582508">
              <w:marLeft w:val="0"/>
              <w:marRight w:val="0"/>
              <w:marTop w:val="0"/>
              <w:marBottom w:val="0"/>
              <w:divBdr>
                <w:top w:val="none" w:sz="0" w:space="0" w:color="auto"/>
                <w:left w:val="none" w:sz="0" w:space="0" w:color="auto"/>
                <w:bottom w:val="none" w:sz="0" w:space="0" w:color="auto"/>
                <w:right w:val="none" w:sz="0" w:space="0" w:color="auto"/>
              </w:divBdr>
            </w:div>
            <w:div w:id="1792087068">
              <w:marLeft w:val="0"/>
              <w:marRight w:val="0"/>
              <w:marTop w:val="0"/>
              <w:marBottom w:val="0"/>
              <w:divBdr>
                <w:top w:val="none" w:sz="0" w:space="0" w:color="auto"/>
                <w:left w:val="none" w:sz="0" w:space="0" w:color="auto"/>
                <w:bottom w:val="none" w:sz="0" w:space="0" w:color="auto"/>
                <w:right w:val="none" w:sz="0" w:space="0" w:color="auto"/>
              </w:divBdr>
            </w:div>
            <w:div w:id="1821724348">
              <w:marLeft w:val="0"/>
              <w:marRight w:val="0"/>
              <w:marTop w:val="0"/>
              <w:marBottom w:val="0"/>
              <w:divBdr>
                <w:top w:val="none" w:sz="0" w:space="0" w:color="auto"/>
                <w:left w:val="none" w:sz="0" w:space="0" w:color="auto"/>
                <w:bottom w:val="none" w:sz="0" w:space="0" w:color="auto"/>
                <w:right w:val="none" w:sz="0" w:space="0" w:color="auto"/>
              </w:divBdr>
            </w:div>
            <w:div w:id="1854301339">
              <w:marLeft w:val="0"/>
              <w:marRight w:val="0"/>
              <w:marTop w:val="0"/>
              <w:marBottom w:val="0"/>
              <w:divBdr>
                <w:top w:val="none" w:sz="0" w:space="0" w:color="auto"/>
                <w:left w:val="none" w:sz="0" w:space="0" w:color="auto"/>
                <w:bottom w:val="none" w:sz="0" w:space="0" w:color="auto"/>
                <w:right w:val="none" w:sz="0" w:space="0" w:color="auto"/>
              </w:divBdr>
            </w:div>
            <w:div w:id="1854487826">
              <w:marLeft w:val="0"/>
              <w:marRight w:val="0"/>
              <w:marTop w:val="0"/>
              <w:marBottom w:val="0"/>
              <w:divBdr>
                <w:top w:val="none" w:sz="0" w:space="0" w:color="auto"/>
                <w:left w:val="none" w:sz="0" w:space="0" w:color="auto"/>
                <w:bottom w:val="none" w:sz="0" w:space="0" w:color="auto"/>
                <w:right w:val="none" w:sz="0" w:space="0" w:color="auto"/>
              </w:divBdr>
            </w:div>
            <w:div w:id="1864857424">
              <w:marLeft w:val="0"/>
              <w:marRight w:val="0"/>
              <w:marTop w:val="0"/>
              <w:marBottom w:val="0"/>
              <w:divBdr>
                <w:top w:val="none" w:sz="0" w:space="0" w:color="auto"/>
                <w:left w:val="none" w:sz="0" w:space="0" w:color="auto"/>
                <w:bottom w:val="none" w:sz="0" w:space="0" w:color="auto"/>
                <w:right w:val="none" w:sz="0" w:space="0" w:color="auto"/>
              </w:divBdr>
            </w:div>
            <w:div w:id="1880164675">
              <w:marLeft w:val="0"/>
              <w:marRight w:val="0"/>
              <w:marTop w:val="0"/>
              <w:marBottom w:val="0"/>
              <w:divBdr>
                <w:top w:val="none" w:sz="0" w:space="0" w:color="auto"/>
                <w:left w:val="none" w:sz="0" w:space="0" w:color="auto"/>
                <w:bottom w:val="none" w:sz="0" w:space="0" w:color="auto"/>
                <w:right w:val="none" w:sz="0" w:space="0" w:color="auto"/>
              </w:divBdr>
            </w:div>
            <w:div w:id="1884365494">
              <w:marLeft w:val="0"/>
              <w:marRight w:val="0"/>
              <w:marTop w:val="0"/>
              <w:marBottom w:val="0"/>
              <w:divBdr>
                <w:top w:val="none" w:sz="0" w:space="0" w:color="auto"/>
                <w:left w:val="none" w:sz="0" w:space="0" w:color="auto"/>
                <w:bottom w:val="none" w:sz="0" w:space="0" w:color="auto"/>
                <w:right w:val="none" w:sz="0" w:space="0" w:color="auto"/>
              </w:divBdr>
            </w:div>
            <w:div w:id="1884823645">
              <w:marLeft w:val="0"/>
              <w:marRight w:val="0"/>
              <w:marTop w:val="0"/>
              <w:marBottom w:val="0"/>
              <w:divBdr>
                <w:top w:val="none" w:sz="0" w:space="0" w:color="auto"/>
                <w:left w:val="none" w:sz="0" w:space="0" w:color="auto"/>
                <w:bottom w:val="none" w:sz="0" w:space="0" w:color="auto"/>
                <w:right w:val="none" w:sz="0" w:space="0" w:color="auto"/>
              </w:divBdr>
            </w:div>
            <w:div w:id="1913924396">
              <w:marLeft w:val="0"/>
              <w:marRight w:val="0"/>
              <w:marTop w:val="0"/>
              <w:marBottom w:val="0"/>
              <w:divBdr>
                <w:top w:val="none" w:sz="0" w:space="0" w:color="auto"/>
                <w:left w:val="none" w:sz="0" w:space="0" w:color="auto"/>
                <w:bottom w:val="none" w:sz="0" w:space="0" w:color="auto"/>
                <w:right w:val="none" w:sz="0" w:space="0" w:color="auto"/>
              </w:divBdr>
            </w:div>
            <w:div w:id="1935822163">
              <w:marLeft w:val="0"/>
              <w:marRight w:val="0"/>
              <w:marTop w:val="0"/>
              <w:marBottom w:val="0"/>
              <w:divBdr>
                <w:top w:val="none" w:sz="0" w:space="0" w:color="auto"/>
                <w:left w:val="none" w:sz="0" w:space="0" w:color="auto"/>
                <w:bottom w:val="none" w:sz="0" w:space="0" w:color="auto"/>
                <w:right w:val="none" w:sz="0" w:space="0" w:color="auto"/>
              </w:divBdr>
            </w:div>
            <w:div w:id="1948583184">
              <w:marLeft w:val="0"/>
              <w:marRight w:val="0"/>
              <w:marTop w:val="0"/>
              <w:marBottom w:val="0"/>
              <w:divBdr>
                <w:top w:val="none" w:sz="0" w:space="0" w:color="auto"/>
                <w:left w:val="none" w:sz="0" w:space="0" w:color="auto"/>
                <w:bottom w:val="none" w:sz="0" w:space="0" w:color="auto"/>
                <w:right w:val="none" w:sz="0" w:space="0" w:color="auto"/>
              </w:divBdr>
            </w:div>
            <w:div w:id="1979988679">
              <w:marLeft w:val="0"/>
              <w:marRight w:val="0"/>
              <w:marTop w:val="0"/>
              <w:marBottom w:val="0"/>
              <w:divBdr>
                <w:top w:val="none" w:sz="0" w:space="0" w:color="auto"/>
                <w:left w:val="none" w:sz="0" w:space="0" w:color="auto"/>
                <w:bottom w:val="none" w:sz="0" w:space="0" w:color="auto"/>
                <w:right w:val="none" w:sz="0" w:space="0" w:color="auto"/>
              </w:divBdr>
            </w:div>
            <w:div w:id="1981500986">
              <w:marLeft w:val="0"/>
              <w:marRight w:val="0"/>
              <w:marTop w:val="0"/>
              <w:marBottom w:val="0"/>
              <w:divBdr>
                <w:top w:val="none" w:sz="0" w:space="0" w:color="auto"/>
                <w:left w:val="none" w:sz="0" w:space="0" w:color="auto"/>
                <w:bottom w:val="none" w:sz="0" w:space="0" w:color="auto"/>
                <w:right w:val="none" w:sz="0" w:space="0" w:color="auto"/>
              </w:divBdr>
            </w:div>
            <w:div w:id="1993829566">
              <w:marLeft w:val="0"/>
              <w:marRight w:val="0"/>
              <w:marTop w:val="0"/>
              <w:marBottom w:val="0"/>
              <w:divBdr>
                <w:top w:val="none" w:sz="0" w:space="0" w:color="auto"/>
                <w:left w:val="none" w:sz="0" w:space="0" w:color="auto"/>
                <w:bottom w:val="none" w:sz="0" w:space="0" w:color="auto"/>
                <w:right w:val="none" w:sz="0" w:space="0" w:color="auto"/>
              </w:divBdr>
            </w:div>
            <w:div w:id="2013069935">
              <w:marLeft w:val="0"/>
              <w:marRight w:val="0"/>
              <w:marTop w:val="0"/>
              <w:marBottom w:val="0"/>
              <w:divBdr>
                <w:top w:val="none" w:sz="0" w:space="0" w:color="auto"/>
                <w:left w:val="none" w:sz="0" w:space="0" w:color="auto"/>
                <w:bottom w:val="none" w:sz="0" w:space="0" w:color="auto"/>
                <w:right w:val="none" w:sz="0" w:space="0" w:color="auto"/>
              </w:divBdr>
            </w:div>
            <w:div w:id="2051147386">
              <w:marLeft w:val="0"/>
              <w:marRight w:val="0"/>
              <w:marTop w:val="0"/>
              <w:marBottom w:val="0"/>
              <w:divBdr>
                <w:top w:val="none" w:sz="0" w:space="0" w:color="auto"/>
                <w:left w:val="none" w:sz="0" w:space="0" w:color="auto"/>
                <w:bottom w:val="none" w:sz="0" w:space="0" w:color="auto"/>
                <w:right w:val="none" w:sz="0" w:space="0" w:color="auto"/>
              </w:divBdr>
            </w:div>
            <w:div w:id="2077973356">
              <w:marLeft w:val="0"/>
              <w:marRight w:val="0"/>
              <w:marTop w:val="0"/>
              <w:marBottom w:val="0"/>
              <w:divBdr>
                <w:top w:val="none" w:sz="0" w:space="0" w:color="auto"/>
                <w:left w:val="none" w:sz="0" w:space="0" w:color="auto"/>
                <w:bottom w:val="none" w:sz="0" w:space="0" w:color="auto"/>
                <w:right w:val="none" w:sz="0" w:space="0" w:color="auto"/>
              </w:divBdr>
            </w:div>
            <w:div w:id="2079546597">
              <w:marLeft w:val="0"/>
              <w:marRight w:val="0"/>
              <w:marTop w:val="0"/>
              <w:marBottom w:val="0"/>
              <w:divBdr>
                <w:top w:val="none" w:sz="0" w:space="0" w:color="auto"/>
                <w:left w:val="none" w:sz="0" w:space="0" w:color="auto"/>
                <w:bottom w:val="none" w:sz="0" w:space="0" w:color="auto"/>
                <w:right w:val="none" w:sz="0" w:space="0" w:color="auto"/>
              </w:divBdr>
            </w:div>
            <w:div w:id="2081556757">
              <w:marLeft w:val="0"/>
              <w:marRight w:val="0"/>
              <w:marTop w:val="0"/>
              <w:marBottom w:val="0"/>
              <w:divBdr>
                <w:top w:val="none" w:sz="0" w:space="0" w:color="auto"/>
                <w:left w:val="none" w:sz="0" w:space="0" w:color="auto"/>
                <w:bottom w:val="none" w:sz="0" w:space="0" w:color="auto"/>
                <w:right w:val="none" w:sz="0" w:space="0" w:color="auto"/>
              </w:divBdr>
            </w:div>
            <w:div w:id="2092773632">
              <w:marLeft w:val="0"/>
              <w:marRight w:val="0"/>
              <w:marTop w:val="0"/>
              <w:marBottom w:val="0"/>
              <w:divBdr>
                <w:top w:val="none" w:sz="0" w:space="0" w:color="auto"/>
                <w:left w:val="none" w:sz="0" w:space="0" w:color="auto"/>
                <w:bottom w:val="none" w:sz="0" w:space="0" w:color="auto"/>
                <w:right w:val="none" w:sz="0" w:space="0" w:color="auto"/>
              </w:divBdr>
            </w:div>
            <w:div w:id="2093578933">
              <w:marLeft w:val="0"/>
              <w:marRight w:val="0"/>
              <w:marTop w:val="0"/>
              <w:marBottom w:val="0"/>
              <w:divBdr>
                <w:top w:val="none" w:sz="0" w:space="0" w:color="auto"/>
                <w:left w:val="none" w:sz="0" w:space="0" w:color="auto"/>
                <w:bottom w:val="none" w:sz="0" w:space="0" w:color="auto"/>
                <w:right w:val="none" w:sz="0" w:space="0" w:color="auto"/>
              </w:divBdr>
            </w:div>
            <w:div w:id="21205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87920">
      <w:bodyDiv w:val="1"/>
      <w:marLeft w:val="0"/>
      <w:marRight w:val="750"/>
      <w:marTop w:val="0"/>
      <w:marBottom w:val="0"/>
      <w:divBdr>
        <w:top w:val="none" w:sz="0" w:space="0" w:color="auto"/>
        <w:left w:val="none" w:sz="0" w:space="0" w:color="auto"/>
        <w:bottom w:val="none" w:sz="0" w:space="0" w:color="auto"/>
        <w:right w:val="none" w:sz="0" w:space="0" w:color="auto"/>
      </w:divBdr>
      <w:divsChild>
        <w:div w:id="278731845">
          <w:marLeft w:val="0"/>
          <w:marRight w:val="0"/>
          <w:marTop w:val="0"/>
          <w:marBottom w:val="0"/>
          <w:divBdr>
            <w:top w:val="none" w:sz="0" w:space="0" w:color="auto"/>
            <w:left w:val="none" w:sz="0" w:space="0" w:color="auto"/>
            <w:bottom w:val="none" w:sz="0" w:space="0" w:color="auto"/>
            <w:right w:val="none" w:sz="0" w:space="0" w:color="auto"/>
          </w:divBdr>
          <w:divsChild>
            <w:div w:id="990720070">
              <w:marLeft w:val="0"/>
              <w:marRight w:val="0"/>
              <w:marTop w:val="0"/>
              <w:marBottom w:val="0"/>
              <w:divBdr>
                <w:top w:val="none" w:sz="0" w:space="0" w:color="auto"/>
                <w:left w:val="none" w:sz="0" w:space="0" w:color="auto"/>
                <w:bottom w:val="none" w:sz="0" w:space="0" w:color="auto"/>
                <w:right w:val="none" w:sz="0" w:space="0" w:color="auto"/>
              </w:divBdr>
              <w:divsChild>
                <w:div w:id="775247653">
                  <w:marLeft w:val="0"/>
                  <w:marRight w:val="0"/>
                  <w:marTop w:val="0"/>
                  <w:marBottom w:val="0"/>
                  <w:divBdr>
                    <w:top w:val="none" w:sz="0" w:space="0" w:color="auto"/>
                    <w:left w:val="none" w:sz="0" w:space="0" w:color="auto"/>
                    <w:bottom w:val="none" w:sz="0" w:space="0" w:color="auto"/>
                    <w:right w:val="none" w:sz="0" w:space="0" w:color="auto"/>
                  </w:divBdr>
                  <w:divsChild>
                    <w:div w:id="1852719073">
                      <w:marLeft w:val="-225"/>
                      <w:marRight w:val="-225"/>
                      <w:marTop w:val="0"/>
                      <w:marBottom w:val="0"/>
                      <w:divBdr>
                        <w:top w:val="none" w:sz="0" w:space="0" w:color="auto"/>
                        <w:left w:val="none" w:sz="0" w:space="0" w:color="auto"/>
                        <w:bottom w:val="none" w:sz="0" w:space="0" w:color="auto"/>
                        <w:right w:val="none" w:sz="0" w:space="0" w:color="auto"/>
                      </w:divBdr>
                      <w:divsChild>
                        <w:div w:id="592668689">
                          <w:marLeft w:val="0"/>
                          <w:marRight w:val="0"/>
                          <w:marTop w:val="0"/>
                          <w:marBottom w:val="0"/>
                          <w:divBdr>
                            <w:top w:val="none" w:sz="0" w:space="0" w:color="auto"/>
                            <w:left w:val="none" w:sz="0" w:space="0" w:color="auto"/>
                            <w:bottom w:val="none" w:sz="0" w:space="0" w:color="auto"/>
                            <w:right w:val="none" w:sz="0" w:space="0" w:color="auto"/>
                          </w:divBdr>
                          <w:divsChild>
                            <w:div w:id="1037700034">
                              <w:marLeft w:val="0"/>
                              <w:marRight w:val="0"/>
                              <w:marTop w:val="0"/>
                              <w:marBottom w:val="0"/>
                              <w:divBdr>
                                <w:top w:val="none" w:sz="0" w:space="0" w:color="auto"/>
                                <w:left w:val="none" w:sz="0" w:space="0" w:color="auto"/>
                                <w:bottom w:val="none" w:sz="0" w:space="0" w:color="auto"/>
                                <w:right w:val="none" w:sz="0" w:space="0" w:color="auto"/>
                              </w:divBdr>
                              <w:divsChild>
                                <w:div w:id="1349797507">
                                  <w:marLeft w:val="0"/>
                                  <w:marRight w:val="0"/>
                                  <w:marTop w:val="0"/>
                                  <w:marBottom w:val="0"/>
                                  <w:divBdr>
                                    <w:top w:val="none" w:sz="0" w:space="0" w:color="auto"/>
                                    <w:left w:val="none" w:sz="0" w:space="0" w:color="auto"/>
                                    <w:bottom w:val="none" w:sz="0" w:space="0" w:color="auto"/>
                                    <w:right w:val="none" w:sz="0" w:space="0" w:color="auto"/>
                                  </w:divBdr>
                                  <w:divsChild>
                                    <w:div w:id="780732065">
                                      <w:marLeft w:val="0"/>
                                      <w:marRight w:val="0"/>
                                      <w:marTop w:val="0"/>
                                      <w:marBottom w:val="0"/>
                                      <w:divBdr>
                                        <w:top w:val="none" w:sz="0" w:space="0" w:color="auto"/>
                                        <w:left w:val="none" w:sz="0" w:space="0" w:color="auto"/>
                                        <w:bottom w:val="none" w:sz="0" w:space="0" w:color="auto"/>
                                        <w:right w:val="none" w:sz="0" w:space="0" w:color="auto"/>
                                      </w:divBdr>
                                      <w:divsChild>
                                        <w:div w:id="696809158">
                                          <w:marLeft w:val="0"/>
                                          <w:marRight w:val="0"/>
                                          <w:marTop w:val="0"/>
                                          <w:marBottom w:val="0"/>
                                          <w:divBdr>
                                            <w:top w:val="none" w:sz="0" w:space="0" w:color="auto"/>
                                            <w:left w:val="none" w:sz="0" w:space="0" w:color="auto"/>
                                            <w:bottom w:val="none" w:sz="0" w:space="0" w:color="auto"/>
                                            <w:right w:val="none" w:sz="0" w:space="0" w:color="auto"/>
                                          </w:divBdr>
                                        </w:div>
                                        <w:div w:id="7287717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96461937">
                                              <w:marLeft w:val="0"/>
                                              <w:marRight w:val="0"/>
                                              <w:marTop w:val="0"/>
                                              <w:marBottom w:val="0"/>
                                              <w:divBdr>
                                                <w:top w:val="none" w:sz="0" w:space="0" w:color="auto"/>
                                                <w:left w:val="none" w:sz="0" w:space="0" w:color="auto"/>
                                                <w:bottom w:val="none" w:sz="0" w:space="0" w:color="auto"/>
                                                <w:right w:val="none" w:sz="0" w:space="0" w:color="auto"/>
                                              </w:divBdr>
                                              <w:divsChild>
                                                <w:div w:id="5845328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51252280">
                                              <w:marLeft w:val="0"/>
                                              <w:marRight w:val="0"/>
                                              <w:marTop w:val="0"/>
                                              <w:marBottom w:val="0"/>
                                              <w:divBdr>
                                                <w:top w:val="none" w:sz="0" w:space="0" w:color="auto"/>
                                                <w:left w:val="none" w:sz="0" w:space="0" w:color="auto"/>
                                                <w:bottom w:val="none" w:sz="0" w:space="0" w:color="auto"/>
                                                <w:right w:val="none" w:sz="0" w:space="0" w:color="auto"/>
                                              </w:divBdr>
                                              <w:divsChild>
                                                <w:div w:id="137535037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32164238">
                                              <w:marLeft w:val="0"/>
                                              <w:marRight w:val="0"/>
                                              <w:marTop w:val="0"/>
                                              <w:marBottom w:val="0"/>
                                              <w:divBdr>
                                                <w:top w:val="none" w:sz="0" w:space="0" w:color="auto"/>
                                                <w:left w:val="none" w:sz="0" w:space="0" w:color="auto"/>
                                                <w:bottom w:val="none" w:sz="0" w:space="0" w:color="auto"/>
                                                <w:right w:val="none" w:sz="0" w:space="0" w:color="auto"/>
                                              </w:divBdr>
                                              <w:divsChild>
                                                <w:div w:id="15874230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408961">
      <w:bodyDiv w:val="1"/>
      <w:marLeft w:val="0"/>
      <w:marRight w:val="0"/>
      <w:marTop w:val="0"/>
      <w:marBottom w:val="0"/>
      <w:divBdr>
        <w:top w:val="none" w:sz="0" w:space="0" w:color="auto"/>
        <w:left w:val="none" w:sz="0" w:space="0" w:color="auto"/>
        <w:bottom w:val="none" w:sz="0" w:space="0" w:color="auto"/>
        <w:right w:val="none" w:sz="0" w:space="0" w:color="auto"/>
      </w:divBdr>
    </w:div>
    <w:div w:id="405996399">
      <w:bodyDiv w:val="1"/>
      <w:marLeft w:val="0"/>
      <w:marRight w:val="0"/>
      <w:marTop w:val="0"/>
      <w:marBottom w:val="0"/>
      <w:divBdr>
        <w:top w:val="none" w:sz="0" w:space="0" w:color="auto"/>
        <w:left w:val="none" w:sz="0" w:space="0" w:color="auto"/>
        <w:bottom w:val="none" w:sz="0" w:space="0" w:color="auto"/>
        <w:right w:val="none" w:sz="0" w:space="0" w:color="auto"/>
      </w:divBdr>
    </w:div>
    <w:div w:id="425157348">
      <w:bodyDiv w:val="1"/>
      <w:marLeft w:val="0"/>
      <w:marRight w:val="0"/>
      <w:marTop w:val="0"/>
      <w:marBottom w:val="0"/>
      <w:divBdr>
        <w:top w:val="none" w:sz="0" w:space="0" w:color="auto"/>
        <w:left w:val="none" w:sz="0" w:space="0" w:color="auto"/>
        <w:bottom w:val="none" w:sz="0" w:space="0" w:color="auto"/>
        <w:right w:val="none" w:sz="0" w:space="0" w:color="auto"/>
      </w:divBdr>
    </w:div>
    <w:div w:id="448546186">
      <w:bodyDiv w:val="1"/>
      <w:marLeft w:val="0"/>
      <w:marRight w:val="0"/>
      <w:marTop w:val="0"/>
      <w:marBottom w:val="0"/>
      <w:divBdr>
        <w:top w:val="none" w:sz="0" w:space="0" w:color="auto"/>
        <w:left w:val="none" w:sz="0" w:space="0" w:color="auto"/>
        <w:bottom w:val="none" w:sz="0" w:space="0" w:color="auto"/>
        <w:right w:val="none" w:sz="0" w:space="0" w:color="auto"/>
      </w:divBdr>
    </w:div>
    <w:div w:id="521820189">
      <w:bodyDiv w:val="1"/>
      <w:marLeft w:val="0"/>
      <w:marRight w:val="0"/>
      <w:marTop w:val="0"/>
      <w:marBottom w:val="0"/>
      <w:divBdr>
        <w:top w:val="none" w:sz="0" w:space="0" w:color="auto"/>
        <w:left w:val="none" w:sz="0" w:space="0" w:color="auto"/>
        <w:bottom w:val="none" w:sz="0" w:space="0" w:color="auto"/>
        <w:right w:val="none" w:sz="0" w:space="0" w:color="auto"/>
      </w:divBdr>
    </w:div>
    <w:div w:id="529415306">
      <w:bodyDiv w:val="1"/>
      <w:marLeft w:val="0"/>
      <w:marRight w:val="0"/>
      <w:marTop w:val="0"/>
      <w:marBottom w:val="0"/>
      <w:divBdr>
        <w:top w:val="none" w:sz="0" w:space="0" w:color="auto"/>
        <w:left w:val="none" w:sz="0" w:space="0" w:color="auto"/>
        <w:bottom w:val="none" w:sz="0" w:space="0" w:color="auto"/>
        <w:right w:val="none" w:sz="0" w:space="0" w:color="auto"/>
      </w:divBdr>
    </w:div>
    <w:div w:id="552272445">
      <w:bodyDiv w:val="1"/>
      <w:marLeft w:val="0"/>
      <w:marRight w:val="0"/>
      <w:marTop w:val="0"/>
      <w:marBottom w:val="0"/>
      <w:divBdr>
        <w:top w:val="none" w:sz="0" w:space="0" w:color="auto"/>
        <w:left w:val="none" w:sz="0" w:space="0" w:color="auto"/>
        <w:bottom w:val="none" w:sz="0" w:space="0" w:color="auto"/>
        <w:right w:val="none" w:sz="0" w:space="0" w:color="auto"/>
      </w:divBdr>
    </w:div>
    <w:div w:id="557088352">
      <w:bodyDiv w:val="1"/>
      <w:marLeft w:val="0"/>
      <w:marRight w:val="0"/>
      <w:marTop w:val="0"/>
      <w:marBottom w:val="0"/>
      <w:divBdr>
        <w:top w:val="none" w:sz="0" w:space="0" w:color="auto"/>
        <w:left w:val="none" w:sz="0" w:space="0" w:color="auto"/>
        <w:bottom w:val="none" w:sz="0" w:space="0" w:color="auto"/>
        <w:right w:val="none" w:sz="0" w:space="0" w:color="auto"/>
      </w:divBdr>
    </w:div>
    <w:div w:id="573204705">
      <w:bodyDiv w:val="1"/>
      <w:marLeft w:val="0"/>
      <w:marRight w:val="0"/>
      <w:marTop w:val="0"/>
      <w:marBottom w:val="0"/>
      <w:divBdr>
        <w:top w:val="none" w:sz="0" w:space="0" w:color="auto"/>
        <w:left w:val="none" w:sz="0" w:space="0" w:color="auto"/>
        <w:bottom w:val="none" w:sz="0" w:space="0" w:color="auto"/>
        <w:right w:val="none" w:sz="0" w:space="0" w:color="auto"/>
      </w:divBdr>
    </w:div>
    <w:div w:id="590890896">
      <w:bodyDiv w:val="1"/>
      <w:marLeft w:val="0"/>
      <w:marRight w:val="0"/>
      <w:marTop w:val="0"/>
      <w:marBottom w:val="0"/>
      <w:divBdr>
        <w:top w:val="none" w:sz="0" w:space="0" w:color="auto"/>
        <w:left w:val="none" w:sz="0" w:space="0" w:color="auto"/>
        <w:bottom w:val="none" w:sz="0" w:space="0" w:color="auto"/>
        <w:right w:val="none" w:sz="0" w:space="0" w:color="auto"/>
      </w:divBdr>
      <w:divsChild>
        <w:div w:id="261569177">
          <w:marLeft w:val="0"/>
          <w:marRight w:val="0"/>
          <w:marTop w:val="0"/>
          <w:marBottom w:val="0"/>
          <w:divBdr>
            <w:top w:val="none" w:sz="0" w:space="0" w:color="auto"/>
            <w:left w:val="none" w:sz="0" w:space="0" w:color="auto"/>
            <w:bottom w:val="none" w:sz="0" w:space="0" w:color="auto"/>
            <w:right w:val="none" w:sz="0" w:space="0" w:color="auto"/>
          </w:divBdr>
          <w:divsChild>
            <w:div w:id="2134709283">
              <w:marLeft w:val="0"/>
              <w:marRight w:val="0"/>
              <w:marTop w:val="0"/>
              <w:marBottom w:val="0"/>
              <w:divBdr>
                <w:top w:val="none" w:sz="0" w:space="0" w:color="auto"/>
                <w:left w:val="none" w:sz="0" w:space="0" w:color="auto"/>
                <w:bottom w:val="none" w:sz="0" w:space="0" w:color="auto"/>
                <w:right w:val="none" w:sz="0" w:space="0" w:color="auto"/>
              </w:divBdr>
              <w:divsChild>
                <w:div w:id="53310108">
                  <w:marLeft w:val="0"/>
                  <w:marRight w:val="0"/>
                  <w:marTop w:val="0"/>
                  <w:marBottom w:val="0"/>
                  <w:divBdr>
                    <w:top w:val="none" w:sz="0" w:space="0" w:color="auto"/>
                    <w:left w:val="none" w:sz="0" w:space="0" w:color="auto"/>
                    <w:bottom w:val="none" w:sz="0" w:space="0" w:color="auto"/>
                    <w:right w:val="none" w:sz="0" w:space="0" w:color="auto"/>
                  </w:divBdr>
                  <w:divsChild>
                    <w:div w:id="692417294">
                      <w:marLeft w:val="0"/>
                      <w:marRight w:val="0"/>
                      <w:marTop w:val="0"/>
                      <w:marBottom w:val="0"/>
                      <w:divBdr>
                        <w:top w:val="none" w:sz="0" w:space="0" w:color="auto"/>
                        <w:left w:val="none" w:sz="0" w:space="0" w:color="auto"/>
                        <w:bottom w:val="none" w:sz="0" w:space="0" w:color="auto"/>
                        <w:right w:val="none" w:sz="0" w:space="0" w:color="auto"/>
                      </w:divBdr>
                      <w:divsChild>
                        <w:div w:id="154877981">
                          <w:marLeft w:val="0"/>
                          <w:marRight w:val="0"/>
                          <w:marTop w:val="0"/>
                          <w:marBottom w:val="0"/>
                          <w:divBdr>
                            <w:top w:val="none" w:sz="0" w:space="0" w:color="auto"/>
                            <w:left w:val="none" w:sz="0" w:space="0" w:color="auto"/>
                            <w:bottom w:val="none" w:sz="0" w:space="0" w:color="auto"/>
                            <w:right w:val="none" w:sz="0" w:space="0" w:color="auto"/>
                          </w:divBdr>
                          <w:divsChild>
                            <w:div w:id="15754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869901">
      <w:bodyDiv w:val="1"/>
      <w:marLeft w:val="0"/>
      <w:marRight w:val="0"/>
      <w:marTop w:val="0"/>
      <w:marBottom w:val="0"/>
      <w:divBdr>
        <w:top w:val="none" w:sz="0" w:space="0" w:color="auto"/>
        <w:left w:val="none" w:sz="0" w:space="0" w:color="auto"/>
        <w:bottom w:val="none" w:sz="0" w:space="0" w:color="auto"/>
        <w:right w:val="none" w:sz="0" w:space="0" w:color="auto"/>
      </w:divBdr>
    </w:div>
    <w:div w:id="640816389">
      <w:bodyDiv w:val="1"/>
      <w:marLeft w:val="0"/>
      <w:marRight w:val="0"/>
      <w:marTop w:val="0"/>
      <w:marBottom w:val="0"/>
      <w:divBdr>
        <w:top w:val="none" w:sz="0" w:space="0" w:color="auto"/>
        <w:left w:val="none" w:sz="0" w:space="0" w:color="auto"/>
        <w:bottom w:val="none" w:sz="0" w:space="0" w:color="auto"/>
        <w:right w:val="none" w:sz="0" w:space="0" w:color="auto"/>
      </w:divBdr>
    </w:div>
    <w:div w:id="670643080">
      <w:bodyDiv w:val="1"/>
      <w:marLeft w:val="0"/>
      <w:marRight w:val="0"/>
      <w:marTop w:val="0"/>
      <w:marBottom w:val="0"/>
      <w:divBdr>
        <w:top w:val="none" w:sz="0" w:space="0" w:color="auto"/>
        <w:left w:val="none" w:sz="0" w:space="0" w:color="auto"/>
        <w:bottom w:val="none" w:sz="0" w:space="0" w:color="auto"/>
        <w:right w:val="none" w:sz="0" w:space="0" w:color="auto"/>
      </w:divBdr>
    </w:div>
    <w:div w:id="676620046">
      <w:bodyDiv w:val="1"/>
      <w:marLeft w:val="0"/>
      <w:marRight w:val="0"/>
      <w:marTop w:val="0"/>
      <w:marBottom w:val="0"/>
      <w:divBdr>
        <w:top w:val="none" w:sz="0" w:space="0" w:color="auto"/>
        <w:left w:val="none" w:sz="0" w:space="0" w:color="auto"/>
        <w:bottom w:val="none" w:sz="0" w:space="0" w:color="auto"/>
        <w:right w:val="none" w:sz="0" w:space="0" w:color="auto"/>
      </w:divBdr>
    </w:div>
    <w:div w:id="699092152">
      <w:bodyDiv w:val="1"/>
      <w:marLeft w:val="0"/>
      <w:marRight w:val="0"/>
      <w:marTop w:val="0"/>
      <w:marBottom w:val="0"/>
      <w:divBdr>
        <w:top w:val="none" w:sz="0" w:space="0" w:color="auto"/>
        <w:left w:val="none" w:sz="0" w:space="0" w:color="auto"/>
        <w:bottom w:val="none" w:sz="0" w:space="0" w:color="auto"/>
        <w:right w:val="none" w:sz="0" w:space="0" w:color="auto"/>
      </w:divBdr>
    </w:div>
    <w:div w:id="754017769">
      <w:bodyDiv w:val="1"/>
      <w:marLeft w:val="0"/>
      <w:marRight w:val="0"/>
      <w:marTop w:val="0"/>
      <w:marBottom w:val="0"/>
      <w:divBdr>
        <w:top w:val="none" w:sz="0" w:space="0" w:color="auto"/>
        <w:left w:val="none" w:sz="0" w:space="0" w:color="auto"/>
        <w:bottom w:val="none" w:sz="0" w:space="0" w:color="auto"/>
        <w:right w:val="none" w:sz="0" w:space="0" w:color="auto"/>
      </w:divBdr>
    </w:div>
    <w:div w:id="899947045">
      <w:bodyDiv w:val="1"/>
      <w:marLeft w:val="0"/>
      <w:marRight w:val="0"/>
      <w:marTop w:val="0"/>
      <w:marBottom w:val="0"/>
      <w:divBdr>
        <w:top w:val="none" w:sz="0" w:space="0" w:color="auto"/>
        <w:left w:val="none" w:sz="0" w:space="0" w:color="auto"/>
        <w:bottom w:val="none" w:sz="0" w:space="0" w:color="auto"/>
        <w:right w:val="none" w:sz="0" w:space="0" w:color="auto"/>
      </w:divBdr>
    </w:div>
    <w:div w:id="942807941">
      <w:bodyDiv w:val="1"/>
      <w:marLeft w:val="0"/>
      <w:marRight w:val="0"/>
      <w:marTop w:val="0"/>
      <w:marBottom w:val="0"/>
      <w:divBdr>
        <w:top w:val="none" w:sz="0" w:space="0" w:color="auto"/>
        <w:left w:val="none" w:sz="0" w:space="0" w:color="auto"/>
        <w:bottom w:val="none" w:sz="0" w:space="0" w:color="auto"/>
        <w:right w:val="none" w:sz="0" w:space="0" w:color="auto"/>
      </w:divBdr>
    </w:div>
    <w:div w:id="957952735">
      <w:bodyDiv w:val="1"/>
      <w:marLeft w:val="0"/>
      <w:marRight w:val="0"/>
      <w:marTop w:val="0"/>
      <w:marBottom w:val="0"/>
      <w:divBdr>
        <w:top w:val="none" w:sz="0" w:space="0" w:color="auto"/>
        <w:left w:val="none" w:sz="0" w:space="0" w:color="auto"/>
        <w:bottom w:val="none" w:sz="0" w:space="0" w:color="auto"/>
        <w:right w:val="none" w:sz="0" w:space="0" w:color="auto"/>
      </w:divBdr>
    </w:div>
    <w:div w:id="963190925">
      <w:bodyDiv w:val="1"/>
      <w:marLeft w:val="0"/>
      <w:marRight w:val="0"/>
      <w:marTop w:val="0"/>
      <w:marBottom w:val="0"/>
      <w:divBdr>
        <w:top w:val="none" w:sz="0" w:space="0" w:color="auto"/>
        <w:left w:val="none" w:sz="0" w:space="0" w:color="auto"/>
        <w:bottom w:val="none" w:sz="0" w:space="0" w:color="auto"/>
        <w:right w:val="none" w:sz="0" w:space="0" w:color="auto"/>
      </w:divBdr>
    </w:div>
    <w:div w:id="1061368120">
      <w:bodyDiv w:val="1"/>
      <w:marLeft w:val="0"/>
      <w:marRight w:val="0"/>
      <w:marTop w:val="0"/>
      <w:marBottom w:val="0"/>
      <w:divBdr>
        <w:top w:val="none" w:sz="0" w:space="0" w:color="auto"/>
        <w:left w:val="none" w:sz="0" w:space="0" w:color="auto"/>
        <w:bottom w:val="none" w:sz="0" w:space="0" w:color="auto"/>
        <w:right w:val="none" w:sz="0" w:space="0" w:color="auto"/>
      </w:divBdr>
    </w:div>
    <w:div w:id="1095983406">
      <w:bodyDiv w:val="1"/>
      <w:marLeft w:val="0"/>
      <w:marRight w:val="0"/>
      <w:marTop w:val="0"/>
      <w:marBottom w:val="0"/>
      <w:divBdr>
        <w:top w:val="none" w:sz="0" w:space="0" w:color="auto"/>
        <w:left w:val="none" w:sz="0" w:space="0" w:color="auto"/>
        <w:bottom w:val="none" w:sz="0" w:space="0" w:color="auto"/>
        <w:right w:val="none" w:sz="0" w:space="0" w:color="auto"/>
      </w:divBdr>
    </w:div>
    <w:div w:id="1200703330">
      <w:bodyDiv w:val="1"/>
      <w:marLeft w:val="0"/>
      <w:marRight w:val="0"/>
      <w:marTop w:val="0"/>
      <w:marBottom w:val="0"/>
      <w:divBdr>
        <w:top w:val="none" w:sz="0" w:space="0" w:color="auto"/>
        <w:left w:val="none" w:sz="0" w:space="0" w:color="auto"/>
        <w:bottom w:val="none" w:sz="0" w:space="0" w:color="auto"/>
        <w:right w:val="none" w:sz="0" w:space="0" w:color="auto"/>
      </w:divBdr>
    </w:div>
    <w:div w:id="1221136829">
      <w:bodyDiv w:val="1"/>
      <w:marLeft w:val="0"/>
      <w:marRight w:val="0"/>
      <w:marTop w:val="0"/>
      <w:marBottom w:val="0"/>
      <w:divBdr>
        <w:top w:val="none" w:sz="0" w:space="0" w:color="auto"/>
        <w:left w:val="none" w:sz="0" w:space="0" w:color="auto"/>
        <w:bottom w:val="none" w:sz="0" w:space="0" w:color="auto"/>
        <w:right w:val="none" w:sz="0" w:space="0" w:color="auto"/>
      </w:divBdr>
    </w:div>
    <w:div w:id="1287853960">
      <w:bodyDiv w:val="1"/>
      <w:marLeft w:val="0"/>
      <w:marRight w:val="0"/>
      <w:marTop w:val="0"/>
      <w:marBottom w:val="0"/>
      <w:divBdr>
        <w:top w:val="none" w:sz="0" w:space="0" w:color="auto"/>
        <w:left w:val="none" w:sz="0" w:space="0" w:color="auto"/>
        <w:bottom w:val="none" w:sz="0" w:space="0" w:color="auto"/>
        <w:right w:val="none" w:sz="0" w:space="0" w:color="auto"/>
      </w:divBdr>
    </w:div>
    <w:div w:id="1288661267">
      <w:bodyDiv w:val="1"/>
      <w:marLeft w:val="0"/>
      <w:marRight w:val="0"/>
      <w:marTop w:val="0"/>
      <w:marBottom w:val="0"/>
      <w:divBdr>
        <w:top w:val="none" w:sz="0" w:space="0" w:color="auto"/>
        <w:left w:val="none" w:sz="0" w:space="0" w:color="auto"/>
        <w:bottom w:val="none" w:sz="0" w:space="0" w:color="auto"/>
        <w:right w:val="none" w:sz="0" w:space="0" w:color="auto"/>
      </w:divBdr>
    </w:div>
    <w:div w:id="1309549988">
      <w:bodyDiv w:val="1"/>
      <w:marLeft w:val="0"/>
      <w:marRight w:val="0"/>
      <w:marTop w:val="0"/>
      <w:marBottom w:val="0"/>
      <w:divBdr>
        <w:top w:val="none" w:sz="0" w:space="0" w:color="auto"/>
        <w:left w:val="none" w:sz="0" w:space="0" w:color="auto"/>
        <w:bottom w:val="none" w:sz="0" w:space="0" w:color="auto"/>
        <w:right w:val="none" w:sz="0" w:space="0" w:color="auto"/>
      </w:divBdr>
      <w:divsChild>
        <w:div w:id="1693416593">
          <w:marLeft w:val="0"/>
          <w:marRight w:val="0"/>
          <w:marTop w:val="15"/>
          <w:marBottom w:val="0"/>
          <w:divBdr>
            <w:top w:val="none" w:sz="0" w:space="0" w:color="auto"/>
            <w:left w:val="none" w:sz="0" w:space="0" w:color="auto"/>
            <w:bottom w:val="none" w:sz="0" w:space="0" w:color="auto"/>
            <w:right w:val="none" w:sz="0" w:space="0" w:color="auto"/>
          </w:divBdr>
          <w:divsChild>
            <w:div w:id="1835603575">
              <w:marLeft w:val="0"/>
              <w:marRight w:val="0"/>
              <w:marTop w:val="0"/>
              <w:marBottom w:val="0"/>
              <w:divBdr>
                <w:top w:val="none" w:sz="0" w:space="0" w:color="auto"/>
                <w:left w:val="none" w:sz="0" w:space="0" w:color="auto"/>
                <w:bottom w:val="none" w:sz="0" w:space="0" w:color="auto"/>
                <w:right w:val="none" w:sz="0" w:space="0" w:color="auto"/>
              </w:divBdr>
              <w:divsChild>
                <w:div w:id="8876714">
                  <w:marLeft w:val="0"/>
                  <w:marRight w:val="0"/>
                  <w:marTop w:val="0"/>
                  <w:marBottom w:val="0"/>
                  <w:divBdr>
                    <w:top w:val="none" w:sz="0" w:space="0" w:color="auto"/>
                    <w:left w:val="none" w:sz="0" w:space="0" w:color="auto"/>
                    <w:bottom w:val="none" w:sz="0" w:space="0" w:color="auto"/>
                    <w:right w:val="none" w:sz="0" w:space="0" w:color="auto"/>
                  </w:divBdr>
                </w:div>
                <w:div w:id="13465440">
                  <w:marLeft w:val="0"/>
                  <w:marRight w:val="0"/>
                  <w:marTop w:val="0"/>
                  <w:marBottom w:val="0"/>
                  <w:divBdr>
                    <w:top w:val="none" w:sz="0" w:space="0" w:color="auto"/>
                    <w:left w:val="none" w:sz="0" w:space="0" w:color="auto"/>
                    <w:bottom w:val="none" w:sz="0" w:space="0" w:color="auto"/>
                    <w:right w:val="none" w:sz="0" w:space="0" w:color="auto"/>
                  </w:divBdr>
                </w:div>
                <w:div w:id="23528167">
                  <w:marLeft w:val="0"/>
                  <w:marRight w:val="0"/>
                  <w:marTop w:val="0"/>
                  <w:marBottom w:val="0"/>
                  <w:divBdr>
                    <w:top w:val="none" w:sz="0" w:space="0" w:color="auto"/>
                    <w:left w:val="none" w:sz="0" w:space="0" w:color="auto"/>
                    <w:bottom w:val="none" w:sz="0" w:space="0" w:color="auto"/>
                    <w:right w:val="none" w:sz="0" w:space="0" w:color="auto"/>
                  </w:divBdr>
                </w:div>
                <w:div w:id="28071899">
                  <w:marLeft w:val="0"/>
                  <w:marRight w:val="0"/>
                  <w:marTop w:val="0"/>
                  <w:marBottom w:val="0"/>
                  <w:divBdr>
                    <w:top w:val="none" w:sz="0" w:space="0" w:color="auto"/>
                    <w:left w:val="none" w:sz="0" w:space="0" w:color="auto"/>
                    <w:bottom w:val="none" w:sz="0" w:space="0" w:color="auto"/>
                    <w:right w:val="none" w:sz="0" w:space="0" w:color="auto"/>
                  </w:divBdr>
                </w:div>
                <w:div w:id="37434605">
                  <w:marLeft w:val="0"/>
                  <w:marRight w:val="0"/>
                  <w:marTop w:val="0"/>
                  <w:marBottom w:val="0"/>
                  <w:divBdr>
                    <w:top w:val="none" w:sz="0" w:space="0" w:color="auto"/>
                    <w:left w:val="none" w:sz="0" w:space="0" w:color="auto"/>
                    <w:bottom w:val="none" w:sz="0" w:space="0" w:color="auto"/>
                    <w:right w:val="none" w:sz="0" w:space="0" w:color="auto"/>
                  </w:divBdr>
                </w:div>
                <w:div w:id="38163453">
                  <w:marLeft w:val="0"/>
                  <w:marRight w:val="0"/>
                  <w:marTop w:val="0"/>
                  <w:marBottom w:val="0"/>
                  <w:divBdr>
                    <w:top w:val="none" w:sz="0" w:space="0" w:color="auto"/>
                    <w:left w:val="none" w:sz="0" w:space="0" w:color="auto"/>
                    <w:bottom w:val="none" w:sz="0" w:space="0" w:color="auto"/>
                    <w:right w:val="none" w:sz="0" w:space="0" w:color="auto"/>
                  </w:divBdr>
                </w:div>
                <w:div w:id="48849253">
                  <w:marLeft w:val="0"/>
                  <w:marRight w:val="0"/>
                  <w:marTop w:val="0"/>
                  <w:marBottom w:val="0"/>
                  <w:divBdr>
                    <w:top w:val="none" w:sz="0" w:space="0" w:color="auto"/>
                    <w:left w:val="none" w:sz="0" w:space="0" w:color="auto"/>
                    <w:bottom w:val="none" w:sz="0" w:space="0" w:color="auto"/>
                    <w:right w:val="none" w:sz="0" w:space="0" w:color="auto"/>
                  </w:divBdr>
                </w:div>
                <w:div w:id="49348788">
                  <w:marLeft w:val="0"/>
                  <w:marRight w:val="0"/>
                  <w:marTop w:val="0"/>
                  <w:marBottom w:val="0"/>
                  <w:divBdr>
                    <w:top w:val="none" w:sz="0" w:space="0" w:color="auto"/>
                    <w:left w:val="none" w:sz="0" w:space="0" w:color="auto"/>
                    <w:bottom w:val="none" w:sz="0" w:space="0" w:color="auto"/>
                    <w:right w:val="none" w:sz="0" w:space="0" w:color="auto"/>
                  </w:divBdr>
                </w:div>
                <w:div w:id="63184097">
                  <w:marLeft w:val="0"/>
                  <w:marRight w:val="0"/>
                  <w:marTop w:val="0"/>
                  <w:marBottom w:val="0"/>
                  <w:divBdr>
                    <w:top w:val="none" w:sz="0" w:space="0" w:color="auto"/>
                    <w:left w:val="none" w:sz="0" w:space="0" w:color="auto"/>
                    <w:bottom w:val="none" w:sz="0" w:space="0" w:color="auto"/>
                    <w:right w:val="none" w:sz="0" w:space="0" w:color="auto"/>
                  </w:divBdr>
                </w:div>
                <w:div w:id="68817508">
                  <w:marLeft w:val="0"/>
                  <w:marRight w:val="0"/>
                  <w:marTop w:val="0"/>
                  <w:marBottom w:val="0"/>
                  <w:divBdr>
                    <w:top w:val="none" w:sz="0" w:space="0" w:color="auto"/>
                    <w:left w:val="none" w:sz="0" w:space="0" w:color="auto"/>
                    <w:bottom w:val="none" w:sz="0" w:space="0" w:color="auto"/>
                    <w:right w:val="none" w:sz="0" w:space="0" w:color="auto"/>
                  </w:divBdr>
                </w:div>
                <w:div w:id="83041005">
                  <w:marLeft w:val="0"/>
                  <w:marRight w:val="0"/>
                  <w:marTop w:val="0"/>
                  <w:marBottom w:val="0"/>
                  <w:divBdr>
                    <w:top w:val="none" w:sz="0" w:space="0" w:color="auto"/>
                    <w:left w:val="none" w:sz="0" w:space="0" w:color="auto"/>
                    <w:bottom w:val="none" w:sz="0" w:space="0" w:color="auto"/>
                    <w:right w:val="none" w:sz="0" w:space="0" w:color="auto"/>
                  </w:divBdr>
                </w:div>
                <w:div w:id="84739549">
                  <w:marLeft w:val="0"/>
                  <w:marRight w:val="0"/>
                  <w:marTop w:val="0"/>
                  <w:marBottom w:val="0"/>
                  <w:divBdr>
                    <w:top w:val="none" w:sz="0" w:space="0" w:color="auto"/>
                    <w:left w:val="none" w:sz="0" w:space="0" w:color="auto"/>
                    <w:bottom w:val="none" w:sz="0" w:space="0" w:color="auto"/>
                    <w:right w:val="none" w:sz="0" w:space="0" w:color="auto"/>
                  </w:divBdr>
                </w:div>
                <w:div w:id="146825651">
                  <w:marLeft w:val="0"/>
                  <w:marRight w:val="0"/>
                  <w:marTop w:val="0"/>
                  <w:marBottom w:val="0"/>
                  <w:divBdr>
                    <w:top w:val="none" w:sz="0" w:space="0" w:color="auto"/>
                    <w:left w:val="none" w:sz="0" w:space="0" w:color="auto"/>
                    <w:bottom w:val="none" w:sz="0" w:space="0" w:color="auto"/>
                    <w:right w:val="none" w:sz="0" w:space="0" w:color="auto"/>
                  </w:divBdr>
                </w:div>
                <w:div w:id="162398917">
                  <w:marLeft w:val="0"/>
                  <w:marRight w:val="0"/>
                  <w:marTop w:val="0"/>
                  <w:marBottom w:val="0"/>
                  <w:divBdr>
                    <w:top w:val="none" w:sz="0" w:space="0" w:color="auto"/>
                    <w:left w:val="none" w:sz="0" w:space="0" w:color="auto"/>
                    <w:bottom w:val="none" w:sz="0" w:space="0" w:color="auto"/>
                    <w:right w:val="none" w:sz="0" w:space="0" w:color="auto"/>
                  </w:divBdr>
                </w:div>
                <w:div w:id="187792475">
                  <w:marLeft w:val="0"/>
                  <w:marRight w:val="0"/>
                  <w:marTop w:val="0"/>
                  <w:marBottom w:val="0"/>
                  <w:divBdr>
                    <w:top w:val="none" w:sz="0" w:space="0" w:color="auto"/>
                    <w:left w:val="none" w:sz="0" w:space="0" w:color="auto"/>
                    <w:bottom w:val="none" w:sz="0" w:space="0" w:color="auto"/>
                    <w:right w:val="none" w:sz="0" w:space="0" w:color="auto"/>
                  </w:divBdr>
                </w:div>
                <w:div w:id="189807917">
                  <w:marLeft w:val="0"/>
                  <w:marRight w:val="0"/>
                  <w:marTop w:val="0"/>
                  <w:marBottom w:val="0"/>
                  <w:divBdr>
                    <w:top w:val="none" w:sz="0" w:space="0" w:color="auto"/>
                    <w:left w:val="none" w:sz="0" w:space="0" w:color="auto"/>
                    <w:bottom w:val="none" w:sz="0" w:space="0" w:color="auto"/>
                    <w:right w:val="none" w:sz="0" w:space="0" w:color="auto"/>
                  </w:divBdr>
                </w:div>
                <w:div w:id="190923913">
                  <w:marLeft w:val="0"/>
                  <w:marRight w:val="0"/>
                  <w:marTop w:val="0"/>
                  <w:marBottom w:val="0"/>
                  <w:divBdr>
                    <w:top w:val="none" w:sz="0" w:space="0" w:color="auto"/>
                    <w:left w:val="none" w:sz="0" w:space="0" w:color="auto"/>
                    <w:bottom w:val="none" w:sz="0" w:space="0" w:color="auto"/>
                    <w:right w:val="none" w:sz="0" w:space="0" w:color="auto"/>
                  </w:divBdr>
                </w:div>
                <w:div w:id="197280392">
                  <w:marLeft w:val="0"/>
                  <w:marRight w:val="0"/>
                  <w:marTop w:val="0"/>
                  <w:marBottom w:val="0"/>
                  <w:divBdr>
                    <w:top w:val="none" w:sz="0" w:space="0" w:color="auto"/>
                    <w:left w:val="none" w:sz="0" w:space="0" w:color="auto"/>
                    <w:bottom w:val="none" w:sz="0" w:space="0" w:color="auto"/>
                    <w:right w:val="none" w:sz="0" w:space="0" w:color="auto"/>
                  </w:divBdr>
                </w:div>
                <w:div w:id="208147888">
                  <w:marLeft w:val="0"/>
                  <w:marRight w:val="0"/>
                  <w:marTop w:val="0"/>
                  <w:marBottom w:val="0"/>
                  <w:divBdr>
                    <w:top w:val="none" w:sz="0" w:space="0" w:color="auto"/>
                    <w:left w:val="none" w:sz="0" w:space="0" w:color="auto"/>
                    <w:bottom w:val="none" w:sz="0" w:space="0" w:color="auto"/>
                    <w:right w:val="none" w:sz="0" w:space="0" w:color="auto"/>
                  </w:divBdr>
                </w:div>
                <w:div w:id="215357619">
                  <w:marLeft w:val="0"/>
                  <w:marRight w:val="0"/>
                  <w:marTop w:val="0"/>
                  <w:marBottom w:val="0"/>
                  <w:divBdr>
                    <w:top w:val="none" w:sz="0" w:space="0" w:color="auto"/>
                    <w:left w:val="none" w:sz="0" w:space="0" w:color="auto"/>
                    <w:bottom w:val="none" w:sz="0" w:space="0" w:color="auto"/>
                    <w:right w:val="none" w:sz="0" w:space="0" w:color="auto"/>
                  </w:divBdr>
                </w:div>
                <w:div w:id="256446016">
                  <w:marLeft w:val="0"/>
                  <w:marRight w:val="0"/>
                  <w:marTop w:val="0"/>
                  <w:marBottom w:val="0"/>
                  <w:divBdr>
                    <w:top w:val="none" w:sz="0" w:space="0" w:color="auto"/>
                    <w:left w:val="none" w:sz="0" w:space="0" w:color="auto"/>
                    <w:bottom w:val="none" w:sz="0" w:space="0" w:color="auto"/>
                    <w:right w:val="none" w:sz="0" w:space="0" w:color="auto"/>
                  </w:divBdr>
                </w:div>
                <w:div w:id="256790372">
                  <w:marLeft w:val="0"/>
                  <w:marRight w:val="0"/>
                  <w:marTop w:val="0"/>
                  <w:marBottom w:val="0"/>
                  <w:divBdr>
                    <w:top w:val="none" w:sz="0" w:space="0" w:color="auto"/>
                    <w:left w:val="none" w:sz="0" w:space="0" w:color="auto"/>
                    <w:bottom w:val="none" w:sz="0" w:space="0" w:color="auto"/>
                    <w:right w:val="none" w:sz="0" w:space="0" w:color="auto"/>
                  </w:divBdr>
                </w:div>
                <w:div w:id="262341867">
                  <w:marLeft w:val="0"/>
                  <w:marRight w:val="0"/>
                  <w:marTop w:val="0"/>
                  <w:marBottom w:val="0"/>
                  <w:divBdr>
                    <w:top w:val="none" w:sz="0" w:space="0" w:color="auto"/>
                    <w:left w:val="none" w:sz="0" w:space="0" w:color="auto"/>
                    <w:bottom w:val="none" w:sz="0" w:space="0" w:color="auto"/>
                    <w:right w:val="none" w:sz="0" w:space="0" w:color="auto"/>
                  </w:divBdr>
                </w:div>
                <w:div w:id="269355720">
                  <w:marLeft w:val="0"/>
                  <w:marRight w:val="0"/>
                  <w:marTop w:val="0"/>
                  <w:marBottom w:val="0"/>
                  <w:divBdr>
                    <w:top w:val="none" w:sz="0" w:space="0" w:color="auto"/>
                    <w:left w:val="none" w:sz="0" w:space="0" w:color="auto"/>
                    <w:bottom w:val="none" w:sz="0" w:space="0" w:color="auto"/>
                    <w:right w:val="none" w:sz="0" w:space="0" w:color="auto"/>
                  </w:divBdr>
                </w:div>
                <w:div w:id="270667770">
                  <w:marLeft w:val="0"/>
                  <w:marRight w:val="0"/>
                  <w:marTop w:val="0"/>
                  <w:marBottom w:val="0"/>
                  <w:divBdr>
                    <w:top w:val="none" w:sz="0" w:space="0" w:color="auto"/>
                    <w:left w:val="none" w:sz="0" w:space="0" w:color="auto"/>
                    <w:bottom w:val="none" w:sz="0" w:space="0" w:color="auto"/>
                    <w:right w:val="none" w:sz="0" w:space="0" w:color="auto"/>
                  </w:divBdr>
                </w:div>
                <w:div w:id="270939772">
                  <w:marLeft w:val="0"/>
                  <w:marRight w:val="0"/>
                  <w:marTop w:val="0"/>
                  <w:marBottom w:val="0"/>
                  <w:divBdr>
                    <w:top w:val="none" w:sz="0" w:space="0" w:color="auto"/>
                    <w:left w:val="none" w:sz="0" w:space="0" w:color="auto"/>
                    <w:bottom w:val="none" w:sz="0" w:space="0" w:color="auto"/>
                    <w:right w:val="none" w:sz="0" w:space="0" w:color="auto"/>
                  </w:divBdr>
                </w:div>
                <w:div w:id="290601685">
                  <w:marLeft w:val="0"/>
                  <w:marRight w:val="0"/>
                  <w:marTop w:val="0"/>
                  <w:marBottom w:val="0"/>
                  <w:divBdr>
                    <w:top w:val="none" w:sz="0" w:space="0" w:color="auto"/>
                    <w:left w:val="none" w:sz="0" w:space="0" w:color="auto"/>
                    <w:bottom w:val="none" w:sz="0" w:space="0" w:color="auto"/>
                    <w:right w:val="none" w:sz="0" w:space="0" w:color="auto"/>
                  </w:divBdr>
                </w:div>
                <w:div w:id="297148276">
                  <w:marLeft w:val="0"/>
                  <w:marRight w:val="0"/>
                  <w:marTop w:val="0"/>
                  <w:marBottom w:val="0"/>
                  <w:divBdr>
                    <w:top w:val="none" w:sz="0" w:space="0" w:color="auto"/>
                    <w:left w:val="none" w:sz="0" w:space="0" w:color="auto"/>
                    <w:bottom w:val="none" w:sz="0" w:space="0" w:color="auto"/>
                    <w:right w:val="none" w:sz="0" w:space="0" w:color="auto"/>
                  </w:divBdr>
                </w:div>
                <w:div w:id="304361185">
                  <w:marLeft w:val="0"/>
                  <w:marRight w:val="0"/>
                  <w:marTop w:val="0"/>
                  <w:marBottom w:val="0"/>
                  <w:divBdr>
                    <w:top w:val="none" w:sz="0" w:space="0" w:color="auto"/>
                    <w:left w:val="none" w:sz="0" w:space="0" w:color="auto"/>
                    <w:bottom w:val="none" w:sz="0" w:space="0" w:color="auto"/>
                    <w:right w:val="none" w:sz="0" w:space="0" w:color="auto"/>
                  </w:divBdr>
                </w:div>
                <w:div w:id="357778575">
                  <w:marLeft w:val="0"/>
                  <w:marRight w:val="0"/>
                  <w:marTop w:val="0"/>
                  <w:marBottom w:val="0"/>
                  <w:divBdr>
                    <w:top w:val="none" w:sz="0" w:space="0" w:color="auto"/>
                    <w:left w:val="none" w:sz="0" w:space="0" w:color="auto"/>
                    <w:bottom w:val="none" w:sz="0" w:space="0" w:color="auto"/>
                    <w:right w:val="none" w:sz="0" w:space="0" w:color="auto"/>
                  </w:divBdr>
                </w:div>
                <w:div w:id="358161220">
                  <w:marLeft w:val="0"/>
                  <w:marRight w:val="0"/>
                  <w:marTop w:val="0"/>
                  <w:marBottom w:val="0"/>
                  <w:divBdr>
                    <w:top w:val="none" w:sz="0" w:space="0" w:color="auto"/>
                    <w:left w:val="none" w:sz="0" w:space="0" w:color="auto"/>
                    <w:bottom w:val="none" w:sz="0" w:space="0" w:color="auto"/>
                    <w:right w:val="none" w:sz="0" w:space="0" w:color="auto"/>
                  </w:divBdr>
                </w:div>
                <w:div w:id="361177609">
                  <w:marLeft w:val="0"/>
                  <w:marRight w:val="0"/>
                  <w:marTop w:val="0"/>
                  <w:marBottom w:val="0"/>
                  <w:divBdr>
                    <w:top w:val="none" w:sz="0" w:space="0" w:color="auto"/>
                    <w:left w:val="none" w:sz="0" w:space="0" w:color="auto"/>
                    <w:bottom w:val="none" w:sz="0" w:space="0" w:color="auto"/>
                    <w:right w:val="none" w:sz="0" w:space="0" w:color="auto"/>
                  </w:divBdr>
                </w:div>
                <w:div w:id="364526810">
                  <w:marLeft w:val="0"/>
                  <w:marRight w:val="0"/>
                  <w:marTop w:val="0"/>
                  <w:marBottom w:val="0"/>
                  <w:divBdr>
                    <w:top w:val="none" w:sz="0" w:space="0" w:color="auto"/>
                    <w:left w:val="none" w:sz="0" w:space="0" w:color="auto"/>
                    <w:bottom w:val="none" w:sz="0" w:space="0" w:color="auto"/>
                    <w:right w:val="none" w:sz="0" w:space="0" w:color="auto"/>
                  </w:divBdr>
                </w:div>
                <w:div w:id="379326601">
                  <w:marLeft w:val="0"/>
                  <w:marRight w:val="0"/>
                  <w:marTop w:val="0"/>
                  <w:marBottom w:val="0"/>
                  <w:divBdr>
                    <w:top w:val="none" w:sz="0" w:space="0" w:color="auto"/>
                    <w:left w:val="none" w:sz="0" w:space="0" w:color="auto"/>
                    <w:bottom w:val="none" w:sz="0" w:space="0" w:color="auto"/>
                    <w:right w:val="none" w:sz="0" w:space="0" w:color="auto"/>
                  </w:divBdr>
                </w:div>
                <w:div w:id="382290729">
                  <w:marLeft w:val="0"/>
                  <w:marRight w:val="0"/>
                  <w:marTop w:val="0"/>
                  <w:marBottom w:val="0"/>
                  <w:divBdr>
                    <w:top w:val="none" w:sz="0" w:space="0" w:color="auto"/>
                    <w:left w:val="none" w:sz="0" w:space="0" w:color="auto"/>
                    <w:bottom w:val="none" w:sz="0" w:space="0" w:color="auto"/>
                    <w:right w:val="none" w:sz="0" w:space="0" w:color="auto"/>
                  </w:divBdr>
                </w:div>
                <w:div w:id="385110410">
                  <w:marLeft w:val="0"/>
                  <w:marRight w:val="0"/>
                  <w:marTop w:val="0"/>
                  <w:marBottom w:val="0"/>
                  <w:divBdr>
                    <w:top w:val="none" w:sz="0" w:space="0" w:color="auto"/>
                    <w:left w:val="none" w:sz="0" w:space="0" w:color="auto"/>
                    <w:bottom w:val="none" w:sz="0" w:space="0" w:color="auto"/>
                    <w:right w:val="none" w:sz="0" w:space="0" w:color="auto"/>
                  </w:divBdr>
                </w:div>
                <w:div w:id="386149825">
                  <w:marLeft w:val="0"/>
                  <w:marRight w:val="0"/>
                  <w:marTop w:val="0"/>
                  <w:marBottom w:val="0"/>
                  <w:divBdr>
                    <w:top w:val="none" w:sz="0" w:space="0" w:color="auto"/>
                    <w:left w:val="none" w:sz="0" w:space="0" w:color="auto"/>
                    <w:bottom w:val="none" w:sz="0" w:space="0" w:color="auto"/>
                    <w:right w:val="none" w:sz="0" w:space="0" w:color="auto"/>
                  </w:divBdr>
                </w:div>
                <w:div w:id="394359817">
                  <w:marLeft w:val="0"/>
                  <w:marRight w:val="0"/>
                  <w:marTop w:val="0"/>
                  <w:marBottom w:val="0"/>
                  <w:divBdr>
                    <w:top w:val="none" w:sz="0" w:space="0" w:color="auto"/>
                    <w:left w:val="none" w:sz="0" w:space="0" w:color="auto"/>
                    <w:bottom w:val="none" w:sz="0" w:space="0" w:color="auto"/>
                    <w:right w:val="none" w:sz="0" w:space="0" w:color="auto"/>
                  </w:divBdr>
                </w:div>
                <w:div w:id="399836372">
                  <w:marLeft w:val="0"/>
                  <w:marRight w:val="0"/>
                  <w:marTop w:val="0"/>
                  <w:marBottom w:val="0"/>
                  <w:divBdr>
                    <w:top w:val="none" w:sz="0" w:space="0" w:color="auto"/>
                    <w:left w:val="none" w:sz="0" w:space="0" w:color="auto"/>
                    <w:bottom w:val="none" w:sz="0" w:space="0" w:color="auto"/>
                    <w:right w:val="none" w:sz="0" w:space="0" w:color="auto"/>
                  </w:divBdr>
                </w:div>
                <w:div w:id="414474994">
                  <w:marLeft w:val="0"/>
                  <w:marRight w:val="0"/>
                  <w:marTop w:val="0"/>
                  <w:marBottom w:val="0"/>
                  <w:divBdr>
                    <w:top w:val="none" w:sz="0" w:space="0" w:color="auto"/>
                    <w:left w:val="none" w:sz="0" w:space="0" w:color="auto"/>
                    <w:bottom w:val="none" w:sz="0" w:space="0" w:color="auto"/>
                    <w:right w:val="none" w:sz="0" w:space="0" w:color="auto"/>
                  </w:divBdr>
                </w:div>
                <w:div w:id="428159571">
                  <w:marLeft w:val="0"/>
                  <w:marRight w:val="0"/>
                  <w:marTop w:val="0"/>
                  <w:marBottom w:val="0"/>
                  <w:divBdr>
                    <w:top w:val="none" w:sz="0" w:space="0" w:color="auto"/>
                    <w:left w:val="none" w:sz="0" w:space="0" w:color="auto"/>
                    <w:bottom w:val="none" w:sz="0" w:space="0" w:color="auto"/>
                    <w:right w:val="none" w:sz="0" w:space="0" w:color="auto"/>
                  </w:divBdr>
                </w:div>
                <w:div w:id="431365268">
                  <w:marLeft w:val="0"/>
                  <w:marRight w:val="0"/>
                  <w:marTop w:val="0"/>
                  <w:marBottom w:val="0"/>
                  <w:divBdr>
                    <w:top w:val="none" w:sz="0" w:space="0" w:color="auto"/>
                    <w:left w:val="none" w:sz="0" w:space="0" w:color="auto"/>
                    <w:bottom w:val="none" w:sz="0" w:space="0" w:color="auto"/>
                    <w:right w:val="none" w:sz="0" w:space="0" w:color="auto"/>
                  </w:divBdr>
                </w:div>
                <w:div w:id="446697596">
                  <w:marLeft w:val="0"/>
                  <w:marRight w:val="0"/>
                  <w:marTop w:val="0"/>
                  <w:marBottom w:val="0"/>
                  <w:divBdr>
                    <w:top w:val="none" w:sz="0" w:space="0" w:color="auto"/>
                    <w:left w:val="none" w:sz="0" w:space="0" w:color="auto"/>
                    <w:bottom w:val="none" w:sz="0" w:space="0" w:color="auto"/>
                    <w:right w:val="none" w:sz="0" w:space="0" w:color="auto"/>
                  </w:divBdr>
                </w:div>
                <w:div w:id="448203852">
                  <w:marLeft w:val="0"/>
                  <w:marRight w:val="0"/>
                  <w:marTop w:val="0"/>
                  <w:marBottom w:val="0"/>
                  <w:divBdr>
                    <w:top w:val="none" w:sz="0" w:space="0" w:color="auto"/>
                    <w:left w:val="none" w:sz="0" w:space="0" w:color="auto"/>
                    <w:bottom w:val="none" w:sz="0" w:space="0" w:color="auto"/>
                    <w:right w:val="none" w:sz="0" w:space="0" w:color="auto"/>
                  </w:divBdr>
                </w:div>
                <w:div w:id="454640097">
                  <w:marLeft w:val="0"/>
                  <w:marRight w:val="0"/>
                  <w:marTop w:val="0"/>
                  <w:marBottom w:val="0"/>
                  <w:divBdr>
                    <w:top w:val="none" w:sz="0" w:space="0" w:color="auto"/>
                    <w:left w:val="none" w:sz="0" w:space="0" w:color="auto"/>
                    <w:bottom w:val="none" w:sz="0" w:space="0" w:color="auto"/>
                    <w:right w:val="none" w:sz="0" w:space="0" w:color="auto"/>
                  </w:divBdr>
                </w:div>
                <w:div w:id="478546207">
                  <w:marLeft w:val="0"/>
                  <w:marRight w:val="0"/>
                  <w:marTop w:val="0"/>
                  <w:marBottom w:val="0"/>
                  <w:divBdr>
                    <w:top w:val="none" w:sz="0" w:space="0" w:color="auto"/>
                    <w:left w:val="none" w:sz="0" w:space="0" w:color="auto"/>
                    <w:bottom w:val="none" w:sz="0" w:space="0" w:color="auto"/>
                    <w:right w:val="none" w:sz="0" w:space="0" w:color="auto"/>
                  </w:divBdr>
                </w:div>
                <w:div w:id="481508900">
                  <w:marLeft w:val="0"/>
                  <w:marRight w:val="0"/>
                  <w:marTop w:val="0"/>
                  <w:marBottom w:val="0"/>
                  <w:divBdr>
                    <w:top w:val="none" w:sz="0" w:space="0" w:color="auto"/>
                    <w:left w:val="none" w:sz="0" w:space="0" w:color="auto"/>
                    <w:bottom w:val="none" w:sz="0" w:space="0" w:color="auto"/>
                    <w:right w:val="none" w:sz="0" w:space="0" w:color="auto"/>
                  </w:divBdr>
                </w:div>
                <w:div w:id="481580963">
                  <w:marLeft w:val="0"/>
                  <w:marRight w:val="0"/>
                  <w:marTop w:val="0"/>
                  <w:marBottom w:val="0"/>
                  <w:divBdr>
                    <w:top w:val="none" w:sz="0" w:space="0" w:color="auto"/>
                    <w:left w:val="none" w:sz="0" w:space="0" w:color="auto"/>
                    <w:bottom w:val="none" w:sz="0" w:space="0" w:color="auto"/>
                    <w:right w:val="none" w:sz="0" w:space="0" w:color="auto"/>
                  </w:divBdr>
                </w:div>
                <w:div w:id="482770943">
                  <w:marLeft w:val="0"/>
                  <w:marRight w:val="0"/>
                  <w:marTop w:val="0"/>
                  <w:marBottom w:val="0"/>
                  <w:divBdr>
                    <w:top w:val="none" w:sz="0" w:space="0" w:color="auto"/>
                    <w:left w:val="none" w:sz="0" w:space="0" w:color="auto"/>
                    <w:bottom w:val="none" w:sz="0" w:space="0" w:color="auto"/>
                    <w:right w:val="none" w:sz="0" w:space="0" w:color="auto"/>
                  </w:divBdr>
                </w:div>
                <w:div w:id="512574630">
                  <w:marLeft w:val="0"/>
                  <w:marRight w:val="0"/>
                  <w:marTop w:val="0"/>
                  <w:marBottom w:val="0"/>
                  <w:divBdr>
                    <w:top w:val="none" w:sz="0" w:space="0" w:color="auto"/>
                    <w:left w:val="none" w:sz="0" w:space="0" w:color="auto"/>
                    <w:bottom w:val="none" w:sz="0" w:space="0" w:color="auto"/>
                    <w:right w:val="none" w:sz="0" w:space="0" w:color="auto"/>
                  </w:divBdr>
                </w:div>
                <w:div w:id="527647476">
                  <w:marLeft w:val="0"/>
                  <w:marRight w:val="0"/>
                  <w:marTop w:val="0"/>
                  <w:marBottom w:val="0"/>
                  <w:divBdr>
                    <w:top w:val="none" w:sz="0" w:space="0" w:color="auto"/>
                    <w:left w:val="none" w:sz="0" w:space="0" w:color="auto"/>
                    <w:bottom w:val="none" w:sz="0" w:space="0" w:color="auto"/>
                    <w:right w:val="none" w:sz="0" w:space="0" w:color="auto"/>
                  </w:divBdr>
                </w:div>
                <w:div w:id="530609212">
                  <w:marLeft w:val="0"/>
                  <w:marRight w:val="0"/>
                  <w:marTop w:val="0"/>
                  <w:marBottom w:val="0"/>
                  <w:divBdr>
                    <w:top w:val="none" w:sz="0" w:space="0" w:color="auto"/>
                    <w:left w:val="none" w:sz="0" w:space="0" w:color="auto"/>
                    <w:bottom w:val="none" w:sz="0" w:space="0" w:color="auto"/>
                    <w:right w:val="none" w:sz="0" w:space="0" w:color="auto"/>
                  </w:divBdr>
                </w:div>
                <w:div w:id="542446242">
                  <w:marLeft w:val="0"/>
                  <w:marRight w:val="0"/>
                  <w:marTop w:val="0"/>
                  <w:marBottom w:val="0"/>
                  <w:divBdr>
                    <w:top w:val="none" w:sz="0" w:space="0" w:color="auto"/>
                    <w:left w:val="none" w:sz="0" w:space="0" w:color="auto"/>
                    <w:bottom w:val="none" w:sz="0" w:space="0" w:color="auto"/>
                    <w:right w:val="none" w:sz="0" w:space="0" w:color="auto"/>
                  </w:divBdr>
                </w:div>
                <w:div w:id="580721008">
                  <w:marLeft w:val="0"/>
                  <w:marRight w:val="0"/>
                  <w:marTop w:val="0"/>
                  <w:marBottom w:val="0"/>
                  <w:divBdr>
                    <w:top w:val="none" w:sz="0" w:space="0" w:color="auto"/>
                    <w:left w:val="none" w:sz="0" w:space="0" w:color="auto"/>
                    <w:bottom w:val="none" w:sz="0" w:space="0" w:color="auto"/>
                    <w:right w:val="none" w:sz="0" w:space="0" w:color="auto"/>
                  </w:divBdr>
                </w:div>
                <w:div w:id="593591697">
                  <w:marLeft w:val="0"/>
                  <w:marRight w:val="0"/>
                  <w:marTop w:val="0"/>
                  <w:marBottom w:val="0"/>
                  <w:divBdr>
                    <w:top w:val="none" w:sz="0" w:space="0" w:color="auto"/>
                    <w:left w:val="none" w:sz="0" w:space="0" w:color="auto"/>
                    <w:bottom w:val="none" w:sz="0" w:space="0" w:color="auto"/>
                    <w:right w:val="none" w:sz="0" w:space="0" w:color="auto"/>
                  </w:divBdr>
                </w:div>
                <w:div w:id="606621381">
                  <w:marLeft w:val="0"/>
                  <w:marRight w:val="0"/>
                  <w:marTop w:val="0"/>
                  <w:marBottom w:val="0"/>
                  <w:divBdr>
                    <w:top w:val="none" w:sz="0" w:space="0" w:color="auto"/>
                    <w:left w:val="none" w:sz="0" w:space="0" w:color="auto"/>
                    <w:bottom w:val="none" w:sz="0" w:space="0" w:color="auto"/>
                    <w:right w:val="none" w:sz="0" w:space="0" w:color="auto"/>
                  </w:divBdr>
                </w:div>
                <w:div w:id="628509587">
                  <w:marLeft w:val="0"/>
                  <w:marRight w:val="0"/>
                  <w:marTop w:val="0"/>
                  <w:marBottom w:val="0"/>
                  <w:divBdr>
                    <w:top w:val="none" w:sz="0" w:space="0" w:color="auto"/>
                    <w:left w:val="none" w:sz="0" w:space="0" w:color="auto"/>
                    <w:bottom w:val="none" w:sz="0" w:space="0" w:color="auto"/>
                    <w:right w:val="none" w:sz="0" w:space="0" w:color="auto"/>
                  </w:divBdr>
                </w:div>
                <w:div w:id="640160102">
                  <w:marLeft w:val="0"/>
                  <w:marRight w:val="0"/>
                  <w:marTop w:val="0"/>
                  <w:marBottom w:val="0"/>
                  <w:divBdr>
                    <w:top w:val="none" w:sz="0" w:space="0" w:color="auto"/>
                    <w:left w:val="none" w:sz="0" w:space="0" w:color="auto"/>
                    <w:bottom w:val="none" w:sz="0" w:space="0" w:color="auto"/>
                    <w:right w:val="none" w:sz="0" w:space="0" w:color="auto"/>
                  </w:divBdr>
                </w:div>
                <w:div w:id="647436707">
                  <w:marLeft w:val="0"/>
                  <w:marRight w:val="0"/>
                  <w:marTop w:val="0"/>
                  <w:marBottom w:val="0"/>
                  <w:divBdr>
                    <w:top w:val="none" w:sz="0" w:space="0" w:color="auto"/>
                    <w:left w:val="none" w:sz="0" w:space="0" w:color="auto"/>
                    <w:bottom w:val="none" w:sz="0" w:space="0" w:color="auto"/>
                    <w:right w:val="none" w:sz="0" w:space="0" w:color="auto"/>
                  </w:divBdr>
                </w:div>
                <w:div w:id="666398865">
                  <w:marLeft w:val="0"/>
                  <w:marRight w:val="0"/>
                  <w:marTop w:val="0"/>
                  <w:marBottom w:val="0"/>
                  <w:divBdr>
                    <w:top w:val="none" w:sz="0" w:space="0" w:color="auto"/>
                    <w:left w:val="none" w:sz="0" w:space="0" w:color="auto"/>
                    <w:bottom w:val="none" w:sz="0" w:space="0" w:color="auto"/>
                    <w:right w:val="none" w:sz="0" w:space="0" w:color="auto"/>
                  </w:divBdr>
                </w:div>
                <w:div w:id="675500338">
                  <w:marLeft w:val="0"/>
                  <w:marRight w:val="0"/>
                  <w:marTop w:val="0"/>
                  <w:marBottom w:val="0"/>
                  <w:divBdr>
                    <w:top w:val="none" w:sz="0" w:space="0" w:color="auto"/>
                    <w:left w:val="none" w:sz="0" w:space="0" w:color="auto"/>
                    <w:bottom w:val="none" w:sz="0" w:space="0" w:color="auto"/>
                    <w:right w:val="none" w:sz="0" w:space="0" w:color="auto"/>
                  </w:divBdr>
                </w:div>
                <w:div w:id="684329922">
                  <w:marLeft w:val="0"/>
                  <w:marRight w:val="0"/>
                  <w:marTop w:val="0"/>
                  <w:marBottom w:val="0"/>
                  <w:divBdr>
                    <w:top w:val="none" w:sz="0" w:space="0" w:color="auto"/>
                    <w:left w:val="none" w:sz="0" w:space="0" w:color="auto"/>
                    <w:bottom w:val="none" w:sz="0" w:space="0" w:color="auto"/>
                    <w:right w:val="none" w:sz="0" w:space="0" w:color="auto"/>
                  </w:divBdr>
                </w:div>
                <w:div w:id="692456815">
                  <w:marLeft w:val="0"/>
                  <w:marRight w:val="0"/>
                  <w:marTop w:val="0"/>
                  <w:marBottom w:val="0"/>
                  <w:divBdr>
                    <w:top w:val="none" w:sz="0" w:space="0" w:color="auto"/>
                    <w:left w:val="none" w:sz="0" w:space="0" w:color="auto"/>
                    <w:bottom w:val="none" w:sz="0" w:space="0" w:color="auto"/>
                    <w:right w:val="none" w:sz="0" w:space="0" w:color="auto"/>
                  </w:divBdr>
                </w:div>
                <w:div w:id="692877647">
                  <w:marLeft w:val="0"/>
                  <w:marRight w:val="0"/>
                  <w:marTop w:val="0"/>
                  <w:marBottom w:val="0"/>
                  <w:divBdr>
                    <w:top w:val="none" w:sz="0" w:space="0" w:color="auto"/>
                    <w:left w:val="none" w:sz="0" w:space="0" w:color="auto"/>
                    <w:bottom w:val="none" w:sz="0" w:space="0" w:color="auto"/>
                    <w:right w:val="none" w:sz="0" w:space="0" w:color="auto"/>
                  </w:divBdr>
                </w:div>
                <w:div w:id="738945280">
                  <w:marLeft w:val="0"/>
                  <w:marRight w:val="0"/>
                  <w:marTop w:val="0"/>
                  <w:marBottom w:val="0"/>
                  <w:divBdr>
                    <w:top w:val="none" w:sz="0" w:space="0" w:color="auto"/>
                    <w:left w:val="none" w:sz="0" w:space="0" w:color="auto"/>
                    <w:bottom w:val="none" w:sz="0" w:space="0" w:color="auto"/>
                    <w:right w:val="none" w:sz="0" w:space="0" w:color="auto"/>
                  </w:divBdr>
                </w:div>
                <w:div w:id="753010758">
                  <w:marLeft w:val="0"/>
                  <w:marRight w:val="0"/>
                  <w:marTop w:val="0"/>
                  <w:marBottom w:val="0"/>
                  <w:divBdr>
                    <w:top w:val="none" w:sz="0" w:space="0" w:color="auto"/>
                    <w:left w:val="none" w:sz="0" w:space="0" w:color="auto"/>
                    <w:bottom w:val="none" w:sz="0" w:space="0" w:color="auto"/>
                    <w:right w:val="none" w:sz="0" w:space="0" w:color="auto"/>
                  </w:divBdr>
                </w:div>
                <w:div w:id="754210225">
                  <w:marLeft w:val="0"/>
                  <w:marRight w:val="0"/>
                  <w:marTop w:val="0"/>
                  <w:marBottom w:val="0"/>
                  <w:divBdr>
                    <w:top w:val="none" w:sz="0" w:space="0" w:color="auto"/>
                    <w:left w:val="none" w:sz="0" w:space="0" w:color="auto"/>
                    <w:bottom w:val="none" w:sz="0" w:space="0" w:color="auto"/>
                    <w:right w:val="none" w:sz="0" w:space="0" w:color="auto"/>
                  </w:divBdr>
                </w:div>
                <w:div w:id="815072100">
                  <w:marLeft w:val="0"/>
                  <w:marRight w:val="0"/>
                  <w:marTop w:val="0"/>
                  <w:marBottom w:val="0"/>
                  <w:divBdr>
                    <w:top w:val="none" w:sz="0" w:space="0" w:color="auto"/>
                    <w:left w:val="none" w:sz="0" w:space="0" w:color="auto"/>
                    <w:bottom w:val="none" w:sz="0" w:space="0" w:color="auto"/>
                    <w:right w:val="none" w:sz="0" w:space="0" w:color="auto"/>
                  </w:divBdr>
                </w:div>
                <w:div w:id="846165811">
                  <w:marLeft w:val="0"/>
                  <w:marRight w:val="0"/>
                  <w:marTop w:val="0"/>
                  <w:marBottom w:val="0"/>
                  <w:divBdr>
                    <w:top w:val="none" w:sz="0" w:space="0" w:color="auto"/>
                    <w:left w:val="none" w:sz="0" w:space="0" w:color="auto"/>
                    <w:bottom w:val="none" w:sz="0" w:space="0" w:color="auto"/>
                    <w:right w:val="none" w:sz="0" w:space="0" w:color="auto"/>
                  </w:divBdr>
                </w:div>
                <w:div w:id="847256497">
                  <w:marLeft w:val="0"/>
                  <w:marRight w:val="0"/>
                  <w:marTop w:val="0"/>
                  <w:marBottom w:val="0"/>
                  <w:divBdr>
                    <w:top w:val="none" w:sz="0" w:space="0" w:color="auto"/>
                    <w:left w:val="none" w:sz="0" w:space="0" w:color="auto"/>
                    <w:bottom w:val="none" w:sz="0" w:space="0" w:color="auto"/>
                    <w:right w:val="none" w:sz="0" w:space="0" w:color="auto"/>
                  </w:divBdr>
                </w:div>
                <w:div w:id="873273425">
                  <w:marLeft w:val="0"/>
                  <w:marRight w:val="0"/>
                  <w:marTop w:val="0"/>
                  <w:marBottom w:val="0"/>
                  <w:divBdr>
                    <w:top w:val="none" w:sz="0" w:space="0" w:color="auto"/>
                    <w:left w:val="none" w:sz="0" w:space="0" w:color="auto"/>
                    <w:bottom w:val="none" w:sz="0" w:space="0" w:color="auto"/>
                    <w:right w:val="none" w:sz="0" w:space="0" w:color="auto"/>
                  </w:divBdr>
                </w:div>
                <w:div w:id="878736548">
                  <w:marLeft w:val="0"/>
                  <w:marRight w:val="0"/>
                  <w:marTop w:val="0"/>
                  <w:marBottom w:val="0"/>
                  <w:divBdr>
                    <w:top w:val="none" w:sz="0" w:space="0" w:color="auto"/>
                    <w:left w:val="none" w:sz="0" w:space="0" w:color="auto"/>
                    <w:bottom w:val="none" w:sz="0" w:space="0" w:color="auto"/>
                    <w:right w:val="none" w:sz="0" w:space="0" w:color="auto"/>
                  </w:divBdr>
                </w:div>
                <w:div w:id="920141811">
                  <w:marLeft w:val="0"/>
                  <w:marRight w:val="0"/>
                  <w:marTop w:val="0"/>
                  <w:marBottom w:val="0"/>
                  <w:divBdr>
                    <w:top w:val="none" w:sz="0" w:space="0" w:color="auto"/>
                    <w:left w:val="none" w:sz="0" w:space="0" w:color="auto"/>
                    <w:bottom w:val="none" w:sz="0" w:space="0" w:color="auto"/>
                    <w:right w:val="none" w:sz="0" w:space="0" w:color="auto"/>
                  </w:divBdr>
                </w:div>
                <w:div w:id="927272618">
                  <w:marLeft w:val="0"/>
                  <w:marRight w:val="0"/>
                  <w:marTop w:val="0"/>
                  <w:marBottom w:val="0"/>
                  <w:divBdr>
                    <w:top w:val="none" w:sz="0" w:space="0" w:color="auto"/>
                    <w:left w:val="none" w:sz="0" w:space="0" w:color="auto"/>
                    <w:bottom w:val="none" w:sz="0" w:space="0" w:color="auto"/>
                    <w:right w:val="none" w:sz="0" w:space="0" w:color="auto"/>
                  </w:divBdr>
                </w:div>
                <w:div w:id="943461774">
                  <w:marLeft w:val="0"/>
                  <w:marRight w:val="0"/>
                  <w:marTop w:val="0"/>
                  <w:marBottom w:val="0"/>
                  <w:divBdr>
                    <w:top w:val="none" w:sz="0" w:space="0" w:color="auto"/>
                    <w:left w:val="none" w:sz="0" w:space="0" w:color="auto"/>
                    <w:bottom w:val="none" w:sz="0" w:space="0" w:color="auto"/>
                    <w:right w:val="none" w:sz="0" w:space="0" w:color="auto"/>
                  </w:divBdr>
                </w:div>
                <w:div w:id="946231001">
                  <w:marLeft w:val="0"/>
                  <w:marRight w:val="0"/>
                  <w:marTop w:val="0"/>
                  <w:marBottom w:val="0"/>
                  <w:divBdr>
                    <w:top w:val="none" w:sz="0" w:space="0" w:color="auto"/>
                    <w:left w:val="none" w:sz="0" w:space="0" w:color="auto"/>
                    <w:bottom w:val="none" w:sz="0" w:space="0" w:color="auto"/>
                    <w:right w:val="none" w:sz="0" w:space="0" w:color="auto"/>
                  </w:divBdr>
                </w:div>
                <w:div w:id="947009153">
                  <w:marLeft w:val="0"/>
                  <w:marRight w:val="0"/>
                  <w:marTop w:val="0"/>
                  <w:marBottom w:val="0"/>
                  <w:divBdr>
                    <w:top w:val="none" w:sz="0" w:space="0" w:color="auto"/>
                    <w:left w:val="none" w:sz="0" w:space="0" w:color="auto"/>
                    <w:bottom w:val="none" w:sz="0" w:space="0" w:color="auto"/>
                    <w:right w:val="none" w:sz="0" w:space="0" w:color="auto"/>
                  </w:divBdr>
                </w:div>
                <w:div w:id="952054327">
                  <w:marLeft w:val="0"/>
                  <w:marRight w:val="0"/>
                  <w:marTop w:val="0"/>
                  <w:marBottom w:val="0"/>
                  <w:divBdr>
                    <w:top w:val="none" w:sz="0" w:space="0" w:color="auto"/>
                    <w:left w:val="none" w:sz="0" w:space="0" w:color="auto"/>
                    <w:bottom w:val="none" w:sz="0" w:space="0" w:color="auto"/>
                    <w:right w:val="none" w:sz="0" w:space="0" w:color="auto"/>
                  </w:divBdr>
                </w:div>
                <w:div w:id="960186098">
                  <w:marLeft w:val="0"/>
                  <w:marRight w:val="0"/>
                  <w:marTop w:val="0"/>
                  <w:marBottom w:val="0"/>
                  <w:divBdr>
                    <w:top w:val="none" w:sz="0" w:space="0" w:color="auto"/>
                    <w:left w:val="none" w:sz="0" w:space="0" w:color="auto"/>
                    <w:bottom w:val="none" w:sz="0" w:space="0" w:color="auto"/>
                    <w:right w:val="none" w:sz="0" w:space="0" w:color="auto"/>
                  </w:divBdr>
                </w:div>
                <w:div w:id="968240667">
                  <w:marLeft w:val="0"/>
                  <w:marRight w:val="0"/>
                  <w:marTop w:val="0"/>
                  <w:marBottom w:val="0"/>
                  <w:divBdr>
                    <w:top w:val="none" w:sz="0" w:space="0" w:color="auto"/>
                    <w:left w:val="none" w:sz="0" w:space="0" w:color="auto"/>
                    <w:bottom w:val="none" w:sz="0" w:space="0" w:color="auto"/>
                    <w:right w:val="none" w:sz="0" w:space="0" w:color="auto"/>
                  </w:divBdr>
                </w:div>
                <w:div w:id="1056775828">
                  <w:marLeft w:val="0"/>
                  <w:marRight w:val="0"/>
                  <w:marTop w:val="0"/>
                  <w:marBottom w:val="0"/>
                  <w:divBdr>
                    <w:top w:val="none" w:sz="0" w:space="0" w:color="auto"/>
                    <w:left w:val="none" w:sz="0" w:space="0" w:color="auto"/>
                    <w:bottom w:val="none" w:sz="0" w:space="0" w:color="auto"/>
                    <w:right w:val="none" w:sz="0" w:space="0" w:color="auto"/>
                  </w:divBdr>
                </w:div>
                <w:div w:id="1066755840">
                  <w:marLeft w:val="0"/>
                  <w:marRight w:val="0"/>
                  <w:marTop w:val="0"/>
                  <w:marBottom w:val="0"/>
                  <w:divBdr>
                    <w:top w:val="none" w:sz="0" w:space="0" w:color="auto"/>
                    <w:left w:val="none" w:sz="0" w:space="0" w:color="auto"/>
                    <w:bottom w:val="none" w:sz="0" w:space="0" w:color="auto"/>
                    <w:right w:val="none" w:sz="0" w:space="0" w:color="auto"/>
                  </w:divBdr>
                </w:div>
                <w:div w:id="1068843978">
                  <w:marLeft w:val="0"/>
                  <w:marRight w:val="0"/>
                  <w:marTop w:val="0"/>
                  <w:marBottom w:val="0"/>
                  <w:divBdr>
                    <w:top w:val="none" w:sz="0" w:space="0" w:color="auto"/>
                    <w:left w:val="none" w:sz="0" w:space="0" w:color="auto"/>
                    <w:bottom w:val="none" w:sz="0" w:space="0" w:color="auto"/>
                    <w:right w:val="none" w:sz="0" w:space="0" w:color="auto"/>
                  </w:divBdr>
                </w:div>
                <w:div w:id="1115978217">
                  <w:marLeft w:val="0"/>
                  <w:marRight w:val="0"/>
                  <w:marTop w:val="0"/>
                  <w:marBottom w:val="0"/>
                  <w:divBdr>
                    <w:top w:val="none" w:sz="0" w:space="0" w:color="auto"/>
                    <w:left w:val="none" w:sz="0" w:space="0" w:color="auto"/>
                    <w:bottom w:val="none" w:sz="0" w:space="0" w:color="auto"/>
                    <w:right w:val="none" w:sz="0" w:space="0" w:color="auto"/>
                  </w:divBdr>
                </w:div>
                <w:div w:id="1134759573">
                  <w:marLeft w:val="0"/>
                  <w:marRight w:val="0"/>
                  <w:marTop w:val="0"/>
                  <w:marBottom w:val="0"/>
                  <w:divBdr>
                    <w:top w:val="none" w:sz="0" w:space="0" w:color="auto"/>
                    <w:left w:val="none" w:sz="0" w:space="0" w:color="auto"/>
                    <w:bottom w:val="none" w:sz="0" w:space="0" w:color="auto"/>
                    <w:right w:val="none" w:sz="0" w:space="0" w:color="auto"/>
                  </w:divBdr>
                </w:div>
                <w:div w:id="1141650790">
                  <w:marLeft w:val="0"/>
                  <w:marRight w:val="0"/>
                  <w:marTop w:val="0"/>
                  <w:marBottom w:val="0"/>
                  <w:divBdr>
                    <w:top w:val="none" w:sz="0" w:space="0" w:color="auto"/>
                    <w:left w:val="none" w:sz="0" w:space="0" w:color="auto"/>
                    <w:bottom w:val="none" w:sz="0" w:space="0" w:color="auto"/>
                    <w:right w:val="none" w:sz="0" w:space="0" w:color="auto"/>
                  </w:divBdr>
                </w:div>
                <w:div w:id="1195509158">
                  <w:marLeft w:val="0"/>
                  <w:marRight w:val="0"/>
                  <w:marTop w:val="0"/>
                  <w:marBottom w:val="0"/>
                  <w:divBdr>
                    <w:top w:val="none" w:sz="0" w:space="0" w:color="auto"/>
                    <w:left w:val="none" w:sz="0" w:space="0" w:color="auto"/>
                    <w:bottom w:val="none" w:sz="0" w:space="0" w:color="auto"/>
                    <w:right w:val="none" w:sz="0" w:space="0" w:color="auto"/>
                  </w:divBdr>
                </w:div>
                <w:div w:id="1198422728">
                  <w:marLeft w:val="0"/>
                  <w:marRight w:val="0"/>
                  <w:marTop w:val="0"/>
                  <w:marBottom w:val="0"/>
                  <w:divBdr>
                    <w:top w:val="none" w:sz="0" w:space="0" w:color="auto"/>
                    <w:left w:val="none" w:sz="0" w:space="0" w:color="auto"/>
                    <w:bottom w:val="none" w:sz="0" w:space="0" w:color="auto"/>
                    <w:right w:val="none" w:sz="0" w:space="0" w:color="auto"/>
                  </w:divBdr>
                </w:div>
                <w:div w:id="1202211880">
                  <w:marLeft w:val="0"/>
                  <w:marRight w:val="0"/>
                  <w:marTop w:val="0"/>
                  <w:marBottom w:val="0"/>
                  <w:divBdr>
                    <w:top w:val="none" w:sz="0" w:space="0" w:color="auto"/>
                    <w:left w:val="none" w:sz="0" w:space="0" w:color="auto"/>
                    <w:bottom w:val="none" w:sz="0" w:space="0" w:color="auto"/>
                    <w:right w:val="none" w:sz="0" w:space="0" w:color="auto"/>
                  </w:divBdr>
                </w:div>
                <w:div w:id="1229998786">
                  <w:marLeft w:val="0"/>
                  <w:marRight w:val="0"/>
                  <w:marTop w:val="0"/>
                  <w:marBottom w:val="0"/>
                  <w:divBdr>
                    <w:top w:val="none" w:sz="0" w:space="0" w:color="auto"/>
                    <w:left w:val="none" w:sz="0" w:space="0" w:color="auto"/>
                    <w:bottom w:val="none" w:sz="0" w:space="0" w:color="auto"/>
                    <w:right w:val="none" w:sz="0" w:space="0" w:color="auto"/>
                  </w:divBdr>
                </w:div>
                <w:div w:id="1237668075">
                  <w:marLeft w:val="0"/>
                  <w:marRight w:val="0"/>
                  <w:marTop w:val="0"/>
                  <w:marBottom w:val="0"/>
                  <w:divBdr>
                    <w:top w:val="none" w:sz="0" w:space="0" w:color="auto"/>
                    <w:left w:val="none" w:sz="0" w:space="0" w:color="auto"/>
                    <w:bottom w:val="none" w:sz="0" w:space="0" w:color="auto"/>
                    <w:right w:val="none" w:sz="0" w:space="0" w:color="auto"/>
                  </w:divBdr>
                </w:div>
                <w:div w:id="1252278939">
                  <w:marLeft w:val="0"/>
                  <w:marRight w:val="0"/>
                  <w:marTop w:val="0"/>
                  <w:marBottom w:val="0"/>
                  <w:divBdr>
                    <w:top w:val="none" w:sz="0" w:space="0" w:color="auto"/>
                    <w:left w:val="none" w:sz="0" w:space="0" w:color="auto"/>
                    <w:bottom w:val="none" w:sz="0" w:space="0" w:color="auto"/>
                    <w:right w:val="none" w:sz="0" w:space="0" w:color="auto"/>
                  </w:divBdr>
                </w:div>
                <w:div w:id="1255240162">
                  <w:marLeft w:val="0"/>
                  <w:marRight w:val="0"/>
                  <w:marTop w:val="0"/>
                  <w:marBottom w:val="0"/>
                  <w:divBdr>
                    <w:top w:val="none" w:sz="0" w:space="0" w:color="auto"/>
                    <w:left w:val="none" w:sz="0" w:space="0" w:color="auto"/>
                    <w:bottom w:val="none" w:sz="0" w:space="0" w:color="auto"/>
                    <w:right w:val="none" w:sz="0" w:space="0" w:color="auto"/>
                  </w:divBdr>
                </w:div>
                <w:div w:id="1275361382">
                  <w:marLeft w:val="0"/>
                  <w:marRight w:val="0"/>
                  <w:marTop w:val="0"/>
                  <w:marBottom w:val="0"/>
                  <w:divBdr>
                    <w:top w:val="none" w:sz="0" w:space="0" w:color="auto"/>
                    <w:left w:val="none" w:sz="0" w:space="0" w:color="auto"/>
                    <w:bottom w:val="none" w:sz="0" w:space="0" w:color="auto"/>
                    <w:right w:val="none" w:sz="0" w:space="0" w:color="auto"/>
                  </w:divBdr>
                </w:div>
                <w:div w:id="1284769044">
                  <w:marLeft w:val="0"/>
                  <w:marRight w:val="0"/>
                  <w:marTop w:val="0"/>
                  <w:marBottom w:val="0"/>
                  <w:divBdr>
                    <w:top w:val="none" w:sz="0" w:space="0" w:color="auto"/>
                    <w:left w:val="none" w:sz="0" w:space="0" w:color="auto"/>
                    <w:bottom w:val="none" w:sz="0" w:space="0" w:color="auto"/>
                    <w:right w:val="none" w:sz="0" w:space="0" w:color="auto"/>
                  </w:divBdr>
                </w:div>
                <w:div w:id="1313020234">
                  <w:marLeft w:val="0"/>
                  <w:marRight w:val="0"/>
                  <w:marTop w:val="0"/>
                  <w:marBottom w:val="0"/>
                  <w:divBdr>
                    <w:top w:val="none" w:sz="0" w:space="0" w:color="auto"/>
                    <w:left w:val="none" w:sz="0" w:space="0" w:color="auto"/>
                    <w:bottom w:val="none" w:sz="0" w:space="0" w:color="auto"/>
                    <w:right w:val="none" w:sz="0" w:space="0" w:color="auto"/>
                  </w:divBdr>
                </w:div>
                <w:div w:id="1342048844">
                  <w:marLeft w:val="0"/>
                  <w:marRight w:val="0"/>
                  <w:marTop w:val="0"/>
                  <w:marBottom w:val="0"/>
                  <w:divBdr>
                    <w:top w:val="none" w:sz="0" w:space="0" w:color="auto"/>
                    <w:left w:val="none" w:sz="0" w:space="0" w:color="auto"/>
                    <w:bottom w:val="none" w:sz="0" w:space="0" w:color="auto"/>
                    <w:right w:val="none" w:sz="0" w:space="0" w:color="auto"/>
                  </w:divBdr>
                </w:div>
                <w:div w:id="1346977143">
                  <w:marLeft w:val="0"/>
                  <w:marRight w:val="0"/>
                  <w:marTop w:val="0"/>
                  <w:marBottom w:val="0"/>
                  <w:divBdr>
                    <w:top w:val="none" w:sz="0" w:space="0" w:color="auto"/>
                    <w:left w:val="none" w:sz="0" w:space="0" w:color="auto"/>
                    <w:bottom w:val="none" w:sz="0" w:space="0" w:color="auto"/>
                    <w:right w:val="none" w:sz="0" w:space="0" w:color="auto"/>
                  </w:divBdr>
                </w:div>
                <w:div w:id="1353070513">
                  <w:marLeft w:val="0"/>
                  <w:marRight w:val="0"/>
                  <w:marTop w:val="0"/>
                  <w:marBottom w:val="0"/>
                  <w:divBdr>
                    <w:top w:val="none" w:sz="0" w:space="0" w:color="auto"/>
                    <w:left w:val="none" w:sz="0" w:space="0" w:color="auto"/>
                    <w:bottom w:val="none" w:sz="0" w:space="0" w:color="auto"/>
                    <w:right w:val="none" w:sz="0" w:space="0" w:color="auto"/>
                  </w:divBdr>
                </w:div>
                <w:div w:id="1382094506">
                  <w:marLeft w:val="0"/>
                  <w:marRight w:val="0"/>
                  <w:marTop w:val="0"/>
                  <w:marBottom w:val="0"/>
                  <w:divBdr>
                    <w:top w:val="none" w:sz="0" w:space="0" w:color="auto"/>
                    <w:left w:val="none" w:sz="0" w:space="0" w:color="auto"/>
                    <w:bottom w:val="none" w:sz="0" w:space="0" w:color="auto"/>
                    <w:right w:val="none" w:sz="0" w:space="0" w:color="auto"/>
                  </w:divBdr>
                </w:div>
                <w:div w:id="1424571810">
                  <w:marLeft w:val="0"/>
                  <w:marRight w:val="0"/>
                  <w:marTop w:val="0"/>
                  <w:marBottom w:val="0"/>
                  <w:divBdr>
                    <w:top w:val="none" w:sz="0" w:space="0" w:color="auto"/>
                    <w:left w:val="none" w:sz="0" w:space="0" w:color="auto"/>
                    <w:bottom w:val="none" w:sz="0" w:space="0" w:color="auto"/>
                    <w:right w:val="none" w:sz="0" w:space="0" w:color="auto"/>
                  </w:divBdr>
                </w:div>
                <w:div w:id="1434087164">
                  <w:marLeft w:val="0"/>
                  <w:marRight w:val="0"/>
                  <w:marTop w:val="0"/>
                  <w:marBottom w:val="0"/>
                  <w:divBdr>
                    <w:top w:val="none" w:sz="0" w:space="0" w:color="auto"/>
                    <w:left w:val="none" w:sz="0" w:space="0" w:color="auto"/>
                    <w:bottom w:val="none" w:sz="0" w:space="0" w:color="auto"/>
                    <w:right w:val="none" w:sz="0" w:space="0" w:color="auto"/>
                  </w:divBdr>
                </w:div>
                <w:div w:id="1501964549">
                  <w:marLeft w:val="0"/>
                  <w:marRight w:val="0"/>
                  <w:marTop w:val="0"/>
                  <w:marBottom w:val="0"/>
                  <w:divBdr>
                    <w:top w:val="none" w:sz="0" w:space="0" w:color="auto"/>
                    <w:left w:val="none" w:sz="0" w:space="0" w:color="auto"/>
                    <w:bottom w:val="none" w:sz="0" w:space="0" w:color="auto"/>
                    <w:right w:val="none" w:sz="0" w:space="0" w:color="auto"/>
                  </w:divBdr>
                </w:div>
                <w:div w:id="1509522738">
                  <w:marLeft w:val="0"/>
                  <w:marRight w:val="0"/>
                  <w:marTop w:val="0"/>
                  <w:marBottom w:val="0"/>
                  <w:divBdr>
                    <w:top w:val="none" w:sz="0" w:space="0" w:color="auto"/>
                    <w:left w:val="none" w:sz="0" w:space="0" w:color="auto"/>
                    <w:bottom w:val="none" w:sz="0" w:space="0" w:color="auto"/>
                    <w:right w:val="none" w:sz="0" w:space="0" w:color="auto"/>
                  </w:divBdr>
                </w:div>
                <w:div w:id="1518076462">
                  <w:marLeft w:val="0"/>
                  <w:marRight w:val="0"/>
                  <w:marTop w:val="0"/>
                  <w:marBottom w:val="0"/>
                  <w:divBdr>
                    <w:top w:val="none" w:sz="0" w:space="0" w:color="auto"/>
                    <w:left w:val="none" w:sz="0" w:space="0" w:color="auto"/>
                    <w:bottom w:val="none" w:sz="0" w:space="0" w:color="auto"/>
                    <w:right w:val="none" w:sz="0" w:space="0" w:color="auto"/>
                  </w:divBdr>
                </w:div>
                <w:div w:id="1541744889">
                  <w:marLeft w:val="0"/>
                  <w:marRight w:val="0"/>
                  <w:marTop w:val="0"/>
                  <w:marBottom w:val="0"/>
                  <w:divBdr>
                    <w:top w:val="none" w:sz="0" w:space="0" w:color="auto"/>
                    <w:left w:val="none" w:sz="0" w:space="0" w:color="auto"/>
                    <w:bottom w:val="none" w:sz="0" w:space="0" w:color="auto"/>
                    <w:right w:val="none" w:sz="0" w:space="0" w:color="auto"/>
                  </w:divBdr>
                </w:div>
                <w:div w:id="1558471827">
                  <w:marLeft w:val="0"/>
                  <w:marRight w:val="0"/>
                  <w:marTop w:val="0"/>
                  <w:marBottom w:val="0"/>
                  <w:divBdr>
                    <w:top w:val="none" w:sz="0" w:space="0" w:color="auto"/>
                    <w:left w:val="none" w:sz="0" w:space="0" w:color="auto"/>
                    <w:bottom w:val="none" w:sz="0" w:space="0" w:color="auto"/>
                    <w:right w:val="none" w:sz="0" w:space="0" w:color="auto"/>
                  </w:divBdr>
                </w:div>
                <w:div w:id="1590044903">
                  <w:marLeft w:val="0"/>
                  <w:marRight w:val="0"/>
                  <w:marTop w:val="0"/>
                  <w:marBottom w:val="0"/>
                  <w:divBdr>
                    <w:top w:val="none" w:sz="0" w:space="0" w:color="auto"/>
                    <w:left w:val="none" w:sz="0" w:space="0" w:color="auto"/>
                    <w:bottom w:val="none" w:sz="0" w:space="0" w:color="auto"/>
                    <w:right w:val="none" w:sz="0" w:space="0" w:color="auto"/>
                  </w:divBdr>
                </w:div>
                <w:div w:id="1592275227">
                  <w:marLeft w:val="0"/>
                  <w:marRight w:val="0"/>
                  <w:marTop w:val="0"/>
                  <w:marBottom w:val="0"/>
                  <w:divBdr>
                    <w:top w:val="none" w:sz="0" w:space="0" w:color="auto"/>
                    <w:left w:val="none" w:sz="0" w:space="0" w:color="auto"/>
                    <w:bottom w:val="none" w:sz="0" w:space="0" w:color="auto"/>
                    <w:right w:val="none" w:sz="0" w:space="0" w:color="auto"/>
                  </w:divBdr>
                </w:div>
                <w:div w:id="1604343927">
                  <w:marLeft w:val="0"/>
                  <w:marRight w:val="0"/>
                  <w:marTop w:val="0"/>
                  <w:marBottom w:val="0"/>
                  <w:divBdr>
                    <w:top w:val="none" w:sz="0" w:space="0" w:color="auto"/>
                    <w:left w:val="none" w:sz="0" w:space="0" w:color="auto"/>
                    <w:bottom w:val="none" w:sz="0" w:space="0" w:color="auto"/>
                    <w:right w:val="none" w:sz="0" w:space="0" w:color="auto"/>
                  </w:divBdr>
                </w:div>
                <w:div w:id="1637763262">
                  <w:marLeft w:val="0"/>
                  <w:marRight w:val="0"/>
                  <w:marTop w:val="0"/>
                  <w:marBottom w:val="0"/>
                  <w:divBdr>
                    <w:top w:val="none" w:sz="0" w:space="0" w:color="auto"/>
                    <w:left w:val="none" w:sz="0" w:space="0" w:color="auto"/>
                    <w:bottom w:val="none" w:sz="0" w:space="0" w:color="auto"/>
                    <w:right w:val="none" w:sz="0" w:space="0" w:color="auto"/>
                  </w:divBdr>
                </w:div>
                <w:div w:id="1640570292">
                  <w:marLeft w:val="0"/>
                  <w:marRight w:val="0"/>
                  <w:marTop w:val="0"/>
                  <w:marBottom w:val="0"/>
                  <w:divBdr>
                    <w:top w:val="none" w:sz="0" w:space="0" w:color="auto"/>
                    <w:left w:val="none" w:sz="0" w:space="0" w:color="auto"/>
                    <w:bottom w:val="none" w:sz="0" w:space="0" w:color="auto"/>
                    <w:right w:val="none" w:sz="0" w:space="0" w:color="auto"/>
                  </w:divBdr>
                </w:div>
                <w:div w:id="1662275306">
                  <w:marLeft w:val="0"/>
                  <w:marRight w:val="0"/>
                  <w:marTop w:val="0"/>
                  <w:marBottom w:val="0"/>
                  <w:divBdr>
                    <w:top w:val="none" w:sz="0" w:space="0" w:color="auto"/>
                    <w:left w:val="none" w:sz="0" w:space="0" w:color="auto"/>
                    <w:bottom w:val="none" w:sz="0" w:space="0" w:color="auto"/>
                    <w:right w:val="none" w:sz="0" w:space="0" w:color="auto"/>
                  </w:divBdr>
                </w:div>
                <w:div w:id="1682854804">
                  <w:marLeft w:val="0"/>
                  <w:marRight w:val="0"/>
                  <w:marTop w:val="0"/>
                  <w:marBottom w:val="0"/>
                  <w:divBdr>
                    <w:top w:val="none" w:sz="0" w:space="0" w:color="auto"/>
                    <w:left w:val="none" w:sz="0" w:space="0" w:color="auto"/>
                    <w:bottom w:val="none" w:sz="0" w:space="0" w:color="auto"/>
                    <w:right w:val="none" w:sz="0" w:space="0" w:color="auto"/>
                  </w:divBdr>
                </w:div>
                <w:div w:id="1720937217">
                  <w:marLeft w:val="0"/>
                  <w:marRight w:val="0"/>
                  <w:marTop w:val="0"/>
                  <w:marBottom w:val="0"/>
                  <w:divBdr>
                    <w:top w:val="none" w:sz="0" w:space="0" w:color="auto"/>
                    <w:left w:val="none" w:sz="0" w:space="0" w:color="auto"/>
                    <w:bottom w:val="none" w:sz="0" w:space="0" w:color="auto"/>
                    <w:right w:val="none" w:sz="0" w:space="0" w:color="auto"/>
                  </w:divBdr>
                </w:div>
                <w:div w:id="1731615216">
                  <w:marLeft w:val="0"/>
                  <w:marRight w:val="0"/>
                  <w:marTop w:val="0"/>
                  <w:marBottom w:val="0"/>
                  <w:divBdr>
                    <w:top w:val="none" w:sz="0" w:space="0" w:color="auto"/>
                    <w:left w:val="none" w:sz="0" w:space="0" w:color="auto"/>
                    <w:bottom w:val="none" w:sz="0" w:space="0" w:color="auto"/>
                    <w:right w:val="none" w:sz="0" w:space="0" w:color="auto"/>
                  </w:divBdr>
                </w:div>
                <w:div w:id="1741902029">
                  <w:marLeft w:val="0"/>
                  <w:marRight w:val="0"/>
                  <w:marTop w:val="0"/>
                  <w:marBottom w:val="0"/>
                  <w:divBdr>
                    <w:top w:val="none" w:sz="0" w:space="0" w:color="auto"/>
                    <w:left w:val="none" w:sz="0" w:space="0" w:color="auto"/>
                    <w:bottom w:val="none" w:sz="0" w:space="0" w:color="auto"/>
                    <w:right w:val="none" w:sz="0" w:space="0" w:color="auto"/>
                  </w:divBdr>
                </w:div>
                <w:div w:id="1745566295">
                  <w:marLeft w:val="0"/>
                  <w:marRight w:val="0"/>
                  <w:marTop w:val="0"/>
                  <w:marBottom w:val="0"/>
                  <w:divBdr>
                    <w:top w:val="none" w:sz="0" w:space="0" w:color="auto"/>
                    <w:left w:val="none" w:sz="0" w:space="0" w:color="auto"/>
                    <w:bottom w:val="none" w:sz="0" w:space="0" w:color="auto"/>
                    <w:right w:val="none" w:sz="0" w:space="0" w:color="auto"/>
                  </w:divBdr>
                </w:div>
                <w:div w:id="1752771033">
                  <w:marLeft w:val="0"/>
                  <w:marRight w:val="0"/>
                  <w:marTop w:val="0"/>
                  <w:marBottom w:val="0"/>
                  <w:divBdr>
                    <w:top w:val="none" w:sz="0" w:space="0" w:color="auto"/>
                    <w:left w:val="none" w:sz="0" w:space="0" w:color="auto"/>
                    <w:bottom w:val="none" w:sz="0" w:space="0" w:color="auto"/>
                    <w:right w:val="none" w:sz="0" w:space="0" w:color="auto"/>
                  </w:divBdr>
                </w:div>
                <w:div w:id="1761175508">
                  <w:marLeft w:val="0"/>
                  <w:marRight w:val="0"/>
                  <w:marTop w:val="0"/>
                  <w:marBottom w:val="0"/>
                  <w:divBdr>
                    <w:top w:val="none" w:sz="0" w:space="0" w:color="auto"/>
                    <w:left w:val="none" w:sz="0" w:space="0" w:color="auto"/>
                    <w:bottom w:val="none" w:sz="0" w:space="0" w:color="auto"/>
                    <w:right w:val="none" w:sz="0" w:space="0" w:color="auto"/>
                  </w:divBdr>
                </w:div>
                <w:div w:id="1777822779">
                  <w:marLeft w:val="0"/>
                  <w:marRight w:val="0"/>
                  <w:marTop w:val="0"/>
                  <w:marBottom w:val="0"/>
                  <w:divBdr>
                    <w:top w:val="none" w:sz="0" w:space="0" w:color="auto"/>
                    <w:left w:val="none" w:sz="0" w:space="0" w:color="auto"/>
                    <w:bottom w:val="none" w:sz="0" w:space="0" w:color="auto"/>
                    <w:right w:val="none" w:sz="0" w:space="0" w:color="auto"/>
                  </w:divBdr>
                </w:div>
                <w:div w:id="1778215584">
                  <w:marLeft w:val="0"/>
                  <w:marRight w:val="0"/>
                  <w:marTop w:val="0"/>
                  <w:marBottom w:val="0"/>
                  <w:divBdr>
                    <w:top w:val="none" w:sz="0" w:space="0" w:color="auto"/>
                    <w:left w:val="none" w:sz="0" w:space="0" w:color="auto"/>
                    <w:bottom w:val="none" w:sz="0" w:space="0" w:color="auto"/>
                    <w:right w:val="none" w:sz="0" w:space="0" w:color="auto"/>
                  </w:divBdr>
                </w:div>
                <w:div w:id="1789619081">
                  <w:marLeft w:val="0"/>
                  <w:marRight w:val="0"/>
                  <w:marTop w:val="0"/>
                  <w:marBottom w:val="0"/>
                  <w:divBdr>
                    <w:top w:val="none" w:sz="0" w:space="0" w:color="auto"/>
                    <w:left w:val="none" w:sz="0" w:space="0" w:color="auto"/>
                    <w:bottom w:val="none" w:sz="0" w:space="0" w:color="auto"/>
                    <w:right w:val="none" w:sz="0" w:space="0" w:color="auto"/>
                  </w:divBdr>
                </w:div>
                <w:div w:id="1833983059">
                  <w:marLeft w:val="0"/>
                  <w:marRight w:val="0"/>
                  <w:marTop w:val="0"/>
                  <w:marBottom w:val="0"/>
                  <w:divBdr>
                    <w:top w:val="none" w:sz="0" w:space="0" w:color="auto"/>
                    <w:left w:val="none" w:sz="0" w:space="0" w:color="auto"/>
                    <w:bottom w:val="none" w:sz="0" w:space="0" w:color="auto"/>
                    <w:right w:val="none" w:sz="0" w:space="0" w:color="auto"/>
                  </w:divBdr>
                </w:div>
                <w:div w:id="1841046250">
                  <w:marLeft w:val="0"/>
                  <w:marRight w:val="0"/>
                  <w:marTop w:val="0"/>
                  <w:marBottom w:val="0"/>
                  <w:divBdr>
                    <w:top w:val="none" w:sz="0" w:space="0" w:color="auto"/>
                    <w:left w:val="none" w:sz="0" w:space="0" w:color="auto"/>
                    <w:bottom w:val="none" w:sz="0" w:space="0" w:color="auto"/>
                    <w:right w:val="none" w:sz="0" w:space="0" w:color="auto"/>
                  </w:divBdr>
                </w:div>
                <w:div w:id="1844585995">
                  <w:marLeft w:val="0"/>
                  <w:marRight w:val="0"/>
                  <w:marTop w:val="0"/>
                  <w:marBottom w:val="0"/>
                  <w:divBdr>
                    <w:top w:val="none" w:sz="0" w:space="0" w:color="auto"/>
                    <w:left w:val="none" w:sz="0" w:space="0" w:color="auto"/>
                    <w:bottom w:val="none" w:sz="0" w:space="0" w:color="auto"/>
                    <w:right w:val="none" w:sz="0" w:space="0" w:color="auto"/>
                  </w:divBdr>
                </w:div>
                <w:div w:id="1845197054">
                  <w:marLeft w:val="0"/>
                  <w:marRight w:val="0"/>
                  <w:marTop w:val="0"/>
                  <w:marBottom w:val="0"/>
                  <w:divBdr>
                    <w:top w:val="none" w:sz="0" w:space="0" w:color="auto"/>
                    <w:left w:val="none" w:sz="0" w:space="0" w:color="auto"/>
                    <w:bottom w:val="none" w:sz="0" w:space="0" w:color="auto"/>
                    <w:right w:val="none" w:sz="0" w:space="0" w:color="auto"/>
                  </w:divBdr>
                </w:div>
                <w:div w:id="1848254148">
                  <w:marLeft w:val="0"/>
                  <w:marRight w:val="0"/>
                  <w:marTop w:val="0"/>
                  <w:marBottom w:val="0"/>
                  <w:divBdr>
                    <w:top w:val="none" w:sz="0" w:space="0" w:color="auto"/>
                    <w:left w:val="none" w:sz="0" w:space="0" w:color="auto"/>
                    <w:bottom w:val="none" w:sz="0" w:space="0" w:color="auto"/>
                    <w:right w:val="none" w:sz="0" w:space="0" w:color="auto"/>
                  </w:divBdr>
                </w:div>
                <w:div w:id="1856918274">
                  <w:marLeft w:val="0"/>
                  <w:marRight w:val="0"/>
                  <w:marTop w:val="0"/>
                  <w:marBottom w:val="0"/>
                  <w:divBdr>
                    <w:top w:val="none" w:sz="0" w:space="0" w:color="auto"/>
                    <w:left w:val="none" w:sz="0" w:space="0" w:color="auto"/>
                    <w:bottom w:val="none" w:sz="0" w:space="0" w:color="auto"/>
                    <w:right w:val="none" w:sz="0" w:space="0" w:color="auto"/>
                  </w:divBdr>
                </w:div>
                <w:div w:id="1866550937">
                  <w:marLeft w:val="0"/>
                  <w:marRight w:val="0"/>
                  <w:marTop w:val="0"/>
                  <w:marBottom w:val="0"/>
                  <w:divBdr>
                    <w:top w:val="none" w:sz="0" w:space="0" w:color="auto"/>
                    <w:left w:val="none" w:sz="0" w:space="0" w:color="auto"/>
                    <w:bottom w:val="none" w:sz="0" w:space="0" w:color="auto"/>
                    <w:right w:val="none" w:sz="0" w:space="0" w:color="auto"/>
                  </w:divBdr>
                </w:div>
                <w:div w:id="1900752040">
                  <w:marLeft w:val="0"/>
                  <w:marRight w:val="0"/>
                  <w:marTop w:val="0"/>
                  <w:marBottom w:val="0"/>
                  <w:divBdr>
                    <w:top w:val="none" w:sz="0" w:space="0" w:color="auto"/>
                    <w:left w:val="none" w:sz="0" w:space="0" w:color="auto"/>
                    <w:bottom w:val="none" w:sz="0" w:space="0" w:color="auto"/>
                    <w:right w:val="none" w:sz="0" w:space="0" w:color="auto"/>
                  </w:divBdr>
                </w:div>
                <w:div w:id="1901551038">
                  <w:marLeft w:val="0"/>
                  <w:marRight w:val="0"/>
                  <w:marTop w:val="0"/>
                  <w:marBottom w:val="0"/>
                  <w:divBdr>
                    <w:top w:val="none" w:sz="0" w:space="0" w:color="auto"/>
                    <w:left w:val="none" w:sz="0" w:space="0" w:color="auto"/>
                    <w:bottom w:val="none" w:sz="0" w:space="0" w:color="auto"/>
                    <w:right w:val="none" w:sz="0" w:space="0" w:color="auto"/>
                  </w:divBdr>
                </w:div>
                <w:div w:id="1913002427">
                  <w:marLeft w:val="0"/>
                  <w:marRight w:val="0"/>
                  <w:marTop w:val="0"/>
                  <w:marBottom w:val="0"/>
                  <w:divBdr>
                    <w:top w:val="none" w:sz="0" w:space="0" w:color="auto"/>
                    <w:left w:val="none" w:sz="0" w:space="0" w:color="auto"/>
                    <w:bottom w:val="none" w:sz="0" w:space="0" w:color="auto"/>
                    <w:right w:val="none" w:sz="0" w:space="0" w:color="auto"/>
                  </w:divBdr>
                </w:div>
                <w:div w:id="1950773697">
                  <w:marLeft w:val="0"/>
                  <w:marRight w:val="0"/>
                  <w:marTop w:val="0"/>
                  <w:marBottom w:val="0"/>
                  <w:divBdr>
                    <w:top w:val="none" w:sz="0" w:space="0" w:color="auto"/>
                    <w:left w:val="none" w:sz="0" w:space="0" w:color="auto"/>
                    <w:bottom w:val="none" w:sz="0" w:space="0" w:color="auto"/>
                    <w:right w:val="none" w:sz="0" w:space="0" w:color="auto"/>
                  </w:divBdr>
                </w:div>
                <w:div w:id="1964727736">
                  <w:marLeft w:val="0"/>
                  <w:marRight w:val="0"/>
                  <w:marTop w:val="0"/>
                  <w:marBottom w:val="0"/>
                  <w:divBdr>
                    <w:top w:val="none" w:sz="0" w:space="0" w:color="auto"/>
                    <w:left w:val="none" w:sz="0" w:space="0" w:color="auto"/>
                    <w:bottom w:val="none" w:sz="0" w:space="0" w:color="auto"/>
                    <w:right w:val="none" w:sz="0" w:space="0" w:color="auto"/>
                  </w:divBdr>
                </w:div>
                <w:div w:id="1979416129">
                  <w:marLeft w:val="0"/>
                  <w:marRight w:val="0"/>
                  <w:marTop w:val="0"/>
                  <w:marBottom w:val="0"/>
                  <w:divBdr>
                    <w:top w:val="none" w:sz="0" w:space="0" w:color="auto"/>
                    <w:left w:val="none" w:sz="0" w:space="0" w:color="auto"/>
                    <w:bottom w:val="none" w:sz="0" w:space="0" w:color="auto"/>
                    <w:right w:val="none" w:sz="0" w:space="0" w:color="auto"/>
                  </w:divBdr>
                </w:div>
                <w:div w:id="1997611200">
                  <w:marLeft w:val="0"/>
                  <w:marRight w:val="0"/>
                  <w:marTop w:val="0"/>
                  <w:marBottom w:val="0"/>
                  <w:divBdr>
                    <w:top w:val="none" w:sz="0" w:space="0" w:color="auto"/>
                    <w:left w:val="none" w:sz="0" w:space="0" w:color="auto"/>
                    <w:bottom w:val="none" w:sz="0" w:space="0" w:color="auto"/>
                    <w:right w:val="none" w:sz="0" w:space="0" w:color="auto"/>
                  </w:divBdr>
                </w:div>
                <w:div w:id="2020962759">
                  <w:marLeft w:val="0"/>
                  <w:marRight w:val="0"/>
                  <w:marTop w:val="0"/>
                  <w:marBottom w:val="0"/>
                  <w:divBdr>
                    <w:top w:val="none" w:sz="0" w:space="0" w:color="auto"/>
                    <w:left w:val="none" w:sz="0" w:space="0" w:color="auto"/>
                    <w:bottom w:val="none" w:sz="0" w:space="0" w:color="auto"/>
                    <w:right w:val="none" w:sz="0" w:space="0" w:color="auto"/>
                  </w:divBdr>
                </w:div>
                <w:div w:id="2040661289">
                  <w:marLeft w:val="0"/>
                  <w:marRight w:val="0"/>
                  <w:marTop w:val="0"/>
                  <w:marBottom w:val="0"/>
                  <w:divBdr>
                    <w:top w:val="none" w:sz="0" w:space="0" w:color="auto"/>
                    <w:left w:val="none" w:sz="0" w:space="0" w:color="auto"/>
                    <w:bottom w:val="none" w:sz="0" w:space="0" w:color="auto"/>
                    <w:right w:val="none" w:sz="0" w:space="0" w:color="auto"/>
                  </w:divBdr>
                </w:div>
                <w:div w:id="2072190142">
                  <w:marLeft w:val="0"/>
                  <w:marRight w:val="0"/>
                  <w:marTop w:val="0"/>
                  <w:marBottom w:val="0"/>
                  <w:divBdr>
                    <w:top w:val="none" w:sz="0" w:space="0" w:color="auto"/>
                    <w:left w:val="none" w:sz="0" w:space="0" w:color="auto"/>
                    <w:bottom w:val="none" w:sz="0" w:space="0" w:color="auto"/>
                    <w:right w:val="none" w:sz="0" w:space="0" w:color="auto"/>
                  </w:divBdr>
                </w:div>
                <w:div w:id="2082752024">
                  <w:marLeft w:val="0"/>
                  <w:marRight w:val="0"/>
                  <w:marTop w:val="0"/>
                  <w:marBottom w:val="0"/>
                  <w:divBdr>
                    <w:top w:val="none" w:sz="0" w:space="0" w:color="auto"/>
                    <w:left w:val="none" w:sz="0" w:space="0" w:color="auto"/>
                    <w:bottom w:val="none" w:sz="0" w:space="0" w:color="auto"/>
                    <w:right w:val="none" w:sz="0" w:space="0" w:color="auto"/>
                  </w:divBdr>
                </w:div>
                <w:div w:id="2092190951">
                  <w:marLeft w:val="0"/>
                  <w:marRight w:val="0"/>
                  <w:marTop w:val="0"/>
                  <w:marBottom w:val="0"/>
                  <w:divBdr>
                    <w:top w:val="none" w:sz="0" w:space="0" w:color="auto"/>
                    <w:left w:val="none" w:sz="0" w:space="0" w:color="auto"/>
                    <w:bottom w:val="none" w:sz="0" w:space="0" w:color="auto"/>
                    <w:right w:val="none" w:sz="0" w:space="0" w:color="auto"/>
                  </w:divBdr>
                </w:div>
                <w:div w:id="2109811550">
                  <w:marLeft w:val="0"/>
                  <w:marRight w:val="0"/>
                  <w:marTop w:val="0"/>
                  <w:marBottom w:val="0"/>
                  <w:divBdr>
                    <w:top w:val="none" w:sz="0" w:space="0" w:color="auto"/>
                    <w:left w:val="none" w:sz="0" w:space="0" w:color="auto"/>
                    <w:bottom w:val="none" w:sz="0" w:space="0" w:color="auto"/>
                    <w:right w:val="none" w:sz="0" w:space="0" w:color="auto"/>
                  </w:divBdr>
                </w:div>
                <w:div w:id="2115052050">
                  <w:marLeft w:val="0"/>
                  <w:marRight w:val="0"/>
                  <w:marTop w:val="0"/>
                  <w:marBottom w:val="0"/>
                  <w:divBdr>
                    <w:top w:val="none" w:sz="0" w:space="0" w:color="auto"/>
                    <w:left w:val="none" w:sz="0" w:space="0" w:color="auto"/>
                    <w:bottom w:val="none" w:sz="0" w:space="0" w:color="auto"/>
                    <w:right w:val="none" w:sz="0" w:space="0" w:color="auto"/>
                  </w:divBdr>
                </w:div>
                <w:div w:id="2131314557">
                  <w:marLeft w:val="0"/>
                  <w:marRight w:val="0"/>
                  <w:marTop w:val="0"/>
                  <w:marBottom w:val="0"/>
                  <w:divBdr>
                    <w:top w:val="none" w:sz="0" w:space="0" w:color="auto"/>
                    <w:left w:val="none" w:sz="0" w:space="0" w:color="auto"/>
                    <w:bottom w:val="none" w:sz="0" w:space="0" w:color="auto"/>
                    <w:right w:val="none" w:sz="0" w:space="0" w:color="auto"/>
                  </w:divBdr>
                </w:div>
                <w:div w:id="2139835545">
                  <w:marLeft w:val="0"/>
                  <w:marRight w:val="0"/>
                  <w:marTop w:val="0"/>
                  <w:marBottom w:val="0"/>
                  <w:divBdr>
                    <w:top w:val="none" w:sz="0" w:space="0" w:color="auto"/>
                    <w:left w:val="none" w:sz="0" w:space="0" w:color="auto"/>
                    <w:bottom w:val="none" w:sz="0" w:space="0" w:color="auto"/>
                    <w:right w:val="none" w:sz="0" w:space="0" w:color="auto"/>
                  </w:divBdr>
                </w:div>
                <w:div w:id="21440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56115">
          <w:marLeft w:val="0"/>
          <w:marRight w:val="0"/>
          <w:marTop w:val="15"/>
          <w:marBottom w:val="0"/>
          <w:divBdr>
            <w:top w:val="none" w:sz="0" w:space="0" w:color="auto"/>
            <w:left w:val="none" w:sz="0" w:space="0" w:color="auto"/>
            <w:bottom w:val="none" w:sz="0" w:space="0" w:color="auto"/>
            <w:right w:val="none" w:sz="0" w:space="0" w:color="auto"/>
          </w:divBdr>
          <w:divsChild>
            <w:div w:id="1176766871">
              <w:marLeft w:val="0"/>
              <w:marRight w:val="0"/>
              <w:marTop w:val="0"/>
              <w:marBottom w:val="0"/>
              <w:divBdr>
                <w:top w:val="none" w:sz="0" w:space="0" w:color="auto"/>
                <w:left w:val="none" w:sz="0" w:space="0" w:color="auto"/>
                <w:bottom w:val="none" w:sz="0" w:space="0" w:color="auto"/>
                <w:right w:val="none" w:sz="0" w:space="0" w:color="auto"/>
              </w:divBdr>
              <w:divsChild>
                <w:div w:id="64449396">
                  <w:marLeft w:val="0"/>
                  <w:marRight w:val="0"/>
                  <w:marTop w:val="0"/>
                  <w:marBottom w:val="0"/>
                  <w:divBdr>
                    <w:top w:val="none" w:sz="0" w:space="0" w:color="auto"/>
                    <w:left w:val="none" w:sz="0" w:space="0" w:color="auto"/>
                    <w:bottom w:val="none" w:sz="0" w:space="0" w:color="auto"/>
                    <w:right w:val="none" w:sz="0" w:space="0" w:color="auto"/>
                  </w:divBdr>
                </w:div>
                <w:div w:id="317269007">
                  <w:marLeft w:val="0"/>
                  <w:marRight w:val="0"/>
                  <w:marTop w:val="0"/>
                  <w:marBottom w:val="0"/>
                  <w:divBdr>
                    <w:top w:val="none" w:sz="0" w:space="0" w:color="auto"/>
                    <w:left w:val="none" w:sz="0" w:space="0" w:color="auto"/>
                    <w:bottom w:val="none" w:sz="0" w:space="0" w:color="auto"/>
                    <w:right w:val="none" w:sz="0" w:space="0" w:color="auto"/>
                  </w:divBdr>
                </w:div>
                <w:div w:id="472991613">
                  <w:marLeft w:val="0"/>
                  <w:marRight w:val="0"/>
                  <w:marTop w:val="0"/>
                  <w:marBottom w:val="0"/>
                  <w:divBdr>
                    <w:top w:val="none" w:sz="0" w:space="0" w:color="auto"/>
                    <w:left w:val="none" w:sz="0" w:space="0" w:color="auto"/>
                    <w:bottom w:val="none" w:sz="0" w:space="0" w:color="auto"/>
                    <w:right w:val="none" w:sz="0" w:space="0" w:color="auto"/>
                  </w:divBdr>
                </w:div>
                <w:div w:id="725104415">
                  <w:marLeft w:val="0"/>
                  <w:marRight w:val="0"/>
                  <w:marTop w:val="0"/>
                  <w:marBottom w:val="0"/>
                  <w:divBdr>
                    <w:top w:val="none" w:sz="0" w:space="0" w:color="auto"/>
                    <w:left w:val="none" w:sz="0" w:space="0" w:color="auto"/>
                    <w:bottom w:val="none" w:sz="0" w:space="0" w:color="auto"/>
                    <w:right w:val="none" w:sz="0" w:space="0" w:color="auto"/>
                  </w:divBdr>
                </w:div>
                <w:div w:id="730689352">
                  <w:marLeft w:val="0"/>
                  <w:marRight w:val="0"/>
                  <w:marTop w:val="0"/>
                  <w:marBottom w:val="0"/>
                  <w:divBdr>
                    <w:top w:val="none" w:sz="0" w:space="0" w:color="auto"/>
                    <w:left w:val="none" w:sz="0" w:space="0" w:color="auto"/>
                    <w:bottom w:val="none" w:sz="0" w:space="0" w:color="auto"/>
                    <w:right w:val="none" w:sz="0" w:space="0" w:color="auto"/>
                  </w:divBdr>
                </w:div>
                <w:div w:id="756054217">
                  <w:marLeft w:val="0"/>
                  <w:marRight w:val="0"/>
                  <w:marTop w:val="0"/>
                  <w:marBottom w:val="0"/>
                  <w:divBdr>
                    <w:top w:val="none" w:sz="0" w:space="0" w:color="auto"/>
                    <w:left w:val="none" w:sz="0" w:space="0" w:color="auto"/>
                    <w:bottom w:val="none" w:sz="0" w:space="0" w:color="auto"/>
                    <w:right w:val="none" w:sz="0" w:space="0" w:color="auto"/>
                  </w:divBdr>
                </w:div>
                <w:div w:id="834346518">
                  <w:marLeft w:val="0"/>
                  <w:marRight w:val="0"/>
                  <w:marTop w:val="0"/>
                  <w:marBottom w:val="0"/>
                  <w:divBdr>
                    <w:top w:val="none" w:sz="0" w:space="0" w:color="auto"/>
                    <w:left w:val="none" w:sz="0" w:space="0" w:color="auto"/>
                    <w:bottom w:val="none" w:sz="0" w:space="0" w:color="auto"/>
                    <w:right w:val="none" w:sz="0" w:space="0" w:color="auto"/>
                  </w:divBdr>
                </w:div>
                <w:div w:id="1041175926">
                  <w:marLeft w:val="0"/>
                  <w:marRight w:val="0"/>
                  <w:marTop w:val="0"/>
                  <w:marBottom w:val="0"/>
                  <w:divBdr>
                    <w:top w:val="none" w:sz="0" w:space="0" w:color="auto"/>
                    <w:left w:val="none" w:sz="0" w:space="0" w:color="auto"/>
                    <w:bottom w:val="none" w:sz="0" w:space="0" w:color="auto"/>
                    <w:right w:val="none" w:sz="0" w:space="0" w:color="auto"/>
                  </w:divBdr>
                </w:div>
                <w:div w:id="1251113580">
                  <w:marLeft w:val="0"/>
                  <w:marRight w:val="0"/>
                  <w:marTop w:val="0"/>
                  <w:marBottom w:val="0"/>
                  <w:divBdr>
                    <w:top w:val="none" w:sz="0" w:space="0" w:color="auto"/>
                    <w:left w:val="none" w:sz="0" w:space="0" w:color="auto"/>
                    <w:bottom w:val="none" w:sz="0" w:space="0" w:color="auto"/>
                    <w:right w:val="none" w:sz="0" w:space="0" w:color="auto"/>
                  </w:divBdr>
                </w:div>
                <w:div w:id="1647709764">
                  <w:marLeft w:val="0"/>
                  <w:marRight w:val="0"/>
                  <w:marTop w:val="0"/>
                  <w:marBottom w:val="0"/>
                  <w:divBdr>
                    <w:top w:val="none" w:sz="0" w:space="0" w:color="auto"/>
                    <w:left w:val="none" w:sz="0" w:space="0" w:color="auto"/>
                    <w:bottom w:val="none" w:sz="0" w:space="0" w:color="auto"/>
                    <w:right w:val="none" w:sz="0" w:space="0" w:color="auto"/>
                  </w:divBdr>
                </w:div>
                <w:div w:id="1765682072">
                  <w:marLeft w:val="0"/>
                  <w:marRight w:val="0"/>
                  <w:marTop w:val="0"/>
                  <w:marBottom w:val="0"/>
                  <w:divBdr>
                    <w:top w:val="none" w:sz="0" w:space="0" w:color="auto"/>
                    <w:left w:val="none" w:sz="0" w:space="0" w:color="auto"/>
                    <w:bottom w:val="none" w:sz="0" w:space="0" w:color="auto"/>
                    <w:right w:val="none" w:sz="0" w:space="0" w:color="auto"/>
                  </w:divBdr>
                </w:div>
                <w:div w:id="1768380686">
                  <w:marLeft w:val="0"/>
                  <w:marRight w:val="0"/>
                  <w:marTop w:val="0"/>
                  <w:marBottom w:val="0"/>
                  <w:divBdr>
                    <w:top w:val="none" w:sz="0" w:space="0" w:color="auto"/>
                    <w:left w:val="none" w:sz="0" w:space="0" w:color="auto"/>
                    <w:bottom w:val="none" w:sz="0" w:space="0" w:color="auto"/>
                    <w:right w:val="none" w:sz="0" w:space="0" w:color="auto"/>
                  </w:divBdr>
                </w:div>
                <w:div w:id="1771657213">
                  <w:marLeft w:val="0"/>
                  <w:marRight w:val="0"/>
                  <w:marTop w:val="0"/>
                  <w:marBottom w:val="0"/>
                  <w:divBdr>
                    <w:top w:val="none" w:sz="0" w:space="0" w:color="auto"/>
                    <w:left w:val="none" w:sz="0" w:space="0" w:color="auto"/>
                    <w:bottom w:val="none" w:sz="0" w:space="0" w:color="auto"/>
                    <w:right w:val="none" w:sz="0" w:space="0" w:color="auto"/>
                  </w:divBdr>
                </w:div>
                <w:div w:id="19221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20269">
      <w:bodyDiv w:val="1"/>
      <w:marLeft w:val="0"/>
      <w:marRight w:val="0"/>
      <w:marTop w:val="0"/>
      <w:marBottom w:val="0"/>
      <w:divBdr>
        <w:top w:val="none" w:sz="0" w:space="0" w:color="auto"/>
        <w:left w:val="none" w:sz="0" w:space="0" w:color="auto"/>
        <w:bottom w:val="none" w:sz="0" w:space="0" w:color="auto"/>
        <w:right w:val="none" w:sz="0" w:space="0" w:color="auto"/>
      </w:divBdr>
    </w:div>
    <w:div w:id="1413818869">
      <w:bodyDiv w:val="1"/>
      <w:marLeft w:val="0"/>
      <w:marRight w:val="0"/>
      <w:marTop w:val="0"/>
      <w:marBottom w:val="0"/>
      <w:divBdr>
        <w:top w:val="none" w:sz="0" w:space="0" w:color="auto"/>
        <w:left w:val="none" w:sz="0" w:space="0" w:color="auto"/>
        <w:bottom w:val="none" w:sz="0" w:space="0" w:color="auto"/>
        <w:right w:val="none" w:sz="0" w:space="0" w:color="auto"/>
      </w:divBdr>
    </w:div>
    <w:div w:id="1414204527">
      <w:bodyDiv w:val="1"/>
      <w:marLeft w:val="0"/>
      <w:marRight w:val="0"/>
      <w:marTop w:val="0"/>
      <w:marBottom w:val="0"/>
      <w:divBdr>
        <w:top w:val="none" w:sz="0" w:space="0" w:color="auto"/>
        <w:left w:val="none" w:sz="0" w:space="0" w:color="auto"/>
        <w:bottom w:val="none" w:sz="0" w:space="0" w:color="auto"/>
        <w:right w:val="none" w:sz="0" w:space="0" w:color="auto"/>
      </w:divBdr>
    </w:div>
    <w:div w:id="1425035481">
      <w:bodyDiv w:val="1"/>
      <w:marLeft w:val="0"/>
      <w:marRight w:val="0"/>
      <w:marTop w:val="0"/>
      <w:marBottom w:val="0"/>
      <w:divBdr>
        <w:top w:val="none" w:sz="0" w:space="0" w:color="auto"/>
        <w:left w:val="none" w:sz="0" w:space="0" w:color="auto"/>
        <w:bottom w:val="none" w:sz="0" w:space="0" w:color="auto"/>
        <w:right w:val="none" w:sz="0" w:space="0" w:color="auto"/>
      </w:divBdr>
      <w:divsChild>
        <w:div w:id="1884097899">
          <w:marLeft w:val="0"/>
          <w:marRight w:val="0"/>
          <w:marTop w:val="0"/>
          <w:marBottom w:val="0"/>
          <w:divBdr>
            <w:top w:val="none" w:sz="0" w:space="0" w:color="auto"/>
            <w:left w:val="none" w:sz="0" w:space="0" w:color="auto"/>
            <w:bottom w:val="none" w:sz="0" w:space="0" w:color="auto"/>
            <w:right w:val="none" w:sz="0" w:space="0" w:color="auto"/>
          </w:divBdr>
          <w:divsChild>
            <w:div w:id="1521581441">
              <w:marLeft w:val="0"/>
              <w:marRight w:val="0"/>
              <w:marTop w:val="0"/>
              <w:marBottom w:val="0"/>
              <w:divBdr>
                <w:top w:val="none" w:sz="0" w:space="0" w:color="auto"/>
                <w:left w:val="none" w:sz="0" w:space="0" w:color="auto"/>
                <w:bottom w:val="none" w:sz="0" w:space="0" w:color="auto"/>
                <w:right w:val="none" w:sz="0" w:space="0" w:color="auto"/>
              </w:divBdr>
              <w:divsChild>
                <w:div w:id="732775594">
                  <w:marLeft w:val="0"/>
                  <w:marRight w:val="0"/>
                  <w:marTop w:val="0"/>
                  <w:marBottom w:val="0"/>
                  <w:divBdr>
                    <w:top w:val="none" w:sz="0" w:space="0" w:color="auto"/>
                    <w:left w:val="none" w:sz="0" w:space="0" w:color="auto"/>
                    <w:bottom w:val="none" w:sz="0" w:space="0" w:color="auto"/>
                    <w:right w:val="none" w:sz="0" w:space="0" w:color="auto"/>
                  </w:divBdr>
                  <w:divsChild>
                    <w:div w:id="1546134164">
                      <w:marLeft w:val="0"/>
                      <w:marRight w:val="0"/>
                      <w:marTop w:val="0"/>
                      <w:marBottom w:val="0"/>
                      <w:divBdr>
                        <w:top w:val="none" w:sz="0" w:space="0" w:color="auto"/>
                        <w:left w:val="none" w:sz="0" w:space="0" w:color="auto"/>
                        <w:bottom w:val="none" w:sz="0" w:space="0" w:color="auto"/>
                        <w:right w:val="none" w:sz="0" w:space="0" w:color="auto"/>
                      </w:divBdr>
                      <w:divsChild>
                        <w:div w:id="1409302211">
                          <w:marLeft w:val="0"/>
                          <w:marRight w:val="0"/>
                          <w:marTop w:val="0"/>
                          <w:marBottom w:val="0"/>
                          <w:divBdr>
                            <w:top w:val="none" w:sz="0" w:space="0" w:color="auto"/>
                            <w:left w:val="none" w:sz="0" w:space="0" w:color="auto"/>
                            <w:bottom w:val="none" w:sz="0" w:space="0" w:color="auto"/>
                            <w:right w:val="none" w:sz="0" w:space="0" w:color="auto"/>
                          </w:divBdr>
                          <w:divsChild>
                            <w:div w:id="2739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892043">
      <w:bodyDiv w:val="1"/>
      <w:marLeft w:val="0"/>
      <w:marRight w:val="0"/>
      <w:marTop w:val="0"/>
      <w:marBottom w:val="0"/>
      <w:divBdr>
        <w:top w:val="none" w:sz="0" w:space="0" w:color="auto"/>
        <w:left w:val="none" w:sz="0" w:space="0" w:color="auto"/>
        <w:bottom w:val="none" w:sz="0" w:space="0" w:color="auto"/>
        <w:right w:val="none" w:sz="0" w:space="0" w:color="auto"/>
      </w:divBdr>
    </w:div>
    <w:div w:id="1431125460">
      <w:bodyDiv w:val="1"/>
      <w:marLeft w:val="0"/>
      <w:marRight w:val="0"/>
      <w:marTop w:val="0"/>
      <w:marBottom w:val="0"/>
      <w:divBdr>
        <w:top w:val="none" w:sz="0" w:space="0" w:color="auto"/>
        <w:left w:val="none" w:sz="0" w:space="0" w:color="auto"/>
        <w:bottom w:val="none" w:sz="0" w:space="0" w:color="auto"/>
        <w:right w:val="none" w:sz="0" w:space="0" w:color="auto"/>
      </w:divBdr>
    </w:div>
    <w:div w:id="1468859579">
      <w:bodyDiv w:val="1"/>
      <w:marLeft w:val="0"/>
      <w:marRight w:val="0"/>
      <w:marTop w:val="0"/>
      <w:marBottom w:val="0"/>
      <w:divBdr>
        <w:top w:val="none" w:sz="0" w:space="0" w:color="auto"/>
        <w:left w:val="none" w:sz="0" w:space="0" w:color="auto"/>
        <w:bottom w:val="none" w:sz="0" w:space="0" w:color="auto"/>
        <w:right w:val="none" w:sz="0" w:space="0" w:color="auto"/>
      </w:divBdr>
    </w:div>
    <w:div w:id="1514608051">
      <w:bodyDiv w:val="1"/>
      <w:marLeft w:val="0"/>
      <w:marRight w:val="0"/>
      <w:marTop w:val="0"/>
      <w:marBottom w:val="0"/>
      <w:divBdr>
        <w:top w:val="none" w:sz="0" w:space="0" w:color="auto"/>
        <w:left w:val="none" w:sz="0" w:space="0" w:color="auto"/>
        <w:bottom w:val="none" w:sz="0" w:space="0" w:color="auto"/>
        <w:right w:val="none" w:sz="0" w:space="0" w:color="auto"/>
      </w:divBdr>
    </w:div>
    <w:div w:id="1554196914">
      <w:bodyDiv w:val="1"/>
      <w:marLeft w:val="0"/>
      <w:marRight w:val="0"/>
      <w:marTop w:val="0"/>
      <w:marBottom w:val="0"/>
      <w:divBdr>
        <w:top w:val="none" w:sz="0" w:space="0" w:color="auto"/>
        <w:left w:val="none" w:sz="0" w:space="0" w:color="auto"/>
        <w:bottom w:val="none" w:sz="0" w:space="0" w:color="auto"/>
        <w:right w:val="none" w:sz="0" w:space="0" w:color="auto"/>
      </w:divBdr>
      <w:divsChild>
        <w:div w:id="86705379">
          <w:marLeft w:val="0"/>
          <w:marRight w:val="0"/>
          <w:marTop w:val="0"/>
          <w:marBottom w:val="0"/>
          <w:divBdr>
            <w:top w:val="none" w:sz="0" w:space="0" w:color="auto"/>
            <w:left w:val="none" w:sz="0" w:space="0" w:color="auto"/>
            <w:bottom w:val="none" w:sz="0" w:space="0" w:color="auto"/>
            <w:right w:val="none" w:sz="0" w:space="0" w:color="auto"/>
          </w:divBdr>
        </w:div>
        <w:div w:id="184368678">
          <w:marLeft w:val="0"/>
          <w:marRight w:val="0"/>
          <w:marTop w:val="0"/>
          <w:marBottom w:val="0"/>
          <w:divBdr>
            <w:top w:val="none" w:sz="0" w:space="0" w:color="auto"/>
            <w:left w:val="none" w:sz="0" w:space="0" w:color="auto"/>
            <w:bottom w:val="none" w:sz="0" w:space="0" w:color="auto"/>
            <w:right w:val="none" w:sz="0" w:space="0" w:color="auto"/>
          </w:divBdr>
        </w:div>
        <w:div w:id="419571186">
          <w:marLeft w:val="0"/>
          <w:marRight w:val="0"/>
          <w:marTop w:val="0"/>
          <w:marBottom w:val="0"/>
          <w:divBdr>
            <w:top w:val="none" w:sz="0" w:space="0" w:color="auto"/>
            <w:left w:val="none" w:sz="0" w:space="0" w:color="auto"/>
            <w:bottom w:val="none" w:sz="0" w:space="0" w:color="auto"/>
            <w:right w:val="none" w:sz="0" w:space="0" w:color="auto"/>
          </w:divBdr>
        </w:div>
        <w:div w:id="879703105">
          <w:marLeft w:val="0"/>
          <w:marRight w:val="0"/>
          <w:marTop w:val="0"/>
          <w:marBottom w:val="0"/>
          <w:divBdr>
            <w:top w:val="none" w:sz="0" w:space="0" w:color="auto"/>
            <w:left w:val="none" w:sz="0" w:space="0" w:color="auto"/>
            <w:bottom w:val="none" w:sz="0" w:space="0" w:color="auto"/>
            <w:right w:val="none" w:sz="0" w:space="0" w:color="auto"/>
          </w:divBdr>
        </w:div>
        <w:div w:id="905334099">
          <w:marLeft w:val="0"/>
          <w:marRight w:val="0"/>
          <w:marTop w:val="0"/>
          <w:marBottom w:val="0"/>
          <w:divBdr>
            <w:top w:val="none" w:sz="0" w:space="0" w:color="auto"/>
            <w:left w:val="none" w:sz="0" w:space="0" w:color="auto"/>
            <w:bottom w:val="none" w:sz="0" w:space="0" w:color="auto"/>
            <w:right w:val="none" w:sz="0" w:space="0" w:color="auto"/>
          </w:divBdr>
        </w:div>
        <w:div w:id="1093355687">
          <w:marLeft w:val="0"/>
          <w:marRight w:val="0"/>
          <w:marTop w:val="0"/>
          <w:marBottom w:val="0"/>
          <w:divBdr>
            <w:top w:val="none" w:sz="0" w:space="0" w:color="auto"/>
            <w:left w:val="none" w:sz="0" w:space="0" w:color="auto"/>
            <w:bottom w:val="none" w:sz="0" w:space="0" w:color="auto"/>
            <w:right w:val="none" w:sz="0" w:space="0" w:color="auto"/>
          </w:divBdr>
        </w:div>
        <w:div w:id="1327130803">
          <w:marLeft w:val="0"/>
          <w:marRight w:val="0"/>
          <w:marTop w:val="0"/>
          <w:marBottom w:val="0"/>
          <w:divBdr>
            <w:top w:val="none" w:sz="0" w:space="0" w:color="auto"/>
            <w:left w:val="none" w:sz="0" w:space="0" w:color="auto"/>
            <w:bottom w:val="none" w:sz="0" w:space="0" w:color="auto"/>
            <w:right w:val="none" w:sz="0" w:space="0" w:color="auto"/>
          </w:divBdr>
        </w:div>
        <w:div w:id="1658681870">
          <w:marLeft w:val="0"/>
          <w:marRight w:val="0"/>
          <w:marTop w:val="0"/>
          <w:marBottom w:val="0"/>
          <w:divBdr>
            <w:top w:val="none" w:sz="0" w:space="0" w:color="auto"/>
            <w:left w:val="none" w:sz="0" w:space="0" w:color="auto"/>
            <w:bottom w:val="none" w:sz="0" w:space="0" w:color="auto"/>
            <w:right w:val="none" w:sz="0" w:space="0" w:color="auto"/>
          </w:divBdr>
        </w:div>
      </w:divsChild>
    </w:div>
    <w:div w:id="1594241779">
      <w:bodyDiv w:val="1"/>
      <w:marLeft w:val="0"/>
      <w:marRight w:val="0"/>
      <w:marTop w:val="0"/>
      <w:marBottom w:val="0"/>
      <w:divBdr>
        <w:top w:val="none" w:sz="0" w:space="0" w:color="auto"/>
        <w:left w:val="none" w:sz="0" w:space="0" w:color="auto"/>
        <w:bottom w:val="none" w:sz="0" w:space="0" w:color="auto"/>
        <w:right w:val="none" w:sz="0" w:space="0" w:color="auto"/>
      </w:divBdr>
    </w:div>
    <w:div w:id="1602833518">
      <w:bodyDiv w:val="1"/>
      <w:marLeft w:val="0"/>
      <w:marRight w:val="0"/>
      <w:marTop w:val="0"/>
      <w:marBottom w:val="0"/>
      <w:divBdr>
        <w:top w:val="none" w:sz="0" w:space="0" w:color="auto"/>
        <w:left w:val="none" w:sz="0" w:space="0" w:color="auto"/>
        <w:bottom w:val="none" w:sz="0" w:space="0" w:color="auto"/>
        <w:right w:val="none" w:sz="0" w:space="0" w:color="auto"/>
      </w:divBdr>
    </w:div>
    <w:div w:id="1640261584">
      <w:bodyDiv w:val="1"/>
      <w:marLeft w:val="0"/>
      <w:marRight w:val="0"/>
      <w:marTop w:val="0"/>
      <w:marBottom w:val="0"/>
      <w:divBdr>
        <w:top w:val="none" w:sz="0" w:space="0" w:color="auto"/>
        <w:left w:val="none" w:sz="0" w:space="0" w:color="auto"/>
        <w:bottom w:val="none" w:sz="0" w:space="0" w:color="auto"/>
        <w:right w:val="none" w:sz="0" w:space="0" w:color="auto"/>
      </w:divBdr>
    </w:div>
    <w:div w:id="1643542332">
      <w:bodyDiv w:val="1"/>
      <w:marLeft w:val="0"/>
      <w:marRight w:val="0"/>
      <w:marTop w:val="0"/>
      <w:marBottom w:val="0"/>
      <w:divBdr>
        <w:top w:val="none" w:sz="0" w:space="0" w:color="auto"/>
        <w:left w:val="none" w:sz="0" w:space="0" w:color="auto"/>
        <w:bottom w:val="none" w:sz="0" w:space="0" w:color="auto"/>
        <w:right w:val="none" w:sz="0" w:space="0" w:color="auto"/>
      </w:divBdr>
    </w:div>
    <w:div w:id="1674528080">
      <w:bodyDiv w:val="1"/>
      <w:marLeft w:val="0"/>
      <w:marRight w:val="0"/>
      <w:marTop w:val="0"/>
      <w:marBottom w:val="0"/>
      <w:divBdr>
        <w:top w:val="none" w:sz="0" w:space="0" w:color="auto"/>
        <w:left w:val="none" w:sz="0" w:space="0" w:color="auto"/>
        <w:bottom w:val="none" w:sz="0" w:space="0" w:color="auto"/>
        <w:right w:val="none" w:sz="0" w:space="0" w:color="auto"/>
      </w:divBdr>
    </w:div>
    <w:div w:id="1681395648">
      <w:bodyDiv w:val="1"/>
      <w:marLeft w:val="0"/>
      <w:marRight w:val="0"/>
      <w:marTop w:val="0"/>
      <w:marBottom w:val="0"/>
      <w:divBdr>
        <w:top w:val="none" w:sz="0" w:space="0" w:color="auto"/>
        <w:left w:val="none" w:sz="0" w:space="0" w:color="auto"/>
        <w:bottom w:val="none" w:sz="0" w:space="0" w:color="auto"/>
        <w:right w:val="none" w:sz="0" w:space="0" w:color="auto"/>
      </w:divBdr>
    </w:div>
    <w:div w:id="1683967888">
      <w:bodyDiv w:val="1"/>
      <w:marLeft w:val="0"/>
      <w:marRight w:val="0"/>
      <w:marTop w:val="0"/>
      <w:marBottom w:val="0"/>
      <w:divBdr>
        <w:top w:val="none" w:sz="0" w:space="0" w:color="auto"/>
        <w:left w:val="none" w:sz="0" w:space="0" w:color="auto"/>
        <w:bottom w:val="none" w:sz="0" w:space="0" w:color="auto"/>
        <w:right w:val="none" w:sz="0" w:space="0" w:color="auto"/>
      </w:divBdr>
    </w:div>
    <w:div w:id="1689721741">
      <w:bodyDiv w:val="1"/>
      <w:marLeft w:val="0"/>
      <w:marRight w:val="0"/>
      <w:marTop w:val="0"/>
      <w:marBottom w:val="0"/>
      <w:divBdr>
        <w:top w:val="none" w:sz="0" w:space="0" w:color="auto"/>
        <w:left w:val="none" w:sz="0" w:space="0" w:color="auto"/>
        <w:bottom w:val="none" w:sz="0" w:space="0" w:color="auto"/>
        <w:right w:val="none" w:sz="0" w:space="0" w:color="auto"/>
      </w:divBdr>
    </w:div>
    <w:div w:id="1747074937">
      <w:bodyDiv w:val="1"/>
      <w:marLeft w:val="0"/>
      <w:marRight w:val="0"/>
      <w:marTop w:val="0"/>
      <w:marBottom w:val="0"/>
      <w:divBdr>
        <w:top w:val="none" w:sz="0" w:space="0" w:color="auto"/>
        <w:left w:val="none" w:sz="0" w:space="0" w:color="auto"/>
        <w:bottom w:val="none" w:sz="0" w:space="0" w:color="auto"/>
        <w:right w:val="none" w:sz="0" w:space="0" w:color="auto"/>
      </w:divBdr>
    </w:div>
    <w:div w:id="1764297825">
      <w:bodyDiv w:val="1"/>
      <w:marLeft w:val="0"/>
      <w:marRight w:val="0"/>
      <w:marTop w:val="0"/>
      <w:marBottom w:val="0"/>
      <w:divBdr>
        <w:top w:val="none" w:sz="0" w:space="0" w:color="auto"/>
        <w:left w:val="none" w:sz="0" w:space="0" w:color="auto"/>
        <w:bottom w:val="none" w:sz="0" w:space="0" w:color="auto"/>
        <w:right w:val="none" w:sz="0" w:space="0" w:color="auto"/>
      </w:divBdr>
    </w:div>
    <w:div w:id="1781022284">
      <w:bodyDiv w:val="1"/>
      <w:marLeft w:val="0"/>
      <w:marRight w:val="0"/>
      <w:marTop w:val="0"/>
      <w:marBottom w:val="0"/>
      <w:divBdr>
        <w:top w:val="none" w:sz="0" w:space="0" w:color="auto"/>
        <w:left w:val="none" w:sz="0" w:space="0" w:color="auto"/>
        <w:bottom w:val="none" w:sz="0" w:space="0" w:color="auto"/>
        <w:right w:val="none" w:sz="0" w:space="0" w:color="auto"/>
      </w:divBdr>
    </w:div>
    <w:div w:id="1799059344">
      <w:bodyDiv w:val="1"/>
      <w:marLeft w:val="0"/>
      <w:marRight w:val="0"/>
      <w:marTop w:val="0"/>
      <w:marBottom w:val="0"/>
      <w:divBdr>
        <w:top w:val="none" w:sz="0" w:space="0" w:color="auto"/>
        <w:left w:val="none" w:sz="0" w:space="0" w:color="auto"/>
        <w:bottom w:val="none" w:sz="0" w:space="0" w:color="auto"/>
        <w:right w:val="none" w:sz="0" w:space="0" w:color="auto"/>
      </w:divBdr>
    </w:div>
    <w:div w:id="1799834243">
      <w:bodyDiv w:val="1"/>
      <w:marLeft w:val="0"/>
      <w:marRight w:val="0"/>
      <w:marTop w:val="0"/>
      <w:marBottom w:val="0"/>
      <w:divBdr>
        <w:top w:val="none" w:sz="0" w:space="0" w:color="auto"/>
        <w:left w:val="none" w:sz="0" w:space="0" w:color="auto"/>
        <w:bottom w:val="none" w:sz="0" w:space="0" w:color="auto"/>
        <w:right w:val="none" w:sz="0" w:space="0" w:color="auto"/>
      </w:divBdr>
    </w:div>
    <w:div w:id="1870876386">
      <w:bodyDiv w:val="1"/>
      <w:marLeft w:val="0"/>
      <w:marRight w:val="0"/>
      <w:marTop w:val="0"/>
      <w:marBottom w:val="0"/>
      <w:divBdr>
        <w:top w:val="none" w:sz="0" w:space="0" w:color="auto"/>
        <w:left w:val="none" w:sz="0" w:space="0" w:color="auto"/>
        <w:bottom w:val="none" w:sz="0" w:space="0" w:color="auto"/>
        <w:right w:val="none" w:sz="0" w:space="0" w:color="auto"/>
      </w:divBdr>
      <w:divsChild>
        <w:div w:id="1482188670">
          <w:marLeft w:val="0"/>
          <w:marRight w:val="0"/>
          <w:marTop w:val="0"/>
          <w:marBottom w:val="0"/>
          <w:divBdr>
            <w:top w:val="none" w:sz="0" w:space="0" w:color="auto"/>
            <w:left w:val="none" w:sz="0" w:space="0" w:color="auto"/>
            <w:bottom w:val="none" w:sz="0" w:space="0" w:color="auto"/>
            <w:right w:val="none" w:sz="0" w:space="0" w:color="auto"/>
          </w:divBdr>
          <w:divsChild>
            <w:div w:id="1004480811">
              <w:marLeft w:val="0"/>
              <w:marRight w:val="0"/>
              <w:marTop w:val="0"/>
              <w:marBottom w:val="0"/>
              <w:divBdr>
                <w:top w:val="none" w:sz="0" w:space="0" w:color="auto"/>
                <w:left w:val="none" w:sz="0" w:space="0" w:color="auto"/>
                <w:bottom w:val="none" w:sz="0" w:space="0" w:color="auto"/>
                <w:right w:val="none" w:sz="0" w:space="0" w:color="auto"/>
              </w:divBdr>
              <w:divsChild>
                <w:div w:id="354577167">
                  <w:marLeft w:val="0"/>
                  <w:marRight w:val="0"/>
                  <w:marTop w:val="0"/>
                  <w:marBottom w:val="0"/>
                  <w:divBdr>
                    <w:top w:val="none" w:sz="0" w:space="0" w:color="auto"/>
                    <w:left w:val="none" w:sz="0" w:space="0" w:color="auto"/>
                    <w:bottom w:val="none" w:sz="0" w:space="0" w:color="auto"/>
                    <w:right w:val="none" w:sz="0" w:space="0" w:color="auto"/>
                  </w:divBdr>
                  <w:divsChild>
                    <w:div w:id="2001344070">
                      <w:marLeft w:val="0"/>
                      <w:marRight w:val="0"/>
                      <w:marTop w:val="0"/>
                      <w:marBottom w:val="0"/>
                      <w:divBdr>
                        <w:top w:val="none" w:sz="0" w:space="0" w:color="auto"/>
                        <w:left w:val="none" w:sz="0" w:space="0" w:color="auto"/>
                        <w:bottom w:val="none" w:sz="0" w:space="0" w:color="auto"/>
                        <w:right w:val="none" w:sz="0" w:space="0" w:color="auto"/>
                      </w:divBdr>
                      <w:divsChild>
                        <w:div w:id="2068986634">
                          <w:marLeft w:val="0"/>
                          <w:marRight w:val="0"/>
                          <w:marTop w:val="0"/>
                          <w:marBottom w:val="0"/>
                          <w:divBdr>
                            <w:top w:val="none" w:sz="0" w:space="0" w:color="auto"/>
                            <w:left w:val="none" w:sz="0" w:space="0" w:color="auto"/>
                            <w:bottom w:val="none" w:sz="0" w:space="0" w:color="auto"/>
                            <w:right w:val="none" w:sz="0" w:space="0" w:color="auto"/>
                          </w:divBdr>
                          <w:divsChild>
                            <w:div w:id="16736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13412">
      <w:bodyDiv w:val="1"/>
      <w:marLeft w:val="0"/>
      <w:marRight w:val="0"/>
      <w:marTop w:val="0"/>
      <w:marBottom w:val="0"/>
      <w:divBdr>
        <w:top w:val="none" w:sz="0" w:space="0" w:color="auto"/>
        <w:left w:val="none" w:sz="0" w:space="0" w:color="auto"/>
        <w:bottom w:val="none" w:sz="0" w:space="0" w:color="auto"/>
        <w:right w:val="none" w:sz="0" w:space="0" w:color="auto"/>
      </w:divBdr>
    </w:div>
    <w:div w:id="1927879774">
      <w:bodyDiv w:val="1"/>
      <w:marLeft w:val="0"/>
      <w:marRight w:val="0"/>
      <w:marTop w:val="0"/>
      <w:marBottom w:val="0"/>
      <w:divBdr>
        <w:top w:val="none" w:sz="0" w:space="0" w:color="auto"/>
        <w:left w:val="none" w:sz="0" w:space="0" w:color="auto"/>
        <w:bottom w:val="none" w:sz="0" w:space="0" w:color="auto"/>
        <w:right w:val="none" w:sz="0" w:space="0" w:color="auto"/>
      </w:divBdr>
    </w:div>
    <w:div w:id="1932160723">
      <w:bodyDiv w:val="1"/>
      <w:marLeft w:val="0"/>
      <w:marRight w:val="0"/>
      <w:marTop w:val="0"/>
      <w:marBottom w:val="0"/>
      <w:divBdr>
        <w:top w:val="none" w:sz="0" w:space="0" w:color="auto"/>
        <w:left w:val="none" w:sz="0" w:space="0" w:color="auto"/>
        <w:bottom w:val="none" w:sz="0" w:space="0" w:color="auto"/>
        <w:right w:val="none" w:sz="0" w:space="0" w:color="auto"/>
      </w:divBdr>
    </w:div>
    <w:div w:id="1952782605">
      <w:bodyDiv w:val="1"/>
      <w:marLeft w:val="0"/>
      <w:marRight w:val="0"/>
      <w:marTop w:val="0"/>
      <w:marBottom w:val="0"/>
      <w:divBdr>
        <w:top w:val="none" w:sz="0" w:space="0" w:color="auto"/>
        <w:left w:val="none" w:sz="0" w:space="0" w:color="auto"/>
        <w:bottom w:val="none" w:sz="0" w:space="0" w:color="auto"/>
        <w:right w:val="none" w:sz="0" w:space="0" w:color="auto"/>
      </w:divBdr>
    </w:div>
    <w:div w:id="2017266909">
      <w:bodyDiv w:val="1"/>
      <w:marLeft w:val="0"/>
      <w:marRight w:val="0"/>
      <w:marTop w:val="0"/>
      <w:marBottom w:val="0"/>
      <w:divBdr>
        <w:top w:val="none" w:sz="0" w:space="0" w:color="auto"/>
        <w:left w:val="none" w:sz="0" w:space="0" w:color="auto"/>
        <w:bottom w:val="none" w:sz="0" w:space="0" w:color="auto"/>
        <w:right w:val="none" w:sz="0" w:space="0" w:color="auto"/>
      </w:divBdr>
      <w:divsChild>
        <w:div w:id="1699429680">
          <w:marLeft w:val="0"/>
          <w:marRight w:val="0"/>
          <w:marTop w:val="15"/>
          <w:marBottom w:val="0"/>
          <w:divBdr>
            <w:top w:val="none" w:sz="0" w:space="0" w:color="auto"/>
            <w:left w:val="none" w:sz="0" w:space="0" w:color="auto"/>
            <w:bottom w:val="none" w:sz="0" w:space="0" w:color="auto"/>
            <w:right w:val="none" w:sz="0" w:space="0" w:color="auto"/>
          </w:divBdr>
          <w:divsChild>
            <w:div w:id="6560409">
              <w:marLeft w:val="0"/>
              <w:marRight w:val="0"/>
              <w:marTop w:val="0"/>
              <w:marBottom w:val="0"/>
              <w:divBdr>
                <w:top w:val="none" w:sz="0" w:space="0" w:color="auto"/>
                <w:left w:val="none" w:sz="0" w:space="0" w:color="auto"/>
                <w:bottom w:val="none" w:sz="0" w:space="0" w:color="auto"/>
                <w:right w:val="none" w:sz="0" w:space="0" w:color="auto"/>
              </w:divBdr>
              <w:divsChild>
                <w:div w:id="171143596">
                  <w:marLeft w:val="0"/>
                  <w:marRight w:val="0"/>
                  <w:marTop w:val="0"/>
                  <w:marBottom w:val="0"/>
                  <w:divBdr>
                    <w:top w:val="none" w:sz="0" w:space="0" w:color="auto"/>
                    <w:left w:val="none" w:sz="0" w:space="0" w:color="auto"/>
                    <w:bottom w:val="none" w:sz="0" w:space="0" w:color="auto"/>
                    <w:right w:val="none" w:sz="0" w:space="0" w:color="auto"/>
                  </w:divBdr>
                </w:div>
                <w:div w:id="178813945">
                  <w:marLeft w:val="0"/>
                  <w:marRight w:val="0"/>
                  <w:marTop w:val="0"/>
                  <w:marBottom w:val="0"/>
                  <w:divBdr>
                    <w:top w:val="none" w:sz="0" w:space="0" w:color="auto"/>
                    <w:left w:val="none" w:sz="0" w:space="0" w:color="auto"/>
                    <w:bottom w:val="none" w:sz="0" w:space="0" w:color="auto"/>
                    <w:right w:val="none" w:sz="0" w:space="0" w:color="auto"/>
                  </w:divBdr>
                </w:div>
                <w:div w:id="401292090">
                  <w:marLeft w:val="0"/>
                  <w:marRight w:val="0"/>
                  <w:marTop w:val="0"/>
                  <w:marBottom w:val="0"/>
                  <w:divBdr>
                    <w:top w:val="none" w:sz="0" w:space="0" w:color="auto"/>
                    <w:left w:val="none" w:sz="0" w:space="0" w:color="auto"/>
                    <w:bottom w:val="none" w:sz="0" w:space="0" w:color="auto"/>
                    <w:right w:val="none" w:sz="0" w:space="0" w:color="auto"/>
                  </w:divBdr>
                </w:div>
                <w:div w:id="416636278">
                  <w:marLeft w:val="0"/>
                  <w:marRight w:val="0"/>
                  <w:marTop w:val="0"/>
                  <w:marBottom w:val="0"/>
                  <w:divBdr>
                    <w:top w:val="none" w:sz="0" w:space="0" w:color="auto"/>
                    <w:left w:val="none" w:sz="0" w:space="0" w:color="auto"/>
                    <w:bottom w:val="none" w:sz="0" w:space="0" w:color="auto"/>
                    <w:right w:val="none" w:sz="0" w:space="0" w:color="auto"/>
                  </w:divBdr>
                </w:div>
                <w:div w:id="461000935">
                  <w:marLeft w:val="0"/>
                  <w:marRight w:val="0"/>
                  <w:marTop w:val="0"/>
                  <w:marBottom w:val="0"/>
                  <w:divBdr>
                    <w:top w:val="none" w:sz="0" w:space="0" w:color="auto"/>
                    <w:left w:val="none" w:sz="0" w:space="0" w:color="auto"/>
                    <w:bottom w:val="none" w:sz="0" w:space="0" w:color="auto"/>
                    <w:right w:val="none" w:sz="0" w:space="0" w:color="auto"/>
                  </w:divBdr>
                </w:div>
                <w:div w:id="569735150">
                  <w:marLeft w:val="0"/>
                  <w:marRight w:val="0"/>
                  <w:marTop w:val="0"/>
                  <w:marBottom w:val="0"/>
                  <w:divBdr>
                    <w:top w:val="none" w:sz="0" w:space="0" w:color="auto"/>
                    <w:left w:val="none" w:sz="0" w:space="0" w:color="auto"/>
                    <w:bottom w:val="none" w:sz="0" w:space="0" w:color="auto"/>
                    <w:right w:val="none" w:sz="0" w:space="0" w:color="auto"/>
                  </w:divBdr>
                </w:div>
                <w:div w:id="700856781">
                  <w:marLeft w:val="0"/>
                  <w:marRight w:val="0"/>
                  <w:marTop w:val="0"/>
                  <w:marBottom w:val="0"/>
                  <w:divBdr>
                    <w:top w:val="none" w:sz="0" w:space="0" w:color="auto"/>
                    <w:left w:val="none" w:sz="0" w:space="0" w:color="auto"/>
                    <w:bottom w:val="none" w:sz="0" w:space="0" w:color="auto"/>
                    <w:right w:val="none" w:sz="0" w:space="0" w:color="auto"/>
                  </w:divBdr>
                </w:div>
                <w:div w:id="861942374">
                  <w:marLeft w:val="0"/>
                  <w:marRight w:val="0"/>
                  <w:marTop w:val="0"/>
                  <w:marBottom w:val="0"/>
                  <w:divBdr>
                    <w:top w:val="none" w:sz="0" w:space="0" w:color="auto"/>
                    <w:left w:val="none" w:sz="0" w:space="0" w:color="auto"/>
                    <w:bottom w:val="none" w:sz="0" w:space="0" w:color="auto"/>
                    <w:right w:val="none" w:sz="0" w:space="0" w:color="auto"/>
                  </w:divBdr>
                </w:div>
                <w:div w:id="1259875179">
                  <w:marLeft w:val="0"/>
                  <w:marRight w:val="0"/>
                  <w:marTop w:val="0"/>
                  <w:marBottom w:val="0"/>
                  <w:divBdr>
                    <w:top w:val="none" w:sz="0" w:space="0" w:color="auto"/>
                    <w:left w:val="none" w:sz="0" w:space="0" w:color="auto"/>
                    <w:bottom w:val="none" w:sz="0" w:space="0" w:color="auto"/>
                    <w:right w:val="none" w:sz="0" w:space="0" w:color="auto"/>
                  </w:divBdr>
                </w:div>
                <w:div w:id="1450469250">
                  <w:marLeft w:val="0"/>
                  <w:marRight w:val="0"/>
                  <w:marTop w:val="0"/>
                  <w:marBottom w:val="0"/>
                  <w:divBdr>
                    <w:top w:val="none" w:sz="0" w:space="0" w:color="auto"/>
                    <w:left w:val="none" w:sz="0" w:space="0" w:color="auto"/>
                    <w:bottom w:val="none" w:sz="0" w:space="0" w:color="auto"/>
                    <w:right w:val="none" w:sz="0" w:space="0" w:color="auto"/>
                  </w:divBdr>
                </w:div>
                <w:div w:id="1599673613">
                  <w:marLeft w:val="0"/>
                  <w:marRight w:val="0"/>
                  <w:marTop w:val="0"/>
                  <w:marBottom w:val="0"/>
                  <w:divBdr>
                    <w:top w:val="none" w:sz="0" w:space="0" w:color="auto"/>
                    <w:left w:val="none" w:sz="0" w:space="0" w:color="auto"/>
                    <w:bottom w:val="none" w:sz="0" w:space="0" w:color="auto"/>
                    <w:right w:val="none" w:sz="0" w:space="0" w:color="auto"/>
                  </w:divBdr>
                </w:div>
                <w:div w:id="20162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2200">
          <w:marLeft w:val="0"/>
          <w:marRight w:val="0"/>
          <w:marTop w:val="15"/>
          <w:marBottom w:val="0"/>
          <w:divBdr>
            <w:top w:val="none" w:sz="0" w:space="0" w:color="auto"/>
            <w:left w:val="none" w:sz="0" w:space="0" w:color="auto"/>
            <w:bottom w:val="none" w:sz="0" w:space="0" w:color="auto"/>
            <w:right w:val="none" w:sz="0" w:space="0" w:color="auto"/>
          </w:divBdr>
          <w:divsChild>
            <w:div w:id="1810782925">
              <w:marLeft w:val="0"/>
              <w:marRight w:val="0"/>
              <w:marTop w:val="0"/>
              <w:marBottom w:val="0"/>
              <w:divBdr>
                <w:top w:val="none" w:sz="0" w:space="0" w:color="auto"/>
                <w:left w:val="none" w:sz="0" w:space="0" w:color="auto"/>
                <w:bottom w:val="none" w:sz="0" w:space="0" w:color="auto"/>
                <w:right w:val="none" w:sz="0" w:space="0" w:color="auto"/>
              </w:divBdr>
              <w:divsChild>
                <w:div w:id="6952845">
                  <w:marLeft w:val="0"/>
                  <w:marRight w:val="0"/>
                  <w:marTop w:val="0"/>
                  <w:marBottom w:val="0"/>
                  <w:divBdr>
                    <w:top w:val="none" w:sz="0" w:space="0" w:color="auto"/>
                    <w:left w:val="none" w:sz="0" w:space="0" w:color="auto"/>
                    <w:bottom w:val="none" w:sz="0" w:space="0" w:color="auto"/>
                    <w:right w:val="none" w:sz="0" w:space="0" w:color="auto"/>
                  </w:divBdr>
                </w:div>
                <w:div w:id="23097342">
                  <w:marLeft w:val="0"/>
                  <w:marRight w:val="0"/>
                  <w:marTop w:val="0"/>
                  <w:marBottom w:val="0"/>
                  <w:divBdr>
                    <w:top w:val="none" w:sz="0" w:space="0" w:color="auto"/>
                    <w:left w:val="none" w:sz="0" w:space="0" w:color="auto"/>
                    <w:bottom w:val="none" w:sz="0" w:space="0" w:color="auto"/>
                    <w:right w:val="none" w:sz="0" w:space="0" w:color="auto"/>
                  </w:divBdr>
                </w:div>
                <w:div w:id="42600733">
                  <w:marLeft w:val="0"/>
                  <w:marRight w:val="0"/>
                  <w:marTop w:val="0"/>
                  <w:marBottom w:val="0"/>
                  <w:divBdr>
                    <w:top w:val="none" w:sz="0" w:space="0" w:color="auto"/>
                    <w:left w:val="none" w:sz="0" w:space="0" w:color="auto"/>
                    <w:bottom w:val="none" w:sz="0" w:space="0" w:color="auto"/>
                    <w:right w:val="none" w:sz="0" w:space="0" w:color="auto"/>
                  </w:divBdr>
                </w:div>
                <w:div w:id="50813656">
                  <w:marLeft w:val="0"/>
                  <w:marRight w:val="0"/>
                  <w:marTop w:val="0"/>
                  <w:marBottom w:val="0"/>
                  <w:divBdr>
                    <w:top w:val="none" w:sz="0" w:space="0" w:color="auto"/>
                    <w:left w:val="none" w:sz="0" w:space="0" w:color="auto"/>
                    <w:bottom w:val="none" w:sz="0" w:space="0" w:color="auto"/>
                    <w:right w:val="none" w:sz="0" w:space="0" w:color="auto"/>
                  </w:divBdr>
                </w:div>
                <w:div w:id="171994934">
                  <w:marLeft w:val="0"/>
                  <w:marRight w:val="0"/>
                  <w:marTop w:val="0"/>
                  <w:marBottom w:val="0"/>
                  <w:divBdr>
                    <w:top w:val="none" w:sz="0" w:space="0" w:color="auto"/>
                    <w:left w:val="none" w:sz="0" w:space="0" w:color="auto"/>
                    <w:bottom w:val="none" w:sz="0" w:space="0" w:color="auto"/>
                    <w:right w:val="none" w:sz="0" w:space="0" w:color="auto"/>
                  </w:divBdr>
                </w:div>
                <w:div w:id="181163058">
                  <w:marLeft w:val="0"/>
                  <w:marRight w:val="0"/>
                  <w:marTop w:val="0"/>
                  <w:marBottom w:val="0"/>
                  <w:divBdr>
                    <w:top w:val="none" w:sz="0" w:space="0" w:color="auto"/>
                    <w:left w:val="none" w:sz="0" w:space="0" w:color="auto"/>
                    <w:bottom w:val="none" w:sz="0" w:space="0" w:color="auto"/>
                    <w:right w:val="none" w:sz="0" w:space="0" w:color="auto"/>
                  </w:divBdr>
                </w:div>
                <w:div w:id="182211596">
                  <w:marLeft w:val="0"/>
                  <w:marRight w:val="0"/>
                  <w:marTop w:val="0"/>
                  <w:marBottom w:val="0"/>
                  <w:divBdr>
                    <w:top w:val="none" w:sz="0" w:space="0" w:color="auto"/>
                    <w:left w:val="none" w:sz="0" w:space="0" w:color="auto"/>
                    <w:bottom w:val="none" w:sz="0" w:space="0" w:color="auto"/>
                    <w:right w:val="none" w:sz="0" w:space="0" w:color="auto"/>
                  </w:divBdr>
                </w:div>
                <w:div w:id="215287056">
                  <w:marLeft w:val="0"/>
                  <w:marRight w:val="0"/>
                  <w:marTop w:val="0"/>
                  <w:marBottom w:val="0"/>
                  <w:divBdr>
                    <w:top w:val="none" w:sz="0" w:space="0" w:color="auto"/>
                    <w:left w:val="none" w:sz="0" w:space="0" w:color="auto"/>
                    <w:bottom w:val="none" w:sz="0" w:space="0" w:color="auto"/>
                    <w:right w:val="none" w:sz="0" w:space="0" w:color="auto"/>
                  </w:divBdr>
                </w:div>
                <w:div w:id="230432604">
                  <w:marLeft w:val="0"/>
                  <w:marRight w:val="0"/>
                  <w:marTop w:val="0"/>
                  <w:marBottom w:val="0"/>
                  <w:divBdr>
                    <w:top w:val="none" w:sz="0" w:space="0" w:color="auto"/>
                    <w:left w:val="none" w:sz="0" w:space="0" w:color="auto"/>
                    <w:bottom w:val="none" w:sz="0" w:space="0" w:color="auto"/>
                    <w:right w:val="none" w:sz="0" w:space="0" w:color="auto"/>
                  </w:divBdr>
                </w:div>
                <w:div w:id="332419500">
                  <w:marLeft w:val="0"/>
                  <w:marRight w:val="0"/>
                  <w:marTop w:val="0"/>
                  <w:marBottom w:val="0"/>
                  <w:divBdr>
                    <w:top w:val="none" w:sz="0" w:space="0" w:color="auto"/>
                    <w:left w:val="none" w:sz="0" w:space="0" w:color="auto"/>
                    <w:bottom w:val="none" w:sz="0" w:space="0" w:color="auto"/>
                    <w:right w:val="none" w:sz="0" w:space="0" w:color="auto"/>
                  </w:divBdr>
                </w:div>
                <w:div w:id="342436377">
                  <w:marLeft w:val="0"/>
                  <w:marRight w:val="0"/>
                  <w:marTop w:val="0"/>
                  <w:marBottom w:val="0"/>
                  <w:divBdr>
                    <w:top w:val="none" w:sz="0" w:space="0" w:color="auto"/>
                    <w:left w:val="none" w:sz="0" w:space="0" w:color="auto"/>
                    <w:bottom w:val="none" w:sz="0" w:space="0" w:color="auto"/>
                    <w:right w:val="none" w:sz="0" w:space="0" w:color="auto"/>
                  </w:divBdr>
                </w:div>
                <w:div w:id="386077555">
                  <w:marLeft w:val="0"/>
                  <w:marRight w:val="0"/>
                  <w:marTop w:val="0"/>
                  <w:marBottom w:val="0"/>
                  <w:divBdr>
                    <w:top w:val="none" w:sz="0" w:space="0" w:color="auto"/>
                    <w:left w:val="none" w:sz="0" w:space="0" w:color="auto"/>
                    <w:bottom w:val="none" w:sz="0" w:space="0" w:color="auto"/>
                    <w:right w:val="none" w:sz="0" w:space="0" w:color="auto"/>
                  </w:divBdr>
                </w:div>
                <w:div w:id="458450795">
                  <w:marLeft w:val="0"/>
                  <w:marRight w:val="0"/>
                  <w:marTop w:val="0"/>
                  <w:marBottom w:val="0"/>
                  <w:divBdr>
                    <w:top w:val="none" w:sz="0" w:space="0" w:color="auto"/>
                    <w:left w:val="none" w:sz="0" w:space="0" w:color="auto"/>
                    <w:bottom w:val="none" w:sz="0" w:space="0" w:color="auto"/>
                    <w:right w:val="none" w:sz="0" w:space="0" w:color="auto"/>
                  </w:divBdr>
                </w:div>
                <w:div w:id="476533239">
                  <w:marLeft w:val="0"/>
                  <w:marRight w:val="0"/>
                  <w:marTop w:val="0"/>
                  <w:marBottom w:val="0"/>
                  <w:divBdr>
                    <w:top w:val="none" w:sz="0" w:space="0" w:color="auto"/>
                    <w:left w:val="none" w:sz="0" w:space="0" w:color="auto"/>
                    <w:bottom w:val="none" w:sz="0" w:space="0" w:color="auto"/>
                    <w:right w:val="none" w:sz="0" w:space="0" w:color="auto"/>
                  </w:divBdr>
                </w:div>
                <w:div w:id="479154405">
                  <w:marLeft w:val="0"/>
                  <w:marRight w:val="0"/>
                  <w:marTop w:val="0"/>
                  <w:marBottom w:val="0"/>
                  <w:divBdr>
                    <w:top w:val="none" w:sz="0" w:space="0" w:color="auto"/>
                    <w:left w:val="none" w:sz="0" w:space="0" w:color="auto"/>
                    <w:bottom w:val="none" w:sz="0" w:space="0" w:color="auto"/>
                    <w:right w:val="none" w:sz="0" w:space="0" w:color="auto"/>
                  </w:divBdr>
                </w:div>
                <w:div w:id="496578800">
                  <w:marLeft w:val="0"/>
                  <w:marRight w:val="0"/>
                  <w:marTop w:val="0"/>
                  <w:marBottom w:val="0"/>
                  <w:divBdr>
                    <w:top w:val="none" w:sz="0" w:space="0" w:color="auto"/>
                    <w:left w:val="none" w:sz="0" w:space="0" w:color="auto"/>
                    <w:bottom w:val="none" w:sz="0" w:space="0" w:color="auto"/>
                    <w:right w:val="none" w:sz="0" w:space="0" w:color="auto"/>
                  </w:divBdr>
                </w:div>
                <w:div w:id="498080072">
                  <w:marLeft w:val="0"/>
                  <w:marRight w:val="0"/>
                  <w:marTop w:val="0"/>
                  <w:marBottom w:val="0"/>
                  <w:divBdr>
                    <w:top w:val="none" w:sz="0" w:space="0" w:color="auto"/>
                    <w:left w:val="none" w:sz="0" w:space="0" w:color="auto"/>
                    <w:bottom w:val="none" w:sz="0" w:space="0" w:color="auto"/>
                    <w:right w:val="none" w:sz="0" w:space="0" w:color="auto"/>
                  </w:divBdr>
                </w:div>
                <w:div w:id="523832707">
                  <w:marLeft w:val="0"/>
                  <w:marRight w:val="0"/>
                  <w:marTop w:val="0"/>
                  <w:marBottom w:val="0"/>
                  <w:divBdr>
                    <w:top w:val="none" w:sz="0" w:space="0" w:color="auto"/>
                    <w:left w:val="none" w:sz="0" w:space="0" w:color="auto"/>
                    <w:bottom w:val="none" w:sz="0" w:space="0" w:color="auto"/>
                    <w:right w:val="none" w:sz="0" w:space="0" w:color="auto"/>
                  </w:divBdr>
                </w:div>
                <w:div w:id="553127176">
                  <w:marLeft w:val="0"/>
                  <w:marRight w:val="0"/>
                  <w:marTop w:val="0"/>
                  <w:marBottom w:val="0"/>
                  <w:divBdr>
                    <w:top w:val="none" w:sz="0" w:space="0" w:color="auto"/>
                    <w:left w:val="none" w:sz="0" w:space="0" w:color="auto"/>
                    <w:bottom w:val="none" w:sz="0" w:space="0" w:color="auto"/>
                    <w:right w:val="none" w:sz="0" w:space="0" w:color="auto"/>
                  </w:divBdr>
                </w:div>
                <w:div w:id="587733930">
                  <w:marLeft w:val="0"/>
                  <w:marRight w:val="0"/>
                  <w:marTop w:val="0"/>
                  <w:marBottom w:val="0"/>
                  <w:divBdr>
                    <w:top w:val="none" w:sz="0" w:space="0" w:color="auto"/>
                    <w:left w:val="none" w:sz="0" w:space="0" w:color="auto"/>
                    <w:bottom w:val="none" w:sz="0" w:space="0" w:color="auto"/>
                    <w:right w:val="none" w:sz="0" w:space="0" w:color="auto"/>
                  </w:divBdr>
                </w:div>
                <w:div w:id="604307895">
                  <w:marLeft w:val="0"/>
                  <w:marRight w:val="0"/>
                  <w:marTop w:val="0"/>
                  <w:marBottom w:val="0"/>
                  <w:divBdr>
                    <w:top w:val="none" w:sz="0" w:space="0" w:color="auto"/>
                    <w:left w:val="none" w:sz="0" w:space="0" w:color="auto"/>
                    <w:bottom w:val="none" w:sz="0" w:space="0" w:color="auto"/>
                    <w:right w:val="none" w:sz="0" w:space="0" w:color="auto"/>
                  </w:divBdr>
                </w:div>
                <w:div w:id="711422494">
                  <w:marLeft w:val="0"/>
                  <w:marRight w:val="0"/>
                  <w:marTop w:val="0"/>
                  <w:marBottom w:val="0"/>
                  <w:divBdr>
                    <w:top w:val="none" w:sz="0" w:space="0" w:color="auto"/>
                    <w:left w:val="none" w:sz="0" w:space="0" w:color="auto"/>
                    <w:bottom w:val="none" w:sz="0" w:space="0" w:color="auto"/>
                    <w:right w:val="none" w:sz="0" w:space="0" w:color="auto"/>
                  </w:divBdr>
                </w:div>
                <w:div w:id="748771159">
                  <w:marLeft w:val="0"/>
                  <w:marRight w:val="0"/>
                  <w:marTop w:val="0"/>
                  <w:marBottom w:val="0"/>
                  <w:divBdr>
                    <w:top w:val="none" w:sz="0" w:space="0" w:color="auto"/>
                    <w:left w:val="none" w:sz="0" w:space="0" w:color="auto"/>
                    <w:bottom w:val="none" w:sz="0" w:space="0" w:color="auto"/>
                    <w:right w:val="none" w:sz="0" w:space="0" w:color="auto"/>
                  </w:divBdr>
                </w:div>
                <w:div w:id="774206797">
                  <w:marLeft w:val="0"/>
                  <w:marRight w:val="0"/>
                  <w:marTop w:val="0"/>
                  <w:marBottom w:val="0"/>
                  <w:divBdr>
                    <w:top w:val="none" w:sz="0" w:space="0" w:color="auto"/>
                    <w:left w:val="none" w:sz="0" w:space="0" w:color="auto"/>
                    <w:bottom w:val="none" w:sz="0" w:space="0" w:color="auto"/>
                    <w:right w:val="none" w:sz="0" w:space="0" w:color="auto"/>
                  </w:divBdr>
                </w:div>
                <w:div w:id="787352137">
                  <w:marLeft w:val="0"/>
                  <w:marRight w:val="0"/>
                  <w:marTop w:val="0"/>
                  <w:marBottom w:val="0"/>
                  <w:divBdr>
                    <w:top w:val="none" w:sz="0" w:space="0" w:color="auto"/>
                    <w:left w:val="none" w:sz="0" w:space="0" w:color="auto"/>
                    <w:bottom w:val="none" w:sz="0" w:space="0" w:color="auto"/>
                    <w:right w:val="none" w:sz="0" w:space="0" w:color="auto"/>
                  </w:divBdr>
                </w:div>
                <w:div w:id="800347665">
                  <w:marLeft w:val="0"/>
                  <w:marRight w:val="0"/>
                  <w:marTop w:val="0"/>
                  <w:marBottom w:val="0"/>
                  <w:divBdr>
                    <w:top w:val="none" w:sz="0" w:space="0" w:color="auto"/>
                    <w:left w:val="none" w:sz="0" w:space="0" w:color="auto"/>
                    <w:bottom w:val="none" w:sz="0" w:space="0" w:color="auto"/>
                    <w:right w:val="none" w:sz="0" w:space="0" w:color="auto"/>
                  </w:divBdr>
                </w:div>
                <w:div w:id="814906706">
                  <w:marLeft w:val="0"/>
                  <w:marRight w:val="0"/>
                  <w:marTop w:val="0"/>
                  <w:marBottom w:val="0"/>
                  <w:divBdr>
                    <w:top w:val="none" w:sz="0" w:space="0" w:color="auto"/>
                    <w:left w:val="none" w:sz="0" w:space="0" w:color="auto"/>
                    <w:bottom w:val="none" w:sz="0" w:space="0" w:color="auto"/>
                    <w:right w:val="none" w:sz="0" w:space="0" w:color="auto"/>
                  </w:divBdr>
                </w:div>
                <w:div w:id="835923242">
                  <w:marLeft w:val="0"/>
                  <w:marRight w:val="0"/>
                  <w:marTop w:val="0"/>
                  <w:marBottom w:val="0"/>
                  <w:divBdr>
                    <w:top w:val="none" w:sz="0" w:space="0" w:color="auto"/>
                    <w:left w:val="none" w:sz="0" w:space="0" w:color="auto"/>
                    <w:bottom w:val="none" w:sz="0" w:space="0" w:color="auto"/>
                    <w:right w:val="none" w:sz="0" w:space="0" w:color="auto"/>
                  </w:divBdr>
                </w:div>
                <w:div w:id="843320900">
                  <w:marLeft w:val="0"/>
                  <w:marRight w:val="0"/>
                  <w:marTop w:val="0"/>
                  <w:marBottom w:val="0"/>
                  <w:divBdr>
                    <w:top w:val="none" w:sz="0" w:space="0" w:color="auto"/>
                    <w:left w:val="none" w:sz="0" w:space="0" w:color="auto"/>
                    <w:bottom w:val="none" w:sz="0" w:space="0" w:color="auto"/>
                    <w:right w:val="none" w:sz="0" w:space="0" w:color="auto"/>
                  </w:divBdr>
                </w:div>
                <w:div w:id="921331074">
                  <w:marLeft w:val="0"/>
                  <w:marRight w:val="0"/>
                  <w:marTop w:val="0"/>
                  <w:marBottom w:val="0"/>
                  <w:divBdr>
                    <w:top w:val="none" w:sz="0" w:space="0" w:color="auto"/>
                    <w:left w:val="none" w:sz="0" w:space="0" w:color="auto"/>
                    <w:bottom w:val="none" w:sz="0" w:space="0" w:color="auto"/>
                    <w:right w:val="none" w:sz="0" w:space="0" w:color="auto"/>
                  </w:divBdr>
                </w:div>
                <w:div w:id="934286433">
                  <w:marLeft w:val="0"/>
                  <w:marRight w:val="0"/>
                  <w:marTop w:val="0"/>
                  <w:marBottom w:val="0"/>
                  <w:divBdr>
                    <w:top w:val="none" w:sz="0" w:space="0" w:color="auto"/>
                    <w:left w:val="none" w:sz="0" w:space="0" w:color="auto"/>
                    <w:bottom w:val="none" w:sz="0" w:space="0" w:color="auto"/>
                    <w:right w:val="none" w:sz="0" w:space="0" w:color="auto"/>
                  </w:divBdr>
                </w:div>
                <w:div w:id="1096360886">
                  <w:marLeft w:val="0"/>
                  <w:marRight w:val="0"/>
                  <w:marTop w:val="0"/>
                  <w:marBottom w:val="0"/>
                  <w:divBdr>
                    <w:top w:val="none" w:sz="0" w:space="0" w:color="auto"/>
                    <w:left w:val="none" w:sz="0" w:space="0" w:color="auto"/>
                    <w:bottom w:val="none" w:sz="0" w:space="0" w:color="auto"/>
                    <w:right w:val="none" w:sz="0" w:space="0" w:color="auto"/>
                  </w:divBdr>
                </w:div>
                <w:div w:id="1144081285">
                  <w:marLeft w:val="0"/>
                  <w:marRight w:val="0"/>
                  <w:marTop w:val="0"/>
                  <w:marBottom w:val="0"/>
                  <w:divBdr>
                    <w:top w:val="none" w:sz="0" w:space="0" w:color="auto"/>
                    <w:left w:val="none" w:sz="0" w:space="0" w:color="auto"/>
                    <w:bottom w:val="none" w:sz="0" w:space="0" w:color="auto"/>
                    <w:right w:val="none" w:sz="0" w:space="0" w:color="auto"/>
                  </w:divBdr>
                </w:div>
                <w:div w:id="1174302233">
                  <w:marLeft w:val="0"/>
                  <w:marRight w:val="0"/>
                  <w:marTop w:val="0"/>
                  <w:marBottom w:val="0"/>
                  <w:divBdr>
                    <w:top w:val="none" w:sz="0" w:space="0" w:color="auto"/>
                    <w:left w:val="none" w:sz="0" w:space="0" w:color="auto"/>
                    <w:bottom w:val="none" w:sz="0" w:space="0" w:color="auto"/>
                    <w:right w:val="none" w:sz="0" w:space="0" w:color="auto"/>
                  </w:divBdr>
                </w:div>
                <w:div w:id="1202133390">
                  <w:marLeft w:val="0"/>
                  <w:marRight w:val="0"/>
                  <w:marTop w:val="0"/>
                  <w:marBottom w:val="0"/>
                  <w:divBdr>
                    <w:top w:val="none" w:sz="0" w:space="0" w:color="auto"/>
                    <w:left w:val="none" w:sz="0" w:space="0" w:color="auto"/>
                    <w:bottom w:val="none" w:sz="0" w:space="0" w:color="auto"/>
                    <w:right w:val="none" w:sz="0" w:space="0" w:color="auto"/>
                  </w:divBdr>
                </w:div>
                <w:div w:id="1267230879">
                  <w:marLeft w:val="0"/>
                  <w:marRight w:val="0"/>
                  <w:marTop w:val="0"/>
                  <w:marBottom w:val="0"/>
                  <w:divBdr>
                    <w:top w:val="none" w:sz="0" w:space="0" w:color="auto"/>
                    <w:left w:val="none" w:sz="0" w:space="0" w:color="auto"/>
                    <w:bottom w:val="none" w:sz="0" w:space="0" w:color="auto"/>
                    <w:right w:val="none" w:sz="0" w:space="0" w:color="auto"/>
                  </w:divBdr>
                </w:div>
                <w:div w:id="1388723326">
                  <w:marLeft w:val="0"/>
                  <w:marRight w:val="0"/>
                  <w:marTop w:val="0"/>
                  <w:marBottom w:val="0"/>
                  <w:divBdr>
                    <w:top w:val="none" w:sz="0" w:space="0" w:color="auto"/>
                    <w:left w:val="none" w:sz="0" w:space="0" w:color="auto"/>
                    <w:bottom w:val="none" w:sz="0" w:space="0" w:color="auto"/>
                    <w:right w:val="none" w:sz="0" w:space="0" w:color="auto"/>
                  </w:divBdr>
                </w:div>
                <w:div w:id="1485970334">
                  <w:marLeft w:val="0"/>
                  <w:marRight w:val="0"/>
                  <w:marTop w:val="0"/>
                  <w:marBottom w:val="0"/>
                  <w:divBdr>
                    <w:top w:val="none" w:sz="0" w:space="0" w:color="auto"/>
                    <w:left w:val="none" w:sz="0" w:space="0" w:color="auto"/>
                    <w:bottom w:val="none" w:sz="0" w:space="0" w:color="auto"/>
                    <w:right w:val="none" w:sz="0" w:space="0" w:color="auto"/>
                  </w:divBdr>
                </w:div>
                <w:div w:id="1499883857">
                  <w:marLeft w:val="0"/>
                  <w:marRight w:val="0"/>
                  <w:marTop w:val="0"/>
                  <w:marBottom w:val="0"/>
                  <w:divBdr>
                    <w:top w:val="none" w:sz="0" w:space="0" w:color="auto"/>
                    <w:left w:val="none" w:sz="0" w:space="0" w:color="auto"/>
                    <w:bottom w:val="none" w:sz="0" w:space="0" w:color="auto"/>
                    <w:right w:val="none" w:sz="0" w:space="0" w:color="auto"/>
                  </w:divBdr>
                </w:div>
                <w:div w:id="1511526382">
                  <w:marLeft w:val="0"/>
                  <w:marRight w:val="0"/>
                  <w:marTop w:val="0"/>
                  <w:marBottom w:val="0"/>
                  <w:divBdr>
                    <w:top w:val="none" w:sz="0" w:space="0" w:color="auto"/>
                    <w:left w:val="none" w:sz="0" w:space="0" w:color="auto"/>
                    <w:bottom w:val="none" w:sz="0" w:space="0" w:color="auto"/>
                    <w:right w:val="none" w:sz="0" w:space="0" w:color="auto"/>
                  </w:divBdr>
                </w:div>
                <w:div w:id="1532842956">
                  <w:marLeft w:val="0"/>
                  <w:marRight w:val="0"/>
                  <w:marTop w:val="0"/>
                  <w:marBottom w:val="0"/>
                  <w:divBdr>
                    <w:top w:val="none" w:sz="0" w:space="0" w:color="auto"/>
                    <w:left w:val="none" w:sz="0" w:space="0" w:color="auto"/>
                    <w:bottom w:val="none" w:sz="0" w:space="0" w:color="auto"/>
                    <w:right w:val="none" w:sz="0" w:space="0" w:color="auto"/>
                  </w:divBdr>
                </w:div>
                <w:div w:id="1544512166">
                  <w:marLeft w:val="0"/>
                  <w:marRight w:val="0"/>
                  <w:marTop w:val="0"/>
                  <w:marBottom w:val="0"/>
                  <w:divBdr>
                    <w:top w:val="none" w:sz="0" w:space="0" w:color="auto"/>
                    <w:left w:val="none" w:sz="0" w:space="0" w:color="auto"/>
                    <w:bottom w:val="none" w:sz="0" w:space="0" w:color="auto"/>
                    <w:right w:val="none" w:sz="0" w:space="0" w:color="auto"/>
                  </w:divBdr>
                </w:div>
                <w:div w:id="1563101048">
                  <w:marLeft w:val="0"/>
                  <w:marRight w:val="0"/>
                  <w:marTop w:val="0"/>
                  <w:marBottom w:val="0"/>
                  <w:divBdr>
                    <w:top w:val="none" w:sz="0" w:space="0" w:color="auto"/>
                    <w:left w:val="none" w:sz="0" w:space="0" w:color="auto"/>
                    <w:bottom w:val="none" w:sz="0" w:space="0" w:color="auto"/>
                    <w:right w:val="none" w:sz="0" w:space="0" w:color="auto"/>
                  </w:divBdr>
                </w:div>
                <w:div w:id="1578049625">
                  <w:marLeft w:val="0"/>
                  <w:marRight w:val="0"/>
                  <w:marTop w:val="0"/>
                  <w:marBottom w:val="0"/>
                  <w:divBdr>
                    <w:top w:val="none" w:sz="0" w:space="0" w:color="auto"/>
                    <w:left w:val="none" w:sz="0" w:space="0" w:color="auto"/>
                    <w:bottom w:val="none" w:sz="0" w:space="0" w:color="auto"/>
                    <w:right w:val="none" w:sz="0" w:space="0" w:color="auto"/>
                  </w:divBdr>
                </w:div>
                <w:div w:id="1580210130">
                  <w:marLeft w:val="0"/>
                  <w:marRight w:val="0"/>
                  <w:marTop w:val="0"/>
                  <w:marBottom w:val="0"/>
                  <w:divBdr>
                    <w:top w:val="none" w:sz="0" w:space="0" w:color="auto"/>
                    <w:left w:val="none" w:sz="0" w:space="0" w:color="auto"/>
                    <w:bottom w:val="none" w:sz="0" w:space="0" w:color="auto"/>
                    <w:right w:val="none" w:sz="0" w:space="0" w:color="auto"/>
                  </w:divBdr>
                </w:div>
                <w:div w:id="1582981812">
                  <w:marLeft w:val="0"/>
                  <w:marRight w:val="0"/>
                  <w:marTop w:val="0"/>
                  <w:marBottom w:val="0"/>
                  <w:divBdr>
                    <w:top w:val="none" w:sz="0" w:space="0" w:color="auto"/>
                    <w:left w:val="none" w:sz="0" w:space="0" w:color="auto"/>
                    <w:bottom w:val="none" w:sz="0" w:space="0" w:color="auto"/>
                    <w:right w:val="none" w:sz="0" w:space="0" w:color="auto"/>
                  </w:divBdr>
                </w:div>
                <w:div w:id="1651127655">
                  <w:marLeft w:val="0"/>
                  <w:marRight w:val="0"/>
                  <w:marTop w:val="0"/>
                  <w:marBottom w:val="0"/>
                  <w:divBdr>
                    <w:top w:val="none" w:sz="0" w:space="0" w:color="auto"/>
                    <w:left w:val="none" w:sz="0" w:space="0" w:color="auto"/>
                    <w:bottom w:val="none" w:sz="0" w:space="0" w:color="auto"/>
                    <w:right w:val="none" w:sz="0" w:space="0" w:color="auto"/>
                  </w:divBdr>
                </w:div>
                <w:div w:id="1762870132">
                  <w:marLeft w:val="0"/>
                  <w:marRight w:val="0"/>
                  <w:marTop w:val="0"/>
                  <w:marBottom w:val="0"/>
                  <w:divBdr>
                    <w:top w:val="none" w:sz="0" w:space="0" w:color="auto"/>
                    <w:left w:val="none" w:sz="0" w:space="0" w:color="auto"/>
                    <w:bottom w:val="none" w:sz="0" w:space="0" w:color="auto"/>
                    <w:right w:val="none" w:sz="0" w:space="0" w:color="auto"/>
                  </w:divBdr>
                </w:div>
                <w:div w:id="1820421207">
                  <w:marLeft w:val="0"/>
                  <w:marRight w:val="0"/>
                  <w:marTop w:val="0"/>
                  <w:marBottom w:val="0"/>
                  <w:divBdr>
                    <w:top w:val="none" w:sz="0" w:space="0" w:color="auto"/>
                    <w:left w:val="none" w:sz="0" w:space="0" w:color="auto"/>
                    <w:bottom w:val="none" w:sz="0" w:space="0" w:color="auto"/>
                    <w:right w:val="none" w:sz="0" w:space="0" w:color="auto"/>
                  </w:divBdr>
                </w:div>
                <w:div w:id="1827285275">
                  <w:marLeft w:val="0"/>
                  <w:marRight w:val="0"/>
                  <w:marTop w:val="0"/>
                  <w:marBottom w:val="0"/>
                  <w:divBdr>
                    <w:top w:val="none" w:sz="0" w:space="0" w:color="auto"/>
                    <w:left w:val="none" w:sz="0" w:space="0" w:color="auto"/>
                    <w:bottom w:val="none" w:sz="0" w:space="0" w:color="auto"/>
                    <w:right w:val="none" w:sz="0" w:space="0" w:color="auto"/>
                  </w:divBdr>
                </w:div>
                <w:div w:id="1877280214">
                  <w:marLeft w:val="0"/>
                  <w:marRight w:val="0"/>
                  <w:marTop w:val="0"/>
                  <w:marBottom w:val="0"/>
                  <w:divBdr>
                    <w:top w:val="none" w:sz="0" w:space="0" w:color="auto"/>
                    <w:left w:val="none" w:sz="0" w:space="0" w:color="auto"/>
                    <w:bottom w:val="none" w:sz="0" w:space="0" w:color="auto"/>
                    <w:right w:val="none" w:sz="0" w:space="0" w:color="auto"/>
                  </w:divBdr>
                </w:div>
                <w:div w:id="1937128970">
                  <w:marLeft w:val="0"/>
                  <w:marRight w:val="0"/>
                  <w:marTop w:val="0"/>
                  <w:marBottom w:val="0"/>
                  <w:divBdr>
                    <w:top w:val="none" w:sz="0" w:space="0" w:color="auto"/>
                    <w:left w:val="none" w:sz="0" w:space="0" w:color="auto"/>
                    <w:bottom w:val="none" w:sz="0" w:space="0" w:color="auto"/>
                    <w:right w:val="none" w:sz="0" w:space="0" w:color="auto"/>
                  </w:divBdr>
                </w:div>
                <w:div w:id="2007705185">
                  <w:marLeft w:val="0"/>
                  <w:marRight w:val="0"/>
                  <w:marTop w:val="0"/>
                  <w:marBottom w:val="0"/>
                  <w:divBdr>
                    <w:top w:val="none" w:sz="0" w:space="0" w:color="auto"/>
                    <w:left w:val="none" w:sz="0" w:space="0" w:color="auto"/>
                    <w:bottom w:val="none" w:sz="0" w:space="0" w:color="auto"/>
                    <w:right w:val="none" w:sz="0" w:space="0" w:color="auto"/>
                  </w:divBdr>
                </w:div>
                <w:div w:id="2019304779">
                  <w:marLeft w:val="0"/>
                  <w:marRight w:val="0"/>
                  <w:marTop w:val="0"/>
                  <w:marBottom w:val="0"/>
                  <w:divBdr>
                    <w:top w:val="none" w:sz="0" w:space="0" w:color="auto"/>
                    <w:left w:val="none" w:sz="0" w:space="0" w:color="auto"/>
                    <w:bottom w:val="none" w:sz="0" w:space="0" w:color="auto"/>
                    <w:right w:val="none" w:sz="0" w:space="0" w:color="auto"/>
                  </w:divBdr>
                </w:div>
                <w:div w:id="20974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999848">
      <w:bodyDiv w:val="1"/>
      <w:marLeft w:val="0"/>
      <w:marRight w:val="0"/>
      <w:marTop w:val="0"/>
      <w:marBottom w:val="0"/>
      <w:divBdr>
        <w:top w:val="none" w:sz="0" w:space="0" w:color="auto"/>
        <w:left w:val="none" w:sz="0" w:space="0" w:color="auto"/>
        <w:bottom w:val="none" w:sz="0" w:space="0" w:color="auto"/>
        <w:right w:val="none" w:sz="0" w:space="0" w:color="auto"/>
      </w:divBdr>
    </w:div>
    <w:div w:id="2058577516">
      <w:bodyDiv w:val="1"/>
      <w:marLeft w:val="0"/>
      <w:marRight w:val="0"/>
      <w:marTop w:val="0"/>
      <w:marBottom w:val="0"/>
      <w:divBdr>
        <w:top w:val="none" w:sz="0" w:space="0" w:color="auto"/>
        <w:left w:val="none" w:sz="0" w:space="0" w:color="auto"/>
        <w:bottom w:val="none" w:sz="0" w:space="0" w:color="auto"/>
        <w:right w:val="none" w:sz="0" w:space="0" w:color="auto"/>
      </w:divBdr>
    </w:div>
    <w:div w:id="2075229487">
      <w:bodyDiv w:val="1"/>
      <w:marLeft w:val="0"/>
      <w:marRight w:val="0"/>
      <w:marTop w:val="0"/>
      <w:marBottom w:val="0"/>
      <w:divBdr>
        <w:top w:val="none" w:sz="0" w:space="0" w:color="auto"/>
        <w:left w:val="none" w:sz="0" w:space="0" w:color="auto"/>
        <w:bottom w:val="none" w:sz="0" w:space="0" w:color="auto"/>
        <w:right w:val="none" w:sz="0" w:space="0" w:color="auto"/>
      </w:divBdr>
      <w:divsChild>
        <w:div w:id="401686573">
          <w:marLeft w:val="0"/>
          <w:marRight w:val="0"/>
          <w:marTop w:val="15"/>
          <w:marBottom w:val="0"/>
          <w:divBdr>
            <w:top w:val="none" w:sz="0" w:space="0" w:color="auto"/>
            <w:left w:val="none" w:sz="0" w:space="0" w:color="auto"/>
            <w:bottom w:val="none" w:sz="0" w:space="0" w:color="auto"/>
            <w:right w:val="none" w:sz="0" w:space="0" w:color="auto"/>
          </w:divBdr>
          <w:divsChild>
            <w:div w:id="688800089">
              <w:marLeft w:val="0"/>
              <w:marRight w:val="0"/>
              <w:marTop w:val="0"/>
              <w:marBottom w:val="0"/>
              <w:divBdr>
                <w:top w:val="none" w:sz="0" w:space="0" w:color="auto"/>
                <w:left w:val="none" w:sz="0" w:space="0" w:color="auto"/>
                <w:bottom w:val="none" w:sz="0" w:space="0" w:color="auto"/>
                <w:right w:val="none" w:sz="0" w:space="0" w:color="auto"/>
              </w:divBdr>
              <w:divsChild>
                <w:div w:id="251790218">
                  <w:marLeft w:val="0"/>
                  <w:marRight w:val="0"/>
                  <w:marTop w:val="0"/>
                  <w:marBottom w:val="0"/>
                  <w:divBdr>
                    <w:top w:val="none" w:sz="0" w:space="0" w:color="auto"/>
                    <w:left w:val="none" w:sz="0" w:space="0" w:color="auto"/>
                    <w:bottom w:val="none" w:sz="0" w:space="0" w:color="auto"/>
                    <w:right w:val="none" w:sz="0" w:space="0" w:color="auto"/>
                  </w:divBdr>
                </w:div>
                <w:div w:id="387464181">
                  <w:marLeft w:val="0"/>
                  <w:marRight w:val="0"/>
                  <w:marTop w:val="0"/>
                  <w:marBottom w:val="0"/>
                  <w:divBdr>
                    <w:top w:val="none" w:sz="0" w:space="0" w:color="auto"/>
                    <w:left w:val="none" w:sz="0" w:space="0" w:color="auto"/>
                    <w:bottom w:val="none" w:sz="0" w:space="0" w:color="auto"/>
                    <w:right w:val="none" w:sz="0" w:space="0" w:color="auto"/>
                  </w:divBdr>
                </w:div>
                <w:div w:id="638263081">
                  <w:marLeft w:val="0"/>
                  <w:marRight w:val="0"/>
                  <w:marTop w:val="0"/>
                  <w:marBottom w:val="0"/>
                  <w:divBdr>
                    <w:top w:val="none" w:sz="0" w:space="0" w:color="auto"/>
                    <w:left w:val="none" w:sz="0" w:space="0" w:color="auto"/>
                    <w:bottom w:val="none" w:sz="0" w:space="0" w:color="auto"/>
                    <w:right w:val="none" w:sz="0" w:space="0" w:color="auto"/>
                  </w:divBdr>
                </w:div>
                <w:div w:id="895624889">
                  <w:marLeft w:val="0"/>
                  <w:marRight w:val="0"/>
                  <w:marTop w:val="0"/>
                  <w:marBottom w:val="0"/>
                  <w:divBdr>
                    <w:top w:val="none" w:sz="0" w:space="0" w:color="auto"/>
                    <w:left w:val="none" w:sz="0" w:space="0" w:color="auto"/>
                    <w:bottom w:val="none" w:sz="0" w:space="0" w:color="auto"/>
                    <w:right w:val="none" w:sz="0" w:space="0" w:color="auto"/>
                  </w:divBdr>
                </w:div>
                <w:div w:id="1032612695">
                  <w:marLeft w:val="0"/>
                  <w:marRight w:val="0"/>
                  <w:marTop w:val="0"/>
                  <w:marBottom w:val="0"/>
                  <w:divBdr>
                    <w:top w:val="none" w:sz="0" w:space="0" w:color="auto"/>
                    <w:left w:val="none" w:sz="0" w:space="0" w:color="auto"/>
                    <w:bottom w:val="none" w:sz="0" w:space="0" w:color="auto"/>
                    <w:right w:val="none" w:sz="0" w:space="0" w:color="auto"/>
                  </w:divBdr>
                </w:div>
                <w:div w:id="1039551027">
                  <w:marLeft w:val="0"/>
                  <w:marRight w:val="0"/>
                  <w:marTop w:val="0"/>
                  <w:marBottom w:val="0"/>
                  <w:divBdr>
                    <w:top w:val="none" w:sz="0" w:space="0" w:color="auto"/>
                    <w:left w:val="none" w:sz="0" w:space="0" w:color="auto"/>
                    <w:bottom w:val="none" w:sz="0" w:space="0" w:color="auto"/>
                    <w:right w:val="none" w:sz="0" w:space="0" w:color="auto"/>
                  </w:divBdr>
                </w:div>
                <w:div w:id="1315640037">
                  <w:marLeft w:val="0"/>
                  <w:marRight w:val="0"/>
                  <w:marTop w:val="0"/>
                  <w:marBottom w:val="0"/>
                  <w:divBdr>
                    <w:top w:val="none" w:sz="0" w:space="0" w:color="auto"/>
                    <w:left w:val="none" w:sz="0" w:space="0" w:color="auto"/>
                    <w:bottom w:val="none" w:sz="0" w:space="0" w:color="auto"/>
                    <w:right w:val="none" w:sz="0" w:space="0" w:color="auto"/>
                  </w:divBdr>
                </w:div>
                <w:div w:id="1945765378">
                  <w:marLeft w:val="0"/>
                  <w:marRight w:val="0"/>
                  <w:marTop w:val="0"/>
                  <w:marBottom w:val="0"/>
                  <w:divBdr>
                    <w:top w:val="none" w:sz="0" w:space="0" w:color="auto"/>
                    <w:left w:val="none" w:sz="0" w:space="0" w:color="auto"/>
                    <w:bottom w:val="none" w:sz="0" w:space="0" w:color="auto"/>
                    <w:right w:val="none" w:sz="0" w:space="0" w:color="auto"/>
                  </w:divBdr>
                </w:div>
                <w:div w:id="1970624736">
                  <w:marLeft w:val="0"/>
                  <w:marRight w:val="0"/>
                  <w:marTop w:val="0"/>
                  <w:marBottom w:val="0"/>
                  <w:divBdr>
                    <w:top w:val="none" w:sz="0" w:space="0" w:color="auto"/>
                    <w:left w:val="none" w:sz="0" w:space="0" w:color="auto"/>
                    <w:bottom w:val="none" w:sz="0" w:space="0" w:color="auto"/>
                    <w:right w:val="none" w:sz="0" w:space="0" w:color="auto"/>
                  </w:divBdr>
                </w:div>
                <w:div w:id="208745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1349">
          <w:marLeft w:val="0"/>
          <w:marRight w:val="0"/>
          <w:marTop w:val="15"/>
          <w:marBottom w:val="0"/>
          <w:divBdr>
            <w:top w:val="none" w:sz="0" w:space="0" w:color="auto"/>
            <w:left w:val="none" w:sz="0" w:space="0" w:color="auto"/>
            <w:bottom w:val="none" w:sz="0" w:space="0" w:color="auto"/>
            <w:right w:val="none" w:sz="0" w:space="0" w:color="auto"/>
          </w:divBdr>
          <w:divsChild>
            <w:div w:id="1574773551">
              <w:marLeft w:val="0"/>
              <w:marRight w:val="0"/>
              <w:marTop w:val="0"/>
              <w:marBottom w:val="0"/>
              <w:divBdr>
                <w:top w:val="none" w:sz="0" w:space="0" w:color="auto"/>
                <w:left w:val="none" w:sz="0" w:space="0" w:color="auto"/>
                <w:bottom w:val="none" w:sz="0" w:space="0" w:color="auto"/>
                <w:right w:val="none" w:sz="0" w:space="0" w:color="auto"/>
              </w:divBdr>
              <w:divsChild>
                <w:div w:id="166746908">
                  <w:marLeft w:val="0"/>
                  <w:marRight w:val="0"/>
                  <w:marTop w:val="0"/>
                  <w:marBottom w:val="0"/>
                  <w:divBdr>
                    <w:top w:val="none" w:sz="0" w:space="0" w:color="auto"/>
                    <w:left w:val="none" w:sz="0" w:space="0" w:color="auto"/>
                    <w:bottom w:val="none" w:sz="0" w:space="0" w:color="auto"/>
                    <w:right w:val="none" w:sz="0" w:space="0" w:color="auto"/>
                  </w:divBdr>
                </w:div>
                <w:div w:id="291328602">
                  <w:marLeft w:val="0"/>
                  <w:marRight w:val="0"/>
                  <w:marTop w:val="0"/>
                  <w:marBottom w:val="0"/>
                  <w:divBdr>
                    <w:top w:val="none" w:sz="0" w:space="0" w:color="auto"/>
                    <w:left w:val="none" w:sz="0" w:space="0" w:color="auto"/>
                    <w:bottom w:val="none" w:sz="0" w:space="0" w:color="auto"/>
                    <w:right w:val="none" w:sz="0" w:space="0" w:color="auto"/>
                  </w:divBdr>
                </w:div>
                <w:div w:id="293603494">
                  <w:marLeft w:val="0"/>
                  <w:marRight w:val="0"/>
                  <w:marTop w:val="0"/>
                  <w:marBottom w:val="0"/>
                  <w:divBdr>
                    <w:top w:val="none" w:sz="0" w:space="0" w:color="auto"/>
                    <w:left w:val="none" w:sz="0" w:space="0" w:color="auto"/>
                    <w:bottom w:val="none" w:sz="0" w:space="0" w:color="auto"/>
                    <w:right w:val="none" w:sz="0" w:space="0" w:color="auto"/>
                  </w:divBdr>
                </w:div>
                <w:div w:id="360208329">
                  <w:marLeft w:val="0"/>
                  <w:marRight w:val="0"/>
                  <w:marTop w:val="0"/>
                  <w:marBottom w:val="0"/>
                  <w:divBdr>
                    <w:top w:val="none" w:sz="0" w:space="0" w:color="auto"/>
                    <w:left w:val="none" w:sz="0" w:space="0" w:color="auto"/>
                    <w:bottom w:val="none" w:sz="0" w:space="0" w:color="auto"/>
                    <w:right w:val="none" w:sz="0" w:space="0" w:color="auto"/>
                  </w:divBdr>
                </w:div>
                <w:div w:id="491532977">
                  <w:marLeft w:val="0"/>
                  <w:marRight w:val="0"/>
                  <w:marTop w:val="0"/>
                  <w:marBottom w:val="0"/>
                  <w:divBdr>
                    <w:top w:val="none" w:sz="0" w:space="0" w:color="auto"/>
                    <w:left w:val="none" w:sz="0" w:space="0" w:color="auto"/>
                    <w:bottom w:val="none" w:sz="0" w:space="0" w:color="auto"/>
                    <w:right w:val="none" w:sz="0" w:space="0" w:color="auto"/>
                  </w:divBdr>
                </w:div>
                <w:div w:id="496922942">
                  <w:marLeft w:val="0"/>
                  <w:marRight w:val="0"/>
                  <w:marTop w:val="0"/>
                  <w:marBottom w:val="0"/>
                  <w:divBdr>
                    <w:top w:val="none" w:sz="0" w:space="0" w:color="auto"/>
                    <w:left w:val="none" w:sz="0" w:space="0" w:color="auto"/>
                    <w:bottom w:val="none" w:sz="0" w:space="0" w:color="auto"/>
                    <w:right w:val="none" w:sz="0" w:space="0" w:color="auto"/>
                  </w:divBdr>
                </w:div>
                <w:div w:id="609436101">
                  <w:marLeft w:val="0"/>
                  <w:marRight w:val="0"/>
                  <w:marTop w:val="0"/>
                  <w:marBottom w:val="0"/>
                  <w:divBdr>
                    <w:top w:val="none" w:sz="0" w:space="0" w:color="auto"/>
                    <w:left w:val="none" w:sz="0" w:space="0" w:color="auto"/>
                    <w:bottom w:val="none" w:sz="0" w:space="0" w:color="auto"/>
                    <w:right w:val="none" w:sz="0" w:space="0" w:color="auto"/>
                  </w:divBdr>
                </w:div>
                <w:div w:id="858008359">
                  <w:marLeft w:val="0"/>
                  <w:marRight w:val="0"/>
                  <w:marTop w:val="0"/>
                  <w:marBottom w:val="0"/>
                  <w:divBdr>
                    <w:top w:val="none" w:sz="0" w:space="0" w:color="auto"/>
                    <w:left w:val="none" w:sz="0" w:space="0" w:color="auto"/>
                    <w:bottom w:val="none" w:sz="0" w:space="0" w:color="auto"/>
                    <w:right w:val="none" w:sz="0" w:space="0" w:color="auto"/>
                  </w:divBdr>
                </w:div>
                <w:div w:id="891312569">
                  <w:marLeft w:val="0"/>
                  <w:marRight w:val="0"/>
                  <w:marTop w:val="0"/>
                  <w:marBottom w:val="0"/>
                  <w:divBdr>
                    <w:top w:val="none" w:sz="0" w:space="0" w:color="auto"/>
                    <w:left w:val="none" w:sz="0" w:space="0" w:color="auto"/>
                    <w:bottom w:val="none" w:sz="0" w:space="0" w:color="auto"/>
                    <w:right w:val="none" w:sz="0" w:space="0" w:color="auto"/>
                  </w:divBdr>
                </w:div>
                <w:div w:id="943809254">
                  <w:marLeft w:val="0"/>
                  <w:marRight w:val="0"/>
                  <w:marTop w:val="0"/>
                  <w:marBottom w:val="0"/>
                  <w:divBdr>
                    <w:top w:val="none" w:sz="0" w:space="0" w:color="auto"/>
                    <w:left w:val="none" w:sz="0" w:space="0" w:color="auto"/>
                    <w:bottom w:val="none" w:sz="0" w:space="0" w:color="auto"/>
                    <w:right w:val="none" w:sz="0" w:space="0" w:color="auto"/>
                  </w:divBdr>
                </w:div>
                <w:div w:id="991710909">
                  <w:marLeft w:val="0"/>
                  <w:marRight w:val="0"/>
                  <w:marTop w:val="0"/>
                  <w:marBottom w:val="0"/>
                  <w:divBdr>
                    <w:top w:val="none" w:sz="0" w:space="0" w:color="auto"/>
                    <w:left w:val="none" w:sz="0" w:space="0" w:color="auto"/>
                    <w:bottom w:val="none" w:sz="0" w:space="0" w:color="auto"/>
                    <w:right w:val="none" w:sz="0" w:space="0" w:color="auto"/>
                  </w:divBdr>
                </w:div>
                <w:div w:id="1132988607">
                  <w:marLeft w:val="0"/>
                  <w:marRight w:val="0"/>
                  <w:marTop w:val="0"/>
                  <w:marBottom w:val="0"/>
                  <w:divBdr>
                    <w:top w:val="none" w:sz="0" w:space="0" w:color="auto"/>
                    <w:left w:val="none" w:sz="0" w:space="0" w:color="auto"/>
                    <w:bottom w:val="none" w:sz="0" w:space="0" w:color="auto"/>
                    <w:right w:val="none" w:sz="0" w:space="0" w:color="auto"/>
                  </w:divBdr>
                </w:div>
                <w:div w:id="1212958148">
                  <w:marLeft w:val="0"/>
                  <w:marRight w:val="0"/>
                  <w:marTop w:val="0"/>
                  <w:marBottom w:val="0"/>
                  <w:divBdr>
                    <w:top w:val="none" w:sz="0" w:space="0" w:color="auto"/>
                    <w:left w:val="none" w:sz="0" w:space="0" w:color="auto"/>
                    <w:bottom w:val="none" w:sz="0" w:space="0" w:color="auto"/>
                    <w:right w:val="none" w:sz="0" w:space="0" w:color="auto"/>
                  </w:divBdr>
                </w:div>
                <w:div w:id="1248273509">
                  <w:marLeft w:val="0"/>
                  <w:marRight w:val="0"/>
                  <w:marTop w:val="0"/>
                  <w:marBottom w:val="0"/>
                  <w:divBdr>
                    <w:top w:val="none" w:sz="0" w:space="0" w:color="auto"/>
                    <w:left w:val="none" w:sz="0" w:space="0" w:color="auto"/>
                    <w:bottom w:val="none" w:sz="0" w:space="0" w:color="auto"/>
                    <w:right w:val="none" w:sz="0" w:space="0" w:color="auto"/>
                  </w:divBdr>
                </w:div>
                <w:div w:id="1284769340">
                  <w:marLeft w:val="0"/>
                  <w:marRight w:val="0"/>
                  <w:marTop w:val="0"/>
                  <w:marBottom w:val="0"/>
                  <w:divBdr>
                    <w:top w:val="none" w:sz="0" w:space="0" w:color="auto"/>
                    <w:left w:val="none" w:sz="0" w:space="0" w:color="auto"/>
                    <w:bottom w:val="none" w:sz="0" w:space="0" w:color="auto"/>
                    <w:right w:val="none" w:sz="0" w:space="0" w:color="auto"/>
                  </w:divBdr>
                </w:div>
                <w:div w:id="1317150182">
                  <w:marLeft w:val="0"/>
                  <w:marRight w:val="0"/>
                  <w:marTop w:val="0"/>
                  <w:marBottom w:val="0"/>
                  <w:divBdr>
                    <w:top w:val="none" w:sz="0" w:space="0" w:color="auto"/>
                    <w:left w:val="none" w:sz="0" w:space="0" w:color="auto"/>
                    <w:bottom w:val="none" w:sz="0" w:space="0" w:color="auto"/>
                    <w:right w:val="none" w:sz="0" w:space="0" w:color="auto"/>
                  </w:divBdr>
                </w:div>
                <w:div w:id="1452632195">
                  <w:marLeft w:val="0"/>
                  <w:marRight w:val="0"/>
                  <w:marTop w:val="0"/>
                  <w:marBottom w:val="0"/>
                  <w:divBdr>
                    <w:top w:val="none" w:sz="0" w:space="0" w:color="auto"/>
                    <w:left w:val="none" w:sz="0" w:space="0" w:color="auto"/>
                    <w:bottom w:val="none" w:sz="0" w:space="0" w:color="auto"/>
                    <w:right w:val="none" w:sz="0" w:space="0" w:color="auto"/>
                  </w:divBdr>
                </w:div>
                <w:div w:id="1454787593">
                  <w:marLeft w:val="0"/>
                  <w:marRight w:val="0"/>
                  <w:marTop w:val="0"/>
                  <w:marBottom w:val="0"/>
                  <w:divBdr>
                    <w:top w:val="none" w:sz="0" w:space="0" w:color="auto"/>
                    <w:left w:val="none" w:sz="0" w:space="0" w:color="auto"/>
                    <w:bottom w:val="none" w:sz="0" w:space="0" w:color="auto"/>
                    <w:right w:val="none" w:sz="0" w:space="0" w:color="auto"/>
                  </w:divBdr>
                </w:div>
                <w:div w:id="1582639352">
                  <w:marLeft w:val="0"/>
                  <w:marRight w:val="0"/>
                  <w:marTop w:val="0"/>
                  <w:marBottom w:val="0"/>
                  <w:divBdr>
                    <w:top w:val="none" w:sz="0" w:space="0" w:color="auto"/>
                    <w:left w:val="none" w:sz="0" w:space="0" w:color="auto"/>
                    <w:bottom w:val="none" w:sz="0" w:space="0" w:color="auto"/>
                    <w:right w:val="none" w:sz="0" w:space="0" w:color="auto"/>
                  </w:divBdr>
                </w:div>
                <w:div w:id="1643922039">
                  <w:marLeft w:val="0"/>
                  <w:marRight w:val="0"/>
                  <w:marTop w:val="0"/>
                  <w:marBottom w:val="0"/>
                  <w:divBdr>
                    <w:top w:val="none" w:sz="0" w:space="0" w:color="auto"/>
                    <w:left w:val="none" w:sz="0" w:space="0" w:color="auto"/>
                    <w:bottom w:val="none" w:sz="0" w:space="0" w:color="auto"/>
                    <w:right w:val="none" w:sz="0" w:space="0" w:color="auto"/>
                  </w:divBdr>
                </w:div>
                <w:div w:id="1661814457">
                  <w:marLeft w:val="0"/>
                  <w:marRight w:val="0"/>
                  <w:marTop w:val="0"/>
                  <w:marBottom w:val="0"/>
                  <w:divBdr>
                    <w:top w:val="none" w:sz="0" w:space="0" w:color="auto"/>
                    <w:left w:val="none" w:sz="0" w:space="0" w:color="auto"/>
                    <w:bottom w:val="none" w:sz="0" w:space="0" w:color="auto"/>
                    <w:right w:val="none" w:sz="0" w:space="0" w:color="auto"/>
                  </w:divBdr>
                </w:div>
                <w:div w:id="1854418709">
                  <w:marLeft w:val="0"/>
                  <w:marRight w:val="0"/>
                  <w:marTop w:val="0"/>
                  <w:marBottom w:val="0"/>
                  <w:divBdr>
                    <w:top w:val="none" w:sz="0" w:space="0" w:color="auto"/>
                    <w:left w:val="none" w:sz="0" w:space="0" w:color="auto"/>
                    <w:bottom w:val="none" w:sz="0" w:space="0" w:color="auto"/>
                    <w:right w:val="none" w:sz="0" w:space="0" w:color="auto"/>
                  </w:divBdr>
                </w:div>
                <w:div w:id="1951081468">
                  <w:marLeft w:val="0"/>
                  <w:marRight w:val="0"/>
                  <w:marTop w:val="0"/>
                  <w:marBottom w:val="0"/>
                  <w:divBdr>
                    <w:top w:val="none" w:sz="0" w:space="0" w:color="auto"/>
                    <w:left w:val="none" w:sz="0" w:space="0" w:color="auto"/>
                    <w:bottom w:val="none" w:sz="0" w:space="0" w:color="auto"/>
                    <w:right w:val="none" w:sz="0" w:space="0" w:color="auto"/>
                  </w:divBdr>
                </w:div>
                <w:div w:id="2030980904">
                  <w:marLeft w:val="0"/>
                  <w:marRight w:val="0"/>
                  <w:marTop w:val="0"/>
                  <w:marBottom w:val="0"/>
                  <w:divBdr>
                    <w:top w:val="none" w:sz="0" w:space="0" w:color="auto"/>
                    <w:left w:val="none" w:sz="0" w:space="0" w:color="auto"/>
                    <w:bottom w:val="none" w:sz="0" w:space="0" w:color="auto"/>
                    <w:right w:val="none" w:sz="0" w:space="0" w:color="auto"/>
                  </w:divBdr>
                </w:div>
                <w:div w:id="21378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5669">
      <w:bodyDiv w:val="1"/>
      <w:marLeft w:val="0"/>
      <w:marRight w:val="0"/>
      <w:marTop w:val="0"/>
      <w:marBottom w:val="0"/>
      <w:divBdr>
        <w:top w:val="none" w:sz="0" w:space="0" w:color="auto"/>
        <w:left w:val="none" w:sz="0" w:space="0" w:color="auto"/>
        <w:bottom w:val="none" w:sz="0" w:space="0" w:color="auto"/>
        <w:right w:val="none" w:sz="0" w:space="0" w:color="auto"/>
      </w:divBdr>
    </w:div>
    <w:div w:id="2089114648">
      <w:bodyDiv w:val="1"/>
      <w:marLeft w:val="0"/>
      <w:marRight w:val="0"/>
      <w:marTop w:val="0"/>
      <w:marBottom w:val="0"/>
      <w:divBdr>
        <w:top w:val="none" w:sz="0" w:space="0" w:color="auto"/>
        <w:left w:val="none" w:sz="0" w:space="0" w:color="auto"/>
        <w:bottom w:val="none" w:sz="0" w:space="0" w:color="auto"/>
        <w:right w:val="none" w:sz="0" w:space="0" w:color="auto"/>
      </w:divBdr>
      <w:divsChild>
        <w:div w:id="311445157">
          <w:marLeft w:val="0"/>
          <w:marRight w:val="0"/>
          <w:marTop w:val="0"/>
          <w:marBottom w:val="0"/>
          <w:divBdr>
            <w:top w:val="none" w:sz="0" w:space="0" w:color="auto"/>
            <w:left w:val="none" w:sz="0" w:space="0" w:color="auto"/>
            <w:bottom w:val="none" w:sz="0" w:space="0" w:color="auto"/>
            <w:right w:val="none" w:sz="0" w:space="0" w:color="auto"/>
          </w:divBdr>
        </w:div>
        <w:div w:id="1016615033">
          <w:marLeft w:val="0"/>
          <w:marRight w:val="0"/>
          <w:marTop w:val="0"/>
          <w:marBottom w:val="0"/>
          <w:divBdr>
            <w:top w:val="none" w:sz="0" w:space="0" w:color="auto"/>
            <w:left w:val="none" w:sz="0" w:space="0" w:color="auto"/>
            <w:bottom w:val="none" w:sz="0" w:space="0" w:color="auto"/>
            <w:right w:val="none" w:sz="0" w:space="0" w:color="auto"/>
          </w:divBdr>
        </w:div>
        <w:div w:id="1133869528">
          <w:marLeft w:val="0"/>
          <w:marRight w:val="0"/>
          <w:marTop w:val="0"/>
          <w:marBottom w:val="0"/>
          <w:divBdr>
            <w:top w:val="none" w:sz="0" w:space="0" w:color="auto"/>
            <w:left w:val="none" w:sz="0" w:space="0" w:color="auto"/>
            <w:bottom w:val="none" w:sz="0" w:space="0" w:color="auto"/>
            <w:right w:val="none" w:sz="0" w:space="0" w:color="auto"/>
          </w:divBdr>
        </w:div>
        <w:div w:id="1258634307">
          <w:marLeft w:val="0"/>
          <w:marRight w:val="0"/>
          <w:marTop w:val="0"/>
          <w:marBottom w:val="0"/>
          <w:divBdr>
            <w:top w:val="none" w:sz="0" w:space="0" w:color="auto"/>
            <w:left w:val="none" w:sz="0" w:space="0" w:color="auto"/>
            <w:bottom w:val="none" w:sz="0" w:space="0" w:color="auto"/>
            <w:right w:val="none" w:sz="0" w:space="0" w:color="auto"/>
          </w:divBdr>
        </w:div>
        <w:div w:id="1928995659">
          <w:marLeft w:val="0"/>
          <w:marRight w:val="0"/>
          <w:marTop w:val="0"/>
          <w:marBottom w:val="0"/>
          <w:divBdr>
            <w:top w:val="none" w:sz="0" w:space="0" w:color="auto"/>
            <w:left w:val="none" w:sz="0" w:space="0" w:color="auto"/>
            <w:bottom w:val="none" w:sz="0" w:space="0" w:color="auto"/>
            <w:right w:val="none" w:sz="0" w:space="0" w:color="auto"/>
          </w:divBdr>
        </w:div>
      </w:divsChild>
    </w:div>
    <w:div w:id="2131629154">
      <w:bodyDiv w:val="1"/>
      <w:marLeft w:val="0"/>
      <w:marRight w:val="0"/>
      <w:marTop w:val="0"/>
      <w:marBottom w:val="0"/>
      <w:divBdr>
        <w:top w:val="none" w:sz="0" w:space="0" w:color="auto"/>
        <w:left w:val="none" w:sz="0" w:space="0" w:color="auto"/>
        <w:bottom w:val="none" w:sz="0" w:space="0" w:color="auto"/>
        <w:right w:val="none" w:sz="0" w:space="0" w:color="auto"/>
      </w:divBdr>
    </w:div>
    <w:div w:id="214493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4.jpeg"/><Relationship Id="rId39" Type="http://schemas.openxmlformats.org/officeDocument/2006/relationships/image" Target="media/image12.emf"/><Relationship Id="rId21" Type="http://schemas.openxmlformats.org/officeDocument/2006/relationships/image" Target="media/image2.jpeg"/><Relationship Id="rId34" Type="http://schemas.openxmlformats.org/officeDocument/2006/relationships/image" Target="media/image9.jpeg"/><Relationship Id="rId42" Type="http://schemas.openxmlformats.org/officeDocument/2006/relationships/chart" Target="charts/chart1.xml"/><Relationship Id="rId47" Type="http://schemas.openxmlformats.org/officeDocument/2006/relationships/header" Target="header10.xml"/><Relationship Id="rId50" Type="http://schemas.openxmlformats.org/officeDocument/2006/relationships/hyperlink" Target="http://www.cleanenergyregulator.gov.au/ERF" TargetMode="External"/><Relationship Id="rId55" Type="http://schemas.openxmlformats.org/officeDocument/2006/relationships/hyperlink" Target="http://www.businessinsider.com.au/council-rates-china-waste-recycling-2018-2" TargetMode="External"/><Relationship Id="rId63" Type="http://schemas.openxmlformats.org/officeDocument/2006/relationships/hyperlink" Target="http://www.environment.gov.au/biodiversity/threatened/recovery-plans" TargetMode="External"/><Relationship Id="rId68" Type="http://schemas.openxmlformats.org/officeDocument/2006/relationships/hyperlink" Target="http://www.environment.gov.au/heritage/places/register-national-estate" TargetMode="External"/><Relationship Id="rId76" Type="http://schemas.openxmlformats.org/officeDocument/2006/relationships/hyperlink" Target="http://www.fpc.wa.gov.au/about-us/publications/annual-report-2016/annual-reports" TargetMode="External"/><Relationship Id="rId84" Type="http://schemas.openxmlformats.org/officeDocument/2006/relationships/hyperlink" Target="http://www.environment.gov.au/system/files/resources/323e8f22-1a8a-4245-a09c-006644d3bd51/files/construction-waste.pdf" TargetMode="External"/><Relationship Id="rId89" Type="http://schemas.openxmlformats.org/officeDocument/2006/relationships/hyperlink" Target="http://www.environment.gov.au/water/wetlands/ramsar/criteria-identifying-wetlands" TargetMode="External"/><Relationship Id="rId7" Type="http://schemas.openxmlformats.org/officeDocument/2006/relationships/styles" Target="styles.xml"/><Relationship Id="rId71" Type="http://schemas.openxmlformats.org/officeDocument/2006/relationships/hyperlink" Target="http://www.environment.gov.au/system/files/resources/c3e2b91e-51db-4c3e-bb43-38650c2728e6/files/module-3-change.pdf" TargetMode="External"/><Relationship Id="rId92" Type="http://schemas.openxmlformats.org/officeDocument/2006/relationships/hyperlink" Target="https://parks.dpaw.wa.gov.au/sites/default/files/downloads/know/nature_base_tourism_brochure_2011_%282%29_0.pdf"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chart" Target="charts/chart4.xml"/><Relationship Id="rId53" Type="http://schemas.openxmlformats.org/officeDocument/2006/relationships/hyperlink" Target="https://www.responsiblewood.org.au/" TargetMode="External"/><Relationship Id="rId58" Type="http://schemas.openxmlformats.org/officeDocument/2006/relationships/hyperlink" Target="https://www.dpaw.wa.gov.au/about-us/science-and-research/landscape-conservation-research/183-forestcheck" TargetMode="External"/><Relationship Id="rId66" Type="http://schemas.openxmlformats.org/officeDocument/2006/relationships/hyperlink" Target="https://www.environment.gov.au/system/files/resources/cab3140e-5adb-479f-9af4-a7c605d762dc/files/national-inventory-report-2014-revised-vol-2.pdf" TargetMode="External"/><Relationship Id="rId74" Type="http://schemas.openxmlformats.org/officeDocument/2006/relationships/hyperlink" Target="http://www.fpc.wa.gov.au/about-us/publications/annual-report-2016/annual-reports" TargetMode="External"/><Relationship Id="rId79" Type="http://schemas.openxmlformats.org/officeDocument/2006/relationships/hyperlink" Target="http://www.fpc.wa.gov.au/about-us/publications/annual-report-2016/annual-reports" TargetMode="External"/><Relationship Id="rId87" Type="http://schemas.openxmlformats.org/officeDocument/2006/relationships/hyperlink" Target="http://www.timberstewardship.org.au/images/pdf_documents/2006_07_wood_recovery_data.pdf" TargetMode="External"/><Relationship Id="rId5" Type="http://schemas.openxmlformats.org/officeDocument/2006/relationships/customXml" Target="../customXml/item5.xml"/><Relationship Id="rId61" Type="http://schemas.openxmlformats.org/officeDocument/2006/relationships/hyperlink" Target="https://www.commerce.wa.gov.au/sites/default/files/atoms/files/ag_industry_profile_2017.pdf" TargetMode="External"/><Relationship Id="rId82" Type="http://schemas.openxmlformats.org/officeDocument/2006/relationships/hyperlink" Target="https://au.fsc.org/en-au/standards/forest-management" TargetMode="External"/><Relationship Id="rId90" Type="http://schemas.openxmlformats.org/officeDocument/2006/relationships/hyperlink" Target="https://www.fwpa.com.au/images/WA_Report_Dec2017_Final.pdf" TargetMode="External"/><Relationship Id="rId95" Type="http://schemas.openxmlformats.org/officeDocument/2006/relationships/theme" Target="theme/theme1.xml"/><Relationship Id="rId19" Type="http://schemas.openxmlformats.org/officeDocument/2006/relationships/hyperlink" Target="mailto:enquiries@dbca.wa.gov.au" TargetMode="Externa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header" Target="header8.xml"/><Relationship Id="rId35" Type="http://schemas.openxmlformats.org/officeDocument/2006/relationships/image" Target="media/image10.gif"/><Relationship Id="rId43" Type="http://schemas.openxmlformats.org/officeDocument/2006/relationships/chart" Target="charts/chart2.xml"/><Relationship Id="rId48" Type="http://schemas.openxmlformats.org/officeDocument/2006/relationships/header" Target="header11.xml"/><Relationship Id="rId56" Type="http://schemas.openxmlformats.org/officeDocument/2006/relationships/hyperlink" Target="http://www.aph.gov.au/Parliamentary_Business/Committees/Senate/Economics/MIS/Report" TargetMode="External"/><Relationship Id="rId64" Type="http://schemas.openxmlformats.org/officeDocument/2006/relationships/hyperlink" Target="http://www.environment.gov.au/heritage/laws/world" TargetMode="External"/><Relationship Id="rId69" Type="http://schemas.openxmlformats.org/officeDocument/2006/relationships/hyperlink" Target="http://www.environment.gov.au/system/files/resources/d075c9bc-45b3-4ac0-a8f2-6494c7d1fa0d/files/national-waste-report-2016.pdf" TargetMode="External"/><Relationship Id="rId77" Type="http://schemas.openxmlformats.org/officeDocument/2006/relationships/hyperlink" Target="http://www.fpc.wa.gov.au/about-us/publications/annual-report-2016/annual-reports" TargetMode="External"/><Relationship Id="rId8" Type="http://schemas.openxmlformats.org/officeDocument/2006/relationships/settings" Target="settings.xml"/><Relationship Id="rId51" Type="http://schemas.openxmlformats.org/officeDocument/2006/relationships/hyperlink" Target="https://guest.censusdata.abs.gov.au/webapi/jsf/dataCatalogueExplorer.xhtml" TargetMode="External"/><Relationship Id="rId72" Type="http://schemas.openxmlformats.org/officeDocument/2006/relationships/hyperlink" Target="https://www.fwc.gov.au/documents/sites/wagereview2018/decisions/2018fwcfb3500.pdf" TargetMode="External"/><Relationship Id="rId80" Type="http://schemas.openxmlformats.org/officeDocument/2006/relationships/hyperlink" Target="http://www.fpc.wa.gov.au/about-us/publications/annual-report-2016/annual-reports" TargetMode="External"/><Relationship Id="rId85" Type="http://schemas.openxmlformats.org/officeDocument/2006/relationships/hyperlink" Target="http://www.timberstewardship.org.au/images/pdf_documents/tml_strategy_final.pdf" TargetMode="External"/><Relationship Id="rId93" Type="http://schemas.openxmlformats.org/officeDocument/2006/relationships/hyperlink" Target="http://www.wasteauthority.wa.gov.au/media/files/documents/WA_Waste_Strategy.pd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yperlink" Target="https://www.daa.wa.gov.au/en/Place-Search/" TargetMode="External"/><Relationship Id="rId38" Type="http://schemas.openxmlformats.org/officeDocument/2006/relationships/image" Target="cid:image003.png@01D46B7E.DB4C5090" TargetMode="External"/><Relationship Id="rId46" Type="http://schemas.openxmlformats.org/officeDocument/2006/relationships/chart" Target="charts/chart5.xml"/><Relationship Id="rId59" Type="http://schemas.openxmlformats.org/officeDocument/2006/relationships/hyperlink" Target="https://www.dpaw.wa.gov.au/plants-and-animals/threatened-species-and-communities" TargetMode="External"/><Relationship Id="rId67" Type="http://schemas.openxmlformats.org/officeDocument/2006/relationships/hyperlink" Target="http://environment.gov.au/protection/national-waste-policy" TargetMode="External"/><Relationship Id="rId20" Type="http://schemas.openxmlformats.org/officeDocument/2006/relationships/hyperlink" Target="mailto:enquiries@dbca.wa.gov.au" TargetMode="External"/><Relationship Id="rId41" Type="http://schemas.openxmlformats.org/officeDocument/2006/relationships/image" Target="media/image14.png"/><Relationship Id="rId54" Type="http://schemas.openxmlformats.org/officeDocument/2006/relationships/hyperlink" Target="http://www.packagingcovenant.org.au/documents/item/1224" TargetMode="External"/><Relationship Id="rId62" Type="http://schemas.openxmlformats.org/officeDocument/2006/relationships/hyperlink" Target="http://www.environment.gov.au/biodiversity/threatened/conservation-advices.html" TargetMode="External"/><Relationship Id="rId70" Type="http://schemas.openxmlformats.org/officeDocument/2006/relationships/hyperlink" Target="http://155.187.2.69/heritage/places/commonwealth/wa.html" TargetMode="External"/><Relationship Id="rId75" Type="http://schemas.openxmlformats.org/officeDocument/2006/relationships/hyperlink" Target="http://www.fpc.wa.gov.au/about-us/publications/annual-report-2016/annual-reports" TargetMode="External"/><Relationship Id="rId83" Type="http://schemas.openxmlformats.org/officeDocument/2006/relationships/hyperlink" Target="http://www.fwpa.com.au/images/marketaccess/PNA017-0708_Wood_Recycling_0.pdf" TargetMode="External"/><Relationship Id="rId88" Type="http://schemas.openxmlformats.org/officeDocument/2006/relationships/hyperlink" Target="http://www.businessinsider.com.au/council-rates-china-waste-recycling-2018-2" TargetMode="External"/><Relationship Id="rId91" Type="http://schemas.openxmlformats.org/officeDocument/2006/relationships/hyperlink" Target="http://www.fwpa.com.au/images/marketaccess/PNA017-0708_Wood_Recycling_0.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6.jpeg"/><Relationship Id="rId36" Type="http://schemas.openxmlformats.org/officeDocument/2006/relationships/image" Target="cid:image002.png@01D46B7E.DB4C5090" TargetMode="External"/><Relationship Id="rId49" Type="http://schemas.openxmlformats.org/officeDocument/2006/relationships/hyperlink" Target="http://www.agriculture.gov.au/abares/forestsaustralia/australian-forest-and-wood-products-statistics" TargetMode="External"/><Relationship Id="rId57" Type="http://schemas.openxmlformats.org/officeDocument/2006/relationships/hyperlink" Target="http://www.agriculture.gov.au/forestry/policies/rfa/about/why" TargetMode="Externa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chart" Target="charts/chart3.xml"/><Relationship Id="rId52" Type="http://schemas.openxmlformats.org/officeDocument/2006/relationships/hyperlink" Target="http://www.abs.gov.au/ausstats/abs@.nsf/Products/4602.0.55.005~2013~Main+Features~Australia%27s+International+Trade+in+Waste?OpenDocument" TargetMode="External"/><Relationship Id="rId60" Type="http://schemas.openxmlformats.org/officeDocument/2006/relationships/hyperlink" Target="https://www.dpaw.wa.gov.au/management/wetlands/wetlands-of-national-and-international-importance" TargetMode="External"/><Relationship Id="rId65" Type="http://schemas.openxmlformats.org/officeDocument/2006/relationships/hyperlink" Target="http://www.environment.gov.au/water/wetlands/managing" TargetMode="External"/><Relationship Id="rId73" Type="http://schemas.openxmlformats.org/officeDocument/2006/relationships/hyperlink" Target="http://fpc.wa.gov.au/annual-report-2016" TargetMode="External"/><Relationship Id="rId78" Type="http://schemas.openxmlformats.org/officeDocument/2006/relationships/hyperlink" Target="http://www.fpc.wa.gov.au/about-us/publications/annual-report-2016/annual-reports" TargetMode="External"/><Relationship Id="rId81" Type="http://schemas.openxmlformats.org/officeDocument/2006/relationships/hyperlink" Target="http://www.fpc.wa.gov.au/about-us/publications/annual-report-2016/annual-reports" TargetMode="External"/><Relationship Id="rId86" Type="http://schemas.openxmlformats.org/officeDocument/2006/relationships/hyperlink" Target="http://www.timberstewardship.org.au/images/pdf_documents/project_report_pv_final.pdf"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agriculture.gov.au/forestry/policies/rfa/regions/w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ttso\Desktop\RFA_Facilities_Activities_2018.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ttso\Desktop\RFA_Facilities_Activities_2018.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ttso\Desktop\RFA_Facilities_Activities_20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400" b="0"/>
            </a:pPr>
            <a:r>
              <a:rPr lang="en-US" sz="1400" b="0"/>
              <a:t>Recreational Visitation to RFA</a:t>
            </a:r>
            <a:r>
              <a:rPr lang="en-US" sz="1400" b="0" baseline="0"/>
              <a:t> WA Recreation Areas</a:t>
            </a:r>
            <a:endParaRPr lang="en-US" sz="1400" b="0"/>
          </a:p>
        </c:rich>
      </c:tx>
      <c:overlay val="0"/>
    </c:title>
    <c:autoTitleDeleted val="0"/>
    <c:plotArea>
      <c:layout/>
      <c:barChart>
        <c:barDir val="col"/>
        <c:grouping val="clustered"/>
        <c:varyColors val="0"/>
        <c:ser>
          <c:idx val="0"/>
          <c:order val="0"/>
          <c:tx>
            <c:strRef>
              <c:f>Visitation!$B$2</c:f>
              <c:strCache>
                <c:ptCount val="1"/>
                <c:pt idx="0">
                  <c:v>Visitation (millions)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Visitation!$A$3:$A$12</c:f>
              <c:strCache>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Cache>
            </c:strRef>
          </c:cat>
          <c:val>
            <c:numRef>
              <c:f>Visitation!$B$3:$B$12</c:f>
              <c:numCache>
                <c:formatCode>_(* #,##0.00_);_(* \(#,##0.00\);_(* "-"??_);_(@_)</c:formatCode>
                <c:ptCount val="10"/>
                <c:pt idx="0">
                  <c:v>5.1029359999999997</c:v>
                </c:pt>
                <c:pt idx="1">
                  <c:v>5.4201940000000004</c:v>
                </c:pt>
                <c:pt idx="2">
                  <c:v>5.8348430000000002</c:v>
                </c:pt>
                <c:pt idx="3">
                  <c:v>5.8298969999999999</c:v>
                </c:pt>
                <c:pt idx="4">
                  <c:v>5.8896540000000002</c:v>
                </c:pt>
                <c:pt idx="5">
                  <c:v>6.299048</c:v>
                </c:pt>
                <c:pt idx="6">
                  <c:v>7.012346</c:v>
                </c:pt>
                <c:pt idx="7">
                  <c:v>7.5473299999999997</c:v>
                </c:pt>
                <c:pt idx="8">
                  <c:v>7.6606709999999998</c:v>
                </c:pt>
                <c:pt idx="9">
                  <c:v>7.6722070000000002</c:v>
                </c:pt>
              </c:numCache>
            </c:numRef>
          </c:val>
          <c:extLst>
            <c:ext xmlns:c16="http://schemas.microsoft.com/office/drawing/2014/chart" uri="{C3380CC4-5D6E-409C-BE32-E72D297353CC}">
              <c16:uniqueId val="{00000000-9009-472F-B2FC-27225190FA41}"/>
            </c:ext>
          </c:extLst>
        </c:ser>
        <c:dLbls>
          <c:showLegendKey val="0"/>
          <c:showVal val="0"/>
          <c:showCatName val="0"/>
          <c:showSerName val="0"/>
          <c:showPercent val="0"/>
          <c:showBubbleSize val="0"/>
        </c:dLbls>
        <c:gapWidth val="85"/>
        <c:axId val="576512296"/>
        <c:axId val="576526016"/>
      </c:barChart>
      <c:catAx>
        <c:axId val="576512296"/>
        <c:scaling>
          <c:orientation val="minMax"/>
        </c:scaling>
        <c:delete val="0"/>
        <c:axPos val="b"/>
        <c:numFmt formatCode="General" sourceLinked="1"/>
        <c:majorTickMark val="none"/>
        <c:minorTickMark val="none"/>
        <c:tickLblPos val="nextTo"/>
        <c:crossAx val="576526016"/>
        <c:crosses val="autoZero"/>
        <c:auto val="1"/>
        <c:lblAlgn val="ctr"/>
        <c:lblOffset val="100"/>
        <c:noMultiLvlLbl val="0"/>
      </c:catAx>
      <c:valAx>
        <c:axId val="576526016"/>
        <c:scaling>
          <c:orientation val="minMax"/>
          <c:min val="0"/>
        </c:scaling>
        <c:delete val="0"/>
        <c:axPos val="l"/>
        <c:title>
          <c:tx>
            <c:rich>
              <a:bodyPr rot="-5400000" vert="horz"/>
              <a:lstStyle/>
              <a:p>
                <a:pPr>
                  <a:defRPr/>
                </a:pPr>
                <a:r>
                  <a:rPr lang="en-AU" b="0"/>
                  <a:t>Visits (millions)</a:t>
                </a:r>
              </a:p>
            </c:rich>
          </c:tx>
          <c:overlay val="0"/>
        </c:title>
        <c:numFmt formatCode="#,##0" sourceLinked="0"/>
        <c:majorTickMark val="out"/>
        <c:minorTickMark val="none"/>
        <c:tickLblPos val="nextTo"/>
        <c:crossAx val="576512296"/>
        <c:crosses val="autoZero"/>
        <c:crossBetween val="between"/>
      </c:valAx>
      <c:spPr>
        <a:noFill/>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400" b="0"/>
            </a:pPr>
            <a:r>
              <a:rPr lang="en-US" sz="1400" b="0"/>
              <a:t>Average Visitor Satisfaction in RFA</a:t>
            </a:r>
            <a:r>
              <a:rPr lang="en-US" sz="1400" b="0" baseline="0"/>
              <a:t> WA Recreation Areas</a:t>
            </a:r>
            <a:endParaRPr lang="en-US" sz="1400" b="0"/>
          </a:p>
        </c:rich>
      </c:tx>
      <c:overlay val="0"/>
    </c:title>
    <c:autoTitleDeleted val="0"/>
    <c:plotArea>
      <c:layout/>
      <c:barChart>
        <c:barDir val="bar"/>
        <c:grouping val="clustered"/>
        <c:varyColors val="0"/>
        <c:ser>
          <c:idx val="0"/>
          <c:order val="0"/>
          <c:tx>
            <c:strRef>
              <c:f>'Visitor satisfaction'!$B$2</c:f>
              <c:strCache>
                <c:ptCount val="1"/>
                <c:pt idx="0">
                  <c:v>Visitor satisfaction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'Visitor satisfaction'!$A$3:$A$7</c:f>
              <c:strCache>
                <c:ptCount val="5"/>
                <c:pt idx="0">
                  <c:v>2017-2018</c:v>
                </c:pt>
                <c:pt idx="1">
                  <c:v>2016-2017</c:v>
                </c:pt>
                <c:pt idx="2">
                  <c:v>2015-2016</c:v>
                </c:pt>
                <c:pt idx="3">
                  <c:v>2014-2015</c:v>
                </c:pt>
                <c:pt idx="4">
                  <c:v>2013-2014</c:v>
                </c:pt>
              </c:strCache>
            </c:strRef>
          </c:cat>
          <c:val>
            <c:numRef>
              <c:f>'Visitor satisfaction'!$B$3:$B$7</c:f>
              <c:numCache>
                <c:formatCode>0.0%</c:formatCode>
                <c:ptCount val="5"/>
                <c:pt idx="0">
                  <c:v>0.94599770202987243</c:v>
                </c:pt>
                <c:pt idx="1">
                  <c:v>0.93767705382436217</c:v>
                </c:pt>
                <c:pt idx="2">
                  <c:v>0.94394366197183155</c:v>
                </c:pt>
                <c:pt idx="3">
                  <c:v>0.90346820809248707</c:v>
                </c:pt>
                <c:pt idx="4">
                  <c:v>0.89361111111111191</c:v>
                </c:pt>
              </c:numCache>
            </c:numRef>
          </c:val>
          <c:extLst>
            <c:ext xmlns:c16="http://schemas.microsoft.com/office/drawing/2014/chart" uri="{C3380CC4-5D6E-409C-BE32-E72D297353CC}">
              <c16:uniqueId val="{00000000-AC97-4209-8D33-1205D6A54327}"/>
            </c:ext>
          </c:extLst>
        </c:ser>
        <c:dLbls>
          <c:showLegendKey val="0"/>
          <c:showVal val="0"/>
          <c:showCatName val="0"/>
          <c:showSerName val="0"/>
          <c:showPercent val="0"/>
          <c:showBubbleSize val="0"/>
        </c:dLbls>
        <c:gapWidth val="85"/>
        <c:axId val="448146992"/>
        <c:axId val="448147384"/>
      </c:barChart>
      <c:catAx>
        <c:axId val="448146992"/>
        <c:scaling>
          <c:orientation val="minMax"/>
        </c:scaling>
        <c:delete val="0"/>
        <c:axPos val="l"/>
        <c:numFmt formatCode="General" sourceLinked="1"/>
        <c:majorTickMark val="none"/>
        <c:minorTickMark val="none"/>
        <c:tickLblPos val="nextTo"/>
        <c:crossAx val="448147384"/>
        <c:crosses val="autoZero"/>
        <c:auto val="1"/>
        <c:lblAlgn val="ctr"/>
        <c:lblOffset val="100"/>
        <c:noMultiLvlLbl val="0"/>
      </c:catAx>
      <c:valAx>
        <c:axId val="448147384"/>
        <c:scaling>
          <c:orientation val="minMax"/>
          <c:max val="1"/>
          <c:min val="0"/>
        </c:scaling>
        <c:delete val="0"/>
        <c:axPos val="b"/>
        <c:title>
          <c:tx>
            <c:rich>
              <a:bodyPr/>
              <a:lstStyle/>
              <a:p>
                <a:pPr>
                  <a:defRPr/>
                </a:pPr>
                <a:r>
                  <a:rPr lang="en-AU" b="0"/>
                  <a:t>Visitor Satisfaction</a:t>
                </a:r>
              </a:p>
            </c:rich>
          </c:tx>
          <c:overlay val="0"/>
        </c:title>
        <c:numFmt formatCode="0%" sourceLinked="0"/>
        <c:majorTickMark val="out"/>
        <c:minorTickMark val="none"/>
        <c:tickLblPos val="nextTo"/>
        <c:crossAx val="448146992"/>
        <c:crosses val="autoZero"/>
        <c:crossBetween val="between"/>
      </c:valAx>
      <c:spPr>
        <a:noFill/>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recreation facilities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270610865422644"/>
          <c:y val="0.25604946091062197"/>
          <c:w val="0.78361233955344622"/>
          <c:h val="0.70738746779138895"/>
        </c:manualLayout>
      </c:layout>
      <c:barChart>
        <c:barDir val="bar"/>
        <c:grouping val="clustered"/>
        <c:varyColors val="0"/>
        <c:ser>
          <c:idx val="0"/>
          <c:order val="0"/>
          <c:tx>
            <c:strRef>
              <c:f>Sheet1!$B$2</c:f>
              <c:strCache>
                <c:ptCount val="1"/>
                <c:pt idx="0">
                  <c:v>2014-2015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Buildings</c:v>
                </c:pt>
                <c:pt idx="1">
                  <c:v>Furniture</c:v>
                </c:pt>
                <c:pt idx="2">
                  <c:v>Miscellaneous</c:v>
                </c:pt>
                <c:pt idx="3">
                  <c:v>Signs</c:v>
                </c:pt>
                <c:pt idx="4">
                  <c:v>Site Works</c:v>
                </c:pt>
                <c:pt idx="5">
                  <c:v>Structures</c:v>
                </c:pt>
                <c:pt idx="6">
                  <c:v>Trails</c:v>
                </c:pt>
                <c:pt idx="7">
                  <c:v>VISTAT</c:v>
                </c:pt>
              </c:strCache>
            </c:strRef>
          </c:cat>
          <c:val>
            <c:numRef>
              <c:f>Sheet1!$B$3:$B$10</c:f>
              <c:numCache>
                <c:formatCode>General</c:formatCode>
                <c:ptCount val="8"/>
                <c:pt idx="0">
                  <c:v>439</c:v>
                </c:pt>
                <c:pt idx="1">
                  <c:v>2585</c:v>
                </c:pt>
                <c:pt idx="2">
                  <c:v>14416</c:v>
                </c:pt>
                <c:pt idx="3">
                  <c:v>6517</c:v>
                </c:pt>
                <c:pt idx="4">
                  <c:v>481</c:v>
                </c:pt>
                <c:pt idx="5">
                  <c:v>1491</c:v>
                </c:pt>
                <c:pt idx="6">
                  <c:v>320</c:v>
                </c:pt>
                <c:pt idx="7">
                  <c:v>63</c:v>
                </c:pt>
              </c:numCache>
            </c:numRef>
          </c:val>
          <c:extLst>
            <c:ext xmlns:c16="http://schemas.microsoft.com/office/drawing/2014/chart" uri="{C3380CC4-5D6E-409C-BE32-E72D297353CC}">
              <c16:uniqueId val="{00000000-A40B-476D-8784-A099AABA8FC8}"/>
            </c:ext>
          </c:extLst>
        </c:ser>
        <c:ser>
          <c:idx val="1"/>
          <c:order val="1"/>
          <c:tx>
            <c:strRef>
              <c:f>Sheet1!$C$2</c:f>
              <c:strCache>
                <c:ptCount val="1"/>
                <c:pt idx="0">
                  <c:v>2017-2018</c:v>
                </c:pt>
              </c:strCache>
            </c:strRef>
          </c:tx>
          <c:spPr>
            <a:solidFill>
              <a:schemeClr val="accent2"/>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Buildings</c:v>
                </c:pt>
                <c:pt idx="1">
                  <c:v>Furniture</c:v>
                </c:pt>
                <c:pt idx="2">
                  <c:v>Miscellaneous</c:v>
                </c:pt>
                <c:pt idx="3">
                  <c:v>Signs</c:v>
                </c:pt>
                <c:pt idx="4">
                  <c:v>Site Works</c:v>
                </c:pt>
                <c:pt idx="5">
                  <c:v>Structures</c:v>
                </c:pt>
                <c:pt idx="6">
                  <c:v>Trails</c:v>
                </c:pt>
                <c:pt idx="7">
                  <c:v>VISTAT</c:v>
                </c:pt>
              </c:strCache>
            </c:strRef>
          </c:cat>
          <c:val>
            <c:numRef>
              <c:f>Sheet1!$C$3:$C$10</c:f>
              <c:numCache>
                <c:formatCode>General</c:formatCode>
                <c:ptCount val="8"/>
                <c:pt idx="0">
                  <c:v>463</c:v>
                </c:pt>
                <c:pt idx="1">
                  <c:v>2919</c:v>
                </c:pt>
                <c:pt idx="2">
                  <c:v>15404</c:v>
                </c:pt>
                <c:pt idx="3">
                  <c:v>6753</c:v>
                </c:pt>
                <c:pt idx="4">
                  <c:v>494</c:v>
                </c:pt>
                <c:pt idx="5">
                  <c:v>1502</c:v>
                </c:pt>
                <c:pt idx="6">
                  <c:v>330</c:v>
                </c:pt>
                <c:pt idx="7">
                  <c:v>70</c:v>
                </c:pt>
              </c:numCache>
            </c:numRef>
          </c:val>
          <c:extLst>
            <c:ext xmlns:c16="http://schemas.microsoft.com/office/drawing/2014/chart" uri="{C3380CC4-5D6E-409C-BE32-E72D297353CC}">
              <c16:uniqueId val="{00000001-A40B-476D-8784-A099AABA8FC8}"/>
            </c:ext>
          </c:extLst>
        </c:ser>
        <c:dLbls>
          <c:showLegendKey val="0"/>
          <c:showVal val="0"/>
          <c:showCatName val="0"/>
          <c:showSerName val="0"/>
          <c:showPercent val="0"/>
          <c:showBubbleSize val="0"/>
        </c:dLbls>
        <c:gapWidth val="182"/>
        <c:axId val="277253688"/>
        <c:axId val="322598704"/>
      </c:barChart>
      <c:catAx>
        <c:axId val="2772536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598704"/>
        <c:crosses val="autoZero"/>
        <c:auto val="1"/>
        <c:lblAlgn val="ctr"/>
        <c:lblOffset val="100"/>
        <c:noMultiLvlLbl val="0"/>
      </c:catAx>
      <c:valAx>
        <c:axId val="32259870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253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recreation site types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Sheet1!$B$21</c:f>
              <c:strCache>
                <c:ptCount val="1"/>
                <c:pt idx="0">
                  <c:v>2014-2015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Sheet1!$A$22:$A$27</c:f>
              <c:strCache>
                <c:ptCount val="6"/>
                <c:pt idx="0">
                  <c:v>Camping Only</c:v>
                </c:pt>
                <c:pt idx="1">
                  <c:v>Camping and Accommodation</c:v>
                </c:pt>
                <c:pt idx="2">
                  <c:v>Day Use Only</c:v>
                </c:pt>
                <c:pt idx="3">
                  <c:v>Day Use and Accommodation</c:v>
                </c:pt>
                <c:pt idx="4">
                  <c:v>Day Use and Camping</c:v>
                </c:pt>
                <c:pt idx="5">
                  <c:v>Day Use, Camping and Accommodation</c:v>
                </c:pt>
              </c:strCache>
            </c:strRef>
          </c:cat>
          <c:val>
            <c:numRef>
              <c:f>Sheet1!$B$22:$B$27</c:f>
              <c:numCache>
                <c:formatCode>General</c:formatCode>
                <c:ptCount val="6"/>
                <c:pt idx="0">
                  <c:v>9</c:v>
                </c:pt>
                <c:pt idx="1">
                  <c:v>51</c:v>
                </c:pt>
                <c:pt idx="2">
                  <c:v>388</c:v>
                </c:pt>
                <c:pt idx="3">
                  <c:v>1</c:v>
                </c:pt>
                <c:pt idx="4">
                  <c:v>58</c:v>
                </c:pt>
                <c:pt idx="5">
                  <c:v>10</c:v>
                </c:pt>
              </c:numCache>
            </c:numRef>
          </c:val>
          <c:extLst>
            <c:ext xmlns:c16="http://schemas.microsoft.com/office/drawing/2014/chart" uri="{C3380CC4-5D6E-409C-BE32-E72D297353CC}">
              <c16:uniqueId val="{00000000-40E1-423F-A043-223D63F804D2}"/>
            </c:ext>
          </c:extLst>
        </c:ser>
        <c:ser>
          <c:idx val="1"/>
          <c:order val="1"/>
          <c:tx>
            <c:strRef>
              <c:f>Sheet1!$C$21</c:f>
              <c:strCache>
                <c:ptCount val="1"/>
                <c:pt idx="0">
                  <c:v>2017-2018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Sheet1!$A$22:$A$27</c:f>
              <c:strCache>
                <c:ptCount val="6"/>
                <c:pt idx="0">
                  <c:v>Camping Only</c:v>
                </c:pt>
                <c:pt idx="1">
                  <c:v>Camping and Accommodation</c:v>
                </c:pt>
                <c:pt idx="2">
                  <c:v>Day Use Only</c:v>
                </c:pt>
                <c:pt idx="3">
                  <c:v>Day Use and Accommodation</c:v>
                </c:pt>
                <c:pt idx="4">
                  <c:v>Day Use and Camping</c:v>
                </c:pt>
                <c:pt idx="5">
                  <c:v>Day Use, Camping and Accommodation</c:v>
                </c:pt>
              </c:strCache>
            </c:strRef>
          </c:cat>
          <c:val>
            <c:numRef>
              <c:f>Sheet1!$C$22:$C$27</c:f>
              <c:numCache>
                <c:formatCode>General</c:formatCode>
                <c:ptCount val="6"/>
                <c:pt idx="0">
                  <c:v>10</c:v>
                </c:pt>
                <c:pt idx="1">
                  <c:v>51</c:v>
                </c:pt>
                <c:pt idx="2">
                  <c:v>399</c:v>
                </c:pt>
                <c:pt idx="3">
                  <c:v>2</c:v>
                </c:pt>
                <c:pt idx="4">
                  <c:v>59</c:v>
                </c:pt>
                <c:pt idx="5">
                  <c:v>14</c:v>
                </c:pt>
              </c:numCache>
            </c:numRef>
          </c:val>
          <c:extLst>
            <c:ext xmlns:c16="http://schemas.microsoft.com/office/drawing/2014/chart" uri="{C3380CC4-5D6E-409C-BE32-E72D297353CC}">
              <c16:uniqueId val="{00000001-40E1-423F-A043-223D63F804D2}"/>
            </c:ext>
          </c:extLst>
        </c:ser>
        <c:dLbls>
          <c:dLblPos val="outEnd"/>
          <c:showLegendKey val="0"/>
          <c:showVal val="1"/>
          <c:showCatName val="0"/>
          <c:showSerName val="0"/>
          <c:showPercent val="0"/>
          <c:showBubbleSize val="0"/>
        </c:dLbls>
        <c:gapWidth val="182"/>
        <c:axId val="321792264"/>
        <c:axId val="445968640"/>
      </c:barChart>
      <c:catAx>
        <c:axId val="321792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68640"/>
        <c:crosses val="autoZero"/>
        <c:auto val="1"/>
        <c:lblAlgn val="ctr"/>
        <c:lblOffset val="100"/>
        <c:noMultiLvlLbl val="0"/>
      </c:catAx>
      <c:valAx>
        <c:axId val="4459686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792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sites with recreation activities 2014-2018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814784632002978"/>
          <c:y val="0.12403951634528657"/>
          <c:w val="0.64443962565394064"/>
          <c:h val="0.86430218668486869"/>
        </c:manualLayout>
      </c:layout>
      <c:barChart>
        <c:barDir val="bar"/>
        <c:grouping val="clustered"/>
        <c:varyColors val="0"/>
        <c:ser>
          <c:idx val="0"/>
          <c:order val="0"/>
          <c:tx>
            <c:strRef>
              <c:f>Sheet1!$B$40</c:f>
              <c:strCache>
                <c:ptCount val="1"/>
                <c:pt idx="0">
                  <c:v>2014-2015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Sheet1!$A$41:$A$76</c:f>
              <c:strCache>
                <c:ptCount val="36"/>
                <c:pt idx="0">
                  <c:v>Abseiling</c:v>
                </c:pt>
                <c:pt idx="1">
                  <c:v>Accommodation</c:v>
                </c:pt>
                <c:pt idx="2">
                  <c:v>Barbecuing</c:v>
                </c:pt>
                <c:pt idx="3">
                  <c:v>Bird Watching</c:v>
                </c:pt>
                <c:pt idx="4">
                  <c:v>Boat Launching</c:v>
                </c:pt>
                <c:pt idx="5">
                  <c:v>Bush Walking</c:v>
                </c:pt>
                <c:pt idx="6">
                  <c:v>Camping</c:v>
                </c:pt>
                <c:pt idx="7">
                  <c:v>Canoeing/Kayaking</c:v>
                </c:pt>
                <c:pt idx="8">
                  <c:v>Caving</c:v>
                </c:pt>
                <c:pt idx="9">
                  <c:v>Cycling</c:v>
                </c:pt>
                <c:pt idx="10">
                  <c:v>Diving</c:v>
                </c:pt>
                <c:pt idx="11">
                  <c:v>Fishing</c:v>
                </c:pt>
                <c:pt idx="12">
                  <c:v>Four Wheel Driving</c:v>
                </c:pt>
                <c:pt idx="13">
                  <c:v>Geocaching</c:v>
                </c:pt>
                <c:pt idx="14">
                  <c:v>Guided Activities</c:v>
                </c:pt>
                <c:pt idx="15">
                  <c:v>Historic Site</c:v>
                </c:pt>
                <c:pt idx="16">
                  <c:v>Horse Riding</c:v>
                </c:pt>
                <c:pt idx="17">
                  <c:v>Information</c:v>
                </c:pt>
                <c:pt idx="18">
                  <c:v>Jet Skiing</c:v>
                </c:pt>
                <c:pt idx="19">
                  <c:v>Marroning</c:v>
                </c:pt>
                <c:pt idx="20">
                  <c:v>Motorised Vehicle Rallying</c:v>
                </c:pt>
                <c:pt idx="21">
                  <c:v>Mountain Biking</c:v>
                </c:pt>
                <c:pt idx="22">
                  <c:v>Nature Study</c:v>
                </c:pt>
                <c:pt idx="23">
                  <c:v>Off-roading</c:v>
                </c:pt>
                <c:pt idx="24">
                  <c:v>Other</c:v>
                </c:pt>
                <c:pt idx="25">
                  <c:v>Picnicking</c:v>
                </c:pt>
                <c:pt idx="26">
                  <c:v>Power Boating</c:v>
                </c:pt>
                <c:pt idx="27">
                  <c:v>River Crossing</c:v>
                </c:pt>
                <c:pt idx="28">
                  <c:v>Rock Climbing</c:v>
                </c:pt>
                <c:pt idx="29">
                  <c:v>Scenic Driving</c:v>
                </c:pt>
                <c:pt idx="30">
                  <c:v>Snorkelling</c:v>
                </c:pt>
                <c:pt idx="31">
                  <c:v>Surfing</c:v>
                </c:pt>
                <c:pt idx="32">
                  <c:v>Swimming</c:v>
                </c:pt>
                <c:pt idx="33">
                  <c:v>Water Skiing</c:v>
                </c:pt>
                <c:pt idx="34">
                  <c:v>Wildflower Viewing</c:v>
                </c:pt>
                <c:pt idx="35">
                  <c:v>Wildlife Viewing</c:v>
                </c:pt>
              </c:strCache>
            </c:strRef>
          </c:cat>
          <c:val>
            <c:numRef>
              <c:f>Sheet1!$B$41:$B$76</c:f>
              <c:numCache>
                <c:formatCode>General</c:formatCode>
                <c:ptCount val="36"/>
                <c:pt idx="0">
                  <c:v>12</c:v>
                </c:pt>
                <c:pt idx="1">
                  <c:v>62</c:v>
                </c:pt>
                <c:pt idx="2">
                  <c:v>99</c:v>
                </c:pt>
                <c:pt idx="3">
                  <c:v>114</c:v>
                </c:pt>
                <c:pt idx="4">
                  <c:v>16</c:v>
                </c:pt>
                <c:pt idx="5">
                  <c:v>268</c:v>
                </c:pt>
                <c:pt idx="6">
                  <c:v>128</c:v>
                </c:pt>
                <c:pt idx="7">
                  <c:v>63</c:v>
                </c:pt>
                <c:pt idx="8">
                  <c:v>12</c:v>
                </c:pt>
                <c:pt idx="9">
                  <c:v>49</c:v>
                </c:pt>
                <c:pt idx="10">
                  <c:v>6</c:v>
                </c:pt>
                <c:pt idx="11">
                  <c:v>117</c:v>
                </c:pt>
                <c:pt idx="12">
                  <c:v>41</c:v>
                </c:pt>
                <c:pt idx="13">
                  <c:v>1</c:v>
                </c:pt>
                <c:pt idx="14">
                  <c:v>6</c:v>
                </c:pt>
                <c:pt idx="15">
                  <c:v>65</c:v>
                </c:pt>
                <c:pt idx="16">
                  <c:v>6</c:v>
                </c:pt>
                <c:pt idx="17">
                  <c:v>82</c:v>
                </c:pt>
                <c:pt idx="18">
                  <c:v>2</c:v>
                </c:pt>
                <c:pt idx="19">
                  <c:v>24</c:v>
                </c:pt>
                <c:pt idx="20">
                  <c:v>2</c:v>
                </c:pt>
                <c:pt idx="21">
                  <c:v>31</c:v>
                </c:pt>
                <c:pt idx="22">
                  <c:v>5</c:v>
                </c:pt>
                <c:pt idx="23">
                  <c:v>3</c:v>
                </c:pt>
                <c:pt idx="24">
                  <c:v>8</c:v>
                </c:pt>
                <c:pt idx="25">
                  <c:v>185</c:v>
                </c:pt>
                <c:pt idx="26">
                  <c:v>4</c:v>
                </c:pt>
                <c:pt idx="27">
                  <c:v>3</c:v>
                </c:pt>
                <c:pt idx="28">
                  <c:v>10</c:v>
                </c:pt>
                <c:pt idx="29">
                  <c:v>72</c:v>
                </c:pt>
                <c:pt idx="30">
                  <c:v>11</c:v>
                </c:pt>
                <c:pt idx="31">
                  <c:v>37</c:v>
                </c:pt>
                <c:pt idx="32">
                  <c:v>70</c:v>
                </c:pt>
                <c:pt idx="33">
                  <c:v>0</c:v>
                </c:pt>
                <c:pt idx="34">
                  <c:v>11</c:v>
                </c:pt>
                <c:pt idx="35">
                  <c:v>127</c:v>
                </c:pt>
              </c:numCache>
            </c:numRef>
          </c:val>
          <c:extLst>
            <c:ext xmlns:c16="http://schemas.microsoft.com/office/drawing/2014/chart" uri="{C3380CC4-5D6E-409C-BE32-E72D297353CC}">
              <c16:uniqueId val="{00000000-F4AD-4F38-92B8-C6F84922FFE4}"/>
            </c:ext>
          </c:extLst>
        </c:ser>
        <c:ser>
          <c:idx val="1"/>
          <c:order val="1"/>
          <c:tx>
            <c:strRef>
              <c:f>Sheet1!$C$40</c:f>
              <c:strCache>
                <c:ptCount val="1"/>
                <c:pt idx="0">
                  <c:v>2017-2018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Sheet1!$A$41:$A$76</c:f>
              <c:strCache>
                <c:ptCount val="36"/>
                <c:pt idx="0">
                  <c:v>Abseiling</c:v>
                </c:pt>
                <c:pt idx="1">
                  <c:v>Accommodation</c:v>
                </c:pt>
                <c:pt idx="2">
                  <c:v>Barbecuing</c:v>
                </c:pt>
                <c:pt idx="3">
                  <c:v>Bird Watching</c:v>
                </c:pt>
                <c:pt idx="4">
                  <c:v>Boat Launching</c:v>
                </c:pt>
                <c:pt idx="5">
                  <c:v>Bush Walking</c:v>
                </c:pt>
                <c:pt idx="6">
                  <c:v>Camping</c:v>
                </c:pt>
                <c:pt idx="7">
                  <c:v>Canoeing/Kayaking</c:v>
                </c:pt>
                <c:pt idx="8">
                  <c:v>Caving</c:v>
                </c:pt>
                <c:pt idx="9">
                  <c:v>Cycling</c:v>
                </c:pt>
                <c:pt idx="10">
                  <c:v>Diving</c:v>
                </c:pt>
                <c:pt idx="11">
                  <c:v>Fishing</c:v>
                </c:pt>
                <c:pt idx="12">
                  <c:v>Four Wheel Driving</c:v>
                </c:pt>
                <c:pt idx="13">
                  <c:v>Geocaching</c:v>
                </c:pt>
                <c:pt idx="14">
                  <c:v>Guided Activities</c:v>
                </c:pt>
                <c:pt idx="15">
                  <c:v>Historic Site</c:v>
                </c:pt>
                <c:pt idx="16">
                  <c:v>Horse Riding</c:v>
                </c:pt>
                <c:pt idx="17">
                  <c:v>Information</c:v>
                </c:pt>
                <c:pt idx="18">
                  <c:v>Jet Skiing</c:v>
                </c:pt>
                <c:pt idx="19">
                  <c:v>Marroning</c:v>
                </c:pt>
                <c:pt idx="20">
                  <c:v>Motorised Vehicle Rallying</c:v>
                </c:pt>
                <c:pt idx="21">
                  <c:v>Mountain Biking</c:v>
                </c:pt>
                <c:pt idx="22">
                  <c:v>Nature Study</c:v>
                </c:pt>
                <c:pt idx="23">
                  <c:v>Off-roading</c:v>
                </c:pt>
                <c:pt idx="24">
                  <c:v>Other</c:v>
                </c:pt>
                <c:pt idx="25">
                  <c:v>Picnicking</c:v>
                </c:pt>
                <c:pt idx="26">
                  <c:v>Power Boating</c:v>
                </c:pt>
                <c:pt idx="27">
                  <c:v>River Crossing</c:v>
                </c:pt>
                <c:pt idx="28">
                  <c:v>Rock Climbing</c:v>
                </c:pt>
                <c:pt idx="29">
                  <c:v>Scenic Driving</c:v>
                </c:pt>
                <c:pt idx="30">
                  <c:v>Snorkelling</c:v>
                </c:pt>
                <c:pt idx="31">
                  <c:v>Surfing</c:v>
                </c:pt>
                <c:pt idx="32">
                  <c:v>Swimming</c:v>
                </c:pt>
                <c:pt idx="33">
                  <c:v>Water Skiing</c:v>
                </c:pt>
                <c:pt idx="34">
                  <c:v>Wildflower Viewing</c:v>
                </c:pt>
                <c:pt idx="35">
                  <c:v>Wildlife Viewing</c:v>
                </c:pt>
              </c:strCache>
            </c:strRef>
          </c:cat>
          <c:val>
            <c:numRef>
              <c:f>Sheet1!$C$41:$C$76</c:f>
              <c:numCache>
                <c:formatCode>General</c:formatCode>
                <c:ptCount val="36"/>
                <c:pt idx="0">
                  <c:v>12</c:v>
                </c:pt>
                <c:pt idx="1">
                  <c:v>67</c:v>
                </c:pt>
                <c:pt idx="2">
                  <c:v>100</c:v>
                </c:pt>
                <c:pt idx="3">
                  <c:v>114</c:v>
                </c:pt>
                <c:pt idx="4">
                  <c:v>17</c:v>
                </c:pt>
                <c:pt idx="5">
                  <c:v>276</c:v>
                </c:pt>
                <c:pt idx="6">
                  <c:v>134</c:v>
                </c:pt>
                <c:pt idx="7">
                  <c:v>65</c:v>
                </c:pt>
                <c:pt idx="8">
                  <c:v>12</c:v>
                </c:pt>
                <c:pt idx="9">
                  <c:v>50</c:v>
                </c:pt>
                <c:pt idx="10">
                  <c:v>6</c:v>
                </c:pt>
                <c:pt idx="11">
                  <c:v>120</c:v>
                </c:pt>
                <c:pt idx="12">
                  <c:v>41</c:v>
                </c:pt>
                <c:pt idx="13">
                  <c:v>1</c:v>
                </c:pt>
                <c:pt idx="14">
                  <c:v>6</c:v>
                </c:pt>
                <c:pt idx="15">
                  <c:v>66</c:v>
                </c:pt>
                <c:pt idx="16">
                  <c:v>6</c:v>
                </c:pt>
                <c:pt idx="17">
                  <c:v>83</c:v>
                </c:pt>
                <c:pt idx="18">
                  <c:v>3</c:v>
                </c:pt>
                <c:pt idx="19">
                  <c:v>25</c:v>
                </c:pt>
                <c:pt idx="20">
                  <c:v>2</c:v>
                </c:pt>
                <c:pt idx="21">
                  <c:v>35</c:v>
                </c:pt>
                <c:pt idx="22">
                  <c:v>5</c:v>
                </c:pt>
                <c:pt idx="23">
                  <c:v>3</c:v>
                </c:pt>
                <c:pt idx="24">
                  <c:v>9</c:v>
                </c:pt>
                <c:pt idx="25">
                  <c:v>186</c:v>
                </c:pt>
                <c:pt idx="26">
                  <c:v>5</c:v>
                </c:pt>
                <c:pt idx="27">
                  <c:v>4</c:v>
                </c:pt>
                <c:pt idx="28">
                  <c:v>10</c:v>
                </c:pt>
                <c:pt idx="29">
                  <c:v>72</c:v>
                </c:pt>
                <c:pt idx="30">
                  <c:v>12</c:v>
                </c:pt>
                <c:pt idx="31">
                  <c:v>37</c:v>
                </c:pt>
                <c:pt idx="32">
                  <c:v>75</c:v>
                </c:pt>
                <c:pt idx="33">
                  <c:v>1</c:v>
                </c:pt>
                <c:pt idx="34">
                  <c:v>11</c:v>
                </c:pt>
                <c:pt idx="35">
                  <c:v>127</c:v>
                </c:pt>
              </c:numCache>
            </c:numRef>
          </c:val>
          <c:extLst>
            <c:ext xmlns:c16="http://schemas.microsoft.com/office/drawing/2014/chart" uri="{C3380CC4-5D6E-409C-BE32-E72D297353CC}">
              <c16:uniqueId val="{00000001-F4AD-4F38-92B8-C6F84922FFE4}"/>
            </c:ext>
          </c:extLst>
        </c:ser>
        <c:dLbls>
          <c:dLblPos val="outEnd"/>
          <c:showLegendKey val="0"/>
          <c:showVal val="1"/>
          <c:showCatName val="0"/>
          <c:showSerName val="0"/>
          <c:showPercent val="0"/>
          <c:showBubbleSize val="0"/>
        </c:dLbls>
        <c:gapWidth val="182"/>
        <c:axId val="584746592"/>
        <c:axId val="584749336"/>
      </c:barChart>
      <c:catAx>
        <c:axId val="584746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749336"/>
        <c:crosses val="autoZero"/>
        <c:auto val="1"/>
        <c:lblAlgn val="ctr"/>
        <c:lblOffset val="100"/>
        <c:noMultiLvlLbl val="0"/>
      </c:catAx>
      <c:valAx>
        <c:axId val="5847493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746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Waveform">
  <a:themeElements>
    <a:clrScheme name="dpi-template-theme-colours">
      <a:dk1>
        <a:sysClr val="windowText" lastClr="000000"/>
      </a:dk1>
      <a:lt1>
        <a:srgbClr val="FFFFFF"/>
      </a:lt1>
      <a:dk2>
        <a:srgbClr val="3A4C62"/>
      </a:dk2>
      <a:lt2>
        <a:srgbClr val="FFFFFF"/>
      </a:lt2>
      <a:accent1>
        <a:srgbClr val="276ABB"/>
      </a:accent1>
      <a:accent2>
        <a:srgbClr val="31B6FD"/>
      </a:accent2>
      <a:accent3>
        <a:srgbClr val="B0D8B5"/>
      </a:accent3>
      <a:accent4>
        <a:srgbClr val="8BB022"/>
      </a:accent4>
      <a:accent5>
        <a:srgbClr val="F7D03F"/>
      </a:accent5>
      <a:accent6>
        <a:srgbClr val="05E9FB"/>
      </a:accent6>
      <a:hlink>
        <a:srgbClr val="0075EA"/>
      </a:hlink>
      <a:folHlink>
        <a:srgbClr val="5EAEFF"/>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DD844-D76B-4D3B-8B7B-7A3875D095AF}"/>
</file>

<file path=customXml/itemProps2.xml><?xml version="1.0" encoding="utf-8"?>
<ds:datastoreItem xmlns:ds="http://schemas.openxmlformats.org/officeDocument/2006/customXml" ds:itemID="{35B41BBF-0BAA-45DA-9D3A-816C478A46E1}"/>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14456816-B910-4B30-99E0-56BD7C04B65A}"/>
</file>

<file path=customXml/itemProps5.xml><?xml version="1.0" encoding="utf-8"?>
<ds:datastoreItem xmlns:ds="http://schemas.openxmlformats.org/officeDocument/2006/customXml" ds:itemID="{E58F556A-B797-45A1-9BBE-4501836B7D8A}"/>
</file>

<file path=docProps/app.xml><?xml version="1.0" encoding="utf-8"?>
<Properties xmlns="http://schemas.openxmlformats.org/officeDocument/2006/extended-properties" xmlns:vt="http://schemas.openxmlformats.org/officeDocument/2006/docPropsVTypes">
  <Template>Normal</Template>
  <TotalTime>0</TotalTime>
  <Pages>200</Pages>
  <Words>63765</Words>
  <Characters>363464</Characters>
  <Application>Microsoft Office Word</Application>
  <DocSecurity>0</DocSecurity>
  <Lines>3028</Lines>
  <Paragraphs>852</Paragraphs>
  <ScaleCrop>false</ScaleCrop>
  <HeadingPairs>
    <vt:vector size="2" baseType="variant">
      <vt:variant>
        <vt:lpstr>Title</vt:lpstr>
      </vt:variant>
      <vt:variant>
        <vt:i4>1</vt:i4>
      </vt:variant>
    </vt:vector>
  </HeadingPairs>
  <TitlesOfParts>
    <vt:vector size="1" baseType="lpstr">
      <vt:lpstr>Assessment of matters</vt:lpstr>
    </vt:vector>
  </TitlesOfParts>
  <LinksUpToDate>false</LinksUpToDate>
  <CharactersWithSpaces>426377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matters</dc:title>
  <dc:subject/>
  <dc:creator/>
  <cp:keywords/>
  <dc:description/>
  <cp:lastModifiedBy/>
  <cp:revision>1</cp:revision>
  <dcterms:created xsi:type="dcterms:W3CDTF">2019-01-15T08:04:00Z</dcterms:created>
  <dcterms:modified xsi:type="dcterms:W3CDTF">2019-03-06T08:34:00Z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ActiveItemSiteId">
    <vt:lpwstr>{592f51bd-7f6c-40bf-afb4-0f69d5494f0f}</vt:lpwstr>
  </property>
  <property fmtid="{D5CDD505-2E9C-101B-9397-08002B2CF9AE}" pid="3" name="RecordPoint_ActiveItemListId">
    <vt:lpwstr>{0f428195-da8d-4e88-a8d7-f9536962641c}</vt:lpwstr>
  </property>
  <property fmtid="{D5CDD505-2E9C-101B-9397-08002B2CF9AE}" pid="4" name="ContentTypeId">
    <vt:lpwstr>0x01010078F6B24EF29B14488A4D3E054F39A21B</vt:lpwstr>
  </property>
  <property fmtid="{D5CDD505-2E9C-101B-9397-08002B2CF9AE}" pid="5" name="RecordPoint_ActiveItemUniqueId">
    <vt:lpwstr>{b31aa44c-43a2-48e3-870b-9fc02161f594}</vt:lpwstr>
  </property>
  <property fmtid="{D5CDD505-2E9C-101B-9397-08002B2CF9AE}" pid="6" name="RecordPoint_ActiveItemWebId">
    <vt:lpwstr>{7f0dbcdb-8733-46c7-8260-b6bc98d8a954}</vt:lpwstr>
  </property>
  <property fmtid="{D5CDD505-2E9C-101B-9397-08002B2CF9AE}" pid="7" name="RecordPoint_WorkflowType">
    <vt:lpwstr>ActiveSubmitStub</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