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>As we move to a more sustainable world, the role of renewable materials has never been more important.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bookmarkStart w:id="0" w:name="_GoBack"/>
      <w:bookmarkEnd w:id="0"/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>There’</w:t>
      </w:r>
      <w:r w:rsidRPr="006E56BB">
        <w:rPr>
          <w:rFonts w:asciiTheme="minorHAnsi" w:hAnsiTheme="minorHAnsi" w:cstheme="minorHAnsi"/>
          <w:sz w:val="24"/>
          <w:szCs w:val="24"/>
          <w:lang w:eastAsia="ja-JP"/>
        </w:rPr>
        <w:t xml:space="preserve">s one renewable material that stands above all others; a material so versatile, so miraculous that if it didn’t already exist, we’d have to invent it. 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 xml:space="preserve">And that product is wood. 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 xml:space="preserve">Every single Australian, uses products derived from wood every single day. 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 xml:space="preserve">And not always in the way you’d think.  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 xml:space="preserve">From teabags to toothpaste, make up to medications, wood components are integral to a huge number of everyday products. 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>Craig Busby, Operations and Silviculture Manager: “Timber is absolutely the ultimate renewable. There is no other product that I know that you can have such a diverse range of uses and such a stunningly aesthetic product that has continuity into the future.”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>More environmentally friendly than other materials, the ability of wood to soak up carbon, regenerate and re-grow, makes it the most important environmental material of the future.</w:t>
      </w: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:rsidR="00C42E6E" w:rsidRPr="006E56BB" w:rsidRDefault="00C42E6E" w:rsidP="00C42E6E">
      <w:pPr>
        <w:rPr>
          <w:rFonts w:asciiTheme="minorHAnsi" w:hAnsiTheme="minorHAnsi" w:cstheme="minorHAnsi"/>
          <w:sz w:val="24"/>
          <w:szCs w:val="24"/>
          <w:lang w:eastAsia="ja-JP"/>
        </w:rPr>
      </w:pPr>
      <w:r w:rsidRPr="006E56BB">
        <w:rPr>
          <w:rFonts w:asciiTheme="minorHAnsi" w:hAnsiTheme="minorHAnsi" w:cstheme="minorHAnsi"/>
          <w:sz w:val="24"/>
          <w:szCs w:val="24"/>
          <w:lang w:eastAsia="ja-JP"/>
        </w:rPr>
        <w:t>Australian Forestry. Planning for tomorrow, today.</w:t>
      </w:r>
    </w:p>
    <w:p w:rsidR="00905F94" w:rsidRPr="006E56BB" w:rsidRDefault="00905F94" w:rsidP="00905F94">
      <w:pPr>
        <w:rPr>
          <w:rFonts w:asciiTheme="minorHAnsi" w:hAnsiTheme="minorHAnsi"/>
          <w:lang w:eastAsia="ja-JP"/>
        </w:rPr>
      </w:pPr>
    </w:p>
    <w:sectPr w:rsidR="00905F94" w:rsidRPr="006E56B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6E" w:rsidRDefault="00C42E6E">
      <w:r>
        <w:separator/>
      </w:r>
    </w:p>
  </w:endnote>
  <w:endnote w:type="continuationSeparator" w:id="0">
    <w:p w:rsidR="00C42E6E" w:rsidRDefault="00C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6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6E" w:rsidRDefault="00C42E6E">
      <w:r>
        <w:separator/>
      </w:r>
    </w:p>
  </w:footnote>
  <w:footnote w:type="continuationSeparator" w:id="0">
    <w:p w:rsidR="00C42E6E" w:rsidRDefault="00C42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Default="00C42E6E">
    <w:pPr>
      <w:pStyle w:val="Header"/>
    </w:pPr>
    <w:r>
      <w:t>Transcript: Wood – The Ultimate Renewable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E"/>
    <w:rsid w:val="0011629F"/>
    <w:rsid w:val="00461807"/>
    <w:rsid w:val="0054747E"/>
    <w:rsid w:val="00626E31"/>
    <w:rsid w:val="006E56BB"/>
    <w:rsid w:val="00905F94"/>
    <w:rsid w:val="00AA4B88"/>
    <w:rsid w:val="00B57188"/>
    <w:rsid w:val="00C42E6E"/>
    <w:rsid w:val="00C6669A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FDC555-F8AA-4635-9304-432D534B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E6E"/>
    <w:rPr>
      <w:rFonts w:ascii="Helvetica" w:eastAsiaTheme="minorHAnsi" w:hAnsi="Helvetica" w:cstheme="minorBidi"/>
      <w:sz w:val="28"/>
      <w:szCs w:val="28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/>
      <w:outlineLvl w:val="1"/>
    </w:pPr>
    <w:rPr>
      <w:rFonts w:ascii="Calibri" w:eastAsia="Times New Roman" w:hAnsi="Calibri" w:cs="Times New Roman"/>
      <w:bCs/>
      <w:color w:val="000000"/>
      <w:sz w:val="56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ascii="Cambria" w:eastAsiaTheme="majorEastAsia" w:hAnsi="Cambria" w:cstheme="majorBidi"/>
      <w:b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/>
    </w:pPr>
    <w:rPr>
      <w:rFonts w:ascii="Cambria" w:eastAsia="Calibri" w:hAnsi="Cambria" w:cs="Times New Roman"/>
      <w:b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/>
      <w:ind w:firstLine="425"/>
    </w:pPr>
    <w:rPr>
      <w:rFonts w:ascii="Cambria" w:eastAsia="Calibri" w:hAnsi="Cambria" w:cs="Times New Roman"/>
      <w:noProof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/>
      <w:ind w:firstLine="851"/>
    </w:pPr>
    <w:rPr>
      <w:rFonts w:ascii="Cambria" w:eastAsia="Calibri" w:hAnsi="Cambria" w:cs="Times New Roman"/>
      <w:noProof/>
      <w:sz w:val="22"/>
      <w:szCs w:val="22"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/>
    </w:pPr>
    <w:rPr>
      <w:rFonts w:ascii="Cambria" w:eastAsia="Calibri" w:hAnsi="Cambria" w:cs="Times New Roman"/>
      <w:sz w:val="22"/>
      <w:szCs w:val="22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/>
    </w:pPr>
    <w:rPr>
      <w:rFonts w:ascii="Cambria" w:eastAsia="Calibri" w:hAnsi="Cambria" w:cs="Times New Roman"/>
      <w:sz w:val="22"/>
      <w:szCs w:val="22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/>
      <w:contextualSpacing/>
    </w:pPr>
    <w:rPr>
      <w:rFonts w:ascii="Cambria" w:eastAsia="Calibri" w:hAnsi="Cambria" w:cs="Times New Roman"/>
      <w:sz w:val="22"/>
      <w:szCs w:val="22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rFonts w:ascii="Cambria" w:eastAsia="Calibri" w:hAnsi="Cambria" w:cs="Times New Roman"/>
      <w:sz w:val="20"/>
      <w:szCs w:val="22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mbria" w:eastAsia="Calibri" w:hAnsi="Cambria" w:cs="Times New Roman"/>
      <w:sz w:val="18"/>
      <w:szCs w:val="22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rFonts w:ascii="Cambria" w:eastAsia="Calibri" w:hAnsi="Cambria" w:cs="Times New Roman"/>
      <w:sz w:val="18"/>
      <w:szCs w:val="22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/>
    </w:pPr>
    <w:rPr>
      <w:rFonts w:ascii="Cambria" w:eastAsia="Calibri" w:hAnsi="Cambria" w:cs="Times New Roman"/>
      <w:sz w:val="22"/>
      <w:szCs w:val="22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/>
      <w:contextualSpacing/>
    </w:pPr>
    <w:rPr>
      <w:rFonts w:ascii="Cambria" w:eastAsia="Calibri" w:hAnsi="Cambria" w:cs="Times New Roman"/>
      <w:sz w:val="22"/>
      <w:szCs w:val="22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/>
      <w:contextualSpacing/>
    </w:pPr>
    <w:rPr>
      <w:rFonts w:ascii="Cambria" w:eastAsia="Calibri" w:hAnsi="Cambria" w:cs="Times New Roman"/>
      <w:sz w:val="22"/>
      <w:szCs w:val="22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/>
      <w:ind w:left="1701"/>
      <w:jc w:val="right"/>
    </w:pPr>
    <w:rPr>
      <w:rFonts w:ascii="Cambria" w:eastAsia="Calibri" w:hAnsi="Cambria" w:cs="Times New Roman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73EA91-DA46-499E-BB5E-6F8C93A43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DC14A5-2FC2-4475-A120-88E2E4F21643}"/>
</file>

<file path=customXml/itemProps3.xml><?xml version="1.0" encoding="utf-8"?>
<ds:datastoreItem xmlns:ds="http://schemas.openxmlformats.org/officeDocument/2006/customXml" ds:itemID="{231A268C-AF52-4CB7-934C-6779331AB10C}"/>
</file>

<file path=customXml/itemProps4.xml><?xml version="1.0" encoding="utf-8"?>
<ds:datastoreItem xmlns:ds="http://schemas.openxmlformats.org/officeDocument/2006/customXml" ds:itemID="{02CED567-8359-4767-A47C-239556870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Barkley, Belinda</dc:creator>
  <cp:keywords/>
  <dc:description/>
  <cp:lastModifiedBy>Barkley, Belinda</cp:lastModifiedBy>
  <cp:revision>2</cp:revision>
  <cp:lastPrinted>2015-08-14T05:36:00Z</cp:lastPrinted>
  <dcterms:created xsi:type="dcterms:W3CDTF">2019-09-12T01:05:00Z</dcterms:created>
  <dcterms:modified xsi:type="dcterms:W3CDTF">2019-09-12T01:27:00Z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