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AE30D" w14:textId="77777777" w:rsidR="00B03109" w:rsidRPr="00C8698A" w:rsidRDefault="00B03109" w:rsidP="00B03109">
      <w:pPr>
        <w:pStyle w:val="Heading2"/>
        <w:jc w:val="center"/>
        <w:rPr>
          <w:rFonts w:ascii="Calibri" w:hAnsi="Calibri"/>
          <w:color w:val="auto"/>
          <w:sz w:val="48"/>
          <w:szCs w:val="48"/>
        </w:rPr>
      </w:pPr>
      <w:bookmarkStart w:id="0" w:name="_Toc438109682"/>
      <w:bookmarkStart w:id="1" w:name="_Toc462754362"/>
      <w:bookmarkStart w:id="2" w:name="_Toc462755151"/>
      <w:bookmarkStart w:id="3" w:name="_Toc464482904"/>
      <w:bookmarkStart w:id="4" w:name="_Toc465075691"/>
      <w:bookmarkStart w:id="5" w:name="_Toc465086446"/>
      <w:bookmarkStart w:id="6" w:name="_Toc465160139"/>
      <w:bookmarkStart w:id="7" w:name="_Toc466462510"/>
      <w:r w:rsidRPr="00C8698A">
        <w:rPr>
          <w:rFonts w:ascii="Calibri" w:hAnsi="Calibri"/>
          <w:color w:val="auto"/>
          <w:sz w:val="48"/>
          <w:szCs w:val="48"/>
        </w:rPr>
        <w:t>Horse Disease Response Levy Review</w:t>
      </w:r>
      <w:bookmarkStart w:id="8" w:name="_Toc438109683"/>
      <w:bookmarkEnd w:id="0"/>
      <w:bookmarkEnd w:id="1"/>
      <w:bookmarkEnd w:id="2"/>
      <w:bookmarkEnd w:id="3"/>
      <w:bookmarkEnd w:id="4"/>
      <w:bookmarkEnd w:id="5"/>
      <w:bookmarkEnd w:id="6"/>
      <w:bookmarkEnd w:id="7"/>
    </w:p>
    <w:p w14:paraId="75B5240D" w14:textId="77777777" w:rsidR="00B03109" w:rsidRPr="00C8698A" w:rsidRDefault="00B03109" w:rsidP="00B03109">
      <w:pPr>
        <w:pStyle w:val="Heading2"/>
        <w:jc w:val="center"/>
        <w:rPr>
          <w:rFonts w:ascii="Calibri" w:hAnsi="Calibri"/>
          <w:sz w:val="48"/>
          <w:szCs w:val="48"/>
        </w:rPr>
      </w:pPr>
      <w:bookmarkStart w:id="9" w:name="_Toc462754363"/>
      <w:bookmarkStart w:id="10" w:name="_Toc462755152"/>
      <w:bookmarkStart w:id="11" w:name="_Toc464482905"/>
      <w:bookmarkStart w:id="12" w:name="_Toc465075692"/>
      <w:bookmarkStart w:id="13" w:name="_Toc465086447"/>
      <w:bookmarkStart w:id="14" w:name="_Toc465160140"/>
      <w:bookmarkStart w:id="15" w:name="_Toc466462511"/>
      <w:r w:rsidRPr="00C8698A">
        <w:rPr>
          <w:rFonts w:ascii="Calibri" w:hAnsi="Calibri"/>
          <w:color w:val="auto"/>
          <w:sz w:val="48"/>
          <w:szCs w:val="48"/>
        </w:rPr>
        <w:t>Consultation Report</w:t>
      </w:r>
      <w:bookmarkEnd w:id="8"/>
      <w:bookmarkEnd w:id="9"/>
      <w:bookmarkEnd w:id="10"/>
      <w:bookmarkEnd w:id="11"/>
      <w:bookmarkEnd w:id="12"/>
      <w:bookmarkEnd w:id="13"/>
      <w:bookmarkEnd w:id="14"/>
      <w:bookmarkEnd w:id="15"/>
    </w:p>
    <w:p w14:paraId="4135035E" w14:textId="77777777" w:rsidR="00B03109" w:rsidRPr="00F92988" w:rsidRDefault="00B03109" w:rsidP="00B03109">
      <w:pPr>
        <w:pBdr>
          <w:bottom w:val="single" w:sz="4" w:space="1" w:color="auto"/>
        </w:pBdr>
      </w:pPr>
    </w:p>
    <w:p w14:paraId="29CEF9F4" w14:textId="0D56D0C1" w:rsidR="00B03109" w:rsidRPr="002E2562" w:rsidRDefault="00266303" w:rsidP="00B03109">
      <w:pPr>
        <w:jc w:val="right"/>
      </w:pPr>
      <w:r>
        <w:t>November</w:t>
      </w:r>
      <w:r w:rsidR="00B03109">
        <w:t xml:space="preserve"> 2016</w:t>
      </w:r>
    </w:p>
    <w:p w14:paraId="0457C017" w14:textId="77777777" w:rsidR="00B03109" w:rsidRPr="00D970F6" w:rsidRDefault="00B03109" w:rsidP="00B03109">
      <w:pPr>
        <w:rPr>
          <w:sz w:val="20"/>
        </w:rPr>
      </w:pPr>
      <w:r>
        <w:rPr>
          <w:noProof/>
          <w:lang w:eastAsia="en-AU"/>
        </w:rPr>
        <w:drawing>
          <wp:inline distT="0" distB="0" distL="0" distR="0" wp14:anchorId="3DAEAF4E" wp14:editId="4F9CDD8C">
            <wp:extent cx="5757545" cy="5757545"/>
            <wp:effectExtent l="0" t="0" r="0" b="0"/>
            <wp:docPr id="2" name="Picture 2" descr="Horse disease biosphere" title="Horse Disease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2617_0716_Horse disease biosphe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7545" cy="5757545"/>
                    </a:xfrm>
                    <a:prstGeom prst="rect">
                      <a:avLst/>
                    </a:prstGeom>
                    <a:noFill/>
                    <a:ln>
                      <a:noFill/>
                    </a:ln>
                  </pic:spPr>
                </pic:pic>
              </a:graphicData>
            </a:graphic>
          </wp:inline>
        </w:drawing>
      </w:r>
      <w:bookmarkStart w:id="16" w:name="_GoBack"/>
      <w:bookmarkEnd w:id="16"/>
      <w:r>
        <w:br w:type="page"/>
      </w:r>
      <w:r w:rsidRPr="00D970F6">
        <w:rPr>
          <w:sz w:val="20"/>
        </w:rPr>
        <w:lastRenderedPageBreak/>
        <w:t>© Commonwealth of Australia</w:t>
      </w:r>
    </w:p>
    <w:p w14:paraId="3570D98B" w14:textId="77777777" w:rsidR="00B03109" w:rsidRPr="00D970F6" w:rsidRDefault="00B03109" w:rsidP="00B03109">
      <w:pPr>
        <w:rPr>
          <w:rStyle w:val="Strong"/>
          <w:sz w:val="20"/>
        </w:rPr>
      </w:pPr>
      <w:r w:rsidRPr="00D970F6">
        <w:rPr>
          <w:rStyle w:val="Strong"/>
          <w:sz w:val="20"/>
        </w:rPr>
        <w:t>Ownership of intellectual property rights</w:t>
      </w:r>
    </w:p>
    <w:p w14:paraId="45568343" w14:textId="77777777" w:rsidR="00B03109" w:rsidRPr="00D970F6" w:rsidRDefault="00B03109" w:rsidP="00B03109">
      <w:pPr>
        <w:rPr>
          <w:sz w:val="20"/>
        </w:rPr>
      </w:pPr>
      <w:r w:rsidRPr="00D970F6">
        <w:rPr>
          <w:sz w:val="20"/>
        </w:rPr>
        <w:t>Unless otherwise noted, copyright (and any other intellectual property rights, if any) in this publication is owned by the Commonwealth of Australia (referred to as the Commonwealth).</w:t>
      </w:r>
    </w:p>
    <w:p w14:paraId="22F66C0C" w14:textId="77777777" w:rsidR="00B03109" w:rsidRPr="00D970F6" w:rsidRDefault="00B03109" w:rsidP="00B03109">
      <w:pPr>
        <w:rPr>
          <w:rStyle w:val="Strong"/>
          <w:sz w:val="20"/>
        </w:rPr>
      </w:pPr>
      <w:proofErr w:type="gramStart"/>
      <w:r w:rsidRPr="00D970F6">
        <w:rPr>
          <w:rStyle w:val="Strong"/>
          <w:sz w:val="20"/>
        </w:rPr>
        <w:t>Creative Commons</w:t>
      </w:r>
      <w:proofErr w:type="gramEnd"/>
      <w:r w:rsidRPr="00D970F6">
        <w:rPr>
          <w:rStyle w:val="Strong"/>
          <w:sz w:val="20"/>
        </w:rPr>
        <w:t xml:space="preserve"> licence</w:t>
      </w:r>
    </w:p>
    <w:p w14:paraId="629BBF81" w14:textId="77777777" w:rsidR="00B03109" w:rsidRPr="00D970F6" w:rsidRDefault="00B03109" w:rsidP="00B03109">
      <w:pPr>
        <w:rPr>
          <w:sz w:val="20"/>
        </w:rPr>
      </w:pPr>
      <w:r w:rsidRPr="00D970F6">
        <w:rPr>
          <w:sz w:val="20"/>
        </w:rPr>
        <w:t>All material in this publication is licensed under a Creative Commons Attribution 3.0 Australia Licence, save for content supplied by third parties, logos and the Commonwealth Coat of Arms.</w:t>
      </w:r>
    </w:p>
    <w:p w14:paraId="0C0EAC15" w14:textId="77777777" w:rsidR="00B03109" w:rsidRPr="00D970F6" w:rsidRDefault="00B03109" w:rsidP="00B03109">
      <w:pPr>
        <w:rPr>
          <w:sz w:val="20"/>
        </w:rPr>
      </w:pPr>
      <w:r w:rsidRPr="00D970F6">
        <w:rPr>
          <w:noProof/>
          <w:sz w:val="20"/>
          <w:lang w:eastAsia="en-AU"/>
        </w:rPr>
        <w:drawing>
          <wp:inline distT="0" distB="0" distL="0" distR="0" wp14:anchorId="0B337749" wp14:editId="5073E3CA">
            <wp:extent cx="719455" cy="254000"/>
            <wp:effectExtent l="0" t="0" r="4445" b="0"/>
            <wp:docPr id="1" name="Picture 1" descr="A Creative Commons Attribution 3.0 Australia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reative Commons Attribution 3.0 Australia Licen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254000"/>
                    </a:xfrm>
                    <a:prstGeom prst="rect">
                      <a:avLst/>
                    </a:prstGeom>
                    <a:noFill/>
                    <a:ln>
                      <a:noFill/>
                    </a:ln>
                  </pic:spPr>
                </pic:pic>
              </a:graphicData>
            </a:graphic>
          </wp:inline>
        </w:drawing>
      </w:r>
    </w:p>
    <w:p w14:paraId="29EC4A8B" w14:textId="77777777" w:rsidR="00B03109" w:rsidRPr="00D970F6" w:rsidRDefault="00B03109" w:rsidP="00B03109">
      <w:pPr>
        <w:rPr>
          <w:rStyle w:val="Strong"/>
          <w:bCs w:val="0"/>
          <w:sz w:val="20"/>
        </w:rPr>
      </w:pPr>
      <w:r w:rsidRPr="00D970F6">
        <w:rPr>
          <w:sz w:val="20"/>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0" w:history="1">
        <w:r w:rsidRPr="00D970F6">
          <w:rPr>
            <w:rStyle w:val="Hyperlink"/>
            <w:sz w:val="20"/>
          </w:rPr>
          <w:t>creativecommons.org/licenses/by/3.0/au/</w:t>
        </w:r>
        <w:proofErr w:type="spellStart"/>
        <w:r w:rsidRPr="00D970F6">
          <w:rPr>
            <w:rStyle w:val="Hyperlink"/>
            <w:sz w:val="20"/>
          </w:rPr>
          <w:t>deed.en</w:t>
        </w:r>
        <w:proofErr w:type="spellEnd"/>
      </w:hyperlink>
      <w:r w:rsidRPr="00D970F6">
        <w:rPr>
          <w:sz w:val="20"/>
        </w:rPr>
        <w:t xml:space="preserve">. The full licence terms are available from </w:t>
      </w:r>
      <w:hyperlink r:id="rId11" w:history="1">
        <w:r w:rsidRPr="00D970F6">
          <w:rPr>
            <w:rStyle w:val="Hyperlink"/>
            <w:sz w:val="20"/>
          </w:rPr>
          <w:t>creativecommons.org/licenses/by/3.0/au/</w:t>
        </w:r>
        <w:proofErr w:type="spellStart"/>
        <w:r w:rsidRPr="00D970F6">
          <w:rPr>
            <w:rStyle w:val="Hyperlink"/>
            <w:sz w:val="20"/>
          </w:rPr>
          <w:t>legalcode</w:t>
        </w:r>
        <w:proofErr w:type="spellEnd"/>
      </w:hyperlink>
      <w:r w:rsidRPr="00D970F6">
        <w:rPr>
          <w:sz w:val="20"/>
        </w:rPr>
        <w:t>.</w:t>
      </w:r>
      <w:r w:rsidRPr="00D970F6">
        <w:rPr>
          <w:rStyle w:val="Strong"/>
          <w:sz w:val="20"/>
        </w:rPr>
        <w:t xml:space="preserve"> </w:t>
      </w:r>
    </w:p>
    <w:p w14:paraId="68F470B7" w14:textId="77777777" w:rsidR="00B03109" w:rsidRPr="00D970F6" w:rsidRDefault="00B03109" w:rsidP="00B03109">
      <w:pPr>
        <w:rPr>
          <w:rStyle w:val="Strong"/>
          <w:b w:val="0"/>
          <w:bCs w:val="0"/>
          <w:color w:val="365F91"/>
          <w:sz w:val="20"/>
        </w:rPr>
      </w:pPr>
      <w:r w:rsidRPr="00D970F6">
        <w:rPr>
          <w:rStyle w:val="Strong"/>
          <w:color w:val="365F91"/>
          <w:sz w:val="20"/>
        </w:rPr>
        <w:t>Internet</w:t>
      </w:r>
    </w:p>
    <w:p w14:paraId="0494FB7E" w14:textId="77777777" w:rsidR="00B03109" w:rsidRPr="00D970F6" w:rsidRDefault="00B03109" w:rsidP="00B03109">
      <w:pPr>
        <w:rPr>
          <w:sz w:val="20"/>
        </w:rPr>
      </w:pPr>
      <w:r w:rsidRPr="00D970F6">
        <w:rPr>
          <w:rStyle w:val="Emphasis"/>
          <w:sz w:val="20"/>
        </w:rPr>
        <w:t xml:space="preserve">Horse Disease Response Levy Review – </w:t>
      </w:r>
      <w:r>
        <w:rPr>
          <w:rStyle w:val="Emphasis"/>
          <w:sz w:val="20"/>
        </w:rPr>
        <w:t>Consultation Report</w:t>
      </w:r>
      <w:r w:rsidRPr="00D970F6">
        <w:rPr>
          <w:sz w:val="20"/>
        </w:rPr>
        <w:t xml:space="preserve"> is available at </w:t>
      </w:r>
      <w:hyperlink r:id="rId12" w:history="1">
        <w:r w:rsidRPr="00D970F6">
          <w:rPr>
            <w:rStyle w:val="Hyperlink"/>
            <w:sz w:val="20"/>
          </w:rPr>
          <w:t>www.agriculture.gov.au/</w:t>
        </w:r>
        <w:r w:rsidRPr="00D970F6" w:rsidDel="00DF2866">
          <w:rPr>
            <w:rStyle w:val="Hyperlink"/>
            <w:sz w:val="20"/>
          </w:rPr>
          <w:t xml:space="preserve"> </w:t>
        </w:r>
        <w:r w:rsidRPr="00D970F6">
          <w:rPr>
            <w:rStyle w:val="Hyperlink"/>
            <w:sz w:val="20"/>
          </w:rPr>
          <w:t>review-horse-disease-response-levy</w:t>
        </w:r>
      </w:hyperlink>
    </w:p>
    <w:p w14:paraId="6280D089" w14:textId="77777777" w:rsidR="00B03109" w:rsidRPr="00D970F6" w:rsidRDefault="00B03109" w:rsidP="00B03109">
      <w:pPr>
        <w:rPr>
          <w:sz w:val="20"/>
        </w:rPr>
      </w:pPr>
      <w:r w:rsidRPr="00D970F6">
        <w:rPr>
          <w:sz w:val="20"/>
        </w:rPr>
        <w:t xml:space="preserve"> Inquiries regarding the licence and any use of this document should be sent to: </w:t>
      </w:r>
      <w:hyperlink r:id="rId13" w:history="1">
        <w:r w:rsidRPr="00D970F6">
          <w:rPr>
            <w:rStyle w:val="Hyperlink"/>
            <w:sz w:val="20"/>
          </w:rPr>
          <w:t>copyright@agriculture.gov.au</w:t>
        </w:r>
      </w:hyperlink>
      <w:r w:rsidRPr="00D970F6">
        <w:rPr>
          <w:sz w:val="20"/>
        </w:rPr>
        <w:t>.</w:t>
      </w:r>
    </w:p>
    <w:p w14:paraId="02CD07B7" w14:textId="2E488BE6" w:rsidR="00EB6034" w:rsidRDefault="00B03109" w:rsidP="00B03109">
      <w:pPr>
        <w:rPr>
          <w:sz w:val="20"/>
        </w:rPr>
      </w:pPr>
      <w:r w:rsidRPr="00D970F6">
        <w:rPr>
          <w:sz w:val="20"/>
        </w:rPr>
        <w:t>The Australian Government through the Department of Agriculture and Water Resources has exercised due care and skill in the preparation and compilation of the information and data in this publication. Notwithstanding, the Department of Agriculture and Water Resources,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302BCE12" w14:textId="77777777" w:rsidR="00EB6034" w:rsidRDefault="00EB6034">
      <w:pPr>
        <w:spacing w:before="0"/>
        <w:rPr>
          <w:sz w:val="20"/>
        </w:rPr>
      </w:pPr>
      <w:r>
        <w:rPr>
          <w:sz w:val="20"/>
        </w:rPr>
        <w:br w:type="page"/>
      </w:r>
    </w:p>
    <w:p w14:paraId="37EDB83B" w14:textId="77777777" w:rsidR="00B03109" w:rsidRPr="00BC04C6" w:rsidRDefault="00B03109" w:rsidP="00B03109">
      <w:pPr>
        <w:pStyle w:val="TOCHeading"/>
        <w:rPr>
          <w:b/>
          <w:sz w:val="32"/>
        </w:rPr>
      </w:pPr>
      <w:r w:rsidRPr="00BC04C6">
        <w:rPr>
          <w:b/>
          <w:sz w:val="32"/>
        </w:rPr>
        <w:lastRenderedPageBreak/>
        <w:t>Contents</w:t>
      </w:r>
    </w:p>
    <w:p w14:paraId="046BD3AC" w14:textId="77777777" w:rsidR="00CD28C5" w:rsidRDefault="00B03109">
      <w:pPr>
        <w:pStyle w:val="TOC2"/>
        <w:rPr>
          <w:rFonts w:asciiTheme="minorHAnsi" w:eastAsiaTheme="minorEastAsia" w:hAnsiTheme="minorHAnsi" w:cstheme="minorBidi"/>
          <w:sz w:val="22"/>
          <w:szCs w:val="22"/>
          <w:lang w:eastAsia="en-AU"/>
        </w:rPr>
      </w:pPr>
      <w:r>
        <w:fldChar w:fldCharType="begin"/>
      </w:r>
      <w:r>
        <w:instrText xml:space="preserve"> TOC \o "1-3" \h \z \u </w:instrText>
      </w:r>
      <w:r>
        <w:fldChar w:fldCharType="separate"/>
      </w:r>
      <w:hyperlink w:anchor="_Toc466462510" w:history="1">
        <w:r w:rsidR="00CD28C5" w:rsidRPr="002F0989">
          <w:rPr>
            <w:rStyle w:val="Hyperlink"/>
          </w:rPr>
          <w:t>Horse Disease Response Levy Review</w:t>
        </w:r>
        <w:r w:rsidR="00CD28C5">
          <w:rPr>
            <w:webHidden/>
          </w:rPr>
          <w:tab/>
        </w:r>
        <w:r w:rsidR="00CD28C5">
          <w:rPr>
            <w:webHidden/>
          </w:rPr>
          <w:fldChar w:fldCharType="begin"/>
        </w:r>
        <w:r w:rsidR="00CD28C5">
          <w:rPr>
            <w:webHidden/>
          </w:rPr>
          <w:instrText xml:space="preserve"> PAGEREF _Toc466462510 \h </w:instrText>
        </w:r>
        <w:r w:rsidR="00CD28C5">
          <w:rPr>
            <w:webHidden/>
          </w:rPr>
        </w:r>
        <w:r w:rsidR="00CD28C5">
          <w:rPr>
            <w:webHidden/>
          </w:rPr>
          <w:fldChar w:fldCharType="separate"/>
        </w:r>
        <w:r w:rsidR="00602E29">
          <w:rPr>
            <w:webHidden/>
          </w:rPr>
          <w:t>i</w:t>
        </w:r>
        <w:r w:rsidR="00CD28C5">
          <w:rPr>
            <w:webHidden/>
          </w:rPr>
          <w:fldChar w:fldCharType="end"/>
        </w:r>
      </w:hyperlink>
    </w:p>
    <w:p w14:paraId="37A424C8" w14:textId="77777777" w:rsidR="00CD28C5" w:rsidRPr="002F0989" w:rsidRDefault="009D7F46">
      <w:pPr>
        <w:pStyle w:val="TOC2"/>
        <w:rPr>
          <w:rStyle w:val="Hyperlink"/>
        </w:rPr>
      </w:pPr>
      <w:hyperlink w:anchor="_Toc466462511" w:history="1">
        <w:r w:rsidR="00CD28C5" w:rsidRPr="002F0989">
          <w:rPr>
            <w:rStyle w:val="Hyperlink"/>
          </w:rPr>
          <w:t>Consultation Report</w:t>
        </w:r>
        <w:r w:rsidR="00CD28C5" w:rsidRPr="002F0989">
          <w:rPr>
            <w:rStyle w:val="Hyperlink"/>
            <w:webHidden/>
          </w:rPr>
          <w:tab/>
        </w:r>
        <w:r w:rsidR="00CD28C5" w:rsidRPr="002F0989">
          <w:rPr>
            <w:rStyle w:val="Hyperlink"/>
            <w:webHidden/>
          </w:rPr>
          <w:fldChar w:fldCharType="begin"/>
        </w:r>
        <w:r w:rsidR="00CD28C5" w:rsidRPr="002F0989">
          <w:rPr>
            <w:rStyle w:val="Hyperlink"/>
            <w:webHidden/>
          </w:rPr>
          <w:instrText xml:space="preserve"> PAGEREF _Toc466462511 \h </w:instrText>
        </w:r>
        <w:r w:rsidR="00CD28C5" w:rsidRPr="002F0989">
          <w:rPr>
            <w:rStyle w:val="Hyperlink"/>
            <w:webHidden/>
          </w:rPr>
        </w:r>
        <w:r w:rsidR="00CD28C5" w:rsidRPr="002F0989">
          <w:rPr>
            <w:rStyle w:val="Hyperlink"/>
            <w:webHidden/>
          </w:rPr>
          <w:fldChar w:fldCharType="separate"/>
        </w:r>
        <w:r w:rsidR="00602E29">
          <w:rPr>
            <w:rStyle w:val="Hyperlink"/>
            <w:webHidden/>
          </w:rPr>
          <w:t>i</w:t>
        </w:r>
        <w:r w:rsidR="00CD28C5" w:rsidRPr="002F0989">
          <w:rPr>
            <w:rStyle w:val="Hyperlink"/>
            <w:webHidden/>
          </w:rPr>
          <w:fldChar w:fldCharType="end"/>
        </w:r>
      </w:hyperlink>
    </w:p>
    <w:p w14:paraId="2F23E872" w14:textId="77777777" w:rsidR="00CD28C5" w:rsidRDefault="009D7F46">
      <w:pPr>
        <w:pStyle w:val="TOC1"/>
        <w:rPr>
          <w:rFonts w:asciiTheme="minorHAnsi" w:eastAsiaTheme="minorEastAsia" w:hAnsiTheme="minorHAnsi" w:cstheme="minorBidi"/>
          <w:b w:val="0"/>
          <w:sz w:val="22"/>
          <w:szCs w:val="22"/>
          <w:lang w:eastAsia="en-AU"/>
        </w:rPr>
      </w:pPr>
      <w:hyperlink w:anchor="_Toc466462512" w:history="1">
        <w:r w:rsidR="00CD28C5" w:rsidRPr="00A17794">
          <w:rPr>
            <w:rStyle w:val="Hyperlink"/>
          </w:rPr>
          <w:t>Executive Summary</w:t>
        </w:r>
        <w:r w:rsidR="00CD28C5">
          <w:rPr>
            <w:webHidden/>
          </w:rPr>
          <w:tab/>
        </w:r>
        <w:r w:rsidR="00CD28C5">
          <w:rPr>
            <w:webHidden/>
          </w:rPr>
          <w:fldChar w:fldCharType="begin"/>
        </w:r>
        <w:r w:rsidR="00CD28C5">
          <w:rPr>
            <w:webHidden/>
          </w:rPr>
          <w:instrText xml:space="preserve"> PAGEREF _Toc466462512 \h </w:instrText>
        </w:r>
        <w:r w:rsidR="00CD28C5">
          <w:rPr>
            <w:webHidden/>
          </w:rPr>
        </w:r>
        <w:r w:rsidR="00CD28C5">
          <w:rPr>
            <w:webHidden/>
          </w:rPr>
          <w:fldChar w:fldCharType="separate"/>
        </w:r>
        <w:r w:rsidR="00602E29">
          <w:rPr>
            <w:webHidden/>
          </w:rPr>
          <w:t>4</w:t>
        </w:r>
        <w:r w:rsidR="00CD28C5">
          <w:rPr>
            <w:webHidden/>
          </w:rPr>
          <w:fldChar w:fldCharType="end"/>
        </w:r>
      </w:hyperlink>
    </w:p>
    <w:p w14:paraId="0F992473" w14:textId="77777777" w:rsidR="00CD28C5" w:rsidRDefault="009D7F46">
      <w:pPr>
        <w:pStyle w:val="TOC1"/>
        <w:rPr>
          <w:rFonts w:asciiTheme="minorHAnsi" w:eastAsiaTheme="minorEastAsia" w:hAnsiTheme="minorHAnsi" w:cstheme="minorBidi"/>
          <w:b w:val="0"/>
          <w:sz w:val="22"/>
          <w:szCs w:val="22"/>
          <w:lang w:eastAsia="en-AU"/>
        </w:rPr>
      </w:pPr>
      <w:hyperlink w:anchor="_Toc466462513" w:history="1">
        <w:r w:rsidR="00CD28C5" w:rsidRPr="00A17794">
          <w:rPr>
            <w:rStyle w:val="Hyperlink"/>
          </w:rPr>
          <w:t>Introduction</w:t>
        </w:r>
        <w:r w:rsidR="00CD28C5">
          <w:rPr>
            <w:webHidden/>
          </w:rPr>
          <w:tab/>
        </w:r>
        <w:r w:rsidR="00CD28C5">
          <w:rPr>
            <w:webHidden/>
          </w:rPr>
          <w:fldChar w:fldCharType="begin"/>
        </w:r>
        <w:r w:rsidR="00CD28C5">
          <w:rPr>
            <w:webHidden/>
          </w:rPr>
          <w:instrText xml:space="preserve"> PAGEREF _Toc466462513 \h </w:instrText>
        </w:r>
        <w:r w:rsidR="00CD28C5">
          <w:rPr>
            <w:webHidden/>
          </w:rPr>
        </w:r>
        <w:r w:rsidR="00CD28C5">
          <w:rPr>
            <w:webHidden/>
          </w:rPr>
          <w:fldChar w:fldCharType="separate"/>
        </w:r>
        <w:r w:rsidR="00602E29">
          <w:rPr>
            <w:webHidden/>
          </w:rPr>
          <w:t>6</w:t>
        </w:r>
        <w:r w:rsidR="00CD28C5">
          <w:rPr>
            <w:webHidden/>
          </w:rPr>
          <w:fldChar w:fldCharType="end"/>
        </w:r>
      </w:hyperlink>
    </w:p>
    <w:p w14:paraId="01180AC0" w14:textId="77777777" w:rsidR="00CD28C5" w:rsidRDefault="009D7F46">
      <w:pPr>
        <w:pStyle w:val="TOC2"/>
        <w:rPr>
          <w:rFonts w:asciiTheme="minorHAnsi" w:eastAsiaTheme="minorEastAsia" w:hAnsiTheme="minorHAnsi" w:cstheme="minorBidi"/>
          <w:sz w:val="22"/>
          <w:szCs w:val="22"/>
          <w:lang w:eastAsia="en-AU"/>
        </w:rPr>
      </w:pPr>
      <w:hyperlink w:anchor="_Toc466462514" w:history="1">
        <w:r w:rsidR="00CD28C5" w:rsidRPr="00A17794">
          <w:rPr>
            <w:rStyle w:val="Hyperlink"/>
          </w:rPr>
          <w:t>In Scope</w:t>
        </w:r>
        <w:r w:rsidR="00CD28C5">
          <w:rPr>
            <w:webHidden/>
          </w:rPr>
          <w:tab/>
        </w:r>
        <w:r w:rsidR="00CD28C5">
          <w:rPr>
            <w:webHidden/>
          </w:rPr>
          <w:fldChar w:fldCharType="begin"/>
        </w:r>
        <w:r w:rsidR="00CD28C5">
          <w:rPr>
            <w:webHidden/>
          </w:rPr>
          <w:instrText xml:space="preserve"> PAGEREF _Toc466462514 \h </w:instrText>
        </w:r>
        <w:r w:rsidR="00CD28C5">
          <w:rPr>
            <w:webHidden/>
          </w:rPr>
        </w:r>
        <w:r w:rsidR="00CD28C5">
          <w:rPr>
            <w:webHidden/>
          </w:rPr>
          <w:fldChar w:fldCharType="separate"/>
        </w:r>
        <w:r w:rsidR="00602E29">
          <w:rPr>
            <w:webHidden/>
          </w:rPr>
          <w:t>7</w:t>
        </w:r>
        <w:r w:rsidR="00CD28C5">
          <w:rPr>
            <w:webHidden/>
          </w:rPr>
          <w:fldChar w:fldCharType="end"/>
        </w:r>
      </w:hyperlink>
    </w:p>
    <w:p w14:paraId="1261195B" w14:textId="77777777" w:rsidR="00CD28C5" w:rsidRDefault="009D7F46">
      <w:pPr>
        <w:pStyle w:val="TOC2"/>
        <w:rPr>
          <w:rFonts w:asciiTheme="minorHAnsi" w:eastAsiaTheme="minorEastAsia" w:hAnsiTheme="minorHAnsi" w:cstheme="minorBidi"/>
          <w:sz w:val="22"/>
          <w:szCs w:val="22"/>
          <w:lang w:eastAsia="en-AU"/>
        </w:rPr>
      </w:pPr>
      <w:hyperlink w:anchor="_Toc466462515" w:history="1">
        <w:r w:rsidR="00CD28C5" w:rsidRPr="00A17794">
          <w:rPr>
            <w:rStyle w:val="Hyperlink"/>
          </w:rPr>
          <w:t>Out of Scope</w:t>
        </w:r>
        <w:r w:rsidR="00CD28C5">
          <w:rPr>
            <w:webHidden/>
          </w:rPr>
          <w:tab/>
        </w:r>
        <w:r w:rsidR="00CD28C5">
          <w:rPr>
            <w:webHidden/>
          </w:rPr>
          <w:fldChar w:fldCharType="begin"/>
        </w:r>
        <w:r w:rsidR="00CD28C5">
          <w:rPr>
            <w:webHidden/>
          </w:rPr>
          <w:instrText xml:space="preserve"> PAGEREF _Toc466462515 \h </w:instrText>
        </w:r>
        <w:r w:rsidR="00CD28C5">
          <w:rPr>
            <w:webHidden/>
          </w:rPr>
        </w:r>
        <w:r w:rsidR="00CD28C5">
          <w:rPr>
            <w:webHidden/>
          </w:rPr>
          <w:fldChar w:fldCharType="separate"/>
        </w:r>
        <w:r w:rsidR="00602E29">
          <w:rPr>
            <w:webHidden/>
          </w:rPr>
          <w:t>7</w:t>
        </w:r>
        <w:r w:rsidR="00CD28C5">
          <w:rPr>
            <w:webHidden/>
          </w:rPr>
          <w:fldChar w:fldCharType="end"/>
        </w:r>
      </w:hyperlink>
    </w:p>
    <w:p w14:paraId="321674FA" w14:textId="77777777" w:rsidR="00CD28C5" w:rsidRDefault="009D7F46">
      <w:pPr>
        <w:pStyle w:val="TOC1"/>
        <w:rPr>
          <w:rFonts w:asciiTheme="minorHAnsi" w:eastAsiaTheme="minorEastAsia" w:hAnsiTheme="minorHAnsi" w:cstheme="minorBidi"/>
          <w:b w:val="0"/>
          <w:sz w:val="22"/>
          <w:szCs w:val="22"/>
          <w:lang w:eastAsia="en-AU"/>
        </w:rPr>
      </w:pPr>
      <w:hyperlink w:anchor="_Toc466462516" w:history="1">
        <w:r w:rsidR="00CD28C5" w:rsidRPr="00A17794">
          <w:rPr>
            <w:rStyle w:val="Hyperlink"/>
          </w:rPr>
          <w:t>Consultation</w:t>
        </w:r>
        <w:r w:rsidR="00CD28C5">
          <w:rPr>
            <w:webHidden/>
          </w:rPr>
          <w:tab/>
        </w:r>
        <w:r w:rsidR="00CD28C5">
          <w:rPr>
            <w:webHidden/>
          </w:rPr>
          <w:fldChar w:fldCharType="begin"/>
        </w:r>
        <w:r w:rsidR="00CD28C5">
          <w:rPr>
            <w:webHidden/>
          </w:rPr>
          <w:instrText xml:space="preserve"> PAGEREF _Toc466462516 \h </w:instrText>
        </w:r>
        <w:r w:rsidR="00CD28C5">
          <w:rPr>
            <w:webHidden/>
          </w:rPr>
        </w:r>
        <w:r w:rsidR="00CD28C5">
          <w:rPr>
            <w:webHidden/>
          </w:rPr>
          <w:fldChar w:fldCharType="separate"/>
        </w:r>
        <w:r w:rsidR="00602E29">
          <w:rPr>
            <w:webHidden/>
          </w:rPr>
          <w:t>8</w:t>
        </w:r>
        <w:r w:rsidR="00CD28C5">
          <w:rPr>
            <w:webHidden/>
          </w:rPr>
          <w:fldChar w:fldCharType="end"/>
        </w:r>
      </w:hyperlink>
    </w:p>
    <w:p w14:paraId="229273A6" w14:textId="77777777" w:rsidR="00CD28C5" w:rsidRDefault="009D7F46">
      <w:pPr>
        <w:pStyle w:val="TOC2"/>
        <w:rPr>
          <w:rFonts w:asciiTheme="minorHAnsi" w:eastAsiaTheme="minorEastAsia" w:hAnsiTheme="minorHAnsi" w:cstheme="minorBidi"/>
          <w:sz w:val="22"/>
          <w:szCs w:val="22"/>
          <w:lang w:eastAsia="en-AU"/>
        </w:rPr>
      </w:pPr>
      <w:hyperlink w:anchor="_Toc466462517" w:history="1">
        <w:r w:rsidR="00CD28C5" w:rsidRPr="00A17794">
          <w:rPr>
            <w:rStyle w:val="Hyperlink"/>
          </w:rPr>
          <w:t>Stage 1: Pre-Consultation</w:t>
        </w:r>
        <w:r w:rsidR="00CD28C5">
          <w:rPr>
            <w:webHidden/>
          </w:rPr>
          <w:tab/>
        </w:r>
        <w:r w:rsidR="00CD28C5">
          <w:rPr>
            <w:webHidden/>
          </w:rPr>
          <w:fldChar w:fldCharType="begin"/>
        </w:r>
        <w:r w:rsidR="00CD28C5">
          <w:rPr>
            <w:webHidden/>
          </w:rPr>
          <w:instrText xml:space="preserve"> PAGEREF _Toc466462517 \h </w:instrText>
        </w:r>
        <w:r w:rsidR="00CD28C5">
          <w:rPr>
            <w:webHidden/>
          </w:rPr>
        </w:r>
        <w:r w:rsidR="00CD28C5">
          <w:rPr>
            <w:webHidden/>
          </w:rPr>
          <w:fldChar w:fldCharType="separate"/>
        </w:r>
        <w:r w:rsidR="00602E29">
          <w:rPr>
            <w:webHidden/>
          </w:rPr>
          <w:t>8</w:t>
        </w:r>
        <w:r w:rsidR="00CD28C5">
          <w:rPr>
            <w:webHidden/>
          </w:rPr>
          <w:fldChar w:fldCharType="end"/>
        </w:r>
      </w:hyperlink>
    </w:p>
    <w:p w14:paraId="676B7ACF" w14:textId="77777777" w:rsidR="00CD28C5" w:rsidRDefault="009D7F46">
      <w:pPr>
        <w:pStyle w:val="TOC2"/>
        <w:rPr>
          <w:rFonts w:asciiTheme="minorHAnsi" w:eastAsiaTheme="minorEastAsia" w:hAnsiTheme="minorHAnsi" w:cstheme="minorBidi"/>
          <w:sz w:val="22"/>
          <w:szCs w:val="22"/>
          <w:lang w:eastAsia="en-AU"/>
        </w:rPr>
      </w:pPr>
      <w:hyperlink w:anchor="_Toc466462518" w:history="1">
        <w:r w:rsidR="00CD28C5" w:rsidRPr="00A17794">
          <w:rPr>
            <w:rStyle w:val="Hyperlink"/>
          </w:rPr>
          <w:t>Stage 2: Main consultation</w:t>
        </w:r>
        <w:r w:rsidR="00CD28C5">
          <w:rPr>
            <w:webHidden/>
          </w:rPr>
          <w:tab/>
        </w:r>
        <w:r w:rsidR="00CD28C5">
          <w:rPr>
            <w:webHidden/>
          </w:rPr>
          <w:fldChar w:fldCharType="begin"/>
        </w:r>
        <w:r w:rsidR="00CD28C5">
          <w:rPr>
            <w:webHidden/>
          </w:rPr>
          <w:instrText xml:space="preserve"> PAGEREF _Toc466462518 \h </w:instrText>
        </w:r>
        <w:r w:rsidR="00CD28C5">
          <w:rPr>
            <w:webHidden/>
          </w:rPr>
        </w:r>
        <w:r w:rsidR="00CD28C5">
          <w:rPr>
            <w:webHidden/>
          </w:rPr>
          <w:fldChar w:fldCharType="separate"/>
        </w:r>
        <w:r w:rsidR="00602E29">
          <w:rPr>
            <w:webHidden/>
          </w:rPr>
          <w:t>8</w:t>
        </w:r>
        <w:r w:rsidR="00CD28C5">
          <w:rPr>
            <w:webHidden/>
          </w:rPr>
          <w:fldChar w:fldCharType="end"/>
        </w:r>
      </w:hyperlink>
    </w:p>
    <w:p w14:paraId="2153550B" w14:textId="77777777" w:rsidR="00CD28C5" w:rsidRDefault="009D7F46">
      <w:pPr>
        <w:pStyle w:val="TOC2"/>
        <w:rPr>
          <w:rFonts w:asciiTheme="minorHAnsi" w:eastAsiaTheme="minorEastAsia" w:hAnsiTheme="minorHAnsi" w:cstheme="minorBidi"/>
          <w:sz w:val="22"/>
          <w:szCs w:val="22"/>
          <w:lang w:eastAsia="en-AU"/>
        </w:rPr>
      </w:pPr>
      <w:hyperlink w:anchor="_Toc466462519" w:history="1">
        <w:r w:rsidR="00CD28C5" w:rsidRPr="00A17794">
          <w:rPr>
            <w:rStyle w:val="Hyperlink"/>
          </w:rPr>
          <w:t>Stage 3: Public submissions</w:t>
        </w:r>
        <w:r w:rsidR="00CD28C5">
          <w:rPr>
            <w:webHidden/>
          </w:rPr>
          <w:tab/>
        </w:r>
        <w:r w:rsidR="00CD28C5">
          <w:rPr>
            <w:webHidden/>
          </w:rPr>
          <w:fldChar w:fldCharType="begin"/>
        </w:r>
        <w:r w:rsidR="00CD28C5">
          <w:rPr>
            <w:webHidden/>
          </w:rPr>
          <w:instrText xml:space="preserve"> PAGEREF _Toc466462519 \h </w:instrText>
        </w:r>
        <w:r w:rsidR="00CD28C5">
          <w:rPr>
            <w:webHidden/>
          </w:rPr>
        </w:r>
        <w:r w:rsidR="00CD28C5">
          <w:rPr>
            <w:webHidden/>
          </w:rPr>
          <w:fldChar w:fldCharType="separate"/>
        </w:r>
        <w:r w:rsidR="00602E29">
          <w:rPr>
            <w:webHidden/>
          </w:rPr>
          <w:t>8</w:t>
        </w:r>
        <w:r w:rsidR="00CD28C5">
          <w:rPr>
            <w:webHidden/>
          </w:rPr>
          <w:fldChar w:fldCharType="end"/>
        </w:r>
      </w:hyperlink>
    </w:p>
    <w:p w14:paraId="14F25021" w14:textId="77777777" w:rsidR="00CD28C5" w:rsidRDefault="009D7F46">
      <w:pPr>
        <w:pStyle w:val="TOC1"/>
        <w:rPr>
          <w:rFonts w:asciiTheme="minorHAnsi" w:eastAsiaTheme="minorEastAsia" w:hAnsiTheme="minorHAnsi" w:cstheme="minorBidi"/>
          <w:b w:val="0"/>
          <w:sz w:val="22"/>
          <w:szCs w:val="22"/>
          <w:lang w:eastAsia="en-AU"/>
        </w:rPr>
      </w:pPr>
      <w:hyperlink w:anchor="_Toc466462520" w:history="1">
        <w:r w:rsidR="00CD28C5" w:rsidRPr="00A17794">
          <w:rPr>
            <w:rStyle w:val="Hyperlink"/>
          </w:rPr>
          <w:t>What we heard</w:t>
        </w:r>
        <w:r w:rsidR="00CD28C5">
          <w:rPr>
            <w:webHidden/>
          </w:rPr>
          <w:tab/>
        </w:r>
        <w:r w:rsidR="00CD28C5">
          <w:rPr>
            <w:webHidden/>
          </w:rPr>
          <w:fldChar w:fldCharType="begin"/>
        </w:r>
        <w:r w:rsidR="00CD28C5">
          <w:rPr>
            <w:webHidden/>
          </w:rPr>
          <w:instrText xml:space="preserve"> PAGEREF _Toc466462520 \h </w:instrText>
        </w:r>
        <w:r w:rsidR="00CD28C5">
          <w:rPr>
            <w:webHidden/>
          </w:rPr>
        </w:r>
        <w:r w:rsidR="00CD28C5">
          <w:rPr>
            <w:webHidden/>
          </w:rPr>
          <w:fldChar w:fldCharType="separate"/>
        </w:r>
        <w:r w:rsidR="00602E29">
          <w:rPr>
            <w:webHidden/>
          </w:rPr>
          <w:t>10</w:t>
        </w:r>
        <w:r w:rsidR="00CD28C5">
          <w:rPr>
            <w:webHidden/>
          </w:rPr>
          <w:fldChar w:fldCharType="end"/>
        </w:r>
      </w:hyperlink>
    </w:p>
    <w:p w14:paraId="2EF8C041" w14:textId="77777777" w:rsidR="00CD28C5" w:rsidRDefault="009D7F46">
      <w:pPr>
        <w:pStyle w:val="TOC2"/>
        <w:rPr>
          <w:rFonts w:asciiTheme="minorHAnsi" w:eastAsiaTheme="minorEastAsia" w:hAnsiTheme="minorHAnsi" w:cstheme="minorBidi"/>
          <w:sz w:val="22"/>
          <w:szCs w:val="22"/>
          <w:lang w:eastAsia="en-AU"/>
        </w:rPr>
      </w:pPr>
      <w:hyperlink w:anchor="_Toc466462521" w:history="1">
        <w:r w:rsidR="00CD28C5" w:rsidRPr="00A17794">
          <w:rPr>
            <w:rStyle w:val="Hyperlink"/>
          </w:rPr>
          <w:t>Feedback on the current levy collection points</w:t>
        </w:r>
        <w:r w:rsidR="00CD28C5">
          <w:rPr>
            <w:webHidden/>
          </w:rPr>
          <w:tab/>
        </w:r>
        <w:r w:rsidR="00CD28C5">
          <w:rPr>
            <w:webHidden/>
          </w:rPr>
          <w:fldChar w:fldCharType="begin"/>
        </w:r>
        <w:r w:rsidR="00CD28C5">
          <w:rPr>
            <w:webHidden/>
          </w:rPr>
          <w:instrText xml:space="preserve"> PAGEREF _Toc466462521 \h </w:instrText>
        </w:r>
        <w:r w:rsidR="00CD28C5">
          <w:rPr>
            <w:webHidden/>
          </w:rPr>
        </w:r>
        <w:r w:rsidR="00CD28C5">
          <w:rPr>
            <w:webHidden/>
          </w:rPr>
          <w:fldChar w:fldCharType="separate"/>
        </w:r>
        <w:r w:rsidR="00602E29">
          <w:rPr>
            <w:webHidden/>
          </w:rPr>
          <w:t>10</w:t>
        </w:r>
        <w:r w:rsidR="00CD28C5">
          <w:rPr>
            <w:webHidden/>
          </w:rPr>
          <w:fldChar w:fldCharType="end"/>
        </w:r>
      </w:hyperlink>
    </w:p>
    <w:p w14:paraId="17F45548" w14:textId="77777777" w:rsidR="00CD28C5" w:rsidRDefault="009D7F46">
      <w:pPr>
        <w:pStyle w:val="TOC3"/>
        <w:rPr>
          <w:rFonts w:asciiTheme="minorHAnsi" w:eastAsiaTheme="minorEastAsia" w:hAnsiTheme="minorHAnsi" w:cstheme="minorBidi"/>
          <w:sz w:val="22"/>
          <w:szCs w:val="22"/>
          <w:lang w:eastAsia="en-AU"/>
        </w:rPr>
      </w:pPr>
      <w:hyperlink w:anchor="_Toc466462522" w:history="1">
        <w:r w:rsidR="00CD28C5" w:rsidRPr="00A17794">
          <w:rPr>
            <w:rStyle w:val="Hyperlink"/>
          </w:rPr>
          <w:t>Support for the current collection points</w:t>
        </w:r>
        <w:r w:rsidR="00CD28C5">
          <w:rPr>
            <w:webHidden/>
          </w:rPr>
          <w:tab/>
        </w:r>
        <w:r w:rsidR="00CD28C5">
          <w:rPr>
            <w:webHidden/>
          </w:rPr>
          <w:fldChar w:fldCharType="begin"/>
        </w:r>
        <w:r w:rsidR="00CD28C5">
          <w:rPr>
            <w:webHidden/>
          </w:rPr>
          <w:instrText xml:space="preserve"> PAGEREF _Toc466462522 \h </w:instrText>
        </w:r>
        <w:r w:rsidR="00CD28C5">
          <w:rPr>
            <w:webHidden/>
          </w:rPr>
        </w:r>
        <w:r w:rsidR="00CD28C5">
          <w:rPr>
            <w:webHidden/>
          </w:rPr>
          <w:fldChar w:fldCharType="separate"/>
        </w:r>
        <w:r w:rsidR="00602E29">
          <w:rPr>
            <w:webHidden/>
          </w:rPr>
          <w:t>11</w:t>
        </w:r>
        <w:r w:rsidR="00CD28C5">
          <w:rPr>
            <w:webHidden/>
          </w:rPr>
          <w:fldChar w:fldCharType="end"/>
        </w:r>
      </w:hyperlink>
    </w:p>
    <w:p w14:paraId="13787291" w14:textId="77777777" w:rsidR="00CD28C5" w:rsidRDefault="009D7F46">
      <w:pPr>
        <w:pStyle w:val="TOC3"/>
        <w:rPr>
          <w:rFonts w:asciiTheme="minorHAnsi" w:eastAsiaTheme="minorEastAsia" w:hAnsiTheme="minorHAnsi" w:cstheme="minorBidi"/>
          <w:sz w:val="22"/>
          <w:szCs w:val="22"/>
          <w:lang w:eastAsia="en-AU"/>
        </w:rPr>
      </w:pPr>
      <w:hyperlink w:anchor="_Toc466462523" w:history="1">
        <w:r w:rsidR="00CD28C5" w:rsidRPr="00A17794">
          <w:rPr>
            <w:rStyle w:val="Hyperlink"/>
          </w:rPr>
          <w:t xml:space="preserve">Alignment with the Australian Government </w:t>
        </w:r>
        <w:r w:rsidR="00CD28C5" w:rsidRPr="00A17794">
          <w:rPr>
            <w:rStyle w:val="Hyperlink"/>
            <w:i/>
          </w:rPr>
          <w:t>Levies Principles and Guidelines</w:t>
        </w:r>
        <w:r w:rsidR="00CD28C5">
          <w:rPr>
            <w:webHidden/>
          </w:rPr>
          <w:tab/>
        </w:r>
        <w:r w:rsidR="00CD28C5">
          <w:rPr>
            <w:webHidden/>
          </w:rPr>
          <w:fldChar w:fldCharType="begin"/>
        </w:r>
        <w:r w:rsidR="00CD28C5">
          <w:rPr>
            <w:webHidden/>
          </w:rPr>
          <w:instrText xml:space="preserve"> PAGEREF _Toc466462523 \h </w:instrText>
        </w:r>
        <w:r w:rsidR="00CD28C5">
          <w:rPr>
            <w:webHidden/>
          </w:rPr>
        </w:r>
        <w:r w:rsidR="00CD28C5">
          <w:rPr>
            <w:webHidden/>
          </w:rPr>
          <w:fldChar w:fldCharType="separate"/>
        </w:r>
        <w:r w:rsidR="00602E29">
          <w:rPr>
            <w:webHidden/>
          </w:rPr>
          <w:t>11</w:t>
        </w:r>
        <w:r w:rsidR="00CD28C5">
          <w:rPr>
            <w:webHidden/>
          </w:rPr>
          <w:fldChar w:fldCharType="end"/>
        </w:r>
      </w:hyperlink>
    </w:p>
    <w:p w14:paraId="0ECFDC20" w14:textId="77777777" w:rsidR="00CD28C5" w:rsidRDefault="009D7F46">
      <w:pPr>
        <w:pStyle w:val="TOC3"/>
        <w:rPr>
          <w:rFonts w:asciiTheme="minorHAnsi" w:eastAsiaTheme="minorEastAsia" w:hAnsiTheme="minorHAnsi" w:cstheme="minorBidi"/>
          <w:sz w:val="22"/>
          <w:szCs w:val="22"/>
          <w:lang w:eastAsia="en-AU"/>
        </w:rPr>
      </w:pPr>
      <w:hyperlink w:anchor="_Toc466462524" w:history="1">
        <w:r w:rsidR="00CD28C5" w:rsidRPr="00A17794">
          <w:rPr>
            <w:rStyle w:val="Hyperlink"/>
          </w:rPr>
          <w:t>Appropriateness of collection points</w:t>
        </w:r>
        <w:r w:rsidR="00CD28C5">
          <w:rPr>
            <w:webHidden/>
          </w:rPr>
          <w:tab/>
        </w:r>
        <w:r w:rsidR="00CD28C5">
          <w:rPr>
            <w:webHidden/>
          </w:rPr>
          <w:fldChar w:fldCharType="begin"/>
        </w:r>
        <w:r w:rsidR="00CD28C5">
          <w:rPr>
            <w:webHidden/>
          </w:rPr>
          <w:instrText xml:space="preserve"> PAGEREF _Toc466462524 \h </w:instrText>
        </w:r>
        <w:r w:rsidR="00CD28C5">
          <w:rPr>
            <w:webHidden/>
          </w:rPr>
        </w:r>
        <w:r w:rsidR="00CD28C5">
          <w:rPr>
            <w:webHidden/>
          </w:rPr>
          <w:fldChar w:fldCharType="separate"/>
        </w:r>
        <w:r w:rsidR="00602E29">
          <w:rPr>
            <w:webHidden/>
          </w:rPr>
          <w:t>13</w:t>
        </w:r>
        <w:r w:rsidR="00CD28C5">
          <w:rPr>
            <w:webHidden/>
          </w:rPr>
          <w:fldChar w:fldCharType="end"/>
        </w:r>
      </w:hyperlink>
    </w:p>
    <w:p w14:paraId="573C7AFC" w14:textId="77777777" w:rsidR="00CD28C5" w:rsidRDefault="009D7F46">
      <w:pPr>
        <w:pStyle w:val="TOC3"/>
        <w:rPr>
          <w:rFonts w:asciiTheme="minorHAnsi" w:eastAsiaTheme="minorEastAsia" w:hAnsiTheme="minorHAnsi" w:cstheme="minorBidi"/>
          <w:sz w:val="22"/>
          <w:szCs w:val="22"/>
          <w:lang w:eastAsia="en-AU"/>
        </w:rPr>
      </w:pPr>
      <w:hyperlink w:anchor="_Toc466462525" w:history="1">
        <w:r w:rsidR="00CD28C5" w:rsidRPr="00A17794">
          <w:rPr>
            <w:rStyle w:val="Hyperlink"/>
          </w:rPr>
          <w:t>Legislative appropriateness</w:t>
        </w:r>
        <w:r w:rsidR="00CD28C5">
          <w:rPr>
            <w:webHidden/>
          </w:rPr>
          <w:tab/>
        </w:r>
        <w:r w:rsidR="00CD28C5">
          <w:rPr>
            <w:webHidden/>
          </w:rPr>
          <w:fldChar w:fldCharType="begin"/>
        </w:r>
        <w:r w:rsidR="00CD28C5">
          <w:rPr>
            <w:webHidden/>
          </w:rPr>
          <w:instrText xml:space="preserve"> PAGEREF _Toc466462525 \h </w:instrText>
        </w:r>
        <w:r w:rsidR="00CD28C5">
          <w:rPr>
            <w:webHidden/>
          </w:rPr>
        </w:r>
        <w:r w:rsidR="00CD28C5">
          <w:rPr>
            <w:webHidden/>
          </w:rPr>
          <w:fldChar w:fldCharType="separate"/>
        </w:r>
        <w:r w:rsidR="00602E29">
          <w:rPr>
            <w:webHidden/>
          </w:rPr>
          <w:t>14</w:t>
        </w:r>
        <w:r w:rsidR="00CD28C5">
          <w:rPr>
            <w:webHidden/>
          </w:rPr>
          <w:fldChar w:fldCharType="end"/>
        </w:r>
      </w:hyperlink>
    </w:p>
    <w:p w14:paraId="4646FAB3" w14:textId="77777777" w:rsidR="00CD28C5" w:rsidRDefault="009D7F46">
      <w:pPr>
        <w:pStyle w:val="TOC2"/>
        <w:rPr>
          <w:rFonts w:asciiTheme="minorHAnsi" w:eastAsiaTheme="minorEastAsia" w:hAnsiTheme="minorHAnsi" w:cstheme="minorBidi"/>
          <w:sz w:val="22"/>
          <w:szCs w:val="22"/>
          <w:lang w:eastAsia="en-AU"/>
        </w:rPr>
      </w:pPr>
      <w:hyperlink w:anchor="_Toc466462526" w:history="1">
        <w:r w:rsidR="00CD28C5" w:rsidRPr="00A17794">
          <w:rPr>
            <w:rStyle w:val="Hyperlink"/>
          </w:rPr>
          <w:t>Alternative levy collection points</w:t>
        </w:r>
        <w:r w:rsidR="00CD28C5">
          <w:rPr>
            <w:webHidden/>
          </w:rPr>
          <w:tab/>
        </w:r>
        <w:r w:rsidR="00CD28C5">
          <w:rPr>
            <w:webHidden/>
          </w:rPr>
          <w:fldChar w:fldCharType="begin"/>
        </w:r>
        <w:r w:rsidR="00CD28C5">
          <w:rPr>
            <w:webHidden/>
          </w:rPr>
          <w:instrText xml:space="preserve"> PAGEREF _Toc466462526 \h </w:instrText>
        </w:r>
        <w:r w:rsidR="00CD28C5">
          <w:rPr>
            <w:webHidden/>
          </w:rPr>
        </w:r>
        <w:r w:rsidR="00CD28C5">
          <w:rPr>
            <w:webHidden/>
          </w:rPr>
          <w:fldChar w:fldCharType="separate"/>
        </w:r>
        <w:r w:rsidR="00602E29">
          <w:rPr>
            <w:webHidden/>
          </w:rPr>
          <w:t>14</w:t>
        </w:r>
        <w:r w:rsidR="00CD28C5">
          <w:rPr>
            <w:webHidden/>
          </w:rPr>
          <w:fldChar w:fldCharType="end"/>
        </w:r>
      </w:hyperlink>
    </w:p>
    <w:p w14:paraId="77A80E17" w14:textId="77777777" w:rsidR="00CD28C5" w:rsidRDefault="009D7F46">
      <w:pPr>
        <w:pStyle w:val="TOC3"/>
        <w:rPr>
          <w:rFonts w:asciiTheme="minorHAnsi" w:eastAsiaTheme="minorEastAsia" w:hAnsiTheme="minorHAnsi" w:cstheme="minorBidi"/>
          <w:sz w:val="22"/>
          <w:szCs w:val="22"/>
          <w:lang w:eastAsia="en-AU"/>
        </w:rPr>
      </w:pPr>
      <w:hyperlink w:anchor="_Toc466462528" w:history="1">
        <w:r w:rsidR="00CD28C5" w:rsidRPr="00A17794">
          <w:rPr>
            <w:rStyle w:val="Hyperlink"/>
          </w:rPr>
          <w:t>National horse registration scheme</w:t>
        </w:r>
        <w:r w:rsidR="00CD28C5">
          <w:rPr>
            <w:webHidden/>
          </w:rPr>
          <w:tab/>
        </w:r>
        <w:r w:rsidR="00CD28C5">
          <w:rPr>
            <w:webHidden/>
          </w:rPr>
          <w:fldChar w:fldCharType="begin"/>
        </w:r>
        <w:r w:rsidR="00CD28C5">
          <w:rPr>
            <w:webHidden/>
          </w:rPr>
          <w:instrText xml:space="preserve"> PAGEREF _Toc466462528 \h </w:instrText>
        </w:r>
        <w:r w:rsidR="00CD28C5">
          <w:rPr>
            <w:webHidden/>
          </w:rPr>
        </w:r>
        <w:r w:rsidR="00CD28C5">
          <w:rPr>
            <w:webHidden/>
          </w:rPr>
          <w:fldChar w:fldCharType="separate"/>
        </w:r>
        <w:r w:rsidR="00602E29">
          <w:rPr>
            <w:webHidden/>
          </w:rPr>
          <w:t>15</w:t>
        </w:r>
        <w:r w:rsidR="00CD28C5">
          <w:rPr>
            <w:webHidden/>
          </w:rPr>
          <w:fldChar w:fldCharType="end"/>
        </w:r>
      </w:hyperlink>
    </w:p>
    <w:p w14:paraId="05318F28" w14:textId="77777777" w:rsidR="00CD28C5" w:rsidRDefault="009D7F46">
      <w:pPr>
        <w:pStyle w:val="TOC3"/>
        <w:rPr>
          <w:rFonts w:asciiTheme="minorHAnsi" w:eastAsiaTheme="minorEastAsia" w:hAnsiTheme="minorHAnsi" w:cstheme="minorBidi"/>
          <w:sz w:val="22"/>
          <w:szCs w:val="22"/>
          <w:lang w:eastAsia="en-AU"/>
        </w:rPr>
      </w:pPr>
      <w:hyperlink w:anchor="_Toc466462529" w:history="1">
        <w:r w:rsidR="00CD28C5" w:rsidRPr="00A17794">
          <w:rPr>
            <w:rStyle w:val="Hyperlink"/>
          </w:rPr>
          <w:t>Local council registration</w:t>
        </w:r>
        <w:r w:rsidR="00CD28C5">
          <w:rPr>
            <w:webHidden/>
          </w:rPr>
          <w:tab/>
        </w:r>
        <w:r w:rsidR="00CD28C5">
          <w:rPr>
            <w:webHidden/>
          </w:rPr>
          <w:fldChar w:fldCharType="begin"/>
        </w:r>
        <w:r w:rsidR="00CD28C5">
          <w:rPr>
            <w:webHidden/>
          </w:rPr>
          <w:instrText xml:space="preserve"> PAGEREF _Toc466462529 \h </w:instrText>
        </w:r>
        <w:r w:rsidR="00CD28C5">
          <w:rPr>
            <w:webHidden/>
          </w:rPr>
        </w:r>
        <w:r w:rsidR="00CD28C5">
          <w:rPr>
            <w:webHidden/>
          </w:rPr>
          <w:fldChar w:fldCharType="separate"/>
        </w:r>
        <w:r w:rsidR="00602E29">
          <w:rPr>
            <w:webHidden/>
          </w:rPr>
          <w:t>16</w:t>
        </w:r>
        <w:r w:rsidR="00CD28C5">
          <w:rPr>
            <w:webHidden/>
          </w:rPr>
          <w:fldChar w:fldCharType="end"/>
        </w:r>
      </w:hyperlink>
    </w:p>
    <w:p w14:paraId="594D9C50" w14:textId="77777777" w:rsidR="00CD28C5" w:rsidRDefault="009D7F46">
      <w:pPr>
        <w:pStyle w:val="TOC3"/>
        <w:rPr>
          <w:rFonts w:asciiTheme="minorHAnsi" w:eastAsiaTheme="minorEastAsia" w:hAnsiTheme="minorHAnsi" w:cstheme="minorBidi"/>
          <w:sz w:val="22"/>
          <w:szCs w:val="22"/>
          <w:lang w:eastAsia="en-AU"/>
        </w:rPr>
      </w:pPr>
      <w:hyperlink w:anchor="_Toc466462530" w:history="1">
        <w:r w:rsidR="00CD28C5" w:rsidRPr="00A17794">
          <w:rPr>
            <w:rStyle w:val="Hyperlink"/>
          </w:rPr>
          <w:t>Electronic Identification and Property Identification Codes (PIC)</w:t>
        </w:r>
        <w:r w:rsidR="00CD28C5">
          <w:rPr>
            <w:webHidden/>
          </w:rPr>
          <w:tab/>
        </w:r>
        <w:r w:rsidR="00CD28C5">
          <w:rPr>
            <w:webHidden/>
          </w:rPr>
          <w:fldChar w:fldCharType="begin"/>
        </w:r>
        <w:r w:rsidR="00CD28C5">
          <w:rPr>
            <w:webHidden/>
          </w:rPr>
          <w:instrText xml:space="preserve"> PAGEREF _Toc466462530 \h </w:instrText>
        </w:r>
        <w:r w:rsidR="00CD28C5">
          <w:rPr>
            <w:webHidden/>
          </w:rPr>
        </w:r>
        <w:r w:rsidR="00CD28C5">
          <w:rPr>
            <w:webHidden/>
          </w:rPr>
          <w:fldChar w:fldCharType="separate"/>
        </w:r>
        <w:r w:rsidR="00602E29">
          <w:rPr>
            <w:webHidden/>
          </w:rPr>
          <w:t>16</w:t>
        </w:r>
        <w:r w:rsidR="00CD28C5">
          <w:rPr>
            <w:webHidden/>
          </w:rPr>
          <w:fldChar w:fldCharType="end"/>
        </w:r>
      </w:hyperlink>
    </w:p>
    <w:p w14:paraId="11729E67" w14:textId="77777777" w:rsidR="00CD28C5" w:rsidRDefault="009D7F46">
      <w:pPr>
        <w:pStyle w:val="TOC3"/>
        <w:rPr>
          <w:rFonts w:asciiTheme="minorHAnsi" w:eastAsiaTheme="minorEastAsia" w:hAnsiTheme="minorHAnsi" w:cstheme="minorBidi"/>
          <w:sz w:val="22"/>
          <w:szCs w:val="22"/>
          <w:lang w:eastAsia="en-AU"/>
        </w:rPr>
      </w:pPr>
      <w:hyperlink w:anchor="_Toc466462531" w:history="1">
        <w:r w:rsidR="00CD28C5" w:rsidRPr="00A17794">
          <w:rPr>
            <w:rStyle w:val="Hyperlink"/>
          </w:rPr>
          <w:t>Event registration</w:t>
        </w:r>
        <w:r w:rsidR="00CD28C5">
          <w:rPr>
            <w:webHidden/>
          </w:rPr>
          <w:tab/>
        </w:r>
        <w:r w:rsidR="00CD28C5">
          <w:rPr>
            <w:webHidden/>
          </w:rPr>
          <w:fldChar w:fldCharType="begin"/>
        </w:r>
        <w:r w:rsidR="00CD28C5">
          <w:rPr>
            <w:webHidden/>
          </w:rPr>
          <w:instrText xml:space="preserve"> PAGEREF _Toc466462531 \h </w:instrText>
        </w:r>
        <w:r w:rsidR="00CD28C5">
          <w:rPr>
            <w:webHidden/>
          </w:rPr>
        </w:r>
        <w:r w:rsidR="00CD28C5">
          <w:rPr>
            <w:webHidden/>
          </w:rPr>
          <w:fldChar w:fldCharType="separate"/>
        </w:r>
        <w:r w:rsidR="00602E29">
          <w:rPr>
            <w:webHidden/>
          </w:rPr>
          <w:t>16</w:t>
        </w:r>
        <w:r w:rsidR="00CD28C5">
          <w:rPr>
            <w:webHidden/>
          </w:rPr>
          <w:fldChar w:fldCharType="end"/>
        </w:r>
      </w:hyperlink>
    </w:p>
    <w:p w14:paraId="75339A20" w14:textId="77777777" w:rsidR="00CD28C5" w:rsidRDefault="009D7F46">
      <w:pPr>
        <w:pStyle w:val="TOC3"/>
        <w:rPr>
          <w:rFonts w:asciiTheme="minorHAnsi" w:eastAsiaTheme="minorEastAsia" w:hAnsiTheme="minorHAnsi" w:cstheme="minorBidi"/>
          <w:sz w:val="22"/>
          <w:szCs w:val="22"/>
          <w:lang w:eastAsia="en-AU"/>
        </w:rPr>
      </w:pPr>
      <w:hyperlink w:anchor="_Toc466462532" w:history="1">
        <w:r w:rsidR="00CD28C5" w:rsidRPr="00A17794">
          <w:rPr>
            <w:rStyle w:val="Hyperlink"/>
          </w:rPr>
          <w:t>Horse breeding registration</w:t>
        </w:r>
        <w:r w:rsidR="00CD28C5">
          <w:rPr>
            <w:webHidden/>
          </w:rPr>
          <w:tab/>
        </w:r>
        <w:r w:rsidR="00CD28C5">
          <w:rPr>
            <w:webHidden/>
          </w:rPr>
          <w:fldChar w:fldCharType="begin"/>
        </w:r>
        <w:r w:rsidR="00CD28C5">
          <w:rPr>
            <w:webHidden/>
          </w:rPr>
          <w:instrText xml:space="preserve"> PAGEREF _Toc466462532 \h </w:instrText>
        </w:r>
        <w:r w:rsidR="00CD28C5">
          <w:rPr>
            <w:webHidden/>
          </w:rPr>
        </w:r>
        <w:r w:rsidR="00CD28C5">
          <w:rPr>
            <w:webHidden/>
          </w:rPr>
          <w:fldChar w:fldCharType="separate"/>
        </w:r>
        <w:r w:rsidR="00602E29">
          <w:rPr>
            <w:webHidden/>
          </w:rPr>
          <w:t>17</w:t>
        </w:r>
        <w:r w:rsidR="00CD28C5">
          <w:rPr>
            <w:webHidden/>
          </w:rPr>
          <w:fldChar w:fldCharType="end"/>
        </w:r>
      </w:hyperlink>
    </w:p>
    <w:p w14:paraId="57ACAD1E" w14:textId="77777777" w:rsidR="00CD28C5" w:rsidRDefault="009D7F46">
      <w:pPr>
        <w:pStyle w:val="TOC1"/>
        <w:rPr>
          <w:rFonts w:asciiTheme="minorHAnsi" w:eastAsiaTheme="minorEastAsia" w:hAnsiTheme="minorHAnsi" w:cstheme="minorBidi"/>
          <w:b w:val="0"/>
          <w:sz w:val="22"/>
          <w:szCs w:val="22"/>
          <w:lang w:eastAsia="en-AU"/>
        </w:rPr>
      </w:pPr>
      <w:hyperlink w:anchor="_Toc466462533" w:history="1">
        <w:r w:rsidR="00CD28C5" w:rsidRPr="00A17794">
          <w:rPr>
            <w:rStyle w:val="Hyperlink"/>
          </w:rPr>
          <w:t>Findings</w:t>
        </w:r>
        <w:r w:rsidR="00CD28C5">
          <w:rPr>
            <w:webHidden/>
          </w:rPr>
          <w:tab/>
        </w:r>
        <w:r w:rsidR="00CD28C5">
          <w:rPr>
            <w:webHidden/>
          </w:rPr>
          <w:fldChar w:fldCharType="begin"/>
        </w:r>
        <w:r w:rsidR="00CD28C5">
          <w:rPr>
            <w:webHidden/>
          </w:rPr>
          <w:instrText xml:space="preserve"> PAGEREF _Toc466462533 \h </w:instrText>
        </w:r>
        <w:r w:rsidR="00CD28C5">
          <w:rPr>
            <w:webHidden/>
          </w:rPr>
        </w:r>
        <w:r w:rsidR="00CD28C5">
          <w:rPr>
            <w:webHidden/>
          </w:rPr>
          <w:fldChar w:fldCharType="separate"/>
        </w:r>
        <w:r w:rsidR="00602E29">
          <w:rPr>
            <w:webHidden/>
          </w:rPr>
          <w:t>18</w:t>
        </w:r>
        <w:r w:rsidR="00CD28C5">
          <w:rPr>
            <w:webHidden/>
          </w:rPr>
          <w:fldChar w:fldCharType="end"/>
        </w:r>
      </w:hyperlink>
    </w:p>
    <w:p w14:paraId="167A3C88" w14:textId="77777777" w:rsidR="00CD28C5" w:rsidRDefault="009D7F46">
      <w:pPr>
        <w:pStyle w:val="TOC2"/>
        <w:rPr>
          <w:rFonts w:asciiTheme="minorHAnsi" w:eastAsiaTheme="minorEastAsia" w:hAnsiTheme="minorHAnsi" w:cstheme="minorBidi"/>
          <w:sz w:val="22"/>
          <w:szCs w:val="22"/>
          <w:lang w:eastAsia="en-AU"/>
        </w:rPr>
      </w:pPr>
      <w:hyperlink w:anchor="_Toc466462534" w:history="1">
        <w:r w:rsidR="00CD28C5" w:rsidRPr="00A17794">
          <w:rPr>
            <w:rStyle w:val="Hyperlink"/>
          </w:rPr>
          <w:t>ATTACHMENT A</w:t>
        </w:r>
        <w:r w:rsidR="00CD28C5">
          <w:rPr>
            <w:webHidden/>
          </w:rPr>
          <w:tab/>
        </w:r>
        <w:r w:rsidR="00CD28C5">
          <w:rPr>
            <w:webHidden/>
          </w:rPr>
          <w:fldChar w:fldCharType="begin"/>
        </w:r>
        <w:r w:rsidR="00CD28C5">
          <w:rPr>
            <w:webHidden/>
          </w:rPr>
          <w:instrText xml:space="preserve"> PAGEREF _Toc466462534 \h </w:instrText>
        </w:r>
        <w:r w:rsidR="00CD28C5">
          <w:rPr>
            <w:webHidden/>
          </w:rPr>
        </w:r>
        <w:r w:rsidR="00CD28C5">
          <w:rPr>
            <w:webHidden/>
          </w:rPr>
          <w:fldChar w:fldCharType="separate"/>
        </w:r>
        <w:r w:rsidR="00602E29">
          <w:rPr>
            <w:webHidden/>
          </w:rPr>
          <w:t>19</w:t>
        </w:r>
        <w:r w:rsidR="00CD28C5">
          <w:rPr>
            <w:webHidden/>
          </w:rPr>
          <w:fldChar w:fldCharType="end"/>
        </w:r>
      </w:hyperlink>
    </w:p>
    <w:p w14:paraId="6A70DEB5" w14:textId="77777777" w:rsidR="00CD28C5" w:rsidRDefault="009D7F46">
      <w:pPr>
        <w:pStyle w:val="TOC3"/>
        <w:rPr>
          <w:rFonts w:asciiTheme="minorHAnsi" w:eastAsiaTheme="minorEastAsia" w:hAnsiTheme="minorHAnsi" w:cstheme="minorBidi"/>
          <w:sz w:val="22"/>
          <w:szCs w:val="22"/>
          <w:lang w:eastAsia="en-AU"/>
        </w:rPr>
      </w:pPr>
      <w:hyperlink w:anchor="_Toc466462535" w:history="1">
        <w:r w:rsidR="00CD28C5" w:rsidRPr="00A17794">
          <w:rPr>
            <w:rStyle w:val="Hyperlink"/>
          </w:rPr>
          <w:t>Consultation - External Stakeholders</w:t>
        </w:r>
        <w:r w:rsidR="00CD28C5">
          <w:rPr>
            <w:webHidden/>
          </w:rPr>
          <w:tab/>
        </w:r>
        <w:r w:rsidR="00CD28C5">
          <w:rPr>
            <w:webHidden/>
          </w:rPr>
          <w:fldChar w:fldCharType="begin"/>
        </w:r>
        <w:r w:rsidR="00CD28C5">
          <w:rPr>
            <w:webHidden/>
          </w:rPr>
          <w:instrText xml:space="preserve"> PAGEREF _Toc466462535 \h </w:instrText>
        </w:r>
        <w:r w:rsidR="00CD28C5">
          <w:rPr>
            <w:webHidden/>
          </w:rPr>
        </w:r>
        <w:r w:rsidR="00CD28C5">
          <w:rPr>
            <w:webHidden/>
          </w:rPr>
          <w:fldChar w:fldCharType="separate"/>
        </w:r>
        <w:r w:rsidR="00602E29">
          <w:rPr>
            <w:webHidden/>
          </w:rPr>
          <w:t>19</w:t>
        </w:r>
        <w:r w:rsidR="00CD28C5">
          <w:rPr>
            <w:webHidden/>
          </w:rPr>
          <w:fldChar w:fldCharType="end"/>
        </w:r>
      </w:hyperlink>
    </w:p>
    <w:p w14:paraId="071CB387" w14:textId="77777777" w:rsidR="00CD28C5" w:rsidRDefault="009D7F46">
      <w:pPr>
        <w:pStyle w:val="TOC2"/>
        <w:rPr>
          <w:rFonts w:asciiTheme="minorHAnsi" w:eastAsiaTheme="minorEastAsia" w:hAnsiTheme="minorHAnsi" w:cstheme="minorBidi"/>
          <w:sz w:val="22"/>
          <w:szCs w:val="22"/>
          <w:lang w:eastAsia="en-AU"/>
        </w:rPr>
      </w:pPr>
      <w:hyperlink w:anchor="_Toc466462536" w:history="1">
        <w:r w:rsidR="00CD28C5" w:rsidRPr="00A17794">
          <w:rPr>
            <w:rStyle w:val="Hyperlink"/>
          </w:rPr>
          <w:t>ATTACHMENT B</w:t>
        </w:r>
        <w:r w:rsidR="00CD28C5">
          <w:rPr>
            <w:webHidden/>
          </w:rPr>
          <w:tab/>
        </w:r>
        <w:r w:rsidR="00CD28C5">
          <w:rPr>
            <w:webHidden/>
          </w:rPr>
          <w:fldChar w:fldCharType="begin"/>
        </w:r>
        <w:r w:rsidR="00CD28C5">
          <w:rPr>
            <w:webHidden/>
          </w:rPr>
          <w:instrText xml:space="preserve"> PAGEREF _Toc466462536 \h </w:instrText>
        </w:r>
        <w:r w:rsidR="00CD28C5">
          <w:rPr>
            <w:webHidden/>
          </w:rPr>
        </w:r>
        <w:r w:rsidR="00CD28C5">
          <w:rPr>
            <w:webHidden/>
          </w:rPr>
          <w:fldChar w:fldCharType="separate"/>
        </w:r>
        <w:r w:rsidR="00602E29">
          <w:rPr>
            <w:webHidden/>
          </w:rPr>
          <w:t>20</w:t>
        </w:r>
        <w:r w:rsidR="00CD28C5">
          <w:rPr>
            <w:webHidden/>
          </w:rPr>
          <w:fldChar w:fldCharType="end"/>
        </w:r>
      </w:hyperlink>
    </w:p>
    <w:p w14:paraId="731FF97D" w14:textId="77777777" w:rsidR="00CD28C5" w:rsidRDefault="009D7F46">
      <w:pPr>
        <w:pStyle w:val="TOC3"/>
        <w:rPr>
          <w:rFonts w:asciiTheme="minorHAnsi" w:eastAsiaTheme="minorEastAsia" w:hAnsiTheme="minorHAnsi" w:cstheme="minorBidi"/>
          <w:sz w:val="22"/>
          <w:szCs w:val="22"/>
          <w:lang w:eastAsia="en-AU"/>
        </w:rPr>
      </w:pPr>
      <w:hyperlink w:anchor="_Toc466462537" w:history="1">
        <w:r w:rsidR="00CD28C5" w:rsidRPr="00A17794">
          <w:rPr>
            <w:rStyle w:val="Hyperlink"/>
          </w:rPr>
          <w:t>Submissions List</w:t>
        </w:r>
        <w:r w:rsidR="00CD28C5">
          <w:rPr>
            <w:webHidden/>
          </w:rPr>
          <w:tab/>
        </w:r>
        <w:r w:rsidR="00CD28C5">
          <w:rPr>
            <w:webHidden/>
          </w:rPr>
          <w:fldChar w:fldCharType="begin"/>
        </w:r>
        <w:r w:rsidR="00CD28C5">
          <w:rPr>
            <w:webHidden/>
          </w:rPr>
          <w:instrText xml:space="preserve"> PAGEREF _Toc466462537 \h </w:instrText>
        </w:r>
        <w:r w:rsidR="00CD28C5">
          <w:rPr>
            <w:webHidden/>
          </w:rPr>
        </w:r>
        <w:r w:rsidR="00CD28C5">
          <w:rPr>
            <w:webHidden/>
          </w:rPr>
          <w:fldChar w:fldCharType="separate"/>
        </w:r>
        <w:r w:rsidR="00602E29">
          <w:rPr>
            <w:webHidden/>
          </w:rPr>
          <w:t>20</w:t>
        </w:r>
        <w:r w:rsidR="00CD28C5">
          <w:rPr>
            <w:webHidden/>
          </w:rPr>
          <w:fldChar w:fldCharType="end"/>
        </w:r>
      </w:hyperlink>
    </w:p>
    <w:p w14:paraId="0E6DA435" w14:textId="74C0D0EC" w:rsidR="00B03109" w:rsidRPr="00DA40D1" w:rsidRDefault="00B03109" w:rsidP="00EB6034">
      <w:pPr>
        <w:sectPr w:rsidR="00B03109" w:rsidRPr="00DA40D1" w:rsidSect="00BD47A0">
          <w:headerReference w:type="default" r:id="rId14"/>
          <w:footerReference w:type="default" r:id="rId15"/>
          <w:headerReference w:type="first" r:id="rId16"/>
          <w:pgSz w:w="11906" w:h="16838"/>
          <w:pgMar w:top="1418" w:right="1418" w:bottom="1418" w:left="1418" w:header="567" w:footer="283" w:gutter="0"/>
          <w:pgNumType w:fmt="lowerRoman" w:start="1"/>
          <w:cols w:space="708"/>
          <w:titlePg/>
          <w:docGrid w:linePitch="360"/>
        </w:sectPr>
      </w:pPr>
      <w:r>
        <w:rPr>
          <w:b/>
          <w:bCs/>
          <w:noProof/>
        </w:rPr>
        <w:fldChar w:fldCharType="end"/>
      </w:r>
    </w:p>
    <w:p w14:paraId="1F4147DE" w14:textId="77777777" w:rsidR="00B03109" w:rsidRPr="00BC04C6" w:rsidRDefault="00B03109" w:rsidP="00B03109">
      <w:pPr>
        <w:pStyle w:val="Heading1"/>
      </w:pPr>
      <w:bookmarkStart w:id="17" w:name="_Toc466462512"/>
      <w:bookmarkStart w:id="18" w:name="_Toc438109684"/>
      <w:bookmarkStart w:id="19" w:name="_Toc384110915"/>
      <w:r w:rsidRPr="00BC04C6">
        <w:lastRenderedPageBreak/>
        <w:t>Executive Summary</w:t>
      </w:r>
      <w:bookmarkEnd w:id="17"/>
    </w:p>
    <w:p w14:paraId="266ED57C" w14:textId="47D5C2B8" w:rsidR="00B03109" w:rsidRDefault="00B03109" w:rsidP="00B03109">
      <w:pPr>
        <w:spacing w:after="120"/>
        <w:rPr>
          <w:sz w:val="22"/>
        </w:rPr>
      </w:pPr>
      <w:r w:rsidRPr="00BC04C6">
        <w:rPr>
          <w:sz w:val="22"/>
        </w:rPr>
        <w:t xml:space="preserve">The Horse Disease Response Levy Review is a requirement under the </w:t>
      </w:r>
      <w:r w:rsidRPr="00BC04C6">
        <w:rPr>
          <w:i/>
          <w:sz w:val="22"/>
        </w:rPr>
        <w:t xml:space="preserve">Horse Disease Response </w:t>
      </w:r>
      <w:r w:rsidR="0004352C">
        <w:rPr>
          <w:i/>
          <w:sz w:val="22"/>
        </w:rPr>
        <w:t xml:space="preserve">Levy </w:t>
      </w:r>
      <w:r w:rsidRPr="00BC04C6">
        <w:rPr>
          <w:i/>
          <w:sz w:val="22"/>
        </w:rPr>
        <w:t>Collection Act 2011.</w:t>
      </w:r>
      <w:r w:rsidRPr="00BC04C6">
        <w:rPr>
          <w:sz w:val="22"/>
        </w:rPr>
        <w:t xml:space="preserve"> It requires the Minister </w:t>
      </w:r>
      <w:r>
        <w:rPr>
          <w:sz w:val="22"/>
        </w:rPr>
        <w:t xml:space="preserve">for Agriculture and Water Resources </w:t>
      </w:r>
      <w:r w:rsidRPr="00BC04C6">
        <w:rPr>
          <w:sz w:val="22"/>
        </w:rPr>
        <w:t>to ensure that</w:t>
      </w:r>
      <w:r w:rsidR="0004352C">
        <w:rPr>
          <w:sz w:val="22"/>
        </w:rPr>
        <w:t>,</w:t>
      </w:r>
      <w:r w:rsidRPr="00BC04C6">
        <w:rPr>
          <w:sz w:val="22"/>
        </w:rPr>
        <w:t xml:space="preserve"> at least once every five years</w:t>
      </w:r>
      <w:r w:rsidR="0034687D">
        <w:rPr>
          <w:sz w:val="22"/>
        </w:rPr>
        <w:t>,</w:t>
      </w:r>
      <w:r w:rsidRPr="00BC04C6">
        <w:rPr>
          <w:sz w:val="22"/>
        </w:rPr>
        <w:t xml:space="preserve"> there is a review of whether a levy on manufactured feed and worm treatments is the most appropriate way of raising money to meet the cost of an emergency response to a disease affecting horses. </w:t>
      </w:r>
    </w:p>
    <w:p w14:paraId="0500B49E" w14:textId="77777777" w:rsidR="00B03109" w:rsidRPr="00BC04C6" w:rsidRDefault="00B03109" w:rsidP="00B03109">
      <w:pPr>
        <w:spacing w:after="120"/>
        <w:rPr>
          <w:sz w:val="22"/>
        </w:rPr>
      </w:pPr>
      <w:r w:rsidRPr="00BC04C6">
        <w:rPr>
          <w:sz w:val="22"/>
        </w:rPr>
        <w:t xml:space="preserve">The review process included targeted consultation with key stakeholders and a four-week public consultation period where written submissions were sought. </w:t>
      </w:r>
      <w:r>
        <w:rPr>
          <w:sz w:val="22"/>
          <w:szCs w:val="22"/>
        </w:rPr>
        <w:t>The key f</w:t>
      </w:r>
      <w:r w:rsidRPr="00BC04C6">
        <w:rPr>
          <w:sz w:val="22"/>
          <w:szCs w:val="22"/>
        </w:rPr>
        <w:t xml:space="preserve">eedback </w:t>
      </w:r>
      <w:r>
        <w:rPr>
          <w:sz w:val="22"/>
          <w:szCs w:val="22"/>
        </w:rPr>
        <w:t xml:space="preserve">received </w:t>
      </w:r>
      <w:r w:rsidRPr="00BC04C6">
        <w:rPr>
          <w:sz w:val="22"/>
          <w:szCs w:val="22"/>
        </w:rPr>
        <w:t>included:</w:t>
      </w:r>
    </w:p>
    <w:p w14:paraId="071DB837" w14:textId="77777777" w:rsidR="00B03109" w:rsidRPr="00BC04C6" w:rsidRDefault="00B03109" w:rsidP="00B03109">
      <w:pPr>
        <w:numPr>
          <w:ilvl w:val="0"/>
          <w:numId w:val="12"/>
        </w:numPr>
        <w:rPr>
          <w:sz w:val="22"/>
          <w:szCs w:val="22"/>
        </w:rPr>
      </w:pPr>
      <w:r>
        <w:rPr>
          <w:sz w:val="22"/>
          <w:szCs w:val="22"/>
        </w:rPr>
        <w:t>s</w:t>
      </w:r>
      <w:r w:rsidRPr="00BC04C6">
        <w:rPr>
          <w:sz w:val="22"/>
          <w:szCs w:val="22"/>
        </w:rPr>
        <w:t>upport for the current collection points, on the basis that extensive consultation has previously been undertaken and the current collection points remain the most appropriate</w:t>
      </w:r>
    </w:p>
    <w:p w14:paraId="1A30CCE8" w14:textId="77777777" w:rsidR="00B03109" w:rsidRPr="00C01140" w:rsidRDefault="00B03109" w:rsidP="00B03109">
      <w:pPr>
        <w:numPr>
          <w:ilvl w:val="0"/>
          <w:numId w:val="12"/>
        </w:numPr>
        <w:rPr>
          <w:i/>
          <w:sz w:val="22"/>
          <w:szCs w:val="22"/>
        </w:rPr>
      </w:pPr>
      <w:r>
        <w:rPr>
          <w:sz w:val="22"/>
          <w:szCs w:val="22"/>
        </w:rPr>
        <w:t>c</w:t>
      </w:r>
      <w:r w:rsidRPr="00C01140">
        <w:rPr>
          <w:sz w:val="22"/>
          <w:szCs w:val="22"/>
        </w:rPr>
        <w:t xml:space="preserve">oncern that the levy collection points do not align with the Australian Government’s </w:t>
      </w:r>
      <w:r w:rsidRPr="00C01140">
        <w:rPr>
          <w:i/>
          <w:sz w:val="22"/>
          <w:szCs w:val="22"/>
        </w:rPr>
        <w:t>Levy Principles and Guidelines</w:t>
      </w:r>
    </w:p>
    <w:p w14:paraId="5D31993A" w14:textId="77777777" w:rsidR="00B03109" w:rsidRPr="00BC04C6" w:rsidRDefault="00B03109" w:rsidP="00B03109">
      <w:pPr>
        <w:numPr>
          <w:ilvl w:val="0"/>
          <w:numId w:val="12"/>
        </w:numPr>
        <w:rPr>
          <w:sz w:val="22"/>
          <w:szCs w:val="22"/>
        </w:rPr>
      </w:pPr>
      <w:r>
        <w:rPr>
          <w:sz w:val="22"/>
          <w:szCs w:val="22"/>
        </w:rPr>
        <w:t>c</w:t>
      </w:r>
      <w:r w:rsidRPr="00BC04C6">
        <w:rPr>
          <w:sz w:val="22"/>
          <w:szCs w:val="22"/>
        </w:rPr>
        <w:t xml:space="preserve">oncern </w:t>
      </w:r>
      <w:r>
        <w:rPr>
          <w:sz w:val="22"/>
          <w:szCs w:val="22"/>
        </w:rPr>
        <w:t xml:space="preserve">about </w:t>
      </w:r>
      <w:r w:rsidRPr="00BC04C6">
        <w:rPr>
          <w:sz w:val="22"/>
          <w:szCs w:val="22"/>
        </w:rPr>
        <w:t>the appropriateness of the levy collection points and the impact the levy would have upon business and industries</w:t>
      </w:r>
      <w:r>
        <w:rPr>
          <w:sz w:val="22"/>
          <w:szCs w:val="22"/>
        </w:rPr>
        <w:t xml:space="preserve"> if it is activated</w:t>
      </w:r>
    </w:p>
    <w:p w14:paraId="52D021B5" w14:textId="77777777" w:rsidR="00B03109" w:rsidRPr="00BC04C6" w:rsidRDefault="00B03109" w:rsidP="00B03109">
      <w:pPr>
        <w:numPr>
          <w:ilvl w:val="0"/>
          <w:numId w:val="12"/>
        </w:numPr>
        <w:rPr>
          <w:sz w:val="22"/>
        </w:rPr>
      </w:pPr>
      <w:proofErr w:type="gramStart"/>
      <w:r>
        <w:rPr>
          <w:sz w:val="22"/>
        </w:rPr>
        <w:t>c</w:t>
      </w:r>
      <w:r w:rsidRPr="00BC04C6">
        <w:rPr>
          <w:sz w:val="22"/>
        </w:rPr>
        <w:t>oncern</w:t>
      </w:r>
      <w:proofErr w:type="gramEnd"/>
      <w:r w:rsidRPr="00BC04C6">
        <w:rPr>
          <w:sz w:val="22"/>
        </w:rPr>
        <w:t xml:space="preserve"> about the wording in the </w:t>
      </w:r>
      <w:r w:rsidRPr="00BC04C6">
        <w:rPr>
          <w:i/>
          <w:sz w:val="22"/>
        </w:rPr>
        <w:t xml:space="preserve">Horse Disease Response Levy Act 2011 </w:t>
      </w:r>
      <w:r w:rsidRPr="00B930EE">
        <w:rPr>
          <w:sz w:val="22"/>
        </w:rPr>
        <w:t>(Commonwealth)</w:t>
      </w:r>
      <w:r w:rsidRPr="00BC04C6">
        <w:rPr>
          <w:i/>
          <w:sz w:val="22"/>
        </w:rPr>
        <w:t xml:space="preserve"> </w:t>
      </w:r>
      <w:r w:rsidRPr="00BC04C6">
        <w:rPr>
          <w:sz w:val="22"/>
        </w:rPr>
        <w:t>and the</w:t>
      </w:r>
      <w:r w:rsidRPr="00BC04C6">
        <w:rPr>
          <w:i/>
          <w:sz w:val="22"/>
        </w:rPr>
        <w:t xml:space="preserve"> Horse Disease Response Levy Collection Act 2011 </w:t>
      </w:r>
      <w:r w:rsidRPr="00B930EE">
        <w:rPr>
          <w:sz w:val="22"/>
        </w:rPr>
        <w:t>(Commonwealth)</w:t>
      </w:r>
      <w:r w:rsidRPr="00BC04C6">
        <w:rPr>
          <w:i/>
          <w:sz w:val="22"/>
        </w:rPr>
        <w:t>.</w:t>
      </w:r>
    </w:p>
    <w:p w14:paraId="15A9FC37" w14:textId="60A82E35" w:rsidR="00B03109" w:rsidRDefault="00B03109" w:rsidP="00B03109">
      <w:pPr>
        <w:rPr>
          <w:sz w:val="22"/>
        </w:rPr>
      </w:pPr>
      <w:r>
        <w:rPr>
          <w:sz w:val="22"/>
        </w:rPr>
        <w:t>S</w:t>
      </w:r>
      <w:r w:rsidRPr="00BC04C6">
        <w:rPr>
          <w:sz w:val="22"/>
        </w:rPr>
        <w:t>takeholders opposed to the levy were asked to propose alternative</w:t>
      </w:r>
      <w:r>
        <w:rPr>
          <w:sz w:val="22"/>
        </w:rPr>
        <w:t xml:space="preserve"> levy</w:t>
      </w:r>
      <w:r w:rsidRPr="00BC04C6">
        <w:rPr>
          <w:sz w:val="22"/>
        </w:rPr>
        <w:t xml:space="preserve"> collection points. </w:t>
      </w:r>
      <w:r w:rsidR="008C531D" w:rsidRPr="00BC04C6">
        <w:rPr>
          <w:sz w:val="22"/>
        </w:rPr>
        <w:t>Suggestions included a</w:t>
      </w:r>
      <w:r w:rsidR="008C531D">
        <w:rPr>
          <w:sz w:val="22"/>
        </w:rPr>
        <w:t>t the point of registration in a</w:t>
      </w:r>
      <w:r w:rsidR="008C531D" w:rsidRPr="00BC04C6">
        <w:rPr>
          <w:sz w:val="22"/>
        </w:rPr>
        <w:t xml:space="preserve"> national scheme, local council registration</w:t>
      </w:r>
      <w:r w:rsidR="008C531D">
        <w:rPr>
          <w:sz w:val="22"/>
        </w:rPr>
        <w:t xml:space="preserve"> of horses</w:t>
      </w:r>
      <w:r w:rsidR="008C531D" w:rsidRPr="00BC04C6">
        <w:rPr>
          <w:sz w:val="22"/>
        </w:rPr>
        <w:t>, electronic identification</w:t>
      </w:r>
      <w:r w:rsidR="008C531D">
        <w:rPr>
          <w:sz w:val="22"/>
        </w:rPr>
        <w:t xml:space="preserve"> of horses</w:t>
      </w:r>
      <w:r w:rsidR="008C531D" w:rsidRPr="00BC04C6">
        <w:rPr>
          <w:sz w:val="22"/>
        </w:rPr>
        <w:t xml:space="preserve">, </w:t>
      </w:r>
      <w:r w:rsidR="008C531D">
        <w:rPr>
          <w:sz w:val="22"/>
        </w:rPr>
        <w:t xml:space="preserve">individual horses on </w:t>
      </w:r>
      <w:r w:rsidR="008C531D" w:rsidRPr="00BC04C6">
        <w:rPr>
          <w:sz w:val="22"/>
        </w:rPr>
        <w:t>property identification codes, event registration and horse breeding registration</w:t>
      </w:r>
      <w:r w:rsidR="008C531D">
        <w:rPr>
          <w:sz w:val="22"/>
        </w:rPr>
        <w:t>.</w:t>
      </w:r>
      <w:r>
        <w:rPr>
          <w:sz w:val="22"/>
        </w:rPr>
        <w:t xml:space="preserve"> </w:t>
      </w:r>
    </w:p>
    <w:p w14:paraId="353D8D31" w14:textId="0E7560AF" w:rsidR="00B03109" w:rsidRPr="00D01077" w:rsidRDefault="00B03109" w:rsidP="00B03109">
      <w:pPr>
        <w:rPr>
          <w:sz w:val="22"/>
        </w:rPr>
      </w:pPr>
      <w:r>
        <w:rPr>
          <w:sz w:val="22"/>
        </w:rPr>
        <w:t>Feedback received during the review wa</w:t>
      </w:r>
      <w:r w:rsidR="0004352C">
        <w:rPr>
          <w:sz w:val="22"/>
        </w:rPr>
        <w:t>s analysed and used to reach five</w:t>
      </w:r>
      <w:r>
        <w:rPr>
          <w:sz w:val="22"/>
        </w:rPr>
        <w:t xml:space="preserve"> findings:</w:t>
      </w:r>
    </w:p>
    <w:p w14:paraId="10BDDE68" w14:textId="77777777" w:rsidR="006810CE" w:rsidRPr="008C51B0" w:rsidRDefault="006810CE" w:rsidP="006810CE">
      <w:pPr>
        <w:pStyle w:val="ListNumber"/>
        <w:numPr>
          <w:ilvl w:val="0"/>
          <w:numId w:val="37"/>
        </w:numPr>
        <w:tabs>
          <w:tab w:val="clear" w:pos="284"/>
        </w:tabs>
        <w:spacing w:before="0" w:after="200"/>
        <w:rPr>
          <w:sz w:val="22"/>
        </w:rPr>
      </w:pPr>
      <w:r w:rsidRPr="008C51B0">
        <w:rPr>
          <w:sz w:val="22"/>
        </w:rPr>
        <w:t xml:space="preserve">The horse industry supports the current levy collection points of manufactured feed and horse wormers. The horse industry view is that this is currently the most equitable option available that provides the broadest coverage. </w:t>
      </w:r>
    </w:p>
    <w:p w14:paraId="5F09E4C4" w14:textId="189F2DF8" w:rsidR="006810CE" w:rsidRPr="00F1344B" w:rsidRDefault="006810CE" w:rsidP="006810CE">
      <w:pPr>
        <w:pStyle w:val="ListNumber"/>
        <w:numPr>
          <w:ilvl w:val="0"/>
          <w:numId w:val="37"/>
        </w:numPr>
        <w:tabs>
          <w:tab w:val="clear" w:pos="284"/>
        </w:tabs>
        <w:spacing w:before="0" w:after="200"/>
        <w:rPr>
          <w:sz w:val="22"/>
        </w:rPr>
      </w:pPr>
      <w:r w:rsidRPr="00F1344B">
        <w:rPr>
          <w:sz w:val="22"/>
        </w:rPr>
        <w:t xml:space="preserve">There is strong opposition to the current collection points from stakeholders responsible for collecting the levy. </w:t>
      </w:r>
      <w:r>
        <w:rPr>
          <w:sz w:val="22"/>
        </w:rPr>
        <w:t>T</w:t>
      </w:r>
      <w:r w:rsidRPr="00F1344B">
        <w:rPr>
          <w:sz w:val="22"/>
        </w:rPr>
        <w:t xml:space="preserve">hese stakeholders believe </w:t>
      </w:r>
      <w:r w:rsidRPr="00F1344B">
        <w:rPr>
          <w:sz w:val="22"/>
          <w:szCs w:val="22"/>
        </w:rPr>
        <w:t xml:space="preserve">that the current levy collection points do not satisfy all of the Australian Government </w:t>
      </w:r>
      <w:r w:rsidRPr="00F1344B">
        <w:rPr>
          <w:i/>
          <w:sz w:val="22"/>
          <w:szCs w:val="22"/>
        </w:rPr>
        <w:t>Levy Principles and Guidelines</w:t>
      </w:r>
      <w:r>
        <w:rPr>
          <w:sz w:val="22"/>
          <w:szCs w:val="22"/>
        </w:rPr>
        <w:t>, however, the department does not support this view.</w:t>
      </w:r>
      <w:r w:rsidRPr="00F1344B">
        <w:rPr>
          <w:sz w:val="22"/>
        </w:rPr>
        <w:t xml:space="preserve"> </w:t>
      </w:r>
    </w:p>
    <w:p w14:paraId="199A1AC2" w14:textId="52C30B71" w:rsidR="006810CE" w:rsidRPr="00F1344B" w:rsidRDefault="006810CE" w:rsidP="006810CE">
      <w:pPr>
        <w:pStyle w:val="ListNumber"/>
        <w:numPr>
          <w:ilvl w:val="0"/>
          <w:numId w:val="37"/>
        </w:numPr>
        <w:tabs>
          <w:tab w:val="clear" w:pos="284"/>
        </w:tabs>
        <w:spacing w:before="0" w:after="200"/>
        <w:rPr>
          <w:sz w:val="22"/>
        </w:rPr>
      </w:pPr>
      <w:r>
        <w:rPr>
          <w:sz w:val="22"/>
        </w:rPr>
        <w:t>Concerns from s</w:t>
      </w:r>
      <w:r w:rsidRPr="00F1344B">
        <w:rPr>
          <w:sz w:val="22"/>
        </w:rPr>
        <w:t>takeholders oppos</w:t>
      </w:r>
      <w:r>
        <w:rPr>
          <w:sz w:val="22"/>
        </w:rPr>
        <w:t>ed t</w:t>
      </w:r>
      <w:r w:rsidRPr="00F1344B">
        <w:rPr>
          <w:sz w:val="22"/>
        </w:rPr>
        <w:t xml:space="preserve">o the current collection points that potential inequities preventing even coverage of the levy and potential levy leakage are valid. However, there is insufficient data about horse population and feeding and worming practices </w:t>
      </w:r>
      <w:r w:rsidR="00361D9B">
        <w:rPr>
          <w:sz w:val="22"/>
        </w:rPr>
        <w:t xml:space="preserve">to quantify this. </w:t>
      </w:r>
    </w:p>
    <w:p w14:paraId="48013900" w14:textId="6E9BF1D8" w:rsidR="006810CE" w:rsidRDefault="006810CE" w:rsidP="006810CE">
      <w:pPr>
        <w:pStyle w:val="ListNumber"/>
        <w:numPr>
          <w:ilvl w:val="0"/>
          <w:numId w:val="37"/>
        </w:numPr>
        <w:tabs>
          <w:tab w:val="clear" w:pos="284"/>
        </w:tabs>
        <w:spacing w:before="0" w:after="200"/>
        <w:rPr>
          <w:sz w:val="22"/>
        </w:rPr>
      </w:pPr>
      <w:r>
        <w:rPr>
          <w:sz w:val="22"/>
        </w:rPr>
        <w:t>While a number of alternative collection points were proposed, f</w:t>
      </w:r>
      <w:r w:rsidRPr="000C7450">
        <w:rPr>
          <w:sz w:val="22"/>
        </w:rPr>
        <w:t>urther data about horse population and feeding and worming practices is required</w:t>
      </w:r>
      <w:r w:rsidR="0034687D">
        <w:rPr>
          <w:sz w:val="22"/>
        </w:rPr>
        <w:t xml:space="preserve"> to test the proposed </w:t>
      </w:r>
      <w:r w:rsidR="0034687D">
        <w:rPr>
          <w:sz w:val="22"/>
        </w:rPr>
        <w:lastRenderedPageBreak/>
        <w:t>alternatives</w:t>
      </w:r>
      <w:r w:rsidRPr="000C7450">
        <w:rPr>
          <w:sz w:val="22"/>
        </w:rPr>
        <w:t>. This will allow a more conclusive analysis of current and alternative collection point</w:t>
      </w:r>
      <w:r>
        <w:rPr>
          <w:sz w:val="22"/>
        </w:rPr>
        <w:t>s</w:t>
      </w:r>
      <w:r w:rsidRPr="000C7450">
        <w:rPr>
          <w:sz w:val="22"/>
        </w:rPr>
        <w:t xml:space="preserve">. </w:t>
      </w:r>
    </w:p>
    <w:p w14:paraId="71F49B80" w14:textId="77777777" w:rsidR="006810CE" w:rsidRPr="000C7450" w:rsidRDefault="006810CE" w:rsidP="006810CE">
      <w:pPr>
        <w:pStyle w:val="ListNumber"/>
        <w:numPr>
          <w:ilvl w:val="0"/>
          <w:numId w:val="37"/>
        </w:numPr>
        <w:tabs>
          <w:tab w:val="clear" w:pos="284"/>
        </w:tabs>
        <w:spacing w:before="0" w:after="200"/>
        <w:rPr>
          <w:sz w:val="22"/>
        </w:rPr>
      </w:pPr>
      <w:r w:rsidRPr="000C7450">
        <w:rPr>
          <w:sz w:val="22"/>
        </w:rPr>
        <w:t xml:space="preserve">Stakeholders opposing the levy also raised concerns that </w:t>
      </w:r>
      <w:r>
        <w:rPr>
          <w:sz w:val="22"/>
        </w:rPr>
        <w:t xml:space="preserve">the </w:t>
      </w:r>
      <w:r w:rsidRPr="000C7450">
        <w:rPr>
          <w:i/>
          <w:sz w:val="22"/>
        </w:rPr>
        <w:t>Horse Disease Response Levy Act 2011</w:t>
      </w:r>
      <w:r w:rsidRPr="000C7450">
        <w:rPr>
          <w:sz w:val="22"/>
        </w:rPr>
        <w:t xml:space="preserve"> (Commonwealth) might </w:t>
      </w:r>
      <w:r>
        <w:rPr>
          <w:sz w:val="22"/>
        </w:rPr>
        <w:t>inhibit</w:t>
      </w:r>
      <w:r w:rsidRPr="000C7450">
        <w:rPr>
          <w:sz w:val="22"/>
        </w:rPr>
        <w:t xml:space="preserve"> levy costs being passed on to the end user of manufactured feed or horse wormer</w:t>
      </w:r>
      <w:r>
        <w:rPr>
          <w:sz w:val="22"/>
        </w:rPr>
        <w:t>s.</w:t>
      </w:r>
      <w:r w:rsidRPr="000C7450">
        <w:rPr>
          <w:sz w:val="22"/>
        </w:rPr>
        <w:t xml:space="preserve"> </w:t>
      </w:r>
      <w:r>
        <w:rPr>
          <w:sz w:val="22"/>
        </w:rPr>
        <w:t>Substantiation of this issue requires further investigation.</w:t>
      </w:r>
    </w:p>
    <w:p w14:paraId="3F80E527" w14:textId="77777777" w:rsidR="00B03109" w:rsidRPr="00BC04C6" w:rsidRDefault="00B03109" w:rsidP="00B03109">
      <w:pPr>
        <w:rPr>
          <w:sz w:val="22"/>
        </w:rPr>
      </w:pPr>
      <w:r>
        <w:rPr>
          <w:sz w:val="22"/>
        </w:rPr>
        <w:br w:type="page"/>
      </w:r>
    </w:p>
    <w:p w14:paraId="4EE3E0FC" w14:textId="77777777" w:rsidR="00B03109" w:rsidRPr="002E2562" w:rsidRDefault="00B03109" w:rsidP="00B03109">
      <w:pPr>
        <w:pStyle w:val="Heading1"/>
      </w:pPr>
      <w:bookmarkStart w:id="20" w:name="_Toc466462513"/>
      <w:r w:rsidRPr="002E2562">
        <w:lastRenderedPageBreak/>
        <w:t>Introduction</w:t>
      </w:r>
      <w:bookmarkEnd w:id="18"/>
      <w:bookmarkEnd w:id="20"/>
    </w:p>
    <w:p w14:paraId="173AF8E5" w14:textId="60B87471" w:rsidR="00B03109" w:rsidRPr="00BC04C6" w:rsidRDefault="00B03109" w:rsidP="00B03109">
      <w:pPr>
        <w:rPr>
          <w:sz w:val="22"/>
        </w:rPr>
      </w:pPr>
      <w:r w:rsidRPr="00BC04C6">
        <w:rPr>
          <w:sz w:val="22"/>
        </w:rPr>
        <w:t>In Australia, responses to significant animal disease emergencies are coordinated nationally by government</w:t>
      </w:r>
      <w:r w:rsidR="00241F6A">
        <w:rPr>
          <w:sz w:val="22"/>
        </w:rPr>
        <w:t>s</w:t>
      </w:r>
      <w:r w:rsidRPr="00BC04C6">
        <w:rPr>
          <w:sz w:val="22"/>
        </w:rPr>
        <w:t xml:space="preserve"> and affected industries, with responses underpinned by the Emergency Animal Disease Response Agreement (EADRA). </w:t>
      </w:r>
    </w:p>
    <w:p w14:paraId="4C6B1865" w14:textId="77777777" w:rsidR="00B03109" w:rsidRPr="00BC04C6" w:rsidRDefault="00B03109" w:rsidP="00B03109">
      <w:pPr>
        <w:rPr>
          <w:sz w:val="22"/>
        </w:rPr>
      </w:pPr>
      <w:r w:rsidRPr="00BC04C6">
        <w:rPr>
          <w:sz w:val="22"/>
        </w:rPr>
        <w:t xml:space="preserve">The EADRA allows for the costs of responding to significant animal diseases to be shared by the Australian Government, state and territory governments and livestock industries. The EADRA provides assurance to industries that when certain criteria are met, the necessary resources and finances will be available to mount a response to a disease incursion. </w:t>
      </w:r>
    </w:p>
    <w:p w14:paraId="4393C52A" w14:textId="77777777" w:rsidR="00B03109" w:rsidRPr="00BC04C6" w:rsidRDefault="00B03109" w:rsidP="00B03109">
      <w:pPr>
        <w:spacing w:after="120"/>
        <w:rPr>
          <w:sz w:val="22"/>
        </w:rPr>
      </w:pPr>
      <w:r w:rsidRPr="00BC04C6">
        <w:rPr>
          <w:sz w:val="22"/>
        </w:rPr>
        <w:t xml:space="preserve">In March 2011, the Australian Horse Industry Council, Equestrian Australia, Harness Racing Australia and Racing Australia signed the EADRA on behalf of the horse industry. </w:t>
      </w:r>
    </w:p>
    <w:p w14:paraId="16FFBA5F" w14:textId="1F580C5D" w:rsidR="00B03109" w:rsidRPr="00BC04C6" w:rsidRDefault="00B03109" w:rsidP="00B03109">
      <w:pPr>
        <w:spacing w:before="0"/>
        <w:rPr>
          <w:sz w:val="22"/>
        </w:rPr>
      </w:pPr>
      <w:r w:rsidRPr="00BC04C6">
        <w:rPr>
          <w:sz w:val="22"/>
        </w:rPr>
        <w:t xml:space="preserve">The </w:t>
      </w:r>
      <w:r w:rsidRPr="00BC04C6">
        <w:rPr>
          <w:i/>
          <w:sz w:val="22"/>
        </w:rPr>
        <w:t>Horse Disease Response Levy Act 2011</w:t>
      </w:r>
      <w:r w:rsidRPr="00BC04C6">
        <w:rPr>
          <w:sz w:val="22"/>
        </w:rPr>
        <w:t xml:space="preserve"> and the </w:t>
      </w:r>
      <w:r w:rsidRPr="00BC04C6">
        <w:rPr>
          <w:i/>
          <w:sz w:val="22"/>
        </w:rPr>
        <w:t>Horse Disease Response Levy Collection Act 2011</w:t>
      </w:r>
      <w:r w:rsidRPr="00BC04C6">
        <w:rPr>
          <w:sz w:val="22"/>
        </w:rPr>
        <w:t xml:space="preserve"> were introduced in response to the horse industry becoming a signatory to the EADRA. The </w:t>
      </w:r>
      <w:r>
        <w:rPr>
          <w:sz w:val="22"/>
        </w:rPr>
        <w:t>legislation provides</w:t>
      </w:r>
      <w:r w:rsidRPr="00BC04C6">
        <w:rPr>
          <w:sz w:val="22"/>
        </w:rPr>
        <w:t xml:space="preserve"> the horse industry </w:t>
      </w:r>
      <w:r>
        <w:rPr>
          <w:sz w:val="22"/>
        </w:rPr>
        <w:t xml:space="preserve">with a mechanism to </w:t>
      </w:r>
      <w:r w:rsidRPr="00BC04C6">
        <w:rPr>
          <w:sz w:val="22"/>
        </w:rPr>
        <w:t xml:space="preserve">fund its share </w:t>
      </w:r>
      <w:r>
        <w:rPr>
          <w:sz w:val="22"/>
        </w:rPr>
        <w:t xml:space="preserve">of a </w:t>
      </w:r>
      <w:r w:rsidRPr="00BC04C6">
        <w:rPr>
          <w:sz w:val="22"/>
        </w:rPr>
        <w:t>respon</w:t>
      </w:r>
      <w:r>
        <w:rPr>
          <w:sz w:val="22"/>
        </w:rPr>
        <w:t>se</w:t>
      </w:r>
      <w:r w:rsidRPr="00BC04C6">
        <w:rPr>
          <w:sz w:val="22"/>
        </w:rPr>
        <w:t xml:space="preserve"> to </w:t>
      </w:r>
      <w:r>
        <w:rPr>
          <w:sz w:val="22"/>
        </w:rPr>
        <w:t xml:space="preserve">an </w:t>
      </w:r>
      <w:r w:rsidRPr="00BC04C6">
        <w:rPr>
          <w:sz w:val="22"/>
        </w:rPr>
        <w:t xml:space="preserve">emergency disease that affects horses. </w:t>
      </w:r>
      <w:r>
        <w:rPr>
          <w:sz w:val="22"/>
        </w:rPr>
        <w:t>A</w:t>
      </w:r>
      <w:r w:rsidRPr="00BC04C6">
        <w:rPr>
          <w:sz w:val="22"/>
        </w:rPr>
        <w:t xml:space="preserve"> levy was introduced at a nil rate, with the understanding that it would be increased to a positive rate if the EADRA is activated to respond to </w:t>
      </w:r>
      <w:r>
        <w:rPr>
          <w:sz w:val="22"/>
        </w:rPr>
        <w:t xml:space="preserve">a </w:t>
      </w:r>
      <w:r w:rsidR="00241F6A">
        <w:rPr>
          <w:sz w:val="22"/>
        </w:rPr>
        <w:t xml:space="preserve">horse </w:t>
      </w:r>
      <w:r w:rsidRPr="00BC04C6">
        <w:rPr>
          <w:sz w:val="22"/>
        </w:rPr>
        <w:t>disease</w:t>
      </w:r>
      <w:r>
        <w:rPr>
          <w:sz w:val="22"/>
        </w:rPr>
        <w:t xml:space="preserve"> incursion</w:t>
      </w:r>
      <w:r w:rsidRPr="00BC04C6">
        <w:rPr>
          <w:sz w:val="22"/>
        </w:rPr>
        <w:t xml:space="preserve">.  </w:t>
      </w:r>
    </w:p>
    <w:p w14:paraId="6B9D8761" w14:textId="379C7B37" w:rsidR="00B03109" w:rsidRPr="00BC04C6" w:rsidRDefault="00B03109" w:rsidP="00B03109">
      <w:pPr>
        <w:spacing w:before="0"/>
        <w:rPr>
          <w:sz w:val="22"/>
        </w:rPr>
      </w:pPr>
      <w:r w:rsidRPr="00BC04C6">
        <w:rPr>
          <w:sz w:val="22"/>
        </w:rPr>
        <w:t xml:space="preserve">Under the EADRA, the Australian Government can agree to underwrite an industry’s share of the response. These costs are then recovered through a statutory industry levy. The rate is decided by industry, in consultation with the </w:t>
      </w:r>
      <w:r>
        <w:rPr>
          <w:sz w:val="22"/>
        </w:rPr>
        <w:t>Australian Government</w:t>
      </w:r>
      <w:r w:rsidRPr="00BC04C6">
        <w:rPr>
          <w:sz w:val="22"/>
        </w:rPr>
        <w:t xml:space="preserve">. When the costs have </w:t>
      </w:r>
      <w:r w:rsidR="0004352C">
        <w:rPr>
          <w:sz w:val="22"/>
        </w:rPr>
        <w:t>been recovered, the levy is</w:t>
      </w:r>
      <w:r w:rsidRPr="00BC04C6">
        <w:rPr>
          <w:sz w:val="22"/>
        </w:rPr>
        <w:t xml:space="preserve"> set back to nil.</w:t>
      </w:r>
    </w:p>
    <w:p w14:paraId="155F8F46" w14:textId="796399F7" w:rsidR="00B03109" w:rsidRPr="00BC04C6" w:rsidRDefault="00B03109" w:rsidP="00B03109">
      <w:pPr>
        <w:spacing w:after="120"/>
        <w:rPr>
          <w:sz w:val="22"/>
        </w:rPr>
      </w:pPr>
      <w:r w:rsidRPr="00BC04C6">
        <w:rPr>
          <w:sz w:val="22"/>
        </w:rPr>
        <w:t xml:space="preserve">The review </w:t>
      </w:r>
      <w:r>
        <w:rPr>
          <w:sz w:val="22"/>
        </w:rPr>
        <w:t xml:space="preserve">of levy arrangements </w:t>
      </w:r>
      <w:r w:rsidRPr="00BC04C6">
        <w:rPr>
          <w:sz w:val="22"/>
        </w:rPr>
        <w:t xml:space="preserve">is a requirement under Section 35, Part 4 of the </w:t>
      </w:r>
      <w:r w:rsidRPr="00BC04C6">
        <w:rPr>
          <w:i/>
          <w:sz w:val="22"/>
        </w:rPr>
        <w:t xml:space="preserve">Horse Disease Response </w:t>
      </w:r>
      <w:r w:rsidR="0004352C">
        <w:rPr>
          <w:i/>
          <w:sz w:val="22"/>
        </w:rPr>
        <w:t xml:space="preserve">Levy </w:t>
      </w:r>
      <w:r w:rsidRPr="00BC04C6">
        <w:rPr>
          <w:i/>
          <w:sz w:val="22"/>
        </w:rPr>
        <w:t>Collection Act 2011.</w:t>
      </w:r>
      <w:r w:rsidRPr="00BC04C6">
        <w:rPr>
          <w:sz w:val="22"/>
        </w:rPr>
        <w:t xml:space="preserve"> It requires the Minister </w:t>
      </w:r>
      <w:r>
        <w:rPr>
          <w:sz w:val="22"/>
        </w:rPr>
        <w:t xml:space="preserve">for Agriculture and Water Resources </w:t>
      </w:r>
      <w:r w:rsidRPr="00BC04C6">
        <w:rPr>
          <w:sz w:val="22"/>
        </w:rPr>
        <w:t>to ensure that</w:t>
      </w:r>
      <w:r w:rsidR="00241F6A">
        <w:rPr>
          <w:sz w:val="22"/>
        </w:rPr>
        <w:t>,</w:t>
      </w:r>
      <w:r w:rsidRPr="00BC04C6">
        <w:rPr>
          <w:sz w:val="22"/>
        </w:rPr>
        <w:t xml:space="preserve"> at least once every five years</w:t>
      </w:r>
      <w:r w:rsidR="00241F6A">
        <w:rPr>
          <w:sz w:val="22"/>
        </w:rPr>
        <w:t>,</w:t>
      </w:r>
      <w:r w:rsidRPr="00BC04C6">
        <w:rPr>
          <w:sz w:val="22"/>
        </w:rPr>
        <w:t xml:space="preserve"> there is a review of whether a levy on manufactured feed and worm treatments is the most appropriate way of raising money to meet the costs of an emergency response to a disease affecting horses. </w:t>
      </w:r>
    </w:p>
    <w:p w14:paraId="0E082DCD" w14:textId="77777777" w:rsidR="00B03109" w:rsidRPr="00BC04C6" w:rsidRDefault="00B03109" w:rsidP="00B03109">
      <w:pPr>
        <w:rPr>
          <w:sz w:val="22"/>
        </w:rPr>
      </w:pPr>
      <w:r w:rsidRPr="00BC04C6">
        <w:rPr>
          <w:sz w:val="22"/>
        </w:rPr>
        <w:t>The review process included targeted consultation with key stakeholders and a four-week public consultation period where written submissions were sought. This</w:t>
      </w:r>
      <w:r>
        <w:rPr>
          <w:sz w:val="22"/>
        </w:rPr>
        <w:t xml:space="preserve"> </w:t>
      </w:r>
      <w:r w:rsidRPr="00BC04C6">
        <w:rPr>
          <w:sz w:val="22"/>
        </w:rPr>
        <w:t xml:space="preserve">report details the consultation activities undertaken for the review and </w:t>
      </w:r>
      <w:r>
        <w:rPr>
          <w:sz w:val="22"/>
        </w:rPr>
        <w:t xml:space="preserve">the </w:t>
      </w:r>
      <w:r w:rsidRPr="00BC04C6">
        <w:rPr>
          <w:sz w:val="22"/>
        </w:rPr>
        <w:t xml:space="preserve">feedback received from stakeholders. The department has considered this feedback and </w:t>
      </w:r>
      <w:r>
        <w:rPr>
          <w:sz w:val="22"/>
        </w:rPr>
        <w:t xml:space="preserve">made </w:t>
      </w:r>
      <w:r w:rsidRPr="00BC04C6">
        <w:rPr>
          <w:sz w:val="22"/>
        </w:rPr>
        <w:t>a number of</w:t>
      </w:r>
      <w:r>
        <w:rPr>
          <w:sz w:val="22"/>
        </w:rPr>
        <w:t xml:space="preserve"> </w:t>
      </w:r>
      <w:r w:rsidRPr="00BC04C6">
        <w:rPr>
          <w:sz w:val="22"/>
        </w:rPr>
        <w:t>findings</w:t>
      </w:r>
      <w:r>
        <w:rPr>
          <w:sz w:val="22"/>
        </w:rPr>
        <w:t xml:space="preserve">. </w:t>
      </w:r>
    </w:p>
    <w:p w14:paraId="6AD1BBE1" w14:textId="46CE1093" w:rsidR="00EB6034" w:rsidRDefault="00EB6034">
      <w:pPr>
        <w:spacing w:before="0"/>
        <w:rPr>
          <w:sz w:val="22"/>
        </w:rPr>
      </w:pPr>
      <w:r>
        <w:rPr>
          <w:sz w:val="22"/>
        </w:rPr>
        <w:br w:type="page"/>
      </w:r>
    </w:p>
    <w:p w14:paraId="4C14DD3C" w14:textId="77777777" w:rsidR="00D17C98" w:rsidRPr="00BC04C6" w:rsidRDefault="00D17C98" w:rsidP="00B03109">
      <w:pPr>
        <w:spacing w:before="0"/>
        <w:rPr>
          <w:sz w:val="22"/>
        </w:rPr>
      </w:pPr>
    </w:p>
    <w:p w14:paraId="29526E92" w14:textId="77777777" w:rsidR="00B03109" w:rsidRDefault="00B03109" w:rsidP="00B03109">
      <w:pPr>
        <w:pStyle w:val="Heading2"/>
      </w:pPr>
      <w:bookmarkStart w:id="21" w:name="_Toc433188216"/>
      <w:bookmarkStart w:id="22" w:name="_Toc438109685"/>
      <w:bookmarkStart w:id="23" w:name="_Toc466462514"/>
      <w:r>
        <w:t>In Scope</w:t>
      </w:r>
      <w:bookmarkEnd w:id="21"/>
      <w:bookmarkEnd w:id="22"/>
      <w:bookmarkEnd w:id="23"/>
    </w:p>
    <w:p w14:paraId="5A689886" w14:textId="77777777" w:rsidR="00B03109" w:rsidRPr="00BC04C6" w:rsidRDefault="00B03109" w:rsidP="00B03109">
      <w:pPr>
        <w:rPr>
          <w:sz w:val="22"/>
        </w:rPr>
      </w:pPr>
      <w:r w:rsidRPr="00BC04C6">
        <w:rPr>
          <w:sz w:val="22"/>
        </w:rPr>
        <w:t xml:space="preserve">The department undertook the review to seek feedback from the horse industry stakeholders and considered: </w:t>
      </w:r>
    </w:p>
    <w:p w14:paraId="79B04370" w14:textId="77777777" w:rsidR="00B03109" w:rsidRPr="00BC04C6" w:rsidRDefault="00B03109" w:rsidP="00B03109">
      <w:pPr>
        <w:pStyle w:val="ListParagraph"/>
        <w:numPr>
          <w:ilvl w:val="0"/>
          <w:numId w:val="9"/>
        </w:numPr>
        <w:spacing w:before="0"/>
        <w:rPr>
          <w:sz w:val="22"/>
        </w:rPr>
      </w:pPr>
      <w:r>
        <w:rPr>
          <w:sz w:val="22"/>
        </w:rPr>
        <w:t>w</w:t>
      </w:r>
      <w:r w:rsidRPr="00BC04C6">
        <w:rPr>
          <w:sz w:val="22"/>
        </w:rPr>
        <w:t>hether a levy on manufactured feed and worm treatments is the most appropriate way of raising money to meet costs of an emergency response to a disease affecting horses, or</w:t>
      </w:r>
    </w:p>
    <w:p w14:paraId="7A181C11" w14:textId="77777777" w:rsidR="00B03109" w:rsidRPr="00BC04C6" w:rsidRDefault="00B03109" w:rsidP="00B03109">
      <w:pPr>
        <w:pStyle w:val="ListParagraph"/>
        <w:numPr>
          <w:ilvl w:val="0"/>
          <w:numId w:val="9"/>
        </w:numPr>
        <w:spacing w:before="0"/>
        <w:rPr>
          <w:sz w:val="22"/>
        </w:rPr>
      </w:pPr>
      <w:proofErr w:type="gramStart"/>
      <w:r>
        <w:rPr>
          <w:sz w:val="22"/>
        </w:rPr>
        <w:t>w</w:t>
      </w:r>
      <w:r w:rsidRPr="00BC04C6">
        <w:rPr>
          <w:sz w:val="22"/>
        </w:rPr>
        <w:t>hether</w:t>
      </w:r>
      <w:proofErr w:type="gramEnd"/>
      <w:r w:rsidRPr="00BC04C6">
        <w:rPr>
          <w:sz w:val="22"/>
        </w:rPr>
        <w:t xml:space="preserve"> any changes should be made to the current levy collection points. </w:t>
      </w:r>
    </w:p>
    <w:p w14:paraId="09F9A619" w14:textId="77777777" w:rsidR="00B03109" w:rsidRPr="00BC04C6" w:rsidRDefault="00B03109" w:rsidP="00B03109">
      <w:pPr>
        <w:pStyle w:val="ListParagraph"/>
        <w:ind w:left="360"/>
        <w:rPr>
          <w:sz w:val="22"/>
        </w:rPr>
      </w:pPr>
    </w:p>
    <w:p w14:paraId="4965D28A" w14:textId="77777777" w:rsidR="00B03109" w:rsidRDefault="00B03109" w:rsidP="00B03109">
      <w:pPr>
        <w:pStyle w:val="ListParagraph"/>
        <w:ind w:left="360"/>
        <w:rPr>
          <w:sz w:val="22"/>
        </w:rPr>
      </w:pPr>
      <w:r w:rsidRPr="002E29A0">
        <w:rPr>
          <w:sz w:val="22"/>
        </w:rPr>
        <w:t>Stakeholder feedback was sought on two key questions:</w:t>
      </w:r>
    </w:p>
    <w:p w14:paraId="624AE095" w14:textId="77777777" w:rsidR="00B03109" w:rsidRPr="002E29A0" w:rsidRDefault="00B03109" w:rsidP="00B03109">
      <w:pPr>
        <w:pStyle w:val="ListParagraph"/>
        <w:ind w:left="360"/>
        <w:rPr>
          <w:sz w:val="22"/>
        </w:rPr>
      </w:pPr>
    </w:p>
    <w:p w14:paraId="6D9695E8" w14:textId="77777777" w:rsidR="00B03109" w:rsidRPr="00BC04C6" w:rsidRDefault="00B03109" w:rsidP="00B03109">
      <w:pPr>
        <w:pStyle w:val="ListParagraph"/>
        <w:numPr>
          <w:ilvl w:val="0"/>
          <w:numId w:val="11"/>
        </w:numPr>
        <w:spacing w:before="0" w:after="0"/>
        <w:contextualSpacing w:val="0"/>
        <w:rPr>
          <w:sz w:val="22"/>
        </w:rPr>
      </w:pPr>
      <w:r w:rsidRPr="00BC04C6">
        <w:rPr>
          <w:sz w:val="22"/>
        </w:rPr>
        <w:t xml:space="preserve">Do you support the current levy collection points? </w:t>
      </w:r>
    </w:p>
    <w:p w14:paraId="4501E70F" w14:textId="77777777" w:rsidR="00B03109" w:rsidRPr="00BC04C6" w:rsidRDefault="00B03109" w:rsidP="00B03109">
      <w:pPr>
        <w:pStyle w:val="ListParagraph"/>
        <w:numPr>
          <w:ilvl w:val="0"/>
          <w:numId w:val="10"/>
        </w:numPr>
        <w:spacing w:before="0"/>
        <w:contextualSpacing w:val="0"/>
        <w:rPr>
          <w:sz w:val="22"/>
        </w:rPr>
      </w:pPr>
      <w:r w:rsidRPr="00BC04C6">
        <w:rPr>
          <w:sz w:val="22"/>
        </w:rPr>
        <w:t>If you do not support the current collection points, why, and what would you propose as an alternative?</w:t>
      </w:r>
    </w:p>
    <w:p w14:paraId="1A08F6F1" w14:textId="77777777" w:rsidR="00B03109" w:rsidRPr="002E2562" w:rsidRDefault="00B03109" w:rsidP="00B03109">
      <w:pPr>
        <w:pStyle w:val="Heading2"/>
      </w:pPr>
      <w:bookmarkStart w:id="24" w:name="_Toc433188217"/>
      <w:bookmarkStart w:id="25" w:name="_Toc438109686"/>
      <w:bookmarkStart w:id="26" w:name="_Toc466462515"/>
      <w:r w:rsidRPr="002E2562">
        <w:t>Out of Scope</w:t>
      </w:r>
      <w:bookmarkEnd w:id="24"/>
      <w:bookmarkEnd w:id="25"/>
      <w:bookmarkEnd w:id="26"/>
    </w:p>
    <w:p w14:paraId="64F62B6E" w14:textId="77777777" w:rsidR="00B03109" w:rsidRPr="00BC04C6" w:rsidRDefault="00B03109" w:rsidP="00B03109">
      <w:pPr>
        <w:rPr>
          <w:sz w:val="22"/>
          <w:szCs w:val="22"/>
        </w:rPr>
      </w:pPr>
      <w:r w:rsidRPr="00BC04C6">
        <w:rPr>
          <w:sz w:val="22"/>
          <w:szCs w:val="22"/>
        </w:rPr>
        <w:t>Those items that were out of scope for this review included:</w:t>
      </w:r>
    </w:p>
    <w:p w14:paraId="52ECF76C" w14:textId="77777777" w:rsidR="00B03109" w:rsidRPr="00BC04C6" w:rsidRDefault="00B03109" w:rsidP="00B03109">
      <w:pPr>
        <w:pStyle w:val="ListParagraph"/>
        <w:numPr>
          <w:ilvl w:val="0"/>
          <w:numId w:val="11"/>
        </w:numPr>
        <w:spacing w:before="0" w:after="0"/>
        <w:contextualSpacing w:val="0"/>
        <w:rPr>
          <w:sz w:val="22"/>
        </w:rPr>
      </w:pPr>
      <w:r>
        <w:rPr>
          <w:sz w:val="22"/>
        </w:rPr>
        <w:t>a</w:t>
      </w:r>
      <w:r w:rsidRPr="00BC04C6">
        <w:rPr>
          <w:sz w:val="22"/>
        </w:rPr>
        <w:t xml:space="preserve">n audit of previous responses affecting the horse industry </w:t>
      </w:r>
    </w:p>
    <w:p w14:paraId="67DCC99E" w14:textId="77777777" w:rsidR="00B03109" w:rsidRPr="00BC04C6" w:rsidRDefault="00B03109" w:rsidP="00B03109">
      <w:pPr>
        <w:pStyle w:val="ListParagraph"/>
        <w:numPr>
          <w:ilvl w:val="0"/>
          <w:numId w:val="11"/>
        </w:numPr>
        <w:spacing w:before="0" w:after="0"/>
        <w:contextualSpacing w:val="0"/>
        <w:rPr>
          <w:sz w:val="22"/>
        </w:rPr>
      </w:pPr>
      <w:r>
        <w:rPr>
          <w:sz w:val="22"/>
        </w:rPr>
        <w:t>a</w:t>
      </w:r>
      <w:r w:rsidRPr="00BC04C6">
        <w:rPr>
          <w:sz w:val="22"/>
        </w:rPr>
        <w:t>ny part of broader levy legislation or the agricultural levy system</w:t>
      </w:r>
    </w:p>
    <w:p w14:paraId="1C2F9502" w14:textId="77777777" w:rsidR="00B03109" w:rsidRPr="00BC04C6" w:rsidRDefault="00B03109" w:rsidP="00B03109">
      <w:pPr>
        <w:pStyle w:val="ListParagraph"/>
        <w:numPr>
          <w:ilvl w:val="0"/>
          <w:numId w:val="11"/>
        </w:numPr>
        <w:spacing w:before="0" w:after="0"/>
        <w:contextualSpacing w:val="0"/>
        <w:rPr>
          <w:sz w:val="22"/>
        </w:rPr>
      </w:pPr>
      <w:r>
        <w:rPr>
          <w:sz w:val="22"/>
        </w:rPr>
        <w:t>t</w:t>
      </w:r>
      <w:r w:rsidRPr="00BC04C6">
        <w:rPr>
          <w:sz w:val="22"/>
        </w:rPr>
        <w:t>he requirement of the response levy for the horse industry</w:t>
      </w:r>
    </w:p>
    <w:p w14:paraId="687422B3" w14:textId="77777777" w:rsidR="00B03109" w:rsidRPr="00BC04C6" w:rsidRDefault="00B03109" w:rsidP="00B03109">
      <w:pPr>
        <w:pStyle w:val="ListParagraph"/>
        <w:numPr>
          <w:ilvl w:val="0"/>
          <w:numId w:val="11"/>
        </w:numPr>
        <w:spacing w:before="0" w:after="0"/>
        <w:contextualSpacing w:val="0"/>
        <w:rPr>
          <w:sz w:val="22"/>
        </w:rPr>
      </w:pPr>
      <w:proofErr w:type="gramStart"/>
      <w:r>
        <w:rPr>
          <w:sz w:val="22"/>
        </w:rPr>
        <w:t>d</w:t>
      </w:r>
      <w:r w:rsidRPr="00BC04C6">
        <w:rPr>
          <w:sz w:val="22"/>
        </w:rPr>
        <w:t>isease</w:t>
      </w:r>
      <w:proofErr w:type="gramEnd"/>
      <w:r w:rsidRPr="00BC04C6">
        <w:rPr>
          <w:sz w:val="22"/>
        </w:rPr>
        <w:t xml:space="preserve"> categories in the EADRA and their appropriateness.</w:t>
      </w:r>
    </w:p>
    <w:p w14:paraId="4A6416FA" w14:textId="77777777" w:rsidR="00B03109" w:rsidRPr="00C074DF" w:rsidRDefault="00B03109" w:rsidP="00B03109">
      <w:pPr>
        <w:pStyle w:val="Heading1"/>
      </w:pPr>
      <w:r w:rsidRPr="00206DE9">
        <w:br w:type="page"/>
      </w:r>
      <w:bookmarkStart w:id="27" w:name="_Toc438109688"/>
      <w:bookmarkStart w:id="28" w:name="_Toc466462516"/>
      <w:r w:rsidRPr="00C074DF">
        <w:lastRenderedPageBreak/>
        <w:t>Consultation</w:t>
      </w:r>
      <w:bookmarkEnd w:id="27"/>
      <w:bookmarkEnd w:id="28"/>
    </w:p>
    <w:p w14:paraId="7CD24883" w14:textId="77777777" w:rsidR="00B03109" w:rsidRDefault="00B03109" w:rsidP="00B03109">
      <w:pPr>
        <w:pStyle w:val="Heading2"/>
      </w:pPr>
      <w:bookmarkStart w:id="29" w:name="_Toc433188219"/>
      <w:bookmarkStart w:id="30" w:name="_Toc438109689"/>
      <w:bookmarkStart w:id="31" w:name="_Toc466462517"/>
      <w:r>
        <w:t>Stage 1: Pre-Consultation</w:t>
      </w:r>
      <w:bookmarkEnd w:id="29"/>
      <w:bookmarkEnd w:id="30"/>
      <w:bookmarkEnd w:id="31"/>
    </w:p>
    <w:p w14:paraId="2A34C5AC" w14:textId="71741CBE" w:rsidR="00B03109" w:rsidRDefault="00B03109" w:rsidP="00B03109">
      <w:pPr>
        <w:rPr>
          <w:sz w:val="22"/>
        </w:rPr>
      </w:pPr>
      <w:r w:rsidRPr="00BC04C6">
        <w:rPr>
          <w:sz w:val="22"/>
        </w:rPr>
        <w:t xml:space="preserve">In June 2016, the department held pre-consultation meetings with key stakeholders. The purpose was to </w:t>
      </w:r>
      <w:r>
        <w:rPr>
          <w:sz w:val="22"/>
        </w:rPr>
        <w:t>engage</w:t>
      </w:r>
      <w:r w:rsidRPr="00BC04C6">
        <w:rPr>
          <w:sz w:val="22"/>
        </w:rPr>
        <w:t xml:space="preserve"> early and gain an understanding of </w:t>
      </w:r>
      <w:r>
        <w:rPr>
          <w:sz w:val="22"/>
        </w:rPr>
        <w:t>whether</w:t>
      </w:r>
      <w:r w:rsidRPr="00BC04C6">
        <w:rPr>
          <w:sz w:val="22"/>
        </w:rPr>
        <w:t xml:space="preserve"> the current levy collection points </w:t>
      </w:r>
      <w:r w:rsidR="00241F6A">
        <w:rPr>
          <w:sz w:val="22"/>
        </w:rPr>
        <w:t>were</w:t>
      </w:r>
      <w:r w:rsidR="00241F6A" w:rsidRPr="00BC04C6">
        <w:rPr>
          <w:sz w:val="22"/>
        </w:rPr>
        <w:t xml:space="preserve"> </w:t>
      </w:r>
      <w:r w:rsidRPr="00BC04C6">
        <w:rPr>
          <w:sz w:val="22"/>
        </w:rPr>
        <w:t xml:space="preserve">supported or opposed. </w:t>
      </w:r>
    </w:p>
    <w:p w14:paraId="45902988" w14:textId="7CE631D0" w:rsidR="00B03109" w:rsidRPr="00BC04C6" w:rsidRDefault="00B03109" w:rsidP="00B03109">
      <w:pPr>
        <w:rPr>
          <w:sz w:val="22"/>
        </w:rPr>
      </w:pPr>
      <w:r w:rsidRPr="00BC04C6">
        <w:rPr>
          <w:sz w:val="22"/>
        </w:rPr>
        <w:t>The key stakeholders engaged were those involved in the 2010 consultation and submission</w:t>
      </w:r>
      <w:r>
        <w:rPr>
          <w:sz w:val="22"/>
        </w:rPr>
        <w:t xml:space="preserve"> process</w:t>
      </w:r>
      <w:r w:rsidRPr="00BC04C6">
        <w:rPr>
          <w:sz w:val="22"/>
        </w:rPr>
        <w:t xml:space="preserve">, including the four horse EADRA signatories, the broader horse industry and those industries </w:t>
      </w:r>
      <w:r w:rsidR="00007403">
        <w:rPr>
          <w:sz w:val="22"/>
        </w:rPr>
        <w:t>which</w:t>
      </w:r>
      <w:r w:rsidRPr="00BC04C6">
        <w:rPr>
          <w:sz w:val="22"/>
        </w:rPr>
        <w:t xml:space="preserve"> would collect the levy if it was activated for a disease response. </w:t>
      </w:r>
    </w:p>
    <w:p w14:paraId="46961C46" w14:textId="2C9C8229" w:rsidR="00B03109" w:rsidRPr="00BC04C6" w:rsidRDefault="00D17C98" w:rsidP="00B03109">
      <w:pPr>
        <w:rPr>
          <w:sz w:val="22"/>
        </w:rPr>
      </w:pPr>
      <w:r>
        <w:rPr>
          <w:sz w:val="22"/>
        </w:rPr>
        <w:t xml:space="preserve">Eight stakeholders </w:t>
      </w:r>
      <w:r w:rsidR="00B03109" w:rsidRPr="00BC04C6">
        <w:rPr>
          <w:sz w:val="22"/>
        </w:rPr>
        <w:t>participate</w:t>
      </w:r>
      <w:r w:rsidR="00B03109">
        <w:rPr>
          <w:sz w:val="22"/>
        </w:rPr>
        <w:t>d</w:t>
      </w:r>
      <w:r w:rsidR="00B03109" w:rsidRPr="00BC04C6">
        <w:rPr>
          <w:sz w:val="22"/>
        </w:rPr>
        <w:t xml:space="preserve"> in pre-consultation discussions: </w:t>
      </w:r>
    </w:p>
    <w:p w14:paraId="07C7896B" w14:textId="77777777" w:rsidR="00B03109" w:rsidRPr="00BC04C6" w:rsidRDefault="00B03109" w:rsidP="00B03109">
      <w:pPr>
        <w:numPr>
          <w:ilvl w:val="0"/>
          <w:numId w:val="17"/>
        </w:numPr>
        <w:rPr>
          <w:sz w:val="22"/>
        </w:rPr>
      </w:pPr>
      <w:r w:rsidRPr="00BC04C6">
        <w:rPr>
          <w:sz w:val="22"/>
        </w:rPr>
        <w:t>Australian Horse Industry Council</w:t>
      </w:r>
    </w:p>
    <w:p w14:paraId="0CEF7523" w14:textId="77777777" w:rsidR="00B03109" w:rsidRPr="00BC04C6" w:rsidRDefault="00B03109" w:rsidP="00B03109">
      <w:pPr>
        <w:numPr>
          <w:ilvl w:val="0"/>
          <w:numId w:val="17"/>
        </w:numPr>
        <w:rPr>
          <w:sz w:val="22"/>
        </w:rPr>
      </w:pPr>
      <w:r w:rsidRPr="00BC04C6">
        <w:rPr>
          <w:sz w:val="22"/>
        </w:rPr>
        <w:t>Equestrian Australia</w:t>
      </w:r>
    </w:p>
    <w:p w14:paraId="596D7A15" w14:textId="77777777" w:rsidR="00B03109" w:rsidRPr="00BC04C6" w:rsidRDefault="00B03109" w:rsidP="00B03109">
      <w:pPr>
        <w:numPr>
          <w:ilvl w:val="0"/>
          <w:numId w:val="17"/>
        </w:numPr>
        <w:rPr>
          <w:sz w:val="22"/>
        </w:rPr>
      </w:pPr>
      <w:r w:rsidRPr="00BC04C6">
        <w:rPr>
          <w:sz w:val="22"/>
        </w:rPr>
        <w:t>Harness Racing Australia</w:t>
      </w:r>
    </w:p>
    <w:p w14:paraId="57F16493" w14:textId="77777777" w:rsidR="00B03109" w:rsidRPr="00BC04C6" w:rsidRDefault="00B03109" w:rsidP="00B03109">
      <w:pPr>
        <w:numPr>
          <w:ilvl w:val="0"/>
          <w:numId w:val="17"/>
        </w:numPr>
        <w:rPr>
          <w:sz w:val="22"/>
        </w:rPr>
      </w:pPr>
      <w:r w:rsidRPr="00BC04C6">
        <w:rPr>
          <w:sz w:val="22"/>
        </w:rPr>
        <w:t>Racing Australia</w:t>
      </w:r>
    </w:p>
    <w:p w14:paraId="62AC3949" w14:textId="77777777" w:rsidR="00B03109" w:rsidRPr="00BC04C6" w:rsidRDefault="00B03109" w:rsidP="00B03109">
      <w:pPr>
        <w:numPr>
          <w:ilvl w:val="0"/>
          <w:numId w:val="17"/>
        </w:numPr>
        <w:rPr>
          <w:sz w:val="22"/>
        </w:rPr>
      </w:pPr>
      <w:r w:rsidRPr="00BC04C6">
        <w:rPr>
          <w:sz w:val="22"/>
        </w:rPr>
        <w:t>Animal Health Australia</w:t>
      </w:r>
    </w:p>
    <w:p w14:paraId="041E9637" w14:textId="77777777" w:rsidR="00B03109" w:rsidRPr="00BC04C6" w:rsidRDefault="00B03109" w:rsidP="00B03109">
      <w:pPr>
        <w:numPr>
          <w:ilvl w:val="0"/>
          <w:numId w:val="17"/>
        </w:numPr>
        <w:rPr>
          <w:sz w:val="22"/>
        </w:rPr>
      </w:pPr>
      <w:r w:rsidRPr="00BC04C6">
        <w:rPr>
          <w:sz w:val="22"/>
        </w:rPr>
        <w:t>Stockfeed Manufacturers Council of Australia</w:t>
      </w:r>
    </w:p>
    <w:p w14:paraId="247576A7" w14:textId="77777777" w:rsidR="00B03109" w:rsidRPr="00BC04C6" w:rsidRDefault="00B03109" w:rsidP="00B03109">
      <w:pPr>
        <w:numPr>
          <w:ilvl w:val="0"/>
          <w:numId w:val="17"/>
        </w:numPr>
        <w:rPr>
          <w:sz w:val="22"/>
        </w:rPr>
      </w:pPr>
      <w:r w:rsidRPr="00BC04C6">
        <w:rPr>
          <w:sz w:val="22"/>
        </w:rPr>
        <w:t>Animal Medicines Australia</w:t>
      </w:r>
    </w:p>
    <w:p w14:paraId="4955A0C3" w14:textId="77777777" w:rsidR="00B03109" w:rsidRDefault="00B03109" w:rsidP="00B03109">
      <w:pPr>
        <w:numPr>
          <w:ilvl w:val="0"/>
          <w:numId w:val="17"/>
        </w:numPr>
        <w:rPr>
          <w:sz w:val="22"/>
        </w:rPr>
      </w:pPr>
      <w:r w:rsidRPr="00BC04C6">
        <w:rPr>
          <w:sz w:val="22"/>
        </w:rPr>
        <w:t>The Veterinary Manufacturers and Distributors of Australia</w:t>
      </w:r>
    </w:p>
    <w:p w14:paraId="7505263D" w14:textId="77777777" w:rsidR="00B03109" w:rsidRPr="00BC04C6" w:rsidRDefault="00B03109" w:rsidP="00B03109">
      <w:pPr>
        <w:rPr>
          <w:sz w:val="22"/>
        </w:rPr>
      </w:pPr>
    </w:p>
    <w:p w14:paraId="6198E459" w14:textId="77777777" w:rsidR="00B03109" w:rsidRDefault="00B03109" w:rsidP="00B03109">
      <w:pPr>
        <w:pStyle w:val="Heading2"/>
      </w:pPr>
      <w:bookmarkStart w:id="32" w:name="_Toc433188220"/>
      <w:bookmarkStart w:id="33" w:name="_Toc438109690"/>
      <w:bookmarkStart w:id="34" w:name="_Toc466462518"/>
      <w:r>
        <w:t>Stage 2: Main consultation</w:t>
      </w:r>
      <w:bookmarkEnd w:id="32"/>
      <w:bookmarkEnd w:id="33"/>
      <w:bookmarkEnd w:id="34"/>
    </w:p>
    <w:p w14:paraId="417D23A4" w14:textId="17229BB2" w:rsidR="00B03109" w:rsidRPr="00BC04C6" w:rsidRDefault="00B03109" w:rsidP="00B03109">
      <w:pPr>
        <w:rPr>
          <w:sz w:val="22"/>
        </w:rPr>
      </w:pPr>
      <w:r w:rsidRPr="00BC04C6">
        <w:rPr>
          <w:sz w:val="22"/>
        </w:rPr>
        <w:t>The main consultation began on 28</w:t>
      </w:r>
      <w:r w:rsidR="0004352C">
        <w:rPr>
          <w:sz w:val="22"/>
        </w:rPr>
        <w:t xml:space="preserve"> June 2016 and took place over six</w:t>
      </w:r>
      <w:r w:rsidRPr="00BC04C6">
        <w:rPr>
          <w:sz w:val="22"/>
        </w:rPr>
        <w:t xml:space="preserve"> weeks. It consisted of face</w:t>
      </w:r>
      <w:r>
        <w:rPr>
          <w:sz w:val="22"/>
        </w:rPr>
        <w:noBreakHyphen/>
      </w:r>
      <w:r w:rsidRPr="00BC04C6">
        <w:rPr>
          <w:sz w:val="22"/>
        </w:rPr>
        <w:t xml:space="preserve">to-face discussion groups, teleconferences and one-on-one meetings. </w:t>
      </w:r>
    </w:p>
    <w:p w14:paraId="78CD2756" w14:textId="3700FAC7" w:rsidR="00B03109" w:rsidRPr="00BC04C6" w:rsidRDefault="00B03109" w:rsidP="00B03109">
      <w:pPr>
        <w:spacing w:after="0"/>
        <w:rPr>
          <w:sz w:val="22"/>
        </w:rPr>
      </w:pPr>
      <w:r w:rsidRPr="00BC04C6">
        <w:rPr>
          <w:sz w:val="22"/>
        </w:rPr>
        <w:t>During the consultation period, external stakeholders discussed their views about the levy collection points with the department. A c</w:t>
      </w:r>
      <w:r w:rsidR="0004352C">
        <w:rPr>
          <w:sz w:val="22"/>
        </w:rPr>
        <w:t xml:space="preserve">omplete list of organisations </w:t>
      </w:r>
      <w:r w:rsidR="00007403">
        <w:rPr>
          <w:sz w:val="22"/>
        </w:rPr>
        <w:t>which</w:t>
      </w:r>
      <w:r w:rsidRPr="00BC04C6">
        <w:rPr>
          <w:sz w:val="22"/>
        </w:rPr>
        <w:t xml:space="preserve"> participated can be found at </w:t>
      </w:r>
      <w:hyperlink w:anchor="_ATTACHMENT_A" w:history="1">
        <w:r w:rsidRPr="00BC04C6">
          <w:rPr>
            <w:rStyle w:val="Hyperlink"/>
            <w:sz w:val="22"/>
          </w:rPr>
          <w:t>Attachment A</w:t>
        </w:r>
      </w:hyperlink>
      <w:r w:rsidRPr="00BC04C6">
        <w:rPr>
          <w:sz w:val="22"/>
        </w:rPr>
        <w:t>.</w:t>
      </w:r>
    </w:p>
    <w:p w14:paraId="716B097F" w14:textId="77777777" w:rsidR="00B03109" w:rsidRPr="00BC04C6" w:rsidRDefault="00B03109" w:rsidP="00B03109">
      <w:pPr>
        <w:rPr>
          <w:b/>
          <w:sz w:val="22"/>
        </w:rPr>
      </w:pPr>
    </w:p>
    <w:p w14:paraId="325845B3" w14:textId="77777777" w:rsidR="00B03109" w:rsidRDefault="00B03109" w:rsidP="00B03109">
      <w:pPr>
        <w:pStyle w:val="Heading2"/>
      </w:pPr>
      <w:bookmarkStart w:id="35" w:name="_Submissions"/>
      <w:bookmarkStart w:id="36" w:name="_Toc384110917"/>
      <w:bookmarkStart w:id="37" w:name="_Toc433188225"/>
      <w:bookmarkStart w:id="38" w:name="_Toc438109695"/>
      <w:bookmarkStart w:id="39" w:name="_Toc466462519"/>
      <w:bookmarkEnd w:id="35"/>
      <w:r>
        <w:t>Stage 3: Public submissions</w:t>
      </w:r>
      <w:bookmarkEnd w:id="36"/>
      <w:bookmarkEnd w:id="37"/>
      <w:bookmarkEnd w:id="38"/>
      <w:bookmarkEnd w:id="39"/>
    </w:p>
    <w:p w14:paraId="7F76A18A" w14:textId="2951C7F7" w:rsidR="00B03109" w:rsidRDefault="00B03109" w:rsidP="00B03109">
      <w:pPr>
        <w:rPr>
          <w:sz w:val="22"/>
        </w:rPr>
      </w:pPr>
      <w:r w:rsidRPr="00BC04C6">
        <w:rPr>
          <w:sz w:val="22"/>
        </w:rPr>
        <w:t xml:space="preserve">The </w:t>
      </w:r>
      <w:r>
        <w:rPr>
          <w:sz w:val="22"/>
        </w:rPr>
        <w:t>d</w:t>
      </w:r>
      <w:r w:rsidRPr="00BC04C6">
        <w:rPr>
          <w:sz w:val="22"/>
        </w:rPr>
        <w:t xml:space="preserve">epartment prepared a position paper that provided an overview of the history of the levy collection points and current levy collection methods. The paper encouraged stakeholders to consider the information </w:t>
      </w:r>
      <w:r>
        <w:rPr>
          <w:sz w:val="22"/>
        </w:rPr>
        <w:t>provided</w:t>
      </w:r>
      <w:r w:rsidRPr="00BC04C6">
        <w:rPr>
          <w:sz w:val="22"/>
        </w:rPr>
        <w:t xml:space="preserve"> and pr</w:t>
      </w:r>
      <w:r>
        <w:rPr>
          <w:sz w:val="22"/>
        </w:rPr>
        <w:t>esent</w:t>
      </w:r>
      <w:r w:rsidRPr="00BC04C6">
        <w:rPr>
          <w:sz w:val="22"/>
        </w:rPr>
        <w:t xml:space="preserve"> their views on</w:t>
      </w:r>
      <w:r w:rsidR="008F1553">
        <w:rPr>
          <w:sz w:val="22"/>
        </w:rPr>
        <w:t xml:space="preserve"> </w:t>
      </w:r>
      <w:r w:rsidRPr="00BC04C6">
        <w:rPr>
          <w:sz w:val="22"/>
        </w:rPr>
        <w:t xml:space="preserve">the most appropriate levy collection points to cover the industry’s contribution for a future horse disease response. This was published on the department’s website on 29 July 2016. Stakeholders were encouraged to </w:t>
      </w:r>
      <w:r>
        <w:rPr>
          <w:sz w:val="22"/>
        </w:rPr>
        <w:t xml:space="preserve">provide feedback formally through a written submission, or informally </w:t>
      </w:r>
      <w:r w:rsidRPr="00BC04C6">
        <w:rPr>
          <w:sz w:val="22"/>
        </w:rPr>
        <w:t xml:space="preserve">via an online feedback form. </w:t>
      </w:r>
    </w:p>
    <w:p w14:paraId="05203036" w14:textId="0E7F9A97" w:rsidR="00B03109" w:rsidRPr="00BC04C6" w:rsidRDefault="00B03109" w:rsidP="00B03109">
      <w:pPr>
        <w:rPr>
          <w:sz w:val="22"/>
          <w:szCs w:val="22"/>
        </w:rPr>
      </w:pPr>
      <w:r w:rsidRPr="00BC04C6">
        <w:rPr>
          <w:sz w:val="22"/>
          <w:szCs w:val="22"/>
        </w:rPr>
        <w:lastRenderedPageBreak/>
        <w:t>Submissions to the review opened on 29 July 2016 and closed on 29 August 2016. A total of 13</w:t>
      </w:r>
      <w:r w:rsidR="00241F6A">
        <w:rPr>
          <w:sz w:val="22"/>
          <w:szCs w:val="22"/>
        </w:rPr>
        <w:t> </w:t>
      </w:r>
      <w:r>
        <w:rPr>
          <w:sz w:val="22"/>
          <w:szCs w:val="22"/>
        </w:rPr>
        <w:t xml:space="preserve">formal </w:t>
      </w:r>
      <w:r w:rsidRPr="00BC04C6">
        <w:rPr>
          <w:sz w:val="22"/>
          <w:szCs w:val="22"/>
        </w:rPr>
        <w:t xml:space="preserve">submissions were received. </w:t>
      </w:r>
    </w:p>
    <w:p w14:paraId="3EE62B82" w14:textId="77777777" w:rsidR="00B03109" w:rsidRPr="00BC04C6" w:rsidRDefault="00B03109" w:rsidP="00B03109">
      <w:pPr>
        <w:rPr>
          <w:sz w:val="22"/>
        </w:rPr>
      </w:pPr>
      <w:r w:rsidRPr="00BC04C6">
        <w:rPr>
          <w:sz w:val="22"/>
          <w:szCs w:val="22"/>
        </w:rPr>
        <w:t xml:space="preserve">The non-confidential submissions are available on the department’s website at: </w:t>
      </w:r>
      <w:hyperlink r:id="rId17" w:history="1">
        <w:r w:rsidRPr="00BC04C6">
          <w:rPr>
            <w:rStyle w:val="Hyperlink"/>
            <w:sz w:val="22"/>
            <w:szCs w:val="22"/>
          </w:rPr>
          <w:t>Horse Disease Response Levy review</w:t>
        </w:r>
        <w:r>
          <w:rPr>
            <w:rStyle w:val="Hyperlink"/>
            <w:sz w:val="22"/>
            <w:szCs w:val="22"/>
          </w:rPr>
          <w:t xml:space="preserve"> –</w:t>
        </w:r>
        <w:r w:rsidRPr="00BC04C6">
          <w:rPr>
            <w:rStyle w:val="Hyperlink"/>
            <w:sz w:val="22"/>
            <w:szCs w:val="22"/>
          </w:rPr>
          <w:t xml:space="preserve"> Department of Agriculture and Water Resources</w:t>
        </w:r>
      </w:hyperlink>
    </w:p>
    <w:p w14:paraId="1F1FF44B" w14:textId="77777777" w:rsidR="00B03109" w:rsidRDefault="00B03109" w:rsidP="00B03109">
      <w:pPr>
        <w:rPr>
          <w:sz w:val="22"/>
          <w:szCs w:val="22"/>
        </w:rPr>
      </w:pPr>
      <w:r w:rsidRPr="00BC04C6">
        <w:rPr>
          <w:sz w:val="22"/>
          <w:szCs w:val="22"/>
        </w:rPr>
        <w:t xml:space="preserve">A list of submissions can be found at </w:t>
      </w:r>
      <w:hyperlink w:anchor="_ATTACHMENT_B_1" w:history="1">
        <w:r w:rsidRPr="00BC04C6">
          <w:rPr>
            <w:rStyle w:val="Hyperlink"/>
            <w:sz w:val="22"/>
            <w:szCs w:val="22"/>
          </w:rPr>
          <w:t>Attachment B</w:t>
        </w:r>
      </w:hyperlink>
      <w:r w:rsidRPr="00BC04C6">
        <w:rPr>
          <w:sz w:val="22"/>
          <w:szCs w:val="22"/>
        </w:rPr>
        <w:t xml:space="preserve">. </w:t>
      </w:r>
      <w:bookmarkStart w:id="40" w:name="_Toc438109696"/>
    </w:p>
    <w:p w14:paraId="27EBA176" w14:textId="77777777" w:rsidR="00B03109" w:rsidRPr="00BC04C6" w:rsidRDefault="00B03109" w:rsidP="00B03109">
      <w:pPr>
        <w:rPr>
          <w:sz w:val="22"/>
          <w:szCs w:val="22"/>
        </w:rPr>
      </w:pPr>
      <w:r>
        <w:rPr>
          <w:sz w:val="22"/>
          <w:szCs w:val="22"/>
        </w:rPr>
        <w:br w:type="page"/>
      </w:r>
    </w:p>
    <w:p w14:paraId="159DF8E5" w14:textId="77777777" w:rsidR="00B03109" w:rsidRPr="00392A08" w:rsidRDefault="00B03109" w:rsidP="00B03109">
      <w:pPr>
        <w:pStyle w:val="Heading1"/>
      </w:pPr>
      <w:bookmarkStart w:id="41" w:name="_Toc466462520"/>
      <w:r w:rsidRPr="004F1D59">
        <w:lastRenderedPageBreak/>
        <w:t>What we heard</w:t>
      </w:r>
      <w:bookmarkEnd w:id="40"/>
      <w:bookmarkEnd w:id="41"/>
    </w:p>
    <w:p w14:paraId="6862388A" w14:textId="77777777" w:rsidR="00B03109" w:rsidRPr="00BC04C6" w:rsidRDefault="00B03109" w:rsidP="00B03109">
      <w:pPr>
        <w:rPr>
          <w:sz w:val="22"/>
          <w:szCs w:val="22"/>
        </w:rPr>
      </w:pPr>
      <w:r w:rsidRPr="00BC04C6">
        <w:rPr>
          <w:sz w:val="22"/>
          <w:szCs w:val="22"/>
        </w:rPr>
        <w:t>This chapter summarises the key issues raised during the consultation</w:t>
      </w:r>
      <w:r>
        <w:rPr>
          <w:sz w:val="22"/>
          <w:szCs w:val="22"/>
        </w:rPr>
        <w:t xml:space="preserve">. It </w:t>
      </w:r>
      <w:r w:rsidRPr="00BC04C6">
        <w:rPr>
          <w:sz w:val="22"/>
          <w:szCs w:val="22"/>
        </w:rPr>
        <w:t xml:space="preserve">is split into two sections – feedback on the current collection points for the horse disease response levy and feedback on alternative levy collection points for the horse disease response levy. </w:t>
      </w:r>
    </w:p>
    <w:p w14:paraId="1B1FEDB0" w14:textId="77777777" w:rsidR="00B03109" w:rsidRPr="00BC04C6" w:rsidRDefault="00B03109" w:rsidP="00B03109">
      <w:pPr>
        <w:rPr>
          <w:sz w:val="22"/>
          <w:szCs w:val="22"/>
        </w:rPr>
      </w:pPr>
      <w:r w:rsidRPr="00BC04C6">
        <w:rPr>
          <w:sz w:val="22"/>
          <w:szCs w:val="22"/>
        </w:rPr>
        <w:t xml:space="preserve">Stakeholders were asked two high level questions in the discussion paper: </w:t>
      </w:r>
    </w:p>
    <w:p w14:paraId="32EE2D77" w14:textId="77777777" w:rsidR="00B03109" w:rsidRPr="00BC04C6" w:rsidRDefault="00B03109" w:rsidP="00B03109">
      <w:pPr>
        <w:pStyle w:val="ListParagraph"/>
        <w:numPr>
          <w:ilvl w:val="0"/>
          <w:numId w:val="19"/>
        </w:numPr>
        <w:spacing w:before="0" w:after="0"/>
        <w:contextualSpacing w:val="0"/>
        <w:rPr>
          <w:sz w:val="22"/>
        </w:rPr>
      </w:pPr>
      <w:r w:rsidRPr="00BC04C6">
        <w:rPr>
          <w:sz w:val="22"/>
        </w:rPr>
        <w:t xml:space="preserve">Do you support the current levy collection points? </w:t>
      </w:r>
    </w:p>
    <w:p w14:paraId="7652EE5E" w14:textId="77777777" w:rsidR="00B03109" w:rsidRPr="00BC04C6" w:rsidRDefault="00B03109" w:rsidP="00B03109">
      <w:pPr>
        <w:pStyle w:val="ListParagraph"/>
        <w:numPr>
          <w:ilvl w:val="0"/>
          <w:numId w:val="19"/>
        </w:numPr>
        <w:spacing w:before="0"/>
        <w:contextualSpacing w:val="0"/>
        <w:rPr>
          <w:sz w:val="22"/>
        </w:rPr>
      </w:pPr>
      <w:r w:rsidRPr="00BC04C6">
        <w:rPr>
          <w:sz w:val="22"/>
        </w:rPr>
        <w:t>If you do not support the current collection points, why, and what would you propose as an alternative?</w:t>
      </w:r>
    </w:p>
    <w:p w14:paraId="668F7891" w14:textId="77777777" w:rsidR="00B03109" w:rsidRPr="00392A08" w:rsidRDefault="00B03109" w:rsidP="00B03109">
      <w:pPr>
        <w:pStyle w:val="Default"/>
        <w:spacing w:line="276" w:lineRule="auto"/>
        <w:rPr>
          <w:rFonts w:cs="Times New Roman"/>
          <w:sz w:val="22"/>
          <w:szCs w:val="22"/>
        </w:rPr>
      </w:pPr>
    </w:p>
    <w:p w14:paraId="29114C96" w14:textId="77777777" w:rsidR="00B03109" w:rsidRPr="00902DDB" w:rsidRDefault="00B03109" w:rsidP="00B03109">
      <w:pPr>
        <w:pStyle w:val="Heading2"/>
      </w:pPr>
      <w:bookmarkStart w:id="42" w:name="_Toc433188226"/>
      <w:bookmarkStart w:id="43" w:name="_Toc438109697"/>
      <w:bookmarkStart w:id="44" w:name="_Toc466462521"/>
      <w:r w:rsidRPr="00367880">
        <w:t xml:space="preserve">Feedback on </w:t>
      </w:r>
      <w:r>
        <w:t>the current levy collection points</w:t>
      </w:r>
      <w:bookmarkEnd w:id="42"/>
      <w:bookmarkEnd w:id="43"/>
      <w:bookmarkEnd w:id="44"/>
    </w:p>
    <w:p w14:paraId="17B3DE47" w14:textId="32433CD0" w:rsidR="00B03109" w:rsidRPr="00BC04C6" w:rsidRDefault="00B03109" w:rsidP="00B03109">
      <w:pPr>
        <w:rPr>
          <w:sz w:val="22"/>
          <w:szCs w:val="22"/>
        </w:rPr>
      </w:pPr>
      <w:r w:rsidRPr="00BC04C6">
        <w:rPr>
          <w:sz w:val="22"/>
          <w:szCs w:val="22"/>
        </w:rPr>
        <w:t xml:space="preserve">Since 2010, many horse disease response levy options have been considered for the horse industry. It is recognised that no levy or combination of collection points can fully cover the entire horse industry. It has been a challenge to find a collection method that is fair, applies to the </w:t>
      </w:r>
      <w:r w:rsidR="0004352C">
        <w:rPr>
          <w:sz w:val="22"/>
          <w:szCs w:val="22"/>
        </w:rPr>
        <w:t xml:space="preserve">largest possible proportion of </w:t>
      </w:r>
      <w:r w:rsidRPr="00BC04C6">
        <w:rPr>
          <w:sz w:val="22"/>
          <w:szCs w:val="22"/>
        </w:rPr>
        <w:t>horse owners and has a high number of units up</w:t>
      </w:r>
      <w:r w:rsidR="0004352C">
        <w:rPr>
          <w:sz w:val="22"/>
          <w:szCs w:val="22"/>
        </w:rPr>
        <w:t xml:space="preserve">on which a levy can be placed </w:t>
      </w:r>
      <w:r w:rsidR="00241F6A">
        <w:rPr>
          <w:sz w:val="22"/>
          <w:szCs w:val="22"/>
        </w:rPr>
        <w:t xml:space="preserve">– the </w:t>
      </w:r>
      <w:r w:rsidRPr="00BC04C6">
        <w:rPr>
          <w:sz w:val="22"/>
          <w:szCs w:val="22"/>
        </w:rPr>
        <w:t xml:space="preserve"> greater the number of units, the less the actual levy is per unit when it is activated. </w:t>
      </w:r>
    </w:p>
    <w:p w14:paraId="6A62FDB7" w14:textId="77777777" w:rsidR="00B03109" w:rsidRDefault="00B03109" w:rsidP="00B03109">
      <w:pPr>
        <w:rPr>
          <w:sz w:val="22"/>
          <w:szCs w:val="22"/>
        </w:rPr>
      </w:pPr>
      <w:r w:rsidRPr="00BC04C6">
        <w:rPr>
          <w:sz w:val="22"/>
          <w:szCs w:val="22"/>
        </w:rPr>
        <w:t xml:space="preserve">There is a clear distinction between support from the horse industry and </w:t>
      </w:r>
      <w:r>
        <w:rPr>
          <w:sz w:val="22"/>
          <w:szCs w:val="22"/>
        </w:rPr>
        <w:t xml:space="preserve">the </w:t>
      </w:r>
      <w:r w:rsidRPr="00BC04C6">
        <w:rPr>
          <w:sz w:val="22"/>
          <w:szCs w:val="22"/>
        </w:rPr>
        <w:t xml:space="preserve">position </w:t>
      </w:r>
      <w:r>
        <w:rPr>
          <w:sz w:val="22"/>
          <w:szCs w:val="22"/>
        </w:rPr>
        <w:t xml:space="preserve">of </w:t>
      </w:r>
      <w:r w:rsidRPr="00BC04C6">
        <w:rPr>
          <w:sz w:val="22"/>
          <w:szCs w:val="22"/>
        </w:rPr>
        <w:t>non</w:t>
      </w:r>
      <w:r>
        <w:rPr>
          <w:sz w:val="22"/>
          <w:szCs w:val="22"/>
        </w:rPr>
        <w:noBreakHyphen/>
      </w:r>
      <w:r w:rsidRPr="00BC04C6">
        <w:rPr>
          <w:sz w:val="22"/>
          <w:szCs w:val="22"/>
        </w:rPr>
        <w:t xml:space="preserve">horse industry stakeholders. The majority of stakeholders within the horse industry </w:t>
      </w:r>
      <w:r>
        <w:rPr>
          <w:sz w:val="22"/>
          <w:szCs w:val="22"/>
        </w:rPr>
        <w:t xml:space="preserve">stated they </w:t>
      </w:r>
      <w:r w:rsidRPr="00BC04C6">
        <w:rPr>
          <w:sz w:val="22"/>
          <w:szCs w:val="22"/>
        </w:rPr>
        <w:t xml:space="preserve">are comfortable with the current horse disease response levy collection points. As the levy has not been activated, there is no case for change. However, stakeholders from industries that would collect the levy </w:t>
      </w:r>
      <w:r>
        <w:rPr>
          <w:sz w:val="22"/>
          <w:szCs w:val="22"/>
        </w:rPr>
        <w:t>(</w:t>
      </w:r>
      <w:r w:rsidRPr="00BC04C6">
        <w:rPr>
          <w:sz w:val="22"/>
          <w:szCs w:val="22"/>
        </w:rPr>
        <w:t>such as the stock feed manufacturing industry and animal medicines industries</w:t>
      </w:r>
      <w:r>
        <w:rPr>
          <w:sz w:val="22"/>
          <w:szCs w:val="22"/>
        </w:rPr>
        <w:t>)</w:t>
      </w:r>
      <w:r w:rsidRPr="00BC04C6">
        <w:rPr>
          <w:sz w:val="22"/>
          <w:szCs w:val="22"/>
        </w:rPr>
        <w:t xml:space="preserve"> have </w:t>
      </w:r>
      <w:r>
        <w:rPr>
          <w:sz w:val="22"/>
          <w:szCs w:val="22"/>
        </w:rPr>
        <w:t xml:space="preserve">made </w:t>
      </w:r>
      <w:r w:rsidRPr="00BC04C6">
        <w:rPr>
          <w:sz w:val="22"/>
          <w:szCs w:val="22"/>
        </w:rPr>
        <w:t xml:space="preserve">opposing arguments and proposed alternative options for levy collection points. </w:t>
      </w:r>
    </w:p>
    <w:p w14:paraId="72AC50F6" w14:textId="77777777" w:rsidR="00B03109" w:rsidRPr="00BC04C6" w:rsidRDefault="00B03109" w:rsidP="00B03109">
      <w:pPr>
        <w:rPr>
          <w:sz w:val="22"/>
          <w:szCs w:val="22"/>
        </w:rPr>
      </w:pPr>
      <w:r>
        <w:rPr>
          <w:sz w:val="22"/>
          <w:szCs w:val="22"/>
        </w:rPr>
        <w:t>Overall, t</w:t>
      </w:r>
      <w:r w:rsidRPr="00BC04C6">
        <w:rPr>
          <w:sz w:val="22"/>
          <w:szCs w:val="22"/>
        </w:rPr>
        <w:t>he feedback on current levy collection points includes:</w:t>
      </w:r>
    </w:p>
    <w:p w14:paraId="57AAD464" w14:textId="77777777" w:rsidR="00B03109" w:rsidRPr="00BC04C6" w:rsidRDefault="00B03109" w:rsidP="00B03109">
      <w:pPr>
        <w:numPr>
          <w:ilvl w:val="0"/>
          <w:numId w:val="29"/>
        </w:numPr>
        <w:rPr>
          <w:sz w:val="22"/>
          <w:szCs w:val="22"/>
        </w:rPr>
      </w:pPr>
      <w:r>
        <w:rPr>
          <w:sz w:val="22"/>
          <w:szCs w:val="22"/>
        </w:rPr>
        <w:t>s</w:t>
      </w:r>
      <w:r w:rsidRPr="00BC04C6">
        <w:rPr>
          <w:sz w:val="22"/>
          <w:szCs w:val="22"/>
        </w:rPr>
        <w:t>upport for the current collection points, on the basis that extensive consultation has previously been undertaken and the current collection points remain the most appropriate</w:t>
      </w:r>
    </w:p>
    <w:p w14:paraId="4FA2F73D" w14:textId="77777777" w:rsidR="00B03109" w:rsidRPr="00BC04C6" w:rsidRDefault="00B03109" w:rsidP="00B03109">
      <w:pPr>
        <w:numPr>
          <w:ilvl w:val="0"/>
          <w:numId w:val="29"/>
        </w:numPr>
        <w:rPr>
          <w:i/>
          <w:sz w:val="22"/>
          <w:szCs w:val="22"/>
        </w:rPr>
      </w:pPr>
      <w:r>
        <w:rPr>
          <w:sz w:val="22"/>
          <w:szCs w:val="22"/>
        </w:rPr>
        <w:t>c</w:t>
      </w:r>
      <w:r w:rsidRPr="00BC04C6">
        <w:rPr>
          <w:sz w:val="22"/>
          <w:szCs w:val="22"/>
        </w:rPr>
        <w:t xml:space="preserve">oncern that the levy collection points do not align with the Australian Government’s </w:t>
      </w:r>
      <w:r w:rsidRPr="00BC04C6">
        <w:rPr>
          <w:i/>
          <w:sz w:val="22"/>
          <w:szCs w:val="22"/>
        </w:rPr>
        <w:t>Levy Principles and Guidelines</w:t>
      </w:r>
    </w:p>
    <w:p w14:paraId="39F3C31D" w14:textId="58093A96" w:rsidR="00B03109" w:rsidRPr="00BC04C6" w:rsidRDefault="00B03109" w:rsidP="00B03109">
      <w:pPr>
        <w:numPr>
          <w:ilvl w:val="0"/>
          <w:numId w:val="29"/>
        </w:numPr>
        <w:rPr>
          <w:sz w:val="22"/>
          <w:szCs w:val="22"/>
        </w:rPr>
      </w:pPr>
      <w:r>
        <w:rPr>
          <w:sz w:val="22"/>
          <w:szCs w:val="22"/>
        </w:rPr>
        <w:t>c</w:t>
      </w:r>
      <w:r w:rsidRPr="00BC04C6">
        <w:rPr>
          <w:sz w:val="22"/>
          <w:szCs w:val="22"/>
        </w:rPr>
        <w:t xml:space="preserve">oncern </w:t>
      </w:r>
      <w:r>
        <w:rPr>
          <w:sz w:val="22"/>
          <w:szCs w:val="22"/>
        </w:rPr>
        <w:t>about</w:t>
      </w:r>
      <w:r w:rsidRPr="00BC04C6">
        <w:rPr>
          <w:sz w:val="22"/>
          <w:szCs w:val="22"/>
        </w:rPr>
        <w:t xml:space="preserve"> the appropriateness of the levy collection points and the impact the levy would have upon business and industries</w:t>
      </w:r>
      <w:r w:rsidR="0004352C">
        <w:rPr>
          <w:sz w:val="22"/>
          <w:szCs w:val="22"/>
        </w:rPr>
        <w:t xml:space="preserve"> </w:t>
      </w:r>
      <w:r>
        <w:rPr>
          <w:sz w:val="22"/>
          <w:szCs w:val="22"/>
        </w:rPr>
        <w:t>when the levy is activated</w:t>
      </w:r>
      <w:r w:rsidRPr="00BC04C6">
        <w:rPr>
          <w:sz w:val="22"/>
          <w:szCs w:val="22"/>
        </w:rPr>
        <w:t>, and</w:t>
      </w:r>
    </w:p>
    <w:p w14:paraId="57911536" w14:textId="77777777" w:rsidR="00B03109" w:rsidRPr="00BC04C6" w:rsidRDefault="00B03109" w:rsidP="00B03109">
      <w:pPr>
        <w:numPr>
          <w:ilvl w:val="0"/>
          <w:numId w:val="29"/>
        </w:numPr>
        <w:rPr>
          <w:sz w:val="22"/>
        </w:rPr>
      </w:pPr>
      <w:proofErr w:type="gramStart"/>
      <w:r>
        <w:rPr>
          <w:sz w:val="22"/>
        </w:rPr>
        <w:t>c</w:t>
      </w:r>
      <w:r w:rsidRPr="00BC04C6">
        <w:rPr>
          <w:sz w:val="22"/>
        </w:rPr>
        <w:t>oncern</w:t>
      </w:r>
      <w:proofErr w:type="gramEnd"/>
      <w:r w:rsidRPr="00BC04C6">
        <w:rPr>
          <w:sz w:val="22"/>
        </w:rPr>
        <w:t xml:space="preserve"> about the wording in the </w:t>
      </w:r>
      <w:r w:rsidRPr="00BC04C6">
        <w:rPr>
          <w:i/>
          <w:sz w:val="22"/>
        </w:rPr>
        <w:t xml:space="preserve">Horse Disease Response Levy Act 2011 </w:t>
      </w:r>
      <w:r w:rsidRPr="00B930EE">
        <w:rPr>
          <w:sz w:val="22"/>
        </w:rPr>
        <w:t>(Commonwealth)</w:t>
      </w:r>
      <w:r w:rsidRPr="00BC04C6">
        <w:rPr>
          <w:i/>
          <w:sz w:val="22"/>
        </w:rPr>
        <w:t xml:space="preserve"> </w:t>
      </w:r>
      <w:r w:rsidRPr="00BC04C6">
        <w:rPr>
          <w:sz w:val="22"/>
        </w:rPr>
        <w:t>and the</w:t>
      </w:r>
      <w:r w:rsidRPr="00BC04C6">
        <w:rPr>
          <w:i/>
          <w:sz w:val="22"/>
        </w:rPr>
        <w:t xml:space="preserve"> Horse Disease Response Levy Collection Act 2011 </w:t>
      </w:r>
      <w:r w:rsidRPr="00B930EE">
        <w:rPr>
          <w:sz w:val="22"/>
        </w:rPr>
        <w:t>(Commonwealth).</w:t>
      </w:r>
    </w:p>
    <w:p w14:paraId="73E7A51C" w14:textId="77777777" w:rsidR="00B03109" w:rsidRPr="00775656" w:rsidRDefault="00B03109" w:rsidP="00B03109">
      <w:pPr>
        <w:pStyle w:val="ListParagraph"/>
        <w:spacing w:before="120" w:after="0"/>
      </w:pPr>
    </w:p>
    <w:p w14:paraId="18B623FA" w14:textId="77777777" w:rsidR="00B03109" w:rsidRDefault="00B03109" w:rsidP="00B03109">
      <w:pPr>
        <w:pStyle w:val="Heading3"/>
      </w:pPr>
      <w:bookmarkStart w:id="45" w:name="_Toc466462522"/>
      <w:r>
        <w:lastRenderedPageBreak/>
        <w:t>Support for the current collection points</w:t>
      </w:r>
      <w:bookmarkEnd w:id="45"/>
    </w:p>
    <w:p w14:paraId="1E8EEA97" w14:textId="77777777" w:rsidR="00B03109" w:rsidRPr="00BC04C6" w:rsidRDefault="00B03109" w:rsidP="00B03109">
      <w:pPr>
        <w:rPr>
          <w:sz w:val="22"/>
        </w:rPr>
      </w:pPr>
      <w:r w:rsidRPr="00BC04C6">
        <w:rPr>
          <w:sz w:val="22"/>
        </w:rPr>
        <w:t>Over the past 15 years, various levy proposals have been considered by the Australian horse</w:t>
      </w:r>
      <w:r>
        <w:rPr>
          <w:sz w:val="22"/>
        </w:rPr>
        <w:noBreakHyphen/>
      </w:r>
      <w:r w:rsidRPr="00BC04C6">
        <w:rPr>
          <w:sz w:val="22"/>
        </w:rPr>
        <w:t xml:space="preserve">owning community. In response to the equine influenza incursion in 2007, there was extensive consultation on </w:t>
      </w:r>
      <w:r>
        <w:rPr>
          <w:sz w:val="22"/>
        </w:rPr>
        <w:t xml:space="preserve">establishing a </w:t>
      </w:r>
      <w:r w:rsidRPr="00BC04C6">
        <w:rPr>
          <w:sz w:val="22"/>
        </w:rPr>
        <w:t>horse disease response levy across all sectors of the horse-owning community</w:t>
      </w:r>
      <w:r>
        <w:rPr>
          <w:sz w:val="22"/>
        </w:rPr>
        <w:t>. A</w:t>
      </w:r>
      <w:r w:rsidRPr="00BC04C6">
        <w:rPr>
          <w:sz w:val="22"/>
        </w:rPr>
        <w:t xml:space="preserve"> Horse Levy Working Group </w:t>
      </w:r>
      <w:r>
        <w:rPr>
          <w:sz w:val="22"/>
        </w:rPr>
        <w:t xml:space="preserve">was established by the horse industry </w:t>
      </w:r>
      <w:r w:rsidRPr="00BC04C6">
        <w:rPr>
          <w:sz w:val="22"/>
        </w:rPr>
        <w:t>and a Senate Inquiry by the Rural and Regional Affairs and Transport References Committee</w:t>
      </w:r>
      <w:r>
        <w:rPr>
          <w:sz w:val="22"/>
        </w:rPr>
        <w:t xml:space="preserve"> was conducted</w:t>
      </w:r>
      <w:r w:rsidRPr="00BC04C6">
        <w:rPr>
          <w:sz w:val="22"/>
        </w:rPr>
        <w:t xml:space="preserve">. </w:t>
      </w:r>
    </w:p>
    <w:p w14:paraId="6BCA623E" w14:textId="1EDAB0E2" w:rsidR="00B03109" w:rsidRPr="00BC04C6" w:rsidRDefault="00B03109" w:rsidP="00B03109">
      <w:pPr>
        <w:rPr>
          <w:sz w:val="22"/>
        </w:rPr>
      </w:pPr>
      <w:r w:rsidRPr="00BC04C6">
        <w:rPr>
          <w:sz w:val="22"/>
        </w:rPr>
        <w:t xml:space="preserve">It is the horse industry’s position that, without the </w:t>
      </w:r>
      <w:r w:rsidR="0004352C">
        <w:rPr>
          <w:sz w:val="22"/>
        </w:rPr>
        <w:t>levy being tested, the</w:t>
      </w:r>
      <w:r w:rsidRPr="00BC04C6">
        <w:rPr>
          <w:sz w:val="22"/>
        </w:rPr>
        <w:t xml:space="preserve"> case to change the current collection points is hard to make. Horse industry stakeholders recalled the previous debate and the options that were considered when the response levy was originally established. There was general agreement by the horse industry that the status quo should be maintained and the levy collection points remain unchanged</w:t>
      </w:r>
      <w:r>
        <w:rPr>
          <w:sz w:val="22"/>
        </w:rPr>
        <w:t>,</w:t>
      </w:r>
      <w:r w:rsidRPr="00BC04C6">
        <w:rPr>
          <w:sz w:val="22"/>
        </w:rPr>
        <w:t xml:space="preserve"> as they are the most practical and most efficient method of collecting the levy across the horse industry. </w:t>
      </w:r>
    </w:p>
    <w:p w14:paraId="4E27D7FD" w14:textId="57D67486" w:rsidR="00B03109" w:rsidRPr="00BC04C6" w:rsidRDefault="00B03109" w:rsidP="00B03109">
      <w:pPr>
        <w:rPr>
          <w:sz w:val="22"/>
          <w:szCs w:val="22"/>
        </w:rPr>
      </w:pPr>
      <w:r w:rsidRPr="00BC04C6">
        <w:rPr>
          <w:sz w:val="22"/>
          <w:szCs w:val="22"/>
        </w:rPr>
        <w:t>The horse industry</w:t>
      </w:r>
      <w:r>
        <w:rPr>
          <w:sz w:val="22"/>
          <w:szCs w:val="22"/>
        </w:rPr>
        <w:t xml:space="preserve"> reaffirmed the</w:t>
      </w:r>
      <w:r w:rsidR="008F1553">
        <w:rPr>
          <w:sz w:val="22"/>
          <w:szCs w:val="22"/>
        </w:rPr>
        <w:t xml:space="preserve"> </w:t>
      </w:r>
      <w:r>
        <w:rPr>
          <w:sz w:val="22"/>
          <w:szCs w:val="22"/>
        </w:rPr>
        <w:t>position of it</w:t>
      </w:r>
      <w:r w:rsidRPr="00BC04C6">
        <w:rPr>
          <w:sz w:val="22"/>
          <w:szCs w:val="22"/>
        </w:rPr>
        <w:t>s 2010 submission to the Australia Government</w:t>
      </w:r>
      <w:r w:rsidR="0004352C">
        <w:rPr>
          <w:sz w:val="22"/>
          <w:szCs w:val="22"/>
        </w:rPr>
        <w:t xml:space="preserve">, </w:t>
      </w:r>
      <w:r>
        <w:rPr>
          <w:sz w:val="22"/>
          <w:szCs w:val="22"/>
        </w:rPr>
        <w:t xml:space="preserve">proposing a response levy which </w:t>
      </w:r>
      <w:r w:rsidRPr="00BC04C6">
        <w:rPr>
          <w:sz w:val="22"/>
          <w:szCs w:val="22"/>
        </w:rPr>
        <w:t xml:space="preserve">stated that a number of levy options </w:t>
      </w:r>
      <w:r>
        <w:rPr>
          <w:sz w:val="22"/>
          <w:szCs w:val="22"/>
        </w:rPr>
        <w:t xml:space="preserve">had been </w:t>
      </w:r>
      <w:r w:rsidRPr="00BC04C6">
        <w:rPr>
          <w:sz w:val="22"/>
          <w:szCs w:val="22"/>
        </w:rPr>
        <w:t>considered</w:t>
      </w:r>
      <w:r>
        <w:rPr>
          <w:sz w:val="22"/>
          <w:szCs w:val="22"/>
        </w:rPr>
        <w:t>. E</w:t>
      </w:r>
      <w:r w:rsidRPr="00BC04C6">
        <w:rPr>
          <w:sz w:val="22"/>
          <w:szCs w:val="22"/>
        </w:rPr>
        <w:t xml:space="preserve">xtensive consultation </w:t>
      </w:r>
      <w:r w:rsidR="00241F6A">
        <w:rPr>
          <w:sz w:val="22"/>
          <w:szCs w:val="22"/>
        </w:rPr>
        <w:t xml:space="preserve">at that time </w:t>
      </w:r>
      <w:r w:rsidRPr="00BC04C6">
        <w:rPr>
          <w:sz w:val="22"/>
          <w:szCs w:val="22"/>
        </w:rPr>
        <w:t xml:space="preserve">found that </w:t>
      </w:r>
      <w:r>
        <w:rPr>
          <w:sz w:val="22"/>
          <w:szCs w:val="22"/>
        </w:rPr>
        <w:t xml:space="preserve">a </w:t>
      </w:r>
      <w:r w:rsidRPr="00BC04C6">
        <w:rPr>
          <w:sz w:val="22"/>
          <w:szCs w:val="22"/>
        </w:rPr>
        <w:t>lev</w:t>
      </w:r>
      <w:r>
        <w:rPr>
          <w:sz w:val="22"/>
          <w:szCs w:val="22"/>
        </w:rPr>
        <w:t>y</w:t>
      </w:r>
      <w:r w:rsidRPr="00BC04C6">
        <w:rPr>
          <w:sz w:val="22"/>
          <w:szCs w:val="22"/>
        </w:rPr>
        <w:t xml:space="preserve"> on manufactured feed and worm treatments w</w:t>
      </w:r>
      <w:r>
        <w:rPr>
          <w:sz w:val="22"/>
          <w:szCs w:val="22"/>
        </w:rPr>
        <w:t>as</w:t>
      </w:r>
      <w:r w:rsidRPr="00BC04C6">
        <w:rPr>
          <w:sz w:val="22"/>
          <w:szCs w:val="22"/>
        </w:rPr>
        <w:t xml:space="preserve"> the </w:t>
      </w:r>
      <w:r>
        <w:rPr>
          <w:sz w:val="22"/>
          <w:szCs w:val="22"/>
        </w:rPr>
        <w:t xml:space="preserve">best </w:t>
      </w:r>
      <w:r w:rsidRPr="00BC04C6">
        <w:rPr>
          <w:sz w:val="22"/>
          <w:szCs w:val="22"/>
        </w:rPr>
        <w:t xml:space="preserve">mechanism </w:t>
      </w:r>
      <w:r>
        <w:rPr>
          <w:sz w:val="22"/>
          <w:szCs w:val="22"/>
        </w:rPr>
        <w:t xml:space="preserve">for </w:t>
      </w:r>
      <w:r w:rsidRPr="00BC04C6">
        <w:rPr>
          <w:sz w:val="22"/>
          <w:szCs w:val="22"/>
        </w:rPr>
        <w:t>captur</w:t>
      </w:r>
      <w:r>
        <w:rPr>
          <w:sz w:val="22"/>
          <w:szCs w:val="22"/>
        </w:rPr>
        <w:t>ing</w:t>
      </w:r>
      <w:r w:rsidRPr="00BC04C6">
        <w:rPr>
          <w:sz w:val="22"/>
          <w:szCs w:val="22"/>
        </w:rPr>
        <w:t xml:space="preserve"> the majority of the horse industry and </w:t>
      </w:r>
      <w:r>
        <w:rPr>
          <w:sz w:val="22"/>
          <w:szCs w:val="22"/>
        </w:rPr>
        <w:t xml:space="preserve">was </w:t>
      </w:r>
      <w:r w:rsidRPr="00BC04C6">
        <w:rPr>
          <w:sz w:val="22"/>
          <w:szCs w:val="22"/>
        </w:rPr>
        <w:t xml:space="preserve">the most equitable arrangement across the industry. </w:t>
      </w:r>
    </w:p>
    <w:p w14:paraId="6995DB4D" w14:textId="77777777" w:rsidR="00B03109" w:rsidRPr="00BC04C6" w:rsidRDefault="00B03109" w:rsidP="00B03109">
      <w:pPr>
        <w:keepNext/>
        <w:keepLines/>
        <w:pBdr>
          <w:bottom w:val="single" w:sz="4" w:space="1" w:color="auto"/>
        </w:pBdr>
        <w:rPr>
          <w:rFonts w:ascii="Times New Roman" w:hAnsi="Times New Roman"/>
          <w:sz w:val="22"/>
        </w:rPr>
      </w:pPr>
    </w:p>
    <w:p w14:paraId="350B035F" w14:textId="77777777" w:rsidR="00B03109" w:rsidRPr="00BC04C6" w:rsidRDefault="00B03109" w:rsidP="00B03109">
      <w:pPr>
        <w:keepNext/>
        <w:keepLines/>
        <w:jc w:val="center"/>
        <w:rPr>
          <w:rFonts w:ascii="Times New Roman" w:hAnsi="Times New Roman"/>
          <w:i/>
          <w:color w:val="2E74B5"/>
          <w:sz w:val="22"/>
        </w:rPr>
      </w:pPr>
      <w:r w:rsidRPr="00BC04C6">
        <w:rPr>
          <w:rFonts w:ascii="Times New Roman" w:hAnsi="Times New Roman"/>
          <w:i/>
          <w:color w:val="2E74B5"/>
          <w:sz w:val="22"/>
        </w:rPr>
        <w:t>The current collection points encompass the broader industry, including both competitive and recreational horses, with minimal impact on businesses.</w:t>
      </w:r>
    </w:p>
    <w:p w14:paraId="028D2AA8" w14:textId="6A9329C7" w:rsidR="00B03109" w:rsidRPr="00BC04C6" w:rsidRDefault="00B03109" w:rsidP="00B03109">
      <w:pPr>
        <w:keepNext/>
        <w:keepLines/>
        <w:pBdr>
          <w:bottom w:val="single" w:sz="4" w:space="1" w:color="auto"/>
        </w:pBdr>
        <w:rPr>
          <w:rFonts w:ascii="Times New Roman" w:hAnsi="Times New Roman"/>
          <w:sz w:val="22"/>
        </w:rPr>
      </w:pPr>
      <w:r w:rsidRPr="00BC04C6">
        <w:rPr>
          <w:rFonts w:ascii="Times New Roman" w:hAnsi="Times New Roman"/>
          <w:color w:val="2E74B5"/>
          <w:sz w:val="22"/>
        </w:rPr>
        <w:t xml:space="preserve">Written Submission </w:t>
      </w:r>
    </w:p>
    <w:p w14:paraId="7CAA2C05" w14:textId="77777777" w:rsidR="00B03109" w:rsidRDefault="00B03109" w:rsidP="00B03109">
      <w:pPr>
        <w:pStyle w:val="Heading3"/>
      </w:pPr>
    </w:p>
    <w:p w14:paraId="2767B67A" w14:textId="77777777" w:rsidR="00B03109" w:rsidRPr="003A5DEE" w:rsidRDefault="00B03109" w:rsidP="00B03109">
      <w:pPr>
        <w:pStyle w:val="Heading3"/>
        <w:rPr>
          <w:i/>
        </w:rPr>
      </w:pPr>
      <w:bookmarkStart w:id="46" w:name="_Toc466462523"/>
      <w:r>
        <w:t xml:space="preserve">Alignment with the Australian Government </w:t>
      </w:r>
      <w:r w:rsidRPr="003A5DEE">
        <w:rPr>
          <w:i/>
        </w:rPr>
        <w:t>Levies Principles and Guidelines</w:t>
      </w:r>
      <w:bookmarkEnd w:id="46"/>
    </w:p>
    <w:p w14:paraId="5FE9BA30" w14:textId="77777777" w:rsidR="00B03109" w:rsidRPr="00BC04C6" w:rsidRDefault="00B03109" w:rsidP="00B03109">
      <w:pPr>
        <w:rPr>
          <w:sz w:val="22"/>
          <w:szCs w:val="22"/>
        </w:rPr>
      </w:pPr>
      <w:r w:rsidRPr="00BC04C6">
        <w:rPr>
          <w:sz w:val="22"/>
          <w:szCs w:val="22"/>
        </w:rPr>
        <w:t xml:space="preserve">It is a government requirement that the Australian Government </w:t>
      </w:r>
      <w:r w:rsidRPr="00BC04C6">
        <w:rPr>
          <w:i/>
          <w:sz w:val="22"/>
          <w:szCs w:val="22"/>
        </w:rPr>
        <w:t>Levy Principles and Guidelines</w:t>
      </w:r>
      <w:r w:rsidRPr="00BC04C6">
        <w:rPr>
          <w:sz w:val="12"/>
          <w:szCs w:val="22"/>
        </w:rPr>
        <w:footnoteReference w:id="1"/>
      </w:r>
      <w:r w:rsidRPr="00BC04C6">
        <w:rPr>
          <w:sz w:val="22"/>
          <w:szCs w:val="22"/>
        </w:rPr>
        <w:t xml:space="preserve"> are met when an industry proposes a new levy. In 2010, the department assessed the horse industry’s submission as satisfying the</w:t>
      </w:r>
      <w:r>
        <w:rPr>
          <w:sz w:val="22"/>
          <w:szCs w:val="22"/>
        </w:rPr>
        <w:t xml:space="preserve">se guidelines </w:t>
      </w:r>
      <w:r w:rsidRPr="00BC04C6">
        <w:rPr>
          <w:sz w:val="22"/>
          <w:szCs w:val="22"/>
        </w:rPr>
        <w:t>but noted that it is open to the horse industry consider</w:t>
      </w:r>
      <w:r>
        <w:rPr>
          <w:sz w:val="22"/>
          <w:szCs w:val="22"/>
        </w:rPr>
        <w:t>ing</w:t>
      </w:r>
      <w:r w:rsidRPr="00BC04C6">
        <w:rPr>
          <w:sz w:val="22"/>
          <w:szCs w:val="22"/>
        </w:rPr>
        <w:t xml:space="preserve"> other levy mechanisms in the future. </w:t>
      </w:r>
    </w:p>
    <w:p w14:paraId="24989D21" w14:textId="4DF0EC15" w:rsidR="00B03109" w:rsidRPr="00BC04C6" w:rsidRDefault="00B03109" w:rsidP="00B03109">
      <w:pPr>
        <w:rPr>
          <w:sz w:val="22"/>
          <w:szCs w:val="22"/>
        </w:rPr>
      </w:pPr>
      <w:r w:rsidRPr="00BC04C6">
        <w:rPr>
          <w:sz w:val="22"/>
          <w:szCs w:val="22"/>
        </w:rPr>
        <w:t xml:space="preserve">In </w:t>
      </w:r>
      <w:r>
        <w:rPr>
          <w:sz w:val="22"/>
          <w:szCs w:val="22"/>
        </w:rPr>
        <w:t>submissions</w:t>
      </w:r>
      <w:r w:rsidRPr="00BC04C6">
        <w:rPr>
          <w:sz w:val="22"/>
          <w:szCs w:val="22"/>
        </w:rPr>
        <w:t xml:space="preserve"> to the 2016 review,</w:t>
      </w:r>
      <w:r w:rsidR="00C80975">
        <w:rPr>
          <w:sz w:val="22"/>
          <w:szCs w:val="22"/>
        </w:rPr>
        <w:t xml:space="preserve"> some</w:t>
      </w:r>
      <w:r>
        <w:rPr>
          <w:sz w:val="22"/>
          <w:szCs w:val="22"/>
        </w:rPr>
        <w:t xml:space="preserve"> </w:t>
      </w:r>
      <w:r w:rsidRPr="00BC04C6">
        <w:rPr>
          <w:sz w:val="22"/>
          <w:szCs w:val="22"/>
        </w:rPr>
        <w:t>st</w:t>
      </w:r>
      <w:r w:rsidR="00C80975">
        <w:rPr>
          <w:sz w:val="22"/>
          <w:szCs w:val="22"/>
        </w:rPr>
        <w:t>akeholders</w:t>
      </w:r>
      <w:r w:rsidRPr="00BC04C6">
        <w:rPr>
          <w:sz w:val="22"/>
          <w:szCs w:val="22"/>
        </w:rPr>
        <w:t xml:space="preserve"> expressed concerns that the current levy collection points do not </w:t>
      </w:r>
      <w:r>
        <w:rPr>
          <w:sz w:val="22"/>
          <w:szCs w:val="22"/>
        </w:rPr>
        <w:t xml:space="preserve">satisfy </w:t>
      </w:r>
      <w:r w:rsidRPr="00BC04C6">
        <w:rPr>
          <w:sz w:val="22"/>
          <w:szCs w:val="22"/>
        </w:rPr>
        <w:t xml:space="preserve">all of the Australian Government </w:t>
      </w:r>
      <w:r w:rsidRPr="00BC04C6">
        <w:rPr>
          <w:i/>
          <w:sz w:val="22"/>
          <w:szCs w:val="22"/>
        </w:rPr>
        <w:t>Levy Principles and Guidelines</w:t>
      </w:r>
      <w:r w:rsidR="00C80975" w:rsidRPr="00C80975">
        <w:rPr>
          <w:sz w:val="22"/>
          <w:szCs w:val="22"/>
        </w:rPr>
        <w:t xml:space="preserve"> </w:t>
      </w:r>
      <w:r w:rsidR="00C80975">
        <w:rPr>
          <w:sz w:val="22"/>
          <w:szCs w:val="22"/>
        </w:rPr>
        <w:t xml:space="preserve">and </w:t>
      </w:r>
      <w:r w:rsidR="00C80975" w:rsidRPr="00BC04C6">
        <w:rPr>
          <w:sz w:val="22"/>
          <w:szCs w:val="22"/>
        </w:rPr>
        <w:t>requested that th</w:t>
      </w:r>
      <w:r w:rsidR="00C80975">
        <w:rPr>
          <w:sz w:val="22"/>
          <w:szCs w:val="22"/>
        </w:rPr>
        <w:t xml:space="preserve">ey </w:t>
      </w:r>
      <w:r w:rsidR="00C80975" w:rsidRPr="00BC04C6">
        <w:rPr>
          <w:sz w:val="22"/>
          <w:szCs w:val="22"/>
        </w:rPr>
        <w:t>be re-assessed</w:t>
      </w:r>
      <w:r w:rsidRPr="00BC04C6">
        <w:rPr>
          <w:sz w:val="22"/>
          <w:szCs w:val="22"/>
        </w:rPr>
        <w:t>.</w:t>
      </w:r>
      <w:r w:rsidR="00C80975">
        <w:rPr>
          <w:sz w:val="22"/>
          <w:szCs w:val="22"/>
        </w:rPr>
        <w:t xml:space="preserve"> </w:t>
      </w:r>
      <w:r w:rsidR="00BD47A0">
        <w:rPr>
          <w:sz w:val="22"/>
          <w:szCs w:val="22"/>
        </w:rPr>
        <w:t xml:space="preserve">Issues raised </w:t>
      </w:r>
      <w:r w:rsidRPr="00BC04C6">
        <w:rPr>
          <w:sz w:val="22"/>
          <w:szCs w:val="22"/>
        </w:rPr>
        <w:t>included:</w:t>
      </w:r>
    </w:p>
    <w:p w14:paraId="0DD0BEBA" w14:textId="77777777" w:rsidR="00B03109" w:rsidRPr="00BC04C6" w:rsidRDefault="00B03109" w:rsidP="00B03109">
      <w:pPr>
        <w:keepNext/>
        <w:keepLines/>
        <w:rPr>
          <w:i/>
          <w:sz w:val="22"/>
          <w:szCs w:val="22"/>
        </w:rPr>
      </w:pPr>
      <w:r w:rsidRPr="00BC04C6">
        <w:rPr>
          <w:b/>
          <w:i/>
          <w:sz w:val="22"/>
          <w:szCs w:val="22"/>
        </w:rPr>
        <w:lastRenderedPageBreak/>
        <w:t xml:space="preserve">Australian Government Levy Principles and Guidelines </w:t>
      </w:r>
      <w:r>
        <w:rPr>
          <w:b/>
          <w:i/>
          <w:sz w:val="22"/>
          <w:szCs w:val="22"/>
        </w:rPr>
        <w:t>–</w:t>
      </w:r>
      <w:r w:rsidRPr="00BC04C6">
        <w:rPr>
          <w:b/>
          <w:i/>
          <w:sz w:val="22"/>
          <w:szCs w:val="22"/>
        </w:rPr>
        <w:t xml:space="preserve"> Principle 2:</w:t>
      </w:r>
      <w:r w:rsidRPr="00BC04C6">
        <w:rPr>
          <w:i/>
          <w:sz w:val="22"/>
          <w:szCs w:val="22"/>
        </w:rPr>
        <w:t xml:space="preserve"> A request for a levy must be supported by industry bodies representing, wherever possible, all existing and/or potential levy payers, the relevant levy beneficiaries and other interested parties. The initiator shall demonstrate that all reasonable attempts have been made to inform all relevant parties of the proposal and that they have had the opportunity to comment on the proposed levy. A levy may be initiated by the Government, in the public interest, in consultation with the industries involved. </w:t>
      </w:r>
    </w:p>
    <w:p w14:paraId="1C31A0D7" w14:textId="36CCE6C6" w:rsidR="00B03109" w:rsidRDefault="003811EA" w:rsidP="00B03109">
      <w:pPr>
        <w:rPr>
          <w:sz w:val="22"/>
          <w:szCs w:val="22"/>
        </w:rPr>
      </w:pPr>
      <w:r>
        <w:rPr>
          <w:sz w:val="22"/>
          <w:szCs w:val="22"/>
        </w:rPr>
        <w:t>Some s</w:t>
      </w:r>
      <w:r w:rsidR="00B03109">
        <w:rPr>
          <w:sz w:val="22"/>
          <w:szCs w:val="22"/>
        </w:rPr>
        <w:t>takeholders expressed concerns that</w:t>
      </w:r>
      <w:r w:rsidR="0004352C">
        <w:rPr>
          <w:sz w:val="22"/>
          <w:szCs w:val="22"/>
        </w:rPr>
        <w:t>,</w:t>
      </w:r>
      <w:r w:rsidR="00B03109">
        <w:rPr>
          <w:sz w:val="22"/>
          <w:szCs w:val="22"/>
        </w:rPr>
        <w:t xml:space="preserve"> in the event of an incursion, </w:t>
      </w:r>
      <w:r w:rsidR="00B03109" w:rsidRPr="00BC04C6">
        <w:rPr>
          <w:sz w:val="22"/>
          <w:szCs w:val="22"/>
        </w:rPr>
        <w:t>the levy</w:t>
      </w:r>
      <w:r w:rsidR="00B03109">
        <w:rPr>
          <w:sz w:val="22"/>
          <w:szCs w:val="22"/>
        </w:rPr>
        <w:t xml:space="preserve"> payers would be the manufactured feed and animal health industries, not horse owners. </w:t>
      </w:r>
      <w:r w:rsidR="00241F6A">
        <w:rPr>
          <w:sz w:val="22"/>
          <w:szCs w:val="22"/>
        </w:rPr>
        <w:t>These s</w:t>
      </w:r>
      <w:r w:rsidR="00623290" w:rsidRPr="00993AF9">
        <w:rPr>
          <w:sz w:val="22"/>
          <w:szCs w:val="22"/>
        </w:rPr>
        <w:t xml:space="preserve">takeholders </w:t>
      </w:r>
      <w:r w:rsidR="00623290">
        <w:rPr>
          <w:sz w:val="22"/>
          <w:szCs w:val="22"/>
        </w:rPr>
        <w:t>believed that</w:t>
      </w:r>
      <w:r>
        <w:rPr>
          <w:sz w:val="22"/>
          <w:szCs w:val="22"/>
        </w:rPr>
        <w:t>,</w:t>
      </w:r>
      <w:r w:rsidR="00623290">
        <w:rPr>
          <w:sz w:val="22"/>
          <w:szCs w:val="22"/>
        </w:rPr>
        <w:t xml:space="preserve"> </w:t>
      </w:r>
      <w:r>
        <w:rPr>
          <w:sz w:val="22"/>
          <w:szCs w:val="22"/>
        </w:rPr>
        <w:t xml:space="preserve">as they are not direct </w:t>
      </w:r>
      <w:r w:rsidRPr="00993AF9">
        <w:rPr>
          <w:sz w:val="22"/>
          <w:szCs w:val="22"/>
        </w:rPr>
        <w:t>beneficiar</w:t>
      </w:r>
      <w:r>
        <w:rPr>
          <w:sz w:val="22"/>
          <w:szCs w:val="22"/>
        </w:rPr>
        <w:t xml:space="preserve">ies, </w:t>
      </w:r>
      <w:r w:rsidR="00094177">
        <w:rPr>
          <w:sz w:val="22"/>
          <w:szCs w:val="22"/>
        </w:rPr>
        <w:t xml:space="preserve">these industries should not pay the levy. Regardless, </w:t>
      </w:r>
      <w:r>
        <w:rPr>
          <w:sz w:val="22"/>
          <w:szCs w:val="22"/>
        </w:rPr>
        <w:t xml:space="preserve">stakeholders believed </w:t>
      </w:r>
      <w:r w:rsidR="00241F6A">
        <w:rPr>
          <w:sz w:val="22"/>
          <w:szCs w:val="22"/>
        </w:rPr>
        <w:t xml:space="preserve">that </w:t>
      </w:r>
      <w:r w:rsidR="00B03109">
        <w:rPr>
          <w:sz w:val="22"/>
          <w:szCs w:val="22"/>
        </w:rPr>
        <w:t>to satisfy this principle</w:t>
      </w:r>
      <w:r w:rsidR="001461B9">
        <w:rPr>
          <w:sz w:val="22"/>
          <w:szCs w:val="22"/>
        </w:rPr>
        <w:t>,</w:t>
      </w:r>
      <w:r w:rsidR="00B03109">
        <w:rPr>
          <w:sz w:val="22"/>
          <w:szCs w:val="22"/>
        </w:rPr>
        <w:t xml:space="preserve"> the levy request should </w:t>
      </w:r>
      <w:r>
        <w:rPr>
          <w:sz w:val="22"/>
          <w:szCs w:val="22"/>
        </w:rPr>
        <w:t xml:space="preserve">have </w:t>
      </w:r>
      <w:r w:rsidR="00B03109">
        <w:rPr>
          <w:sz w:val="22"/>
          <w:szCs w:val="22"/>
        </w:rPr>
        <w:t>b</w:t>
      </w:r>
      <w:r>
        <w:rPr>
          <w:sz w:val="22"/>
          <w:szCs w:val="22"/>
        </w:rPr>
        <w:t>e</w:t>
      </w:r>
      <w:r w:rsidR="00B03109">
        <w:rPr>
          <w:sz w:val="22"/>
          <w:szCs w:val="22"/>
        </w:rPr>
        <w:t>e</w:t>
      </w:r>
      <w:r>
        <w:rPr>
          <w:sz w:val="22"/>
          <w:szCs w:val="22"/>
        </w:rPr>
        <w:t>n</w:t>
      </w:r>
      <w:r w:rsidR="00B03109">
        <w:rPr>
          <w:sz w:val="22"/>
          <w:szCs w:val="22"/>
        </w:rPr>
        <w:t xml:space="preserve"> supported by the manufactured feed and animal health industries</w:t>
      </w:r>
      <w:r w:rsidRPr="003811EA">
        <w:rPr>
          <w:sz w:val="22"/>
          <w:szCs w:val="22"/>
        </w:rPr>
        <w:t xml:space="preserve"> </w:t>
      </w:r>
      <w:r>
        <w:rPr>
          <w:sz w:val="22"/>
          <w:szCs w:val="22"/>
        </w:rPr>
        <w:t>as the levy payer</w:t>
      </w:r>
      <w:r w:rsidR="00B03109">
        <w:rPr>
          <w:sz w:val="22"/>
          <w:szCs w:val="22"/>
        </w:rPr>
        <w:t xml:space="preserve">. Instead, these industries </w:t>
      </w:r>
      <w:r>
        <w:rPr>
          <w:sz w:val="22"/>
          <w:szCs w:val="22"/>
        </w:rPr>
        <w:t xml:space="preserve">were opposed to </w:t>
      </w:r>
      <w:r w:rsidR="00B03109">
        <w:rPr>
          <w:sz w:val="22"/>
          <w:szCs w:val="22"/>
        </w:rPr>
        <w:t>the initial levy proposal</w:t>
      </w:r>
      <w:r>
        <w:rPr>
          <w:sz w:val="22"/>
          <w:szCs w:val="22"/>
        </w:rPr>
        <w:t>,</w:t>
      </w:r>
      <w:r w:rsidR="00B03109">
        <w:rPr>
          <w:sz w:val="22"/>
          <w:szCs w:val="22"/>
        </w:rPr>
        <w:t xml:space="preserve"> </w:t>
      </w:r>
      <w:r>
        <w:rPr>
          <w:sz w:val="22"/>
          <w:szCs w:val="22"/>
        </w:rPr>
        <w:t xml:space="preserve">which included the </w:t>
      </w:r>
      <w:r w:rsidR="00B03109">
        <w:rPr>
          <w:sz w:val="22"/>
          <w:szCs w:val="22"/>
        </w:rPr>
        <w:t>current collection points</w:t>
      </w:r>
      <w:r>
        <w:rPr>
          <w:sz w:val="22"/>
          <w:szCs w:val="22"/>
        </w:rPr>
        <w:t xml:space="preserve">. </w:t>
      </w:r>
    </w:p>
    <w:p w14:paraId="36F42595" w14:textId="1FF45418" w:rsidR="00B03109" w:rsidRPr="00BC04C6" w:rsidRDefault="00B03109" w:rsidP="00B03109">
      <w:pPr>
        <w:rPr>
          <w:sz w:val="22"/>
          <w:szCs w:val="22"/>
        </w:rPr>
      </w:pPr>
      <w:r w:rsidRPr="00BD47A0">
        <w:rPr>
          <w:sz w:val="22"/>
          <w:szCs w:val="22"/>
        </w:rPr>
        <w:t xml:space="preserve">It is the department’s view </w:t>
      </w:r>
      <w:r w:rsidR="003811EA" w:rsidRPr="00993AF9">
        <w:rPr>
          <w:sz w:val="22"/>
          <w:szCs w:val="22"/>
        </w:rPr>
        <w:t xml:space="preserve">that </w:t>
      </w:r>
      <w:r w:rsidR="003811EA">
        <w:rPr>
          <w:sz w:val="22"/>
          <w:szCs w:val="22"/>
        </w:rPr>
        <w:t>manufactured feed and animal health industries</w:t>
      </w:r>
      <w:r w:rsidR="003811EA" w:rsidRPr="00993AF9">
        <w:rPr>
          <w:sz w:val="22"/>
          <w:szCs w:val="22"/>
        </w:rPr>
        <w:t xml:space="preserve"> benefit from the overall horse population, making them an indirect beneficiary of a response that eradicates horse disease</w:t>
      </w:r>
      <w:r w:rsidR="003811EA">
        <w:rPr>
          <w:sz w:val="22"/>
          <w:szCs w:val="22"/>
        </w:rPr>
        <w:t>. W</w:t>
      </w:r>
      <w:r w:rsidR="00BD47A0">
        <w:rPr>
          <w:sz w:val="22"/>
          <w:szCs w:val="22"/>
        </w:rPr>
        <w:t xml:space="preserve">hile </w:t>
      </w:r>
      <w:r w:rsidR="003811EA">
        <w:rPr>
          <w:sz w:val="22"/>
          <w:szCs w:val="22"/>
        </w:rPr>
        <w:t xml:space="preserve">these </w:t>
      </w:r>
      <w:r w:rsidR="00BD47A0">
        <w:rPr>
          <w:sz w:val="22"/>
          <w:szCs w:val="22"/>
        </w:rPr>
        <w:t>industries</w:t>
      </w:r>
      <w:r w:rsidRPr="00BD47A0">
        <w:rPr>
          <w:sz w:val="22"/>
          <w:szCs w:val="22"/>
        </w:rPr>
        <w:t xml:space="preserve"> </w:t>
      </w:r>
      <w:r w:rsidR="00BD47A0">
        <w:rPr>
          <w:sz w:val="22"/>
          <w:szCs w:val="22"/>
        </w:rPr>
        <w:t xml:space="preserve">would collect </w:t>
      </w:r>
      <w:r w:rsidRPr="00BD47A0">
        <w:rPr>
          <w:sz w:val="22"/>
          <w:szCs w:val="22"/>
        </w:rPr>
        <w:t>the levy</w:t>
      </w:r>
      <w:r w:rsidR="00BD47A0">
        <w:rPr>
          <w:sz w:val="22"/>
          <w:szCs w:val="22"/>
        </w:rPr>
        <w:t xml:space="preserve"> in the event of an incursion, the levy</w:t>
      </w:r>
      <w:r w:rsidRPr="00BD47A0">
        <w:rPr>
          <w:sz w:val="22"/>
          <w:szCs w:val="22"/>
        </w:rPr>
        <w:t xml:space="preserve"> payer </w:t>
      </w:r>
      <w:r w:rsidR="00BD47A0">
        <w:rPr>
          <w:sz w:val="22"/>
          <w:szCs w:val="22"/>
        </w:rPr>
        <w:t xml:space="preserve">would </w:t>
      </w:r>
      <w:r w:rsidRPr="00BD47A0">
        <w:rPr>
          <w:sz w:val="22"/>
          <w:szCs w:val="22"/>
        </w:rPr>
        <w:t xml:space="preserve">ultimately </w:t>
      </w:r>
      <w:r w:rsidR="00BD47A0">
        <w:rPr>
          <w:sz w:val="22"/>
          <w:szCs w:val="22"/>
        </w:rPr>
        <w:t xml:space="preserve">be </w:t>
      </w:r>
      <w:r w:rsidR="00D17C98" w:rsidRPr="00BD47A0">
        <w:rPr>
          <w:sz w:val="22"/>
          <w:szCs w:val="22"/>
        </w:rPr>
        <w:t xml:space="preserve">the </w:t>
      </w:r>
      <w:r w:rsidR="00BD47A0">
        <w:rPr>
          <w:sz w:val="22"/>
          <w:szCs w:val="22"/>
        </w:rPr>
        <w:t xml:space="preserve">horse owner that purchased </w:t>
      </w:r>
      <w:r w:rsidR="00BD47A0" w:rsidRPr="00BC04C6">
        <w:rPr>
          <w:sz w:val="22"/>
        </w:rPr>
        <w:t>manufa</w:t>
      </w:r>
      <w:r w:rsidR="00BD47A0">
        <w:rPr>
          <w:sz w:val="22"/>
        </w:rPr>
        <w:t xml:space="preserve">ctured feed and worm treatments. Although it </w:t>
      </w:r>
      <w:r w:rsidR="00D17C98" w:rsidRPr="00BD47A0">
        <w:rPr>
          <w:sz w:val="22"/>
          <w:szCs w:val="22"/>
        </w:rPr>
        <w:t xml:space="preserve">is possible </w:t>
      </w:r>
      <w:r w:rsidR="00BD47A0">
        <w:rPr>
          <w:sz w:val="22"/>
          <w:szCs w:val="22"/>
        </w:rPr>
        <w:t xml:space="preserve">that the </w:t>
      </w:r>
      <w:r w:rsidR="00D17C98" w:rsidRPr="00BD47A0">
        <w:rPr>
          <w:sz w:val="22"/>
          <w:szCs w:val="22"/>
        </w:rPr>
        <w:t xml:space="preserve">levy </w:t>
      </w:r>
      <w:r w:rsidR="00BD47A0">
        <w:rPr>
          <w:sz w:val="22"/>
          <w:szCs w:val="22"/>
        </w:rPr>
        <w:t xml:space="preserve">might not be </w:t>
      </w:r>
      <w:r w:rsidR="00D17C98" w:rsidRPr="00BD47A0">
        <w:rPr>
          <w:sz w:val="22"/>
          <w:szCs w:val="22"/>
        </w:rPr>
        <w:t xml:space="preserve">passed down the supply chain, </w:t>
      </w:r>
      <w:r w:rsidR="00BD47A0">
        <w:rPr>
          <w:sz w:val="22"/>
          <w:szCs w:val="22"/>
        </w:rPr>
        <w:t xml:space="preserve">it is not uncommon for a primary industries levy to be collected by a wholesaler or manufacturer of a product purchased by the direct levy beneficiary. </w:t>
      </w:r>
    </w:p>
    <w:p w14:paraId="2E9B2DEC" w14:textId="77777777" w:rsidR="00B03109" w:rsidRPr="00BC04C6" w:rsidRDefault="00B03109" w:rsidP="00B03109">
      <w:pPr>
        <w:rPr>
          <w:i/>
          <w:sz w:val="22"/>
          <w:szCs w:val="22"/>
        </w:rPr>
      </w:pPr>
      <w:r w:rsidRPr="00BC04C6">
        <w:rPr>
          <w:b/>
          <w:i/>
          <w:sz w:val="22"/>
          <w:szCs w:val="22"/>
        </w:rPr>
        <w:t>Australian Government Levy Principles and Guideline – Principle 6:</w:t>
      </w:r>
      <w:r w:rsidRPr="00BC04C6">
        <w:rPr>
          <w:i/>
          <w:sz w:val="22"/>
          <w:szCs w:val="22"/>
        </w:rPr>
        <w:t xml:space="preserve"> The levy imposition must be equitable between levy payers. </w:t>
      </w:r>
    </w:p>
    <w:p w14:paraId="123D93E0" w14:textId="4D9B6D90" w:rsidR="00B03109" w:rsidRDefault="00B03109" w:rsidP="00B03109">
      <w:pPr>
        <w:rPr>
          <w:sz w:val="22"/>
          <w:szCs w:val="22"/>
        </w:rPr>
      </w:pPr>
      <w:r w:rsidRPr="00BC04C6">
        <w:rPr>
          <w:sz w:val="22"/>
          <w:szCs w:val="22"/>
        </w:rPr>
        <w:t>S</w:t>
      </w:r>
      <w:r>
        <w:rPr>
          <w:sz w:val="22"/>
          <w:szCs w:val="22"/>
        </w:rPr>
        <w:t>ome s</w:t>
      </w:r>
      <w:r w:rsidRPr="00BC04C6">
        <w:rPr>
          <w:sz w:val="22"/>
          <w:szCs w:val="22"/>
        </w:rPr>
        <w:t xml:space="preserve">takeholders </w:t>
      </w:r>
      <w:r>
        <w:rPr>
          <w:sz w:val="22"/>
          <w:szCs w:val="22"/>
        </w:rPr>
        <w:t>expressed concern that the current collection points are not equitable across levy payers. These stakeholders stated</w:t>
      </w:r>
      <w:r w:rsidRPr="00BC04C6">
        <w:rPr>
          <w:sz w:val="22"/>
          <w:szCs w:val="22"/>
        </w:rPr>
        <w:t xml:space="preserve"> that only a small number of horses are fed manufactured horse feed</w:t>
      </w:r>
      <w:r>
        <w:rPr>
          <w:sz w:val="22"/>
          <w:szCs w:val="22"/>
        </w:rPr>
        <w:t>.</w:t>
      </w:r>
      <w:r w:rsidRPr="00BC04C6">
        <w:rPr>
          <w:sz w:val="22"/>
          <w:szCs w:val="22"/>
        </w:rPr>
        <w:t xml:space="preserve"> </w:t>
      </w:r>
      <w:r>
        <w:rPr>
          <w:sz w:val="22"/>
          <w:szCs w:val="22"/>
        </w:rPr>
        <w:t>T</w:t>
      </w:r>
      <w:r w:rsidRPr="00BC04C6">
        <w:rPr>
          <w:sz w:val="22"/>
          <w:szCs w:val="22"/>
        </w:rPr>
        <w:t>he majority of those are in intensive breeding, racing o</w:t>
      </w:r>
      <w:r>
        <w:rPr>
          <w:sz w:val="22"/>
          <w:szCs w:val="22"/>
        </w:rPr>
        <w:t>r</w:t>
      </w:r>
      <w:r w:rsidRPr="00BC04C6">
        <w:rPr>
          <w:sz w:val="22"/>
          <w:szCs w:val="22"/>
        </w:rPr>
        <w:t xml:space="preserve"> training facilities</w:t>
      </w:r>
      <w:r>
        <w:rPr>
          <w:sz w:val="22"/>
          <w:szCs w:val="22"/>
        </w:rPr>
        <w:t xml:space="preserve">, meaning that this population would pay </w:t>
      </w:r>
      <w:r w:rsidRPr="00BC04C6">
        <w:rPr>
          <w:sz w:val="22"/>
          <w:szCs w:val="22"/>
        </w:rPr>
        <w:t>the majority of this</w:t>
      </w:r>
      <w:r>
        <w:rPr>
          <w:sz w:val="22"/>
          <w:szCs w:val="22"/>
        </w:rPr>
        <w:t xml:space="preserve"> levy</w:t>
      </w:r>
      <w:r w:rsidRPr="00BC04C6">
        <w:rPr>
          <w:sz w:val="22"/>
          <w:szCs w:val="22"/>
        </w:rPr>
        <w:t xml:space="preserve"> component</w:t>
      </w:r>
      <w:r>
        <w:rPr>
          <w:sz w:val="22"/>
          <w:szCs w:val="22"/>
        </w:rPr>
        <w:t xml:space="preserve">. </w:t>
      </w:r>
      <w:r w:rsidRPr="00BC04C6">
        <w:rPr>
          <w:sz w:val="22"/>
          <w:szCs w:val="22"/>
        </w:rPr>
        <w:t>Th</w:t>
      </w:r>
      <w:r>
        <w:rPr>
          <w:sz w:val="22"/>
          <w:szCs w:val="22"/>
        </w:rPr>
        <w:t xml:space="preserve">e same concern was raised regarding </w:t>
      </w:r>
      <w:r w:rsidRPr="00BC04C6">
        <w:rPr>
          <w:sz w:val="22"/>
          <w:szCs w:val="22"/>
        </w:rPr>
        <w:t>the use of horse wormers</w:t>
      </w:r>
      <w:r>
        <w:rPr>
          <w:sz w:val="22"/>
          <w:szCs w:val="22"/>
        </w:rPr>
        <w:t>. These stakeholders stated that the use of wormers can vary c</w:t>
      </w:r>
      <w:r w:rsidR="001461B9">
        <w:rPr>
          <w:sz w:val="22"/>
          <w:szCs w:val="22"/>
        </w:rPr>
        <w:t>onsiderably across horse owners.</w:t>
      </w:r>
    </w:p>
    <w:p w14:paraId="5F5EA362" w14:textId="28410E30" w:rsidR="00B03109" w:rsidRDefault="00B03109" w:rsidP="00B03109">
      <w:pPr>
        <w:rPr>
          <w:sz w:val="22"/>
          <w:szCs w:val="22"/>
        </w:rPr>
      </w:pPr>
      <w:r>
        <w:rPr>
          <w:sz w:val="22"/>
          <w:szCs w:val="22"/>
        </w:rPr>
        <w:t xml:space="preserve">It is the department’s view that there is </w:t>
      </w:r>
      <w:r w:rsidRPr="00BC04C6">
        <w:rPr>
          <w:sz w:val="22"/>
          <w:szCs w:val="22"/>
        </w:rPr>
        <w:t>limited data available to show accurate figures o</w:t>
      </w:r>
      <w:r>
        <w:rPr>
          <w:sz w:val="22"/>
          <w:szCs w:val="22"/>
        </w:rPr>
        <w:t>n</w:t>
      </w:r>
      <w:r w:rsidRPr="00BC04C6">
        <w:rPr>
          <w:sz w:val="22"/>
          <w:szCs w:val="22"/>
        </w:rPr>
        <w:t xml:space="preserve"> </w:t>
      </w:r>
      <w:r>
        <w:rPr>
          <w:sz w:val="22"/>
          <w:szCs w:val="22"/>
        </w:rPr>
        <w:t xml:space="preserve">horse </w:t>
      </w:r>
      <w:r w:rsidRPr="00BC04C6">
        <w:rPr>
          <w:sz w:val="22"/>
          <w:szCs w:val="22"/>
        </w:rPr>
        <w:t xml:space="preserve">industry </w:t>
      </w:r>
      <w:r>
        <w:rPr>
          <w:sz w:val="22"/>
          <w:szCs w:val="22"/>
        </w:rPr>
        <w:t>use of manufactured feed</w:t>
      </w:r>
      <w:r w:rsidRPr="00BC04C6">
        <w:rPr>
          <w:sz w:val="22"/>
          <w:szCs w:val="22"/>
        </w:rPr>
        <w:t>.</w:t>
      </w:r>
      <w:r>
        <w:rPr>
          <w:sz w:val="22"/>
          <w:szCs w:val="22"/>
        </w:rPr>
        <w:t xml:space="preserve"> There is also </w:t>
      </w:r>
      <w:r w:rsidRPr="00BC04C6">
        <w:rPr>
          <w:sz w:val="22"/>
          <w:szCs w:val="22"/>
        </w:rPr>
        <w:t>limited data available to show accurate figures o</w:t>
      </w:r>
      <w:r>
        <w:rPr>
          <w:sz w:val="22"/>
          <w:szCs w:val="22"/>
        </w:rPr>
        <w:t>n</w:t>
      </w:r>
      <w:r w:rsidRPr="00BC04C6">
        <w:rPr>
          <w:sz w:val="22"/>
          <w:szCs w:val="22"/>
        </w:rPr>
        <w:t xml:space="preserve"> </w:t>
      </w:r>
      <w:r>
        <w:rPr>
          <w:sz w:val="22"/>
          <w:szCs w:val="22"/>
        </w:rPr>
        <w:t xml:space="preserve">horse </w:t>
      </w:r>
      <w:r w:rsidRPr="00BC04C6">
        <w:rPr>
          <w:sz w:val="22"/>
          <w:szCs w:val="22"/>
        </w:rPr>
        <w:t xml:space="preserve">industry use of these </w:t>
      </w:r>
      <w:r>
        <w:rPr>
          <w:sz w:val="22"/>
          <w:szCs w:val="22"/>
        </w:rPr>
        <w:t xml:space="preserve">pharmaceutical </w:t>
      </w:r>
      <w:r w:rsidRPr="00BC04C6">
        <w:rPr>
          <w:sz w:val="22"/>
          <w:szCs w:val="22"/>
        </w:rPr>
        <w:t>treatments.</w:t>
      </w:r>
    </w:p>
    <w:p w14:paraId="4CAECA7B" w14:textId="74988FF4" w:rsidR="00B03109" w:rsidRPr="000C7450" w:rsidRDefault="008927BD" w:rsidP="00B03109">
      <w:pPr>
        <w:rPr>
          <w:sz w:val="22"/>
          <w:szCs w:val="22"/>
        </w:rPr>
      </w:pPr>
      <w:r w:rsidRPr="00BD47A0">
        <w:rPr>
          <w:sz w:val="22"/>
          <w:szCs w:val="22"/>
        </w:rPr>
        <w:t>Further analysis of alterna</w:t>
      </w:r>
      <w:r w:rsidR="001461B9">
        <w:rPr>
          <w:sz w:val="22"/>
          <w:szCs w:val="22"/>
        </w:rPr>
        <w:t xml:space="preserve">tive collection points and </w:t>
      </w:r>
      <w:r w:rsidRPr="00BD47A0">
        <w:rPr>
          <w:sz w:val="22"/>
          <w:szCs w:val="22"/>
        </w:rPr>
        <w:t xml:space="preserve">horse population and demographic data will assist in determining which collection points are most equitable for the current population. </w:t>
      </w:r>
      <w:r w:rsidR="003F219B">
        <w:rPr>
          <w:sz w:val="22"/>
          <w:szCs w:val="22"/>
        </w:rPr>
        <w:t>While the l</w:t>
      </w:r>
      <w:r w:rsidR="003F219B" w:rsidRPr="00BD47A0">
        <w:rPr>
          <w:sz w:val="22"/>
          <w:szCs w:val="22"/>
        </w:rPr>
        <w:t>evy collection point should be the most equitable option available</w:t>
      </w:r>
      <w:r w:rsidR="003F219B">
        <w:rPr>
          <w:sz w:val="22"/>
          <w:szCs w:val="22"/>
        </w:rPr>
        <w:t xml:space="preserve">, it possible that no option will be completely address this issue. </w:t>
      </w:r>
    </w:p>
    <w:p w14:paraId="689AAF64" w14:textId="77777777" w:rsidR="00B03109" w:rsidRDefault="00B03109" w:rsidP="00B03109">
      <w:pPr>
        <w:rPr>
          <w:i/>
          <w:sz w:val="22"/>
          <w:szCs w:val="22"/>
        </w:rPr>
      </w:pPr>
      <w:r w:rsidRPr="00BC04C6">
        <w:rPr>
          <w:b/>
          <w:i/>
          <w:sz w:val="22"/>
          <w:szCs w:val="22"/>
        </w:rPr>
        <w:t>Australian Government Levy Principles and Guidelines – Principle 8:</w:t>
      </w:r>
      <w:r w:rsidRPr="00BC04C6">
        <w:rPr>
          <w:i/>
          <w:sz w:val="22"/>
          <w:szCs w:val="22"/>
        </w:rPr>
        <w:t xml:space="preserve"> The levy collection system must be efficient and practical. It must impose the lowest possible ‘red tape’ impact on business and must satisfy transparency and accountability requirements. </w:t>
      </w:r>
    </w:p>
    <w:p w14:paraId="11477FF3" w14:textId="46D57E23" w:rsidR="00B03109" w:rsidRDefault="00B03109" w:rsidP="00B03109">
      <w:pPr>
        <w:rPr>
          <w:sz w:val="22"/>
          <w:szCs w:val="22"/>
        </w:rPr>
      </w:pPr>
      <w:r w:rsidRPr="00BC04C6">
        <w:rPr>
          <w:sz w:val="22"/>
          <w:szCs w:val="22"/>
        </w:rPr>
        <w:t xml:space="preserve">Stakeholders opposing the levy </w:t>
      </w:r>
      <w:r>
        <w:rPr>
          <w:sz w:val="22"/>
          <w:szCs w:val="22"/>
        </w:rPr>
        <w:t xml:space="preserve">collection points </w:t>
      </w:r>
      <w:r w:rsidRPr="00BC04C6">
        <w:rPr>
          <w:sz w:val="22"/>
          <w:szCs w:val="22"/>
        </w:rPr>
        <w:t>were concerned that</w:t>
      </w:r>
      <w:r>
        <w:rPr>
          <w:sz w:val="22"/>
          <w:szCs w:val="22"/>
        </w:rPr>
        <w:t xml:space="preserve"> if the levy was activated, t</w:t>
      </w:r>
      <w:r w:rsidRPr="00BC04C6">
        <w:rPr>
          <w:sz w:val="22"/>
          <w:szCs w:val="22"/>
        </w:rPr>
        <w:t xml:space="preserve">here would be a lack of transparency in levy payments due to </w:t>
      </w:r>
      <w:r>
        <w:rPr>
          <w:sz w:val="22"/>
          <w:szCs w:val="22"/>
        </w:rPr>
        <w:t xml:space="preserve">the </w:t>
      </w:r>
      <w:r w:rsidRPr="00BC04C6">
        <w:rPr>
          <w:sz w:val="22"/>
          <w:szCs w:val="22"/>
        </w:rPr>
        <w:t>complexity of the supply chain</w:t>
      </w:r>
      <w:r>
        <w:rPr>
          <w:sz w:val="22"/>
          <w:szCs w:val="22"/>
        </w:rPr>
        <w:t xml:space="preserve"> in both the stockfeed and animal pharmaceutical industry</w:t>
      </w:r>
      <w:r w:rsidRPr="00BC04C6">
        <w:rPr>
          <w:sz w:val="22"/>
          <w:szCs w:val="22"/>
        </w:rPr>
        <w:t xml:space="preserve">. </w:t>
      </w:r>
      <w:r>
        <w:rPr>
          <w:sz w:val="22"/>
          <w:szCs w:val="22"/>
        </w:rPr>
        <w:t>There was concern that w</w:t>
      </w:r>
      <w:r w:rsidRPr="00BC04C6">
        <w:rPr>
          <w:sz w:val="22"/>
          <w:szCs w:val="22"/>
        </w:rPr>
        <w:t xml:space="preserve">holesalers </w:t>
      </w:r>
      <w:r w:rsidRPr="00BC04C6">
        <w:rPr>
          <w:sz w:val="22"/>
          <w:szCs w:val="22"/>
        </w:rPr>
        <w:lastRenderedPageBreak/>
        <w:t>or distributors will effectively become the levy payers</w:t>
      </w:r>
      <w:r>
        <w:rPr>
          <w:sz w:val="22"/>
          <w:szCs w:val="22"/>
        </w:rPr>
        <w:t>,</w:t>
      </w:r>
      <w:r w:rsidRPr="00BC04C6">
        <w:rPr>
          <w:sz w:val="22"/>
          <w:szCs w:val="22"/>
        </w:rPr>
        <w:t xml:space="preserve"> as the majority of feed is sold direct to these outlets, who then sell-on to stores, who sell to individual horse owners. This is an ind</w:t>
      </w:r>
      <w:r w:rsidR="001461B9">
        <w:rPr>
          <w:sz w:val="22"/>
          <w:szCs w:val="22"/>
        </w:rPr>
        <w:t>irect collection method, which has no</w:t>
      </w:r>
      <w:r w:rsidRPr="00BC04C6">
        <w:rPr>
          <w:sz w:val="22"/>
          <w:szCs w:val="22"/>
        </w:rPr>
        <w:t xml:space="preserve"> transparency at the retailer point of purchase about which feed </w:t>
      </w:r>
      <w:r>
        <w:rPr>
          <w:sz w:val="22"/>
          <w:szCs w:val="22"/>
        </w:rPr>
        <w:t xml:space="preserve">the levy applies to </w:t>
      </w:r>
      <w:r w:rsidRPr="00BC04C6">
        <w:rPr>
          <w:sz w:val="22"/>
          <w:szCs w:val="22"/>
        </w:rPr>
        <w:t>and how much</w:t>
      </w:r>
      <w:r>
        <w:rPr>
          <w:sz w:val="22"/>
          <w:szCs w:val="22"/>
        </w:rPr>
        <w:t xml:space="preserve"> it is</w:t>
      </w:r>
      <w:r w:rsidRPr="00BC04C6">
        <w:rPr>
          <w:sz w:val="22"/>
          <w:szCs w:val="22"/>
        </w:rPr>
        <w:t xml:space="preserve">. </w:t>
      </w:r>
    </w:p>
    <w:p w14:paraId="7F0440F9" w14:textId="77777777" w:rsidR="00B03109" w:rsidRPr="00BC04C6" w:rsidRDefault="00B03109" w:rsidP="00B03109">
      <w:pPr>
        <w:rPr>
          <w:sz w:val="22"/>
          <w:szCs w:val="22"/>
        </w:rPr>
      </w:pPr>
      <w:r>
        <w:rPr>
          <w:sz w:val="22"/>
          <w:szCs w:val="22"/>
        </w:rPr>
        <w:t>Stakeholders were also concerned that there are s</w:t>
      </w:r>
      <w:r w:rsidRPr="00BC04C6">
        <w:rPr>
          <w:sz w:val="22"/>
          <w:szCs w:val="22"/>
        </w:rPr>
        <w:t xml:space="preserve">ignificant administration costs and resources required for businesses to implement and report </w:t>
      </w:r>
      <w:r>
        <w:rPr>
          <w:sz w:val="22"/>
          <w:szCs w:val="22"/>
        </w:rPr>
        <w:t xml:space="preserve">on </w:t>
      </w:r>
      <w:r w:rsidRPr="00BC04C6">
        <w:rPr>
          <w:sz w:val="22"/>
          <w:szCs w:val="22"/>
        </w:rPr>
        <w:t xml:space="preserve">the levy, particularly with the requirements for the levy amount to be GST free. </w:t>
      </w:r>
    </w:p>
    <w:p w14:paraId="613D9D65" w14:textId="2352995F" w:rsidR="00B03109" w:rsidRDefault="003F219B" w:rsidP="00B03109">
      <w:pPr>
        <w:rPr>
          <w:rFonts w:ascii="Times New Roman" w:hAnsi="Times New Roman"/>
          <w:sz w:val="22"/>
        </w:rPr>
      </w:pPr>
      <w:r w:rsidRPr="0080548C">
        <w:rPr>
          <w:sz w:val="22"/>
          <w:szCs w:val="22"/>
        </w:rPr>
        <w:t>It is the department’s view that, while t</w:t>
      </w:r>
      <w:r w:rsidR="00B03109" w:rsidRPr="0080548C">
        <w:rPr>
          <w:sz w:val="22"/>
          <w:szCs w:val="22"/>
        </w:rPr>
        <w:t xml:space="preserve">he imposition of a levy </w:t>
      </w:r>
      <w:r w:rsidRPr="0080548C">
        <w:rPr>
          <w:sz w:val="22"/>
          <w:szCs w:val="22"/>
        </w:rPr>
        <w:t xml:space="preserve">does impose some level </w:t>
      </w:r>
      <w:r w:rsidR="001461B9">
        <w:rPr>
          <w:sz w:val="22"/>
          <w:szCs w:val="22"/>
        </w:rPr>
        <w:t xml:space="preserve">of </w:t>
      </w:r>
      <w:r w:rsidRPr="0080548C">
        <w:rPr>
          <w:sz w:val="22"/>
          <w:szCs w:val="22"/>
        </w:rPr>
        <w:t xml:space="preserve">administrative burden, applying a levy at first disposal </w:t>
      </w:r>
      <w:r w:rsidR="0080548C" w:rsidRPr="0080548C">
        <w:rPr>
          <w:sz w:val="22"/>
          <w:szCs w:val="22"/>
        </w:rPr>
        <w:t xml:space="preserve">generally </w:t>
      </w:r>
      <w:r w:rsidR="00B03109" w:rsidRPr="0080548C">
        <w:rPr>
          <w:sz w:val="22"/>
          <w:szCs w:val="22"/>
        </w:rPr>
        <w:t>ensure</w:t>
      </w:r>
      <w:r w:rsidRPr="0080548C">
        <w:rPr>
          <w:sz w:val="22"/>
          <w:szCs w:val="22"/>
        </w:rPr>
        <w:t>s</w:t>
      </w:r>
      <w:r w:rsidR="00B03109" w:rsidRPr="0080548C">
        <w:rPr>
          <w:sz w:val="22"/>
          <w:szCs w:val="22"/>
        </w:rPr>
        <w:t xml:space="preserve"> the lowest number of </w:t>
      </w:r>
      <w:r w:rsidR="0080548C" w:rsidRPr="0080548C">
        <w:rPr>
          <w:sz w:val="22"/>
          <w:szCs w:val="22"/>
        </w:rPr>
        <w:t xml:space="preserve">collection points with the lowest possible ‘red tape’ impact. </w:t>
      </w:r>
      <w:r w:rsidR="00DA55C9">
        <w:rPr>
          <w:sz w:val="22"/>
          <w:szCs w:val="22"/>
        </w:rPr>
        <w:t xml:space="preserve">Collecting a levy at first disposal has </w:t>
      </w:r>
      <w:r w:rsidR="00882556">
        <w:rPr>
          <w:sz w:val="22"/>
          <w:szCs w:val="22"/>
        </w:rPr>
        <w:t xml:space="preserve">in the past </w:t>
      </w:r>
      <w:r w:rsidR="00DA55C9">
        <w:rPr>
          <w:sz w:val="22"/>
          <w:szCs w:val="22"/>
        </w:rPr>
        <w:t>not undermined, and would not be expected to undermine, t</w:t>
      </w:r>
      <w:r w:rsidR="00DA55C9" w:rsidRPr="00DA55C9">
        <w:rPr>
          <w:sz w:val="22"/>
          <w:szCs w:val="22"/>
        </w:rPr>
        <w:t>ransparency and accountability</w:t>
      </w:r>
      <w:r w:rsidR="00DA55C9">
        <w:rPr>
          <w:sz w:val="22"/>
          <w:szCs w:val="22"/>
        </w:rPr>
        <w:t xml:space="preserve"> requirements. </w:t>
      </w:r>
    </w:p>
    <w:p w14:paraId="13CC1F29" w14:textId="77777777" w:rsidR="00B03109" w:rsidRDefault="00B03109" w:rsidP="00B03109">
      <w:pPr>
        <w:keepNext/>
        <w:keepLines/>
        <w:pBdr>
          <w:bottom w:val="single" w:sz="4" w:space="1" w:color="auto"/>
        </w:pBdr>
        <w:rPr>
          <w:rFonts w:ascii="Times New Roman" w:hAnsi="Times New Roman"/>
        </w:rPr>
      </w:pPr>
    </w:p>
    <w:p w14:paraId="18D417DA" w14:textId="77777777" w:rsidR="00B03109" w:rsidRPr="00BC04C6" w:rsidRDefault="00B03109" w:rsidP="00B03109">
      <w:pPr>
        <w:keepNext/>
        <w:keepLines/>
        <w:jc w:val="center"/>
        <w:rPr>
          <w:rFonts w:ascii="Times New Roman" w:hAnsi="Times New Roman"/>
          <w:i/>
          <w:color w:val="2E74B5"/>
          <w:sz w:val="22"/>
        </w:rPr>
      </w:pPr>
      <w:r w:rsidRPr="00BC04C6">
        <w:rPr>
          <w:rFonts w:ascii="Times New Roman" w:hAnsi="Times New Roman"/>
          <w:i/>
          <w:color w:val="2E74B5"/>
          <w:sz w:val="22"/>
        </w:rPr>
        <w:t>There is significant leakage in this system, and it is weighted against people who have limited access to pasture or who are undertaking high workloads with their horses, and therefore are required to feed more.</w:t>
      </w:r>
    </w:p>
    <w:p w14:paraId="1BA3C344" w14:textId="77777777" w:rsidR="00B03109" w:rsidRDefault="00B03109" w:rsidP="00B03109">
      <w:pPr>
        <w:keepNext/>
        <w:keepLines/>
        <w:jc w:val="center"/>
        <w:rPr>
          <w:rFonts w:ascii="Times New Roman" w:hAnsi="Times New Roman"/>
          <w:color w:val="2E74B5"/>
          <w:sz w:val="22"/>
        </w:rPr>
      </w:pPr>
      <w:r w:rsidRPr="00BC04C6">
        <w:rPr>
          <w:rFonts w:ascii="Times New Roman" w:hAnsi="Times New Roman"/>
          <w:color w:val="2E74B5"/>
          <w:sz w:val="22"/>
        </w:rPr>
        <w:t>Written Submission</w:t>
      </w:r>
    </w:p>
    <w:p w14:paraId="7486BC9A" w14:textId="77777777" w:rsidR="00B03109" w:rsidRDefault="00B03109" w:rsidP="00B03109">
      <w:pPr>
        <w:keepNext/>
        <w:keepLines/>
        <w:pBdr>
          <w:bottom w:val="single" w:sz="4" w:space="1" w:color="auto"/>
        </w:pBdr>
        <w:rPr>
          <w:rFonts w:ascii="Times New Roman" w:hAnsi="Times New Roman"/>
        </w:rPr>
      </w:pPr>
    </w:p>
    <w:p w14:paraId="6FFE42EC" w14:textId="77777777" w:rsidR="00B03109" w:rsidRDefault="00B03109" w:rsidP="00B03109">
      <w:pPr>
        <w:pStyle w:val="Heading3"/>
      </w:pPr>
    </w:p>
    <w:p w14:paraId="085A55FE" w14:textId="77777777" w:rsidR="00B03109" w:rsidRDefault="00B03109" w:rsidP="00B03109">
      <w:pPr>
        <w:pStyle w:val="Heading3"/>
      </w:pPr>
      <w:bookmarkStart w:id="47" w:name="_Toc466462524"/>
      <w:r>
        <w:t>Appropriateness of c</w:t>
      </w:r>
      <w:r w:rsidRPr="007F27B6">
        <w:t>ollection points</w:t>
      </w:r>
      <w:bookmarkEnd w:id="47"/>
      <w:r w:rsidRPr="007F27B6">
        <w:t xml:space="preserve"> </w:t>
      </w:r>
    </w:p>
    <w:p w14:paraId="0CA1A74D" w14:textId="27A8990C" w:rsidR="00B03109" w:rsidRPr="00BC04C6" w:rsidRDefault="00B03109" w:rsidP="00B03109">
      <w:pPr>
        <w:rPr>
          <w:sz w:val="22"/>
        </w:rPr>
      </w:pPr>
      <w:r w:rsidRPr="00BC04C6">
        <w:rPr>
          <w:sz w:val="22"/>
        </w:rPr>
        <w:t>S</w:t>
      </w:r>
      <w:r>
        <w:rPr>
          <w:sz w:val="22"/>
        </w:rPr>
        <w:t>ome s</w:t>
      </w:r>
      <w:r w:rsidRPr="00BC04C6">
        <w:rPr>
          <w:sz w:val="22"/>
        </w:rPr>
        <w:t xml:space="preserve">takeholders that opposed the levy raised concerns about the current levy collection points and their appropriateness for the horse industry, the stock feed industry and animal health industry. These concerns </w:t>
      </w:r>
      <w:r>
        <w:rPr>
          <w:sz w:val="22"/>
        </w:rPr>
        <w:t xml:space="preserve">and explanations </w:t>
      </w:r>
      <w:r w:rsidRPr="00BC04C6">
        <w:rPr>
          <w:sz w:val="22"/>
        </w:rPr>
        <w:t>include</w:t>
      </w:r>
      <w:r w:rsidR="00AB4F66">
        <w:rPr>
          <w:sz w:val="22"/>
        </w:rPr>
        <w:t>d the following</w:t>
      </w:r>
      <w:r w:rsidRPr="00BC04C6">
        <w:rPr>
          <w:sz w:val="22"/>
        </w:rPr>
        <w:t>:</w:t>
      </w:r>
    </w:p>
    <w:p w14:paraId="309BE707" w14:textId="6673007A" w:rsidR="00B03109" w:rsidRPr="00BC04C6" w:rsidRDefault="00B03109" w:rsidP="00AB4F66">
      <w:pPr>
        <w:numPr>
          <w:ilvl w:val="0"/>
          <w:numId w:val="10"/>
        </w:numPr>
        <w:rPr>
          <w:sz w:val="22"/>
          <w:szCs w:val="22"/>
        </w:rPr>
      </w:pPr>
      <w:r w:rsidRPr="00BC04C6">
        <w:rPr>
          <w:sz w:val="22"/>
          <w:szCs w:val="22"/>
        </w:rPr>
        <w:t>There are negative impact</w:t>
      </w:r>
      <w:r>
        <w:rPr>
          <w:sz w:val="22"/>
          <w:szCs w:val="22"/>
        </w:rPr>
        <w:t>s</w:t>
      </w:r>
      <w:r w:rsidRPr="00BC04C6">
        <w:rPr>
          <w:sz w:val="22"/>
          <w:szCs w:val="22"/>
        </w:rPr>
        <w:t xml:space="preserve"> on manufacturers </w:t>
      </w:r>
      <w:r w:rsidR="001461B9">
        <w:rPr>
          <w:sz w:val="22"/>
          <w:szCs w:val="22"/>
        </w:rPr>
        <w:t>through lost sales and revenue.</w:t>
      </w:r>
    </w:p>
    <w:p w14:paraId="67FAB7E7" w14:textId="6DBDF7E5" w:rsidR="00B03109" w:rsidRPr="00BC04C6" w:rsidRDefault="00B03109" w:rsidP="00AB4F66">
      <w:pPr>
        <w:ind w:left="720"/>
        <w:rPr>
          <w:sz w:val="22"/>
          <w:szCs w:val="22"/>
        </w:rPr>
      </w:pPr>
      <w:r>
        <w:rPr>
          <w:sz w:val="22"/>
          <w:szCs w:val="22"/>
        </w:rPr>
        <w:t>T</w:t>
      </w:r>
      <w:r w:rsidRPr="00BC04C6">
        <w:rPr>
          <w:sz w:val="22"/>
          <w:szCs w:val="22"/>
        </w:rPr>
        <w:t>he imposition of collecting the levy could be detrimental to the viability of businesses</w:t>
      </w:r>
      <w:r>
        <w:rPr>
          <w:sz w:val="22"/>
          <w:szCs w:val="22"/>
        </w:rPr>
        <w:t xml:space="preserve"> collecting the levies</w:t>
      </w:r>
      <w:r w:rsidRPr="00BC04C6">
        <w:rPr>
          <w:sz w:val="22"/>
          <w:szCs w:val="22"/>
        </w:rPr>
        <w:t xml:space="preserve">. This is supported by the </w:t>
      </w:r>
      <w:r w:rsidR="00371AB5" w:rsidRPr="00BC04C6">
        <w:rPr>
          <w:sz w:val="22"/>
          <w:szCs w:val="22"/>
        </w:rPr>
        <w:t>2011</w:t>
      </w:r>
      <w:r w:rsidR="00371AB5">
        <w:rPr>
          <w:sz w:val="22"/>
          <w:szCs w:val="22"/>
        </w:rPr>
        <w:t xml:space="preserve"> </w:t>
      </w:r>
      <w:r w:rsidRPr="00BC04C6">
        <w:rPr>
          <w:sz w:val="22"/>
          <w:szCs w:val="22"/>
        </w:rPr>
        <w:t xml:space="preserve">Rural Industries Research and Development Corporation (RIRDC) report into options for the Horse Research, Development and Extension Levy, where it was stated that a levy applied to </w:t>
      </w:r>
      <w:r w:rsidR="008C531D">
        <w:rPr>
          <w:sz w:val="22"/>
          <w:szCs w:val="22"/>
        </w:rPr>
        <w:t xml:space="preserve">manufactured feed </w:t>
      </w:r>
      <w:r w:rsidRPr="00BC04C6">
        <w:rPr>
          <w:sz w:val="22"/>
          <w:szCs w:val="22"/>
        </w:rPr>
        <w:t xml:space="preserve">may reduce the sales and the returns for manufacturers. </w:t>
      </w:r>
    </w:p>
    <w:p w14:paraId="186E1A3F" w14:textId="4EC9FECA" w:rsidR="00B03109" w:rsidRPr="00BC04C6" w:rsidRDefault="00B03109" w:rsidP="00AB4F66">
      <w:pPr>
        <w:numPr>
          <w:ilvl w:val="0"/>
          <w:numId w:val="10"/>
        </w:numPr>
        <w:rPr>
          <w:sz w:val="22"/>
          <w:szCs w:val="22"/>
        </w:rPr>
      </w:pPr>
      <w:r w:rsidRPr="00BC04C6">
        <w:rPr>
          <w:sz w:val="22"/>
          <w:szCs w:val="22"/>
        </w:rPr>
        <w:t>Potential for significant horse health and welfare issues t</w:t>
      </w:r>
      <w:r w:rsidR="001461B9">
        <w:rPr>
          <w:sz w:val="22"/>
          <w:szCs w:val="22"/>
        </w:rPr>
        <w:t>o arise if the levy is applied.</w:t>
      </w:r>
    </w:p>
    <w:p w14:paraId="52F1A9FE" w14:textId="77777777" w:rsidR="00B03109" w:rsidRPr="00BC04C6" w:rsidRDefault="00B03109" w:rsidP="00AB4F66">
      <w:pPr>
        <w:ind w:left="720"/>
        <w:rPr>
          <w:sz w:val="22"/>
          <w:szCs w:val="22"/>
        </w:rPr>
      </w:pPr>
      <w:r w:rsidRPr="00BC04C6">
        <w:rPr>
          <w:sz w:val="22"/>
          <w:szCs w:val="22"/>
        </w:rPr>
        <w:t>There was concern that some horse owners may reduce their feeding rates or the frequency of worming as a result of the increased price of the products.</w:t>
      </w:r>
      <w:r>
        <w:rPr>
          <w:sz w:val="22"/>
          <w:szCs w:val="22"/>
        </w:rPr>
        <w:t xml:space="preserve"> This behaviour change may have detrimental impacts on horse health and welfare. </w:t>
      </w:r>
    </w:p>
    <w:p w14:paraId="2DF9A440" w14:textId="05C16613" w:rsidR="00B03109" w:rsidRPr="00BC04C6" w:rsidRDefault="00B03109" w:rsidP="00AB4F66">
      <w:pPr>
        <w:keepNext/>
        <w:keepLines/>
        <w:numPr>
          <w:ilvl w:val="0"/>
          <w:numId w:val="10"/>
        </w:numPr>
        <w:rPr>
          <w:sz w:val="22"/>
          <w:szCs w:val="22"/>
        </w:rPr>
      </w:pPr>
      <w:r w:rsidRPr="00BC04C6">
        <w:rPr>
          <w:sz w:val="22"/>
          <w:szCs w:val="22"/>
        </w:rPr>
        <w:lastRenderedPageBreak/>
        <w:t>Horse o</w:t>
      </w:r>
      <w:r w:rsidR="001461B9">
        <w:rPr>
          <w:sz w:val="22"/>
          <w:szCs w:val="22"/>
        </w:rPr>
        <w:t>wners can avoid paying the levy.</w:t>
      </w:r>
    </w:p>
    <w:p w14:paraId="5D1EE88A" w14:textId="677596DB" w:rsidR="00B03109" w:rsidRPr="00BC04C6" w:rsidRDefault="00B03109" w:rsidP="00AB4F66">
      <w:pPr>
        <w:keepNext/>
        <w:keepLines/>
        <w:ind w:left="720"/>
        <w:rPr>
          <w:sz w:val="22"/>
          <w:szCs w:val="22"/>
        </w:rPr>
      </w:pPr>
      <w:r>
        <w:rPr>
          <w:sz w:val="22"/>
          <w:szCs w:val="22"/>
        </w:rPr>
        <w:t>T</w:t>
      </w:r>
      <w:r w:rsidRPr="00BC04C6">
        <w:rPr>
          <w:sz w:val="22"/>
          <w:szCs w:val="22"/>
        </w:rPr>
        <w:t>he two levy collection points are vulnerable to levy leakage (activities or gaps in the levy collection that prevent high coverage of the levy for industry). For</w:t>
      </w:r>
      <w:r>
        <w:rPr>
          <w:sz w:val="22"/>
          <w:szCs w:val="22"/>
        </w:rPr>
        <w:t> </w:t>
      </w:r>
      <w:r w:rsidR="00AB4F66">
        <w:rPr>
          <w:sz w:val="22"/>
          <w:szCs w:val="22"/>
        </w:rPr>
        <w:t>example</w:t>
      </w:r>
      <w:r w:rsidR="001461B9">
        <w:rPr>
          <w:sz w:val="22"/>
          <w:szCs w:val="22"/>
        </w:rPr>
        <w:t>:</w:t>
      </w:r>
      <w:r w:rsidRPr="00BC04C6">
        <w:rPr>
          <w:sz w:val="22"/>
          <w:szCs w:val="22"/>
        </w:rPr>
        <w:t xml:space="preserve"> </w:t>
      </w:r>
    </w:p>
    <w:p w14:paraId="05CBE64E" w14:textId="0F8721BA" w:rsidR="00B03109" w:rsidRPr="00BC04C6" w:rsidRDefault="00AB4F66" w:rsidP="00B03109">
      <w:pPr>
        <w:numPr>
          <w:ilvl w:val="1"/>
          <w:numId w:val="10"/>
        </w:numPr>
        <w:rPr>
          <w:sz w:val="22"/>
          <w:szCs w:val="22"/>
        </w:rPr>
      </w:pPr>
      <w:r>
        <w:rPr>
          <w:sz w:val="22"/>
          <w:szCs w:val="22"/>
        </w:rPr>
        <w:t>h</w:t>
      </w:r>
      <w:r w:rsidR="00B03109" w:rsidRPr="00BC04C6">
        <w:rPr>
          <w:sz w:val="22"/>
          <w:szCs w:val="22"/>
        </w:rPr>
        <w:t xml:space="preserve">orse owners can purchase their own raw materials to make up a feed mix </w:t>
      </w:r>
      <w:r w:rsidR="00B03109">
        <w:rPr>
          <w:sz w:val="22"/>
          <w:szCs w:val="22"/>
        </w:rPr>
        <w:t xml:space="preserve">that does not meet the definition of manufactured feed </w:t>
      </w:r>
      <w:r>
        <w:rPr>
          <w:sz w:val="22"/>
          <w:szCs w:val="22"/>
        </w:rPr>
        <w:t>and avoid paying the levy</w:t>
      </w:r>
    </w:p>
    <w:p w14:paraId="7A4EEE96" w14:textId="638E8F21" w:rsidR="00B03109" w:rsidRPr="00BC04C6" w:rsidRDefault="00AB4F66" w:rsidP="00B03109">
      <w:pPr>
        <w:numPr>
          <w:ilvl w:val="1"/>
          <w:numId w:val="10"/>
        </w:numPr>
        <w:rPr>
          <w:sz w:val="22"/>
          <w:szCs w:val="22"/>
        </w:rPr>
      </w:pPr>
      <w:proofErr w:type="gramStart"/>
      <w:r>
        <w:rPr>
          <w:sz w:val="22"/>
          <w:szCs w:val="22"/>
        </w:rPr>
        <w:t>h</w:t>
      </w:r>
      <w:r w:rsidR="00B03109" w:rsidRPr="00BC04C6">
        <w:rPr>
          <w:sz w:val="22"/>
          <w:szCs w:val="22"/>
        </w:rPr>
        <w:t>orse</w:t>
      </w:r>
      <w:proofErr w:type="gramEnd"/>
      <w:r w:rsidR="00B03109" w:rsidRPr="00BC04C6">
        <w:rPr>
          <w:sz w:val="22"/>
          <w:szCs w:val="22"/>
        </w:rPr>
        <w:t xml:space="preserve"> owners can use wormers sold for other species (such as sheep and cattle</w:t>
      </w:r>
      <w:r w:rsidR="00B03109">
        <w:rPr>
          <w:sz w:val="22"/>
          <w:szCs w:val="22"/>
        </w:rPr>
        <w:t xml:space="preserve"> wormers with the appropriate actives</w:t>
      </w:r>
      <w:r w:rsidR="00B03109" w:rsidRPr="00BC04C6">
        <w:rPr>
          <w:sz w:val="22"/>
          <w:szCs w:val="22"/>
        </w:rPr>
        <w:t>) and avoid paying the levy</w:t>
      </w:r>
      <w:r w:rsidR="00B03109">
        <w:rPr>
          <w:sz w:val="22"/>
          <w:szCs w:val="22"/>
        </w:rPr>
        <w:t>.</w:t>
      </w:r>
    </w:p>
    <w:p w14:paraId="4123EFCC" w14:textId="77777777" w:rsidR="00B03109" w:rsidRDefault="00B03109" w:rsidP="00AB4F66">
      <w:pPr>
        <w:ind w:left="720"/>
        <w:rPr>
          <w:sz w:val="22"/>
          <w:szCs w:val="22"/>
        </w:rPr>
      </w:pPr>
      <w:r w:rsidRPr="00BC04C6">
        <w:rPr>
          <w:sz w:val="22"/>
          <w:szCs w:val="22"/>
        </w:rPr>
        <w:t xml:space="preserve">The consequence of levy leakage is that the disease response costs will not be repaid by industry in the required amount of time. </w:t>
      </w:r>
      <w:r>
        <w:rPr>
          <w:sz w:val="22"/>
          <w:szCs w:val="22"/>
        </w:rPr>
        <w:t>In addition, h</w:t>
      </w:r>
      <w:r w:rsidRPr="00BC04C6">
        <w:rPr>
          <w:sz w:val="22"/>
          <w:szCs w:val="22"/>
        </w:rPr>
        <w:t xml:space="preserve">igh levy leakage would leave those paying the levy to bear the majority of the costs. </w:t>
      </w:r>
    </w:p>
    <w:p w14:paraId="1AB32FF7" w14:textId="2E5D62C8" w:rsidR="00B03109" w:rsidRPr="00BC04C6" w:rsidRDefault="00B03109" w:rsidP="00B03109">
      <w:pPr>
        <w:rPr>
          <w:sz w:val="22"/>
          <w:szCs w:val="22"/>
        </w:rPr>
      </w:pPr>
      <w:r w:rsidRPr="00AB4F66">
        <w:rPr>
          <w:sz w:val="22"/>
          <w:szCs w:val="22"/>
        </w:rPr>
        <w:t>It is the department’s view</w:t>
      </w:r>
      <w:r w:rsidR="00AB4F66">
        <w:rPr>
          <w:sz w:val="22"/>
          <w:szCs w:val="22"/>
        </w:rPr>
        <w:t xml:space="preserve"> that </w:t>
      </w:r>
      <w:r w:rsidRPr="00AB4F66">
        <w:rPr>
          <w:sz w:val="22"/>
          <w:szCs w:val="22"/>
        </w:rPr>
        <w:t>the</w:t>
      </w:r>
      <w:r w:rsidR="00AB4F66">
        <w:rPr>
          <w:sz w:val="22"/>
          <w:szCs w:val="22"/>
        </w:rPr>
        <w:t xml:space="preserve"> </w:t>
      </w:r>
      <w:r w:rsidRPr="00AB4F66">
        <w:rPr>
          <w:sz w:val="22"/>
          <w:szCs w:val="22"/>
        </w:rPr>
        <w:t>issues</w:t>
      </w:r>
      <w:r w:rsidR="008927BD" w:rsidRPr="00AB4F66">
        <w:rPr>
          <w:sz w:val="22"/>
          <w:szCs w:val="22"/>
        </w:rPr>
        <w:t xml:space="preserve"> and concerns raised</w:t>
      </w:r>
      <w:r w:rsidR="008927BD" w:rsidRPr="00AB4F66">
        <w:rPr>
          <w:sz w:val="22"/>
        </w:rPr>
        <w:t xml:space="preserve"> about the current levy collection points </w:t>
      </w:r>
      <w:r w:rsidR="00AB4F66">
        <w:rPr>
          <w:sz w:val="22"/>
        </w:rPr>
        <w:t xml:space="preserve">are valid. </w:t>
      </w:r>
      <w:r w:rsidR="008927BD" w:rsidRPr="00AB4F66">
        <w:rPr>
          <w:sz w:val="22"/>
          <w:szCs w:val="22"/>
        </w:rPr>
        <w:t>However</w:t>
      </w:r>
      <w:r w:rsidR="00AB4F66">
        <w:rPr>
          <w:sz w:val="22"/>
          <w:szCs w:val="22"/>
        </w:rPr>
        <w:t>,</w:t>
      </w:r>
      <w:r w:rsidR="008927BD" w:rsidRPr="00AB4F66">
        <w:rPr>
          <w:sz w:val="22"/>
          <w:szCs w:val="22"/>
        </w:rPr>
        <w:t xml:space="preserve"> it is not possible to qua</w:t>
      </w:r>
      <w:r w:rsidR="00AB4F66">
        <w:rPr>
          <w:sz w:val="22"/>
          <w:szCs w:val="22"/>
        </w:rPr>
        <w:t xml:space="preserve">ntify </w:t>
      </w:r>
      <w:r w:rsidR="008927BD" w:rsidRPr="00AB4F66">
        <w:rPr>
          <w:sz w:val="22"/>
          <w:szCs w:val="22"/>
        </w:rPr>
        <w:t>these concerns</w:t>
      </w:r>
      <w:r w:rsidR="00AB4F66">
        <w:rPr>
          <w:sz w:val="22"/>
          <w:szCs w:val="22"/>
        </w:rPr>
        <w:t xml:space="preserve"> in comparison to other levy collection point options </w:t>
      </w:r>
      <w:r w:rsidR="008927BD" w:rsidRPr="00AB4F66">
        <w:rPr>
          <w:sz w:val="22"/>
          <w:szCs w:val="22"/>
        </w:rPr>
        <w:t xml:space="preserve">without further </w:t>
      </w:r>
      <w:r w:rsidR="00371AB5">
        <w:rPr>
          <w:sz w:val="22"/>
          <w:szCs w:val="22"/>
        </w:rPr>
        <w:t xml:space="preserve">data and </w:t>
      </w:r>
      <w:r w:rsidR="008927BD" w:rsidRPr="00AB4F66">
        <w:rPr>
          <w:sz w:val="22"/>
          <w:szCs w:val="22"/>
        </w:rPr>
        <w:t>analysis</w:t>
      </w:r>
      <w:r w:rsidR="00AB4F66">
        <w:rPr>
          <w:sz w:val="22"/>
          <w:szCs w:val="22"/>
        </w:rPr>
        <w:t>.</w:t>
      </w:r>
      <w:r w:rsidR="008927BD">
        <w:rPr>
          <w:sz w:val="22"/>
          <w:szCs w:val="22"/>
        </w:rPr>
        <w:t xml:space="preserve"> </w:t>
      </w:r>
    </w:p>
    <w:p w14:paraId="6743DBD0" w14:textId="77777777" w:rsidR="00B03109" w:rsidRPr="00436D96" w:rsidRDefault="00B03109" w:rsidP="00B03109">
      <w:pPr>
        <w:pStyle w:val="Heading3"/>
      </w:pPr>
      <w:bookmarkStart w:id="48" w:name="_Toc466462525"/>
      <w:r w:rsidRPr="007F27B6">
        <w:t>Legislati</w:t>
      </w:r>
      <w:r>
        <w:t>ve</w:t>
      </w:r>
      <w:r w:rsidRPr="007F27B6">
        <w:t xml:space="preserve"> appropriate</w:t>
      </w:r>
      <w:r w:rsidRPr="00436D96">
        <w:t>ness</w:t>
      </w:r>
      <w:bookmarkEnd w:id="48"/>
    </w:p>
    <w:p w14:paraId="3154A689" w14:textId="77777777" w:rsidR="00B03109" w:rsidRPr="00BC04C6" w:rsidRDefault="00B03109" w:rsidP="00B03109">
      <w:pPr>
        <w:pStyle w:val="ListParagraph"/>
        <w:spacing w:before="120" w:after="0"/>
        <w:ind w:left="0"/>
        <w:rPr>
          <w:sz w:val="22"/>
        </w:rPr>
      </w:pPr>
      <w:r w:rsidRPr="00BC04C6">
        <w:rPr>
          <w:sz w:val="22"/>
        </w:rPr>
        <w:t>A small number of stakeholders that opposed the</w:t>
      </w:r>
      <w:r>
        <w:rPr>
          <w:sz w:val="22"/>
        </w:rPr>
        <w:t xml:space="preserve"> current</w:t>
      </w:r>
      <w:r w:rsidRPr="00BC04C6">
        <w:rPr>
          <w:sz w:val="22"/>
        </w:rPr>
        <w:t xml:space="preserve"> levy collection points questioned the wording of the </w:t>
      </w:r>
      <w:r w:rsidRPr="00BC04C6">
        <w:rPr>
          <w:i/>
          <w:sz w:val="22"/>
        </w:rPr>
        <w:t>Horse Disease Response Levy Act 2011</w:t>
      </w:r>
      <w:r w:rsidRPr="00BC04C6">
        <w:rPr>
          <w:sz w:val="22"/>
        </w:rPr>
        <w:t xml:space="preserve"> (Commonwealth) and the </w:t>
      </w:r>
      <w:r w:rsidRPr="00BC04C6">
        <w:rPr>
          <w:i/>
          <w:sz w:val="22"/>
        </w:rPr>
        <w:t xml:space="preserve">Horse Disease Response Levy Collection Act 2011 </w:t>
      </w:r>
      <w:r w:rsidRPr="00BC04C6">
        <w:rPr>
          <w:sz w:val="22"/>
        </w:rPr>
        <w:t xml:space="preserve">(Commonwealth). </w:t>
      </w:r>
    </w:p>
    <w:p w14:paraId="1785A5CC" w14:textId="77777777" w:rsidR="00B03109" w:rsidRDefault="00B03109" w:rsidP="00B03109">
      <w:pPr>
        <w:pBdr>
          <w:bottom w:val="single" w:sz="4" w:space="1" w:color="auto"/>
        </w:pBdr>
        <w:rPr>
          <w:sz w:val="22"/>
        </w:rPr>
      </w:pPr>
      <w:r w:rsidRPr="00BC04C6">
        <w:rPr>
          <w:sz w:val="22"/>
        </w:rPr>
        <w:t xml:space="preserve">Currently, section 6 ‘Who is liable to pay levy’ in the </w:t>
      </w:r>
      <w:r w:rsidRPr="00BC04C6">
        <w:rPr>
          <w:i/>
          <w:sz w:val="22"/>
        </w:rPr>
        <w:t xml:space="preserve">Horse Disease Response Levy Act 2011 </w:t>
      </w:r>
      <w:r w:rsidRPr="00B930EE">
        <w:rPr>
          <w:sz w:val="22"/>
        </w:rPr>
        <w:t>(Commonwealth)</w:t>
      </w:r>
      <w:r w:rsidRPr="00BC04C6">
        <w:rPr>
          <w:sz w:val="22"/>
        </w:rPr>
        <w:t xml:space="preserve"> states that ‘The disposer is liable to pay the levy’. </w:t>
      </w:r>
      <w:r>
        <w:rPr>
          <w:sz w:val="22"/>
        </w:rPr>
        <w:t>T</w:t>
      </w:r>
      <w:r w:rsidRPr="00BC04C6">
        <w:rPr>
          <w:sz w:val="22"/>
        </w:rPr>
        <w:t>his wording require</w:t>
      </w:r>
      <w:r>
        <w:rPr>
          <w:sz w:val="22"/>
        </w:rPr>
        <w:t>s</w:t>
      </w:r>
      <w:r w:rsidRPr="00BC04C6">
        <w:rPr>
          <w:sz w:val="22"/>
        </w:rPr>
        <w:t xml:space="preserve"> the levy to be paid multiple steps ahead of the final point of sale </w:t>
      </w:r>
      <w:r>
        <w:rPr>
          <w:sz w:val="22"/>
        </w:rPr>
        <w:t xml:space="preserve">with </w:t>
      </w:r>
      <w:r w:rsidRPr="00BC04C6">
        <w:rPr>
          <w:sz w:val="22"/>
        </w:rPr>
        <w:t xml:space="preserve">the horse owner. </w:t>
      </w:r>
      <w:r>
        <w:rPr>
          <w:sz w:val="22"/>
        </w:rPr>
        <w:t>Some s</w:t>
      </w:r>
      <w:r w:rsidRPr="00BC04C6">
        <w:rPr>
          <w:sz w:val="22"/>
        </w:rPr>
        <w:t xml:space="preserve">takeholders have asked for the Act wording to be changed to ‘The end user is liable to pay the levy’. This would result in greater allowance for the levy collection agencies to uniformly pass on the levy cost through to the final invoice to the horse owner. </w:t>
      </w:r>
    </w:p>
    <w:p w14:paraId="7FF5C385" w14:textId="091119BB" w:rsidR="001A14CF" w:rsidRPr="001A14CF" w:rsidRDefault="001A14CF" w:rsidP="00B03109">
      <w:pPr>
        <w:pBdr>
          <w:bottom w:val="single" w:sz="4" w:space="1" w:color="auto"/>
        </w:pBdr>
        <w:rPr>
          <w:sz w:val="22"/>
        </w:rPr>
      </w:pPr>
      <w:r>
        <w:rPr>
          <w:sz w:val="22"/>
        </w:rPr>
        <w:t xml:space="preserve">It is the department’s view that the wording in the </w:t>
      </w:r>
      <w:r w:rsidRPr="00BC04C6">
        <w:rPr>
          <w:i/>
          <w:sz w:val="22"/>
        </w:rPr>
        <w:t>Horse Disease Response Levy Act 2011</w:t>
      </w:r>
      <w:r>
        <w:rPr>
          <w:i/>
          <w:sz w:val="22"/>
        </w:rPr>
        <w:t xml:space="preserve"> </w:t>
      </w:r>
      <w:r>
        <w:rPr>
          <w:sz w:val="22"/>
        </w:rPr>
        <w:t xml:space="preserve">is inconsistent with other primary industries legislation requiring a levy to be collected by an indirect beneficiary. Whether this wording would prevent the </w:t>
      </w:r>
      <w:r w:rsidRPr="001A14CF">
        <w:rPr>
          <w:sz w:val="22"/>
        </w:rPr>
        <w:t xml:space="preserve">manufactured feed and animal health industries </w:t>
      </w:r>
      <w:r>
        <w:rPr>
          <w:sz w:val="22"/>
        </w:rPr>
        <w:t>passing on the levy cost to horse owners requires further investigation.</w:t>
      </w:r>
    </w:p>
    <w:p w14:paraId="7D363648" w14:textId="77777777" w:rsidR="00B03109" w:rsidRPr="00BC04C6" w:rsidRDefault="00B03109" w:rsidP="00B03109">
      <w:pPr>
        <w:keepNext/>
        <w:keepLines/>
        <w:pBdr>
          <w:bottom w:val="single" w:sz="4" w:space="1" w:color="auto"/>
        </w:pBdr>
        <w:rPr>
          <w:sz w:val="22"/>
        </w:rPr>
      </w:pPr>
    </w:p>
    <w:p w14:paraId="23CD6AAF" w14:textId="77777777" w:rsidR="00B03109" w:rsidRPr="00BC04C6" w:rsidRDefault="00B03109" w:rsidP="00B03109">
      <w:pPr>
        <w:keepNext/>
        <w:keepLines/>
        <w:jc w:val="center"/>
        <w:rPr>
          <w:rFonts w:ascii="Times New Roman" w:hAnsi="Times New Roman"/>
          <w:i/>
          <w:color w:val="2E74B5"/>
          <w:sz w:val="22"/>
        </w:rPr>
      </w:pPr>
      <w:r w:rsidRPr="00BC04C6">
        <w:rPr>
          <w:rFonts w:ascii="Times New Roman" w:hAnsi="Times New Roman"/>
          <w:i/>
          <w:color w:val="2E74B5"/>
          <w:sz w:val="22"/>
        </w:rPr>
        <w:t>Under the current legislation, the manufacturers of horse worming products and stock feed are</w:t>
      </w:r>
      <w:r w:rsidRPr="004E6DB8">
        <w:rPr>
          <w:rFonts w:ascii="Times New Roman" w:hAnsi="Times New Roman"/>
          <w:color w:val="2E74B5"/>
          <w:sz w:val="22"/>
        </w:rPr>
        <w:t xml:space="preserve"> </w:t>
      </w:r>
      <w:r w:rsidRPr="004E6DB8">
        <w:rPr>
          <w:rFonts w:ascii="Times New Roman" w:hAnsi="Times New Roman"/>
          <w:i/>
          <w:color w:val="2E74B5"/>
          <w:sz w:val="22"/>
        </w:rPr>
        <w:t>fully</w:t>
      </w:r>
      <w:r w:rsidRPr="00BC04C6">
        <w:rPr>
          <w:rFonts w:ascii="Times New Roman" w:hAnsi="Times New Roman"/>
          <w:b/>
          <w:i/>
          <w:color w:val="2E74B5"/>
          <w:sz w:val="22"/>
        </w:rPr>
        <w:t xml:space="preserve"> </w:t>
      </w:r>
      <w:r w:rsidRPr="004E6DB8">
        <w:rPr>
          <w:rFonts w:ascii="Times New Roman" w:hAnsi="Times New Roman"/>
          <w:i/>
          <w:color w:val="2E74B5"/>
          <w:sz w:val="22"/>
        </w:rPr>
        <w:t>liable to pay the levy</w:t>
      </w:r>
      <w:r w:rsidRPr="00BC04C6">
        <w:rPr>
          <w:rFonts w:ascii="Times New Roman" w:hAnsi="Times New Roman"/>
          <w:i/>
          <w:color w:val="2E74B5"/>
          <w:sz w:val="22"/>
        </w:rPr>
        <w:t xml:space="preserve"> as ‘the disposer’ of the product. If nothing else, the wording of the legislation must be amended to ensure the disposer can directly pass on the levy to the horse owner and the </w:t>
      </w:r>
      <w:r w:rsidRPr="004E6DB8">
        <w:rPr>
          <w:rFonts w:ascii="Times New Roman" w:hAnsi="Times New Roman"/>
          <w:i/>
          <w:color w:val="2E74B5"/>
          <w:sz w:val="22"/>
        </w:rPr>
        <w:t>true</w:t>
      </w:r>
      <w:r w:rsidRPr="00BC04C6">
        <w:rPr>
          <w:rFonts w:ascii="Times New Roman" w:hAnsi="Times New Roman"/>
          <w:b/>
          <w:i/>
          <w:color w:val="2E74B5"/>
          <w:sz w:val="22"/>
        </w:rPr>
        <w:t xml:space="preserve"> </w:t>
      </w:r>
      <w:r w:rsidRPr="004E6DB8">
        <w:rPr>
          <w:rFonts w:ascii="Times New Roman" w:hAnsi="Times New Roman"/>
          <w:i/>
          <w:color w:val="2E74B5"/>
          <w:sz w:val="22"/>
        </w:rPr>
        <w:t>beneficiary</w:t>
      </w:r>
      <w:r w:rsidRPr="00BC04C6">
        <w:rPr>
          <w:rFonts w:ascii="Times New Roman" w:hAnsi="Times New Roman"/>
          <w:i/>
          <w:color w:val="2E74B5"/>
          <w:sz w:val="22"/>
        </w:rPr>
        <w:t xml:space="preserve"> of exotics disease response funding.</w:t>
      </w:r>
    </w:p>
    <w:p w14:paraId="1A827F3D" w14:textId="77777777" w:rsidR="00B03109" w:rsidRPr="00BC04C6" w:rsidRDefault="00B03109" w:rsidP="00B03109">
      <w:pPr>
        <w:keepNext/>
        <w:keepLines/>
        <w:jc w:val="center"/>
        <w:rPr>
          <w:rFonts w:ascii="Times New Roman" w:hAnsi="Times New Roman"/>
          <w:color w:val="2E74B5"/>
          <w:sz w:val="22"/>
        </w:rPr>
      </w:pPr>
      <w:r w:rsidRPr="00BC04C6">
        <w:rPr>
          <w:rFonts w:ascii="Times New Roman" w:hAnsi="Times New Roman"/>
          <w:color w:val="2E74B5"/>
          <w:sz w:val="22"/>
        </w:rPr>
        <w:t>Written Submission</w:t>
      </w:r>
    </w:p>
    <w:p w14:paraId="1B57FB76" w14:textId="77777777" w:rsidR="00B03109" w:rsidRPr="00392A08" w:rsidRDefault="00B03109" w:rsidP="00B03109">
      <w:pPr>
        <w:keepNext/>
        <w:keepLines/>
        <w:pBdr>
          <w:top w:val="single" w:sz="4" w:space="1" w:color="auto"/>
        </w:pBdr>
        <w:rPr>
          <w:rFonts w:ascii="Times New Roman" w:hAnsi="Times New Roman"/>
          <w:i/>
          <w:color w:val="2E74B5"/>
        </w:rPr>
      </w:pPr>
    </w:p>
    <w:p w14:paraId="1956AF77" w14:textId="77777777" w:rsidR="00B03109" w:rsidRPr="00404B6B" w:rsidRDefault="00B03109" w:rsidP="00B03109">
      <w:pPr>
        <w:pStyle w:val="Heading2"/>
      </w:pPr>
      <w:bookmarkStart w:id="49" w:name="_Toc466462526"/>
      <w:r>
        <w:t>Alternative levy collection points</w:t>
      </w:r>
      <w:bookmarkEnd w:id="49"/>
    </w:p>
    <w:p w14:paraId="2D963AA7" w14:textId="6877BCC6" w:rsidR="00B03109" w:rsidRPr="00BC04C6" w:rsidRDefault="00B03109" w:rsidP="00B03109">
      <w:pPr>
        <w:rPr>
          <w:sz w:val="22"/>
        </w:rPr>
      </w:pPr>
      <w:r w:rsidRPr="00BC04C6">
        <w:rPr>
          <w:sz w:val="22"/>
        </w:rPr>
        <w:t xml:space="preserve">Overwhelmingly, stakeholders that participated in the review supported the horse industry being signatories to the EADRA and a nil-rated response levy. </w:t>
      </w:r>
      <w:r>
        <w:rPr>
          <w:sz w:val="22"/>
        </w:rPr>
        <w:t>S</w:t>
      </w:r>
      <w:r w:rsidRPr="00BC04C6">
        <w:rPr>
          <w:sz w:val="22"/>
        </w:rPr>
        <w:t>takeholders opposed to the levy</w:t>
      </w:r>
      <w:r>
        <w:rPr>
          <w:sz w:val="22"/>
        </w:rPr>
        <w:t xml:space="preserve"> </w:t>
      </w:r>
      <w:r>
        <w:rPr>
          <w:sz w:val="22"/>
        </w:rPr>
        <w:lastRenderedPageBreak/>
        <w:t>collection points</w:t>
      </w:r>
      <w:r w:rsidRPr="00BC04C6">
        <w:rPr>
          <w:sz w:val="22"/>
        </w:rPr>
        <w:t xml:space="preserve"> were asked to propose alternative</w:t>
      </w:r>
      <w:r w:rsidR="008C531D">
        <w:rPr>
          <w:sz w:val="22"/>
        </w:rPr>
        <w:t>s</w:t>
      </w:r>
      <w:r w:rsidRPr="00BC04C6">
        <w:rPr>
          <w:sz w:val="22"/>
        </w:rPr>
        <w:t>.</w:t>
      </w:r>
      <w:r>
        <w:rPr>
          <w:sz w:val="22"/>
        </w:rPr>
        <w:t xml:space="preserve"> </w:t>
      </w:r>
      <w:r w:rsidRPr="00BC04C6">
        <w:rPr>
          <w:sz w:val="22"/>
        </w:rPr>
        <w:t>Suggestions included a</w:t>
      </w:r>
      <w:r w:rsidR="008C531D">
        <w:rPr>
          <w:sz w:val="22"/>
        </w:rPr>
        <w:t>t the point of registration i</w:t>
      </w:r>
      <w:r>
        <w:rPr>
          <w:sz w:val="22"/>
        </w:rPr>
        <w:t>n a</w:t>
      </w:r>
      <w:r w:rsidRPr="00BC04C6">
        <w:rPr>
          <w:sz w:val="22"/>
        </w:rPr>
        <w:t xml:space="preserve"> national scheme, local council registration</w:t>
      </w:r>
      <w:r>
        <w:rPr>
          <w:sz w:val="22"/>
        </w:rPr>
        <w:t xml:space="preserve"> of horses</w:t>
      </w:r>
      <w:r w:rsidRPr="00BC04C6">
        <w:rPr>
          <w:sz w:val="22"/>
        </w:rPr>
        <w:t>, electronic identification</w:t>
      </w:r>
      <w:r>
        <w:rPr>
          <w:sz w:val="22"/>
        </w:rPr>
        <w:t xml:space="preserve"> of horses</w:t>
      </w:r>
      <w:r w:rsidRPr="00BC04C6">
        <w:rPr>
          <w:sz w:val="22"/>
        </w:rPr>
        <w:t xml:space="preserve">, </w:t>
      </w:r>
      <w:r>
        <w:rPr>
          <w:sz w:val="22"/>
        </w:rPr>
        <w:t xml:space="preserve">individual horses on </w:t>
      </w:r>
      <w:r w:rsidRPr="00BC04C6">
        <w:rPr>
          <w:sz w:val="22"/>
        </w:rPr>
        <w:t>property identification codes, event registration and horse breeding registration.</w:t>
      </w:r>
      <w:r w:rsidR="008C531D">
        <w:rPr>
          <w:sz w:val="22"/>
        </w:rPr>
        <w:t xml:space="preserve"> </w:t>
      </w:r>
    </w:p>
    <w:p w14:paraId="0FC8C3D6" w14:textId="77777777" w:rsidR="00B03109" w:rsidRPr="00BC04C6" w:rsidRDefault="00B03109" w:rsidP="00B03109">
      <w:pPr>
        <w:rPr>
          <w:sz w:val="22"/>
        </w:rPr>
      </w:pPr>
      <w:r w:rsidRPr="00BC04C6">
        <w:rPr>
          <w:sz w:val="22"/>
        </w:rPr>
        <w:t xml:space="preserve">The levy options previously considered and assessed against the Australian Government’s </w:t>
      </w:r>
      <w:r>
        <w:rPr>
          <w:i/>
          <w:sz w:val="22"/>
        </w:rPr>
        <w:t>Levy </w:t>
      </w:r>
      <w:r w:rsidRPr="008F3E37">
        <w:rPr>
          <w:i/>
          <w:sz w:val="22"/>
        </w:rPr>
        <w:t>Principles and Guidelines</w:t>
      </w:r>
      <w:r w:rsidRPr="00BC04C6">
        <w:rPr>
          <w:sz w:val="22"/>
        </w:rPr>
        <w:t xml:space="preserve"> include:</w:t>
      </w:r>
    </w:p>
    <w:p w14:paraId="240D9208" w14:textId="77777777" w:rsidR="00B03109" w:rsidRPr="00BC04C6" w:rsidRDefault="00B03109" w:rsidP="00B03109">
      <w:pPr>
        <w:pStyle w:val="ListParagraph"/>
        <w:numPr>
          <w:ilvl w:val="0"/>
          <w:numId w:val="25"/>
        </w:numPr>
        <w:spacing w:before="120" w:after="0"/>
        <w:rPr>
          <w:sz w:val="22"/>
        </w:rPr>
      </w:pPr>
      <w:r>
        <w:rPr>
          <w:sz w:val="22"/>
        </w:rPr>
        <w:t>m</w:t>
      </w:r>
      <w:r w:rsidRPr="00BC04C6">
        <w:rPr>
          <w:sz w:val="22"/>
        </w:rPr>
        <w:t>anufactured feed (current levy collection point)</w:t>
      </w:r>
    </w:p>
    <w:p w14:paraId="37A7F39B" w14:textId="77777777" w:rsidR="00B03109" w:rsidRPr="00BC04C6" w:rsidRDefault="00B03109" w:rsidP="00B03109">
      <w:pPr>
        <w:pStyle w:val="ListParagraph"/>
        <w:numPr>
          <w:ilvl w:val="0"/>
          <w:numId w:val="25"/>
        </w:numPr>
        <w:spacing w:before="120" w:after="0"/>
        <w:rPr>
          <w:sz w:val="22"/>
        </w:rPr>
      </w:pPr>
      <w:r>
        <w:rPr>
          <w:sz w:val="22"/>
        </w:rPr>
        <w:t>t</w:t>
      </w:r>
      <w:r w:rsidRPr="00BC04C6">
        <w:rPr>
          <w:sz w:val="22"/>
        </w:rPr>
        <w:t>reatments against worms (current levy collection point)</w:t>
      </w:r>
    </w:p>
    <w:p w14:paraId="41394BB6" w14:textId="77777777" w:rsidR="00B03109" w:rsidRPr="00BC04C6" w:rsidRDefault="00B03109" w:rsidP="00B03109">
      <w:pPr>
        <w:pStyle w:val="ListParagraph"/>
        <w:numPr>
          <w:ilvl w:val="0"/>
          <w:numId w:val="25"/>
        </w:numPr>
        <w:spacing w:before="120" w:after="0"/>
        <w:rPr>
          <w:sz w:val="22"/>
        </w:rPr>
      </w:pPr>
      <w:r>
        <w:rPr>
          <w:sz w:val="22"/>
        </w:rPr>
        <w:t>r</w:t>
      </w:r>
      <w:r w:rsidRPr="00BC04C6">
        <w:rPr>
          <w:sz w:val="22"/>
        </w:rPr>
        <w:t>egistrations of horses or owners</w:t>
      </w:r>
    </w:p>
    <w:p w14:paraId="4E1A6D1E" w14:textId="77777777" w:rsidR="00B03109" w:rsidRPr="00BC04C6" w:rsidRDefault="00B03109" w:rsidP="00B03109">
      <w:pPr>
        <w:pStyle w:val="ListParagraph"/>
        <w:numPr>
          <w:ilvl w:val="0"/>
          <w:numId w:val="25"/>
        </w:numPr>
        <w:spacing w:before="120" w:after="0"/>
        <w:rPr>
          <w:sz w:val="22"/>
        </w:rPr>
      </w:pPr>
      <w:r>
        <w:rPr>
          <w:sz w:val="22"/>
        </w:rPr>
        <w:t>v</w:t>
      </w:r>
      <w:r w:rsidRPr="00BC04C6">
        <w:rPr>
          <w:sz w:val="22"/>
        </w:rPr>
        <w:t>accines</w:t>
      </w:r>
    </w:p>
    <w:p w14:paraId="66D8F63B" w14:textId="77777777" w:rsidR="00B03109" w:rsidRPr="00BC04C6" w:rsidRDefault="00B03109" w:rsidP="00B03109">
      <w:pPr>
        <w:pStyle w:val="ListParagraph"/>
        <w:numPr>
          <w:ilvl w:val="0"/>
          <w:numId w:val="25"/>
        </w:numPr>
        <w:spacing w:before="120" w:after="0"/>
        <w:rPr>
          <w:sz w:val="22"/>
        </w:rPr>
      </w:pPr>
      <w:r>
        <w:rPr>
          <w:sz w:val="22"/>
        </w:rPr>
        <w:t>h</w:t>
      </w:r>
      <w:r w:rsidRPr="00BC04C6">
        <w:rPr>
          <w:sz w:val="22"/>
        </w:rPr>
        <w:t>orseshoes</w:t>
      </w:r>
    </w:p>
    <w:p w14:paraId="2C6B2993" w14:textId="77777777" w:rsidR="00B03109" w:rsidRPr="00BC04C6" w:rsidRDefault="00B03109" w:rsidP="00B03109">
      <w:pPr>
        <w:pStyle w:val="ListParagraph"/>
        <w:numPr>
          <w:ilvl w:val="0"/>
          <w:numId w:val="25"/>
        </w:numPr>
        <w:spacing w:before="120" w:after="0"/>
        <w:rPr>
          <w:sz w:val="22"/>
        </w:rPr>
      </w:pPr>
      <w:r w:rsidRPr="00BC04C6">
        <w:rPr>
          <w:sz w:val="22"/>
        </w:rPr>
        <w:t>event fees</w:t>
      </w:r>
    </w:p>
    <w:p w14:paraId="2626B4B6" w14:textId="77777777" w:rsidR="00B03109" w:rsidRPr="00BC04C6" w:rsidRDefault="00B03109" w:rsidP="00B03109">
      <w:pPr>
        <w:pStyle w:val="ListParagraph"/>
        <w:numPr>
          <w:ilvl w:val="0"/>
          <w:numId w:val="25"/>
        </w:numPr>
        <w:spacing w:before="120" w:after="0"/>
        <w:rPr>
          <w:sz w:val="22"/>
        </w:rPr>
      </w:pPr>
      <w:r>
        <w:rPr>
          <w:sz w:val="22"/>
        </w:rPr>
        <w:t>t</w:t>
      </w:r>
      <w:r w:rsidRPr="00BC04C6">
        <w:rPr>
          <w:sz w:val="22"/>
        </w:rPr>
        <w:t>ransit import levy (applied to all imported horses)</w:t>
      </w:r>
    </w:p>
    <w:p w14:paraId="35EF6875" w14:textId="77777777" w:rsidR="00B03109" w:rsidRPr="00BC04C6" w:rsidRDefault="00B03109" w:rsidP="00B03109">
      <w:pPr>
        <w:pStyle w:val="ListParagraph"/>
        <w:numPr>
          <w:ilvl w:val="0"/>
          <w:numId w:val="25"/>
        </w:numPr>
        <w:spacing w:before="120" w:after="0"/>
        <w:rPr>
          <w:sz w:val="22"/>
        </w:rPr>
      </w:pPr>
      <w:r>
        <w:rPr>
          <w:sz w:val="22"/>
        </w:rPr>
        <w:t>f</w:t>
      </w:r>
      <w:r w:rsidRPr="00BC04C6">
        <w:rPr>
          <w:sz w:val="22"/>
        </w:rPr>
        <w:t>oal registration</w:t>
      </w:r>
    </w:p>
    <w:p w14:paraId="3C872F24" w14:textId="77777777" w:rsidR="00B03109" w:rsidRPr="00BC04C6" w:rsidRDefault="00B03109" w:rsidP="00B03109">
      <w:pPr>
        <w:pStyle w:val="ListParagraph"/>
        <w:numPr>
          <w:ilvl w:val="0"/>
          <w:numId w:val="25"/>
        </w:numPr>
        <w:spacing w:before="120" w:after="0"/>
        <w:rPr>
          <w:sz w:val="22"/>
        </w:rPr>
      </w:pPr>
      <w:r>
        <w:rPr>
          <w:sz w:val="22"/>
        </w:rPr>
        <w:t>s</w:t>
      </w:r>
      <w:r w:rsidRPr="00BC04C6">
        <w:rPr>
          <w:sz w:val="22"/>
        </w:rPr>
        <w:t>laughter levy (horses consigned for human consumption to domestic or export markets)</w:t>
      </w:r>
    </w:p>
    <w:p w14:paraId="29283B5E" w14:textId="77777777" w:rsidR="00B03109" w:rsidRPr="00BC04C6" w:rsidRDefault="00B03109" w:rsidP="00B03109">
      <w:pPr>
        <w:pStyle w:val="ListParagraph"/>
        <w:numPr>
          <w:ilvl w:val="0"/>
          <w:numId w:val="25"/>
        </w:numPr>
        <w:spacing w:before="120" w:after="0"/>
        <w:rPr>
          <w:sz w:val="22"/>
        </w:rPr>
      </w:pPr>
      <w:proofErr w:type="gramStart"/>
      <w:r w:rsidRPr="00BC04C6">
        <w:rPr>
          <w:sz w:val="22"/>
        </w:rPr>
        <w:t>purchase</w:t>
      </w:r>
      <w:proofErr w:type="gramEnd"/>
      <w:r w:rsidRPr="00BC04C6">
        <w:rPr>
          <w:sz w:val="22"/>
        </w:rPr>
        <w:t xml:space="preserve"> of equipment (saddles. harness, floats, etc.)</w:t>
      </w:r>
    </w:p>
    <w:p w14:paraId="077A3CF9" w14:textId="77777777" w:rsidR="00B03109" w:rsidRPr="00BC04C6" w:rsidRDefault="00B03109" w:rsidP="00B03109">
      <w:pPr>
        <w:pStyle w:val="ListParagraph"/>
        <w:numPr>
          <w:ilvl w:val="0"/>
          <w:numId w:val="25"/>
        </w:numPr>
        <w:spacing w:before="120" w:after="0"/>
        <w:rPr>
          <w:sz w:val="22"/>
        </w:rPr>
      </w:pPr>
      <w:r>
        <w:rPr>
          <w:sz w:val="22"/>
        </w:rPr>
        <w:t>m</w:t>
      </w:r>
      <w:r w:rsidRPr="00BC04C6">
        <w:rPr>
          <w:sz w:val="22"/>
        </w:rPr>
        <w:t>icrochips (electronic devices implanted subcutaneously), and</w:t>
      </w:r>
    </w:p>
    <w:p w14:paraId="7781DC4B" w14:textId="77777777" w:rsidR="00B03109" w:rsidRPr="00BC04C6" w:rsidRDefault="00B03109" w:rsidP="00B03109">
      <w:pPr>
        <w:pStyle w:val="ListParagraph"/>
        <w:numPr>
          <w:ilvl w:val="0"/>
          <w:numId w:val="25"/>
        </w:numPr>
        <w:spacing w:before="120" w:after="0"/>
        <w:rPr>
          <w:sz w:val="22"/>
        </w:rPr>
      </w:pPr>
      <w:proofErr w:type="gramStart"/>
      <w:r>
        <w:rPr>
          <w:sz w:val="22"/>
        </w:rPr>
        <w:t>w</w:t>
      </w:r>
      <w:r w:rsidRPr="00BC04C6">
        <w:rPr>
          <w:sz w:val="22"/>
        </w:rPr>
        <w:t>agering</w:t>
      </w:r>
      <w:proofErr w:type="gramEnd"/>
      <w:r w:rsidRPr="00BC04C6">
        <w:rPr>
          <w:sz w:val="22"/>
        </w:rPr>
        <w:t xml:space="preserve"> revenue.</w:t>
      </w:r>
    </w:p>
    <w:p w14:paraId="62F7828F" w14:textId="67512D33" w:rsidR="00B03109" w:rsidRPr="003174EF" w:rsidRDefault="00B03109" w:rsidP="003369F9">
      <w:pPr>
        <w:pStyle w:val="NoSpacing"/>
        <w:contextualSpacing/>
        <w:rPr>
          <w:b/>
          <w:bCs/>
        </w:rPr>
      </w:pPr>
      <w:bookmarkStart w:id="50" w:name="_Toc464482921"/>
      <w:bookmarkStart w:id="51" w:name="_Toc465075708"/>
      <w:bookmarkStart w:id="52" w:name="_Toc465086463"/>
      <w:bookmarkStart w:id="53" w:name="_Toc465160156"/>
      <w:bookmarkStart w:id="54" w:name="_Toc466462527"/>
      <w:r w:rsidRPr="003174EF">
        <w:t>A number of these alternatives were proposed in the 2016 Horse Levy Review by stakeholders opposed to the current levy collection points.</w:t>
      </w:r>
      <w:bookmarkEnd w:id="50"/>
      <w:bookmarkEnd w:id="51"/>
      <w:bookmarkEnd w:id="52"/>
      <w:bookmarkEnd w:id="53"/>
      <w:bookmarkEnd w:id="54"/>
    </w:p>
    <w:p w14:paraId="4C589498" w14:textId="77777777" w:rsidR="00B03109" w:rsidRPr="00392A08" w:rsidRDefault="00B03109" w:rsidP="003369F9">
      <w:pPr>
        <w:keepNext/>
        <w:keepLines/>
        <w:pBdr>
          <w:bottom w:val="single" w:sz="4" w:space="1" w:color="auto"/>
        </w:pBdr>
        <w:spacing w:line="240" w:lineRule="auto"/>
        <w:contextualSpacing/>
        <w:rPr>
          <w:rFonts w:ascii="Times New Roman" w:hAnsi="Times New Roman"/>
          <w:i/>
          <w:color w:val="2E74B5"/>
        </w:rPr>
      </w:pPr>
    </w:p>
    <w:p w14:paraId="7D497397" w14:textId="77777777" w:rsidR="00B03109" w:rsidRPr="00BC04C6" w:rsidRDefault="00B03109" w:rsidP="00B03109">
      <w:pPr>
        <w:keepNext/>
        <w:keepLines/>
        <w:jc w:val="center"/>
        <w:rPr>
          <w:rFonts w:ascii="Times New Roman" w:hAnsi="Times New Roman"/>
          <w:i/>
          <w:color w:val="2E74B5"/>
          <w:sz w:val="22"/>
        </w:rPr>
      </w:pPr>
      <w:r w:rsidRPr="00BC04C6">
        <w:rPr>
          <w:rFonts w:ascii="Times New Roman" w:hAnsi="Times New Roman"/>
          <w:i/>
          <w:color w:val="2E74B5"/>
          <w:sz w:val="22"/>
        </w:rPr>
        <w:t xml:space="preserve">We would welcome the opportunity to discuss alternative options, which would require substantial work and further consideration before implementation, at an appropriate time. </w:t>
      </w:r>
    </w:p>
    <w:p w14:paraId="05E46909" w14:textId="77777777" w:rsidR="00B03109" w:rsidRPr="00BC04C6" w:rsidRDefault="00B03109" w:rsidP="00B03109">
      <w:pPr>
        <w:keepNext/>
        <w:keepLines/>
        <w:jc w:val="center"/>
        <w:rPr>
          <w:rFonts w:ascii="Times New Roman" w:hAnsi="Times New Roman"/>
          <w:color w:val="2E74B5"/>
          <w:sz w:val="22"/>
        </w:rPr>
      </w:pPr>
      <w:r w:rsidRPr="00BC04C6">
        <w:rPr>
          <w:rFonts w:ascii="Times New Roman" w:hAnsi="Times New Roman"/>
          <w:color w:val="2E74B5"/>
          <w:sz w:val="22"/>
        </w:rPr>
        <w:t>Written Submission</w:t>
      </w:r>
    </w:p>
    <w:p w14:paraId="269E3771" w14:textId="77777777" w:rsidR="00B03109" w:rsidRPr="00392A08" w:rsidRDefault="00B03109" w:rsidP="00B03109">
      <w:pPr>
        <w:keepNext/>
        <w:keepLines/>
        <w:pBdr>
          <w:bottom w:val="single" w:sz="4" w:space="1" w:color="auto"/>
        </w:pBdr>
        <w:rPr>
          <w:rFonts w:ascii="Times New Roman" w:hAnsi="Times New Roman"/>
          <w:i/>
          <w:color w:val="2E74B5"/>
        </w:rPr>
      </w:pPr>
    </w:p>
    <w:p w14:paraId="1EC1B43B" w14:textId="77777777" w:rsidR="00B03109" w:rsidRPr="00942061" w:rsidRDefault="00B03109" w:rsidP="00B03109">
      <w:pPr>
        <w:pStyle w:val="Heading3"/>
        <w:rPr>
          <w:b w:val="0"/>
          <w:bCs w:val="0"/>
          <w:color w:val="auto"/>
        </w:rPr>
      </w:pPr>
    </w:p>
    <w:p w14:paraId="082C0E88" w14:textId="77777777" w:rsidR="00B03109" w:rsidRDefault="00B03109" w:rsidP="00B03109">
      <w:pPr>
        <w:pStyle w:val="Heading3"/>
      </w:pPr>
      <w:bookmarkStart w:id="55" w:name="_Toc466462528"/>
      <w:r>
        <w:t>National horse registration scheme</w:t>
      </w:r>
      <w:bookmarkEnd w:id="55"/>
    </w:p>
    <w:p w14:paraId="1D363BBE" w14:textId="35A46972" w:rsidR="00B03109" w:rsidRPr="00BC04C6" w:rsidRDefault="00B03109" w:rsidP="00B03109">
      <w:pPr>
        <w:rPr>
          <w:sz w:val="22"/>
        </w:rPr>
      </w:pPr>
      <w:r w:rsidRPr="00BC04C6">
        <w:rPr>
          <w:sz w:val="22"/>
        </w:rPr>
        <w:t xml:space="preserve">The most </w:t>
      </w:r>
      <w:r>
        <w:rPr>
          <w:sz w:val="22"/>
        </w:rPr>
        <w:t>supported</w:t>
      </w:r>
      <w:r w:rsidRPr="00BC04C6">
        <w:rPr>
          <w:sz w:val="22"/>
        </w:rPr>
        <w:t xml:space="preserve"> proposed alternative for levy collection points was the establishment of a national horse registration scheme. Stakeholders who suggested this stated that the horse industry has a biosecurity responsibility to understand</w:t>
      </w:r>
      <w:r w:rsidR="001461B9">
        <w:rPr>
          <w:sz w:val="22"/>
        </w:rPr>
        <w:t xml:space="preserve"> the</w:t>
      </w:r>
      <w:r w:rsidRPr="00BC04C6">
        <w:rPr>
          <w:sz w:val="22"/>
        </w:rPr>
        <w:t xml:space="preserve"> horse population. </w:t>
      </w:r>
      <w:r>
        <w:rPr>
          <w:sz w:val="22"/>
        </w:rPr>
        <w:t>It was proposed that b</w:t>
      </w:r>
      <w:r w:rsidRPr="00BC04C6">
        <w:rPr>
          <w:sz w:val="22"/>
        </w:rPr>
        <w:t xml:space="preserve">y establishing a national database, a levy collection point could be established at the point of registration. </w:t>
      </w:r>
    </w:p>
    <w:p w14:paraId="449EB4AD" w14:textId="77777777" w:rsidR="00B03109" w:rsidRDefault="00B03109" w:rsidP="00B03109">
      <w:pPr>
        <w:pBdr>
          <w:bottom w:val="single" w:sz="4" w:space="1" w:color="auto"/>
        </w:pBdr>
        <w:rPr>
          <w:sz w:val="22"/>
        </w:rPr>
      </w:pPr>
      <w:r w:rsidRPr="00BC04C6">
        <w:rPr>
          <w:sz w:val="22"/>
        </w:rPr>
        <w:t>Currently</w:t>
      </w:r>
      <w:r>
        <w:rPr>
          <w:sz w:val="22"/>
        </w:rPr>
        <w:t>,</w:t>
      </w:r>
      <w:r w:rsidRPr="00BC04C6">
        <w:rPr>
          <w:sz w:val="22"/>
        </w:rPr>
        <w:t xml:space="preserve"> a number of the horse industry organisations have breed-specific, discipline-specific and organisation-specific registration</w:t>
      </w:r>
      <w:r>
        <w:rPr>
          <w:sz w:val="22"/>
        </w:rPr>
        <w:t xml:space="preserve"> </w:t>
      </w:r>
      <w:r w:rsidRPr="00BC04C6">
        <w:rPr>
          <w:sz w:val="22"/>
        </w:rPr>
        <w:t>s</w:t>
      </w:r>
      <w:r>
        <w:rPr>
          <w:sz w:val="22"/>
        </w:rPr>
        <w:t>ystems</w:t>
      </w:r>
      <w:r w:rsidRPr="00BC04C6">
        <w:rPr>
          <w:sz w:val="22"/>
        </w:rPr>
        <w:t xml:space="preserve">, but there is no overarching national scheme that </w:t>
      </w:r>
      <w:r>
        <w:rPr>
          <w:sz w:val="22"/>
        </w:rPr>
        <w:t>covers all horses</w:t>
      </w:r>
      <w:r w:rsidRPr="00BC04C6">
        <w:rPr>
          <w:sz w:val="22"/>
        </w:rPr>
        <w:t xml:space="preserve">. </w:t>
      </w:r>
    </w:p>
    <w:p w14:paraId="10151FA4" w14:textId="77777777" w:rsidR="00B03109" w:rsidRPr="00BC04C6" w:rsidRDefault="00B03109" w:rsidP="00B03109">
      <w:pPr>
        <w:keepNext/>
        <w:keepLines/>
        <w:pBdr>
          <w:bottom w:val="single" w:sz="4" w:space="1" w:color="auto"/>
        </w:pBdr>
        <w:rPr>
          <w:rFonts w:ascii="Times New Roman" w:hAnsi="Times New Roman"/>
          <w:sz w:val="22"/>
        </w:rPr>
      </w:pPr>
    </w:p>
    <w:p w14:paraId="156B893C" w14:textId="77777777" w:rsidR="00B03109" w:rsidRPr="00BC04C6" w:rsidRDefault="00B03109" w:rsidP="00B03109">
      <w:pPr>
        <w:keepNext/>
        <w:keepLines/>
        <w:ind w:left="360"/>
        <w:jc w:val="center"/>
        <w:rPr>
          <w:sz w:val="22"/>
          <w:szCs w:val="22"/>
        </w:rPr>
      </w:pPr>
      <w:r w:rsidRPr="00BC04C6">
        <w:rPr>
          <w:rFonts w:ascii="Times New Roman" w:hAnsi="Times New Roman"/>
          <w:i/>
          <w:color w:val="2E74B5"/>
          <w:sz w:val="22"/>
        </w:rPr>
        <w:t>Having good data on the horse population via a registration scheme would be useful. It would also assist enormously to know exactly where horses are located if there was another outbreak.</w:t>
      </w:r>
      <w:r w:rsidRPr="00BC04C6">
        <w:rPr>
          <w:sz w:val="22"/>
          <w:szCs w:val="22"/>
        </w:rPr>
        <w:t xml:space="preserve"> </w:t>
      </w:r>
    </w:p>
    <w:p w14:paraId="597C6E2E" w14:textId="77777777" w:rsidR="00B03109" w:rsidRPr="00BC04C6" w:rsidRDefault="00B03109" w:rsidP="00B03109">
      <w:pPr>
        <w:keepNext/>
        <w:keepLines/>
        <w:ind w:left="360"/>
        <w:jc w:val="center"/>
        <w:rPr>
          <w:sz w:val="22"/>
        </w:rPr>
      </w:pPr>
      <w:r w:rsidRPr="00BC04C6">
        <w:rPr>
          <w:rFonts w:ascii="Times New Roman" w:hAnsi="Times New Roman"/>
          <w:color w:val="2E74B5"/>
          <w:sz w:val="22"/>
        </w:rPr>
        <w:t>Written Submission</w:t>
      </w:r>
    </w:p>
    <w:p w14:paraId="159BBB12" w14:textId="77777777" w:rsidR="00B03109" w:rsidRDefault="00B03109" w:rsidP="00B03109">
      <w:pPr>
        <w:keepNext/>
        <w:keepLines/>
        <w:pBdr>
          <w:bottom w:val="single" w:sz="4" w:space="1" w:color="auto"/>
        </w:pBdr>
        <w:rPr>
          <w:rFonts w:ascii="Times New Roman" w:hAnsi="Times New Roman"/>
        </w:rPr>
      </w:pPr>
    </w:p>
    <w:p w14:paraId="3B2CD45A" w14:textId="77777777" w:rsidR="001461B9" w:rsidRDefault="001461B9" w:rsidP="00B03109">
      <w:pPr>
        <w:pStyle w:val="Heading3"/>
      </w:pPr>
    </w:p>
    <w:p w14:paraId="31826512" w14:textId="77777777" w:rsidR="00B03109" w:rsidRDefault="00B03109" w:rsidP="00B03109">
      <w:pPr>
        <w:pStyle w:val="Heading3"/>
      </w:pPr>
      <w:bookmarkStart w:id="56" w:name="_Toc466462529"/>
      <w:r>
        <w:t>Local council registration</w:t>
      </w:r>
      <w:bookmarkEnd w:id="56"/>
    </w:p>
    <w:p w14:paraId="726C2BFE" w14:textId="77777777" w:rsidR="00B03109" w:rsidRDefault="00B03109" w:rsidP="00B03109">
      <w:pPr>
        <w:rPr>
          <w:sz w:val="22"/>
        </w:rPr>
      </w:pPr>
      <w:r w:rsidRPr="00BC04C6">
        <w:rPr>
          <w:sz w:val="22"/>
        </w:rPr>
        <w:t xml:space="preserve">Some stakeholders suggested that horse owners could register </w:t>
      </w:r>
      <w:r>
        <w:rPr>
          <w:sz w:val="22"/>
        </w:rPr>
        <w:t>horses</w:t>
      </w:r>
      <w:r w:rsidRPr="00BC04C6">
        <w:rPr>
          <w:sz w:val="22"/>
        </w:rPr>
        <w:t xml:space="preserve"> using local council system</w:t>
      </w:r>
      <w:r>
        <w:rPr>
          <w:sz w:val="22"/>
        </w:rPr>
        <w:t>s</w:t>
      </w:r>
      <w:r w:rsidRPr="00BC04C6">
        <w:rPr>
          <w:sz w:val="22"/>
        </w:rPr>
        <w:t xml:space="preserve"> already in place</w:t>
      </w:r>
      <w:r>
        <w:rPr>
          <w:sz w:val="22"/>
        </w:rPr>
        <w:t>, such as those for cats and dogs</w:t>
      </w:r>
      <w:r w:rsidRPr="00BC04C6">
        <w:rPr>
          <w:sz w:val="22"/>
        </w:rPr>
        <w:t xml:space="preserve">. </w:t>
      </w:r>
      <w:r>
        <w:rPr>
          <w:sz w:val="22"/>
        </w:rPr>
        <w:t>It was proposed that c</w:t>
      </w:r>
      <w:r w:rsidRPr="00BC04C6">
        <w:rPr>
          <w:sz w:val="22"/>
        </w:rPr>
        <w:t>ollection of the levy would be at the point of registration or renewal</w:t>
      </w:r>
      <w:r>
        <w:rPr>
          <w:sz w:val="22"/>
        </w:rPr>
        <w:t xml:space="preserve"> and the system would be m</w:t>
      </w:r>
      <w:r w:rsidRPr="00BC04C6">
        <w:rPr>
          <w:sz w:val="22"/>
        </w:rPr>
        <w:t>onitored by local councils</w:t>
      </w:r>
      <w:r>
        <w:rPr>
          <w:sz w:val="22"/>
        </w:rPr>
        <w:t xml:space="preserve">. </w:t>
      </w:r>
    </w:p>
    <w:p w14:paraId="56B0648D" w14:textId="77777777" w:rsidR="00B03109" w:rsidRPr="00B01FC4" w:rsidRDefault="00B03109" w:rsidP="00B03109">
      <w:pPr>
        <w:pStyle w:val="Heading3"/>
      </w:pPr>
      <w:bookmarkStart w:id="57" w:name="_Toc466462530"/>
      <w:r w:rsidRPr="00B01FC4">
        <w:t>Electronic Identification and Property Identification Codes (PIC)</w:t>
      </w:r>
      <w:bookmarkEnd w:id="57"/>
    </w:p>
    <w:p w14:paraId="480E4732" w14:textId="77777777" w:rsidR="00B03109" w:rsidRPr="00BC04C6" w:rsidRDefault="00B03109" w:rsidP="00B03109">
      <w:pPr>
        <w:rPr>
          <w:sz w:val="22"/>
        </w:rPr>
      </w:pPr>
      <w:r w:rsidRPr="00BC04C6">
        <w:rPr>
          <w:sz w:val="22"/>
        </w:rPr>
        <w:t xml:space="preserve">Some stakeholders </w:t>
      </w:r>
      <w:r>
        <w:rPr>
          <w:sz w:val="22"/>
        </w:rPr>
        <w:t>suggested</w:t>
      </w:r>
      <w:r w:rsidRPr="00BC04C6">
        <w:rPr>
          <w:sz w:val="22"/>
        </w:rPr>
        <w:t xml:space="preserve"> the</w:t>
      </w:r>
      <w:r>
        <w:rPr>
          <w:sz w:val="22"/>
        </w:rPr>
        <w:t xml:space="preserve"> </w:t>
      </w:r>
      <w:r w:rsidRPr="00BC04C6">
        <w:rPr>
          <w:sz w:val="22"/>
        </w:rPr>
        <w:t>introduc</w:t>
      </w:r>
      <w:r>
        <w:rPr>
          <w:sz w:val="22"/>
        </w:rPr>
        <w:t xml:space="preserve">tion of </w:t>
      </w:r>
      <w:r w:rsidRPr="00BC04C6">
        <w:rPr>
          <w:sz w:val="22"/>
        </w:rPr>
        <w:t xml:space="preserve">electronic identification for the horse industry. A number of breed societies have already implemented a requirement that breeding animals have microchips. </w:t>
      </w:r>
      <w:r>
        <w:rPr>
          <w:sz w:val="22"/>
        </w:rPr>
        <w:t>It is proposed that a</w:t>
      </w:r>
      <w:r w:rsidRPr="00BC04C6">
        <w:rPr>
          <w:sz w:val="22"/>
        </w:rPr>
        <w:t xml:space="preserve"> similar system could be used and managed by government, linked to the existing Property Identification Codes</w:t>
      </w:r>
      <w:r>
        <w:rPr>
          <w:sz w:val="22"/>
        </w:rPr>
        <w:t xml:space="preserve"> (PIC)</w:t>
      </w:r>
      <w:r w:rsidRPr="00BC04C6">
        <w:rPr>
          <w:sz w:val="22"/>
        </w:rPr>
        <w:t xml:space="preserve">, where each property has a </w:t>
      </w:r>
      <w:r>
        <w:rPr>
          <w:sz w:val="22"/>
        </w:rPr>
        <w:t>unique identification code</w:t>
      </w:r>
      <w:r w:rsidRPr="00BC04C6">
        <w:rPr>
          <w:sz w:val="22"/>
        </w:rPr>
        <w:t xml:space="preserve">. </w:t>
      </w:r>
    </w:p>
    <w:p w14:paraId="66CE1810" w14:textId="77777777" w:rsidR="00B03109" w:rsidRDefault="00B03109" w:rsidP="00B03109">
      <w:pPr>
        <w:rPr>
          <w:sz w:val="22"/>
        </w:rPr>
      </w:pPr>
      <w:r w:rsidRPr="00BC04C6">
        <w:rPr>
          <w:sz w:val="22"/>
        </w:rPr>
        <w:t>PICs are fundamental to the operation and integrity of the National Livestock Identification System (NLIS) for cattle, sheep, goats and pigs</w:t>
      </w:r>
      <w:r>
        <w:rPr>
          <w:sz w:val="22"/>
        </w:rPr>
        <w:t>.</w:t>
      </w:r>
      <w:r w:rsidRPr="00BC04C6">
        <w:rPr>
          <w:sz w:val="22"/>
        </w:rPr>
        <w:t xml:space="preserve"> </w:t>
      </w:r>
      <w:r>
        <w:rPr>
          <w:sz w:val="22"/>
        </w:rPr>
        <w:t>M</w:t>
      </w:r>
      <w:r w:rsidRPr="00BC04C6">
        <w:rPr>
          <w:sz w:val="22"/>
        </w:rPr>
        <w:t xml:space="preserve">ovements on the NLIS database are recorded between PICs, providing traceability to specific properties. Stakeholders who proposed this option stated that this system would give the horse industry </w:t>
      </w:r>
      <w:r>
        <w:rPr>
          <w:sz w:val="22"/>
        </w:rPr>
        <w:t xml:space="preserve">more information about </w:t>
      </w:r>
      <w:r w:rsidRPr="00BC04C6">
        <w:rPr>
          <w:sz w:val="22"/>
        </w:rPr>
        <w:t xml:space="preserve">horse numbers and their movements. </w:t>
      </w:r>
    </w:p>
    <w:p w14:paraId="7C1C619E" w14:textId="040F2F0E" w:rsidR="00B03109" w:rsidRDefault="00B03109" w:rsidP="00B03109">
      <w:pPr>
        <w:rPr>
          <w:sz w:val="22"/>
        </w:rPr>
      </w:pPr>
      <w:r w:rsidRPr="00BC04C6">
        <w:rPr>
          <w:sz w:val="22"/>
        </w:rPr>
        <w:t xml:space="preserve">Microchip implantation </w:t>
      </w:r>
      <w:r>
        <w:rPr>
          <w:sz w:val="22"/>
        </w:rPr>
        <w:t>is</w:t>
      </w:r>
      <w:r w:rsidRPr="00BC04C6">
        <w:rPr>
          <w:sz w:val="22"/>
        </w:rPr>
        <w:t xml:space="preserve"> an </w:t>
      </w:r>
      <w:r w:rsidRPr="000A31E6">
        <w:rPr>
          <w:sz w:val="22"/>
        </w:rPr>
        <w:t>al</w:t>
      </w:r>
      <w:r w:rsidR="000A31E6" w:rsidRPr="000A31E6">
        <w:rPr>
          <w:sz w:val="22"/>
        </w:rPr>
        <w:t>ternative levy collection point</w:t>
      </w:r>
      <w:r w:rsidRPr="00BC04C6">
        <w:rPr>
          <w:sz w:val="22"/>
        </w:rPr>
        <w:t xml:space="preserve"> </w:t>
      </w:r>
      <w:r>
        <w:rPr>
          <w:sz w:val="22"/>
        </w:rPr>
        <w:t xml:space="preserve">that was previously </w:t>
      </w:r>
      <w:r w:rsidRPr="00BC04C6">
        <w:rPr>
          <w:sz w:val="22"/>
        </w:rPr>
        <w:t xml:space="preserve">considered by the horse industry. The </w:t>
      </w:r>
      <w:r>
        <w:rPr>
          <w:sz w:val="22"/>
        </w:rPr>
        <w:t xml:space="preserve">identified </w:t>
      </w:r>
      <w:r w:rsidRPr="00BC04C6">
        <w:rPr>
          <w:sz w:val="22"/>
        </w:rPr>
        <w:t xml:space="preserve">disadvantage </w:t>
      </w:r>
      <w:r>
        <w:rPr>
          <w:sz w:val="22"/>
        </w:rPr>
        <w:t xml:space="preserve">was </w:t>
      </w:r>
      <w:r w:rsidRPr="00BC04C6">
        <w:rPr>
          <w:sz w:val="22"/>
        </w:rPr>
        <w:t xml:space="preserve">the additional cost to the horse owner for the microchip and the cost of a veterinarian to implant the microchip. </w:t>
      </w:r>
    </w:p>
    <w:p w14:paraId="2F9975CB" w14:textId="77777777" w:rsidR="00B03109" w:rsidRPr="00BC04C6" w:rsidRDefault="00B03109" w:rsidP="00B03109">
      <w:pPr>
        <w:keepNext/>
        <w:keepLines/>
        <w:pBdr>
          <w:bottom w:val="single" w:sz="4" w:space="1" w:color="auto"/>
        </w:pBdr>
        <w:rPr>
          <w:rFonts w:ascii="Times New Roman" w:hAnsi="Times New Roman"/>
          <w:sz w:val="22"/>
        </w:rPr>
      </w:pPr>
    </w:p>
    <w:p w14:paraId="2D48B055" w14:textId="77777777" w:rsidR="00B03109" w:rsidRPr="00BC04C6" w:rsidRDefault="00B03109" w:rsidP="00B03109">
      <w:pPr>
        <w:keepNext/>
        <w:keepLines/>
        <w:jc w:val="center"/>
        <w:rPr>
          <w:rFonts w:ascii="Times New Roman" w:hAnsi="Times New Roman"/>
          <w:i/>
          <w:color w:val="2E74B5"/>
          <w:sz w:val="22"/>
        </w:rPr>
      </w:pPr>
      <w:r w:rsidRPr="00BC04C6">
        <w:rPr>
          <w:rFonts w:ascii="Times New Roman" w:hAnsi="Times New Roman"/>
          <w:i/>
          <w:color w:val="2E74B5"/>
          <w:sz w:val="22"/>
        </w:rPr>
        <w:t>The horse industry needs to take responsibility for a system whereby they can collect and understand horse numbers and horse movements to increase their preparedness and ability to respond to a biosecurity issue</w:t>
      </w:r>
    </w:p>
    <w:p w14:paraId="58A18093" w14:textId="77777777" w:rsidR="00B03109" w:rsidRPr="00BC04C6" w:rsidRDefault="00B03109" w:rsidP="00B03109">
      <w:pPr>
        <w:keepNext/>
        <w:keepLines/>
        <w:jc w:val="center"/>
        <w:rPr>
          <w:rFonts w:ascii="Times New Roman" w:hAnsi="Times New Roman"/>
          <w:color w:val="2E74B5"/>
          <w:sz w:val="22"/>
        </w:rPr>
      </w:pPr>
      <w:r w:rsidRPr="00BC04C6">
        <w:rPr>
          <w:rFonts w:ascii="Times New Roman" w:hAnsi="Times New Roman"/>
          <w:color w:val="2E74B5"/>
          <w:sz w:val="22"/>
        </w:rPr>
        <w:t>Written Submission</w:t>
      </w:r>
    </w:p>
    <w:p w14:paraId="46CE5D1F" w14:textId="77777777" w:rsidR="00B03109" w:rsidRPr="00BC04C6" w:rsidRDefault="00B03109" w:rsidP="00B03109">
      <w:pPr>
        <w:keepNext/>
        <w:keepLines/>
        <w:pBdr>
          <w:bottom w:val="single" w:sz="4" w:space="1" w:color="auto"/>
        </w:pBdr>
        <w:rPr>
          <w:rFonts w:ascii="Times New Roman" w:hAnsi="Times New Roman"/>
          <w:sz w:val="22"/>
        </w:rPr>
      </w:pPr>
    </w:p>
    <w:p w14:paraId="2A668C9B" w14:textId="77777777" w:rsidR="001461B9" w:rsidRDefault="001461B9" w:rsidP="00B03109">
      <w:pPr>
        <w:pStyle w:val="Heading3"/>
      </w:pPr>
    </w:p>
    <w:p w14:paraId="75D7404E" w14:textId="77777777" w:rsidR="00B03109" w:rsidRPr="00B01FC4" w:rsidRDefault="00B03109" w:rsidP="00B03109">
      <w:pPr>
        <w:pStyle w:val="Heading3"/>
      </w:pPr>
      <w:bookmarkStart w:id="58" w:name="_Toc466462531"/>
      <w:r w:rsidRPr="00B01FC4">
        <w:t>Event registration</w:t>
      </w:r>
      <w:bookmarkEnd w:id="58"/>
    </w:p>
    <w:p w14:paraId="5DCAEC91" w14:textId="77777777" w:rsidR="00B03109" w:rsidRPr="00BC04C6" w:rsidRDefault="00B03109" w:rsidP="00B03109">
      <w:pPr>
        <w:rPr>
          <w:sz w:val="22"/>
        </w:rPr>
      </w:pPr>
      <w:r w:rsidRPr="00BC04C6">
        <w:rPr>
          <w:sz w:val="22"/>
        </w:rPr>
        <w:t xml:space="preserve">Some stakeholders </w:t>
      </w:r>
      <w:r>
        <w:rPr>
          <w:sz w:val="22"/>
        </w:rPr>
        <w:t xml:space="preserve">suggested </w:t>
      </w:r>
      <w:r w:rsidRPr="00BC04C6">
        <w:rPr>
          <w:sz w:val="22"/>
        </w:rPr>
        <w:t xml:space="preserve">that collecting the levy </w:t>
      </w:r>
      <w:r>
        <w:rPr>
          <w:sz w:val="22"/>
        </w:rPr>
        <w:t>at the same time as</w:t>
      </w:r>
      <w:r w:rsidRPr="00BC04C6">
        <w:rPr>
          <w:sz w:val="22"/>
        </w:rPr>
        <w:t xml:space="preserve"> event fees would be a simple and transparent method of collection. </w:t>
      </w:r>
      <w:r>
        <w:rPr>
          <w:sz w:val="22"/>
        </w:rPr>
        <w:t>These s</w:t>
      </w:r>
      <w:r w:rsidRPr="00BC04C6">
        <w:rPr>
          <w:sz w:val="22"/>
        </w:rPr>
        <w:t xml:space="preserve">takeholders commented that since the </w:t>
      </w:r>
      <w:r w:rsidRPr="00BC04C6">
        <w:rPr>
          <w:sz w:val="22"/>
        </w:rPr>
        <w:lastRenderedPageBreak/>
        <w:t xml:space="preserve">initial review in 2010, there has been a significant increase to the use of electronic horse event entry mechanisms, via providers such as ‘Global Entries Online’ and ‘Nominate’. </w:t>
      </w:r>
      <w:r>
        <w:rPr>
          <w:sz w:val="22"/>
        </w:rPr>
        <w:t>It is proposed that t</w:t>
      </w:r>
      <w:r w:rsidRPr="00BC04C6">
        <w:rPr>
          <w:sz w:val="22"/>
        </w:rPr>
        <w:t>he levy could be collected using existing systems at the point of event application</w:t>
      </w:r>
      <w:r>
        <w:rPr>
          <w:sz w:val="22"/>
        </w:rPr>
        <w:t>.</w:t>
      </w:r>
    </w:p>
    <w:p w14:paraId="4CE256CF" w14:textId="77777777" w:rsidR="00B03109" w:rsidRDefault="00B03109" w:rsidP="00B03109">
      <w:pPr>
        <w:rPr>
          <w:sz w:val="22"/>
        </w:rPr>
      </w:pPr>
      <w:r w:rsidRPr="00BC04C6">
        <w:rPr>
          <w:sz w:val="22"/>
        </w:rPr>
        <w:t xml:space="preserve">Event registration as an alternative levy collection point </w:t>
      </w:r>
      <w:r>
        <w:rPr>
          <w:sz w:val="22"/>
        </w:rPr>
        <w:t>was</w:t>
      </w:r>
      <w:r w:rsidRPr="00BC04C6">
        <w:rPr>
          <w:sz w:val="22"/>
        </w:rPr>
        <w:t xml:space="preserve"> previously considered by the horse industry. The </w:t>
      </w:r>
      <w:r>
        <w:rPr>
          <w:sz w:val="22"/>
        </w:rPr>
        <w:t xml:space="preserve">identified </w:t>
      </w:r>
      <w:r w:rsidRPr="00BC04C6">
        <w:rPr>
          <w:sz w:val="22"/>
        </w:rPr>
        <w:t>disadvantage was the additional administrative workload on volunteers and the limited reliable data on the number o</w:t>
      </w:r>
      <w:r>
        <w:rPr>
          <w:sz w:val="22"/>
        </w:rPr>
        <w:t>f</w:t>
      </w:r>
      <w:r w:rsidRPr="00BC04C6">
        <w:rPr>
          <w:sz w:val="22"/>
        </w:rPr>
        <w:t xml:space="preserve"> units for the le</w:t>
      </w:r>
      <w:r>
        <w:rPr>
          <w:sz w:val="22"/>
        </w:rPr>
        <w:t>v</w:t>
      </w:r>
      <w:r w:rsidRPr="00BC04C6">
        <w:rPr>
          <w:sz w:val="22"/>
        </w:rPr>
        <w:t xml:space="preserve">y collection (the event registration mechanisms). </w:t>
      </w:r>
    </w:p>
    <w:p w14:paraId="1E8DF755" w14:textId="77777777" w:rsidR="00B03109" w:rsidRPr="0058612C" w:rsidRDefault="00B03109" w:rsidP="00B03109">
      <w:pPr>
        <w:rPr>
          <w:sz w:val="22"/>
        </w:rPr>
      </w:pPr>
    </w:p>
    <w:p w14:paraId="47563F36" w14:textId="77777777" w:rsidR="00B03109" w:rsidRPr="00B01FC4" w:rsidRDefault="00B03109" w:rsidP="00B03109">
      <w:pPr>
        <w:pStyle w:val="Heading3"/>
      </w:pPr>
      <w:bookmarkStart w:id="59" w:name="_Toc466462532"/>
      <w:r w:rsidRPr="00B01FC4">
        <w:t>Horse breeding registration</w:t>
      </w:r>
      <w:bookmarkEnd w:id="59"/>
    </w:p>
    <w:p w14:paraId="52C3D175" w14:textId="77777777" w:rsidR="00B03109" w:rsidRPr="00BC04C6" w:rsidRDefault="00B03109" w:rsidP="00B03109">
      <w:pPr>
        <w:rPr>
          <w:sz w:val="22"/>
        </w:rPr>
      </w:pPr>
      <w:r w:rsidRPr="00BC04C6">
        <w:rPr>
          <w:sz w:val="22"/>
        </w:rPr>
        <w:t>Some stakeholders suggested horse breeding registration</w:t>
      </w:r>
      <w:r>
        <w:rPr>
          <w:sz w:val="22"/>
        </w:rPr>
        <w:t xml:space="preserve"> as an alternative collection point</w:t>
      </w:r>
      <w:r w:rsidRPr="00BC04C6">
        <w:rPr>
          <w:sz w:val="22"/>
        </w:rPr>
        <w:t xml:space="preserve">. There are already horse registration systems </w:t>
      </w:r>
      <w:r>
        <w:rPr>
          <w:sz w:val="22"/>
        </w:rPr>
        <w:t xml:space="preserve">used for </w:t>
      </w:r>
      <w:r w:rsidRPr="00BC04C6">
        <w:rPr>
          <w:sz w:val="22"/>
        </w:rPr>
        <w:t xml:space="preserve">the </w:t>
      </w:r>
      <w:r>
        <w:rPr>
          <w:sz w:val="22"/>
        </w:rPr>
        <w:t>t</w:t>
      </w:r>
      <w:r w:rsidRPr="00BC04C6">
        <w:rPr>
          <w:sz w:val="22"/>
        </w:rPr>
        <w:t xml:space="preserve">horoughbred, </w:t>
      </w:r>
      <w:proofErr w:type="spellStart"/>
      <w:r>
        <w:rPr>
          <w:sz w:val="22"/>
        </w:rPr>
        <w:t>s</w:t>
      </w:r>
      <w:r w:rsidRPr="00BC04C6">
        <w:rPr>
          <w:sz w:val="22"/>
        </w:rPr>
        <w:t>tandardbred</w:t>
      </w:r>
      <w:proofErr w:type="spellEnd"/>
      <w:r w:rsidRPr="00BC04C6">
        <w:rPr>
          <w:sz w:val="22"/>
        </w:rPr>
        <w:t xml:space="preserve"> and breed societies</w:t>
      </w:r>
      <w:r>
        <w:rPr>
          <w:sz w:val="22"/>
        </w:rPr>
        <w:t xml:space="preserve"> and it is proposed that these systems could be utilised for the remaining horse industry organisations.</w:t>
      </w:r>
    </w:p>
    <w:p w14:paraId="3D476359" w14:textId="77777777" w:rsidR="00B03109" w:rsidRPr="00BC04C6" w:rsidRDefault="00B03109" w:rsidP="00B03109">
      <w:pPr>
        <w:rPr>
          <w:sz w:val="22"/>
        </w:rPr>
      </w:pPr>
      <w:r w:rsidRPr="00BC04C6">
        <w:rPr>
          <w:sz w:val="22"/>
        </w:rPr>
        <w:t>Horse breeding registration has previously been considered by the horse industry as a levy collection point. Some stakeholder</w:t>
      </w:r>
      <w:r>
        <w:rPr>
          <w:sz w:val="22"/>
        </w:rPr>
        <w:t>s</w:t>
      </w:r>
      <w:r w:rsidRPr="00BC04C6">
        <w:rPr>
          <w:sz w:val="22"/>
        </w:rPr>
        <w:t xml:space="preserve"> noted that the </w:t>
      </w:r>
      <w:r>
        <w:rPr>
          <w:sz w:val="22"/>
        </w:rPr>
        <w:t xml:space="preserve">majority of the </w:t>
      </w:r>
      <w:r w:rsidRPr="00BC04C6">
        <w:rPr>
          <w:sz w:val="22"/>
        </w:rPr>
        <w:t xml:space="preserve">horse industry accepted and supported this levy collection option in 2010. </w:t>
      </w:r>
      <w:r>
        <w:rPr>
          <w:sz w:val="22"/>
        </w:rPr>
        <w:t>At the time, t</w:t>
      </w:r>
      <w:r w:rsidRPr="00BC04C6">
        <w:rPr>
          <w:sz w:val="22"/>
        </w:rPr>
        <w:t xml:space="preserve">he </w:t>
      </w:r>
      <w:r>
        <w:rPr>
          <w:sz w:val="22"/>
        </w:rPr>
        <w:t>identified</w:t>
      </w:r>
      <w:r w:rsidRPr="00BC04C6">
        <w:rPr>
          <w:sz w:val="22"/>
        </w:rPr>
        <w:t xml:space="preserve"> disadvantage to this collection point </w:t>
      </w:r>
      <w:r>
        <w:rPr>
          <w:sz w:val="22"/>
        </w:rPr>
        <w:t xml:space="preserve">was </w:t>
      </w:r>
      <w:r w:rsidRPr="00BC04C6">
        <w:rPr>
          <w:sz w:val="22"/>
        </w:rPr>
        <w:t>the uneven coverage of all sectors and the variable recording arrangements</w:t>
      </w:r>
      <w:r>
        <w:rPr>
          <w:sz w:val="22"/>
        </w:rPr>
        <w:t>.</w:t>
      </w:r>
      <w:r w:rsidRPr="00BC04C6">
        <w:rPr>
          <w:sz w:val="22"/>
        </w:rPr>
        <w:t xml:space="preserve"> </w:t>
      </w:r>
    </w:p>
    <w:p w14:paraId="067E41C7" w14:textId="77777777" w:rsidR="00B03109" w:rsidRDefault="00B03109" w:rsidP="00B03109">
      <w:pPr>
        <w:keepNext/>
        <w:keepLines/>
        <w:pBdr>
          <w:bottom w:val="single" w:sz="4" w:space="1" w:color="auto"/>
        </w:pBdr>
        <w:rPr>
          <w:rFonts w:ascii="Times New Roman" w:hAnsi="Times New Roman"/>
        </w:rPr>
      </w:pPr>
    </w:p>
    <w:p w14:paraId="34AE2E75" w14:textId="77777777" w:rsidR="00B03109" w:rsidRPr="00BC04C6" w:rsidRDefault="00B03109" w:rsidP="00B03109">
      <w:pPr>
        <w:keepNext/>
        <w:keepLines/>
        <w:jc w:val="center"/>
        <w:rPr>
          <w:sz w:val="22"/>
          <w:szCs w:val="22"/>
        </w:rPr>
      </w:pPr>
      <w:r w:rsidRPr="00BC04C6">
        <w:rPr>
          <w:rFonts w:ascii="Times New Roman" w:hAnsi="Times New Roman"/>
          <w:i/>
          <w:color w:val="2E74B5"/>
          <w:sz w:val="22"/>
        </w:rPr>
        <w:t>(We) remain open to the concept of a registration payment option in the future – but only with sufficient comfort and safeguards that place competition and sporting horses on an equal footing with horses used in recreational, commercial and private equine pursuits –</w:t>
      </w:r>
      <w:r w:rsidRPr="00BC04C6">
        <w:rPr>
          <w:sz w:val="22"/>
          <w:szCs w:val="22"/>
        </w:rPr>
        <w:t xml:space="preserve"> </w:t>
      </w:r>
    </w:p>
    <w:p w14:paraId="19391D11" w14:textId="77777777" w:rsidR="00B03109" w:rsidRDefault="00B03109" w:rsidP="00B03109">
      <w:pPr>
        <w:keepNext/>
        <w:keepLines/>
        <w:jc w:val="center"/>
        <w:rPr>
          <w:rFonts w:ascii="Times New Roman" w:hAnsi="Times New Roman"/>
          <w:color w:val="2E74B5"/>
          <w:sz w:val="22"/>
        </w:rPr>
      </w:pPr>
      <w:r w:rsidRPr="00BC04C6">
        <w:rPr>
          <w:rFonts w:ascii="Times New Roman" w:hAnsi="Times New Roman"/>
          <w:color w:val="2E74B5"/>
          <w:sz w:val="22"/>
        </w:rPr>
        <w:t>Written Submission</w:t>
      </w:r>
    </w:p>
    <w:p w14:paraId="57CC0395" w14:textId="77777777" w:rsidR="0080548C" w:rsidRPr="00BC04C6" w:rsidRDefault="0080548C" w:rsidP="00B03109">
      <w:pPr>
        <w:keepNext/>
        <w:keepLines/>
        <w:jc w:val="center"/>
        <w:rPr>
          <w:rFonts w:ascii="Times New Roman" w:hAnsi="Times New Roman"/>
          <w:color w:val="2E74B5"/>
          <w:sz w:val="22"/>
        </w:rPr>
      </w:pPr>
    </w:p>
    <w:p w14:paraId="2E46F2A4" w14:textId="77777777" w:rsidR="0080548C" w:rsidRDefault="0080548C" w:rsidP="00B03109">
      <w:pPr>
        <w:keepNext/>
        <w:keepLines/>
        <w:pBdr>
          <w:top w:val="single" w:sz="4" w:space="1" w:color="auto"/>
        </w:pBdr>
        <w:rPr>
          <w:rFonts w:ascii="Times New Roman" w:hAnsi="Times New Roman"/>
          <w:i/>
          <w:color w:val="2E74B5"/>
        </w:rPr>
      </w:pPr>
    </w:p>
    <w:p w14:paraId="1F48133F" w14:textId="77777777" w:rsidR="008C531D" w:rsidRPr="00BC04C6" w:rsidRDefault="008C531D" w:rsidP="008C531D">
      <w:pPr>
        <w:rPr>
          <w:b/>
          <w:bCs/>
          <w:sz w:val="22"/>
        </w:rPr>
      </w:pPr>
      <w:bookmarkStart w:id="60" w:name="_ATTACHMENT_B"/>
      <w:bookmarkStart w:id="61" w:name="_ATTACHMENT_C"/>
      <w:bookmarkEnd w:id="19"/>
      <w:bookmarkEnd w:id="60"/>
      <w:bookmarkEnd w:id="61"/>
      <w:r w:rsidRPr="00BC04C6">
        <w:rPr>
          <w:sz w:val="22"/>
        </w:rPr>
        <w:t xml:space="preserve">The key challenge for an alternative levy collection point is </w:t>
      </w:r>
      <w:r>
        <w:rPr>
          <w:sz w:val="22"/>
        </w:rPr>
        <w:t>to find</w:t>
      </w:r>
      <w:r w:rsidRPr="00BC04C6">
        <w:rPr>
          <w:sz w:val="22"/>
        </w:rPr>
        <w:t xml:space="preserve"> a method that is fair across the largest possible proportion of the horse owners and</w:t>
      </w:r>
      <w:r>
        <w:rPr>
          <w:sz w:val="22"/>
        </w:rPr>
        <w:t xml:space="preserve"> that</w:t>
      </w:r>
      <w:r w:rsidRPr="00BC04C6">
        <w:rPr>
          <w:sz w:val="22"/>
        </w:rPr>
        <w:t xml:space="preserve"> has many units on which the levy can be placed – the greater the number of units, the less the actual levy is per unit when it is required. </w:t>
      </w:r>
    </w:p>
    <w:p w14:paraId="21F3B726" w14:textId="40097D82" w:rsidR="006607B5" w:rsidRDefault="00DA55C9" w:rsidP="0080548C">
      <w:pPr>
        <w:rPr>
          <w:sz w:val="22"/>
        </w:rPr>
      </w:pPr>
      <w:r w:rsidRPr="006607B5">
        <w:rPr>
          <w:sz w:val="22"/>
        </w:rPr>
        <w:t xml:space="preserve">It is the department’s view that </w:t>
      </w:r>
      <w:r w:rsidR="006607B5">
        <w:rPr>
          <w:sz w:val="22"/>
        </w:rPr>
        <w:t xml:space="preserve">there is merit to </w:t>
      </w:r>
      <w:r w:rsidR="00882556" w:rsidRPr="00BA65CA">
        <w:rPr>
          <w:sz w:val="22"/>
        </w:rPr>
        <w:t>many of the proposed alternative collection points</w:t>
      </w:r>
      <w:r w:rsidR="006607B5">
        <w:rPr>
          <w:sz w:val="22"/>
        </w:rPr>
        <w:t xml:space="preserve">. </w:t>
      </w:r>
      <w:r w:rsidR="00CA29B0" w:rsidRPr="00BA65CA">
        <w:rPr>
          <w:sz w:val="22"/>
        </w:rPr>
        <w:t xml:space="preserve">However, the lack of available data about horse population and feeding and worming practices makes it difficult to </w:t>
      </w:r>
      <w:r w:rsidR="00CA29B0">
        <w:rPr>
          <w:sz w:val="22"/>
        </w:rPr>
        <w:t xml:space="preserve">properly </w:t>
      </w:r>
      <w:r w:rsidR="00CA29B0" w:rsidRPr="00BA65CA">
        <w:rPr>
          <w:sz w:val="22"/>
        </w:rPr>
        <w:t>analyse and compare</w:t>
      </w:r>
      <w:r w:rsidR="00882556" w:rsidRPr="00882556">
        <w:rPr>
          <w:sz w:val="22"/>
        </w:rPr>
        <w:t xml:space="preserve"> </w:t>
      </w:r>
      <w:r w:rsidR="00882556">
        <w:rPr>
          <w:sz w:val="22"/>
        </w:rPr>
        <w:t>these options</w:t>
      </w:r>
      <w:r w:rsidR="00CA29B0" w:rsidRPr="00BA65CA">
        <w:rPr>
          <w:sz w:val="22"/>
        </w:rPr>
        <w:t>.</w:t>
      </w:r>
      <w:r w:rsidR="00CA29B0">
        <w:rPr>
          <w:b/>
          <w:bCs/>
          <w:sz w:val="22"/>
        </w:rPr>
        <w:t xml:space="preserve"> </w:t>
      </w:r>
      <w:r w:rsidR="00CA29B0" w:rsidRPr="00CA29B0">
        <w:rPr>
          <w:bCs/>
          <w:sz w:val="22"/>
        </w:rPr>
        <w:t>F</w:t>
      </w:r>
      <w:r w:rsidR="006607B5">
        <w:rPr>
          <w:sz w:val="22"/>
        </w:rPr>
        <w:t xml:space="preserve">urther analysis </w:t>
      </w:r>
      <w:r w:rsidR="000707F8">
        <w:rPr>
          <w:sz w:val="22"/>
        </w:rPr>
        <w:t>is required</w:t>
      </w:r>
      <w:r w:rsidR="00882556">
        <w:rPr>
          <w:sz w:val="22"/>
        </w:rPr>
        <w:t xml:space="preserve">, which would need to </w:t>
      </w:r>
      <w:r w:rsidR="000707F8">
        <w:rPr>
          <w:sz w:val="22"/>
        </w:rPr>
        <w:t xml:space="preserve">address the </w:t>
      </w:r>
      <w:r w:rsidR="006607B5">
        <w:rPr>
          <w:sz w:val="22"/>
        </w:rPr>
        <w:t>following</w:t>
      </w:r>
      <w:r w:rsidR="000707F8">
        <w:rPr>
          <w:sz w:val="22"/>
        </w:rPr>
        <w:t xml:space="preserve"> issues</w:t>
      </w:r>
      <w:r w:rsidR="006607B5">
        <w:rPr>
          <w:sz w:val="22"/>
        </w:rPr>
        <w:t>:</w:t>
      </w:r>
    </w:p>
    <w:p w14:paraId="7E02159A" w14:textId="0607204A" w:rsidR="00CA29B0" w:rsidRDefault="00CA29B0" w:rsidP="000A31E6">
      <w:pPr>
        <w:keepNext/>
        <w:keepLines/>
        <w:numPr>
          <w:ilvl w:val="0"/>
          <w:numId w:val="10"/>
        </w:numPr>
        <w:rPr>
          <w:sz w:val="22"/>
          <w:szCs w:val="22"/>
        </w:rPr>
      </w:pPr>
      <w:r>
        <w:rPr>
          <w:sz w:val="22"/>
          <w:szCs w:val="22"/>
        </w:rPr>
        <w:lastRenderedPageBreak/>
        <w:t>extent of levy coverage</w:t>
      </w:r>
      <w:r w:rsidR="00004874">
        <w:rPr>
          <w:sz w:val="22"/>
          <w:szCs w:val="22"/>
        </w:rPr>
        <w:t xml:space="preserve">, </w:t>
      </w:r>
      <w:r>
        <w:rPr>
          <w:sz w:val="22"/>
          <w:szCs w:val="22"/>
        </w:rPr>
        <w:t>equity of coverage</w:t>
      </w:r>
      <w:r w:rsidR="00004874">
        <w:rPr>
          <w:sz w:val="22"/>
          <w:szCs w:val="22"/>
        </w:rPr>
        <w:t>, and leakage</w:t>
      </w:r>
    </w:p>
    <w:p w14:paraId="102682AC" w14:textId="274CD19F" w:rsidR="006607B5" w:rsidRDefault="00DA55C9" w:rsidP="000A31E6">
      <w:pPr>
        <w:keepNext/>
        <w:keepLines/>
        <w:numPr>
          <w:ilvl w:val="0"/>
          <w:numId w:val="10"/>
        </w:numPr>
        <w:rPr>
          <w:sz w:val="22"/>
          <w:szCs w:val="22"/>
        </w:rPr>
      </w:pPr>
      <w:r w:rsidRPr="006607B5">
        <w:rPr>
          <w:sz w:val="22"/>
          <w:szCs w:val="22"/>
        </w:rPr>
        <w:t xml:space="preserve">infrastructure and resources </w:t>
      </w:r>
      <w:r w:rsidR="006607B5">
        <w:rPr>
          <w:sz w:val="22"/>
          <w:szCs w:val="22"/>
        </w:rPr>
        <w:t xml:space="preserve">required for </w:t>
      </w:r>
      <w:r w:rsidRPr="006607B5">
        <w:rPr>
          <w:sz w:val="22"/>
          <w:szCs w:val="22"/>
        </w:rPr>
        <w:t xml:space="preserve">successful </w:t>
      </w:r>
      <w:r w:rsidR="006607B5">
        <w:rPr>
          <w:sz w:val="22"/>
          <w:szCs w:val="22"/>
        </w:rPr>
        <w:t xml:space="preserve">implementation </w:t>
      </w:r>
    </w:p>
    <w:p w14:paraId="49128339" w14:textId="239C8FCA" w:rsidR="006607B5" w:rsidRPr="00CA29B0" w:rsidRDefault="006607B5" w:rsidP="000A31E6">
      <w:pPr>
        <w:keepNext/>
        <w:keepLines/>
        <w:numPr>
          <w:ilvl w:val="0"/>
          <w:numId w:val="10"/>
        </w:numPr>
        <w:rPr>
          <w:sz w:val="22"/>
          <w:szCs w:val="22"/>
        </w:rPr>
      </w:pPr>
      <w:r>
        <w:rPr>
          <w:sz w:val="22"/>
        </w:rPr>
        <w:t>legal impediments to collection point</w:t>
      </w:r>
      <w:r w:rsidR="00CA29B0">
        <w:rPr>
          <w:sz w:val="22"/>
        </w:rPr>
        <w:t>s</w:t>
      </w:r>
    </w:p>
    <w:p w14:paraId="4844F334" w14:textId="548EC0A5" w:rsidR="00CA29B0" w:rsidRPr="00CA29B0" w:rsidRDefault="00CA29B0" w:rsidP="000A31E6">
      <w:pPr>
        <w:keepNext/>
        <w:keepLines/>
        <w:numPr>
          <w:ilvl w:val="0"/>
          <w:numId w:val="10"/>
        </w:numPr>
        <w:rPr>
          <w:sz w:val="22"/>
          <w:szCs w:val="22"/>
        </w:rPr>
      </w:pPr>
      <w:r>
        <w:rPr>
          <w:sz w:val="22"/>
        </w:rPr>
        <w:t>support from other jurisdictions where implementation requires state and territory legislation or resources</w:t>
      </w:r>
    </w:p>
    <w:p w14:paraId="5DBFF1A5" w14:textId="2D4D50D7" w:rsidR="00CA29B0" w:rsidRPr="00CA29B0" w:rsidRDefault="006607B5" w:rsidP="000A31E6">
      <w:pPr>
        <w:keepNext/>
        <w:keepLines/>
        <w:numPr>
          <w:ilvl w:val="0"/>
          <w:numId w:val="10"/>
        </w:numPr>
        <w:rPr>
          <w:rFonts w:ascii="Times New Roman" w:hAnsi="Times New Roman"/>
          <w:sz w:val="22"/>
        </w:rPr>
      </w:pPr>
      <w:r w:rsidRPr="006607B5">
        <w:rPr>
          <w:sz w:val="22"/>
        </w:rPr>
        <w:t>the number of collection points required</w:t>
      </w:r>
      <w:r w:rsidR="00CA29B0">
        <w:rPr>
          <w:sz w:val="22"/>
        </w:rPr>
        <w:t xml:space="preserve"> and burden imposed on business and levy payers </w:t>
      </w:r>
    </w:p>
    <w:p w14:paraId="159FC40E" w14:textId="27846BD2" w:rsidR="006607B5" w:rsidRPr="00CA29B0" w:rsidRDefault="00CA29B0" w:rsidP="000A31E6">
      <w:pPr>
        <w:keepNext/>
        <w:keepLines/>
        <w:numPr>
          <w:ilvl w:val="0"/>
          <w:numId w:val="10"/>
        </w:numPr>
        <w:rPr>
          <w:sz w:val="22"/>
        </w:rPr>
      </w:pPr>
      <w:r w:rsidRPr="00CA29B0">
        <w:rPr>
          <w:sz w:val="22"/>
        </w:rPr>
        <w:t xml:space="preserve">the complexity and </w:t>
      </w:r>
      <w:r w:rsidR="006607B5" w:rsidRPr="00CA29B0">
        <w:rPr>
          <w:sz w:val="22"/>
        </w:rPr>
        <w:t>cost of administration</w:t>
      </w:r>
      <w:r w:rsidRPr="00CA29B0">
        <w:rPr>
          <w:sz w:val="22"/>
        </w:rPr>
        <w:t xml:space="preserve"> and </w:t>
      </w:r>
      <w:r w:rsidR="006607B5" w:rsidRPr="00CA29B0">
        <w:rPr>
          <w:sz w:val="22"/>
        </w:rPr>
        <w:t xml:space="preserve">auditing </w:t>
      </w:r>
    </w:p>
    <w:p w14:paraId="4F9DB114" w14:textId="77777777" w:rsidR="00B03109" w:rsidRDefault="00B03109" w:rsidP="00B03109">
      <w:pPr>
        <w:pStyle w:val="Heading1"/>
      </w:pPr>
      <w:bookmarkStart w:id="62" w:name="_Toc466462533"/>
      <w:r w:rsidRPr="004B3FDA">
        <w:t>Findings</w:t>
      </w:r>
      <w:bookmarkEnd w:id="62"/>
    </w:p>
    <w:p w14:paraId="6F9F3217" w14:textId="77777777" w:rsidR="00B03109" w:rsidRPr="00D01077" w:rsidRDefault="00B03109" w:rsidP="00D17C98">
      <w:pPr>
        <w:rPr>
          <w:sz w:val="22"/>
        </w:rPr>
      </w:pPr>
      <w:r w:rsidRPr="00D01077">
        <w:rPr>
          <w:sz w:val="22"/>
        </w:rPr>
        <w:t>The department has considered all feedback from the review and reached a number of findings:</w:t>
      </w:r>
    </w:p>
    <w:p w14:paraId="495196CA" w14:textId="77777777" w:rsidR="00B03109" w:rsidRPr="008C51B0" w:rsidRDefault="00B03109" w:rsidP="006810CE">
      <w:pPr>
        <w:pStyle w:val="ListNumber"/>
        <w:numPr>
          <w:ilvl w:val="0"/>
          <w:numId w:val="39"/>
        </w:numPr>
        <w:tabs>
          <w:tab w:val="clear" w:pos="284"/>
        </w:tabs>
        <w:spacing w:before="0" w:after="200"/>
        <w:rPr>
          <w:sz w:val="22"/>
        </w:rPr>
      </w:pPr>
      <w:r w:rsidRPr="008C51B0">
        <w:rPr>
          <w:sz w:val="22"/>
        </w:rPr>
        <w:t xml:space="preserve">The horse industry supports the current levy collection points of manufactured feed and horse wormers. The horse industry view is that this is currently the most equitable option available that provides the broadest coverage. </w:t>
      </w:r>
    </w:p>
    <w:p w14:paraId="519CF58D" w14:textId="77777777" w:rsidR="006810CE" w:rsidRPr="00F1344B" w:rsidRDefault="006810CE" w:rsidP="006810CE">
      <w:pPr>
        <w:pStyle w:val="ListNumber"/>
        <w:numPr>
          <w:ilvl w:val="0"/>
          <w:numId w:val="39"/>
        </w:numPr>
        <w:tabs>
          <w:tab w:val="clear" w:pos="284"/>
        </w:tabs>
        <w:spacing w:before="0" w:after="200"/>
        <w:rPr>
          <w:sz w:val="22"/>
        </w:rPr>
      </w:pPr>
      <w:r w:rsidRPr="00F1344B">
        <w:rPr>
          <w:sz w:val="22"/>
        </w:rPr>
        <w:t xml:space="preserve">There is strong opposition to the current collection points from stakeholders responsible for collecting the levy. </w:t>
      </w:r>
      <w:r>
        <w:rPr>
          <w:sz w:val="22"/>
        </w:rPr>
        <w:t>T</w:t>
      </w:r>
      <w:r w:rsidRPr="00F1344B">
        <w:rPr>
          <w:sz w:val="22"/>
        </w:rPr>
        <w:t xml:space="preserve">hese stakeholders believe </w:t>
      </w:r>
      <w:r w:rsidRPr="00F1344B">
        <w:rPr>
          <w:sz w:val="22"/>
          <w:szCs w:val="22"/>
        </w:rPr>
        <w:t xml:space="preserve">that the current levy collection points do not satisfy all of the Australian Government </w:t>
      </w:r>
      <w:r w:rsidRPr="00F1344B">
        <w:rPr>
          <w:i/>
          <w:sz w:val="22"/>
          <w:szCs w:val="22"/>
        </w:rPr>
        <w:t>Levy Principles and Guidelines</w:t>
      </w:r>
      <w:r>
        <w:rPr>
          <w:sz w:val="22"/>
          <w:szCs w:val="22"/>
        </w:rPr>
        <w:t>, however, the department does not support this view.</w:t>
      </w:r>
      <w:r w:rsidRPr="00F1344B">
        <w:rPr>
          <w:sz w:val="22"/>
        </w:rPr>
        <w:t xml:space="preserve"> </w:t>
      </w:r>
    </w:p>
    <w:p w14:paraId="1606F250" w14:textId="31D152C6" w:rsidR="00B03109" w:rsidRPr="00F1344B" w:rsidRDefault="00F1344B" w:rsidP="006810CE">
      <w:pPr>
        <w:pStyle w:val="ListNumber"/>
        <w:numPr>
          <w:ilvl w:val="0"/>
          <w:numId w:val="39"/>
        </w:numPr>
        <w:tabs>
          <w:tab w:val="clear" w:pos="284"/>
        </w:tabs>
        <w:spacing w:before="0" w:after="200"/>
        <w:rPr>
          <w:sz w:val="22"/>
        </w:rPr>
      </w:pPr>
      <w:r>
        <w:rPr>
          <w:sz w:val="22"/>
        </w:rPr>
        <w:t>Concerns from s</w:t>
      </w:r>
      <w:r w:rsidR="003811EA" w:rsidRPr="00F1344B">
        <w:rPr>
          <w:sz w:val="22"/>
        </w:rPr>
        <w:t xml:space="preserve">takeholders </w:t>
      </w:r>
      <w:r w:rsidRPr="00F1344B">
        <w:rPr>
          <w:sz w:val="22"/>
        </w:rPr>
        <w:t>oppos</w:t>
      </w:r>
      <w:r>
        <w:rPr>
          <w:sz w:val="22"/>
        </w:rPr>
        <w:t>ed t</w:t>
      </w:r>
      <w:r w:rsidRPr="00F1344B">
        <w:rPr>
          <w:sz w:val="22"/>
        </w:rPr>
        <w:t xml:space="preserve">o the current collection points </w:t>
      </w:r>
      <w:r w:rsidR="003811EA" w:rsidRPr="00F1344B">
        <w:rPr>
          <w:sz w:val="22"/>
        </w:rPr>
        <w:t xml:space="preserve">that </w:t>
      </w:r>
      <w:r w:rsidR="00B03109" w:rsidRPr="00F1344B">
        <w:rPr>
          <w:sz w:val="22"/>
        </w:rPr>
        <w:t>potential inequities preventing even coverage of the levy and potential levy leakage are valid. However, there is insufficient data about horse population and feeding and worming practices for a final conclusion to be reached about whether the collection points should be amended.</w:t>
      </w:r>
    </w:p>
    <w:p w14:paraId="52DB58E8" w14:textId="5DA565EB" w:rsidR="0080548C" w:rsidRDefault="00DA55C9" w:rsidP="006810CE">
      <w:pPr>
        <w:pStyle w:val="ListNumber"/>
        <w:numPr>
          <w:ilvl w:val="0"/>
          <w:numId w:val="39"/>
        </w:numPr>
        <w:tabs>
          <w:tab w:val="clear" w:pos="284"/>
        </w:tabs>
        <w:spacing w:before="0" w:after="200"/>
        <w:rPr>
          <w:sz w:val="22"/>
        </w:rPr>
      </w:pPr>
      <w:r>
        <w:rPr>
          <w:sz w:val="22"/>
        </w:rPr>
        <w:t>While a number of alternative collection points were proposed, f</w:t>
      </w:r>
      <w:r w:rsidR="00C90846" w:rsidRPr="000C7450">
        <w:rPr>
          <w:sz w:val="22"/>
        </w:rPr>
        <w:t>urther data about horse population and feeding and worming practices is required. This will allow a more conclusive analysis of current and alternative collection point</w:t>
      </w:r>
      <w:r>
        <w:rPr>
          <w:sz w:val="22"/>
        </w:rPr>
        <w:t>s</w:t>
      </w:r>
      <w:r w:rsidR="00C90846" w:rsidRPr="000C7450">
        <w:rPr>
          <w:sz w:val="22"/>
        </w:rPr>
        <w:t xml:space="preserve">. </w:t>
      </w:r>
    </w:p>
    <w:p w14:paraId="58178C7C" w14:textId="2C75640B" w:rsidR="00C90846" w:rsidRPr="000C7450" w:rsidRDefault="00C90846" w:rsidP="006810CE">
      <w:pPr>
        <w:pStyle w:val="ListNumber"/>
        <w:numPr>
          <w:ilvl w:val="0"/>
          <w:numId w:val="39"/>
        </w:numPr>
        <w:tabs>
          <w:tab w:val="clear" w:pos="284"/>
        </w:tabs>
        <w:spacing w:before="0" w:after="200"/>
        <w:rPr>
          <w:sz w:val="22"/>
        </w:rPr>
      </w:pPr>
      <w:r w:rsidRPr="000C7450">
        <w:rPr>
          <w:sz w:val="22"/>
        </w:rPr>
        <w:t xml:space="preserve">Stakeholders opposing the levy also raised concerns that </w:t>
      </w:r>
      <w:r w:rsidR="00F1344B">
        <w:rPr>
          <w:sz w:val="22"/>
        </w:rPr>
        <w:t xml:space="preserve">the </w:t>
      </w:r>
      <w:r w:rsidRPr="000C7450">
        <w:rPr>
          <w:i/>
          <w:sz w:val="22"/>
        </w:rPr>
        <w:t>Horse Disease Response Levy Act 2011</w:t>
      </w:r>
      <w:r w:rsidRPr="000C7450">
        <w:rPr>
          <w:sz w:val="22"/>
        </w:rPr>
        <w:t xml:space="preserve"> (Commonwealth) might </w:t>
      </w:r>
      <w:r w:rsidR="00DA55C9">
        <w:rPr>
          <w:sz w:val="22"/>
        </w:rPr>
        <w:t>inhibit</w:t>
      </w:r>
      <w:r w:rsidRPr="000C7450">
        <w:rPr>
          <w:sz w:val="22"/>
        </w:rPr>
        <w:t xml:space="preserve"> levy costs being passed on to the end user of manufactured feed or horse wormer</w:t>
      </w:r>
      <w:r>
        <w:rPr>
          <w:sz w:val="22"/>
        </w:rPr>
        <w:t>s.</w:t>
      </w:r>
      <w:r w:rsidRPr="000C7450">
        <w:rPr>
          <w:sz w:val="22"/>
        </w:rPr>
        <w:t xml:space="preserve"> </w:t>
      </w:r>
      <w:r w:rsidR="00F1344B">
        <w:rPr>
          <w:sz w:val="22"/>
        </w:rPr>
        <w:t>Substantiation of this issue requires further investigation.</w:t>
      </w:r>
    </w:p>
    <w:p w14:paraId="675C1DD8" w14:textId="2E8BD51C" w:rsidR="00B03109" w:rsidRDefault="00B03109" w:rsidP="00DA55C9">
      <w:pPr>
        <w:pStyle w:val="ListNumber"/>
        <w:numPr>
          <w:ilvl w:val="0"/>
          <w:numId w:val="0"/>
        </w:numPr>
        <w:tabs>
          <w:tab w:val="clear" w:pos="284"/>
        </w:tabs>
        <w:spacing w:before="0" w:after="200"/>
        <w:ind w:left="284" w:hanging="284"/>
      </w:pPr>
      <w:r>
        <w:rPr>
          <w:sz w:val="22"/>
        </w:rPr>
        <w:br w:type="page"/>
      </w:r>
      <w:bookmarkStart w:id="63" w:name="_ATTACHMENT_A"/>
      <w:bookmarkEnd w:id="63"/>
    </w:p>
    <w:p w14:paraId="53F1D95C" w14:textId="7ED213A6" w:rsidR="00B03109" w:rsidRPr="001939B2" w:rsidRDefault="00DA55C9" w:rsidP="00B03109">
      <w:pPr>
        <w:pStyle w:val="Heading2"/>
      </w:pPr>
      <w:bookmarkStart w:id="64" w:name="_Toc433188247"/>
      <w:bookmarkStart w:id="65" w:name="_Toc438109712"/>
      <w:bookmarkStart w:id="66" w:name="_Toc466462534"/>
      <w:r>
        <w:lastRenderedPageBreak/>
        <w:t>A</w:t>
      </w:r>
      <w:r w:rsidR="00B03109" w:rsidRPr="001939B2">
        <w:t xml:space="preserve">TTACHMENT </w:t>
      </w:r>
      <w:bookmarkEnd w:id="64"/>
      <w:r w:rsidR="00B03109">
        <w:t>A</w:t>
      </w:r>
      <w:bookmarkEnd w:id="65"/>
      <w:bookmarkEnd w:id="66"/>
    </w:p>
    <w:p w14:paraId="002C7BDD" w14:textId="77777777" w:rsidR="00B03109" w:rsidRDefault="00B03109" w:rsidP="00B03109">
      <w:pPr>
        <w:pStyle w:val="Heading3"/>
      </w:pPr>
      <w:bookmarkStart w:id="67" w:name="_Toc433188248"/>
      <w:bookmarkStart w:id="68" w:name="_Toc438109713"/>
      <w:bookmarkStart w:id="69" w:name="_Toc466462535"/>
      <w:r w:rsidRPr="002E2562">
        <w:t xml:space="preserve">Consultation </w:t>
      </w:r>
      <w:bookmarkStart w:id="70" w:name="_Toc433188249"/>
      <w:bookmarkEnd w:id="67"/>
      <w:r>
        <w:t>- External Stakeholders</w:t>
      </w:r>
      <w:bookmarkEnd w:id="68"/>
      <w:bookmarkEnd w:id="69"/>
      <w:bookmarkEnd w:id="70"/>
    </w:p>
    <w:p w14:paraId="45986DCE" w14:textId="77777777" w:rsidR="00B03109" w:rsidRPr="00A2038F" w:rsidRDefault="00B03109" w:rsidP="00B03109"/>
    <w:p w14:paraId="03B94B3D" w14:textId="77777777" w:rsidR="00B03109" w:rsidRPr="00A2038F" w:rsidRDefault="00B03109" w:rsidP="00B03109">
      <w:pPr>
        <w:pStyle w:val="TableText"/>
        <w:pBdr>
          <w:top w:val="single" w:sz="4" w:space="1" w:color="auto"/>
        </w:pBdr>
        <w:jc w:val="center"/>
        <w:rPr>
          <w:b/>
          <w:sz w:val="22"/>
          <w:lang w:eastAsia="en-AU"/>
        </w:rPr>
      </w:pPr>
      <w:bookmarkStart w:id="71" w:name="_Pre-Consultation_stakeholder_engage"/>
      <w:bookmarkStart w:id="72" w:name="_Travel_states,_dates"/>
      <w:bookmarkStart w:id="73" w:name="_Teleconferences"/>
      <w:bookmarkStart w:id="74" w:name="_State_and_Territory"/>
      <w:bookmarkEnd w:id="71"/>
      <w:bookmarkEnd w:id="72"/>
      <w:bookmarkEnd w:id="73"/>
      <w:bookmarkEnd w:id="74"/>
      <w:r w:rsidRPr="00A2038F">
        <w:rPr>
          <w:b/>
          <w:sz w:val="22"/>
          <w:lang w:eastAsia="en-AU"/>
        </w:rPr>
        <w:t>Organisation</w:t>
      </w:r>
    </w:p>
    <w:p w14:paraId="76880506" w14:textId="77777777" w:rsidR="00B03109" w:rsidRDefault="00B03109" w:rsidP="00B03109">
      <w:pPr>
        <w:pStyle w:val="TableText"/>
        <w:pBdr>
          <w:top w:val="single" w:sz="4" w:space="1" w:color="auto"/>
        </w:pBdr>
        <w:rPr>
          <w:lang w:eastAsia="en-AU"/>
        </w:rPr>
      </w:pPr>
    </w:p>
    <w:p w14:paraId="5B35BB47" w14:textId="77777777" w:rsidR="00B03109" w:rsidRDefault="00B03109" w:rsidP="00B03109">
      <w:pPr>
        <w:pStyle w:val="TableText"/>
        <w:pBdr>
          <w:top w:val="single" w:sz="4" w:space="1" w:color="auto"/>
        </w:pBdr>
        <w:rPr>
          <w:lang w:eastAsia="en-AU"/>
        </w:rPr>
      </w:pPr>
    </w:p>
    <w:p w14:paraId="375E75A0" w14:textId="77777777" w:rsidR="00B03109" w:rsidRPr="00A2038F" w:rsidRDefault="00B03109" w:rsidP="00B03109">
      <w:pPr>
        <w:pStyle w:val="TableText"/>
        <w:pBdr>
          <w:top w:val="single" w:sz="4" w:space="1" w:color="auto"/>
        </w:pBdr>
        <w:rPr>
          <w:sz w:val="22"/>
          <w:lang w:eastAsia="en-AU"/>
        </w:rPr>
      </w:pPr>
      <w:r w:rsidRPr="00A2038F">
        <w:rPr>
          <w:sz w:val="22"/>
          <w:lang w:eastAsia="en-AU"/>
        </w:rPr>
        <w:t>Animal Health Australia</w:t>
      </w:r>
    </w:p>
    <w:p w14:paraId="3DD34501" w14:textId="77777777" w:rsidR="00B03109" w:rsidRPr="00A2038F" w:rsidRDefault="00B03109" w:rsidP="00B03109">
      <w:pPr>
        <w:pStyle w:val="TableText"/>
        <w:pBdr>
          <w:top w:val="single" w:sz="4" w:space="1" w:color="auto"/>
        </w:pBdr>
        <w:rPr>
          <w:sz w:val="22"/>
          <w:lang w:eastAsia="en-AU"/>
        </w:rPr>
      </w:pPr>
      <w:r w:rsidRPr="00A2038F">
        <w:rPr>
          <w:sz w:val="22"/>
          <w:lang w:eastAsia="en-AU"/>
        </w:rPr>
        <w:t>Animal Medicines Australia</w:t>
      </w:r>
    </w:p>
    <w:p w14:paraId="6D0B14F2" w14:textId="77777777" w:rsidR="00B03109" w:rsidRPr="00A2038F" w:rsidRDefault="00B03109" w:rsidP="00B03109">
      <w:pPr>
        <w:pStyle w:val="TableText"/>
        <w:pBdr>
          <w:top w:val="single" w:sz="4" w:space="1" w:color="auto"/>
        </w:pBdr>
        <w:rPr>
          <w:sz w:val="22"/>
          <w:lang w:eastAsia="en-AU"/>
        </w:rPr>
      </w:pPr>
      <w:r w:rsidRPr="00A2038F">
        <w:rPr>
          <w:sz w:val="22"/>
          <w:lang w:eastAsia="en-AU"/>
        </w:rPr>
        <w:t xml:space="preserve">Australian Bushmen’s Campdraft &amp; Rodeo Association </w:t>
      </w:r>
    </w:p>
    <w:p w14:paraId="5D2F8318" w14:textId="77777777" w:rsidR="00B03109" w:rsidRPr="00A2038F" w:rsidRDefault="00B03109" w:rsidP="00B03109">
      <w:pPr>
        <w:pStyle w:val="TableText"/>
        <w:pBdr>
          <w:top w:val="single" w:sz="4" w:space="1" w:color="auto"/>
        </w:pBdr>
        <w:rPr>
          <w:sz w:val="22"/>
          <w:lang w:eastAsia="en-AU"/>
        </w:rPr>
      </w:pPr>
      <w:r w:rsidRPr="00A2038F">
        <w:rPr>
          <w:sz w:val="22"/>
          <w:lang w:eastAsia="en-AU"/>
        </w:rPr>
        <w:t>Australian Campdraft Council</w:t>
      </w:r>
    </w:p>
    <w:p w14:paraId="02C5213D" w14:textId="77777777" w:rsidR="00B03109" w:rsidRPr="00A2038F" w:rsidRDefault="00B03109" w:rsidP="00B03109">
      <w:pPr>
        <w:pStyle w:val="TableText"/>
        <w:pBdr>
          <w:top w:val="single" w:sz="4" w:space="1" w:color="auto"/>
        </w:pBdr>
        <w:rPr>
          <w:sz w:val="22"/>
          <w:lang w:eastAsia="en-AU"/>
        </w:rPr>
      </w:pPr>
      <w:r w:rsidRPr="00A2038F">
        <w:rPr>
          <w:sz w:val="22"/>
          <w:lang w:eastAsia="en-AU"/>
        </w:rPr>
        <w:t>Australian Horse Industry Council</w:t>
      </w:r>
    </w:p>
    <w:p w14:paraId="5F98DBC1" w14:textId="77777777" w:rsidR="00B03109" w:rsidRPr="00A2038F" w:rsidRDefault="00B03109" w:rsidP="00B03109">
      <w:pPr>
        <w:pStyle w:val="TableText"/>
        <w:pBdr>
          <w:top w:val="single" w:sz="4" w:space="1" w:color="auto"/>
        </w:pBdr>
        <w:rPr>
          <w:sz w:val="22"/>
          <w:lang w:eastAsia="en-AU"/>
        </w:rPr>
      </w:pPr>
      <w:r w:rsidRPr="00A2038F">
        <w:rPr>
          <w:sz w:val="22"/>
          <w:lang w:eastAsia="en-AU"/>
        </w:rPr>
        <w:t>Australian Pony Stud Book Society</w:t>
      </w:r>
    </w:p>
    <w:p w14:paraId="0633569B" w14:textId="77777777" w:rsidR="00B03109" w:rsidRPr="00A2038F" w:rsidRDefault="00B03109" w:rsidP="00B03109">
      <w:pPr>
        <w:pStyle w:val="TableText"/>
        <w:pBdr>
          <w:top w:val="single" w:sz="4" w:space="1" w:color="auto"/>
        </w:pBdr>
        <w:rPr>
          <w:sz w:val="22"/>
          <w:lang w:eastAsia="en-AU"/>
        </w:rPr>
      </w:pPr>
      <w:r w:rsidRPr="00A2038F">
        <w:rPr>
          <w:sz w:val="22"/>
          <w:lang w:eastAsia="en-AU"/>
        </w:rPr>
        <w:t>Australian Quarter Horse Association</w:t>
      </w:r>
    </w:p>
    <w:p w14:paraId="7A8E3A78" w14:textId="77777777" w:rsidR="00B03109" w:rsidRPr="00A2038F" w:rsidRDefault="00B03109" w:rsidP="00B03109">
      <w:pPr>
        <w:pStyle w:val="TableText"/>
        <w:pBdr>
          <w:top w:val="single" w:sz="4" w:space="1" w:color="auto"/>
        </w:pBdr>
        <w:rPr>
          <w:sz w:val="22"/>
          <w:lang w:eastAsia="en-AU"/>
        </w:rPr>
      </w:pPr>
      <w:r w:rsidRPr="00A2038F">
        <w:rPr>
          <w:sz w:val="22"/>
          <w:lang w:eastAsia="en-AU"/>
        </w:rPr>
        <w:t>Australian Stock Horse Society</w:t>
      </w:r>
    </w:p>
    <w:p w14:paraId="3D65F658" w14:textId="77777777" w:rsidR="00B03109" w:rsidRPr="00A2038F" w:rsidRDefault="00B03109" w:rsidP="00B03109">
      <w:pPr>
        <w:pStyle w:val="TableText"/>
        <w:pBdr>
          <w:top w:val="single" w:sz="4" w:space="1" w:color="auto"/>
        </w:pBdr>
        <w:rPr>
          <w:sz w:val="22"/>
          <w:lang w:eastAsia="en-AU"/>
        </w:rPr>
      </w:pPr>
      <w:r w:rsidRPr="00A2038F">
        <w:rPr>
          <w:sz w:val="22"/>
          <w:lang w:eastAsia="en-AU"/>
        </w:rPr>
        <w:t>Equestrian Australia</w:t>
      </w:r>
    </w:p>
    <w:p w14:paraId="0BA8656A" w14:textId="77777777" w:rsidR="00B03109" w:rsidRPr="00A2038F" w:rsidRDefault="00B03109" w:rsidP="00B03109">
      <w:pPr>
        <w:pStyle w:val="TableText"/>
        <w:pBdr>
          <w:top w:val="single" w:sz="4" w:space="1" w:color="auto"/>
        </w:pBdr>
        <w:rPr>
          <w:sz w:val="22"/>
          <w:lang w:eastAsia="en-AU"/>
        </w:rPr>
      </w:pPr>
      <w:r w:rsidRPr="00A2038F">
        <w:rPr>
          <w:sz w:val="22"/>
          <w:lang w:eastAsia="en-AU"/>
        </w:rPr>
        <w:t>Equine Dental Association of Australia</w:t>
      </w:r>
    </w:p>
    <w:p w14:paraId="56474602" w14:textId="77777777" w:rsidR="00B03109" w:rsidRPr="00A2038F" w:rsidRDefault="00B03109" w:rsidP="00B03109">
      <w:pPr>
        <w:pStyle w:val="TableText"/>
        <w:pBdr>
          <w:top w:val="single" w:sz="4" w:space="1" w:color="auto"/>
        </w:pBdr>
        <w:rPr>
          <w:sz w:val="22"/>
          <w:lang w:eastAsia="en-AU"/>
        </w:rPr>
      </w:pPr>
      <w:r w:rsidRPr="00A2038F">
        <w:rPr>
          <w:sz w:val="22"/>
          <w:lang w:eastAsia="en-AU"/>
        </w:rPr>
        <w:t>Equine Veterinarians Australia</w:t>
      </w:r>
    </w:p>
    <w:p w14:paraId="0755A4E7" w14:textId="77777777" w:rsidR="00B03109" w:rsidRPr="00A2038F" w:rsidRDefault="00B03109" w:rsidP="00B03109">
      <w:pPr>
        <w:pStyle w:val="TableText"/>
        <w:pBdr>
          <w:top w:val="single" w:sz="4" w:space="1" w:color="auto"/>
        </w:pBdr>
        <w:rPr>
          <w:sz w:val="22"/>
          <w:lang w:eastAsia="en-AU"/>
        </w:rPr>
      </w:pPr>
      <w:r w:rsidRPr="00A2038F">
        <w:rPr>
          <w:sz w:val="22"/>
          <w:lang w:eastAsia="en-AU"/>
        </w:rPr>
        <w:t>Harness Racing Australia</w:t>
      </w:r>
    </w:p>
    <w:p w14:paraId="7BA3F427" w14:textId="77777777" w:rsidR="00B03109" w:rsidRPr="00A2038F" w:rsidRDefault="00B03109" w:rsidP="00B03109">
      <w:pPr>
        <w:pStyle w:val="TableText"/>
        <w:pBdr>
          <w:top w:val="single" w:sz="4" w:space="1" w:color="auto"/>
        </w:pBdr>
        <w:rPr>
          <w:sz w:val="22"/>
          <w:lang w:eastAsia="en-AU"/>
        </w:rPr>
      </w:pPr>
      <w:r w:rsidRPr="00A2038F">
        <w:rPr>
          <w:sz w:val="22"/>
          <w:lang w:eastAsia="en-AU"/>
        </w:rPr>
        <w:t>Horse Rider Fall Safety</w:t>
      </w:r>
    </w:p>
    <w:p w14:paraId="5BDA6BE2" w14:textId="77777777" w:rsidR="00B03109" w:rsidRPr="00A2038F" w:rsidRDefault="00B03109" w:rsidP="00B03109">
      <w:pPr>
        <w:pStyle w:val="TableText"/>
        <w:pBdr>
          <w:top w:val="single" w:sz="4" w:space="1" w:color="auto"/>
        </w:pBdr>
        <w:rPr>
          <w:sz w:val="22"/>
          <w:lang w:eastAsia="en-AU"/>
        </w:rPr>
      </w:pPr>
      <w:r w:rsidRPr="00A2038F">
        <w:rPr>
          <w:sz w:val="22"/>
          <w:lang w:eastAsia="en-AU"/>
        </w:rPr>
        <w:t>Horse SA</w:t>
      </w:r>
    </w:p>
    <w:p w14:paraId="6569B6B5" w14:textId="77777777" w:rsidR="00B03109" w:rsidRPr="00A2038F" w:rsidRDefault="00B03109" w:rsidP="00B03109">
      <w:pPr>
        <w:pStyle w:val="TableText"/>
        <w:pBdr>
          <w:top w:val="single" w:sz="4" w:space="1" w:color="auto"/>
        </w:pBdr>
        <w:rPr>
          <w:sz w:val="22"/>
          <w:lang w:eastAsia="en-AU"/>
        </w:rPr>
      </w:pPr>
      <w:r w:rsidRPr="00A2038F">
        <w:rPr>
          <w:sz w:val="22"/>
          <w:lang w:eastAsia="en-AU"/>
        </w:rPr>
        <w:t xml:space="preserve">Mustad </w:t>
      </w:r>
    </w:p>
    <w:p w14:paraId="23933664" w14:textId="77777777" w:rsidR="00B03109" w:rsidRPr="00A2038F" w:rsidRDefault="00B03109" w:rsidP="00B03109">
      <w:pPr>
        <w:pStyle w:val="TableText"/>
        <w:pBdr>
          <w:top w:val="single" w:sz="4" w:space="1" w:color="auto"/>
        </w:pBdr>
        <w:rPr>
          <w:sz w:val="22"/>
          <w:lang w:eastAsia="en-AU"/>
        </w:rPr>
      </w:pPr>
      <w:r w:rsidRPr="00A2038F">
        <w:rPr>
          <w:sz w:val="22"/>
          <w:lang w:eastAsia="en-AU"/>
        </w:rPr>
        <w:t>National Campdraft Council of Australia</w:t>
      </w:r>
    </w:p>
    <w:p w14:paraId="619A5EBC" w14:textId="77777777" w:rsidR="00B03109" w:rsidRPr="00A2038F" w:rsidRDefault="00B03109" w:rsidP="00B03109">
      <w:pPr>
        <w:pStyle w:val="TableText"/>
        <w:pBdr>
          <w:top w:val="single" w:sz="4" w:space="1" w:color="auto"/>
        </w:pBdr>
        <w:rPr>
          <w:sz w:val="22"/>
          <w:lang w:eastAsia="en-AU"/>
        </w:rPr>
      </w:pPr>
      <w:r w:rsidRPr="00A2038F">
        <w:rPr>
          <w:sz w:val="22"/>
          <w:lang w:eastAsia="en-AU"/>
        </w:rPr>
        <w:t>Polocrosse Association of Australia</w:t>
      </w:r>
    </w:p>
    <w:p w14:paraId="7A314C47" w14:textId="77777777" w:rsidR="00B03109" w:rsidRPr="00A2038F" w:rsidRDefault="00B03109" w:rsidP="00B03109">
      <w:pPr>
        <w:pStyle w:val="TableText"/>
        <w:pBdr>
          <w:top w:val="single" w:sz="4" w:space="1" w:color="auto"/>
        </w:pBdr>
        <w:rPr>
          <w:sz w:val="22"/>
          <w:lang w:eastAsia="en-AU"/>
        </w:rPr>
      </w:pPr>
      <w:r w:rsidRPr="00A2038F">
        <w:rPr>
          <w:sz w:val="22"/>
          <w:lang w:eastAsia="en-AU"/>
        </w:rPr>
        <w:t>Pony Club Australia</w:t>
      </w:r>
    </w:p>
    <w:p w14:paraId="504834E8" w14:textId="77777777" w:rsidR="00B03109" w:rsidRPr="00A2038F" w:rsidRDefault="00B03109" w:rsidP="00B03109">
      <w:pPr>
        <w:pStyle w:val="TableText"/>
        <w:pBdr>
          <w:top w:val="single" w:sz="4" w:space="1" w:color="auto"/>
        </w:pBdr>
        <w:rPr>
          <w:sz w:val="22"/>
          <w:lang w:eastAsia="en-AU"/>
        </w:rPr>
      </w:pPr>
      <w:r w:rsidRPr="00A2038F">
        <w:rPr>
          <w:sz w:val="22"/>
          <w:lang w:eastAsia="en-AU"/>
        </w:rPr>
        <w:t>Queensland Horse Industry Alliance</w:t>
      </w:r>
    </w:p>
    <w:p w14:paraId="7D227E85" w14:textId="77777777" w:rsidR="00B03109" w:rsidRPr="00A2038F" w:rsidRDefault="00B03109" w:rsidP="00B03109">
      <w:pPr>
        <w:pStyle w:val="TableText"/>
        <w:pBdr>
          <w:top w:val="single" w:sz="4" w:space="1" w:color="auto"/>
        </w:pBdr>
        <w:rPr>
          <w:sz w:val="22"/>
          <w:lang w:eastAsia="en-AU"/>
        </w:rPr>
      </w:pPr>
      <w:r w:rsidRPr="00A2038F">
        <w:rPr>
          <w:sz w:val="22"/>
          <w:lang w:eastAsia="en-AU"/>
        </w:rPr>
        <w:t>Racing Australia</w:t>
      </w:r>
    </w:p>
    <w:p w14:paraId="2F5CB724" w14:textId="77777777" w:rsidR="00B03109" w:rsidRPr="00A2038F" w:rsidRDefault="00B03109" w:rsidP="00B03109">
      <w:pPr>
        <w:pStyle w:val="TableText"/>
        <w:pBdr>
          <w:top w:val="single" w:sz="4" w:space="1" w:color="auto"/>
        </w:pBdr>
        <w:rPr>
          <w:sz w:val="22"/>
          <w:lang w:eastAsia="en-AU"/>
        </w:rPr>
      </w:pPr>
      <w:r w:rsidRPr="00A2038F">
        <w:rPr>
          <w:sz w:val="22"/>
          <w:lang w:eastAsia="en-AU"/>
        </w:rPr>
        <w:t>Racing Victoria</w:t>
      </w:r>
    </w:p>
    <w:p w14:paraId="12EABF9D" w14:textId="77777777" w:rsidR="00B03109" w:rsidRPr="00A2038F" w:rsidRDefault="00B03109" w:rsidP="00B03109">
      <w:pPr>
        <w:pStyle w:val="TableText"/>
        <w:pBdr>
          <w:top w:val="single" w:sz="4" w:space="1" w:color="auto"/>
        </w:pBdr>
        <w:rPr>
          <w:sz w:val="22"/>
          <w:lang w:eastAsia="en-AU"/>
        </w:rPr>
      </w:pPr>
      <w:r w:rsidRPr="00A2038F">
        <w:rPr>
          <w:sz w:val="22"/>
          <w:lang w:eastAsia="en-AU"/>
        </w:rPr>
        <w:t>Ridley Corporation</w:t>
      </w:r>
    </w:p>
    <w:p w14:paraId="52C5B437" w14:textId="77777777" w:rsidR="00B03109" w:rsidRPr="00A2038F" w:rsidRDefault="00B03109" w:rsidP="00B03109">
      <w:pPr>
        <w:pStyle w:val="TableText"/>
        <w:pBdr>
          <w:top w:val="single" w:sz="4" w:space="1" w:color="auto"/>
        </w:pBdr>
        <w:rPr>
          <w:sz w:val="22"/>
          <w:lang w:eastAsia="en-AU"/>
        </w:rPr>
      </w:pPr>
      <w:r w:rsidRPr="00A2038F">
        <w:rPr>
          <w:sz w:val="22"/>
          <w:lang w:eastAsia="en-AU"/>
        </w:rPr>
        <w:t>Stock Feed Manufacturers Council of Australia</w:t>
      </w:r>
    </w:p>
    <w:p w14:paraId="059F7514" w14:textId="77777777" w:rsidR="00B03109" w:rsidRPr="00A2038F" w:rsidRDefault="00B03109" w:rsidP="00B03109">
      <w:pPr>
        <w:pStyle w:val="TableText"/>
        <w:pBdr>
          <w:top w:val="single" w:sz="4" w:space="1" w:color="auto"/>
        </w:pBdr>
        <w:rPr>
          <w:sz w:val="22"/>
          <w:lang w:eastAsia="en-AU"/>
        </w:rPr>
      </w:pPr>
      <w:r w:rsidRPr="00A2038F">
        <w:rPr>
          <w:sz w:val="22"/>
          <w:lang w:eastAsia="en-AU"/>
        </w:rPr>
        <w:t>The Veterinary Manufacturers and Distributors Association</w:t>
      </w:r>
    </w:p>
    <w:p w14:paraId="515B4499" w14:textId="77777777" w:rsidR="00B03109" w:rsidRPr="00A2038F" w:rsidRDefault="00B03109" w:rsidP="00B03109">
      <w:pPr>
        <w:pStyle w:val="TableText"/>
        <w:pBdr>
          <w:top w:val="single" w:sz="4" w:space="1" w:color="auto"/>
        </w:pBdr>
        <w:rPr>
          <w:sz w:val="22"/>
          <w:lang w:eastAsia="en-AU"/>
        </w:rPr>
      </w:pPr>
      <w:r w:rsidRPr="00A2038F">
        <w:rPr>
          <w:sz w:val="22"/>
          <w:lang w:eastAsia="en-AU"/>
        </w:rPr>
        <w:t>Victorian Horse Council</w:t>
      </w:r>
    </w:p>
    <w:p w14:paraId="35639499" w14:textId="77777777" w:rsidR="00B03109" w:rsidRPr="00A2038F" w:rsidRDefault="00B03109" w:rsidP="00B03109">
      <w:pPr>
        <w:pStyle w:val="TableText"/>
        <w:pBdr>
          <w:top w:val="single" w:sz="4" w:space="1" w:color="auto"/>
        </w:pBdr>
        <w:rPr>
          <w:sz w:val="22"/>
          <w:lang w:eastAsia="en-AU"/>
        </w:rPr>
      </w:pPr>
      <w:r w:rsidRPr="00A2038F">
        <w:rPr>
          <w:sz w:val="22"/>
          <w:lang w:eastAsia="en-AU"/>
        </w:rPr>
        <w:t>Welsh Pony and Cob Society</w:t>
      </w:r>
    </w:p>
    <w:p w14:paraId="48488474" w14:textId="77777777" w:rsidR="00B03109" w:rsidRPr="00A2038F" w:rsidRDefault="00B03109" w:rsidP="00B03109">
      <w:pPr>
        <w:pStyle w:val="TableText"/>
        <w:pBdr>
          <w:top w:val="single" w:sz="4" w:space="1" w:color="auto"/>
        </w:pBdr>
        <w:rPr>
          <w:sz w:val="22"/>
          <w:lang w:eastAsia="en-AU"/>
        </w:rPr>
      </w:pPr>
      <w:r w:rsidRPr="00A2038F">
        <w:rPr>
          <w:sz w:val="22"/>
          <w:lang w:eastAsia="en-AU"/>
        </w:rPr>
        <w:t>West Australian Horse Council</w:t>
      </w:r>
    </w:p>
    <w:p w14:paraId="712A09B0" w14:textId="77777777" w:rsidR="00B03109" w:rsidRDefault="00B03109" w:rsidP="00B03109">
      <w:pPr>
        <w:pStyle w:val="TableText"/>
        <w:pBdr>
          <w:top w:val="single" w:sz="4" w:space="1" w:color="auto"/>
        </w:pBdr>
        <w:rPr>
          <w:lang w:eastAsia="en-AU"/>
        </w:rPr>
        <w:sectPr w:rsidR="00B03109" w:rsidSect="00BD47A0">
          <w:type w:val="continuous"/>
          <w:pgSz w:w="11907" w:h="16839" w:code="9"/>
          <w:pgMar w:top="1418" w:right="1418" w:bottom="1418" w:left="1418" w:header="567" w:footer="283" w:gutter="0"/>
          <w:cols w:space="708"/>
          <w:docGrid w:linePitch="360"/>
        </w:sectPr>
      </w:pPr>
    </w:p>
    <w:p w14:paraId="74C2976D" w14:textId="77777777" w:rsidR="00B03109" w:rsidRPr="002E2562" w:rsidRDefault="00B03109" w:rsidP="00B03109">
      <w:pPr>
        <w:pStyle w:val="Heading2"/>
      </w:pPr>
      <w:bookmarkStart w:id="75" w:name="_State_and_Territory_1"/>
      <w:bookmarkStart w:id="76" w:name="_ATTACHMENT_B_1"/>
      <w:bookmarkStart w:id="77" w:name="_Toc433188251"/>
      <w:bookmarkStart w:id="78" w:name="_Toc438109716"/>
      <w:bookmarkStart w:id="79" w:name="_Toc466462536"/>
      <w:bookmarkEnd w:id="75"/>
      <w:bookmarkEnd w:id="76"/>
      <w:r w:rsidRPr="002E2562">
        <w:lastRenderedPageBreak/>
        <w:t xml:space="preserve">ATTACHMENT </w:t>
      </w:r>
      <w:bookmarkEnd w:id="77"/>
      <w:r>
        <w:t>B</w:t>
      </w:r>
      <w:bookmarkEnd w:id="78"/>
      <w:bookmarkEnd w:id="79"/>
    </w:p>
    <w:p w14:paraId="68381F6A" w14:textId="77777777" w:rsidR="00B03109" w:rsidRPr="002E2562" w:rsidRDefault="00B03109" w:rsidP="00B03109">
      <w:pPr>
        <w:pStyle w:val="Heading3"/>
      </w:pPr>
      <w:bookmarkStart w:id="80" w:name="_Toc433188252"/>
      <w:bookmarkStart w:id="81" w:name="_Toc438109717"/>
      <w:bookmarkStart w:id="82" w:name="_Toc466462537"/>
      <w:r w:rsidRPr="002E2562">
        <w:t>Submissions List</w:t>
      </w:r>
      <w:bookmarkEnd w:id="80"/>
      <w:bookmarkEnd w:id="81"/>
      <w:bookmarkEnd w:id="82"/>
    </w:p>
    <w:p w14:paraId="4C1A1839" w14:textId="77777777" w:rsidR="00B03109" w:rsidRDefault="00B03109" w:rsidP="00B03109">
      <w:r>
        <w:t>The following stakeholders provided submissions to the Horse Disease Response Levy Review.</w:t>
      </w:r>
    </w:p>
    <w:p w14:paraId="461F9F68" w14:textId="77777777" w:rsidR="00513701" w:rsidRPr="00A2038F" w:rsidRDefault="00513701" w:rsidP="00513701"/>
    <w:p w14:paraId="46332D4D" w14:textId="3D0BA918" w:rsidR="00513701" w:rsidRPr="00A2038F" w:rsidRDefault="00513701" w:rsidP="00513701">
      <w:pPr>
        <w:pStyle w:val="TableText"/>
        <w:pBdr>
          <w:top w:val="single" w:sz="4" w:space="1" w:color="auto"/>
        </w:pBdr>
        <w:jc w:val="center"/>
        <w:rPr>
          <w:b/>
          <w:sz w:val="22"/>
          <w:lang w:eastAsia="en-AU"/>
        </w:rPr>
      </w:pPr>
      <w:r>
        <w:rPr>
          <w:b/>
          <w:sz w:val="22"/>
          <w:lang w:eastAsia="en-AU"/>
        </w:rPr>
        <w:t>Submissions Received</w:t>
      </w:r>
    </w:p>
    <w:p w14:paraId="08CC74BA" w14:textId="77777777" w:rsidR="00513701" w:rsidRPr="00180320" w:rsidRDefault="00513701" w:rsidP="00B03109"/>
    <w:p w14:paraId="3F81E3DD" w14:textId="55D93088" w:rsidR="00B03109" w:rsidRPr="00A2038F" w:rsidRDefault="00B03109" w:rsidP="00EB6034">
      <w:pPr>
        <w:pStyle w:val="Style1"/>
        <w:ind w:left="567"/>
        <w:rPr>
          <w:sz w:val="22"/>
        </w:rPr>
      </w:pPr>
      <w:r>
        <w:tab/>
      </w:r>
      <w:r w:rsidRPr="00A2038F">
        <w:rPr>
          <w:sz w:val="22"/>
        </w:rPr>
        <w:t>Australian Campdraft Association Inc.</w:t>
      </w:r>
      <w:r w:rsidR="003369F9" w:rsidRPr="00A2038F" w:rsidDel="003369F9">
        <w:rPr>
          <w:sz w:val="22"/>
        </w:rPr>
        <w:t xml:space="preserve"> </w:t>
      </w:r>
    </w:p>
    <w:p w14:paraId="750F7B56" w14:textId="0827AD59" w:rsidR="00B03109" w:rsidRPr="00A2038F" w:rsidRDefault="00B03109" w:rsidP="00B03109">
      <w:pPr>
        <w:pStyle w:val="Style1"/>
        <w:rPr>
          <w:sz w:val="22"/>
        </w:rPr>
      </w:pPr>
      <w:r w:rsidRPr="00A2038F">
        <w:rPr>
          <w:sz w:val="22"/>
        </w:rPr>
        <w:tab/>
        <w:t>Animal Health Australia</w:t>
      </w:r>
    </w:p>
    <w:p w14:paraId="6DFB7B37" w14:textId="7531DDEF" w:rsidR="00B03109" w:rsidRPr="00A2038F" w:rsidRDefault="00B03109" w:rsidP="00B03109">
      <w:pPr>
        <w:pStyle w:val="Style1"/>
        <w:rPr>
          <w:sz w:val="22"/>
        </w:rPr>
      </w:pPr>
      <w:r w:rsidRPr="00A2038F">
        <w:rPr>
          <w:sz w:val="22"/>
        </w:rPr>
        <w:tab/>
        <w:t>Australian Horse Industry Council</w:t>
      </w:r>
    </w:p>
    <w:p w14:paraId="63B2D940" w14:textId="151C1948" w:rsidR="00B03109" w:rsidRPr="00A2038F" w:rsidRDefault="00B03109" w:rsidP="00B03109">
      <w:pPr>
        <w:pStyle w:val="Style1"/>
        <w:rPr>
          <w:sz w:val="22"/>
        </w:rPr>
      </w:pPr>
      <w:r w:rsidRPr="00A2038F">
        <w:rPr>
          <w:sz w:val="22"/>
        </w:rPr>
        <w:tab/>
        <w:t>Animal Medicines Australia</w:t>
      </w:r>
    </w:p>
    <w:p w14:paraId="5F455838" w14:textId="72029195" w:rsidR="00B03109" w:rsidRPr="00A2038F" w:rsidRDefault="00B03109" w:rsidP="00B03109">
      <w:pPr>
        <w:pStyle w:val="Style1"/>
        <w:rPr>
          <w:sz w:val="22"/>
        </w:rPr>
      </w:pPr>
      <w:r w:rsidRPr="00A2038F">
        <w:rPr>
          <w:sz w:val="22"/>
        </w:rPr>
        <w:tab/>
        <w:t>Equine Dental Association of Australia</w:t>
      </w:r>
      <w:r w:rsidRPr="00A2038F">
        <w:rPr>
          <w:sz w:val="22"/>
        </w:rPr>
        <w:tab/>
      </w:r>
    </w:p>
    <w:p w14:paraId="025652BC" w14:textId="6797E455" w:rsidR="00B03109" w:rsidRPr="00A2038F" w:rsidRDefault="00B03109" w:rsidP="00B03109">
      <w:pPr>
        <w:pStyle w:val="Style1"/>
        <w:rPr>
          <w:sz w:val="22"/>
        </w:rPr>
      </w:pPr>
      <w:r w:rsidRPr="00A2038F">
        <w:rPr>
          <w:sz w:val="22"/>
        </w:rPr>
        <w:tab/>
        <w:t>Equestrian Australia</w:t>
      </w:r>
    </w:p>
    <w:p w14:paraId="44B0A979" w14:textId="491F7D9A" w:rsidR="00B03109" w:rsidRPr="00A2038F" w:rsidRDefault="00B03109" w:rsidP="00B03109">
      <w:pPr>
        <w:pStyle w:val="Style1"/>
        <w:rPr>
          <w:sz w:val="22"/>
        </w:rPr>
      </w:pPr>
      <w:r w:rsidRPr="00A2038F">
        <w:rPr>
          <w:sz w:val="22"/>
        </w:rPr>
        <w:tab/>
        <w:t>Equine Veterinarians Australia</w:t>
      </w:r>
    </w:p>
    <w:p w14:paraId="4862631F" w14:textId="582245ED" w:rsidR="00B03109" w:rsidRPr="00A2038F" w:rsidRDefault="00B03109" w:rsidP="00B03109">
      <w:pPr>
        <w:pStyle w:val="Style1"/>
        <w:rPr>
          <w:sz w:val="22"/>
        </w:rPr>
      </w:pPr>
      <w:r w:rsidRPr="00A2038F">
        <w:rPr>
          <w:sz w:val="22"/>
        </w:rPr>
        <w:tab/>
        <w:t>Harness Racing Australia</w:t>
      </w:r>
    </w:p>
    <w:p w14:paraId="018176C7" w14:textId="35E16BCA" w:rsidR="00B03109" w:rsidRPr="00A2038F" w:rsidRDefault="00B03109" w:rsidP="00B03109">
      <w:pPr>
        <w:pStyle w:val="Style1"/>
        <w:rPr>
          <w:sz w:val="22"/>
        </w:rPr>
      </w:pPr>
      <w:r w:rsidRPr="00A2038F">
        <w:rPr>
          <w:sz w:val="22"/>
        </w:rPr>
        <w:tab/>
        <w:t>Queensland Horse Industry Alliance</w:t>
      </w:r>
    </w:p>
    <w:p w14:paraId="5EB673F4" w14:textId="23F1044B" w:rsidR="00B03109" w:rsidRPr="00A2038F" w:rsidRDefault="00B03109" w:rsidP="00B03109">
      <w:pPr>
        <w:pStyle w:val="Style1"/>
        <w:rPr>
          <w:sz w:val="22"/>
        </w:rPr>
      </w:pPr>
      <w:r w:rsidRPr="00A2038F">
        <w:rPr>
          <w:sz w:val="22"/>
        </w:rPr>
        <w:tab/>
        <w:t>Stock Feed Manufacturers</w:t>
      </w:r>
      <w:r w:rsidR="00220FFC">
        <w:rPr>
          <w:sz w:val="22"/>
        </w:rPr>
        <w:t>’</w:t>
      </w:r>
      <w:r w:rsidRPr="00A2038F">
        <w:rPr>
          <w:sz w:val="22"/>
        </w:rPr>
        <w:t xml:space="preserve"> Council of Australia</w:t>
      </w:r>
      <w:r>
        <w:rPr>
          <w:sz w:val="22"/>
        </w:rPr>
        <w:t xml:space="preserve"> (Not publicly available)</w:t>
      </w:r>
    </w:p>
    <w:p w14:paraId="188B324F" w14:textId="703E77E7" w:rsidR="00B03109" w:rsidRPr="00A2038F" w:rsidRDefault="00B03109" w:rsidP="00B03109">
      <w:pPr>
        <w:pStyle w:val="Style1"/>
        <w:rPr>
          <w:sz w:val="22"/>
        </w:rPr>
      </w:pPr>
      <w:r w:rsidRPr="00A2038F">
        <w:rPr>
          <w:sz w:val="22"/>
        </w:rPr>
        <w:tab/>
        <w:t>Ridley</w:t>
      </w:r>
    </w:p>
    <w:p w14:paraId="2F15B766" w14:textId="278ABDC6" w:rsidR="00B03109" w:rsidRPr="00A2038F" w:rsidRDefault="00B03109" w:rsidP="00B03109">
      <w:pPr>
        <w:pStyle w:val="Style1"/>
        <w:ind w:firstLine="720"/>
        <w:rPr>
          <w:sz w:val="22"/>
        </w:rPr>
      </w:pPr>
      <w:r w:rsidRPr="00A2038F">
        <w:rPr>
          <w:sz w:val="22"/>
        </w:rPr>
        <w:t>Veterinary Manufacturers and Distributors Association</w:t>
      </w:r>
    </w:p>
    <w:p w14:paraId="6F298E75" w14:textId="109F1B4A" w:rsidR="00B03109" w:rsidRPr="00A2038F" w:rsidRDefault="00B03109" w:rsidP="00B03109">
      <w:pPr>
        <w:pStyle w:val="Style1"/>
      </w:pPr>
      <w:r w:rsidRPr="00A2038F">
        <w:rPr>
          <w:sz w:val="22"/>
        </w:rPr>
        <w:tab/>
        <w:t>West Australia Horse Council</w:t>
      </w:r>
    </w:p>
    <w:p w14:paraId="284B0682" w14:textId="77777777" w:rsidR="00B03109" w:rsidRPr="00E352DA" w:rsidRDefault="00B03109" w:rsidP="00B03109"/>
    <w:p w14:paraId="61456132" w14:textId="77777777" w:rsidR="00A42DE5" w:rsidRDefault="00A42DE5"/>
    <w:sectPr w:rsidR="00A42DE5" w:rsidSect="00BD47A0">
      <w:type w:val="continuous"/>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06078" w14:textId="77777777" w:rsidR="00E223F1" w:rsidRDefault="00E223F1" w:rsidP="00B03109">
      <w:pPr>
        <w:spacing w:before="0" w:after="0" w:line="240" w:lineRule="auto"/>
      </w:pPr>
      <w:r>
        <w:separator/>
      </w:r>
    </w:p>
  </w:endnote>
  <w:endnote w:type="continuationSeparator" w:id="0">
    <w:p w14:paraId="7DF262A1" w14:textId="77777777" w:rsidR="00E223F1" w:rsidRDefault="00E223F1" w:rsidP="00B031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Franklin Gothic BookCd">
    <w:altName w:val="ITC Franklin Gothic Book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356E0" w14:textId="77777777" w:rsidR="00361D9B" w:rsidRDefault="00361D9B">
    <w:pPr>
      <w:pStyle w:val="Footer"/>
    </w:pPr>
    <w:r>
      <w:t>Department of Agriculture and Water Resources</w:t>
    </w:r>
    <w:r>
      <w:br/>
    </w:r>
  </w:p>
  <w:p w14:paraId="2378772A" w14:textId="77777777" w:rsidR="00361D9B" w:rsidRDefault="00361D9B">
    <w:pPr>
      <w:pStyle w:val="Footer"/>
    </w:pPr>
    <w:r>
      <w:fldChar w:fldCharType="begin"/>
    </w:r>
    <w:r>
      <w:instrText xml:space="preserve"> PAGE   \* MERGEFORMAT </w:instrText>
    </w:r>
    <w:r>
      <w:fldChar w:fldCharType="separate"/>
    </w:r>
    <w:r w:rsidR="009D7F46">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1B2C1" w14:textId="77777777" w:rsidR="00E223F1" w:rsidRDefault="00E223F1" w:rsidP="00B03109">
      <w:pPr>
        <w:spacing w:before="0" w:after="0" w:line="240" w:lineRule="auto"/>
      </w:pPr>
      <w:r>
        <w:separator/>
      </w:r>
    </w:p>
  </w:footnote>
  <w:footnote w:type="continuationSeparator" w:id="0">
    <w:p w14:paraId="5AE54230" w14:textId="77777777" w:rsidR="00E223F1" w:rsidRDefault="00E223F1" w:rsidP="00B03109">
      <w:pPr>
        <w:spacing w:before="0" w:after="0" w:line="240" w:lineRule="auto"/>
      </w:pPr>
      <w:r>
        <w:continuationSeparator/>
      </w:r>
    </w:p>
  </w:footnote>
  <w:footnote w:id="1">
    <w:p w14:paraId="0CA6CF4A" w14:textId="77777777" w:rsidR="00361D9B" w:rsidRDefault="00361D9B" w:rsidP="00B03109">
      <w:pPr>
        <w:pStyle w:val="FootnoteText"/>
      </w:pPr>
      <w:r>
        <w:rPr>
          <w:rStyle w:val="FootnoteReference"/>
        </w:rPr>
        <w:footnoteRef/>
      </w:r>
      <w:r>
        <w:t xml:space="preserve"> Levy Principles and Guidelines: </w:t>
      </w:r>
      <w:hyperlink r:id="rId1" w:history="1">
        <w:r w:rsidRPr="00C05362">
          <w:rPr>
            <w:rStyle w:val="Hyperlink"/>
          </w:rPr>
          <w:t>www.agriculture.gov.au/levy-principles-guidelines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4CD5" w14:textId="3768158A" w:rsidR="00361D9B" w:rsidRDefault="00361D9B" w:rsidP="00BD47A0">
    <w:pPr>
      <w:pStyle w:val="Header"/>
    </w:pPr>
    <w:r>
      <w:t xml:space="preserve">Horse Disease Response Levy Review Consultation Report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BB518" w14:textId="2B1FF88C" w:rsidR="00361D9B" w:rsidRDefault="00361D9B" w:rsidP="003369F9">
    <w:pPr>
      <w:ind w:left="-227" w:right="-454"/>
      <w:mirrorIndents/>
      <w:jc w:val="center"/>
    </w:pPr>
    <w:r>
      <w:fldChar w:fldCharType="begin"/>
    </w:r>
    <w:r>
      <w:instrText xml:space="preserve"> INCLUDEPICTURE "http://mylink.agdaff.gov.au/Comms/PrintPub/Logos/Departmental%20Logos/Department%20of%20Agriculture%20and%20Water%20Resources/Left%20Aligned/Master%20Brandmark%20Left%20Aligned-JPEG.jpg" \* MERGEFORMATINET </w:instrText>
    </w:r>
    <w:r>
      <w:fldChar w:fldCharType="separate"/>
    </w:r>
    <w:r>
      <w:fldChar w:fldCharType="begin"/>
    </w:r>
    <w:r>
      <w:instrText xml:space="preserve"> INCLUDEPICTURE  "http://mylink.agdaff.gov.au/Comms/PrintPub/Logos/Departmental Logos/Department of Agriculture and Water Resources/Left Aligned/Master Brandmark Left Aligned-JPEG.jpg" \* MERGEFORMATINET </w:instrText>
    </w:r>
    <w:r>
      <w:fldChar w:fldCharType="separate"/>
    </w:r>
    <w:r>
      <w:fldChar w:fldCharType="begin"/>
    </w:r>
    <w:r>
      <w:instrText xml:space="preserve"> INCLUDEPICTURE  "http://mylink.agdaff.gov.au/Comms/PrintPub/Logos/Departmental Logos/Department of Agriculture and Water Resources/Left Aligned/Master Brandmark Left Aligned-JPEG.jpg" \* MERGEFORMATINET </w:instrText>
    </w:r>
    <w:r>
      <w:fldChar w:fldCharType="separate"/>
    </w:r>
    <w:r>
      <w:fldChar w:fldCharType="begin"/>
    </w:r>
    <w:r>
      <w:instrText xml:space="preserve"> INCLUDEPICTURE  "http://mylink.agdaff.gov.au/Comms/PrintPub/Logos/Departmental Logos/Department of Agriculture and Water Resources/Left Aligned/Master Brandmark Left Aligned-JPEG.jpg" \* MERGEFORMATINET </w:instrText>
    </w:r>
    <w:r>
      <w:fldChar w:fldCharType="separate"/>
    </w:r>
    <w:r>
      <w:fldChar w:fldCharType="begin"/>
    </w:r>
    <w:r>
      <w:instrText xml:space="preserve"> INCLUDEPICTURE  "http://mylink.agdaff.gov.au/Comms/PrintPub/Logos/Departmental Logos/Department of Agriculture and Water Resources/Left Aligned/Master Brandmark Left Aligned-JPEG.jpg" \* MERGEFORMATINET </w:instrText>
    </w:r>
    <w:r>
      <w:fldChar w:fldCharType="separate"/>
    </w:r>
    <w:r w:rsidR="004E0FC0">
      <w:fldChar w:fldCharType="begin"/>
    </w:r>
    <w:r w:rsidR="004E0FC0">
      <w:instrText xml:space="preserve"> INCLUDEPICTURE  "http://mylink.agdaff.gov.au/Comms/PrintPub/Logos/Departmental Logos/Department of Agriculture and Water Resources/Left Aligned/Master Brandmark Left Aligned-JPEG.jpg" \* MERGEFORMATINET </w:instrText>
    </w:r>
    <w:r w:rsidR="004E0FC0">
      <w:fldChar w:fldCharType="separate"/>
    </w:r>
    <w:r w:rsidR="00E223F1">
      <w:fldChar w:fldCharType="begin"/>
    </w:r>
    <w:r w:rsidR="00E223F1">
      <w:instrText xml:space="preserve"> INCLUDEPICTURE  "http://mylink.agdaff.gov.au/Comms/PrintPub/Logos/Departmental Logos/Department of Agriculture and Water Resources/Left Aligned/Master Brandmark Left Aligned-JPEG.jpg" \* MERGEFORMATINET </w:instrText>
    </w:r>
    <w:r w:rsidR="00E223F1">
      <w:fldChar w:fldCharType="separate"/>
    </w:r>
    <w:r w:rsidR="007438F5">
      <w:fldChar w:fldCharType="begin"/>
    </w:r>
    <w:r w:rsidR="007438F5">
      <w:instrText xml:space="preserve"> INCLUDEPICTURE  "http://mylink.agdaff.gov.au/Comms/PrintPub/Logos/Departmental Logos/Department of Agriculture and Water Resources/Left Aligned/Master Brandmark Left Aligned-JPEG.jpg" \* MERGEFORMATINET </w:instrText>
    </w:r>
    <w:r w:rsidR="007438F5">
      <w:fldChar w:fldCharType="separate"/>
    </w:r>
    <w:r w:rsidR="00213B8D">
      <w:fldChar w:fldCharType="begin"/>
    </w:r>
    <w:r w:rsidR="00213B8D">
      <w:instrText xml:space="preserve"> INCLUDEPICTURE  "http://mylink.agdaff.gov.au/Comms/PrintPub/Logos/Departmental Logos/Department of Agriculture and Water Resources/Left Aligned/Master Brandmark Left Aligned-JPEG.jpg" \* MERGEFORMATINET </w:instrText>
    </w:r>
    <w:r w:rsidR="00213B8D">
      <w:fldChar w:fldCharType="separate"/>
    </w:r>
    <w:r w:rsidR="00F50E34">
      <w:fldChar w:fldCharType="begin"/>
    </w:r>
    <w:r w:rsidR="00F50E34">
      <w:instrText xml:space="preserve"> INCLUDEPICTURE  "http://mylink.agdaff.gov.au/Comms/PrintPub/Logos/Departmental Logos/Department of Agriculture and Water Resources/Left Aligned/Master Brandmark Left Aligned-JPEG.jpg" \* MERGEFORMATINET </w:instrText>
    </w:r>
    <w:r w:rsidR="00F50E34">
      <w:fldChar w:fldCharType="separate"/>
    </w:r>
    <w:r w:rsidR="002F0989">
      <w:fldChar w:fldCharType="begin"/>
    </w:r>
    <w:r w:rsidR="002F0989">
      <w:instrText xml:space="preserve"> INCLUDEPICTURE  "http://mylink.agdaff.gov.au/Comms/PrintPub/Logos/Departmental Logos/Department of Agriculture and Water Resources/Left Aligned/Master Brandmark Left Aligned-JPEG.jpg" \* MERGEFORMATINET </w:instrText>
    </w:r>
    <w:r w:rsidR="002F0989">
      <w:fldChar w:fldCharType="separate"/>
    </w:r>
    <w:r w:rsidR="00602E29">
      <w:fldChar w:fldCharType="begin"/>
    </w:r>
    <w:r w:rsidR="00602E29">
      <w:instrText xml:space="preserve"> INCLUDEPICTURE  "http://mylink.agdaff.gov.au/Comms/PrintPub/Logos/Departmental Logos/Department of Agriculture and Water Resources/Left Aligned/Master Brandmark Left Aligned-JPEG.jpg" \* MERGEFORMATINET </w:instrText>
    </w:r>
    <w:r w:rsidR="00602E29">
      <w:fldChar w:fldCharType="separate"/>
    </w:r>
    <w:r w:rsidR="009D7F46">
      <w:fldChar w:fldCharType="begin"/>
    </w:r>
    <w:r w:rsidR="009D7F46">
      <w:instrText xml:space="preserve"> </w:instrText>
    </w:r>
    <w:r w:rsidR="009D7F46">
      <w:instrText>INCLUDEPICTURE  "http://mylink.agdaff.gov.au/Comms/PrintPub/Logos/Departmental Logos/Department of Agriculture a</w:instrText>
    </w:r>
    <w:r w:rsidR="009D7F46">
      <w:instrText>nd Water Resources/Left Aligned/Master Brandmark Left Aligned-JPEG.jpg" \* MERGEFORMATINET</w:instrText>
    </w:r>
    <w:r w:rsidR="009D7F46">
      <w:instrText xml:space="preserve"> </w:instrText>
    </w:r>
    <w:r w:rsidR="009D7F46">
      <w:fldChar w:fldCharType="separate"/>
    </w:r>
    <w:r w:rsidR="003174EF">
      <w:pict w14:anchorId="3F85D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n Government Logo" style="width:201pt;height:64.5pt">
          <v:imagedata r:id="rId1" r:href="rId2"/>
        </v:shape>
      </w:pict>
    </w:r>
    <w:r w:rsidR="009D7F46">
      <w:fldChar w:fldCharType="end"/>
    </w:r>
    <w:r w:rsidR="00602E29">
      <w:fldChar w:fldCharType="end"/>
    </w:r>
    <w:r w:rsidR="002F0989">
      <w:fldChar w:fldCharType="end"/>
    </w:r>
    <w:r w:rsidR="00F50E34">
      <w:fldChar w:fldCharType="end"/>
    </w:r>
    <w:r w:rsidR="00213B8D">
      <w:fldChar w:fldCharType="end"/>
    </w:r>
    <w:r w:rsidR="007438F5">
      <w:fldChar w:fldCharType="end"/>
    </w:r>
    <w:r w:rsidR="00E223F1">
      <w:fldChar w:fldCharType="end"/>
    </w:r>
    <w:r w:rsidR="004E0FC0">
      <w:fldChar w:fldCharType="end"/>
    </w:r>
    <w:r>
      <w:fldChar w:fldCharType="end"/>
    </w:r>
    <w:r>
      <w:fldChar w:fldCharType="end"/>
    </w:r>
    <w:r>
      <w:fldChar w:fldCharType="end"/>
    </w:r>
    <w:r>
      <w:fldChar w:fldCharType="end"/>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B2EA37D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85EFA0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4A83BA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4" w15:restartNumberingAfterBreak="0">
    <w:nsid w:val="042D55A0"/>
    <w:multiLevelType w:val="hybridMultilevel"/>
    <w:tmpl w:val="2982A30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2C51B2"/>
    <w:multiLevelType w:val="hybridMultilevel"/>
    <w:tmpl w:val="860C22F2"/>
    <w:lvl w:ilvl="0" w:tplc="1DF8F998">
      <w:start w:val="1"/>
      <w:numFmt w:val="decimal"/>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7A6B78"/>
    <w:multiLevelType w:val="multilevel"/>
    <w:tmpl w:val="2F680DDE"/>
    <w:lvl w:ilvl="0">
      <w:start w:val="1"/>
      <w:numFmt w:val="lowerLetter"/>
      <w:lvlText w:val="%1."/>
      <w:lvlJc w:val="left"/>
      <w:pPr>
        <w:ind w:left="369" w:hanging="369"/>
      </w:pPr>
      <w:rPr>
        <w:rFonts w:hint="default"/>
        <w:sz w:val="24"/>
        <w:szCs w:val="24"/>
      </w:rPr>
    </w:lvl>
    <w:lvl w:ilvl="1">
      <w:start w:val="1"/>
      <w:numFmt w:val="lowerLetter"/>
      <w:lvlText w:val="%2."/>
      <w:lvlJc w:val="left"/>
      <w:pPr>
        <w:ind w:left="738" w:hanging="369"/>
      </w:pPr>
      <w:rPr>
        <w:rFonts w:hint="default"/>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0D84443E"/>
    <w:multiLevelType w:val="hybridMultilevel"/>
    <w:tmpl w:val="6E5060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1301646"/>
    <w:multiLevelType w:val="hybridMultilevel"/>
    <w:tmpl w:val="BDE23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A474D2"/>
    <w:multiLevelType w:val="hybridMultilevel"/>
    <w:tmpl w:val="CD9EC88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180E53"/>
    <w:multiLevelType w:val="hybridMultilevel"/>
    <w:tmpl w:val="84B23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AF264E"/>
    <w:multiLevelType w:val="hybridMultilevel"/>
    <w:tmpl w:val="77D4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B606F"/>
    <w:multiLevelType w:val="hybridMultilevel"/>
    <w:tmpl w:val="E0560262"/>
    <w:lvl w:ilvl="0" w:tplc="A9884604">
      <w:start w:val="1"/>
      <w:numFmt w:val="bullet"/>
      <w:pStyle w:val="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86724F"/>
    <w:multiLevelType w:val="hybridMultilevel"/>
    <w:tmpl w:val="47EE07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9D07A71"/>
    <w:multiLevelType w:val="hybridMultilevel"/>
    <w:tmpl w:val="3E48C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8352C"/>
    <w:multiLevelType w:val="hybridMultilevel"/>
    <w:tmpl w:val="2BCC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337197"/>
    <w:multiLevelType w:val="hybridMultilevel"/>
    <w:tmpl w:val="FF341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3A4D03"/>
    <w:multiLevelType w:val="hybridMultilevel"/>
    <w:tmpl w:val="45288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77704E"/>
    <w:multiLevelType w:val="hybridMultilevel"/>
    <w:tmpl w:val="D9485780"/>
    <w:lvl w:ilvl="0" w:tplc="2DFA360A">
      <w:start w:val="1"/>
      <w:numFmt w:val="decimal"/>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49802CB"/>
    <w:multiLevelType w:val="hybridMultilevel"/>
    <w:tmpl w:val="3F7C0936"/>
    <w:lvl w:ilvl="0" w:tplc="B7501E6A">
      <w:start w:val="1"/>
      <w:numFmt w:val="decimal"/>
      <w:pStyle w:val="Heading2Numbered"/>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5637CA"/>
    <w:multiLevelType w:val="hybridMultilevel"/>
    <w:tmpl w:val="0A3E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EE51BB"/>
    <w:multiLevelType w:val="hybridMultilevel"/>
    <w:tmpl w:val="517C5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FB1CE6"/>
    <w:multiLevelType w:val="hybridMultilevel"/>
    <w:tmpl w:val="7E504D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6E36B57"/>
    <w:multiLevelType w:val="hybridMultilevel"/>
    <w:tmpl w:val="5A1A2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1972F7"/>
    <w:multiLevelType w:val="hybridMultilevel"/>
    <w:tmpl w:val="57642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DD470D"/>
    <w:multiLevelType w:val="singleLevel"/>
    <w:tmpl w:val="B664CF16"/>
    <w:lvl w:ilvl="0">
      <w:start w:val="1"/>
      <w:numFmt w:val="decimal"/>
      <w:lvlText w:val="%1)"/>
      <w:lvlJc w:val="left"/>
      <w:pPr>
        <w:ind w:left="360" w:hanging="360"/>
      </w:pPr>
      <w:rPr>
        <w:color w:val="auto"/>
      </w:rPr>
    </w:lvl>
  </w:abstractNum>
  <w:abstractNum w:abstractNumId="26" w15:restartNumberingAfterBreak="0">
    <w:nsid w:val="42864743"/>
    <w:multiLevelType w:val="hybridMultilevel"/>
    <w:tmpl w:val="45288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C86298"/>
    <w:multiLevelType w:val="hybridMultilevel"/>
    <w:tmpl w:val="6E5060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D6E3AEC"/>
    <w:multiLevelType w:val="hybridMultilevel"/>
    <w:tmpl w:val="65C01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E32F4C"/>
    <w:multiLevelType w:val="hybridMultilevel"/>
    <w:tmpl w:val="64DCD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7B1CB6"/>
    <w:multiLevelType w:val="hybridMultilevel"/>
    <w:tmpl w:val="3DBE02E0"/>
    <w:lvl w:ilvl="0" w:tplc="77B4D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D35556"/>
    <w:multiLevelType w:val="hybridMultilevel"/>
    <w:tmpl w:val="16D2EE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0F7498"/>
    <w:multiLevelType w:val="hybridMultilevel"/>
    <w:tmpl w:val="77F4380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5" w15:restartNumberingAfterBreak="0">
    <w:nsid w:val="727838A5"/>
    <w:multiLevelType w:val="hybridMultilevel"/>
    <w:tmpl w:val="6E5060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53D63F9"/>
    <w:multiLevelType w:val="hybridMultilevel"/>
    <w:tmpl w:val="45288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3E0120"/>
    <w:multiLevelType w:val="hybridMultilevel"/>
    <w:tmpl w:val="7E504D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E711BF6"/>
    <w:multiLevelType w:val="hybridMultilevel"/>
    <w:tmpl w:val="D18C63A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9"/>
  </w:num>
  <w:num w:numId="4">
    <w:abstractNumId w:val="25"/>
  </w:num>
  <w:num w:numId="5">
    <w:abstractNumId w:val="34"/>
  </w:num>
  <w:num w:numId="6">
    <w:abstractNumId w:val="0"/>
    <w:lvlOverride w:ilvl="0">
      <w:startOverride w:val="1"/>
    </w:lvlOverride>
  </w:num>
  <w:num w:numId="7">
    <w:abstractNumId w:val="27"/>
  </w:num>
  <w:num w:numId="8">
    <w:abstractNumId w:val="12"/>
  </w:num>
  <w:num w:numId="9">
    <w:abstractNumId w:val="9"/>
  </w:num>
  <w:num w:numId="10">
    <w:abstractNumId w:val="8"/>
  </w:num>
  <w:num w:numId="11">
    <w:abstractNumId w:val="14"/>
  </w:num>
  <w:num w:numId="12">
    <w:abstractNumId w:val="18"/>
  </w:num>
  <w:num w:numId="13">
    <w:abstractNumId w:val="23"/>
  </w:num>
  <w:num w:numId="14">
    <w:abstractNumId w:val="16"/>
  </w:num>
  <w:num w:numId="15">
    <w:abstractNumId w:val="11"/>
  </w:num>
  <w:num w:numId="16">
    <w:abstractNumId w:val="24"/>
  </w:num>
  <w:num w:numId="17">
    <w:abstractNumId w:val="38"/>
  </w:num>
  <w:num w:numId="18">
    <w:abstractNumId w:val="4"/>
  </w:num>
  <w:num w:numId="19">
    <w:abstractNumId w:val="35"/>
  </w:num>
  <w:num w:numId="20">
    <w:abstractNumId w:val="21"/>
  </w:num>
  <w:num w:numId="21">
    <w:abstractNumId w:val="20"/>
  </w:num>
  <w:num w:numId="22">
    <w:abstractNumId w:val="33"/>
  </w:num>
  <w:num w:numId="23">
    <w:abstractNumId w:val="10"/>
  </w:num>
  <w:num w:numId="24">
    <w:abstractNumId w:val="29"/>
  </w:num>
  <w:num w:numId="25">
    <w:abstractNumId w:val="13"/>
  </w:num>
  <w:num w:numId="26">
    <w:abstractNumId w:val="15"/>
  </w:num>
  <w:num w:numId="27">
    <w:abstractNumId w:val="31"/>
  </w:num>
  <w:num w:numId="28">
    <w:abstractNumId w:val="22"/>
  </w:num>
  <w:num w:numId="29">
    <w:abstractNumId w:val="5"/>
  </w:num>
  <w:num w:numId="30">
    <w:abstractNumId w:val="37"/>
  </w:num>
  <w:num w:numId="31">
    <w:abstractNumId w:val="6"/>
  </w:num>
  <w:num w:numId="32">
    <w:abstractNumId w:val="32"/>
  </w:num>
  <w:num w:numId="33">
    <w:abstractNumId w:val="17"/>
  </w:num>
  <w:num w:numId="34">
    <w:abstractNumId w:val="36"/>
  </w:num>
  <w:num w:numId="35">
    <w:abstractNumId w:val="26"/>
  </w:num>
  <w:num w:numId="36">
    <w:abstractNumId w:val="2"/>
  </w:num>
  <w:num w:numId="37">
    <w:abstractNumId w:val="28"/>
  </w:num>
  <w:num w:numId="38">
    <w:abstractNumId w:val="3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09"/>
    <w:rsid w:val="00004874"/>
    <w:rsid w:val="00007403"/>
    <w:rsid w:val="0004352C"/>
    <w:rsid w:val="000707F8"/>
    <w:rsid w:val="00094177"/>
    <w:rsid w:val="000A31E6"/>
    <w:rsid w:val="001432BC"/>
    <w:rsid w:val="001461B9"/>
    <w:rsid w:val="00150A16"/>
    <w:rsid w:val="001A14CF"/>
    <w:rsid w:val="00213B8D"/>
    <w:rsid w:val="00220FFC"/>
    <w:rsid w:val="00241F6A"/>
    <w:rsid w:val="00266303"/>
    <w:rsid w:val="002F0989"/>
    <w:rsid w:val="003174EF"/>
    <w:rsid w:val="003369F9"/>
    <w:rsid w:val="0034687D"/>
    <w:rsid w:val="00361D9B"/>
    <w:rsid w:val="00371AB5"/>
    <w:rsid w:val="003811EA"/>
    <w:rsid w:val="003F219B"/>
    <w:rsid w:val="00443C74"/>
    <w:rsid w:val="004E0FC0"/>
    <w:rsid w:val="00513701"/>
    <w:rsid w:val="00602E29"/>
    <w:rsid w:val="00623290"/>
    <w:rsid w:val="006607B5"/>
    <w:rsid w:val="006810CE"/>
    <w:rsid w:val="007438F5"/>
    <w:rsid w:val="0080548C"/>
    <w:rsid w:val="00840522"/>
    <w:rsid w:val="00882556"/>
    <w:rsid w:val="008927BD"/>
    <w:rsid w:val="008C531D"/>
    <w:rsid w:val="008F1553"/>
    <w:rsid w:val="009203E5"/>
    <w:rsid w:val="00993AF9"/>
    <w:rsid w:val="009D7F46"/>
    <w:rsid w:val="00A42DE5"/>
    <w:rsid w:val="00AB4F66"/>
    <w:rsid w:val="00B03109"/>
    <w:rsid w:val="00B975E8"/>
    <w:rsid w:val="00BA5821"/>
    <w:rsid w:val="00BB7F06"/>
    <w:rsid w:val="00BD47A0"/>
    <w:rsid w:val="00C80975"/>
    <w:rsid w:val="00C90846"/>
    <w:rsid w:val="00CA29B0"/>
    <w:rsid w:val="00CD28C5"/>
    <w:rsid w:val="00D17C98"/>
    <w:rsid w:val="00DA55C9"/>
    <w:rsid w:val="00E223F1"/>
    <w:rsid w:val="00EB6034"/>
    <w:rsid w:val="00F1344B"/>
    <w:rsid w:val="00F5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EBA904"/>
  <w15:docId w15:val="{90CFEBEA-0B08-4161-8021-865797B7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109"/>
    <w:pPr>
      <w:spacing w:before="200"/>
    </w:pPr>
    <w:rPr>
      <w:rFonts w:ascii="Cambria" w:eastAsia="Times New Roman" w:hAnsi="Cambria" w:cs="Times New Roman"/>
      <w:sz w:val="24"/>
      <w:szCs w:val="24"/>
      <w:lang w:val="en-AU"/>
    </w:rPr>
  </w:style>
  <w:style w:type="paragraph" w:styleId="Heading1">
    <w:name w:val="heading 1"/>
    <w:basedOn w:val="Normal"/>
    <w:next w:val="Normal"/>
    <w:link w:val="Heading1Char"/>
    <w:uiPriority w:val="1"/>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3"/>
    <w:unhideWhenUsed/>
    <w:qFormat/>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4"/>
    <w:unhideWhenUsed/>
    <w:qFormat/>
    <w:pPr>
      <w:keepNext/>
      <w:keepLines/>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5"/>
    <w:unhideWhenUsed/>
    <w:qFormat/>
    <w:pPr>
      <w:keepNext/>
      <w:keepLines/>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6"/>
    <w:unhideWhenUsed/>
    <w:qFormat/>
    <w:pPr>
      <w:keepNext/>
      <w:keepLines/>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23"/>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2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aliases w:val="Italic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aliases w:val="Bold"/>
    <w:basedOn w:val="DefaultParagraphFont"/>
    <w:uiPriority w:val="99"/>
    <w:qFormat/>
    <w:rPr>
      <w:b/>
      <w:bCs/>
    </w:rPr>
  </w:style>
  <w:style w:type="paragraph" w:styleId="Quote">
    <w:name w:val="Quote"/>
    <w:basedOn w:val="Normal"/>
    <w:next w:val="Normal"/>
    <w:link w:val="QuoteChar"/>
    <w:uiPriority w:val="18"/>
    <w:qFormat/>
    <w:rPr>
      <w:i/>
      <w:iCs/>
      <w:color w:val="000000" w:themeColor="text1"/>
    </w:rPr>
  </w:style>
  <w:style w:type="character" w:customStyle="1" w:styleId="QuoteChar">
    <w:name w:val="Quote Char"/>
    <w:basedOn w:val="DefaultParagraphFont"/>
    <w:link w:val="Quote"/>
    <w:uiPriority w:val="18"/>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unhideWhenUsed/>
    <w:qFormat/>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styleId="CommentText">
    <w:name w:val="annotation text"/>
    <w:basedOn w:val="Normal"/>
    <w:link w:val="CommentTextChar"/>
    <w:uiPriority w:val="99"/>
    <w:semiHidden/>
    <w:unhideWhenUsed/>
    <w:rsid w:val="00B03109"/>
    <w:rPr>
      <w:sz w:val="20"/>
      <w:szCs w:val="20"/>
    </w:rPr>
  </w:style>
  <w:style w:type="character" w:customStyle="1" w:styleId="CommentTextChar">
    <w:name w:val="Comment Text Char"/>
    <w:basedOn w:val="DefaultParagraphFont"/>
    <w:link w:val="CommentText"/>
    <w:uiPriority w:val="99"/>
    <w:semiHidden/>
    <w:rsid w:val="00B03109"/>
    <w:rPr>
      <w:rFonts w:ascii="Cambria" w:eastAsia="Times New Roman" w:hAnsi="Cambria" w:cs="Times New Roman"/>
      <w:sz w:val="20"/>
      <w:szCs w:val="20"/>
      <w:lang w:val="en-AU"/>
    </w:rPr>
  </w:style>
  <w:style w:type="paragraph" w:styleId="Header">
    <w:name w:val="header"/>
    <w:basedOn w:val="Normal"/>
    <w:link w:val="HeaderChar"/>
    <w:uiPriority w:val="26"/>
    <w:rsid w:val="00B0310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03109"/>
    <w:rPr>
      <w:rFonts w:ascii="Calibri" w:eastAsia="Times New Roman" w:hAnsi="Calibri" w:cs="Times New Roman"/>
      <w:sz w:val="20"/>
      <w:szCs w:val="24"/>
      <w:lang w:val="en-AU"/>
    </w:rPr>
  </w:style>
  <w:style w:type="paragraph" w:styleId="Footer">
    <w:name w:val="footer"/>
    <w:basedOn w:val="Normal"/>
    <w:link w:val="FooterChar"/>
    <w:uiPriority w:val="99"/>
    <w:rsid w:val="00B03109"/>
    <w:pPr>
      <w:tabs>
        <w:tab w:val="center" w:pos="4536"/>
      </w:tabs>
      <w:spacing w:before="0" w:after="120" w:line="240" w:lineRule="auto"/>
      <w:jc w:val="center"/>
    </w:pPr>
    <w:rPr>
      <w:rFonts w:ascii="Calibri" w:hAnsi="Calibri"/>
      <w:sz w:val="20"/>
    </w:rPr>
  </w:style>
  <w:style w:type="character" w:customStyle="1" w:styleId="FooterChar">
    <w:name w:val="Footer Char"/>
    <w:basedOn w:val="DefaultParagraphFont"/>
    <w:link w:val="Footer"/>
    <w:uiPriority w:val="99"/>
    <w:rsid w:val="00B03109"/>
    <w:rPr>
      <w:rFonts w:ascii="Calibri" w:eastAsia="Times New Roman" w:hAnsi="Calibri" w:cs="Times New Roman"/>
      <w:sz w:val="20"/>
      <w:szCs w:val="24"/>
      <w:lang w:val="en-AU"/>
    </w:rPr>
  </w:style>
  <w:style w:type="character" w:styleId="CommentReference">
    <w:name w:val="annotation reference"/>
    <w:uiPriority w:val="99"/>
    <w:semiHidden/>
    <w:unhideWhenUsed/>
    <w:rsid w:val="00B03109"/>
    <w:rPr>
      <w:sz w:val="16"/>
      <w:szCs w:val="16"/>
    </w:rPr>
  </w:style>
  <w:style w:type="paragraph" w:styleId="CommentSubject">
    <w:name w:val="annotation subject"/>
    <w:basedOn w:val="CommentText"/>
    <w:next w:val="CommentText"/>
    <w:link w:val="CommentSubjectChar"/>
    <w:uiPriority w:val="99"/>
    <w:semiHidden/>
    <w:unhideWhenUsed/>
    <w:rsid w:val="00B03109"/>
    <w:rPr>
      <w:b/>
      <w:bCs/>
    </w:rPr>
  </w:style>
  <w:style w:type="character" w:customStyle="1" w:styleId="CommentSubjectChar">
    <w:name w:val="Comment Subject Char"/>
    <w:basedOn w:val="CommentTextChar"/>
    <w:link w:val="CommentSubject"/>
    <w:uiPriority w:val="99"/>
    <w:semiHidden/>
    <w:rsid w:val="00B03109"/>
    <w:rPr>
      <w:rFonts w:ascii="Cambria" w:eastAsia="Times New Roman" w:hAnsi="Cambria" w:cs="Times New Roman"/>
      <w:b/>
      <w:bCs/>
      <w:sz w:val="20"/>
      <w:szCs w:val="20"/>
      <w:lang w:val="en-AU"/>
    </w:rPr>
  </w:style>
  <w:style w:type="paragraph" w:styleId="BalloonText">
    <w:name w:val="Balloon Text"/>
    <w:basedOn w:val="Normal"/>
    <w:link w:val="BalloonTextChar"/>
    <w:uiPriority w:val="99"/>
    <w:semiHidden/>
    <w:unhideWhenUsed/>
    <w:rsid w:val="00B03109"/>
    <w:rPr>
      <w:rFonts w:ascii="Calibri" w:hAnsi="Calibri"/>
      <w:sz w:val="18"/>
      <w:szCs w:val="18"/>
    </w:rPr>
  </w:style>
  <w:style w:type="character" w:customStyle="1" w:styleId="BalloonTextChar">
    <w:name w:val="Balloon Text Char"/>
    <w:basedOn w:val="DefaultParagraphFont"/>
    <w:link w:val="BalloonText"/>
    <w:uiPriority w:val="99"/>
    <w:semiHidden/>
    <w:rsid w:val="00B03109"/>
    <w:rPr>
      <w:rFonts w:ascii="Calibri" w:eastAsia="Times New Roman" w:hAnsi="Calibri" w:cs="Times New Roman"/>
      <w:sz w:val="18"/>
      <w:szCs w:val="18"/>
      <w:lang w:val="en-AU"/>
    </w:rPr>
  </w:style>
  <w:style w:type="table" w:styleId="TableGrid">
    <w:name w:val="Table Grid"/>
    <w:basedOn w:val="TableNormal"/>
    <w:uiPriority w:val="59"/>
    <w:rsid w:val="00B03109"/>
    <w:pPr>
      <w:spacing w:before="60" w:after="60" w:line="240" w:lineRule="auto"/>
    </w:pPr>
    <w:rPr>
      <w:rFonts w:ascii="Cambria" w:eastAsia="Times New Roman" w:hAnsi="Cambria" w:cs="Times New Roman"/>
      <w:sz w:val="18"/>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B03109"/>
    <w:rPr>
      <w:sz w:val="16"/>
    </w:rPr>
  </w:style>
  <w:style w:type="character" w:customStyle="1" w:styleId="Heading2NumberedChar">
    <w:name w:val="Heading 2 Numbered Char"/>
    <w:link w:val="Heading2Numbered"/>
    <w:uiPriority w:val="2"/>
    <w:rsid w:val="00B03109"/>
    <w:rPr>
      <w:rFonts w:ascii="Calibri" w:eastAsia="Times New Roman" w:hAnsi="Calibri"/>
      <w:b/>
      <w:bCs/>
      <w:color w:val="000000"/>
      <w:sz w:val="56"/>
      <w:szCs w:val="28"/>
    </w:rPr>
  </w:style>
  <w:style w:type="paragraph" w:customStyle="1" w:styleId="Heading2Numbered">
    <w:name w:val="Heading 2 Numbered"/>
    <w:basedOn w:val="Heading2"/>
    <w:next w:val="Normal"/>
    <w:link w:val="Heading2NumberedChar"/>
    <w:uiPriority w:val="2"/>
    <w:qFormat/>
    <w:rsid w:val="00B03109"/>
    <w:pPr>
      <w:numPr>
        <w:numId w:val="3"/>
      </w:numPr>
      <w:spacing w:before="0" w:after="240" w:line="240" w:lineRule="auto"/>
      <w:ind w:left="709" w:hanging="709"/>
    </w:pPr>
    <w:rPr>
      <w:rFonts w:ascii="Calibri" w:eastAsia="Times New Roman" w:hAnsi="Calibri" w:cstheme="minorBidi"/>
      <w:color w:val="000000"/>
      <w:sz w:val="56"/>
      <w:szCs w:val="28"/>
    </w:rPr>
  </w:style>
  <w:style w:type="paragraph" w:customStyle="1" w:styleId="BoxText">
    <w:name w:val="Box Text"/>
    <w:basedOn w:val="Normal"/>
    <w:uiPriority w:val="19"/>
    <w:qFormat/>
    <w:rsid w:val="00B03109"/>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03109"/>
    <w:pPr>
      <w:keepNext/>
      <w:spacing w:after="120" w:line="240" w:lineRule="auto"/>
    </w:pPr>
    <w:rPr>
      <w:rFonts w:ascii="Calibri" w:hAnsi="Calibri"/>
      <w:b/>
      <w:bCs/>
      <w:szCs w:val="18"/>
    </w:rPr>
  </w:style>
  <w:style w:type="paragraph" w:customStyle="1" w:styleId="FigureTableNoteSource">
    <w:name w:val="Figure/Table Note/Source"/>
    <w:basedOn w:val="Normal"/>
    <w:next w:val="Normal"/>
    <w:uiPriority w:val="16"/>
    <w:qFormat/>
    <w:rsid w:val="00B03109"/>
    <w:pPr>
      <w:spacing w:before="120" w:line="264" w:lineRule="auto"/>
      <w:contextualSpacing/>
    </w:pPr>
    <w:rPr>
      <w:rFonts w:ascii="Calibri" w:hAnsi="Calibri"/>
      <w:sz w:val="18"/>
    </w:rPr>
  </w:style>
  <w:style w:type="paragraph" w:styleId="TOCHeading">
    <w:name w:val="TOC Heading"/>
    <w:basedOn w:val="Heading1"/>
    <w:next w:val="Normal"/>
    <w:uiPriority w:val="39"/>
    <w:qFormat/>
    <w:rsid w:val="00B03109"/>
    <w:pPr>
      <w:pageBreakBefore/>
      <w:outlineLvl w:val="9"/>
    </w:pPr>
    <w:rPr>
      <w:rFonts w:ascii="Cambria" w:eastAsia="Times New Roman" w:hAnsi="Cambria" w:cs="Times New Roman"/>
      <w:b w:val="0"/>
      <w:color w:val="000000"/>
      <w:sz w:val="56"/>
    </w:rPr>
  </w:style>
  <w:style w:type="paragraph" w:styleId="TOC1">
    <w:name w:val="toc 1"/>
    <w:basedOn w:val="Normal"/>
    <w:next w:val="Normal"/>
    <w:uiPriority w:val="39"/>
    <w:unhideWhenUsed/>
    <w:rsid w:val="00B03109"/>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rsid w:val="00B03109"/>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B03109"/>
    <w:pPr>
      <w:tabs>
        <w:tab w:val="right" w:leader="dot" w:pos="9072"/>
      </w:tabs>
      <w:spacing w:before="120" w:after="120" w:line="240" w:lineRule="auto"/>
      <w:ind w:firstLine="851"/>
    </w:pPr>
    <w:rPr>
      <w:noProof/>
    </w:rPr>
  </w:style>
  <w:style w:type="paragraph" w:styleId="ListBullet">
    <w:name w:val="List Bullet"/>
    <w:basedOn w:val="Normal"/>
    <w:uiPriority w:val="7"/>
    <w:qFormat/>
    <w:rsid w:val="00B03109"/>
    <w:pPr>
      <w:numPr>
        <w:numId w:val="1"/>
      </w:numPr>
      <w:spacing w:before="120" w:after="120"/>
    </w:pPr>
  </w:style>
  <w:style w:type="paragraph" w:styleId="TableofFigures">
    <w:name w:val="table of figures"/>
    <w:basedOn w:val="Normal"/>
    <w:next w:val="Normal"/>
    <w:uiPriority w:val="99"/>
    <w:rsid w:val="00B03109"/>
    <w:pPr>
      <w:spacing w:before="120" w:after="120" w:line="240" w:lineRule="auto"/>
    </w:pPr>
  </w:style>
  <w:style w:type="paragraph" w:styleId="ListBullet2">
    <w:name w:val="List Bullet 2"/>
    <w:basedOn w:val="Normal"/>
    <w:uiPriority w:val="8"/>
    <w:qFormat/>
    <w:rsid w:val="00B03109"/>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B03109"/>
    <w:pPr>
      <w:numPr>
        <w:numId w:val="36"/>
      </w:numPr>
      <w:tabs>
        <w:tab w:val="clear" w:pos="360"/>
        <w:tab w:val="left" w:pos="284"/>
      </w:tabs>
      <w:spacing w:before="120" w:after="120"/>
      <w:ind w:left="284" w:hanging="284"/>
    </w:pPr>
  </w:style>
  <w:style w:type="paragraph" w:styleId="ListNumber2">
    <w:name w:val="List Number 2"/>
    <w:uiPriority w:val="10"/>
    <w:qFormat/>
    <w:rsid w:val="00B03109"/>
    <w:pPr>
      <w:numPr>
        <w:numId w:val="5"/>
      </w:numPr>
      <w:tabs>
        <w:tab w:val="left" w:pos="567"/>
      </w:tabs>
      <w:spacing w:before="120" w:after="120" w:line="264" w:lineRule="auto"/>
      <w:ind w:left="568" w:hanging="284"/>
    </w:pPr>
    <w:rPr>
      <w:rFonts w:ascii="Cambria" w:eastAsia="Times New Roman" w:hAnsi="Cambria" w:cs="Times New Roman"/>
      <w:szCs w:val="24"/>
      <w:lang w:val="en-AU"/>
    </w:rPr>
  </w:style>
  <w:style w:type="paragraph" w:styleId="ListNumber3">
    <w:name w:val="List Number 3"/>
    <w:uiPriority w:val="11"/>
    <w:qFormat/>
    <w:rsid w:val="00B03109"/>
    <w:pPr>
      <w:numPr>
        <w:numId w:val="6"/>
      </w:numPr>
      <w:tabs>
        <w:tab w:val="clear" w:pos="926"/>
        <w:tab w:val="num" w:pos="851"/>
      </w:tabs>
      <w:spacing w:before="120" w:after="120" w:line="264" w:lineRule="auto"/>
      <w:ind w:left="851" w:hanging="284"/>
    </w:pPr>
    <w:rPr>
      <w:rFonts w:ascii="Cambria" w:eastAsia="Times New Roman" w:hAnsi="Cambria" w:cs="Times New Roman"/>
      <w:szCs w:val="24"/>
      <w:lang w:val="en-AU"/>
    </w:rPr>
  </w:style>
  <w:style w:type="table" w:customStyle="1" w:styleId="LightShading1">
    <w:name w:val="Light Shading1"/>
    <w:basedOn w:val="TableNormal"/>
    <w:uiPriority w:val="60"/>
    <w:rsid w:val="00B03109"/>
    <w:pPr>
      <w:spacing w:after="0" w:line="240" w:lineRule="auto"/>
    </w:pPr>
    <w:rPr>
      <w:rFonts w:ascii="Cambria" w:eastAsia="Cambria" w:hAnsi="Cambria" w:cs="Times New Roman"/>
      <w:color w:val="000000"/>
      <w:sz w:val="20"/>
      <w:szCs w:val="20"/>
      <w:lang w:val="en-AU"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03109"/>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B03109"/>
    <w:pPr>
      <w:spacing w:line="280" w:lineRule="atLeast"/>
    </w:pPr>
    <w:rPr>
      <w:rFonts w:ascii="Cambria" w:eastAsia="Cambria" w:hAnsi="Cambria"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B03109"/>
    <w:pPr>
      <w:spacing w:before="60" w:after="60" w:line="240" w:lineRule="auto"/>
    </w:pPr>
    <w:rPr>
      <w:sz w:val="18"/>
    </w:rPr>
  </w:style>
  <w:style w:type="paragraph" w:customStyle="1" w:styleId="TableHeading">
    <w:name w:val="Table Heading"/>
    <w:basedOn w:val="TableText"/>
    <w:uiPriority w:val="14"/>
    <w:qFormat/>
    <w:rsid w:val="00B03109"/>
    <w:pPr>
      <w:keepNext/>
    </w:pPr>
    <w:rPr>
      <w:b/>
    </w:rPr>
  </w:style>
  <w:style w:type="character" w:styleId="PlaceholderText">
    <w:name w:val="Placeholder Text"/>
    <w:uiPriority w:val="99"/>
    <w:semiHidden/>
    <w:rsid w:val="00B03109"/>
    <w:rPr>
      <w:color w:val="808080"/>
    </w:rPr>
  </w:style>
  <w:style w:type="paragraph" w:customStyle="1" w:styleId="Author">
    <w:name w:val="Author"/>
    <w:basedOn w:val="Normal"/>
    <w:next w:val="Normal"/>
    <w:uiPriority w:val="24"/>
    <w:qFormat/>
    <w:rsid w:val="00B03109"/>
    <w:pPr>
      <w:spacing w:before="0" w:after="60"/>
    </w:pPr>
    <w:rPr>
      <w:b/>
      <w:sz w:val="28"/>
      <w:szCs w:val="28"/>
    </w:rPr>
  </w:style>
  <w:style w:type="paragraph" w:customStyle="1" w:styleId="AuthorOrganisationAffiliation">
    <w:name w:val="Author Organisation/Affiliation"/>
    <w:basedOn w:val="Normal"/>
    <w:next w:val="Normal"/>
    <w:uiPriority w:val="25"/>
    <w:qFormat/>
    <w:rsid w:val="00B03109"/>
    <w:pPr>
      <w:spacing w:before="0" w:after="720"/>
    </w:pPr>
  </w:style>
  <w:style w:type="paragraph" w:customStyle="1" w:styleId="Glossary">
    <w:name w:val="Glossary"/>
    <w:basedOn w:val="Normal"/>
    <w:link w:val="GlossaryChar"/>
    <w:uiPriority w:val="28"/>
    <w:qFormat/>
    <w:rsid w:val="00B03109"/>
    <w:pPr>
      <w:spacing w:before="120" w:after="120"/>
      <w:ind w:left="2126" w:hanging="2126"/>
    </w:pPr>
    <w:rPr>
      <w:rFonts w:eastAsia="Calibri"/>
      <w:color w:val="000000"/>
      <w:szCs w:val="22"/>
    </w:rPr>
  </w:style>
  <w:style w:type="character" w:customStyle="1" w:styleId="GlossaryChar">
    <w:name w:val="Glossary Char"/>
    <w:link w:val="Glossary"/>
    <w:uiPriority w:val="28"/>
    <w:rsid w:val="00B03109"/>
    <w:rPr>
      <w:rFonts w:ascii="Cambria" w:eastAsia="Calibri" w:hAnsi="Cambria" w:cs="Times New Roman"/>
      <w:color w:val="000000"/>
      <w:sz w:val="24"/>
      <w:lang w:val="en-AU"/>
    </w:rPr>
  </w:style>
  <w:style w:type="paragraph" w:styleId="TOAHeading">
    <w:name w:val="toa heading"/>
    <w:basedOn w:val="Heading1"/>
    <w:next w:val="Normal"/>
    <w:uiPriority w:val="99"/>
    <w:semiHidden/>
    <w:unhideWhenUsed/>
    <w:rsid w:val="00B03109"/>
    <w:pPr>
      <w:spacing w:before="120" w:after="120" w:line="240" w:lineRule="auto"/>
    </w:pPr>
    <w:rPr>
      <w:rFonts w:ascii="Calibri" w:eastAsia="Times New Roman" w:hAnsi="Calibri" w:cs="Times New Roman"/>
      <w:bCs w:val="0"/>
      <w:color w:val="000000"/>
      <w:sz w:val="24"/>
    </w:rPr>
  </w:style>
  <w:style w:type="paragraph" w:styleId="NormalWeb">
    <w:name w:val="Normal (Web)"/>
    <w:basedOn w:val="Normal"/>
    <w:uiPriority w:val="99"/>
    <w:semiHidden/>
    <w:unhideWhenUsed/>
    <w:rsid w:val="00B03109"/>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03109"/>
    <w:pPr>
      <w:numPr>
        <w:numId w:val="7"/>
      </w:numPr>
      <w:ind w:left="357" w:hanging="357"/>
    </w:pPr>
  </w:style>
  <w:style w:type="paragraph" w:customStyle="1" w:styleId="TableBullet">
    <w:name w:val="Table Bullet"/>
    <w:basedOn w:val="TableText"/>
    <w:uiPriority w:val="15"/>
    <w:qFormat/>
    <w:rsid w:val="00B03109"/>
    <w:pPr>
      <w:numPr>
        <w:numId w:val="8"/>
      </w:numPr>
    </w:pPr>
  </w:style>
  <w:style w:type="paragraph" w:styleId="DocumentMap">
    <w:name w:val="Document Map"/>
    <w:basedOn w:val="Normal"/>
    <w:link w:val="DocumentMapChar"/>
    <w:uiPriority w:val="99"/>
    <w:semiHidden/>
    <w:unhideWhenUsed/>
    <w:rsid w:val="00B03109"/>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03109"/>
    <w:rPr>
      <w:rFonts w:ascii="Tahoma" w:eastAsia="Times New Roman" w:hAnsi="Tahoma" w:cs="Tahoma"/>
      <w:sz w:val="16"/>
      <w:szCs w:val="16"/>
      <w:lang w:val="en-AU"/>
    </w:rPr>
  </w:style>
  <w:style w:type="paragraph" w:customStyle="1" w:styleId="TOCHeadingsamepage">
    <w:name w:val="TOC Heading (same page)"/>
    <w:basedOn w:val="TOCHeading"/>
    <w:next w:val="Normal"/>
    <w:uiPriority w:val="39"/>
    <w:rsid w:val="00B03109"/>
    <w:pPr>
      <w:pageBreakBefore w:val="0"/>
    </w:pPr>
  </w:style>
  <w:style w:type="paragraph" w:customStyle="1" w:styleId="BoxHeading">
    <w:name w:val="Box Heading"/>
    <w:basedOn w:val="BoxText"/>
    <w:uiPriority w:val="20"/>
    <w:qFormat/>
    <w:rsid w:val="00B03109"/>
    <w:pPr>
      <w:spacing w:line="240" w:lineRule="auto"/>
    </w:pPr>
    <w:rPr>
      <w:b/>
    </w:rPr>
  </w:style>
  <w:style w:type="paragraph" w:customStyle="1" w:styleId="Picture">
    <w:name w:val="Picture"/>
    <w:basedOn w:val="Normal"/>
    <w:uiPriority w:val="17"/>
    <w:qFormat/>
    <w:rsid w:val="00B03109"/>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B03109"/>
    <w:pPr>
      <w:spacing w:before="0" w:after="0"/>
    </w:pPr>
    <w:rPr>
      <w:b/>
      <w:caps/>
      <w:color w:val="FF0000"/>
      <w:sz w:val="36"/>
      <w:szCs w:val="36"/>
    </w:rPr>
  </w:style>
  <w:style w:type="paragraph" w:customStyle="1" w:styleId="DisseminationLimitingMarker">
    <w:name w:val="Dissemination Limiting Marker"/>
    <w:basedOn w:val="Header"/>
    <w:next w:val="Header"/>
    <w:uiPriority w:val="27"/>
    <w:rsid w:val="00B03109"/>
    <w:pPr>
      <w:spacing w:before="0" w:after="0"/>
    </w:pPr>
    <w:rPr>
      <w:b/>
      <w:sz w:val="36"/>
      <w:szCs w:val="36"/>
    </w:rPr>
  </w:style>
  <w:style w:type="paragraph" w:styleId="FootnoteText">
    <w:name w:val="footnote text"/>
    <w:basedOn w:val="Normal"/>
    <w:link w:val="FootnoteTextChar"/>
    <w:uiPriority w:val="99"/>
    <w:unhideWhenUsed/>
    <w:rsid w:val="00B03109"/>
    <w:pPr>
      <w:spacing w:before="0" w:after="60" w:line="264" w:lineRule="auto"/>
    </w:pPr>
    <w:rPr>
      <w:sz w:val="20"/>
      <w:szCs w:val="20"/>
    </w:rPr>
  </w:style>
  <w:style w:type="character" w:customStyle="1" w:styleId="FootnoteTextChar">
    <w:name w:val="Footnote Text Char"/>
    <w:basedOn w:val="DefaultParagraphFont"/>
    <w:link w:val="FootnoteText"/>
    <w:uiPriority w:val="99"/>
    <w:rsid w:val="00B03109"/>
    <w:rPr>
      <w:rFonts w:ascii="Cambria" w:eastAsia="Times New Roman" w:hAnsi="Cambria" w:cs="Times New Roman"/>
      <w:sz w:val="20"/>
      <w:szCs w:val="20"/>
      <w:lang w:val="en-AU"/>
    </w:rPr>
  </w:style>
  <w:style w:type="character" w:styleId="FootnoteReference">
    <w:name w:val="footnote reference"/>
    <w:uiPriority w:val="99"/>
    <w:semiHidden/>
    <w:unhideWhenUsed/>
    <w:rsid w:val="00B03109"/>
    <w:rPr>
      <w:vertAlign w:val="superscript"/>
    </w:rPr>
  </w:style>
  <w:style w:type="paragraph" w:styleId="EndnoteText">
    <w:name w:val="endnote text"/>
    <w:basedOn w:val="Normal"/>
    <w:link w:val="EndnoteTextChar"/>
    <w:uiPriority w:val="99"/>
    <w:unhideWhenUsed/>
    <w:rsid w:val="00B03109"/>
    <w:pPr>
      <w:spacing w:before="0" w:after="60" w:line="264" w:lineRule="auto"/>
    </w:pPr>
    <w:rPr>
      <w:sz w:val="20"/>
      <w:szCs w:val="20"/>
    </w:rPr>
  </w:style>
  <w:style w:type="character" w:customStyle="1" w:styleId="EndnoteTextChar">
    <w:name w:val="Endnote Text Char"/>
    <w:basedOn w:val="DefaultParagraphFont"/>
    <w:link w:val="EndnoteText"/>
    <w:uiPriority w:val="99"/>
    <w:rsid w:val="00B03109"/>
    <w:rPr>
      <w:rFonts w:ascii="Cambria" w:eastAsia="Times New Roman" w:hAnsi="Cambria" w:cs="Times New Roman"/>
      <w:sz w:val="20"/>
      <w:szCs w:val="20"/>
      <w:lang w:val="en-AU"/>
    </w:rPr>
  </w:style>
  <w:style w:type="character" w:styleId="EndnoteReference">
    <w:name w:val="endnote reference"/>
    <w:uiPriority w:val="99"/>
    <w:semiHidden/>
    <w:unhideWhenUsed/>
    <w:rsid w:val="00B03109"/>
    <w:rPr>
      <w:vertAlign w:val="superscript"/>
    </w:rPr>
  </w:style>
  <w:style w:type="paragraph" w:customStyle="1" w:styleId="Heading1sub">
    <w:name w:val="Heading 1 sub"/>
    <w:basedOn w:val="Heading2"/>
    <w:next w:val="Normal"/>
    <w:qFormat/>
    <w:rsid w:val="00B03109"/>
    <w:pPr>
      <w:spacing w:before="0" w:after="240" w:line="240" w:lineRule="auto"/>
    </w:pPr>
    <w:rPr>
      <w:rFonts w:ascii="Cambria" w:eastAsia="Times New Roman" w:hAnsi="Cambria" w:cs="Times New Roman"/>
      <w:color w:val="4472C4"/>
      <w:sz w:val="28"/>
    </w:rPr>
  </w:style>
  <w:style w:type="paragraph" w:customStyle="1" w:styleId="BoxSource">
    <w:name w:val="Box Source"/>
    <w:basedOn w:val="FigureTableNoteSource"/>
    <w:uiPriority w:val="22"/>
    <w:qFormat/>
    <w:rsid w:val="00B03109"/>
    <w:pPr>
      <w:pBdr>
        <w:top w:val="single" w:sz="4" w:space="10" w:color="auto"/>
        <w:left w:val="single" w:sz="4" w:space="10" w:color="auto"/>
        <w:bottom w:val="single" w:sz="4" w:space="10" w:color="auto"/>
        <w:right w:val="single" w:sz="4" w:space="10" w:color="auto"/>
      </w:pBdr>
    </w:pPr>
    <w:rPr>
      <w:lang w:val="en-US"/>
    </w:rPr>
  </w:style>
  <w:style w:type="paragraph" w:customStyle="1" w:styleId="Default">
    <w:name w:val="Default"/>
    <w:rsid w:val="00B03109"/>
    <w:pPr>
      <w:autoSpaceDE w:val="0"/>
      <w:autoSpaceDN w:val="0"/>
      <w:adjustRightInd w:val="0"/>
      <w:spacing w:after="0" w:line="240" w:lineRule="auto"/>
    </w:pPr>
    <w:rPr>
      <w:rFonts w:ascii="Cambria" w:eastAsia="Calibri" w:hAnsi="Cambria" w:cs="Cambria"/>
      <w:color w:val="000000"/>
      <w:sz w:val="24"/>
      <w:szCs w:val="24"/>
      <w:lang w:val="en-AU"/>
    </w:rPr>
  </w:style>
  <w:style w:type="paragraph" w:customStyle="1" w:styleId="Style1">
    <w:name w:val="Style1"/>
    <w:basedOn w:val="Normal"/>
    <w:link w:val="Style1Char"/>
    <w:rsid w:val="00B03109"/>
  </w:style>
  <w:style w:type="character" w:customStyle="1" w:styleId="Style1Char">
    <w:name w:val="Style1 Char"/>
    <w:link w:val="Style1"/>
    <w:rsid w:val="00B03109"/>
    <w:rPr>
      <w:rFonts w:ascii="Cambria" w:eastAsia="Times New Roman" w:hAnsi="Cambria" w:cs="Times New Roman"/>
      <w:sz w:val="24"/>
      <w:szCs w:val="24"/>
      <w:lang w:val="en-AU"/>
    </w:rPr>
  </w:style>
  <w:style w:type="paragraph" w:styleId="Revision">
    <w:name w:val="Revision"/>
    <w:hidden/>
    <w:uiPriority w:val="99"/>
    <w:semiHidden/>
    <w:rsid w:val="00B03109"/>
    <w:pPr>
      <w:spacing w:after="0" w:line="240" w:lineRule="auto"/>
    </w:pPr>
    <w:rPr>
      <w:rFonts w:ascii="Cambria" w:eastAsia="Times New Roman" w:hAnsi="Cambria" w:cs="Times New Roman"/>
      <w:szCs w:val="24"/>
      <w:lang w:val="en-AU"/>
    </w:rPr>
  </w:style>
  <w:style w:type="paragraph" w:customStyle="1" w:styleId="font5">
    <w:name w:val="font5"/>
    <w:basedOn w:val="Normal"/>
    <w:rsid w:val="00B03109"/>
    <w:pPr>
      <w:spacing w:before="100" w:beforeAutospacing="1" w:after="100" w:afterAutospacing="1" w:line="240" w:lineRule="auto"/>
    </w:pPr>
    <w:rPr>
      <w:rFonts w:ascii="Calibri" w:hAnsi="Calibri"/>
      <w:sz w:val="18"/>
      <w:szCs w:val="18"/>
      <w:lang w:eastAsia="en-AU"/>
    </w:rPr>
  </w:style>
  <w:style w:type="paragraph" w:customStyle="1" w:styleId="font6">
    <w:name w:val="font6"/>
    <w:basedOn w:val="Normal"/>
    <w:rsid w:val="00B03109"/>
    <w:pPr>
      <w:spacing w:before="100" w:beforeAutospacing="1" w:after="100" w:afterAutospacing="1" w:line="240" w:lineRule="auto"/>
    </w:pPr>
    <w:rPr>
      <w:rFonts w:ascii="Calibri" w:hAnsi="Calibri"/>
      <w:szCs w:val="22"/>
      <w:lang w:eastAsia="en-AU"/>
    </w:rPr>
  </w:style>
  <w:style w:type="paragraph" w:customStyle="1" w:styleId="font7">
    <w:name w:val="font7"/>
    <w:basedOn w:val="Normal"/>
    <w:rsid w:val="00B03109"/>
    <w:pPr>
      <w:spacing w:before="100" w:beforeAutospacing="1" w:after="100" w:afterAutospacing="1" w:line="240" w:lineRule="auto"/>
    </w:pPr>
    <w:rPr>
      <w:rFonts w:ascii="Calibri" w:hAnsi="Calibri"/>
      <w:color w:val="FF0000"/>
      <w:szCs w:val="22"/>
      <w:lang w:eastAsia="en-AU"/>
    </w:rPr>
  </w:style>
  <w:style w:type="paragraph" w:customStyle="1" w:styleId="xl66">
    <w:name w:val="xl66"/>
    <w:basedOn w:val="Normal"/>
    <w:rsid w:val="00B03109"/>
    <w:pPr>
      <w:pBdr>
        <w:top w:val="single" w:sz="8" w:space="0" w:color="auto"/>
        <w:left w:val="single" w:sz="8" w:space="0" w:color="auto"/>
        <w:bottom w:val="single" w:sz="8" w:space="0" w:color="auto"/>
        <w:right w:val="single" w:sz="4" w:space="0" w:color="auto"/>
      </w:pBdr>
      <w:shd w:val="clear" w:color="000000" w:fill="4472C4"/>
      <w:spacing w:before="100" w:beforeAutospacing="1" w:after="100" w:afterAutospacing="1" w:line="240" w:lineRule="auto"/>
      <w:jc w:val="center"/>
      <w:textAlignment w:val="center"/>
    </w:pPr>
    <w:rPr>
      <w:rFonts w:ascii="Arial" w:hAnsi="Arial" w:cs="Arial"/>
      <w:color w:val="FFFFFF"/>
      <w:sz w:val="20"/>
      <w:szCs w:val="20"/>
      <w:lang w:eastAsia="en-AU"/>
    </w:rPr>
  </w:style>
  <w:style w:type="paragraph" w:customStyle="1" w:styleId="xl67">
    <w:name w:val="xl67"/>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Arial" w:hAnsi="Arial" w:cs="Arial"/>
      <w:sz w:val="16"/>
      <w:szCs w:val="16"/>
      <w:lang w:eastAsia="en-AU"/>
    </w:rPr>
  </w:style>
  <w:style w:type="paragraph" w:customStyle="1" w:styleId="xl68">
    <w:name w:val="xl68"/>
    <w:basedOn w:val="Normal"/>
    <w:rsid w:val="00B03109"/>
    <w:pPr>
      <w:pBdr>
        <w:top w:val="single" w:sz="8" w:space="0" w:color="auto"/>
        <w:left w:val="single" w:sz="4" w:space="0" w:color="auto"/>
        <w:bottom w:val="single" w:sz="8" w:space="0" w:color="auto"/>
        <w:right w:val="single" w:sz="4" w:space="0" w:color="auto"/>
      </w:pBdr>
      <w:shd w:val="clear" w:color="000000" w:fill="4472C4"/>
      <w:spacing w:before="100" w:beforeAutospacing="1" w:after="100" w:afterAutospacing="1" w:line="240" w:lineRule="auto"/>
      <w:jc w:val="center"/>
      <w:textAlignment w:val="center"/>
    </w:pPr>
    <w:rPr>
      <w:rFonts w:ascii="Arial" w:hAnsi="Arial" w:cs="Arial"/>
      <w:color w:val="FFFFFF"/>
      <w:sz w:val="20"/>
      <w:szCs w:val="20"/>
      <w:lang w:eastAsia="en-AU"/>
    </w:rPr>
  </w:style>
  <w:style w:type="paragraph" w:customStyle="1" w:styleId="xl69">
    <w:name w:val="xl69"/>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sz w:val="20"/>
      <w:szCs w:val="20"/>
      <w:lang w:eastAsia="en-AU"/>
    </w:rPr>
  </w:style>
  <w:style w:type="paragraph" w:customStyle="1" w:styleId="xl70">
    <w:name w:val="xl70"/>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71">
    <w:name w:val="xl71"/>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72">
    <w:name w:val="xl72"/>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hAnsi="Arial" w:cs="Arial"/>
      <w:sz w:val="16"/>
      <w:szCs w:val="16"/>
      <w:lang w:eastAsia="en-AU"/>
    </w:rPr>
  </w:style>
  <w:style w:type="paragraph" w:customStyle="1" w:styleId="xl73">
    <w:name w:val="xl73"/>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hAnsi="Times New Roman"/>
      <w:lang w:eastAsia="en-AU"/>
    </w:rPr>
  </w:style>
  <w:style w:type="paragraph" w:customStyle="1" w:styleId="xl74">
    <w:name w:val="xl74"/>
    <w:basedOn w:val="Normal"/>
    <w:rsid w:val="00B0310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75">
    <w:name w:val="xl75"/>
    <w:basedOn w:val="Normal"/>
    <w:rsid w:val="00B0310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Arial" w:hAnsi="Arial" w:cs="Arial"/>
      <w:sz w:val="16"/>
      <w:szCs w:val="16"/>
      <w:lang w:eastAsia="en-AU"/>
    </w:rPr>
  </w:style>
  <w:style w:type="paragraph" w:customStyle="1" w:styleId="xl76">
    <w:name w:val="xl76"/>
    <w:basedOn w:val="Normal"/>
    <w:rsid w:val="00B03109"/>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77">
    <w:name w:val="xl77"/>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18"/>
      <w:szCs w:val="18"/>
      <w:lang w:eastAsia="en-AU"/>
    </w:rPr>
  </w:style>
  <w:style w:type="paragraph" w:customStyle="1" w:styleId="xl78">
    <w:name w:val="xl78"/>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18"/>
      <w:szCs w:val="18"/>
      <w:lang w:eastAsia="en-AU"/>
    </w:rPr>
  </w:style>
  <w:style w:type="paragraph" w:customStyle="1" w:styleId="xl79">
    <w:name w:val="xl79"/>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80">
    <w:name w:val="xl80"/>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81">
    <w:name w:val="xl81"/>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hAnsi="Times New Roman"/>
      <w:sz w:val="18"/>
      <w:szCs w:val="18"/>
      <w:lang w:eastAsia="en-AU"/>
    </w:rPr>
  </w:style>
  <w:style w:type="paragraph" w:customStyle="1" w:styleId="xl82">
    <w:name w:val="xl82"/>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hAnsi="Arial" w:cs="Arial"/>
      <w:sz w:val="16"/>
      <w:szCs w:val="16"/>
      <w:lang w:eastAsia="en-AU"/>
    </w:rPr>
  </w:style>
  <w:style w:type="paragraph" w:customStyle="1" w:styleId="xl83">
    <w:name w:val="xl83"/>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hAnsi="Arial" w:cs="Arial"/>
      <w:sz w:val="16"/>
      <w:szCs w:val="16"/>
      <w:lang w:eastAsia="en-AU"/>
    </w:rPr>
  </w:style>
  <w:style w:type="paragraph" w:customStyle="1" w:styleId="xl84">
    <w:name w:val="xl84"/>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85">
    <w:name w:val="xl85"/>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86">
    <w:name w:val="xl86"/>
    <w:basedOn w:val="Normal"/>
    <w:rsid w:val="00B03109"/>
    <w:pPr>
      <w:pBdr>
        <w:top w:val="single" w:sz="8" w:space="0" w:color="auto"/>
        <w:left w:val="single" w:sz="4" w:space="0" w:color="auto"/>
        <w:bottom w:val="single" w:sz="8" w:space="0" w:color="auto"/>
        <w:right w:val="single" w:sz="8" w:space="0" w:color="auto"/>
      </w:pBdr>
      <w:shd w:val="clear" w:color="000000" w:fill="4472C4"/>
      <w:spacing w:before="100" w:beforeAutospacing="1" w:after="100" w:afterAutospacing="1" w:line="240" w:lineRule="auto"/>
      <w:jc w:val="center"/>
      <w:textAlignment w:val="center"/>
    </w:pPr>
    <w:rPr>
      <w:rFonts w:ascii="Arial" w:hAnsi="Arial" w:cs="Arial"/>
      <w:color w:val="FFFFFF"/>
      <w:sz w:val="18"/>
      <w:szCs w:val="18"/>
      <w:lang w:eastAsia="en-AU"/>
    </w:rPr>
  </w:style>
  <w:style w:type="paragraph" w:customStyle="1" w:styleId="xl87">
    <w:name w:val="xl87"/>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hAnsi="Arial" w:cs="Arial"/>
      <w:sz w:val="18"/>
      <w:szCs w:val="18"/>
      <w:lang w:eastAsia="en-AU"/>
    </w:rPr>
  </w:style>
  <w:style w:type="paragraph" w:customStyle="1" w:styleId="xl88">
    <w:name w:val="xl88"/>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hAnsi="Arial" w:cs="Arial"/>
      <w:sz w:val="18"/>
      <w:szCs w:val="18"/>
      <w:lang w:eastAsia="en-AU"/>
    </w:rPr>
  </w:style>
  <w:style w:type="paragraph" w:customStyle="1" w:styleId="xl89">
    <w:name w:val="xl89"/>
    <w:basedOn w:val="Normal"/>
    <w:rsid w:val="00B0310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Arial" w:hAnsi="Arial" w:cs="Arial"/>
      <w:sz w:val="18"/>
      <w:szCs w:val="18"/>
      <w:lang w:eastAsia="en-AU"/>
    </w:rPr>
  </w:style>
  <w:style w:type="paragraph" w:customStyle="1" w:styleId="xl90">
    <w:name w:val="xl90"/>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Arial" w:hAnsi="Arial" w:cs="Arial"/>
      <w:sz w:val="18"/>
      <w:szCs w:val="18"/>
      <w:lang w:eastAsia="en-AU"/>
    </w:rPr>
  </w:style>
  <w:style w:type="paragraph" w:customStyle="1" w:styleId="xl91">
    <w:name w:val="xl91"/>
    <w:basedOn w:val="Normal"/>
    <w:rsid w:val="00B03109"/>
    <w:pPr>
      <w:spacing w:before="100" w:beforeAutospacing="1" w:after="100" w:afterAutospacing="1" w:line="240" w:lineRule="auto"/>
      <w:jc w:val="center"/>
    </w:pPr>
    <w:rPr>
      <w:rFonts w:ascii="Arial" w:hAnsi="Arial" w:cs="Arial"/>
      <w:sz w:val="18"/>
      <w:szCs w:val="18"/>
      <w:lang w:eastAsia="en-AU"/>
    </w:rPr>
  </w:style>
  <w:style w:type="paragraph" w:customStyle="1" w:styleId="xl92">
    <w:name w:val="xl92"/>
    <w:basedOn w:val="Normal"/>
    <w:rsid w:val="00B031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hAnsi="Times New Roman"/>
      <w:sz w:val="20"/>
      <w:szCs w:val="20"/>
      <w:lang w:eastAsia="en-AU"/>
    </w:rPr>
  </w:style>
  <w:style w:type="paragraph" w:customStyle="1" w:styleId="xl93">
    <w:name w:val="xl93"/>
    <w:basedOn w:val="Normal"/>
    <w:rsid w:val="00B031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hAnsi="Arial" w:cs="Arial"/>
      <w:sz w:val="16"/>
      <w:szCs w:val="16"/>
      <w:lang w:eastAsia="en-AU"/>
    </w:rPr>
  </w:style>
  <w:style w:type="paragraph" w:customStyle="1" w:styleId="xl94">
    <w:name w:val="xl94"/>
    <w:basedOn w:val="Normal"/>
    <w:rsid w:val="00B031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hAnsi="Arial" w:cs="Arial"/>
      <w:sz w:val="18"/>
      <w:szCs w:val="18"/>
      <w:lang w:eastAsia="en-AU"/>
    </w:rPr>
  </w:style>
  <w:style w:type="paragraph" w:customStyle="1" w:styleId="xl95">
    <w:name w:val="xl95"/>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hAnsi="Arial" w:cs="Arial"/>
      <w:sz w:val="16"/>
      <w:szCs w:val="16"/>
      <w:lang w:eastAsia="en-AU"/>
    </w:rPr>
  </w:style>
  <w:style w:type="paragraph" w:customStyle="1" w:styleId="xl96">
    <w:name w:val="xl96"/>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hAnsi="Arial" w:cs="Arial"/>
      <w:sz w:val="16"/>
      <w:szCs w:val="16"/>
      <w:lang w:eastAsia="en-AU"/>
    </w:rPr>
  </w:style>
  <w:style w:type="paragraph" w:customStyle="1" w:styleId="xl97">
    <w:name w:val="xl97"/>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98">
    <w:name w:val="xl98"/>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color w:val="000000"/>
      <w:sz w:val="18"/>
      <w:szCs w:val="18"/>
      <w:lang w:eastAsia="en-AU"/>
    </w:rPr>
  </w:style>
  <w:style w:type="paragraph" w:customStyle="1" w:styleId="xl99">
    <w:name w:val="xl99"/>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222222"/>
      <w:sz w:val="18"/>
      <w:szCs w:val="18"/>
      <w:lang w:eastAsia="en-AU"/>
    </w:rPr>
  </w:style>
  <w:style w:type="paragraph" w:customStyle="1" w:styleId="xl100">
    <w:name w:val="xl100"/>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18"/>
      <w:szCs w:val="18"/>
      <w:lang w:eastAsia="en-AU"/>
    </w:rPr>
  </w:style>
  <w:style w:type="paragraph" w:customStyle="1" w:styleId="xl101">
    <w:name w:val="xl101"/>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02">
    <w:name w:val="xl102"/>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03">
    <w:name w:val="xl103"/>
    <w:basedOn w:val="Normal"/>
    <w:rsid w:val="00B0310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04">
    <w:name w:val="xl104"/>
    <w:basedOn w:val="Normal"/>
    <w:rsid w:val="00B0310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hAnsi="Times New Roman"/>
      <w:color w:val="222222"/>
      <w:sz w:val="20"/>
      <w:szCs w:val="20"/>
      <w:lang w:eastAsia="en-AU"/>
    </w:rPr>
  </w:style>
  <w:style w:type="paragraph" w:customStyle="1" w:styleId="xl105">
    <w:name w:val="xl105"/>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222222"/>
      <w:sz w:val="20"/>
      <w:szCs w:val="20"/>
      <w:lang w:eastAsia="en-AU"/>
    </w:rPr>
  </w:style>
  <w:style w:type="paragraph" w:customStyle="1" w:styleId="xl106">
    <w:name w:val="xl106"/>
    <w:basedOn w:val="Normal"/>
    <w:rsid w:val="00B0310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hAnsi="Arial" w:cs="Arial"/>
      <w:sz w:val="16"/>
      <w:szCs w:val="16"/>
      <w:lang w:eastAsia="en-AU"/>
    </w:rPr>
  </w:style>
  <w:style w:type="paragraph" w:customStyle="1" w:styleId="xl107">
    <w:name w:val="xl107"/>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108">
    <w:name w:val="xl108"/>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109">
    <w:name w:val="xl109"/>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Times New Roman" w:hAnsi="Times New Roman"/>
      <w:sz w:val="18"/>
      <w:szCs w:val="18"/>
      <w:lang w:eastAsia="en-AU"/>
    </w:rPr>
  </w:style>
  <w:style w:type="paragraph" w:customStyle="1" w:styleId="xl110">
    <w:name w:val="xl110"/>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hAnsi="Times New Roman"/>
      <w:lang w:eastAsia="en-AU"/>
    </w:rPr>
  </w:style>
  <w:style w:type="paragraph" w:customStyle="1" w:styleId="xl111">
    <w:name w:val="xl111"/>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color w:val="222222"/>
      <w:sz w:val="18"/>
      <w:szCs w:val="18"/>
      <w:lang w:eastAsia="en-AU"/>
    </w:rPr>
  </w:style>
  <w:style w:type="paragraph" w:customStyle="1" w:styleId="xl112">
    <w:name w:val="xl112"/>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113">
    <w:name w:val="xl113"/>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Arial" w:hAnsi="Arial" w:cs="Arial"/>
      <w:sz w:val="18"/>
      <w:szCs w:val="18"/>
      <w:lang w:eastAsia="en-AU"/>
    </w:rPr>
  </w:style>
  <w:style w:type="paragraph" w:customStyle="1" w:styleId="xl114">
    <w:name w:val="xl114"/>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18"/>
      <w:szCs w:val="18"/>
      <w:lang w:eastAsia="en-AU"/>
    </w:rPr>
  </w:style>
  <w:style w:type="paragraph" w:customStyle="1" w:styleId="xl115">
    <w:name w:val="xl115"/>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Arial" w:hAnsi="Arial" w:cs="Arial"/>
      <w:sz w:val="18"/>
      <w:szCs w:val="18"/>
      <w:lang w:eastAsia="en-AU"/>
    </w:rPr>
  </w:style>
  <w:style w:type="paragraph" w:customStyle="1" w:styleId="xl116">
    <w:name w:val="xl116"/>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117">
    <w:name w:val="xl117"/>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color w:val="000000"/>
      <w:sz w:val="18"/>
      <w:szCs w:val="18"/>
      <w:lang w:eastAsia="en-AU"/>
    </w:rPr>
  </w:style>
  <w:style w:type="paragraph" w:customStyle="1" w:styleId="xl118">
    <w:name w:val="xl118"/>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222222"/>
      <w:sz w:val="18"/>
      <w:szCs w:val="18"/>
      <w:lang w:eastAsia="en-AU"/>
    </w:rPr>
  </w:style>
  <w:style w:type="paragraph" w:customStyle="1" w:styleId="xl119">
    <w:name w:val="xl119"/>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hAnsi="Arial" w:cs="Arial"/>
      <w:sz w:val="18"/>
      <w:szCs w:val="18"/>
      <w:lang w:eastAsia="en-AU"/>
    </w:rPr>
  </w:style>
  <w:style w:type="paragraph" w:customStyle="1" w:styleId="xl120">
    <w:name w:val="xl120"/>
    <w:basedOn w:val="Normal"/>
    <w:rsid w:val="00B03109"/>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hAnsi="Arial" w:cs="Arial"/>
      <w:sz w:val="16"/>
      <w:szCs w:val="16"/>
      <w:lang w:eastAsia="en-AU"/>
    </w:rPr>
  </w:style>
  <w:style w:type="paragraph" w:customStyle="1" w:styleId="xl121">
    <w:name w:val="xl121"/>
    <w:basedOn w:val="Normal"/>
    <w:rsid w:val="00B03109"/>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22">
    <w:name w:val="xl122"/>
    <w:basedOn w:val="Normal"/>
    <w:rsid w:val="00B0310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23">
    <w:name w:val="xl123"/>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0"/>
      <w:szCs w:val="20"/>
      <w:lang w:eastAsia="en-AU"/>
    </w:rPr>
  </w:style>
  <w:style w:type="paragraph" w:customStyle="1" w:styleId="xl124">
    <w:name w:val="xl124"/>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Arial" w:hAnsi="Arial" w:cs="Arial"/>
      <w:sz w:val="16"/>
      <w:szCs w:val="16"/>
      <w:lang w:eastAsia="en-AU"/>
    </w:rPr>
  </w:style>
  <w:style w:type="paragraph" w:customStyle="1" w:styleId="xl125">
    <w:name w:val="xl125"/>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0"/>
      <w:szCs w:val="20"/>
      <w:lang w:eastAsia="en-AU"/>
    </w:rPr>
  </w:style>
  <w:style w:type="paragraph" w:customStyle="1" w:styleId="xl126">
    <w:name w:val="xl126"/>
    <w:basedOn w:val="Normal"/>
    <w:rsid w:val="00B03109"/>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27">
    <w:name w:val="xl127"/>
    <w:basedOn w:val="Normal"/>
    <w:rsid w:val="00B0310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128">
    <w:name w:val="xl128"/>
    <w:basedOn w:val="Normal"/>
    <w:rsid w:val="00B03109"/>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29">
    <w:name w:val="xl129"/>
    <w:basedOn w:val="Normal"/>
    <w:rsid w:val="00B03109"/>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30">
    <w:name w:val="xl130"/>
    <w:basedOn w:val="Normal"/>
    <w:rsid w:val="00B03109"/>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131">
    <w:name w:val="xl131"/>
    <w:basedOn w:val="Normal"/>
    <w:rsid w:val="00B03109"/>
    <w:pPr>
      <w:pBdr>
        <w:top w:val="single" w:sz="4" w:space="0" w:color="auto"/>
        <w:left w:val="single" w:sz="4" w:space="0" w:color="auto"/>
        <w:bottom w:val="single" w:sz="4" w:space="0" w:color="auto"/>
      </w:pBdr>
      <w:shd w:val="clear" w:color="000000" w:fill="C6E0B4"/>
      <w:spacing w:before="100" w:beforeAutospacing="1" w:after="100" w:afterAutospacing="1" w:line="240" w:lineRule="auto"/>
    </w:pPr>
    <w:rPr>
      <w:rFonts w:ascii="Times New Roman" w:hAnsi="Times New Roman"/>
      <w:sz w:val="18"/>
      <w:szCs w:val="18"/>
      <w:lang w:eastAsia="en-AU"/>
    </w:rPr>
  </w:style>
  <w:style w:type="paragraph" w:customStyle="1" w:styleId="xl132">
    <w:name w:val="xl132"/>
    <w:basedOn w:val="Normal"/>
    <w:rsid w:val="00B03109"/>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133">
    <w:name w:val="xl133"/>
    <w:basedOn w:val="Normal"/>
    <w:rsid w:val="00B03109"/>
    <w:pPr>
      <w:pBdr>
        <w:top w:val="single" w:sz="4" w:space="0" w:color="808080"/>
        <w:left w:val="single" w:sz="8" w:space="0" w:color="auto"/>
        <w:bottom w:val="single" w:sz="4" w:space="0" w:color="808080"/>
      </w:pBdr>
      <w:shd w:val="clear" w:color="000000" w:fill="C6E0B4"/>
      <w:spacing w:before="100" w:beforeAutospacing="1" w:after="100" w:afterAutospacing="1" w:line="240" w:lineRule="auto"/>
      <w:textAlignment w:val="top"/>
    </w:pPr>
    <w:rPr>
      <w:rFonts w:ascii="Times New Roman" w:hAnsi="Times New Roman"/>
      <w:color w:val="000000"/>
      <w:sz w:val="20"/>
      <w:szCs w:val="20"/>
      <w:lang w:eastAsia="en-AU"/>
    </w:rPr>
  </w:style>
  <w:style w:type="paragraph" w:customStyle="1" w:styleId="xl134">
    <w:name w:val="xl134"/>
    <w:basedOn w:val="Normal"/>
    <w:rsid w:val="00B03109"/>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135">
    <w:name w:val="xl135"/>
    <w:basedOn w:val="Normal"/>
    <w:rsid w:val="00B0310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36">
    <w:name w:val="xl136"/>
    <w:basedOn w:val="Normal"/>
    <w:rsid w:val="00B03109"/>
    <w:pPr>
      <w:pBdr>
        <w:top w:val="single" w:sz="4" w:space="0" w:color="808080"/>
        <w:left w:val="single" w:sz="8" w:space="0" w:color="auto"/>
      </w:pBdr>
      <w:shd w:val="clear" w:color="000000" w:fill="C6E0B4"/>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37">
    <w:name w:val="xl137"/>
    <w:basedOn w:val="Normal"/>
    <w:rsid w:val="00B0310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0"/>
      <w:szCs w:val="20"/>
      <w:lang w:eastAsia="en-AU"/>
    </w:rPr>
  </w:style>
  <w:style w:type="paragraph" w:customStyle="1" w:styleId="xl138">
    <w:name w:val="xl138"/>
    <w:basedOn w:val="Normal"/>
    <w:rsid w:val="00B03109"/>
    <w:pPr>
      <w:pBdr>
        <w:top w:val="single" w:sz="4" w:space="0" w:color="auto"/>
        <w:left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39">
    <w:name w:val="xl139"/>
    <w:basedOn w:val="Normal"/>
    <w:rsid w:val="00B0310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140">
    <w:name w:val="xl140"/>
    <w:basedOn w:val="Normal"/>
    <w:rsid w:val="00B031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hAnsi="Times New Roman"/>
      <w:sz w:val="18"/>
      <w:szCs w:val="18"/>
      <w:lang w:eastAsia="en-AU"/>
    </w:rPr>
  </w:style>
  <w:style w:type="paragraph" w:customStyle="1" w:styleId="xl141">
    <w:name w:val="xl141"/>
    <w:basedOn w:val="Normal"/>
    <w:rsid w:val="00B03109"/>
    <w:pPr>
      <w:pBdr>
        <w:left w:val="single" w:sz="4" w:space="0" w:color="auto"/>
        <w:bottom w:val="single" w:sz="4" w:space="0" w:color="auto"/>
      </w:pBdr>
      <w:shd w:val="clear" w:color="000000" w:fill="FFE699"/>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42">
    <w:name w:val="xl142"/>
    <w:basedOn w:val="Normal"/>
    <w:rsid w:val="00B03109"/>
    <w:pPr>
      <w:pBdr>
        <w:top w:val="single" w:sz="4" w:space="0" w:color="auto"/>
        <w:left w:val="single" w:sz="4" w:space="0" w:color="auto"/>
        <w:bottom w:val="single" w:sz="4" w:space="0" w:color="auto"/>
      </w:pBdr>
      <w:shd w:val="clear" w:color="000000" w:fill="FFE699"/>
      <w:spacing w:before="100" w:beforeAutospacing="1" w:after="100" w:afterAutospacing="1" w:line="240" w:lineRule="auto"/>
      <w:textAlignment w:val="center"/>
    </w:pPr>
    <w:rPr>
      <w:rFonts w:ascii="Arial" w:hAnsi="Arial" w:cs="Arial"/>
      <w:sz w:val="16"/>
      <w:szCs w:val="16"/>
      <w:lang w:eastAsia="en-AU"/>
    </w:rPr>
  </w:style>
  <w:style w:type="paragraph" w:customStyle="1" w:styleId="xl143">
    <w:name w:val="xl143"/>
    <w:basedOn w:val="Normal"/>
    <w:rsid w:val="00B03109"/>
    <w:pPr>
      <w:shd w:val="clear" w:color="000000" w:fill="C6E0B4"/>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44">
    <w:name w:val="xl144"/>
    <w:basedOn w:val="Normal"/>
    <w:rsid w:val="00B03109"/>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hAnsi="Times New Roman"/>
      <w:sz w:val="18"/>
      <w:szCs w:val="18"/>
      <w:lang w:eastAsia="en-AU"/>
    </w:rPr>
  </w:style>
  <w:style w:type="paragraph" w:customStyle="1" w:styleId="xl145">
    <w:name w:val="xl145"/>
    <w:basedOn w:val="Normal"/>
    <w:rsid w:val="00B03109"/>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46">
    <w:name w:val="xl146"/>
    <w:basedOn w:val="Normal"/>
    <w:rsid w:val="00B03109"/>
    <w:pPr>
      <w:pBdr>
        <w:top w:val="single" w:sz="4" w:space="0" w:color="auto"/>
        <w:left w:val="single" w:sz="4" w:space="0" w:color="auto"/>
        <w:bottom w:val="single" w:sz="4" w:space="0" w:color="auto"/>
      </w:pBdr>
      <w:shd w:val="clear" w:color="000000" w:fill="FFE699"/>
      <w:spacing w:before="100" w:beforeAutospacing="1" w:after="100" w:afterAutospacing="1" w:line="240" w:lineRule="auto"/>
      <w:textAlignment w:val="center"/>
    </w:pPr>
    <w:rPr>
      <w:rFonts w:ascii="Times New Roman" w:hAnsi="Times New Roman"/>
      <w:color w:val="000000"/>
      <w:sz w:val="20"/>
      <w:szCs w:val="20"/>
      <w:lang w:eastAsia="en-AU"/>
    </w:rPr>
  </w:style>
  <w:style w:type="paragraph" w:customStyle="1" w:styleId="xl147">
    <w:name w:val="xl147"/>
    <w:basedOn w:val="Normal"/>
    <w:rsid w:val="00B03109"/>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center"/>
    </w:pPr>
    <w:rPr>
      <w:rFonts w:ascii="Arial" w:hAnsi="Arial" w:cs="Arial"/>
      <w:sz w:val="16"/>
      <w:szCs w:val="16"/>
      <w:lang w:eastAsia="en-AU"/>
    </w:rPr>
  </w:style>
  <w:style w:type="paragraph" w:customStyle="1" w:styleId="xl148">
    <w:name w:val="xl148"/>
    <w:basedOn w:val="Normal"/>
    <w:rsid w:val="00B03109"/>
    <w:pPr>
      <w:pBdr>
        <w:top w:val="single" w:sz="4" w:space="0" w:color="auto"/>
        <w:left w:val="single" w:sz="4" w:space="0" w:color="auto"/>
        <w:right w:val="single" w:sz="4" w:space="0" w:color="auto"/>
      </w:pBdr>
      <w:shd w:val="clear" w:color="000000" w:fill="C6E0B4"/>
      <w:spacing w:before="100" w:beforeAutospacing="1" w:after="100" w:afterAutospacing="1" w:line="240" w:lineRule="auto"/>
    </w:pPr>
    <w:rPr>
      <w:rFonts w:ascii="Arial" w:hAnsi="Arial" w:cs="Arial"/>
      <w:sz w:val="16"/>
      <w:szCs w:val="16"/>
      <w:lang w:eastAsia="en-AU"/>
    </w:rPr>
  </w:style>
  <w:style w:type="paragraph" w:customStyle="1" w:styleId="xl149">
    <w:name w:val="xl149"/>
    <w:basedOn w:val="Normal"/>
    <w:rsid w:val="00B03109"/>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Arial" w:hAnsi="Arial" w:cs="Arial"/>
      <w:sz w:val="16"/>
      <w:szCs w:val="16"/>
      <w:lang w:eastAsia="en-AU"/>
    </w:rPr>
  </w:style>
  <w:style w:type="paragraph" w:customStyle="1" w:styleId="xl150">
    <w:name w:val="xl150"/>
    <w:basedOn w:val="Normal"/>
    <w:rsid w:val="00B03109"/>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hAnsi="Arial" w:cs="Arial"/>
      <w:sz w:val="18"/>
      <w:szCs w:val="18"/>
      <w:lang w:eastAsia="en-AU"/>
    </w:rPr>
  </w:style>
  <w:style w:type="paragraph" w:customStyle="1" w:styleId="xl151">
    <w:name w:val="xl151"/>
    <w:basedOn w:val="Normal"/>
    <w:rsid w:val="00B03109"/>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0"/>
      <w:szCs w:val="20"/>
      <w:lang w:eastAsia="en-AU"/>
    </w:rPr>
  </w:style>
  <w:style w:type="paragraph" w:customStyle="1" w:styleId="smalltext">
    <w:name w:val="small text"/>
    <w:basedOn w:val="Normal"/>
    <w:rsid w:val="00B03109"/>
    <w:pPr>
      <w:spacing w:before="0" w:after="0" w:line="240" w:lineRule="auto"/>
    </w:pPr>
    <w:rPr>
      <w:color w:val="000000"/>
      <w:sz w:val="19"/>
      <w:szCs w:val="20"/>
    </w:rPr>
  </w:style>
  <w:style w:type="paragraph" w:customStyle="1" w:styleId="Pa6">
    <w:name w:val="Pa6"/>
    <w:basedOn w:val="Default"/>
    <w:next w:val="Default"/>
    <w:uiPriority w:val="99"/>
    <w:rsid w:val="00B03109"/>
    <w:pPr>
      <w:spacing w:line="221" w:lineRule="atLeast"/>
    </w:pPr>
    <w:rPr>
      <w:rFonts w:ascii="ITC Franklin Gothic BookCd" w:hAnsi="ITC Franklin Gothic BookCd" w:cs="Times New Roman"/>
      <w:color w:val="auto"/>
    </w:rPr>
  </w:style>
  <w:style w:type="paragraph" w:styleId="NoSpacing">
    <w:name w:val="No Spacing"/>
    <w:uiPriority w:val="1"/>
    <w:qFormat/>
    <w:rsid w:val="003174EF"/>
    <w:pPr>
      <w:spacing w:after="0" w:line="240" w:lineRule="auto"/>
    </w:pPr>
    <w:rPr>
      <w:rFonts w:ascii="Cambria" w:eastAsia="Times New Roman" w:hAnsi="Cambria"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pyright@agriculture.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agriculture.gov.au/biosecurity/emergency/review-horse-disease-response-levy" TargetMode="External"/><Relationship Id="rId17" Type="http://schemas.openxmlformats.org/officeDocument/2006/relationships/hyperlink" Target="http://www.agriculture.gov.au/biosecurity/emergency/review-horse-disease-response-levy"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3.0/au/deed.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agriculture.gov.au/SiteCollectionDocuments/ag-food/levies/documentsandreports/levy-principles-guidelin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mylink.agdaff.gov.au/Comms/PrintPub/Logos/Departmental%20Logos/Department%20of%20Agriculture%20and%20Water%20Resources/Left%20Aligned/Master%20Brandmark%20Left%20Aligned-JPEG.jpg"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876D6ED-DC8F-48FE-BB65-10F1B1A8D524}"/>
</file>

<file path=customXml/itemProps2.xml><?xml version="1.0" encoding="utf-8"?>
<ds:datastoreItem xmlns:ds="http://schemas.openxmlformats.org/officeDocument/2006/customXml" ds:itemID="{90704330-F749-4608-A656-2FE4EE2A7ED6}"/>
</file>

<file path=customXml/itemProps3.xml><?xml version="1.0" encoding="utf-8"?>
<ds:datastoreItem xmlns:ds="http://schemas.openxmlformats.org/officeDocument/2006/customXml" ds:itemID="{1C1D7810-43B7-4C3C-9199-9EE5AC1F454B}"/>
</file>

<file path=customXml/itemProps4.xml><?xml version="1.0" encoding="utf-8"?>
<ds:datastoreItem xmlns:ds="http://schemas.openxmlformats.org/officeDocument/2006/customXml" ds:itemID="{3B3B1890-2FA7-493D-8D2D-AA62D3B41F27}"/>
</file>

<file path=docProps/app.xml><?xml version="1.0" encoding="utf-8"?>
<Properties xmlns="http://schemas.openxmlformats.org/officeDocument/2006/extended-properties" xmlns:vt="http://schemas.openxmlformats.org/officeDocument/2006/docPropsVTypes">
  <Template>Word 2010 look</Template>
  <TotalTime>1</TotalTime>
  <Pages>20</Pages>
  <Words>5373</Words>
  <Characters>30631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Louise</dc:creator>
  <cp:keywords/>
  <dc:description/>
  <cp:lastModifiedBy>Pearce, Louise</cp:lastModifiedBy>
  <cp:revision>3</cp:revision>
  <cp:lastPrinted>2017-04-02T23:57:00Z</cp:lastPrinted>
  <dcterms:created xsi:type="dcterms:W3CDTF">2017-04-04T06:31:00Z</dcterms:created>
  <dcterms:modified xsi:type="dcterms:W3CDTF">2017-04-04T06:32:00Z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