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115B" w:rsidRDefault="00783D14" w:rsidP="00C71580">
      <w:pPr>
        <w:pStyle w:val="BodyText"/>
        <w:spacing w:before="0"/>
      </w:pPr>
      <w:r>
        <w:rPr>
          <w:noProof/>
          <w:lang w:eastAsia="en-AU"/>
        </w:rPr>
        <w:drawing>
          <wp:inline distT="0" distB="0" distL="0" distR="0">
            <wp:extent cx="2571750" cy="707470"/>
            <wp:effectExtent l="0" t="0" r="0" b="0"/>
            <wp:docPr id="4" name="Picture 4" descr="Logo of the Australian Government Department of Agricul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mylink.agdaff.gov.au/StaffServices/Comms/CreateContent/Branding/Logos/Departmental%20Logos/Dept%20of%20Agriculture/AG_Inline_black.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627261" cy="722741"/>
                    </a:xfrm>
                    <a:prstGeom prst="rect">
                      <a:avLst/>
                    </a:prstGeom>
                    <a:noFill/>
                    <a:ln>
                      <a:noFill/>
                    </a:ln>
                  </pic:spPr>
                </pic:pic>
              </a:graphicData>
            </a:graphic>
          </wp:inline>
        </w:drawing>
      </w:r>
    </w:p>
    <w:p w:rsidR="00C426B5" w:rsidRPr="00A17037" w:rsidRDefault="00BE16D2" w:rsidP="00A17037">
      <w:pPr>
        <w:pStyle w:val="DocumentType-Reference"/>
      </w:pPr>
      <w:r>
        <w:t>REFERENCE</w:t>
      </w:r>
    </w:p>
    <w:p w:rsidR="00C426B5" w:rsidRPr="00C71580" w:rsidRDefault="001A74A5" w:rsidP="004E7C71">
      <w:pPr>
        <w:pStyle w:val="Heading1"/>
        <w:spacing w:after="400"/>
        <w:rPr>
          <w:b w:val="0"/>
        </w:rPr>
      </w:pPr>
      <w:bookmarkStart w:id="0" w:name="_Toc360193309"/>
      <w:bookmarkStart w:id="1" w:name="_Toc360194608"/>
      <w:bookmarkStart w:id="2" w:name="_Toc360195179"/>
      <w:r>
        <w:t>Conveyance</w:t>
      </w:r>
      <w:r w:rsidR="004E7C71">
        <w:t xml:space="preserve"> standards f</w:t>
      </w:r>
      <w:bookmarkStart w:id="3" w:name="_GoBack"/>
      <w:bookmarkEnd w:id="3"/>
      <w:r w:rsidR="004E7C71">
        <w:t xml:space="preserve">or imported </w:t>
      </w:r>
      <w:r w:rsidR="007D1AEE">
        <w:t xml:space="preserve">bulk </w:t>
      </w:r>
      <w:r w:rsidR="004E7C71">
        <w:t xml:space="preserve">grain </w:t>
      </w:r>
      <w:bookmarkEnd w:id="0"/>
      <w:bookmarkEnd w:id="1"/>
      <w:bookmarkEnd w:id="2"/>
    </w:p>
    <w:p w:rsidR="00C426B5" w:rsidRDefault="004C4674">
      <w:r>
        <w:pict w14:anchorId="34F76A9F">
          <v:rect id="_x0000_i1025" style="width:451.3pt;height:3pt" o:hralign="center" o:hrstd="t" o:hrnoshade="t" o:hr="t" fillcolor="#d5d2ca" stroked="f"/>
        </w:pict>
      </w:r>
    </w:p>
    <w:p w:rsidR="00C426B5" w:rsidRDefault="00C426B5">
      <w:pPr>
        <w:pStyle w:val="BodyText"/>
        <w:rPr>
          <w:b/>
          <w:sz w:val="30"/>
          <w:szCs w:val="30"/>
        </w:rPr>
      </w:pPr>
      <w:bookmarkStart w:id="4" w:name="_Toc365462688"/>
      <w:r>
        <w:rPr>
          <w:b/>
          <w:sz w:val="30"/>
          <w:szCs w:val="30"/>
        </w:rPr>
        <w:t>In this document</w:t>
      </w:r>
      <w:bookmarkEnd w:id="4"/>
    </w:p>
    <w:p w:rsidR="00C426B5" w:rsidRDefault="00C426B5">
      <w:pPr>
        <w:pStyle w:val="BodyText"/>
        <w:rPr>
          <w:lang w:val="en-US"/>
        </w:rPr>
      </w:pPr>
      <w:r>
        <w:rPr>
          <w:lang w:val="en-US"/>
        </w:rPr>
        <w:t>This document contains the following topics.</w:t>
      </w:r>
    </w:p>
    <w:p w:rsidR="00046C70" w:rsidRDefault="00C426B5" w:rsidP="001A5531">
      <w:pPr>
        <w:pStyle w:val="TOC1"/>
        <w:rPr>
          <w:rFonts w:asciiTheme="minorHAnsi" w:eastAsiaTheme="minorEastAsia" w:hAnsiTheme="minorHAnsi" w:cstheme="minorBidi"/>
          <w:noProof/>
          <w:lang w:val="en-AU"/>
        </w:rPr>
      </w:pPr>
      <w:r>
        <w:rPr>
          <w:b/>
          <w:bCs/>
        </w:rPr>
        <w:fldChar w:fldCharType="begin"/>
      </w:r>
      <w:r>
        <w:rPr>
          <w:b/>
          <w:bCs/>
        </w:rPr>
        <w:instrText xml:space="preserve"> TOC \h \z \t "Heading 2,1,Heading 3,2,Heading 4,3" </w:instrText>
      </w:r>
      <w:r>
        <w:rPr>
          <w:b/>
          <w:bCs/>
        </w:rPr>
        <w:fldChar w:fldCharType="separate"/>
      </w:r>
      <w:hyperlink w:anchor="_Toc1388638" w:history="1">
        <w:r w:rsidR="00046C70" w:rsidRPr="008664A3">
          <w:rPr>
            <w:rStyle w:val="Hyperlink"/>
            <w:noProof/>
          </w:rPr>
          <w:t>Purpose of this document</w:t>
        </w:r>
        <w:r w:rsidR="00046C70">
          <w:rPr>
            <w:noProof/>
            <w:webHidden/>
          </w:rPr>
          <w:tab/>
        </w:r>
        <w:r w:rsidR="00046C70">
          <w:rPr>
            <w:noProof/>
            <w:webHidden/>
          </w:rPr>
          <w:fldChar w:fldCharType="begin"/>
        </w:r>
        <w:r w:rsidR="00046C70">
          <w:rPr>
            <w:noProof/>
            <w:webHidden/>
          </w:rPr>
          <w:instrText xml:space="preserve"> PAGEREF _Toc1388638 \h </w:instrText>
        </w:r>
        <w:r w:rsidR="00046C70">
          <w:rPr>
            <w:noProof/>
            <w:webHidden/>
          </w:rPr>
        </w:r>
        <w:r w:rsidR="00046C70">
          <w:rPr>
            <w:noProof/>
            <w:webHidden/>
          </w:rPr>
          <w:fldChar w:fldCharType="separate"/>
        </w:r>
        <w:r w:rsidR="004C4674">
          <w:rPr>
            <w:noProof/>
            <w:webHidden/>
          </w:rPr>
          <w:t>1</w:t>
        </w:r>
        <w:r w:rsidR="00046C70">
          <w:rPr>
            <w:noProof/>
            <w:webHidden/>
          </w:rPr>
          <w:fldChar w:fldCharType="end"/>
        </w:r>
      </w:hyperlink>
    </w:p>
    <w:p w:rsidR="00046C70" w:rsidRDefault="004C4674" w:rsidP="001A5531">
      <w:pPr>
        <w:pStyle w:val="TOC1"/>
        <w:rPr>
          <w:rFonts w:asciiTheme="minorHAnsi" w:eastAsiaTheme="minorEastAsia" w:hAnsiTheme="minorHAnsi" w:cstheme="minorBidi"/>
          <w:noProof/>
          <w:lang w:val="en-AU"/>
        </w:rPr>
      </w:pPr>
      <w:hyperlink w:anchor="_Toc1388639" w:history="1">
        <w:r w:rsidR="00046C70" w:rsidRPr="008664A3">
          <w:rPr>
            <w:rStyle w:val="Hyperlink"/>
            <w:noProof/>
          </w:rPr>
          <w:t>Definitions</w:t>
        </w:r>
        <w:r w:rsidR="00046C70">
          <w:rPr>
            <w:noProof/>
            <w:webHidden/>
          </w:rPr>
          <w:tab/>
        </w:r>
        <w:r w:rsidR="00046C70">
          <w:rPr>
            <w:noProof/>
            <w:webHidden/>
          </w:rPr>
          <w:fldChar w:fldCharType="begin"/>
        </w:r>
        <w:r w:rsidR="00046C70">
          <w:rPr>
            <w:noProof/>
            <w:webHidden/>
          </w:rPr>
          <w:instrText xml:space="preserve"> PAGEREF _Toc1388639 \h </w:instrText>
        </w:r>
        <w:r w:rsidR="00046C70">
          <w:rPr>
            <w:noProof/>
            <w:webHidden/>
          </w:rPr>
        </w:r>
        <w:r w:rsidR="00046C70">
          <w:rPr>
            <w:noProof/>
            <w:webHidden/>
          </w:rPr>
          <w:fldChar w:fldCharType="separate"/>
        </w:r>
        <w:r>
          <w:rPr>
            <w:noProof/>
            <w:webHidden/>
          </w:rPr>
          <w:t>1</w:t>
        </w:r>
        <w:r w:rsidR="00046C70">
          <w:rPr>
            <w:noProof/>
            <w:webHidden/>
          </w:rPr>
          <w:fldChar w:fldCharType="end"/>
        </w:r>
      </w:hyperlink>
    </w:p>
    <w:p w:rsidR="00046C70" w:rsidRDefault="004C4674" w:rsidP="001A5531">
      <w:pPr>
        <w:pStyle w:val="TOC1"/>
        <w:rPr>
          <w:rFonts w:asciiTheme="minorHAnsi" w:eastAsiaTheme="minorEastAsia" w:hAnsiTheme="minorHAnsi" w:cstheme="minorBidi"/>
          <w:noProof/>
          <w:lang w:val="en-AU"/>
        </w:rPr>
      </w:pPr>
      <w:hyperlink w:anchor="_Toc1388640" w:history="1">
        <w:r w:rsidR="00046C70" w:rsidRPr="008664A3">
          <w:rPr>
            <w:rStyle w:val="Hyperlink"/>
            <w:noProof/>
          </w:rPr>
          <w:t>Background</w:t>
        </w:r>
        <w:r w:rsidR="00046C70">
          <w:rPr>
            <w:noProof/>
            <w:webHidden/>
          </w:rPr>
          <w:tab/>
        </w:r>
        <w:r w:rsidR="00046C70">
          <w:rPr>
            <w:noProof/>
            <w:webHidden/>
          </w:rPr>
          <w:fldChar w:fldCharType="begin"/>
        </w:r>
        <w:r w:rsidR="00046C70">
          <w:rPr>
            <w:noProof/>
            <w:webHidden/>
          </w:rPr>
          <w:instrText xml:space="preserve"> PAGEREF _Toc1388640 \h </w:instrText>
        </w:r>
        <w:r w:rsidR="00046C70">
          <w:rPr>
            <w:noProof/>
            <w:webHidden/>
          </w:rPr>
        </w:r>
        <w:r w:rsidR="00046C70">
          <w:rPr>
            <w:noProof/>
            <w:webHidden/>
          </w:rPr>
          <w:fldChar w:fldCharType="separate"/>
        </w:r>
        <w:r>
          <w:rPr>
            <w:noProof/>
            <w:webHidden/>
          </w:rPr>
          <w:t>2</w:t>
        </w:r>
        <w:r w:rsidR="00046C70">
          <w:rPr>
            <w:noProof/>
            <w:webHidden/>
          </w:rPr>
          <w:fldChar w:fldCharType="end"/>
        </w:r>
      </w:hyperlink>
    </w:p>
    <w:p w:rsidR="00046C70" w:rsidRDefault="004C4674" w:rsidP="001A5531">
      <w:pPr>
        <w:pStyle w:val="TOC1"/>
        <w:rPr>
          <w:rFonts w:asciiTheme="minorHAnsi" w:eastAsiaTheme="minorEastAsia" w:hAnsiTheme="minorHAnsi" w:cstheme="minorBidi"/>
          <w:noProof/>
          <w:lang w:val="en-AU"/>
        </w:rPr>
      </w:pPr>
      <w:hyperlink w:anchor="_Toc1388641" w:history="1">
        <w:r w:rsidR="00046C70" w:rsidRPr="008664A3">
          <w:rPr>
            <w:rStyle w:val="Hyperlink"/>
            <w:noProof/>
          </w:rPr>
          <w:t>Scope</w:t>
        </w:r>
        <w:r w:rsidR="00046C70">
          <w:rPr>
            <w:noProof/>
            <w:webHidden/>
          </w:rPr>
          <w:tab/>
        </w:r>
        <w:r w:rsidR="00046C70">
          <w:rPr>
            <w:noProof/>
            <w:webHidden/>
          </w:rPr>
          <w:fldChar w:fldCharType="begin"/>
        </w:r>
        <w:r w:rsidR="00046C70">
          <w:rPr>
            <w:noProof/>
            <w:webHidden/>
          </w:rPr>
          <w:instrText xml:space="preserve"> PAGEREF _Toc1388641 \h </w:instrText>
        </w:r>
        <w:r w:rsidR="00046C70">
          <w:rPr>
            <w:noProof/>
            <w:webHidden/>
          </w:rPr>
        </w:r>
        <w:r w:rsidR="00046C70">
          <w:rPr>
            <w:noProof/>
            <w:webHidden/>
          </w:rPr>
          <w:fldChar w:fldCharType="separate"/>
        </w:r>
        <w:r>
          <w:rPr>
            <w:noProof/>
            <w:webHidden/>
          </w:rPr>
          <w:t>2</w:t>
        </w:r>
        <w:r w:rsidR="00046C70">
          <w:rPr>
            <w:noProof/>
            <w:webHidden/>
          </w:rPr>
          <w:fldChar w:fldCharType="end"/>
        </w:r>
      </w:hyperlink>
    </w:p>
    <w:p w:rsidR="00046C70" w:rsidRDefault="004C4674" w:rsidP="001A5531">
      <w:pPr>
        <w:pStyle w:val="TOC1"/>
        <w:rPr>
          <w:rFonts w:asciiTheme="minorHAnsi" w:eastAsiaTheme="minorEastAsia" w:hAnsiTheme="minorHAnsi" w:cstheme="minorBidi"/>
          <w:noProof/>
          <w:lang w:val="en-AU"/>
        </w:rPr>
      </w:pPr>
      <w:hyperlink w:anchor="_Toc1388642" w:history="1">
        <w:r w:rsidR="00046C70" w:rsidRPr="008664A3">
          <w:rPr>
            <w:rStyle w:val="Hyperlink"/>
            <w:noProof/>
          </w:rPr>
          <w:t>Conveyance requirements</w:t>
        </w:r>
        <w:r w:rsidR="00046C70">
          <w:rPr>
            <w:noProof/>
            <w:webHidden/>
          </w:rPr>
          <w:tab/>
        </w:r>
        <w:r w:rsidR="00046C70">
          <w:rPr>
            <w:noProof/>
            <w:webHidden/>
          </w:rPr>
          <w:fldChar w:fldCharType="begin"/>
        </w:r>
        <w:r w:rsidR="00046C70">
          <w:rPr>
            <w:noProof/>
            <w:webHidden/>
          </w:rPr>
          <w:instrText xml:space="preserve"> PAGEREF _Toc1388642 \h </w:instrText>
        </w:r>
        <w:r w:rsidR="00046C70">
          <w:rPr>
            <w:noProof/>
            <w:webHidden/>
          </w:rPr>
        </w:r>
        <w:r w:rsidR="00046C70">
          <w:rPr>
            <w:noProof/>
            <w:webHidden/>
          </w:rPr>
          <w:fldChar w:fldCharType="separate"/>
        </w:r>
        <w:r>
          <w:rPr>
            <w:noProof/>
            <w:webHidden/>
          </w:rPr>
          <w:t>2</w:t>
        </w:r>
        <w:r w:rsidR="00046C70">
          <w:rPr>
            <w:noProof/>
            <w:webHidden/>
          </w:rPr>
          <w:fldChar w:fldCharType="end"/>
        </w:r>
      </w:hyperlink>
    </w:p>
    <w:p w:rsidR="00046C70" w:rsidRDefault="004C4674" w:rsidP="001A5531">
      <w:pPr>
        <w:pStyle w:val="TOC2"/>
        <w:rPr>
          <w:rFonts w:asciiTheme="minorHAnsi" w:eastAsiaTheme="minorEastAsia" w:hAnsiTheme="minorHAnsi" w:cstheme="minorBidi"/>
          <w:noProof/>
        </w:rPr>
      </w:pPr>
      <w:hyperlink w:anchor="_Toc1388643" w:history="1">
        <w:r w:rsidR="00046C70" w:rsidRPr="008664A3">
          <w:rPr>
            <w:rStyle w:val="Hyperlink"/>
            <w:noProof/>
            <w:lang w:val="en-US"/>
          </w:rPr>
          <w:t>All conveyances</w:t>
        </w:r>
        <w:r w:rsidR="00046C70">
          <w:rPr>
            <w:noProof/>
            <w:webHidden/>
          </w:rPr>
          <w:tab/>
        </w:r>
        <w:r w:rsidR="00046C70">
          <w:rPr>
            <w:noProof/>
            <w:webHidden/>
          </w:rPr>
          <w:fldChar w:fldCharType="begin"/>
        </w:r>
        <w:r w:rsidR="00046C70">
          <w:rPr>
            <w:noProof/>
            <w:webHidden/>
          </w:rPr>
          <w:instrText xml:space="preserve"> PAGEREF _Toc1388643 \h </w:instrText>
        </w:r>
        <w:r w:rsidR="00046C70">
          <w:rPr>
            <w:noProof/>
            <w:webHidden/>
          </w:rPr>
        </w:r>
        <w:r w:rsidR="00046C70">
          <w:rPr>
            <w:noProof/>
            <w:webHidden/>
          </w:rPr>
          <w:fldChar w:fldCharType="separate"/>
        </w:r>
        <w:r>
          <w:rPr>
            <w:noProof/>
            <w:webHidden/>
          </w:rPr>
          <w:t>2</w:t>
        </w:r>
        <w:r w:rsidR="00046C70">
          <w:rPr>
            <w:noProof/>
            <w:webHidden/>
          </w:rPr>
          <w:fldChar w:fldCharType="end"/>
        </w:r>
      </w:hyperlink>
    </w:p>
    <w:p w:rsidR="00046C70" w:rsidRDefault="004C4674" w:rsidP="001A5531">
      <w:pPr>
        <w:pStyle w:val="TOC2"/>
        <w:rPr>
          <w:rFonts w:asciiTheme="minorHAnsi" w:eastAsiaTheme="minorEastAsia" w:hAnsiTheme="minorHAnsi" w:cstheme="minorBidi"/>
          <w:noProof/>
        </w:rPr>
      </w:pPr>
      <w:hyperlink w:anchor="_Toc1388644" w:history="1">
        <w:r w:rsidR="00046C70" w:rsidRPr="008664A3">
          <w:rPr>
            <w:rStyle w:val="Hyperlink"/>
            <w:noProof/>
            <w:lang w:val="en-US"/>
          </w:rPr>
          <w:t>Specific conveyance requirements</w:t>
        </w:r>
        <w:r w:rsidR="00046C70">
          <w:rPr>
            <w:noProof/>
            <w:webHidden/>
          </w:rPr>
          <w:tab/>
        </w:r>
        <w:r w:rsidR="00046C70">
          <w:rPr>
            <w:noProof/>
            <w:webHidden/>
          </w:rPr>
          <w:fldChar w:fldCharType="begin"/>
        </w:r>
        <w:r w:rsidR="00046C70">
          <w:rPr>
            <w:noProof/>
            <w:webHidden/>
          </w:rPr>
          <w:instrText xml:space="preserve"> PAGEREF _Toc1388644 \h </w:instrText>
        </w:r>
        <w:r w:rsidR="00046C70">
          <w:rPr>
            <w:noProof/>
            <w:webHidden/>
          </w:rPr>
        </w:r>
        <w:r w:rsidR="00046C70">
          <w:rPr>
            <w:noProof/>
            <w:webHidden/>
          </w:rPr>
          <w:fldChar w:fldCharType="separate"/>
        </w:r>
        <w:r>
          <w:rPr>
            <w:noProof/>
            <w:webHidden/>
          </w:rPr>
          <w:t>3</w:t>
        </w:r>
        <w:r w:rsidR="00046C70">
          <w:rPr>
            <w:noProof/>
            <w:webHidden/>
          </w:rPr>
          <w:fldChar w:fldCharType="end"/>
        </w:r>
      </w:hyperlink>
    </w:p>
    <w:p w:rsidR="00046C70" w:rsidRDefault="004C4674" w:rsidP="001A5531">
      <w:pPr>
        <w:pStyle w:val="TOC1"/>
        <w:rPr>
          <w:rFonts w:asciiTheme="minorHAnsi" w:eastAsiaTheme="minorEastAsia" w:hAnsiTheme="minorHAnsi" w:cstheme="minorBidi"/>
          <w:noProof/>
          <w:lang w:val="en-AU"/>
        </w:rPr>
      </w:pPr>
      <w:hyperlink w:anchor="_Toc1388645" w:history="1">
        <w:r w:rsidR="00046C70" w:rsidRPr="008664A3">
          <w:rPr>
            <w:rStyle w:val="Hyperlink"/>
            <w:noProof/>
          </w:rPr>
          <w:t>Version history</w:t>
        </w:r>
        <w:r w:rsidR="00046C70">
          <w:rPr>
            <w:noProof/>
            <w:webHidden/>
          </w:rPr>
          <w:tab/>
        </w:r>
        <w:r w:rsidR="00046C70">
          <w:rPr>
            <w:noProof/>
            <w:webHidden/>
          </w:rPr>
          <w:fldChar w:fldCharType="begin"/>
        </w:r>
        <w:r w:rsidR="00046C70">
          <w:rPr>
            <w:noProof/>
            <w:webHidden/>
          </w:rPr>
          <w:instrText xml:space="preserve"> PAGEREF _Toc1388645 \h </w:instrText>
        </w:r>
        <w:r w:rsidR="00046C70">
          <w:rPr>
            <w:noProof/>
            <w:webHidden/>
          </w:rPr>
        </w:r>
        <w:r w:rsidR="00046C70">
          <w:rPr>
            <w:noProof/>
            <w:webHidden/>
          </w:rPr>
          <w:fldChar w:fldCharType="separate"/>
        </w:r>
        <w:r>
          <w:rPr>
            <w:noProof/>
            <w:webHidden/>
          </w:rPr>
          <w:t>5</w:t>
        </w:r>
        <w:r w:rsidR="00046C70">
          <w:rPr>
            <w:noProof/>
            <w:webHidden/>
          </w:rPr>
          <w:fldChar w:fldCharType="end"/>
        </w:r>
      </w:hyperlink>
    </w:p>
    <w:p w:rsidR="008D69BA" w:rsidRDefault="00C426B5" w:rsidP="001A5531">
      <w:pPr>
        <w:pStyle w:val="BodyText"/>
        <w:tabs>
          <w:tab w:val="right" w:leader="dot" w:pos="8931"/>
        </w:tabs>
        <w:rPr>
          <w:b/>
          <w:sz w:val="32"/>
          <w:szCs w:val="32"/>
          <w:highlight w:val="yellow"/>
        </w:rPr>
      </w:pPr>
      <w:r>
        <w:rPr>
          <w:bCs/>
          <w:lang w:val="en-US"/>
        </w:rPr>
        <w:fldChar w:fldCharType="end"/>
      </w:r>
      <w:bookmarkStart w:id="5" w:name="_Toc381014281"/>
    </w:p>
    <w:p w:rsidR="008D69BA" w:rsidRDefault="008D69BA" w:rsidP="008D69BA">
      <w:pPr>
        <w:pStyle w:val="Heading2"/>
        <w:rPr>
          <w:lang w:val="en-US"/>
        </w:rPr>
      </w:pPr>
      <w:bookmarkStart w:id="6" w:name="_Toc407107652"/>
      <w:bookmarkStart w:id="7" w:name="_Toc1388638"/>
      <w:r>
        <w:rPr>
          <w:lang w:val="en-US"/>
        </w:rPr>
        <w:t>Purpose of this document</w:t>
      </w:r>
      <w:bookmarkEnd w:id="5"/>
      <w:bookmarkEnd w:id="6"/>
      <w:bookmarkEnd w:id="7"/>
    </w:p>
    <w:p w:rsidR="004E7C71" w:rsidRPr="004E7C71" w:rsidRDefault="004E7C71" w:rsidP="004E7C71">
      <w:pPr>
        <w:pStyle w:val="BodyText"/>
      </w:pPr>
      <w:r w:rsidRPr="004E7C71">
        <w:t xml:space="preserve">To set out standards for road and rail </w:t>
      </w:r>
      <w:r w:rsidR="001A74A5">
        <w:t>conveyance</w:t>
      </w:r>
      <w:r w:rsidRPr="004E7C71">
        <w:t xml:space="preserve">s permitted to carry imported </w:t>
      </w:r>
      <w:r w:rsidR="000F49C1">
        <w:t xml:space="preserve">bulk </w:t>
      </w:r>
      <w:r w:rsidRPr="004E7C71">
        <w:t>grain.</w:t>
      </w:r>
    </w:p>
    <w:p w:rsidR="008D69BA" w:rsidRDefault="008D69BA" w:rsidP="008D69BA">
      <w:pPr>
        <w:pStyle w:val="Heading2"/>
      </w:pPr>
      <w:bookmarkStart w:id="8" w:name="_Toc406745462"/>
      <w:bookmarkStart w:id="9" w:name="_Toc407107653"/>
      <w:bookmarkStart w:id="10" w:name="_Toc1388639"/>
      <w:r>
        <w:t>Definitions</w:t>
      </w:r>
      <w:bookmarkEnd w:id="8"/>
      <w:bookmarkEnd w:id="9"/>
      <w:bookmarkEnd w:id="10"/>
    </w:p>
    <w:p w:rsidR="008D69BA" w:rsidRDefault="008D69BA" w:rsidP="008D69BA">
      <w:pPr>
        <w:pStyle w:val="BodyText"/>
      </w:pPr>
      <w:r>
        <w:t>The following table defines terms used in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6746"/>
      </w:tblGrid>
      <w:tr w:rsidR="008D69BA" w:rsidTr="008D69BA">
        <w:trPr>
          <w:cantSplit/>
          <w:tblHeader/>
        </w:trPr>
        <w:tc>
          <w:tcPr>
            <w:tcW w:w="2268" w:type="dxa"/>
            <w:tcBorders>
              <w:top w:val="single" w:sz="4" w:space="0" w:color="auto"/>
              <w:left w:val="single" w:sz="4" w:space="0" w:color="auto"/>
              <w:bottom w:val="single" w:sz="4" w:space="0" w:color="auto"/>
              <w:right w:val="single" w:sz="4" w:space="0" w:color="FFFFFF"/>
            </w:tcBorders>
            <w:shd w:val="clear" w:color="auto" w:fill="000000"/>
          </w:tcPr>
          <w:p w:rsidR="008D69BA" w:rsidRDefault="008D69BA" w:rsidP="008D69BA">
            <w:pPr>
              <w:pStyle w:val="Tableheadings"/>
            </w:pPr>
            <w:r>
              <w:t>Term</w:t>
            </w:r>
          </w:p>
        </w:tc>
        <w:tc>
          <w:tcPr>
            <w:tcW w:w="6746" w:type="dxa"/>
            <w:tcBorders>
              <w:top w:val="single" w:sz="4" w:space="0" w:color="auto"/>
              <w:left w:val="single" w:sz="4" w:space="0" w:color="FFFFFF"/>
              <w:bottom w:val="single" w:sz="4" w:space="0" w:color="auto"/>
              <w:right w:val="single" w:sz="4" w:space="0" w:color="auto"/>
            </w:tcBorders>
            <w:shd w:val="clear" w:color="auto" w:fill="000000"/>
          </w:tcPr>
          <w:p w:rsidR="008D69BA" w:rsidRDefault="008D69BA" w:rsidP="008D69BA">
            <w:pPr>
              <w:pStyle w:val="Tableheadings"/>
            </w:pPr>
            <w:r>
              <w:t>Definition</w:t>
            </w:r>
          </w:p>
        </w:tc>
      </w:tr>
      <w:tr w:rsidR="00A93826" w:rsidTr="008D69BA">
        <w:trPr>
          <w:cantSplit/>
        </w:trPr>
        <w:tc>
          <w:tcPr>
            <w:tcW w:w="2268" w:type="dxa"/>
            <w:tcBorders>
              <w:top w:val="single" w:sz="4" w:space="0" w:color="auto"/>
              <w:bottom w:val="single" w:sz="4" w:space="0" w:color="auto"/>
            </w:tcBorders>
          </w:tcPr>
          <w:p w:rsidR="00A93826" w:rsidRDefault="00176350" w:rsidP="008D69BA">
            <w:r>
              <w:t>Approved Arrangement (</w:t>
            </w:r>
            <w:r w:rsidR="00A93826">
              <w:t>AA</w:t>
            </w:r>
            <w:r>
              <w:t>)</w:t>
            </w:r>
          </w:p>
        </w:tc>
        <w:tc>
          <w:tcPr>
            <w:tcW w:w="6746" w:type="dxa"/>
            <w:tcBorders>
              <w:top w:val="single" w:sz="4" w:space="0" w:color="auto"/>
              <w:bottom w:val="single" w:sz="4" w:space="0" w:color="auto"/>
            </w:tcBorders>
          </w:tcPr>
          <w:p w:rsidR="00A93826" w:rsidRDefault="00176350" w:rsidP="005E1475">
            <w:r>
              <w:t>An arrangement entered into with the Department of Agriculture that allow operators to manage biosecurity risks in accordance with departmental requirements, using their own premises, facilities, equipment and people, and involving reduced oversight by the department and with occasional compliance monitoring or auditing.</w:t>
            </w:r>
          </w:p>
        </w:tc>
      </w:tr>
      <w:tr w:rsidR="00A93826" w:rsidTr="008D69BA">
        <w:trPr>
          <w:cantSplit/>
        </w:trPr>
        <w:tc>
          <w:tcPr>
            <w:tcW w:w="2268" w:type="dxa"/>
            <w:tcBorders>
              <w:top w:val="single" w:sz="4" w:space="0" w:color="auto"/>
              <w:bottom w:val="single" w:sz="4" w:space="0" w:color="auto"/>
            </w:tcBorders>
          </w:tcPr>
          <w:p w:rsidR="00A93826" w:rsidRDefault="00176350" w:rsidP="008D69BA">
            <w:r>
              <w:t>Biosecurity Industry Participant (</w:t>
            </w:r>
            <w:r w:rsidR="00A93826">
              <w:t>BIP</w:t>
            </w:r>
            <w:r>
              <w:t>)</w:t>
            </w:r>
          </w:p>
        </w:tc>
        <w:tc>
          <w:tcPr>
            <w:tcW w:w="6746" w:type="dxa"/>
            <w:tcBorders>
              <w:top w:val="single" w:sz="4" w:space="0" w:color="auto"/>
              <w:bottom w:val="single" w:sz="4" w:space="0" w:color="auto"/>
            </w:tcBorders>
          </w:tcPr>
          <w:p w:rsidR="00A93826" w:rsidRDefault="00176350" w:rsidP="00BF6BFE">
            <w:r>
              <w:t>A holder of a</w:t>
            </w:r>
            <w:r w:rsidR="00A37E3F">
              <w:t xml:space="preserve"> Class 2.7 or 3.1 approved arrangement.</w:t>
            </w:r>
          </w:p>
        </w:tc>
      </w:tr>
      <w:tr w:rsidR="001A74A5" w:rsidTr="008D69BA">
        <w:trPr>
          <w:cantSplit/>
        </w:trPr>
        <w:tc>
          <w:tcPr>
            <w:tcW w:w="2268" w:type="dxa"/>
            <w:tcBorders>
              <w:top w:val="single" w:sz="4" w:space="0" w:color="auto"/>
              <w:bottom w:val="single" w:sz="4" w:space="0" w:color="auto"/>
            </w:tcBorders>
          </w:tcPr>
          <w:p w:rsidR="001A74A5" w:rsidRDefault="001A74A5" w:rsidP="00A93826">
            <w:r>
              <w:t>Conveyance</w:t>
            </w:r>
          </w:p>
        </w:tc>
        <w:tc>
          <w:tcPr>
            <w:tcW w:w="6746" w:type="dxa"/>
            <w:tcBorders>
              <w:top w:val="single" w:sz="4" w:space="0" w:color="auto"/>
              <w:bottom w:val="single" w:sz="4" w:space="0" w:color="auto"/>
            </w:tcBorders>
          </w:tcPr>
          <w:p w:rsidR="001A74A5" w:rsidRDefault="001A74A5" w:rsidP="003132E0">
            <w:r>
              <w:t>A</w:t>
            </w:r>
            <w:r w:rsidR="00BD6F50">
              <w:t xml:space="preserve"> </w:t>
            </w:r>
            <w:r w:rsidR="000F49C1">
              <w:t xml:space="preserve">container, </w:t>
            </w:r>
            <w:r>
              <w:t>vehicle</w:t>
            </w:r>
            <w:r w:rsidR="00BD6F50">
              <w:t xml:space="preserve"> or </w:t>
            </w:r>
            <w:r>
              <w:t xml:space="preserve">train </w:t>
            </w:r>
            <w:r w:rsidR="00BD6F50">
              <w:t>used to transport imported</w:t>
            </w:r>
            <w:r w:rsidR="007D1AEE">
              <w:t xml:space="preserve"> bulk</w:t>
            </w:r>
            <w:r w:rsidR="00BD6F50">
              <w:t xml:space="preserve"> grain.</w:t>
            </w:r>
          </w:p>
        </w:tc>
      </w:tr>
      <w:tr w:rsidR="009F098E" w:rsidTr="008D69BA">
        <w:trPr>
          <w:cantSplit/>
        </w:trPr>
        <w:tc>
          <w:tcPr>
            <w:tcW w:w="2268" w:type="dxa"/>
            <w:tcBorders>
              <w:top w:val="single" w:sz="4" w:space="0" w:color="auto"/>
              <w:bottom w:val="single" w:sz="4" w:space="0" w:color="auto"/>
            </w:tcBorders>
          </w:tcPr>
          <w:p w:rsidR="009F098E" w:rsidRDefault="009F098E" w:rsidP="00A93826">
            <w:r>
              <w:t>Emergency Warning Label (EWL)</w:t>
            </w:r>
          </w:p>
        </w:tc>
        <w:tc>
          <w:tcPr>
            <w:tcW w:w="6746" w:type="dxa"/>
            <w:tcBorders>
              <w:top w:val="single" w:sz="4" w:space="0" w:color="auto"/>
              <w:bottom w:val="single" w:sz="4" w:space="0" w:color="auto"/>
            </w:tcBorders>
          </w:tcPr>
          <w:p w:rsidR="003D555C" w:rsidRDefault="009F098E" w:rsidP="003D555C">
            <w:r>
              <w:t>A label to be affixed to the conveyance</w:t>
            </w:r>
            <w:r w:rsidR="003D555C">
              <w:t>.</w:t>
            </w:r>
            <w:r>
              <w:t xml:space="preserve"> The label alerts the emergency services to the biosecurity risks associated with the contents of the conveyance. </w:t>
            </w:r>
          </w:p>
          <w:p w:rsidR="009F098E" w:rsidRDefault="003D555C" w:rsidP="003D555C">
            <w:r w:rsidRPr="003D555C">
              <w:rPr>
                <w:b/>
              </w:rPr>
              <w:t>Important</w:t>
            </w:r>
            <w:r>
              <w:t>:</w:t>
            </w:r>
            <w:r w:rsidR="001A5531">
              <w:t xml:space="preserve"> The label must have the words </w:t>
            </w:r>
            <w:r>
              <w:t>‘Grain Subject to Biosecurity Control’.</w:t>
            </w:r>
          </w:p>
        </w:tc>
      </w:tr>
      <w:tr w:rsidR="004B0DB5" w:rsidTr="008D69BA">
        <w:trPr>
          <w:cantSplit/>
        </w:trPr>
        <w:tc>
          <w:tcPr>
            <w:tcW w:w="2268" w:type="dxa"/>
            <w:tcBorders>
              <w:top w:val="single" w:sz="4" w:space="0" w:color="auto"/>
              <w:bottom w:val="single" w:sz="4" w:space="0" w:color="auto"/>
            </w:tcBorders>
          </w:tcPr>
          <w:p w:rsidR="004B0DB5" w:rsidRDefault="004B0DB5" w:rsidP="00A93826">
            <w:r>
              <w:lastRenderedPageBreak/>
              <w:t>Grain</w:t>
            </w:r>
          </w:p>
        </w:tc>
        <w:tc>
          <w:tcPr>
            <w:tcW w:w="6746" w:type="dxa"/>
            <w:tcBorders>
              <w:top w:val="single" w:sz="4" w:space="0" w:color="auto"/>
              <w:bottom w:val="single" w:sz="4" w:space="0" w:color="auto"/>
            </w:tcBorders>
          </w:tcPr>
          <w:p w:rsidR="004B0DB5" w:rsidRDefault="00833326" w:rsidP="00AD1C8F">
            <w:r>
              <w:t>Seed of</w:t>
            </w:r>
            <w:r w:rsidR="00A50978">
              <w:t xml:space="preserve"> cereal</w:t>
            </w:r>
            <w:r>
              <w:t>s,</w:t>
            </w:r>
            <w:r w:rsidR="00A50978">
              <w:t xml:space="preserve"> oil seeds and pulses.</w:t>
            </w:r>
          </w:p>
        </w:tc>
      </w:tr>
      <w:tr w:rsidR="00541CF3" w:rsidTr="008D69BA">
        <w:trPr>
          <w:cantSplit/>
        </w:trPr>
        <w:tc>
          <w:tcPr>
            <w:tcW w:w="2268" w:type="dxa"/>
            <w:tcBorders>
              <w:top w:val="single" w:sz="4" w:space="0" w:color="auto"/>
              <w:bottom w:val="single" w:sz="4" w:space="0" w:color="auto"/>
            </w:tcBorders>
          </w:tcPr>
          <w:p w:rsidR="00541CF3" w:rsidRDefault="00541CF3" w:rsidP="00541CF3">
            <w:r>
              <w:t>Port</w:t>
            </w:r>
          </w:p>
        </w:tc>
        <w:tc>
          <w:tcPr>
            <w:tcW w:w="6746" w:type="dxa"/>
            <w:tcBorders>
              <w:top w:val="single" w:sz="4" w:space="0" w:color="auto"/>
              <w:bottom w:val="single" w:sz="4" w:space="0" w:color="auto"/>
            </w:tcBorders>
          </w:tcPr>
          <w:p w:rsidR="00541CF3" w:rsidRDefault="00541CF3" w:rsidP="00541CF3">
            <w:r>
              <w:t xml:space="preserve">First point of entry for incoming vessels as determined by the Director of Biosecurity.  </w:t>
            </w:r>
          </w:p>
        </w:tc>
      </w:tr>
      <w:tr w:rsidR="00541CF3" w:rsidTr="008D69BA">
        <w:trPr>
          <w:cantSplit/>
        </w:trPr>
        <w:tc>
          <w:tcPr>
            <w:tcW w:w="2268" w:type="dxa"/>
            <w:tcBorders>
              <w:top w:val="single" w:sz="4" w:space="0" w:color="auto"/>
              <w:bottom w:val="single" w:sz="4" w:space="0" w:color="auto"/>
            </w:tcBorders>
          </w:tcPr>
          <w:p w:rsidR="00541CF3" w:rsidRDefault="00541CF3" w:rsidP="00541CF3">
            <w:r>
              <w:rPr>
                <w:iCs/>
              </w:rPr>
              <w:t>Port operator</w:t>
            </w:r>
          </w:p>
        </w:tc>
        <w:tc>
          <w:tcPr>
            <w:tcW w:w="6746" w:type="dxa"/>
            <w:tcBorders>
              <w:top w:val="single" w:sz="4" w:space="0" w:color="auto"/>
              <w:bottom w:val="single" w:sz="4" w:space="0" w:color="auto"/>
            </w:tcBorders>
          </w:tcPr>
          <w:p w:rsidR="00541CF3" w:rsidRDefault="00541CF3" w:rsidP="00541CF3">
            <w:r>
              <w:t xml:space="preserve">Entity facilitating the arrival of vessels or goods subject to biosecurity control at a first point of entry port. Examples include </w:t>
            </w:r>
            <w:r>
              <w:rPr>
                <w:lang w:eastAsia="ja-JP"/>
              </w:rPr>
              <w:t>third-party operators leasing berth space, stevedores, shipping lines and other logistical agents.</w:t>
            </w:r>
          </w:p>
        </w:tc>
      </w:tr>
      <w:tr w:rsidR="00541CF3" w:rsidTr="008D69BA">
        <w:trPr>
          <w:cantSplit/>
        </w:trPr>
        <w:tc>
          <w:tcPr>
            <w:tcW w:w="2268" w:type="dxa"/>
            <w:tcBorders>
              <w:top w:val="single" w:sz="4" w:space="0" w:color="auto"/>
              <w:bottom w:val="single" w:sz="4" w:space="0" w:color="auto"/>
            </w:tcBorders>
          </w:tcPr>
          <w:p w:rsidR="00541CF3" w:rsidRDefault="00541CF3" w:rsidP="00541CF3">
            <w:pPr>
              <w:rPr>
                <w:iCs/>
              </w:rPr>
            </w:pPr>
            <w:r>
              <w:rPr>
                <w:iCs/>
              </w:rPr>
              <w:t>Port precinct</w:t>
            </w:r>
          </w:p>
        </w:tc>
        <w:tc>
          <w:tcPr>
            <w:tcW w:w="6746" w:type="dxa"/>
            <w:tcBorders>
              <w:top w:val="single" w:sz="4" w:space="0" w:color="auto"/>
              <w:bottom w:val="single" w:sz="4" w:space="0" w:color="auto"/>
            </w:tcBorders>
          </w:tcPr>
          <w:p w:rsidR="00541CF3" w:rsidRDefault="00D85442" w:rsidP="00BF6BFE">
            <w:r>
              <w:t xml:space="preserve">Areas within or adjacent to </w:t>
            </w:r>
            <w:r w:rsidR="006C2099">
              <w:t>the security regulated boundary of a port.</w:t>
            </w:r>
          </w:p>
        </w:tc>
      </w:tr>
      <w:tr w:rsidR="00541CF3" w:rsidTr="008D69BA">
        <w:trPr>
          <w:cantSplit/>
        </w:trPr>
        <w:tc>
          <w:tcPr>
            <w:tcW w:w="2268" w:type="dxa"/>
            <w:tcBorders>
              <w:top w:val="single" w:sz="4" w:space="0" w:color="auto"/>
              <w:bottom w:val="single" w:sz="4" w:space="0" w:color="auto"/>
            </w:tcBorders>
          </w:tcPr>
          <w:p w:rsidR="00541CF3" w:rsidRDefault="00AC2E42" w:rsidP="00541CF3">
            <w:r>
              <w:t>Tamper-evident seal</w:t>
            </w:r>
          </w:p>
        </w:tc>
        <w:tc>
          <w:tcPr>
            <w:tcW w:w="6746" w:type="dxa"/>
            <w:tcBorders>
              <w:top w:val="single" w:sz="4" w:space="0" w:color="auto"/>
              <w:bottom w:val="single" w:sz="4" w:space="0" w:color="auto"/>
            </w:tcBorders>
          </w:tcPr>
          <w:p w:rsidR="00541CF3" w:rsidRDefault="007C0615" w:rsidP="00541CF3">
            <w:r>
              <w:t xml:space="preserve">A </w:t>
            </w:r>
            <w:r w:rsidR="00AC2E42">
              <w:t>seal with a serial number that when applied/locked is impossible to remove with</w:t>
            </w:r>
            <w:r w:rsidR="00813057">
              <w:t>out</w:t>
            </w:r>
            <w:r w:rsidR="00AC2E42">
              <w:t xml:space="preserve"> leaving evidence of tampering.</w:t>
            </w:r>
          </w:p>
        </w:tc>
      </w:tr>
      <w:tr w:rsidR="00541CF3" w:rsidTr="008D69BA">
        <w:trPr>
          <w:cantSplit/>
        </w:trPr>
        <w:tc>
          <w:tcPr>
            <w:tcW w:w="2268" w:type="dxa"/>
            <w:tcBorders>
              <w:top w:val="single" w:sz="4" w:space="0" w:color="auto"/>
              <w:bottom w:val="single" w:sz="4" w:space="0" w:color="auto"/>
            </w:tcBorders>
          </w:tcPr>
          <w:p w:rsidR="00541CF3" w:rsidRDefault="00541CF3" w:rsidP="00541CF3">
            <w:r>
              <w:t>Tarpaulin</w:t>
            </w:r>
          </w:p>
        </w:tc>
        <w:tc>
          <w:tcPr>
            <w:tcW w:w="6746" w:type="dxa"/>
            <w:tcBorders>
              <w:top w:val="single" w:sz="4" w:space="0" w:color="auto"/>
              <w:bottom w:val="single" w:sz="4" w:space="0" w:color="auto"/>
            </w:tcBorders>
          </w:tcPr>
          <w:p w:rsidR="00541CF3" w:rsidRDefault="00541CF3" w:rsidP="00541CF3">
            <w:r>
              <w:t>P</w:t>
            </w:r>
            <w:r w:rsidRPr="004E7C71">
              <w:t>olyester fabric (scrim) coated on both sides with PVC with a minimum weight of 550</w:t>
            </w:r>
            <w:r>
              <w:t xml:space="preserve"> </w:t>
            </w:r>
            <w:r w:rsidRPr="004E7C71">
              <w:t>grams per square metre.</w:t>
            </w:r>
          </w:p>
        </w:tc>
      </w:tr>
      <w:tr w:rsidR="00541CF3" w:rsidTr="008D69BA">
        <w:trPr>
          <w:cantSplit/>
        </w:trPr>
        <w:tc>
          <w:tcPr>
            <w:tcW w:w="2268" w:type="dxa"/>
            <w:tcBorders>
              <w:top w:val="single" w:sz="4" w:space="0" w:color="auto"/>
              <w:bottom w:val="single" w:sz="4" w:space="0" w:color="auto"/>
            </w:tcBorders>
          </w:tcPr>
          <w:p w:rsidR="00541CF3" w:rsidRDefault="00541CF3" w:rsidP="00541CF3">
            <w:r>
              <w:t>Vehicle</w:t>
            </w:r>
          </w:p>
        </w:tc>
        <w:tc>
          <w:tcPr>
            <w:tcW w:w="6746" w:type="dxa"/>
            <w:tcBorders>
              <w:top w:val="single" w:sz="4" w:space="0" w:color="auto"/>
              <w:bottom w:val="single" w:sz="4" w:space="0" w:color="auto"/>
            </w:tcBorders>
          </w:tcPr>
          <w:p w:rsidR="00541CF3" w:rsidRDefault="00541CF3" w:rsidP="000F49C1">
            <w:r>
              <w:t xml:space="preserve">Includes prime movers, trailers or </w:t>
            </w:r>
            <w:r w:rsidR="000F49C1">
              <w:t>tankers</w:t>
            </w:r>
            <w:r>
              <w:t xml:space="preserve"> used to transport bulk grain</w:t>
            </w:r>
          </w:p>
        </w:tc>
      </w:tr>
    </w:tbl>
    <w:p w:rsidR="004E7C71" w:rsidRDefault="004E7C71" w:rsidP="008D69BA">
      <w:pPr>
        <w:pStyle w:val="Heading2"/>
        <w:rPr>
          <w:lang w:val="en-US"/>
        </w:rPr>
      </w:pPr>
      <w:bookmarkStart w:id="11" w:name="_Toc1388640"/>
      <w:bookmarkStart w:id="12" w:name="_Toc407107654"/>
      <w:r>
        <w:rPr>
          <w:lang w:val="en-US"/>
        </w:rPr>
        <w:t>Background</w:t>
      </w:r>
      <w:bookmarkEnd w:id="11"/>
    </w:p>
    <w:p w:rsidR="001A5531" w:rsidRDefault="001A5531" w:rsidP="00E85319">
      <w:r>
        <w:t xml:space="preserve">The department has strict requirements which must be complied with in order to manage the biosecurity risks associated with imported grain as outlined in the Guideline: </w:t>
      </w:r>
      <w:hyperlink r:id="rId12" w:history="1">
        <w:r w:rsidRPr="00A40CC1">
          <w:rPr>
            <w:rStyle w:val="Hyperlink"/>
            <w:i/>
          </w:rPr>
          <w:t>Management of grain imported bulk in-ship’s hold</w:t>
        </w:r>
      </w:hyperlink>
      <w:r>
        <w:rPr>
          <w:rStyle w:val="Hyperlink"/>
          <w:i/>
        </w:rPr>
        <w:t>.</w:t>
      </w:r>
    </w:p>
    <w:p w:rsidR="00F52355" w:rsidRDefault="00F52355" w:rsidP="00AD1C8F">
      <w:pPr>
        <w:pStyle w:val="Heading2"/>
        <w:rPr>
          <w:lang w:val="en-US"/>
        </w:rPr>
      </w:pPr>
      <w:bookmarkStart w:id="13" w:name="_Toc1388641"/>
      <w:r>
        <w:rPr>
          <w:lang w:val="en-US"/>
        </w:rPr>
        <w:t>Scope</w:t>
      </w:r>
      <w:bookmarkEnd w:id="13"/>
    </w:p>
    <w:p w:rsidR="004E7C71" w:rsidRDefault="008B3F95" w:rsidP="004E7C71">
      <w:pPr>
        <w:pStyle w:val="BodyText"/>
        <w:rPr>
          <w:lang w:val="en-US"/>
        </w:rPr>
      </w:pPr>
      <w:r>
        <w:rPr>
          <w:lang w:val="en-US"/>
        </w:rPr>
        <w:t>This s</w:t>
      </w:r>
      <w:r w:rsidR="004E7C71">
        <w:rPr>
          <w:lang w:val="en-US"/>
        </w:rPr>
        <w:t xml:space="preserve">tandard defines the requirements for road and rail </w:t>
      </w:r>
      <w:r w:rsidR="001A74A5">
        <w:rPr>
          <w:lang w:val="en-US"/>
        </w:rPr>
        <w:t>conveyance</w:t>
      </w:r>
      <w:r w:rsidR="004E7C71">
        <w:rPr>
          <w:lang w:val="en-US"/>
        </w:rPr>
        <w:t xml:space="preserve">s to control the leakage of grain </w:t>
      </w:r>
      <w:r>
        <w:rPr>
          <w:lang w:val="en-US"/>
        </w:rPr>
        <w:t>or dust during transport</w:t>
      </w:r>
      <w:r w:rsidR="004E7C71">
        <w:rPr>
          <w:lang w:val="en-US"/>
        </w:rPr>
        <w:t xml:space="preserve"> </w:t>
      </w:r>
      <w:r>
        <w:rPr>
          <w:lang w:val="en-US"/>
        </w:rPr>
        <w:t xml:space="preserve">of imported </w:t>
      </w:r>
      <w:r w:rsidR="004E7C71">
        <w:rPr>
          <w:lang w:val="en-US"/>
        </w:rPr>
        <w:t>grain</w:t>
      </w:r>
      <w:r>
        <w:rPr>
          <w:lang w:val="en-US"/>
        </w:rPr>
        <w:t xml:space="preserve"> from the point of discharge through to the point of processing</w:t>
      </w:r>
      <w:r w:rsidR="00A93826">
        <w:rPr>
          <w:lang w:val="en-US"/>
        </w:rPr>
        <w:t xml:space="preserve"> of </w:t>
      </w:r>
      <w:r w:rsidR="003D555C">
        <w:rPr>
          <w:lang w:val="en-US"/>
        </w:rPr>
        <w:t>bulk</w:t>
      </w:r>
      <w:r w:rsidR="00A93826">
        <w:rPr>
          <w:lang w:val="en-US"/>
        </w:rPr>
        <w:t xml:space="preserve"> grain.</w:t>
      </w:r>
    </w:p>
    <w:p w:rsidR="00673404" w:rsidRDefault="009A031E" w:rsidP="004E7C71">
      <w:pPr>
        <w:pStyle w:val="BodyText"/>
        <w:rPr>
          <w:lang w:val="en-US"/>
        </w:rPr>
      </w:pPr>
      <w:r>
        <w:rPr>
          <w:lang w:val="en-US"/>
        </w:rPr>
        <w:t xml:space="preserve">The import permit holder is responsible for ensuring that a transport operator has been engaged to provide conveyances meeting the requirements of this standard. </w:t>
      </w:r>
    </w:p>
    <w:p w:rsidR="00823AD8" w:rsidRDefault="00823AD8" w:rsidP="004E7C71">
      <w:pPr>
        <w:pStyle w:val="BodyText"/>
        <w:rPr>
          <w:lang w:val="en-US"/>
        </w:rPr>
      </w:pPr>
      <w:r>
        <w:rPr>
          <w:lang w:val="en-US"/>
        </w:rPr>
        <w:t>Compliance against these standards will be verified by biosecurity officers, biosecurity industry participants and port operators during the transport of grain from the port of entry to AAs.</w:t>
      </w:r>
      <w:r w:rsidR="001B637F">
        <w:rPr>
          <w:lang w:val="en-US"/>
        </w:rPr>
        <w:t xml:space="preserve"> Non-compliance may result in the application of additional biosecurity measures, corrective actions and departmental supervision. </w:t>
      </w:r>
    </w:p>
    <w:p w:rsidR="00F52355" w:rsidRDefault="00BA4C9F" w:rsidP="00BF6BFE">
      <w:pPr>
        <w:pStyle w:val="Heading2"/>
        <w:rPr>
          <w:lang w:val="en-US"/>
        </w:rPr>
      </w:pPr>
      <w:bookmarkStart w:id="14" w:name="_Toc1388642"/>
      <w:r>
        <w:rPr>
          <w:lang w:val="en-US"/>
        </w:rPr>
        <w:t>Conveyance requirements</w:t>
      </w:r>
      <w:bookmarkEnd w:id="14"/>
    </w:p>
    <w:p w:rsidR="00F52355" w:rsidRPr="00BF6BFE" w:rsidRDefault="00F52355" w:rsidP="00AD1C8F">
      <w:pPr>
        <w:pStyle w:val="Heading3"/>
        <w:rPr>
          <w:lang w:val="en-US"/>
        </w:rPr>
      </w:pPr>
      <w:bookmarkStart w:id="15" w:name="_Toc1388643"/>
      <w:r>
        <w:rPr>
          <w:lang w:val="en-US"/>
        </w:rPr>
        <w:t>All conveyances</w:t>
      </w:r>
      <w:bookmarkEnd w:id="15"/>
    </w:p>
    <w:p w:rsidR="004E7C71" w:rsidRDefault="004E7C71" w:rsidP="004E7C71">
      <w:pPr>
        <w:rPr>
          <w:lang w:val="en-US"/>
        </w:rPr>
      </w:pPr>
      <w:r w:rsidRPr="004E7C71">
        <w:rPr>
          <w:lang w:val="en-US"/>
        </w:rPr>
        <w:t xml:space="preserve">The following table outlines the </w:t>
      </w:r>
      <w:r w:rsidR="00F52355">
        <w:rPr>
          <w:lang w:val="en-US"/>
        </w:rPr>
        <w:t xml:space="preserve">basic </w:t>
      </w:r>
      <w:r w:rsidR="002F672F">
        <w:rPr>
          <w:lang w:val="en-US"/>
        </w:rPr>
        <w:t>requirements</w:t>
      </w:r>
      <w:r w:rsidRPr="004E7C71">
        <w:rPr>
          <w:lang w:val="en-US"/>
        </w:rPr>
        <w:t xml:space="preserve"> for </w:t>
      </w:r>
      <w:r w:rsidR="00BA4C9F">
        <w:rPr>
          <w:lang w:val="en-US"/>
        </w:rPr>
        <w:t xml:space="preserve">all </w:t>
      </w:r>
      <w:r w:rsidR="001A74A5">
        <w:rPr>
          <w:lang w:val="en-US"/>
        </w:rPr>
        <w:t>conveyance</w:t>
      </w:r>
      <w:r w:rsidRPr="004E7C71">
        <w:rPr>
          <w:lang w:val="en-US"/>
        </w:rPr>
        <w:t xml:space="preserve">s used to transport imported grain. </w:t>
      </w:r>
    </w:p>
    <w:tbl>
      <w:tblPr>
        <w:tblStyle w:val="GridTable4"/>
        <w:tblW w:w="0" w:type="auto"/>
        <w:tblLook w:val="04A0" w:firstRow="1" w:lastRow="0" w:firstColumn="1" w:lastColumn="0" w:noHBand="0" w:noVBand="1"/>
      </w:tblPr>
      <w:tblGrid>
        <w:gridCol w:w="1776"/>
        <w:gridCol w:w="1606"/>
        <w:gridCol w:w="4949"/>
      </w:tblGrid>
      <w:tr w:rsidR="00C41657" w:rsidRPr="00C41657" w:rsidTr="00AD1C8F">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hideMark/>
          </w:tcPr>
          <w:p w:rsidR="00C41657" w:rsidRPr="00C41657" w:rsidRDefault="00C41657" w:rsidP="00C41657">
            <w:bookmarkStart w:id="16" w:name="RANGE!A1:C32"/>
            <w:r w:rsidRPr="00C41657">
              <w:rPr>
                <w:lang w:val="en-US"/>
              </w:rPr>
              <w:t>Conveyance type</w:t>
            </w:r>
            <w:bookmarkEnd w:id="16"/>
          </w:p>
        </w:tc>
        <w:tc>
          <w:tcPr>
            <w:tcW w:w="1690" w:type="dxa"/>
            <w:hideMark/>
          </w:tcPr>
          <w:p w:rsidR="00C41657" w:rsidRPr="00C41657" w:rsidRDefault="00C41657">
            <w:pPr>
              <w:cnfStyle w:val="100000000000" w:firstRow="1" w:lastRow="0" w:firstColumn="0" w:lastColumn="0" w:oddVBand="0" w:evenVBand="0" w:oddHBand="0" w:evenHBand="0" w:firstRowFirstColumn="0" w:firstRowLastColumn="0" w:lastRowFirstColumn="0" w:lastRowLastColumn="0"/>
            </w:pPr>
            <w:r w:rsidRPr="00C41657">
              <w:t>Delivery Location</w:t>
            </w:r>
          </w:p>
        </w:tc>
        <w:tc>
          <w:tcPr>
            <w:tcW w:w="5488" w:type="dxa"/>
            <w:hideMark/>
          </w:tcPr>
          <w:p w:rsidR="00C41657" w:rsidRPr="00C41657" w:rsidRDefault="00C41657">
            <w:pPr>
              <w:cnfStyle w:val="100000000000" w:firstRow="1" w:lastRow="0" w:firstColumn="0" w:lastColumn="0" w:oddVBand="0" w:evenVBand="0" w:oddHBand="0" w:evenHBand="0" w:firstRowFirstColumn="0" w:firstRowLastColumn="0" w:lastRowFirstColumn="0" w:lastRowLastColumn="0"/>
            </w:pPr>
            <w:r w:rsidRPr="00C41657">
              <w:rPr>
                <w:lang w:val="en-US"/>
              </w:rPr>
              <w:t>Requirements</w:t>
            </w:r>
          </w:p>
        </w:tc>
      </w:tr>
      <w:tr w:rsidR="00C41657" w:rsidRPr="00C41657" w:rsidTr="00AD1C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FFFFF" w:themeFill="background1"/>
            <w:hideMark/>
          </w:tcPr>
          <w:p w:rsidR="00C41657" w:rsidRPr="00C41657" w:rsidRDefault="00C41657">
            <w:r w:rsidRPr="00C41657">
              <w:rPr>
                <w:lang w:val="en-US"/>
              </w:rPr>
              <w:t>All conveyances</w:t>
            </w:r>
          </w:p>
        </w:tc>
        <w:tc>
          <w:tcPr>
            <w:tcW w:w="1690" w:type="dxa"/>
            <w:vMerge w:val="restart"/>
            <w:shd w:val="clear" w:color="auto" w:fill="FFFFFF" w:themeFill="background1"/>
            <w:hideMark/>
          </w:tcPr>
          <w:p w:rsidR="00C41657" w:rsidRPr="00C41657" w:rsidRDefault="00C41657" w:rsidP="00E85319">
            <w:pPr>
              <w:cnfStyle w:val="000000100000" w:firstRow="0" w:lastRow="0" w:firstColumn="0" w:lastColumn="0" w:oddVBand="0" w:evenVBand="0" w:oddHBand="1" w:evenHBand="0" w:firstRowFirstColumn="0" w:firstRowLastColumn="0" w:lastRowFirstColumn="0" w:lastRowLastColumn="0"/>
            </w:pPr>
            <w:r w:rsidRPr="00C41657">
              <w:t xml:space="preserve">All </w:t>
            </w:r>
            <w:r w:rsidR="00E85319">
              <w:t xml:space="preserve">approved </w:t>
            </w:r>
            <w:r w:rsidRPr="00C41657">
              <w:t>locations</w:t>
            </w:r>
          </w:p>
        </w:tc>
        <w:tc>
          <w:tcPr>
            <w:tcW w:w="5488" w:type="dxa"/>
            <w:shd w:val="clear" w:color="auto" w:fill="FFFFFF" w:themeFill="background1"/>
            <w:hideMark/>
          </w:tcPr>
          <w:p w:rsidR="00C41657" w:rsidRPr="00C41657" w:rsidRDefault="00C41657">
            <w:pPr>
              <w:cnfStyle w:val="000000100000" w:firstRow="0" w:lastRow="0" w:firstColumn="0" w:lastColumn="0" w:oddVBand="0" w:evenVBand="0" w:oddHBand="1" w:evenHBand="0" w:firstRowFirstColumn="0" w:firstRowLastColumn="0" w:lastRowFirstColumn="0" w:lastRowLastColumn="0"/>
            </w:pPr>
            <w:r w:rsidRPr="00C41657">
              <w:rPr>
                <w:lang w:val="en-US"/>
              </w:rPr>
              <w:t>Clean of previous cargoes prior to loading</w:t>
            </w:r>
          </w:p>
        </w:tc>
      </w:tr>
      <w:tr w:rsidR="00C41657" w:rsidRPr="00C41657" w:rsidTr="00AD1C8F">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C41657" w:rsidRPr="00C41657" w:rsidRDefault="00C41657"/>
        </w:tc>
        <w:tc>
          <w:tcPr>
            <w:tcW w:w="1690" w:type="dxa"/>
            <w:vMerge/>
            <w:shd w:val="clear" w:color="auto" w:fill="FFFFFF" w:themeFill="background1"/>
            <w:hideMark/>
          </w:tcPr>
          <w:p w:rsidR="00C41657" w:rsidRPr="00C41657" w:rsidRDefault="00C41657">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C41657" w:rsidRPr="00C41657" w:rsidRDefault="00C41657">
            <w:pPr>
              <w:cnfStyle w:val="000000000000" w:firstRow="0" w:lastRow="0" w:firstColumn="0" w:lastColumn="0" w:oddVBand="0" w:evenVBand="0" w:oddHBand="0" w:evenHBand="0" w:firstRowFirstColumn="0" w:firstRowLastColumn="0" w:lastRowFirstColumn="0" w:lastRowLastColumn="0"/>
            </w:pPr>
            <w:r w:rsidRPr="00C41657">
              <w:rPr>
                <w:lang w:val="en-US"/>
              </w:rPr>
              <w:t>Registered, properly maintaine</w:t>
            </w:r>
            <w:r w:rsidR="006E56FD">
              <w:rPr>
                <w:lang w:val="en-US"/>
              </w:rPr>
              <w:t>d and in a roadworthy condition</w:t>
            </w:r>
          </w:p>
        </w:tc>
      </w:tr>
      <w:tr w:rsidR="00C41657" w:rsidRPr="00C41657" w:rsidTr="00AD1C8F">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C41657" w:rsidRPr="00C41657" w:rsidRDefault="00C41657"/>
        </w:tc>
        <w:tc>
          <w:tcPr>
            <w:tcW w:w="1690" w:type="dxa"/>
            <w:vMerge/>
            <w:shd w:val="clear" w:color="auto" w:fill="FFFFFF" w:themeFill="background1"/>
            <w:hideMark/>
          </w:tcPr>
          <w:p w:rsidR="00C41657" w:rsidRPr="00C41657" w:rsidRDefault="00C41657">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C41657" w:rsidRPr="00C41657" w:rsidRDefault="00C41657">
            <w:pPr>
              <w:cnfStyle w:val="000000100000" w:firstRow="0" w:lastRow="0" w:firstColumn="0" w:lastColumn="0" w:oddVBand="0" w:evenVBand="0" w:oddHBand="1" w:evenHBand="0" w:firstRowFirstColumn="0" w:firstRowLastColumn="0" w:lastRowFirstColumn="0" w:lastRowLastColumn="0"/>
            </w:pPr>
            <w:r w:rsidRPr="00C41657">
              <w:rPr>
                <w:lang w:val="en-US"/>
              </w:rPr>
              <w:t xml:space="preserve">Carry appropriate safety equipment. Drivers must wear personal protective equipment as required by </w:t>
            </w:r>
            <w:r w:rsidRPr="00C41657">
              <w:rPr>
                <w:lang w:val="en-US"/>
              </w:rPr>
              <w:lastRenderedPageBreak/>
              <w:t>the port operators and/or by the BIP. As a minimum they must have and wear a high visibility vest, hard-hat, ey</w:t>
            </w:r>
            <w:r w:rsidR="00F17096">
              <w:rPr>
                <w:lang w:val="en-US"/>
              </w:rPr>
              <w:t>e protection, enclosed footwear</w:t>
            </w:r>
          </w:p>
        </w:tc>
      </w:tr>
      <w:tr w:rsidR="00C41657" w:rsidRPr="00C41657" w:rsidTr="00AD1C8F">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C41657" w:rsidRPr="00C41657" w:rsidRDefault="00C41657"/>
        </w:tc>
        <w:tc>
          <w:tcPr>
            <w:tcW w:w="1690" w:type="dxa"/>
            <w:vMerge/>
            <w:shd w:val="clear" w:color="auto" w:fill="FFFFFF" w:themeFill="background1"/>
            <w:hideMark/>
          </w:tcPr>
          <w:p w:rsidR="00C41657" w:rsidRPr="00C41657" w:rsidRDefault="00C41657">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C41657" w:rsidRPr="00C41657" w:rsidRDefault="00C41657" w:rsidP="003D555C">
            <w:pPr>
              <w:cnfStyle w:val="000000000000" w:firstRow="0" w:lastRow="0" w:firstColumn="0" w:lastColumn="0" w:oddVBand="0" w:evenVBand="0" w:oddHBand="0" w:evenHBand="0" w:firstRowFirstColumn="0" w:firstRowLastColumn="0" w:lastRowFirstColumn="0" w:lastRowLastColumn="0"/>
            </w:pPr>
            <w:r w:rsidRPr="00C41657">
              <w:rPr>
                <w:lang w:val="en-US"/>
              </w:rPr>
              <w:t xml:space="preserve">Driver to be aware of biosecurity risks of </w:t>
            </w:r>
            <w:r w:rsidR="003D555C">
              <w:rPr>
                <w:lang w:val="en-US"/>
              </w:rPr>
              <w:t>bulk</w:t>
            </w:r>
            <w:r w:rsidRPr="00C41657">
              <w:rPr>
                <w:lang w:val="en-US"/>
              </w:rPr>
              <w:t xml:space="preserve"> grain. Note: Refer to the </w:t>
            </w:r>
            <w:r w:rsidR="006E56FD" w:rsidRPr="006E56FD">
              <w:rPr>
                <w:i/>
                <w:lang w:val="en-US"/>
              </w:rPr>
              <w:t xml:space="preserve">Guideline: </w:t>
            </w:r>
            <w:r w:rsidR="006E56FD" w:rsidRPr="006E56FD">
              <w:rPr>
                <w:i/>
              </w:rPr>
              <w:t>Management of grain imported bulk in-ship’s hold</w:t>
            </w:r>
          </w:p>
        </w:tc>
      </w:tr>
      <w:tr w:rsidR="00C41657" w:rsidRPr="00C41657" w:rsidTr="00AD1C8F">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C41657" w:rsidRPr="00C41657" w:rsidRDefault="00C41657"/>
        </w:tc>
        <w:tc>
          <w:tcPr>
            <w:tcW w:w="1690" w:type="dxa"/>
            <w:vMerge/>
            <w:shd w:val="clear" w:color="auto" w:fill="FFFFFF" w:themeFill="background1"/>
            <w:hideMark/>
          </w:tcPr>
          <w:p w:rsidR="00C41657" w:rsidRPr="00C41657" w:rsidRDefault="00C41657">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C41657" w:rsidRPr="00C41657" w:rsidRDefault="00C41657">
            <w:pPr>
              <w:cnfStyle w:val="000000100000" w:firstRow="0" w:lastRow="0" w:firstColumn="0" w:lastColumn="0" w:oddVBand="0" w:evenVBand="0" w:oddHBand="1" w:evenHBand="0" w:firstRowFirstColumn="0" w:firstRowLastColumn="0" w:lastRowFirstColumn="0" w:lastRowLastColumn="0"/>
            </w:pPr>
            <w:r w:rsidRPr="00C41657">
              <w:t>Carry emergency procedure plan and recovery equipment (su</w:t>
            </w:r>
            <w:r>
              <w:t>ch as brooms, shovels, buckets</w:t>
            </w:r>
            <w:r w:rsidR="00F17096">
              <w:t xml:space="preserve"> and tarpaulins)</w:t>
            </w:r>
          </w:p>
        </w:tc>
      </w:tr>
    </w:tbl>
    <w:p w:rsidR="00F52355" w:rsidRDefault="00F52355" w:rsidP="00F52355">
      <w:pPr>
        <w:pStyle w:val="Heading3"/>
        <w:rPr>
          <w:lang w:val="en-US"/>
        </w:rPr>
      </w:pPr>
    </w:p>
    <w:p w:rsidR="00F52355" w:rsidRPr="00E35D68" w:rsidRDefault="00F52355" w:rsidP="00F52355">
      <w:pPr>
        <w:pStyle w:val="Heading3"/>
        <w:rPr>
          <w:lang w:val="en-US"/>
        </w:rPr>
      </w:pPr>
      <w:bookmarkStart w:id="17" w:name="_Toc1388644"/>
      <w:r>
        <w:rPr>
          <w:lang w:val="en-US"/>
        </w:rPr>
        <w:t>Specific conveyance requirements</w:t>
      </w:r>
      <w:bookmarkEnd w:id="17"/>
    </w:p>
    <w:p w:rsidR="00CD4E73" w:rsidRDefault="00F52355" w:rsidP="00F52355">
      <w:pPr>
        <w:rPr>
          <w:lang w:val="en-US"/>
        </w:rPr>
      </w:pPr>
      <w:r w:rsidRPr="004E7C71">
        <w:rPr>
          <w:lang w:val="en-US"/>
        </w:rPr>
        <w:t xml:space="preserve">The following table outlines the </w:t>
      </w:r>
      <w:r>
        <w:rPr>
          <w:lang w:val="en-US"/>
        </w:rPr>
        <w:t>requirements</w:t>
      </w:r>
      <w:r w:rsidRPr="004E7C71">
        <w:rPr>
          <w:lang w:val="en-US"/>
        </w:rPr>
        <w:t xml:space="preserve"> for </w:t>
      </w:r>
      <w:r>
        <w:rPr>
          <w:lang w:val="en-US"/>
        </w:rPr>
        <w:t>specific types of conveyance</w:t>
      </w:r>
      <w:r w:rsidRPr="004E7C71">
        <w:rPr>
          <w:lang w:val="en-US"/>
        </w:rPr>
        <w:t xml:space="preserve">s used to transport imported grain. </w:t>
      </w:r>
      <w:r w:rsidR="00AC2998">
        <w:rPr>
          <w:lang w:val="en-US"/>
        </w:rPr>
        <w:t xml:space="preserve"> </w:t>
      </w:r>
    </w:p>
    <w:tbl>
      <w:tblPr>
        <w:tblStyle w:val="GridTable4"/>
        <w:tblW w:w="0" w:type="auto"/>
        <w:tblLook w:val="04A0" w:firstRow="1" w:lastRow="0" w:firstColumn="1" w:lastColumn="0" w:noHBand="0" w:noVBand="1"/>
      </w:tblPr>
      <w:tblGrid>
        <w:gridCol w:w="1765"/>
        <w:gridCol w:w="1606"/>
        <w:gridCol w:w="4960"/>
      </w:tblGrid>
      <w:tr w:rsidR="00F52355" w:rsidRPr="00C41657" w:rsidTr="00E35D68">
        <w:trPr>
          <w:cnfStyle w:val="100000000000" w:firstRow="1" w:lastRow="0" w:firstColumn="0" w:lastColumn="0" w:oddVBand="0" w:evenVBand="0" w:oddHBand="0"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hideMark/>
          </w:tcPr>
          <w:p w:rsidR="00F52355" w:rsidRPr="00E35D68" w:rsidRDefault="00F52355" w:rsidP="00E35D68">
            <w:r w:rsidRPr="00E35D68">
              <w:rPr>
                <w:lang w:val="en-US"/>
              </w:rPr>
              <w:t>Conveyance type</w:t>
            </w:r>
          </w:p>
        </w:tc>
        <w:tc>
          <w:tcPr>
            <w:tcW w:w="1690" w:type="dxa"/>
            <w:hideMark/>
          </w:tcPr>
          <w:p w:rsidR="00F52355" w:rsidRPr="00E35D68" w:rsidRDefault="00F52355" w:rsidP="00E35D68">
            <w:pPr>
              <w:cnfStyle w:val="100000000000" w:firstRow="1" w:lastRow="0" w:firstColumn="0" w:lastColumn="0" w:oddVBand="0" w:evenVBand="0" w:oddHBand="0" w:evenHBand="0" w:firstRowFirstColumn="0" w:firstRowLastColumn="0" w:lastRowFirstColumn="0" w:lastRowLastColumn="0"/>
            </w:pPr>
            <w:r w:rsidRPr="00E35D68">
              <w:t>Delivery Location</w:t>
            </w:r>
          </w:p>
        </w:tc>
        <w:tc>
          <w:tcPr>
            <w:tcW w:w="5488" w:type="dxa"/>
            <w:hideMark/>
          </w:tcPr>
          <w:p w:rsidR="00F52355" w:rsidRPr="00E35D68" w:rsidRDefault="00F52355" w:rsidP="00E35D68">
            <w:pPr>
              <w:cnfStyle w:val="100000000000" w:firstRow="1" w:lastRow="0" w:firstColumn="0" w:lastColumn="0" w:oddVBand="0" w:evenVBand="0" w:oddHBand="0" w:evenHBand="0" w:firstRowFirstColumn="0" w:firstRowLastColumn="0" w:lastRowFirstColumn="0" w:lastRowLastColumn="0"/>
            </w:pPr>
            <w:r w:rsidRPr="00E35D68">
              <w:rPr>
                <w:lang w:val="en-US"/>
              </w:rPr>
              <w:t>Requirements</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FFFFF" w:themeFill="background1"/>
            <w:hideMark/>
          </w:tcPr>
          <w:p w:rsidR="00F52355" w:rsidRPr="00C41657" w:rsidRDefault="00F52355" w:rsidP="00E35D68">
            <w:r w:rsidRPr="00C41657">
              <w:rPr>
                <w:lang w:val="en-US"/>
              </w:rPr>
              <w:t>Road vehicle (trailer or tanker)</w:t>
            </w:r>
          </w:p>
        </w:tc>
        <w:tc>
          <w:tcPr>
            <w:tcW w:w="1690" w:type="dxa"/>
            <w:vMerge w:val="restart"/>
            <w:shd w:val="clear" w:color="auto" w:fill="FFFFFF" w:themeFill="background1"/>
            <w:hideMark/>
          </w:tcPr>
          <w:p w:rsidR="00F52355" w:rsidRPr="00C41657" w:rsidRDefault="00F52355" w:rsidP="00E85319">
            <w:pPr>
              <w:cnfStyle w:val="000000100000" w:firstRow="0" w:lastRow="0" w:firstColumn="0" w:lastColumn="0" w:oddVBand="0" w:evenVBand="0" w:oddHBand="1" w:evenHBand="0" w:firstRowFirstColumn="0" w:firstRowLastColumn="0" w:lastRowFirstColumn="0" w:lastRowLastColumn="0"/>
            </w:pPr>
            <w:r w:rsidRPr="00C41657">
              <w:t xml:space="preserve">All </w:t>
            </w:r>
            <w:r w:rsidR="00E85319">
              <w:t xml:space="preserve">approved </w:t>
            </w:r>
            <w:r w:rsidRPr="00C41657">
              <w:t>locations</w:t>
            </w: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rPr>
                <w:lang w:val="en-US"/>
              </w:rPr>
              <w:t>All metal smooth welded body in sound condition</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rPr>
                <w:lang w:val="en-US"/>
              </w:rPr>
              <w:t>Open-top trailers must have rollover tarpaulins</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rPr>
                <w:lang w:val="en-US"/>
              </w:rPr>
              <w:t>Seals on tailgate and discharge chute are in sound condition</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rPr>
                <w:lang w:val="en-US"/>
              </w:rPr>
              <w:t>Seals must be taped on the inside of the trailer body</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rPr>
                <w:lang w:val="en-US"/>
              </w:rPr>
              <w:t>Tailgate and discharge chute closes properly to ensure no leakage of grain</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rPr>
                <w:lang w:val="en-US"/>
              </w:rPr>
              <w:t>Must display an A4-sized sign in the cabin stating ‘Grain subject to biosecurity control’</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val="restart"/>
            <w:shd w:val="clear" w:color="auto" w:fill="FFFFFF" w:themeFill="background1"/>
            <w:hideMark/>
          </w:tcPr>
          <w:p w:rsidR="00F52355" w:rsidRPr="00C41657" w:rsidRDefault="00E85319" w:rsidP="00E85319">
            <w:pPr>
              <w:cnfStyle w:val="000000100000" w:firstRow="0" w:lastRow="0" w:firstColumn="0" w:lastColumn="0" w:oddVBand="0" w:evenVBand="0" w:oddHBand="1" w:evenHBand="0" w:firstRowFirstColumn="0" w:firstRowLastColumn="0" w:lastRowFirstColumn="0" w:lastRowLastColumn="0"/>
            </w:pPr>
            <w:r>
              <w:t>Approved locations o</w:t>
            </w:r>
            <w:r w:rsidR="00F52355" w:rsidRPr="00C41657">
              <w:t>utside the port precinct only</w:t>
            </w:r>
          </w:p>
        </w:tc>
        <w:tc>
          <w:tcPr>
            <w:tcW w:w="5488" w:type="dxa"/>
            <w:shd w:val="clear" w:color="auto" w:fill="FFFFFF" w:themeFill="background1"/>
            <w:hideMark/>
          </w:tcPr>
          <w:p w:rsidR="00F52355" w:rsidRPr="00C41657" w:rsidRDefault="00F52355" w:rsidP="003D555C">
            <w:pPr>
              <w:cnfStyle w:val="000000100000" w:firstRow="0" w:lastRow="0" w:firstColumn="0" w:lastColumn="0" w:oddVBand="0" w:evenVBand="0" w:oddHBand="1" w:evenHBand="0" w:firstRowFirstColumn="0" w:firstRowLastColumn="0" w:lastRowFirstColumn="0" w:lastRowLastColumn="0"/>
            </w:pPr>
            <w:r w:rsidRPr="00C41657">
              <w:t xml:space="preserve">EWL to be affixed to all sides of the trailer/tanker. These labels </w:t>
            </w:r>
            <w:r w:rsidR="003D555C">
              <w:t>must</w:t>
            </w:r>
            <w:r w:rsidRPr="00C41657">
              <w:t xml:space="preserve"> remain on it until it has been decommissioned</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Carry and complete a</w:t>
            </w:r>
            <w:r w:rsidR="00282471">
              <w:t xml:space="preserve">n </w:t>
            </w:r>
            <w:r w:rsidR="00282471" w:rsidRPr="00282471">
              <w:rPr>
                <w:i/>
              </w:rPr>
              <w:t>Imported</w:t>
            </w:r>
            <w:r w:rsidRPr="00282471">
              <w:rPr>
                <w:i/>
              </w:rPr>
              <w:t xml:space="preserve"> bulk grain delivery record</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Carry and operate a satellite-tracking device at all times while moving imported grain</w:t>
            </w:r>
          </w:p>
        </w:tc>
      </w:tr>
      <w:tr w:rsidR="00F52355" w:rsidRPr="00C41657" w:rsidTr="00E35D68">
        <w:trPr>
          <w:trHeight w:val="6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The tailgate and the discharge chute must have individually lockable latches so that they cannot be opened inadvertently by vibration during transport, failure of the normal latching mechanism or by activation from the cabin</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The tailgate and discharge chute must have provision for the application of tamper-evident seals</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Grain locks are in place and used</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FFFFF" w:themeFill="background1"/>
            <w:hideMark/>
          </w:tcPr>
          <w:p w:rsidR="00F52355" w:rsidRPr="00C41657" w:rsidRDefault="00F52355" w:rsidP="00E35D68">
            <w:r w:rsidRPr="00C41657">
              <w:rPr>
                <w:lang w:val="en-US"/>
              </w:rPr>
              <w:lastRenderedPageBreak/>
              <w:t xml:space="preserve">Container </w:t>
            </w:r>
            <w:r>
              <w:rPr>
                <w:lang w:val="en-US"/>
              </w:rPr>
              <w:t xml:space="preserve">        </w:t>
            </w:r>
            <w:r w:rsidRPr="00C41657">
              <w:rPr>
                <w:lang w:val="en-US"/>
              </w:rPr>
              <w:t>(by road or rail)</w:t>
            </w:r>
          </w:p>
        </w:tc>
        <w:tc>
          <w:tcPr>
            <w:tcW w:w="1690" w:type="dxa"/>
            <w:vMerge w:val="restart"/>
            <w:shd w:val="clear" w:color="auto" w:fill="FFFFFF" w:themeFill="background1"/>
            <w:hideMark/>
          </w:tcPr>
          <w:p w:rsidR="00F52355" w:rsidRPr="00C41657" w:rsidRDefault="00F52355" w:rsidP="00E85319">
            <w:pPr>
              <w:cnfStyle w:val="000000100000" w:firstRow="0" w:lastRow="0" w:firstColumn="0" w:lastColumn="0" w:oddVBand="0" w:evenVBand="0" w:oddHBand="1" w:evenHBand="0" w:firstRowFirstColumn="0" w:firstRowLastColumn="0" w:lastRowFirstColumn="0" w:lastRowLastColumn="0"/>
            </w:pPr>
            <w:r w:rsidRPr="00C41657">
              <w:t xml:space="preserve">All </w:t>
            </w:r>
            <w:r w:rsidR="00E85319">
              <w:t xml:space="preserve">approved </w:t>
            </w:r>
            <w:r w:rsidRPr="00C41657">
              <w:t>locations</w:t>
            </w: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rPr>
                <w:lang w:val="en-US"/>
              </w:rPr>
              <w:t>There is no external light visible from inside the container when all openings are closed</w:t>
            </w:r>
            <w:r w:rsidR="00AC2998">
              <w:rPr>
                <w:lang w:val="en-US"/>
              </w:rPr>
              <w:t xml:space="preserve"> </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3D555C">
            <w:pPr>
              <w:cnfStyle w:val="000000000000" w:firstRow="0" w:lastRow="0" w:firstColumn="0" w:lastColumn="0" w:oddVBand="0" w:evenVBand="0" w:oddHBand="0" w:evenHBand="0" w:firstRowFirstColumn="0" w:firstRowLastColumn="0" w:lastRowFirstColumn="0" w:lastRowLastColumn="0"/>
            </w:pPr>
            <w:r w:rsidRPr="00C41657">
              <w:t xml:space="preserve">EWL to be affixed to all sides of the container. These labels </w:t>
            </w:r>
            <w:r w:rsidR="003D555C">
              <w:t>must</w:t>
            </w:r>
            <w:r w:rsidRPr="00C41657">
              <w:t xml:space="preserve"> remain on it until it has been decommissioned</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Carry and complete a</w:t>
            </w:r>
            <w:r w:rsidR="00282471">
              <w:t>n</w:t>
            </w:r>
            <w:r w:rsidRPr="00C41657">
              <w:t xml:space="preserve"> </w:t>
            </w:r>
            <w:r w:rsidR="00282471" w:rsidRPr="00282471">
              <w:rPr>
                <w:i/>
              </w:rPr>
              <w:t>Imported bulk grain delivery record</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rPr>
                <w:lang w:val="en-US"/>
              </w:rPr>
              <w:t>Road vehicles must display an A4-sized sign in the cabin stating</w:t>
            </w:r>
            <w:r w:rsidRPr="00BF6BFE">
              <w:rPr>
                <w:lang w:val="en-US"/>
              </w:rPr>
              <w:t xml:space="preserve"> ‘</w:t>
            </w:r>
            <w:r w:rsidRPr="00AD1C8F">
              <w:rPr>
                <w:lang w:val="en-US"/>
              </w:rPr>
              <w:t>Grain subject to biosecurity control</w:t>
            </w:r>
            <w:r w:rsidRPr="00BF6BFE">
              <w:rPr>
                <w:lang w:val="en-US"/>
              </w:rPr>
              <w:t>’</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6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rPr>
                <w:lang w:val="en-US"/>
              </w:rPr>
              <w:t>All openings must have individually lockable latches so that they cannot be opened inadvertently by vibration during transport, failure of the normal latching mechanism or by activation from the cabin</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rPr>
                <w:lang w:val="en-US"/>
              </w:rPr>
              <w:t>All openings must have seals that are in sound condition</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All openings must have provision for the application of tamper-evident seals</w:t>
            </w:r>
          </w:p>
        </w:tc>
      </w:tr>
      <w:tr w:rsidR="00F52355" w:rsidRPr="00C41657" w:rsidTr="00E35D68">
        <w:trPr>
          <w:trHeight w:val="6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Containers must be transported on conveyances with solid flat decks or of a skeletal type construction to ensure flexing and movement of containers during transport is kept to a minimum</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val="restart"/>
            <w:shd w:val="clear" w:color="auto" w:fill="FFFFFF" w:themeFill="background1"/>
            <w:hideMark/>
          </w:tcPr>
          <w:p w:rsidR="00F52355" w:rsidRPr="00C41657" w:rsidRDefault="00F52355" w:rsidP="00E35D68">
            <w:r w:rsidRPr="00C41657">
              <w:rPr>
                <w:lang w:val="en-US"/>
              </w:rPr>
              <w:t>Rail wagons</w:t>
            </w:r>
          </w:p>
        </w:tc>
        <w:tc>
          <w:tcPr>
            <w:tcW w:w="1690" w:type="dxa"/>
            <w:vMerge w:val="restart"/>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All</w:t>
            </w:r>
            <w:r w:rsidR="00E85319">
              <w:t xml:space="preserve"> approved</w:t>
            </w:r>
            <w:r w:rsidRPr="00C41657">
              <w:t xml:space="preserve"> locations</w:t>
            </w: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Carry and complete a</w:t>
            </w:r>
            <w:r w:rsidR="00282471">
              <w:t>n</w:t>
            </w:r>
            <w:r w:rsidRPr="00C41657">
              <w:t xml:space="preserve"> </w:t>
            </w:r>
            <w:r w:rsidR="00282471" w:rsidRPr="00282471">
              <w:rPr>
                <w:i/>
              </w:rPr>
              <w:t>Imported bulk grain delivery record</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All safety devices such as hand brakes, handrails, ladders and brake mechanisms must be in good working order and maintained</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Discharge chutes, holds or other openings are to be sound, leak proof and sealable</w:t>
            </w:r>
            <w:r>
              <w:t xml:space="preserve"> to prevent the leakage of any grain</w:t>
            </w:r>
            <w:r w:rsidRPr="00C41657">
              <w:t xml:space="preserve"> (seals should be modified with extra rubber)</w:t>
            </w:r>
          </w:p>
        </w:tc>
      </w:tr>
      <w:tr w:rsidR="00F52355" w:rsidRPr="00C41657" w:rsidTr="00E35D68">
        <w:trPr>
          <w:trHeight w:val="6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All openings must have individually lockable latches so that they cannot be opened inadvertently by vibration during carriage, failure of the normal latching mechanism or by activation from the cabin</w:t>
            </w:r>
          </w:p>
        </w:tc>
      </w:tr>
      <w:tr w:rsidR="00F52355" w:rsidRPr="00C41657" w:rsidTr="00E35D68">
        <w:trPr>
          <w:cnfStyle w:val="000000100000" w:firstRow="0" w:lastRow="0" w:firstColumn="0" w:lastColumn="0" w:oddVBand="0" w:evenVBand="0" w:oddHBand="1" w:evenHBand="0" w:firstRowFirstColumn="0" w:firstRowLastColumn="0" w:lastRowFirstColumn="0" w:lastRowLastColumn="0"/>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100000" w:firstRow="0" w:lastRow="0" w:firstColumn="0" w:lastColumn="0" w:oddVBand="0" w:evenVBand="0" w:oddHBand="1" w:evenHBand="0" w:firstRowFirstColumn="0" w:firstRowLastColumn="0" w:lastRowFirstColumn="0" w:lastRowLastColumn="0"/>
            </w:pPr>
            <w:r w:rsidRPr="00C41657">
              <w:t>The discharge chutes and other openings will have provision for the application of tamper-evident seals</w:t>
            </w:r>
          </w:p>
        </w:tc>
      </w:tr>
      <w:tr w:rsidR="00F52355" w:rsidRPr="00C41657" w:rsidTr="00E35D68">
        <w:trPr>
          <w:trHeight w:val="315"/>
        </w:trPr>
        <w:tc>
          <w:tcPr>
            <w:cnfStyle w:val="001000000000" w:firstRow="0" w:lastRow="0" w:firstColumn="1" w:lastColumn="0" w:oddVBand="0" w:evenVBand="0" w:oddHBand="0" w:evenHBand="0" w:firstRowFirstColumn="0" w:firstRowLastColumn="0" w:lastRowFirstColumn="0" w:lastRowLastColumn="0"/>
            <w:tcW w:w="1838" w:type="dxa"/>
            <w:vMerge/>
            <w:shd w:val="clear" w:color="auto" w:fill="FFFFFF" w:themeFill="background1"/>
            <w:hideMark/>
          </w:tcPr>
          <w:p w:rsidR="00F52355" w:rsidRPr="00C41657" w:rsidRDefault="00F52355" w:rsidP="00E35D68"/>
        </w:tc>
        <w:tc>
          <w:tcPr>
            <w:tcW w:w="1690" w:type="dxa"/>
            <w:vMerge/>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p>
        </w:tc>
        <w:tc>
          <w:tcPr>
            <w:tcW w:w="5488" w:type="dxa"/>
            <w:shd w:val="clear" w:color="auto" w:fill="FFFFFF" w:themeFill="background1"/>
            <w:hideMark/>
          </w:tcPr>
          <w:p w:rsidR="00F52355" w:rsidRPr="00C41657" w:rsidRDefault="00F52355" w:rsidP="00E35D68">
            <w:pPr>
              <w:cnfStyle w:val="000000000000" w:firstRow="0" w:lastRow="0" w:firstColumn="0" w:lastColumn="0" w:oddVBand="0" w:evenVBand="0" w:oddHBand="0" w:evenHBand="0" w:firstRowFirstColumn="0" w:firstRowLastColumn="0" w:lastRowFirstColumn="0" w:lastRowLastColumn="0"/>
            </w:pPr>
            <w:r w:rsidRPr="00C41657">
              <w:t>EWL to be affixed to all sides of each wagon that enable the vehicle to be clearly identified. These labels will remain on it until it has been decommissioned</w:t>
            </w:r>
          </w:p>
        </w:tc>
      </w:tr>
    </w:tbl>
    <w:p w:rsidR="001A5531" w:rsidRDefault="001A5531" w:rsidP="00EE13A0">
      <w:pPr>
        <w:pStyle w:val="Heading2"/>
      </w:pPr>
      <w:bookmarkStart w:id="18" w:name="_Toc1388645"/>
    </w:p>
    <w:p w:rsidR="001A5531" w:rsidRDefault="001A5531">
      <w:pPr>
        <w:spacing w:before="0" w:after="0"/>
        <w:rPr>
          <w:rFonts w:eastAsia="Times New Roman"/>
          <w:b/>
          <w:bCs/>
          <w:sz w:val="30"/>
          <w:szCs w:val="26"/>
        </w:rPr>
      </w:pPr>
      <w:r>
        <w:br w:type="page"/>
      </w:r>
    </w:p>
    <w:p w:rsidR="00EE13A0" w:rsidRDefault="00EE13A0" w:rsidP="00EE13A0">
      <w:pPr>
        <w:pStyle w:val="Heading2"/>
      </w:pPr>
      <w:r>
        <w:lastRenderedPageBreak/>
        <w:t>Version history</w:t>
      </w:r>
      <w:bookmarkEnd w:id="18"/>
    </w:p>
    <w:p w:rsidR="00EE13A0" w:rsidRDefault="00EE13A0" w:rsidP="00EE13A0">
      <w:pPr>
        <w:pStyle w:val="BodyText"/>
      </w:pPr>
      <w:r>
        <w:t>The following table details the published date and amendment details for this document.</w:t>
      </w:r>
    </w:p>
    <w:tbl>
      <w:tblPr>
        <w:tblW w:w="90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3"/>
        <w:gridCol w:w="1501"/>
        <w:gridCol w:w="6550"/>
      </w:tblGrid>
      <w:tr w:rsidR="00EE13A0" w:rsidTr="006D57D9">
        <w:trPr>
          <w:cantSplit/>
          <w:tblHeader/>
        </w:trPr>
        <w:tc>
          <w:tcPr>
            <w:tcW w:w="963" w:type="dxa"/>
            <w:tcBorders>
              <w:top w:val="single" w:sz="4" w:space="0" w:color="auto"/>
              <w:left w:val="single" w:sz="4" w:space="0" w:color="auto"/>
              <w:bottom w:val="single" w:sz="4" w:space="0" w:color="auto"/>
              <w:right w:val="single" w:sz="4" w:space="0" w:color="FFFFFF"/>
            </w:tcBorders>
            <w:shd w:val="clear" w:color="auto" w:fill="000000"/>
          </w:tcPr>
          <w:p w:rsidR="00EE13A0" w:rsidRDefault="00EE13A0" w:rsidP="006D57D9">
            <w:pPr>
              <w:pStyle w:val="Tableheadings"/>
              <w:jc w:val="center"/>
            </w:pPr>
            <w:r>
              <w:t>Version</w:t>
            </w:r>
          </w:p>
        </w:tc>
        <w:tc>
          <w:tcPr>
            <w:tcW w:w="1501" w:type="dxa"/>
            <w:tcBorders>
              <w:top w:val="single" w:sz="4" w:space="0" w:color="auto"/>
              <w:left w:val="single" w:sz="4" w:space="0" w:color="FFFFFF"/>
              <w:bottom w:val="single" w:sz="4" w:space="0" w:color="auto"/>
              <w:right w:val="single" w:sz="4" w:space="0" w:color="FFFFFF"/>
            </w:tcBorders>
            <w:shd w:val="clear" w:color="auto" w:fill="000000"/>
          </w:tcPr>
          <w:p w:rsidR="00EE13A0" w:rsidRDefault="00EE13A0" w:rsidP="006D57D9">
            <w:pPr>
              <w:pStyle w:val="Tableheadings"/>
              <w:jc w:val="center"/>
            </w:pPr>
            <w:r>
              <w:t>Date</w:t>
            </w:r>
          </w:p>
        </w:tc>
        <w:tc>
          <w:tcPr>
            <w:tcW w:w="6550" w:type="dxa"/>
            <w:tcBorders>
              <w:top w:val="single" w:sz="4" w:space="0" w:color="auto"/>
              <w:left w:val="single" w:sz="4" w:space="0" w:color="FFFFFF"/>
              <w:bottom w:val="single" w:sz="4" w:space="0" w:color="auto"/>
              <w:right w:val="single" w:sz="4" w:space="0" w:color="auto"/>
            </w:tcBorders>
            <w:shd w:val="clear" w:color="auto" w:fill="000000"/>
          </w:tcPr>
          <w:p w:rsidR="00EE13A0" w:rsidRDefault="00EE13A0" w:rsidP="006D57D9">
            <w:pPr>
              <w:pStyle w:val="Tableheadings"/>
            </w:pPr>
            <w:r>
              <w:t>Amendment details</w:t>
            </w:r>
          </w:p>
        </w:tc>
      </w:tr>
      <w:tr w:rsidR="00EE13A0" w:rsidTr="001A5531">
        <w:trPr>
          <w:cantSplit/>
        </w:trPr>
        <w:tc>
          <w:tcPr>
            <w:tcW w:w="963" w:type="dxa"/>
            <w:tcBorders>
              <w:top w:val="single" w:sz="4" w:space="0" w:color="auto"/>
              <w:bottom w:val="single" w:sz="4" w:space="0" w:color="auto"/>
            </w:tcBorders>
          </w:tcPr>
          <w:p w:rsidR="00EE13A0" w:rsidRDefault="00796B57" w:rsidP="006D57D9">
            <w:pPr>
              <w:jc w:val="center"/>
            </w:pPr>
            <w:r>
              <w:t>1.1</w:t>
            </w:r>
          </w:p>
        </w:tc>
        <w:sdt>
          <w:sdtPr>
            <w:alias w:val="Date published"/>
            <w:tag w:val="DatePublished"/>
            <w:id w:val="237824217"/>
            <w:placeholder>
              <w:docPart w:val="68E81976FFE54E18A51F9E5670C9A0A1"/>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F23BE434-2E37-426B-BC4E-040890D26E65}"/>
            <w:date w:fullDate="2019-02-18T00:00:00Z">
              <w:dateFormat w:val="d/MM/yyyy"/>
              <w:lid w:val="en-AU"/>
              <w:storeMappedDataAs w:val="dateTime"/>
              <w:calendar w:val="gregorian"/>
            </w:date>
          </w:sdtPr>
          <w:sdtEndPr/>
          <w:sdtContent>
            <w:tc>
              <w:tcPr>
                <w:tcW w:w="1501" w:type="dxa"/>
                <w:tcBorders>
                  <w:top w:val="single" w:sz="4" w:space="0" w:color="auto"/>
                  <w:bottom w:val="single" w:sz="4" w:space="0" w:color="auto"/>
                </w:tcBorders>
              </w:tcPr>
              <w:p w:rsidR="00EE13A0" w:rsidRDefault="003D555C" w:rsidP="006D57D9">
                <w:pPr>
                  <w:jc w:val="center"/>
                </w:pPr>
                <w:r>
                  <w:t>18/02/2019</w:t>
                </w:r>
              </w:p>
            </w:tc>
          </w:sdtContent>
        </w:sdt>
        <w:tc>
          <w:tcPr>
            <w:tcW w:w="6550" w:type="dxa"/>
            <w:tcBorders>
              <w:top w:val="single" w:sz="4" w:space="0" w:color="auto"/>
              <w:bottom w:val="single" w:sz="4" w:space="0" w:color="auto"/>
            </w:tcBorders>
          </w:tcPr>
          <w:p w:rsidR="00EE13A0" w:rsidRDefault="00796B57" w:rsidP="006D57D9">
            <w:r>
              <w:t>Second</w:t>
            </w:r>
            <w:r w:rsidR="00EE13A0">
              <w:t xml:space="preserve"> publication of this reference. </w:t>
            </w:r>
          </w:p>
        </w:tc>
      </w:tr>
      <w:tr w:rsidR="001A5531" w:rsidTr="006D57D9">
        <w:trPr>
          <w:cantSplit/>
        </w:trPr>
        <w:tc>
          <w:tcPr>
            <w:tcW w:w="963" w:type="dxa"/>
            <w:tcBorders>
              <w:top w:val="single" w:sz="4" w:space="0" w:color="auto"/>
            </w:tcBorders>
          </w:tcPr>
          <w:p w:rsidR="001A5531" w:rsidRDefault="009F4C71" w:rsidP="006D57D9">
            <w:pPr>
              <w:jc w:val="center"/>
            </w:pPr>
            <w:r>
              <w:t>1.2</w:t>
            </w:r>
          </w:p>
        </w:tc>
        <w:tc>
          <w:tcPr>
            <w:tcW w:w="1501" w:type="dxa"/>
            <w:tcBorders>
              <w:top w:val="single" w:sz="4" w:space="0" w:color="auto"/>
            </w:tcBorders>
          </w:tcPr>
          <w:p w:rsidR="001A5531" w:rsidRPr="00CC059D" w:rsidRDefault="00CC5BE7" w:rsidP="006D57D9">
            <w:pPr>
              <w:jc w:val="center"/>
            </w:pPr>
            <w:r>
              <w:t>06/06/2019</w:t>
            </w:r>
          </w:p>
        </w:tc>
        <w:tc>
          <w:tcPr>
            <w:tcW w:w="6550" w:type="dxa"/>
            <w:tcBorders>
              <w:top w:val="single" w:sz="4" w:space="0" w:color="auto"/>
            </w:tcBorders>
          </w:tcPr>
          <w:p w:rsidR="001A5531" w:rsidRDefault="00CC059D" w:rsidP="006D57D9">
            <w:r>
              <w:t>Updated background information</w:t>
            </w:r>
          </w:p>
        </w:tc>
      </w:tr>
      <w:bookmarkEnd w:id="12"/>
    </w:tbl>
    <w:p w:rsidR="00C426B5" w:rsidRPr="00EA7AFE" w:rsidRDefault="00C426B5" w:rsidP="00AD1C8F">
      <w:pPr>
        <w:pStyle w:val="BodyText"/>
        <w:spacing w:before="60"/>
      </w:pPr>
    </w:p>
    <w:sectPr w:rsidR="00C426B5" w:rsidRPr="00EA7AFE" w:rsidSect="001A5531">
      <w:footerReference w:type="default" r:id="rId13"/>
      <w:footerReference w:type="first" r:id="rId14"/>
      <w:pgSz w:w="11906" w:h="16838"/>
      <w:pgMar w:top="922" w:right="2125" w:bottom="1440" w:left="1440" w:header="426" w:footer="1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3729" w:rsidRDefault="00E33729">
      <w:pPr>
        <w:spacing w:after="0"/>
      </w:pPr>
      <w:r>
        <w:separator/>
      </w:r>
    </w:p>
    <w:p w:rsidR="00E33729" w:rsidRDefault="00E33729"/>
  </w:endnote>
  <w:endnote w:type="continuationSeparator" w:id="0">
    <w:p w:rsidR="00E33729" w:rsidRDefault="00E33729">
      <w:pPr>
        <w:spacing w:after="0"/>
      </w:pPr>
      <w:r>
        <w:continuationSeparator/>
      </w:r>
    </w:p>
    <w:p w:rsidR="00E33729" w:rsidRDefault="00E33729"/>
  </w:endnote>
  <w:endnote w:type="continuationNotice" w:id="1">
    <w:p w:rsidR="00E33729" w:rsidRDefault="00E33729">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49C1" w:rsidRPr="00C55615" w:rsidRDefault="000F49C1" w:rsidP="000F49C1">
    <w:pPr>
      <w:pStyle w:val="Footer"/>
      <w:pBdr>
        <w:top w:val="single" w:sz="4" w:space="1" w:color="auto"/>
        <w:bottom w:val="single" w:sz="4" w:space="3" w:color="auto"/>
      </w:pBdr>
      <w:tabs>
        <w:tab w:val="clear" w:pos="4513"/>
        <w:tab w:val="clear" w:pos="9026"/>
      </w:tabs>
      <w:spacing w:after="60"/>
      <w:ind w:right="-329" w:hanging="567"/>
      <w:jc w:val="center"/>
      <w:rPr>
        <w:sz w:val="14"/>
        <w:szCs w:val="14"/>
      </w:rPr>
    </w:pPr>
    <w:r w:rsidRPr="00C55615">
      <w:rPr>
        <w:sz w:val="14"/>
        <w:szCs w:val="14"/>
      </w:rPr>
      <w:t>This is a CONTROLLED document. Any documents appearing in paper form or offline are not controlled and should be checked against the web version prior to use.</w:t>
    </w:r>
  </w:p>
  <w:p w:rsidR="00BA4C9F" w:rsidRDefault="004C4674">
    <w:pPr>
      <w:pStyle w:val="Footer"/>
      <w:tabs>
        <w:tab w:val="clear" w:pos="4513"/>
        <w:tab w:val="clear" w:pos="9026"/>
        <w:tab w:val="right" w:pos="9356"/>
      </w:tabs>
      <w:ind w:left="-567" w:right="-330"/>
      <w:rPr>
        <w:i/>
        <w:sz w:val="18"/>
      </w:rPr>
    </w:pPr>
    <w:sdt>
      <w:sdtPr>
        <w:rPr>
          <w:i/>
          <w:sz w:val="18"/>
        </w:rPr>
        <w:alias w:val="Title"/>
        <w:tag w:val=""/>
        <w:id w:val="1504859843"/>
        <w:placeholder>
          <w:docPart w:val="CBC28665559E472E867196475F7F2BCC"/>
        </w:placeholder>
        <w:dataBinding w:prefixMappings="xmlns:ns0='http://purl.org/dc/elements/1.1/' xmlns:ns1='http://schemas.openxmlformats.org/package/2006/metadata/core-properties' " w:xpath="/ns1:coreProperties[1]/ns0:title[1]" w:storeItemID="{6C3C8BC8-F283-45AE-878A-BAB7291924A1}"/>
        <w:text/>
      </w:sdtPr>
      <w:sdtEndPr/>
      <w:sdtContent>
        <w:r w:rsidR="005B16B1" w:rsidRPr="005B16B1">
          <w:rPr>
            <w:i/>
            <w:sz w:val="18"/>
          </w:rPr>
          <w:t>Conveyance standards for imported bulk grain</w:t>
        </w:r>
      </w:sdtContent>
    </w:sdt>
    <w:r w:rsidR="00BA4C9F">
      <w:rPr>
        <w:i/>
        <w:sz w:val="18"/>
      </w:rPr>
      <w:tab/>
    </w:r>
    <w:r w:rsidR="00BA4C9F">
      <w:rPr>
        <w:sz w:val="18"/>
      </w:rPr>
      <w:t>Version no.:</w:t>
    </w:r>
    <w:r w:rsidR="005B16B1">
      <w:rPr>
        <w:sz w:val="18"/>
      </w:rPr>
      <w:t>1.</w:t>
    </w:r>
    <w:sdt>
      <w:sdtPr>
        <w:rPr>
          <w:sz w:val="18"/>
        </w:rPr>
        <w:alias w:val="Revision Number"/>
        <w:tag w:val="RevisionNumber"/>
        <w:id w:val="1393611883"/>
        <w:placeholder>
          <w:docPart w:val="7DCE3CBB6C2342F58F9FEEDA44DA063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F23BE434-2E37-426B-BC4E-040890D26E65}"/>
        <w:text/>
      </w:sdtPr>
      <w:sdtEndPr/>
      <w:sdtContent>
        <w:r w:rsidR="00D82B11">
          <w:rPr>
            <w:sz w:val="18"/>
          </w:rPr>
          <w:t>2</w:t>
        </w:r>
      </w:sdtContent>
    </w:sdt>
  </w:p>
  <w:p w:rsidR="00BA4C9F" w:rsidRDefault="005B16B1" w:rsidP="001C139F">
    <w:pPr>
      <w:pStyle w:val="Footer"/>
      <w:tabs>
        <w:tab w:val="clear" w:pos="9026"/>
        <w:tab w:val="right" w:pos="9356"/>
      </w:tabs>
      <w:ind w:left="-567" w:right="-330"/>
    </w:pPr>
    <w:r>
      <w:rPr>
        <w:sz w:val="18"/>
      </w:rPr>
      <w:t>Department of Agriculture</w:t>
    </w:r>
    <w:r w:rsidR="00BA4C9F">
      <w:rPr>
        <w:sz w:val="18"/>
      </w:rPr>
      <w:tab/>
    </w:r>
    <w:r w:rsidR="00BA4C9F">
      <w:tab/>
    </w:r>
    <w:r w:rsidR="00BA4C9F">
      <w:rPr>
        <w:sz w:val="18"/>
        <w:szCs w:val="18"/>
      </w:rPr>
      <w:fldChar w:fldCharType="begin"/>
    </w:r>
    <w:r w:rsidR="00BA4C9F">
      <w:rPr>
        <w:sz w:val="18"/>
        <w:szCs w:val="18"/>
      </w:rPr>
      <w:instrText xml:space="preserve"> PAGE  \* Arabic  \* MERGEFORMAT </w:instrText>
    </w:r>
    <w:r w:rsidR="00BA4C9F">
      <w:rPr>
        <w:sz w:val="18"/>
        <w:szCs w:val="18"/>
      </w:rPr>
      <w:fldChar w:fldCharType="separate"/>
    </w:r>
    <w:r w:rsidR="004C4674">
      <w:rPr>
        <w:noProof/>
        <w:sz w:val="18"/>
        <w:szCs w:val="18"/>
      </w:rPr>
      <w:t>5</w:t>
    </w:r>
    <w:r w:rsidR="00BA4C9F">
      <w:rPr>
        <w:sz w:val="18"/>
        <w:szCs w:val="18"/>
      </w:rPr>
      <w:fldChar w:fldCharType="end"/>
    </w:r>
    <w:r w:rsidR="00BA4C9F">
      <w:rPr>
        <w:sz w:val="18"/>
        <w:szCs w:val="18"/>
      </w:rPr>
      <w:t xml:space="preserve"> of </w:t>
    </w:r>
    <w:r w:rsidR="00BA4C9F">
      <w:rPr>
        <w:sz w:val="18"/>
        <w:szCs w:val="18"/>
      </w:rPr>
      <w:fldChar w:fldCharType="begin"/>
    </w:r>
    <w:r w:rsidR="00BA4C9F">
      <w:rPr>
        <w:sz w:val="18"/>
        <w:szCs w:val="18"/>
      </w:rPr>
      <w:instrText xml:space="preserve"> NUMPAGES  \* Arabic  \* MERGEFORMAT </w:instrText>
    </w:r>
    <w:r w:rsidR="00BA4C9F">
      <w:rPr>
        <w:sz w:val="18"/>
        <w:szCs w:val="18"/>
      </w:rPr>
      <w:fldChar w:fldCharType="separate"/>
    </w:r>
    <w:r w:rsidR="004C4674">
      <w:rPr>
        <w:noProof/>
        <w:sz w:val="18"/>
        <w:szCs w:val="18"/>
      </w:rPr>
      <w:t>5</w:t>
    </w:r>
    <w:r w:rsidR="00BA4C9F">
      <w:rPr>
        <w:sz w:val="18"/>
        <w:szCs w:val="18"/>
      </w:rPr>
      <w:fldChar w:fldCharType="end"/>
    </w:r>
  </w:p>
  <w:p w:rsidR="00BA4C9F" w:rsidRDefault="00BA4C9F">
    <w:pPr>
      <w:pStyle w:val="Footer"/>
      <w:tabs>
        <w:tab w:val="clear" w:pos="9026"/>
        <w:tab w:val="right" w:pos="9356"/>
      </w:tabs>
      <w:ind w:left="-567"/>
      <w:rPr>
        <w:sz w:val="18"/>
        <w:szCs w:val="1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4C9F" w:rsidRDefault="00BA4C9F">
    <w:pPr>
      <w:pStyle w:val="Footer"/>
      <w:pBdr>
        <w:top w:val="single" w:sz="4" w:space="1" w:color="auto"/>
        <w:bottom w:val="single" w:sz="4" w:space="3" w:color="auto"/>
      </w:pBdr>
      <w:tabs>
        <w:tab w:val="clear" w:pos="9026"/>
        <w:tab w:val="right" w:pos="9498"/>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rsidR="00BA4C9F" w:rsidRDefault="00BA4C9F">
    <w:pPr>
      <w:pStyle w:val="Footer"/>
      <w:tabs>
        <w:tab w:val="clear" w:pos="9026"/>
        <w:tab w:val="right" w:pos="9356"/>
      </w:tabs>
      <w:ind w:left="-567"/>
      <w:rPr>
        <w:b/>
        <w:sz w:val="18"/>
      </w:rPr>
    </w:pPr>
    <w:r>
      <w:rPr>
        <w:b/>
        <w:sz w:val="18"/>
      </w:rPr>
      <w:t>Classification Type</w:t>
    </w:r>
  </w:p>
  <w:p w:rsidR="00BA4C9F" w:rsidRDefault="00BA4C9F">
    <w:pPr>
      <w:pStyle w:val="Footer"/>
      <w:tabs>
        <w:tab w:val="clear" w:pos="9026"/>
        <w:tab w:val="left" w:pos="1418"/>
        <w:tab w:val="left" w:pos="5387"/>
        <w:tab w:val="left" w:pos="6946"/>
        <w:tab w:val="right" w:pos="9356"/>
      </w:tabs>
      <w:ind w:left="-567"/>
      <w:rPr>
        <w:b/>
      </w:rPr>
    </w:pPr>
    <w:r>
      <w:rPr>
        <w:sz w:val="18"/>
      </w:rPr>
      <w:t>Document title:</w:t>
    </w:r>
    <w:r>
      <w:rPr>
        <w:b/>
        <w:sz w:val="18"/>
      </w:rPr>
      <w:t xml:space="preserve"> </w:t>
    </w:r>
    <w:r>
      <w:rPr>
        <w:b/>
        <w:i/>
        <w:sz w:val="18"/>
      </w:rPr>
      <w:t>Please enter in the title of the document</w:t>
    </w:r>
    <w:r>
      <w:rPr>
        <w:b/>
        <w:i/>
        <w:sz w:val="18"/>
      </w:rPr>
      <w:tab/>
    </w:r>
    <w:r>
      <w:rPr>
        <w:b/>
        <w:i/>
        <w:sz w:val="18"/>
      </w:rPr>
      <w:tab/>
    </w:r>
    <w:r>
      <w:rPr>
        <w:sz w:val="18"/>
      </w:rPr>
      <w:t>Version Number:</w:t>
    </w:r>
    <w:r>
      <w:rPr>
        <w:b/>
        <w:sz w:val="18"/>
      </w:rPr>
      <w:tab/>
    </w:r>
    <w:r>
      <w:rPr>
        <w:b/>
        <w:i/>
        <w:sz w:val="18"/>
      </w:rPr>
      <w:t>PPD to complete</w:t>
    </w:r>
    <w:r>
      <w:tab/>
    </w:r>
    <w:r>
      <w:rPr>
        <w:b/>
        <w:sz w:val="18"/>
      </w:rPr>
      <w:fldChar w:fldCharType="begin"/>
    </w:r>
    <w:r>
      <w:rPr>
        <w:b/>
        <w:sz w:val="18"/>
      </w:rPr>
      <w:instrText xml:space="preserve"> PAGE   \* MERGEFORMAT </w:instrText>
    </w:r>
    <w:r>
      <w:rPr>
        <w:b/>
        <w:sz w:val="18"/>
      </w:rPr>
      <w:fldChar w:fldCharType="separate"/>
    </w:r>
    <w:r>
      <w:rPr>
        <w:b/>
        <w:noProof/>
        <w:sz w:val="18"/>
      </w:rPr>
      <w:t>1</w:t>
    </w:r>
    <w:r>
      <w:rPr>
        <w:b/>
        <w:sz w:val="18"/>
      </w:rPr>
      <w:fldChar w:fldCharType="end"/>
    </w:r>
  </w:p>
  <w:p w:rsidR="00BA4C9F" w:rsidRDefault="00BA4C9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3729" w:rsidRDefault="00E33729">
      <w:pPr>
        <w:spacing w:after="0"/>
      </w:pPr>
      <w:r>
        <w:separator/>
      </w:r>
    </w:p>
    <w:p w:rsidR="00E33729" w:rsidRDefault="00E33729"/>
  </w:footnote>
  <w:footnote w:type="continuationSeparator" w:id="0">
    <w:p w:rsidR="00E33729" w:rsidRDefault="00E33729">
      <w:pPr>
        <w:spacing w:after="0"/>
      </w:pPr>
      <w:r>
        <w:continuationSeparator/>
      </w:r>
    </w:p>
    <w:p w:rsidR="00E33729" w:rsidRDefault="00E33729"/>
  </w:footnote>
  <w:footnote w:type="continuationNotice" w:id="1">
    <w:p w:rsidR="00E33729" w:rsidRDefault="00E33729">
      <w:pPr>
        <w:spacing w:before="0" w:after="0"/>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FFFFFFFE"/>
    <w:multiLevelType w:val="singleLevel"/>
    <w:tmpl w:val="F0768C52"/>
    <w:lvl w:ilvl="0">
      <w:numFmt w:val="decimal"/>
      <w:lvlText w:val="*"/>
      <w:lvlJc w:val="left"/>
    </w:lvl>
  </w:abstractNum>
  <w:abstractNum w:abstractNumId="2" w15:restartNumberingAfterBreak="0">
    <w:nsid w:val="07DA671F"/>
    <w:multiLevelType w:val="hybridMultilevel"/>
    <w:tmpl w:val="E47E4A34"/>
    <w:lvl w:ilvl="0" w:tplc="7D0E12C4">
      <w:start w:val="1"/>
      <w:numFmt w:val="decimal"/>
      <w:lvlText w:val="%1."/>
      <w:lvlJc w:val="left"/>
      <w:pPr>
        <w:ind w:left="720" w:hanging="360"/>
      </w:pPr>
      <w:rPr>
        <w:rFonts w:hint="default"/>
      </w:rPr>
    </w:lvl>
    <w:lvl w:ilvl="1" w:tplc="195C32A2">
      <w:start w:val="1"/>
      <w:numFmt w:val="lowerLetter"/>
      <w:lvlText w:val="%2."/>
      <w:lvlJc w:val="left"/>
      <w:pPr>
        <w:ind w:left="1440" w:hanging="360"/>
      </w:pPr>
      <w:rPr>
        <w:b/>
        <w:sz w:val="22"/>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565603C"/>
    <w:multiLevelType w:val="hybridMultilevel"/>
    <w:tmpl w:val="7E8ADA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263C0AC2"/>
    <w:multiLevelType w:val="hybridMultilevel"/>
    <w:tmpl w:val="D4C668C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C796BF0"/>
    <w:multiLevelType w:val="hybridMultilevel"/>
    <w:tmpl w:val="39FE3DE6"/>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2E30174B"/>
    <w:multiLevelType w:val="hybridMultilevel"/>
    <w:tmpl w:val="F8FC78F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3141550F"/>
    <w:multiLevelType w:val="hybridMultilevel"/>
    <w:tmpl w:val="CD666C32"/>
    <w:lvl w:ilvl="0" w:tplc="45F8C5B0">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33FC0EF3"/>
    <w:multiLevelType w:val="hybridMultilevel"/>
    <w:tmpl w:val="5128EE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63F25D2"/>
    <w:multiLevelType w:val="multilevel"/>
    <w:tmpl w:val="7D4C683C"/>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b/>
        <w:sz w:val="22"/>
      </w:rPr>
    </w:lvl>
    <w:lvl w:ilvl="2">
      <w:start w:val="1"/>
      <w:numFmt w:val="decimal"/>
      <w:lvlText w:val="%1.%2.%3"/>
      <w:lvlJc w:val="left"/>
      <w:pPr>
        <w:ind w:left="2880" w:hanging="720"/>
      </w:pPr>
      <w:rPr>
        <w:rFonts w:hint="default"/>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11" w15:restartNumberingAfterBreak="0">
    <w:nsid w:val="48AF3293"/>
    <w:multiLevelType w:val="hybridMultilevel"/>
    <w:tmpl w:val="E23470BA"/>
    <w:lvl w:ilvl="0" w:tplc="0C090003">
      <w:start w:val="1"/>
      <w:numFmt w:val="bullet"/>
      <w:lvlText w:val="o"/>
      <w:lvlJc w:val="left"/>
      <w:pPr>
        <w:ind w:left="360" w:hanging="360"/>
      </w:pPr>
      <w:rPr>
        <w:rFonts w:ascii="Courier New" w:hAnsi="Courier New" w:cs="Courier New"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60FB39A3"/>
    <w:multiLevelType w:val="hybridMultilevel"/>
    <w:tmpl w:val="D5B8A2D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69C5024B"/>
    <w:multiLevelType w:val="multilevel"/>
    <w:tmpl w:val="54BAB7F4"/>
    <w:lvl w:ilvl="0">
      <w:start w:val="1"/>
      <w:numFmt w:val="bullet"/>
      <w:lvlText w:val="o"/>
      <w:lvlJc w:val="left"/>
      <w:pPr>
        <w:ind w:left="738" w:hanging="369"/>
      </w:pPr>
      <w:rPr>
        <w:rFonts w:ascii="Courier New" w:hAnsi="Courier New" w:cs="Courier New" w:hint="default"/>
      </w:rPr>
    </w:lvl>
    <w:lvl w:ilvl="1">
      <w:start w:val="1"/>
      <w:numFmt w:val="none"/>
      <w:lvlText w:val="-"/>
      <w:lvlJc w:val="left"/>
      <w:pPr>
        <w:ind w:left="1106" w:hanging="368"/>
      </w:pPr>
      <w:rPr>
        <w:rFonts w:hint="default"/>
      </w:rPr>
    </w:lvl>
    <w:lvl w:ilvl="2">
      <w:start w:val="1"/>
      <w:numFmt w:val="none"/>
      <w:lvlText w:val=":"/>
      <w:lvlJc w:val="left"/>
      <w:pPr>
        <w:ind w:left="1475" w:hanging="369"/>
      </w:pPr>
      <w:rPr>
        <w:rFonts w:hint="default"/>
      </w:rPr>
    </w:lvl>
    <w:lvl w:ilvl="3">
      <w:start w:val="1"/>
      <w:numFmt w:val="none"/>
      <w:lvlText w:val=""/>
      <w:lvlJc w:val="left"/>
      <w:pPr>
        <w:ind w:left="1843" w:hanging="368"/>
      </w:pPr>
      <w:rPr>
        <w:rFonts w:hint="default"/>
        <w:color w:val="auto"/>
      </w:rPr>
    </w:lvl>
    <w:lvl w:ilvl="4">
      <w:start w:val="1"/>
      <w:numFmt w:val="none"/>
      <w:lvlText w:val=""/>
      <w:lvlJc w:val="left"/>
      <w:pPr>
        <w:ind w:left="2169" w:hanging="360"/>
      </w:pPr>
      <w:rPr>
        <w:rFonts w:hint="default"/>
        <w:color w:val="auto"/>
      </w:rPr>
    </w:lvl>
    <w:lvl w:ilvl="5">
      <w:start w:val="1"/>
      <w:numFmt w:val="none"/>
      <w:lvlText w:val=""/>
      <w:lvlJc w:val="left"/>
      <w:pPr>
        <w:ind w:left="2529" w:hanging="360"/>
      </w:pPr>
      <w:rPr>
        <w:rFonts w:hint="default"/>
        <w:color w:val="auto"/>
      </w:rPr>
    </w:lvl>
    <w:lvl w:ilvl="6">
      <w:start w:val="1"/>
      <w:numFmt w:val="none"/>
      <w:lvlText w:val=""/>
      <w:lvlJc w:val="left"/>
      <w:pPr>
        <w:ind w:left="2889" w:hanging="360"/>
      </w:pPr>
      <w:rPr>
        <w:rFonts w:hint="default"/>
        <w:color w:val="auto"/>
      </w:rPr>
    </w:lvl>
    <w:lvl w:ilvl="7">
      <w:start w:val="1"/>
      <w:numFmt w:val="none"/>
      <w:lvlText w:val=""/>
      <w:lvlJc w:val="left"/>
      <w:pPr>
        <w:ind w:left="3249" w:hanging="360"/>
      </w:pPr>
      <w:rPr>
        <w:rFonts w:hint="default"/>
        <w:color w:val="auto"/>
      </w:rPr>
    </w:lvl>
    <w:lvl w:ilvl="8">
      <w:start w:val="1"/>
      <w:numFmt w:val="none"/>
      <w:lvlText w:val=""/>
      <w:lvlJc w:val="left"/>
      <w:pPr>
        <w:ind w:left="3609" w:hanging="360"/>
      </w:pPr>
      <w:rPr>
        <w:rFonts w:hint="default"/>
        <w:color w:val="auto"/>
      </w:rPr>
    </w:lvl>
  </w:abstractNum>
  <w:abstractNum w:abstractNumId="14" w15:restartNumberingAfterBreak="0">
    <w:nsid w:val="6C426E5E"/>
    <w:multiLevelType w:val="hybridMultilevel"/>
    <w:tmpl w:val="D108A458"/>
    <w:lvl w:ilvl="0" w:tplc="77B6EF54">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70356FC4"/>
    <w:multiLevelType w:val="multilevel"/>
    <w:tmpl w:val="29643E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73F132E4"/>
    <w:multiLevelType w:val="multilevel"/>
    <w:tmpl w:val="18FA8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9A166CA"/>
    <w:multiLevelType w:val="hybridMultilevel"/>
    <w:tmpl w:val="EFDC6CD4"/>
    <w:lvl w:ilvl="0" w:tplc="824C3298">
      <w:start w:val="6"/>
      <w:numFmt w:val="bullet"/>
      <w:lvlText w:val=""/>
      <w:lvlJc w:val="left"/>
      <w:pPr>
        <w:ind w:left="720" w:hanging="360"/>
      </w:pPr>
      <w:rPr>
        <w:rFonts w:ascii="Symbol" w:eastAsia="Calibri" w:hAnsi="Symbol"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
  </w:num>
  <w:num w:numId="2">
    <w:abstractNumId w:val="10"/>
  </w:num>
  <w:num w:numId="3">
    <w:abstractNumId w:val="4"/>
  </w:num>
  <w:num w:numId="4">
    <w:abstractNumId w:val="14"/>
  </w:num>
  <w:num w:numId="5">
    <w:abstractNumId w:val="0"/>
  </w:num>
  <w:num w:numId="6">
    <w:abstractNumId w:val="14"/>
  </w:num>
  <w:num w:numId="7">
    <w:abstractNumId w:val="17"/>
  </w:num>
  <w:num w:numId="8">
    <w:abstractNumId w:val="7"/>
  </w:num>
  <w:num w:numId="9">
    <w:abstractNumId w:val="3"/>
  </w:num>
  <w:num w:numId="10">
    <w:abstractNumId w:val="9"/>
  </w:num>
  <w:num w:numId="11">
    <w:abstractNumId w:val="16"/>
  </w:num>
  <w:num w:numId="12">
    <w:abstractNumId w:val="5"/>
  </w:num>
  <w:num w:numId="13">
    <w:abstractNumId w:val="8"/>
  </w:num>
  <w:num w:numId="14">
    <w:abstractNumId w:val="11"/>
  </w:num>
  <w:num w:numId="15">
    <w:abstractNumId w:val="1"/>
    <w:lvlOverride w:ilvl="0">
      <w:lvl w:ilvl="0">
        <w:start w:val="1"/>
        <w:numFmt w:val="bullet"/>
        <w:lvlText w:val=""/>
        <w:legacy w:legacy="1" w:legacySpace="0" w:legacyIndent="567"/>
        <w:lvlJc w:val="left"/>
        <w:pPr>
          <w:ind w:left="567" w:hanging="567"/>
        </w:pPr>
        <w:rPr>
          <w:rFonts w:ascii="Symbol" w:hAnsi="Symbol" w:hint="default"/>
        </w:rPr>
      </w:lvl>
    </w:lvlOverride>
  </w:num>
  <w:num w:numId="16">
    <w:abstractNumId w:val="13"/>
  </w:num>
  <w:num w:numId="17">
    <w:abstractNumId w:val="12"/>
  </w:num>
  <w:num w:numId="18">
    <w:abstractNumId w:val="15"/>
  </w:num>
  <w:num w:numId="1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122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26B5"/>
    <w:rsid w:val="00006365"/>
    <w:rsid w:val="00033FDD"/>
    <w:rsid w:val="00035A53"/>
    <w:rsid w:val="000366BF"/>
    <w:rsid w:val="00046C70"/>
    <w:rsid w:val="00052DBD"/>
    <w:rsid w:val="00056C91"/>
    <w:rsid w:val="00060AD1"/>
    <w:rsid w:val="00062710"/>
    <w:rsid w:val="00084E07"/>
    <w:rsid w:val="0009112F"/>
    <w:rsid w:val="000C025E"/>
    <w:rsid w:val="000C2E42"/>
    <w:rsid w:val="000C4371"/>
    <w:rsid w:val="000C717D"/>
    <w:rsid w:val="000D3B12"/>
    <w:rsid w:val="000D4657"/>
    <w:rsid w:val="000E637B"/>
    <w:rsid w:val="000F49C1"/>
    <w:rsid w:val="001040A6"/>
    <w:rsid w:val="001116A5"/>
    <w:rsid w:val="00127A8E"/>
    <w:rsid w:val="00131B93"/>
    <w:rsid w:val="00134959"/>
    <w:rsid w:val="001361CF"/>
    <w:rsid w:val="00163ECE"/>
    <w:rsid w:val="00175530"/>
    <w:rsid w:val="00176350"/>
    <w:rsid w:val="00177251"/>
    <w:rsid w:val="00177D1D"/>
    <w:rsid w:val="00190ED4"/>
    <w:rsid w:val="001A5531"/>
    <w:rsid w:val="001A74A5"/>
    <w:rsid w:val="001B637F"/>
    <w:rsid w:val="001C139F"/>
    <w:rsid w:val="001D0898"/>
    <w:rsid w:val="001D4D55"/>
    <w:rsid w:val="001E2A10"/>
    <w:rsid w:val="001E62E3"/>
    <w:rsid w:val="001F0E7B"/>
    <w:rsid w:val="001F1731"/>
    <w:rsid w:val="00232714"/>
    <w:rsid w:val="00236922"/>
    <w:rsid w:val="002372E7"/>
    <w:rsid w:val="00274906"/>
    <w:rsid w:val="00280B6C"/>
    <w:rsid w:val="00281921"/>
    <w:rsid w:val="00282471"/>
    <w:rsid w:val="0029397E"/>
    <w:rsid w:val="00296227"/>
    <w:rsid w:val="002A1DAE"/>
    <w:rsid w:val="002B73E8"/>
    <w:rsid w:val="002C24DC"/>
    <w:rsid w:val="002D2D1D"/>
    <w:rsid w:val="002E7E8D"/>
    <w:rsid w:val="002F1DA4"/>
    <w:rsid w:val="002F672F"/>
    <w:rsid w:val="00312897"/>
    <w:rsid w:val="003132E0"/>
    <w:rsid w:val="003179BA"/>
    <w:rsid w:val="00325BCE"/>
    <w:rsid w:val="0032664D"/>
    <w:rsid w:val="0033065A"/>
    <w:rsid w:val="003318D2"/>
    <w:rsid w:val="00334D5B"/>
    <w:rsid w:val="00336A90"/>
    <w:rsid w:val="003451C3"/>
    <w:rsid w:val="00361DB7"/>
    <w:rsid w:val="00371701"/>
    <w:rsid w:val="003850BA"/>
    <w:rsid w:val="00394E32"/>
    <w:rsid w:val="003A2147"/>
    <w:rsid w:val="003B33EF"/>
    <w:rsid w:val="003D555C"/>
    <w:rsid w:val="003F6BB8"/>
    <w:rsid w:val="004010B9"/>
    <w:rsid w:val="00403AD6"/>
    <w:rsid w:val="00404DC1"/>
    <w:rsid w:val="00410195"/>
    <w:rsid w:val="00430AEE"/>
    <w:rsid w:val="00436430"/>
    <w:rsid w:val="004427A6"/>
    <w:rsid w:val="004477DE"/>
    <w:rsid w:val="0045479E"/>
    <w:rsid w:val="00464287"/>
    <w:rsid w:val="00470FF0"/>
    <w:rsid w:val="00491DEE"/>
    <w:rsid w:val="0049502B"/>
    <w:rsid w:val="00496835"/>
    <w:rsid w:val="004A15D8"/>
    <w:rsid w:val="004B0DB5"/>
    <w:rsid w:val="004B0F09"/>
    <w:rsid w:val="004B0F32"/>
    <w:rsid w:val="004B1C4B"/>
    <w:rsid w:val="004C26BC"/>
    <w:rsid w:val="004C4674"/>
    <w:rsid w:val="004D24C7"/>
    <w:rsid w:val="004D2AEC"/>
    <w:rsid w:val="004D5F46"/>
    <w:rsid w:val="004D6D37"/>
    <w:rsid w:val="004E7C71"/>
    <w:rsid w:val="0052689B"/>
    <w:rsid w:val="0053276A"/>
    <w:rsid w:val="00532C06"/>
    <w:rsid w:val="00536F1F"/>
    <w:rsid w:val="00541CF3"/>
    <w:rsid w:val="005425A7"/>
    <w:rsid w:val="00545F95"/>
    <w:rsid w:val="005619DE"/>
    <w:rsid w:val="00571095"/>
    <w:rsid w:val="00590B39"/>
    <w:rsid w:val="005B16B1"/>
    <w:rsid w:val="005C6E66"/>
    <w:rsid w:val="005E1475"/>
    <w:rsid w:val="00614227"/>
    <w:rsid w:val="00644E34"/>
    <w:rsid w:val="00646999"/>
    <w:rsid w:val="0065155D"/>
    <w:rsid w:val="006614DC"/>
    <w:rsid w:val="00665938"/>
    <w:rsid w:val="00673404"/>
    <w:rsid w:val="00681A99"/>
    <w:rsid w:val="00691EBD"/>
    <w:rsid w:val="00697BEC"/>
    <w:rsid w:val="006B0C24"/>
    <w:rsid w:val="006B7462"/>
    <w:rsid w:val="006C19CC"/>
    <w:rsid w:val="006C2099"/>
    <w:rsid w:val="006D57D9"/>
    <w:rsid w:val="006E56FD"/>
    <w:rsid w:val="00700088"/>
    <w:rsid w:val="00725D49"/>
    <w:rsid w:val="007273C2"/>
    <w:rsid w:val="00746ECA"/>
    <w:rsid w:val="00760ED6"/>
    <w:rsid w:val="007644A1"/>
    <w:rsid w:val="0076735D"/>
    <w:rsid w:val="00782D10"/>
    <w:rsid w:val="00783D14"/>
    <w:rsid w:val="007852A1"/>
    <w:rsid w:val="00796B57"/>
    <w:rsid w:val="007A6852"/>
    <w:rsid w:val="007C0615"/>
    <w:rsid w:val="007D1AEE"/>
    <w:rsid w:val="007D4B4A"/>
    <w:rsid w:val="007D788D"/>
    <w:rsid w:val="007E213F"/>
    <w:rsid w:val="007E5077"/>
    <w:rsid w:val="007E5616"/>
    <w:rsid w:val="007F104D"/>
    <w:rsid w:val="008064BA"/>
    <w:rsid w:val="00813057"/>
    <w:rsid w:val="00823AD8"/>
    <w:rsid w:val="00823E1A"/>
    <w:rsid w:val="00833326"/>
    <w:rsid w:val="0083751F"/>
    <w:rsid w:val="008465E8"/>
    <w:rsid w:val="0085342C"/>
    <w:rsid w:val="008548F2"/>
    <w:rsid w:val="008619DB"/>
    <w:rsid w:val="0086214F"/>
    <w:rsid w:val="00864639"/>
    <w:rsid w:val="00866BC8"/>
    <w:rsid w:val="00870C08"/>
    <w:rsid w:val="00872087"/>
    <w:rsid w:val="00877B32"/>
    <w:rsid w:val="00880098"/>
    <w:rsid w:val="008817EC"/>
    <w:rsid w:val="008B22BA"/>
    <w:rsid w:val="008B3F95"/>
    <w:rsid w:val="008C4575"/>
    <w:rsid w:val="008D69BA"/>
    <w:rsid w:val="008E4403"/>
    <w:rsid w:val="008F07E2"/>
    <w:rsid w:val="00901FF3"/>
    <w:rsid w:val="00906DC3"/>
    <w:rsid w:val="00915156"/>
    <w:rsid w:val="00916787"/>
    <w:rsid w:val="00924958"/>
    <w:rsid w:val="00957B64"/>
    <w:rsid w:val="00971AE8"/>
    <w:rsid w:val="009747FD"/>
    <w:rsid w:val="009A031E"/>
    <w:rsid w:val="009B48F8"/>
    <w:rsid w:val="009C70E8"/>
    <w:rsid w:val="009D14C9"/>
    <w:rsid w:val="009E4C66"/>
    <w:rsid w:val="009E66E9"/>
    <w:rsid w:val="009F098E"/>
    <w:rsid w:val="009F4138"/>
    <w:rsid w:val="009F4C71"/>
    <w:rsid w:val="00A05093"/>
    <w:rsid w:val="00A11121"/>
    <w:rsid w:val="00A12C49"/>
    <w:rsid w:val="00A17037"/>
    <w:rsid w:val="00A31428"/>
    <w:rsid w:val="00A37E3F"/>
    <w:rsid w:val="00A47AE0"/>
    <w:rsid w:val="00A50978"/>
    <w:rsid w:val="00A67D2C"/>
    <w:rsid w:val="00A93826"/>
    <w:rsid w:val="00AA100D"/>
    <w:rsid w:val="00AA4E24"/>
    <w:rsid w:val="00AB1E57"/>
    <w:rsid w:val="00AB6F00"/>
    <w:rsid w:val="00AC2998"/>
    <w:rsid w:val="00AC2E42"/>
    <w:rsid w:val="00AC57CC"/>
    <w:rsid w:val="00AD1C8F"/>
    <w:rsid w:val="00AE2184"/>
    <w:rsid w:val="00B07394"/>
    <w:rsid w:val="00B1410E"/>
    <w:rsid w:val="00B36600"/>
    <w:rsid w:val="00B47A50"/>
    <w:rsid w:val="00B51730"/>
    <w:rsid w:val="00B570B2"/>
    <w:rsid w:val="00B62ECC"/>
    <w:rsid w:val="00B65B1A"/>
    <w:rsid w:val="00B82387"/>
    <w:rsid w:val="00B83D09"/>
    <w:rsid w:val="00B85317"/>
    <w:rsid w:val="00B92EFC"/>
    <w:rsid w:val="00B950A2"/>
    <w:rsid w:val="00BA4C9F"/>
    <w:rsid w:val="00BA7F5A"/>
    <w:rsid w:val="00BB115B"/>
    <w:rsid w:val="00BC031D"/>
    <w:rsid w:val="00BC50DA"/>
    <w:rsid w:val="00BD6F50"/>
    <w:rsid w:val="00BE16D2"/>
    <w:rsid w:val="00BF6BFE"/>
    <w:rsid w:val="00C14020"/>
    <w:rsid w:val="00C20E68"/>
    <w:rsid w:val="00C2515A"/>
    <w:rsid w:val="00C41657"/>
    <w:rsid w:val="00C4212E"/>
    <w:rsid w:val="00C426B5"/>
    <w:rsid w:val="00C533F9"/>
    <w:rsid w:val="00C5395D"/>
    <w:rsid w:val="00C53D66"/>
    <w:rsid w:val="00C55A27"/>
    <w:rsid w:val="00C66F18"/>
    <w:rsid w:val="00C7107B"/>
    <w:rsid w:val="00C71580"/>
    <w:rsid w:val="00C7330F"/>
    <w:rsid w:val="00C7355C"/>
    <w:rsid w:val="00C872F1"/>
    <w:rsid w:val="00C97379"/>
    <w:rsid w:val="00CA255C"/>
    <w:rsid w:val="00CA5554"/>
    <w:rsid w:val="00CB6946"/>
    <w:rsid w:val="00CC059D"/>
    <w:rsid w:val="00CC5BE7"/>
    <w:rsid w:val="00CC7E54"/>
    <w:rsid w:val="00CD0591"/>
    <w:rsid w:val="00CD148B"/>
    <w:rsid w:val="00CD4E73"/>
    <w:rsid w:val="00D3721F"/>
    <w:rsid w:val="00D42536"/>
    <w:rsid w:val="00D43EF8"/>
    <w:rsid w:val="00D45BE0"/>
    <w:rsid w:val="00D46719"/>
    <w:rsid w:val="00D63067"/>
    <w:rsid w:val="00D7282A"/>
    <w:rsid w:val="00D766FE"/>
    <w:rsid w:val="00D767CF"/>
    <w:rsid w:val="00D77416"/>
    <w:rsid w:val="00D81AE6"/>
    <w:rsid w:val="00D82B11"/>
    <w:rsid w:val="00D85442"/>
    <w:rsid w:val="00D90DF8"/>
    <w:rsid w:val="00D93AFF"/>
    <w:rsid w:val="00D95414"/>
    <w:rsid w:val="00D96E97"/>
    <w:rsid w:val="00DC7734"/>
    <w:rsid w:val="00DE7CF4"/>
    <w:rsid w:val="00E1154D"/>
    <w:rsid w:val="00E33729"/>
    <w:rsid w:val="00E347A9"/>
    <w:rsid w:val="00E427AD"/>
    <w:rsid w:val="00E446FC"/>
    <w:rsid w:val="00E45F97"/>
    <w:rsid w:val="00E55791"/>
    <w:rsid w:val="00E57C82"/>
    <w:rsid w:val="00E61F5D"/>
    <w:rsid w:val="00E63FBA"/>
    <w:rsid w:val="00E65362"/>
    <w:rsid w:val="00E771AF"/>
    <w:rsid w:val="00E85319"/>
    <w:rsid w:val="00E90E4A"/>
    <w:rsid w:val="00E924CC"/>
    <w:rsid w:val="00EA5446"/>
    <w:rsid w:val="00EA7AFE"/>
    <w:rsid w:val="00EA7E25"/>
    <w:rsid w:val="00EB3E8C"/>
    <w:rsid w:val="00EC151A"/>
    <w:rsid w:val="00EC5B46"/>
    <w:rsid w:val="00EE03F8"/>
    <w:rsid w:val="00EE13A0"/>
    <w:rsid w:val="00EF0BCE"/>
    <w:rsid w:val="00F17096"/>
    <w:rsid w:val="00F20BDB"/>
    <w:rsid w:val="00F43E34"/>
    <w:rsid w:val="00F52355"/>
    <w:rsid w:val="00F56EF2"/>
    <w:rsid w:val="00F807D6"/>
    <w:rsid w:val="00F85AEC"/>
    <w:rsid w:val="00F92C6E"/>
    <w:rsid w:val="00F941C8"/>
    <w:rsid w:val="00F971B0"/>
    <w:rsid w:val="00FB7681"/>
    <w:rsid w:val="00FC1C9E"/>
    <w:rsid w:val="00FC2BA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5:chartTrackingRefBased/>
  <w15:docId w15:val="{7D00372F-AC48-4C0A-A4C2-F286579D4B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A17037"/>
    <w:pPr>
      <w:spacing w:before="60" w:after="120"/>
    </w:pPr>
  </w:style>
  <w:style w:type="paragraph" w:styleId="Heading1">
    <w:name w:val="heading 1"/>
    <w:basedOn w:val="Normal"/>
    <w:next w:val="Normal"/>
    <w:link w:val="Heading1Char"/>
    <w:uiPriority w:val="9"/>
    <w:qFormat/>
    <w:pPr>
      <w:keepNext/>
      <w:keepLines/>
      <w:spacing w:before="280"/>
      <w:jc w:val="center"/>
      <w:outlineLvl w:val="0"/>
    </w:pPr>
    <w:rPr>
      <w:rFonts w:eastAsia="Times New Roman"/>
      <w:b/>
      <w:bCs/>
      <w:color w:val="000000"/>
      <w:sz w:val="40"/>
      <w:szCs w:val="28"/>
    </w:rPr>
  </w:style>
  <w:style w:type="paragraph" w:styleId="Heading2">
    <w:name w:val="heading 2"/>
    <w:basedOn w:val="Normal"/>
    <w:next w:val="Normal"/>
    <w:link w:val="Heading2Char"/>
    <w:uiPriority w:val="9"/>
    <w:unhideWhenUsed/>
    <w:qFormat/>
    <w:pPr>
      <w:keepNext/>
      <w:keepLines/>
      <w:spacing w:before="200"/>
      <w:outlineLvl w:val="1"/>
    </w:pPr>
    <w:rPr>
      <w:rFonts w:eastAsia="Times New Roman"/>
      <w:b/>
      <w:bCs/>
      <w:sz w:val="30"/>
      <w:szCs w:val="26"/>
    </w:rPr>
  </w:style>
  <w:style w:type="paragraph" w:styleId="Heading3">
    <w:name w:val="heading 3"/>
    <w:basedOn w:val="Normal"/>
    <w:next w:val="Normal"/>
    <w:link w:val="Heading3Char"/>
    <w:uiPriority w:val="9"/>
    <w:unhideWhenUsed/>
    <w:qFormat/>
    <w:pPr>
      <w:keepNext/>
      <w:keepLines/>
      <w:outlineLvl w:val="2"/>
    </w:pPr>
    <w:rPr>
      <w:rFonts w:eastAsia="Times New Roman"/>
      <w:b/>
      <w:bCs/>
      <w:sz w:val="26"/>
    </w:rPr>
  </w:style>
  <w:style w:type="paragraph" w:styleId="Heading4">
    <w:name w:val="heading 4"/>
    <w:basedOn w:val="Normal"/>
    <w:next w:val="Normal"/>
    <w:link w:val="Heading4Char"/>
    <w:uiPriority w:val="9"/>
    <w:unhideWhenUsed/>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eastAsia="Times New Roman"/>
      <w:b/>
      <w:bCs/>
      <w:color w:val="000000"/>
      <w:sz w:val="40"/>
      <w:szCs w:val="28"/>
      <w:lang w:eastAsia="en-US"/>
    </w:rPr>
  </w:style>
  <w:style w:type="character" w:customStyle="1" w:styleId="Heading2Char">
    <w:name w:val="Heading 2 Char"/>
    <w:link w:val="Heading2"/>
    <w:uiPriority w:val="9"/>
    <w:rPr>
      <w:rFonts w:eastAsia="Times New Roman"/>
      <w:b/>
      <w:bCs/>
      <w:sz w:val="30"/>
      <w:szCs w:val="26"/>
      <w:lang w:eastAsia="en-US"/>
    </w:rPr>
  </w:style>
  <w:style w:type="character" w:customStyle="1" w:styleId="Heading3Char">
    <w:name w:val="Heading 3 Char"/>
    <w:link w:val="Heading3"/>
    <w:uiPriority w:val="9"/>
    <w:rPr>
      <w:rFonts w:eastAsia="Times New Roman"/>
      <w:b/>
      <w:bCs/>
      <w:sz w:val="26"/>
      <w:szCs w:val="22"/>
      <w:lang w:eastAsia="en-U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5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3"/>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color w:val="404A29"/>
      <w:sz w:val="28"/>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C71580"/>
    <w:pPr>
      <w:spacing w:before="120" w:after="120"/>
    </w:pPr>
    <w:rPr>
      <w:rFonts w:eastAsia="Times New Roman"/>
      <w:szCs w:val="24"/>
      <w:lang w:eastAsia="en-US"/>
    </w:rPr>
  </w:style>
  <w:style w:type="character" w:customStyle="1" w:styleId="BodyTextChar">
    <w:name w:val="Body Text Char"/>
    <w:link w:val="BodyText"/>
    <w:rsid w:val="00C71580"/>
    <w:rPr>
      <w:rFonts w:eastAsia="Times New Roman"/>
      <w:szCs w:val="24"/>
      <w:lang w:eastAsia="en-US"/>
    </w:rPr>
  </w:style>
  <w:style w:type="paragraph" w:styleId="ListBullet">
    <w:name w:val="List Bullet"/>
    <w:basedOn w:val="BodyText"/>
    <w:link w:val="ListBulletChar"/>
    <w:qFormat/>
    <w:pPr>
      <w:numPr>
        <w:numId w:val="5"/>
      </w:numPr>
      <w:spacing w:after="60"/>
      <w:ind w:left="284" w:hanging="284"/>
    </w:pPr>
  </w:style>
  <w:style w:type="paragraph" w:customStyle="1" w:styleId="DocumentType-Reference">
    <w:name w:val="Document Type - Reference"/>
    <w:basedOn w:val="Normal"/>
    <w:link w:val="DocumentType-ReferenceChar"/>
    <w:rsid w:val="00BE16D2"/>
    <w:pPr>
      <w:widowControl w:val="0"/>
      <w:shd w:val="clear" w:color="auto" w:fill="00759A"/>
      <w:tabs>
        <w:tab w:val="center" w:pos="4465"/>
      </w:tabs>
      <w:spacing w:before="240" w:after="60"/>
      <w:jc w:val="center"/>
    </w:pPr>
    <w:rPr>
      <w:rFonts w:ascii="Cambria" w:eastAsia="Times New Roman" w:hAnsi="Cambria"/>
      <w:b/>
      <w:color w:val="FFFFFF" w:themeColor="background1"/>
      <w:sz w:val="48"/>
      <w:szCs w:val="20"/>
    </w:rPr>
  </w:style>
  <w:style w:type="character" w:customStyle="1" w:styleId="DocumentType-ReferenceChar">
    <w:name w:val="Document Type - Reference Char"/>
    <w:link w:val="DocumentType-Reference"/>
    <w:rsid w:val="00BE16D2"/>
    <w:rPr>
      <w:rFonts w:ascii="Cambria" w:eastAsia="Times New Roman" w:hAnsi="Cambria"/>
      <w:b/>
      <w:color w:val="FFFFFF" w:themeColor="background1"/>
      <w:sz w:val="48"/>
      <w:szCs w:val="20"/>
      <w:shd w:val="clear" w:color="auto" w:fill="00759A"/>
    </w:rPr>
  </w:style>
  <w:style w:type="paragraph" w:customStyle="1" w:styleId="Tableheadings">
    <w:name w:val="Table headings"/>
    <w:basedOn w:val="Normal"/>
    <w:qFormat/>
    <w:rsid w:val="0083751F"/>
    <w:rPr>
      <w:b/>
      <w:color w:val="FFFFFF"/>
    </w:rPr>
  </w:style>
  <w:style w:type="character" w:customStyle="1" w:styleId="ListBulletChar">
    <w:name w:val="List Bullet Char"/>
    <w:basedOn w:val="BodyTextChar"/>
    <w:link w:val="ListBullet"/>
    <w:rPr>
      <w:rFonts w:eastAsia="Times New Roman"/>
      <w:sz w:val="22"/>
      <w:szCs w:val="24"/>
      <w:lang w:eastAsia="en-US"/>
    </w:rPr>
  </w:style>
  <w:style w:type="character" w:styleId="CommentReference">
    <w:name w:val="annotation reference"/>
    <w:uiPriority w:val="99"/>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link w:val="CommentText"/>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1A5531"/>
    <w:pPr>
      <w:tabs>
        <w:tab w:val="right" w:leader="dot" w:pos="9016"/>
      </w:tabs>
      <w:spacing w:after="100"/>
      <w:ind w:left="221"/>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8064BA"/>
    <w:rPr>
      <w:color w:val="808080"/>
    </w:rPr>
  </w:style>
  <w:style w:type="table" w:styleId="GridTable4">
    <w:name w:val="Grid Table 4"/>
    <w:basedOn w:val="TableNormal"/>
    <w:uiPriority w:val="49"/>
    <w:rsid w:val="00BA4C9F"/>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styleId="Revision">
    <w:name w:val="Revision"/>
    <w:hidden/>
    <w:uiPriority w:val="99"/>
    <w:semiHidden/>
    <w:rsid w:val="00AC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4912982">
      <w:bodyDiv w:val="1"/>
      <w:marLeft w:val="0"/>
      <w:marRight w:val="0"/>
      <w:marTop w:val="0"/>
      <w:marBottom w:val="0"/>
      <w:divBdr>
        <w:top w:val="none" w:sz="0" w:space="0" w:color="auto"/>
        <w:left w:val="none" w:sz="0" w:space="0" w:color="auto"/>
        <w:bottom w:val="none" w:sz="0" w:space="0" w:color="auto"/>
        <w:right w:val="none" w:sz="0" w:space="0" w:color="auto"/>
      </w:divBdr>
    </w:div>
    <w:div w:id="131484639">
      <w:bodyDiv w:val="1"/>
      <w:marLeft w:val="0"/>
      <w:marRight w:val="0"/>
      <w:marTop w:val="0"/>
      <w:marBottom w:val="0"/>
      <w:divBdr>
        <w:top w:val="none" w:sz="0" w:space="0" w:color="auto"/>
        <w:left w:val="none" w:sz="0" w:space="0" w:color="auto"/>
        <w:bottom w:val="none" w:sz="0" w:space="0" w:color="auto"/>
        <w:right w:val="none" w:sz="0" w:space="0" w:color="auto"/>
      </w:divBdr>
    </w:div>
    <w:div w:id="664015970">
      <w:bodyDiv w:val="1"/>
      <w:marLeft w:val="0"/>
      <w:marRight w:val="0"/>
      <w:marTop w:val="0"/>
      <w:marBottom w:val="0"/>
      <w:divBdr>
        <w:top w:val="none" w:sz="0" w:space="0" w:color="auto"/>
        <w:left w:val="none" w:sz="0" w:space="0" w:color="auto"/>
        <w:bottom w:val="none" w:sz="0" w:space="0" w:color="auto"/>
        <w:right w:val="none" w:sz="0" w:space="0" w:color="auto"/>
      </w:divBdr>
    </w:div>
    <w:div w:id="965089508">
      <w:bodyDiv w:val="1"/>
      <w:marLeft w:val="0"/>
      <w:marRight w:val="0"/>
      <w:marTop w:val="0"/>
      <w:marBottom w:val="0"/>
      <w:divBdr>
        <w:top w:val="none" w:sz="0" w:space="0" w:color="auto"/>
        <w:left w:val="none" w:sz="0" w:space="0" w:color="auto"/>
        <w:bottom w:val="none" w:sz="0" w:space="0" w:color="auto"/>
        <w:right w:val="none" w:sz="0" w:space="0" w:color="auto"/>
      </w:divBdr>
    </w:div>
    <w:div w:id="1255625229">
      <w:bodyDiv w:val="1"/>
      <w:marLeft w:val="0"/>
      <w:marRight w:val="0"/>
      <w:marTop w:val="0"/>
      <w:marBottom w:val="0"/>
      <w:divBdr>
        <w:top w:val="none" w:sz="0" w:space="0" w:color="auto"/>
        <w:left w:val="none" w:sz="0" w:space="0" w:color="auto"/>
        <w:bottom w:val="none" w:sz="0" w:space="0" w:color="auto"/>
        <w:right w:val="none" w:sz="0" w:space="0" w:color="auto"/>
      </w:divBdr>
    </w:div>
    <w:div w:id="1366641080">
      <w:bodyDiv w:val="1"/>
      <w:marLeft w:val="0"/>
      <w:marRight w:val="0"/>
      <w:marTop w:val="0"/>
      <w:marBottom w:val="0"/>
      <w:divBdr>
        <w:top w:val="none" w:sz="0" w:space="0" w:color="auto"/>
        <w:left w:val="none" w:sz="0" w:space="0" w:color="auto"/>
        <w:bottom w:val="none" w:sz="0" w:space="0" w:color="auto"/>
        <w:right w:val="none" w:sz="0" w:space="0" w:color="auto"/>
      </w:divBdr>
    </w:div>
    <w:div w:id="1497920650">
      <w:bodyDiv w:val="1"/>
      <w:marLeft w:val="0"/>
      <w:marRight w:val="0"/>
      <w:marTop w:val="0"/>
      <w:marBottom w:val="0"/>
      <w:divBdr>
        <w:top w:val="none" w:sz="0" w:space="0" w:color="auto"/>
        <w:left w:val="none" w:sz="0" w:space="0" w:color="auto"/>
        <w:bottom w:val="none" w:sz="0" w:space="0" w:color="auto"/>
        <w:right w:val="none" w:sz="0" w:space="0" w:color="auto"/>
      </w:divBdr>
    </w:div>
    <w:div w:id="1682970765">
      <w:bodyDiv w:val="1"/>
      <w:marLeft w:val="0"/>
      <w:marRight w:val="0"/>
      <w:marTop w:val="0"/>
      <w:marBottom w:val="0"/>
      <w:divBdr>
        <w:top w:val="none" w:sz="0" w:space="0" w:color="auto"/>
        <w:left w:val="none" w:sz="0" w:space="0" w:color="auto"/>
        <w:bottom w:val="none" w:sz="0" w:space="0" w:color="auto"/>
        <w:right w:val="none" w:sz="0" w:space="0" w:color="auto"/>
      </w:divBdr>
    </w:div>
    <w:div w:id="1743796052">
      <w:bodyDiv w:val="1"/>
      <w:marLeft w:val="0"/>
      <w:marRight w:val="0"/>
      <w:marTop w:val="0"/>
      <w:marBottom w:val="0"/>
      <w:divBdr>
        <w:top w:val="none" w:sz="0" w:space="0" w:color="auto"/>
        <w:left w:val="none" w:sz="0" w:space="0" w:color="auto"/>
        <w:bottom w:val="none" w:sz="0" w:space="0" w:color="auto"/>
        <w:right w:val="none" w:sz="0" w:space="0" w:color="auto"/>
      </w:divBdr>
      <w:divsChild>
        <w:div w:id="737477501">
          <w:marLeft w:val="0"/>
          <w:marRight w:val="0"/>
          <w:marTop w:val="0"/>
          <w:marBottom w:val="0"/>
          <w:divBdr>
            <w:top w:val="none" w:sz="0" w:space="0" w:color="auto"/>
            <w:left w:val="none" w:sz="0" w:space="0" w:color="auto"/>
            <w:bottom w:val="none" w:sz="0" w:space="0" w:color="auto"/>
            <w:right w:val="none" w:sz="0" w:space="0" w:color="auto"/>
          </w:divBdr>
          <w:divsChild>
            <w:div w:id="1959944116">
              <w:marLeft w:val="2"/>
              <w:marRight w:val="0"/>
              <w:marTop w:val="0"/>
              <w:marBottom w:val="0"/>
              <w:divBdr>
                <w:top w:val="none" w:sz="0" w:space="0" w:color="auto"/>
                <w:left w:val="single" w:sz="4" w:space="0" w:color="CCCCCC"/>
                <w:bottom w:val="none" w:sz="0" w:space="0" w:color="auto"/>
                <w:right w:val="single" w:sz="4" w:space="0" w:color="CCCCCC"/>
              </w:divBdr>
              <w:divsChild>
                <w:div w:id="1096827535">
                  <w:marLeft w:val="0"/>
                  <w:marRight w:val="0"/>
                  <w:marTop w:val="0"/>
                  <w:marBottom w:val="0"/>
                  <w:divBdr>
                    <w:top w:val="none" w:sz="0" w:space="0" w:color="auto"/>
                    <w:left w:val="none" w:sz="0" w:space="0" w:color="auto"/>
                    <w:bottom w:val="none" w:sz="0" w:space="0" w:color="auto"/>
                    <w:right w:val="none" w:sz="0" w:space="0" w:color="auto"/>
                  </w:divBdr>
                  <w:divsChild>
                    <w:div w:id="389578686">
                      <w:marLeft w:val="0"/>
                      <w:marRight w:val="0"/>
                      <w:marTop w:val="0"/>
                      <w:marBottom w:val="0"/>
                      <w:divBdr>
                        <w:top w:val="none" w:sz="0" w:space="0" w:color="auto"/>
                        <w:left w:val="none" w:sz="0" w:space="0" w:color="auto"/>
                        <w:bottom w:val="none" w:sz="0" w:space="0" w:color="auto"/>
                        <w:right w:val="none" w:sz="0" w:space="0" w:color="auto"/>
                      </w:divBdr>
                      <w:divsChild>
                        <w:div w:id="11600734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63546440">
      <w:bodyDiv w:val="1"/>
      <w:marLeft w:val="0"/>
      <w:marRight w:val="0"/>
      <w:marTop w:val="0"/>
      <w:marBottom w:val="0"/>
      <w:divBdr>
        <w:top w:val="none" w:sz="0" w:space="0" w:color="auto"/>
        <w:left w:val="none" w:sz="0" w:space="0" w:color="auto"/>
        <w:bottom w:val="none" w:sz="0" w:space="0" w:color="auto"/>
        <w:right w:val="none" w:sz="0" w:space="0" w:color="auto"/>
      </w:divBdr>
    </w:div>
    <w:div w:id="209617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agriculture.gov.au/import/goods/plant-products/stockfeed-supplements/audit-questionnaires"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CBC28665559E472E867196475F7F2BCC"/>
        <w:category>
          <w:name w:val="General"/>
          <w:gallery w:val="placeholder"/>
        </w:category>
        <w:types>
          <w:type w:val="bbPlcHdr"/>
        </w:types>
        <w:behaviors>
          <w:behavior w:val="content"/>
        </w:behaviors>
        <w:guid w:val="{B519E723-18DC-467E-B08C-3652FA2C570A}"/>
      </w:docPartPr>
      <w:docPartBody>
        <w:p w:rsidR="006E2E42" w:rsidRDefault="007F49A4">
          <w:r w:rsidRPr="00A06339">
            <w:rPr>
              <w:rStyle w:val="PlaceholderText"/>
            </w:rPr>
            <w:t>[Title]</w:t>
          </w:r>
        </w:p>
      </w:docPartBody>
    </w:docPart>
    <w:docPart>
      <w:docPartPr>
        <w:name w:val="7DCE3CBB6C2342F58F9FEEDA44DA0630"/>
        <w:category>
          <w:name w:val="General"/>
          <w:gallery w:val="placeholder"/>
        </w:category>
        <w:types>
          <w:type w:val="bbPlcHdr"/>
        </w:types>
        <w:behaviors>
          <w:behavior w:val="content"/>
        </w:behaviors>
        <w:guid w:val="{9BCCF688-D262-4BB7-9DA9-F450A0C1F49F}"/>
      </w:docPartPr>
      <w:docPartBody>
        <w:p w:rsidR="006E2E42" w:rsidRDefault="007F49A4">
          <w:r w:rsidRPr="00A06339">
            <w:rPr>
              <w:rStyle w:val="PlaceholderText"/>
            </w:rPr>
            <w:t>[Revision Number]</w:t>
          </w:r>
        </w:p>
      </w:docPartBody>
    </w:docPart>
    <w:docPart>
      <w:docPartPr>
        <w:name w:val="68E81976FFE54E18A51F9E5670C9A0A1"/>
        <w:category>
          <w:name w:val="General"/>
          <w:gallery w:val="placeholder"/>
        </w:category>
        <w:types>
          <w:type w:val="bbPlcHdr"/>
        </w:types>
        <w:behaviors>
          <w:behavior w:val="content"/>
        </w:behaviors>
        <w:guid w:val="{6720E2E9-9958-4E3B-BF8B-3B14CCE75899}"/>
      </w:docPartPr>
      <w:docPartBody>
        <w:p w:rsidR="00CD4FC8" w:rsidRDefault="00374854" w:rsidP="00374854">
          <w:pPr>
            <w:pStyle w:val="68E81976FFE54E18A51F9E5670C9A0A1"/>
          </w:pPr>
          <w:r w:rsidRPr="00EA3B90">
            <w:rPr>
              <w:rStyle w:val="PlaceholderText"/>
            </w:rPr>
            <w:t>[Date published]</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9A4"/>
    <w:rsid w:val="00061FC0"/>
    <w:rsid w:val="000936C1"/>
    <w:rsid w:val="00290E71"/>
    <w:rsid w:val="00374854"/>
    <w:rsid w:val="00472D28"/>
    <w:rsid w:val="006E2E42"/>
    <w:rsid w:val="007E147D"/>
    <w:rsid w:val="007F49A4"/>
    <w:rsid w:val="008158FF"/>
    <w:rsid w:val="00C04F78"/>
    <w:rsid w:val="00CD4FC8"/>
    <w:rsid w:val="00E63B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F49A4"/>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74854"/>
    <w:rPr>
      <w:color w:val="808080"/>
    </w:rPr>
  </w:style>
  <w:style w:type="paragraph" w:customStyle="1" w:styleId="6E05686719804E49B3CD01E1027A2D69">
    <w:name w:val="6E05686719804E49B3CD01E1027A2D69"/>
    <w:rsid w:val="00374854"/>
  </w:style>
  <w:style w:type="paragraph" w:customStyle="1" w:styleId="68E81976FFE54E18A51F9E5670C9A0A1">
    <w:name w:val="68E81976FFE54E18A51F9E5670C9A0A1"/>
    <w:rsid w:val="00374854"/>
  </w:style>
  <w:style w:type="paragraph" w:customStyle="1" w:styleId="B42050223ACE474799D311F9F060D80A">
    <w:name w:val="B42050223ACE474799D311F9F060D80A"/>
    <w:rsid w:val="007E147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F5D75DA-F37D-441A-BC51-5230C3FE227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8FB7720-EB04-4A2B-BB6E-94A46841856A}">
  <ds:schemaRefs>
    <ds:schemaRef ds:uri="http://schemas.microsoft.com/sharepoint/v3/contenttype/forms"/>
  </ds:schemaRefs>
</ds:datastoreItem>
</file>

<file path=customXml/itemProps3.xml><?xml version="1.0" encoding="utf-8"?>
<ds:datastoreItem xmlns:ds="http://schemas.openxmlformats.org/officeDocument/2006/customXml" ds:itemID="{F23BE434-2E37-426B-BC4E-040890D26E65}">
  <ds:schemaRefs>
    <ds:schemaRef ds:uri="http://purl.org/dc/dcmitype/"/>
    <ds:schemaRef ds:uri="http://purl.org/dc/elements/1.1/"/>
    <ds:schemaRef ds:uri="http://schemas.microsoft.com/office/2006/metadata/properties"/>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schemas.microsoft.com/sharepoint/v3/fields"/>
    <ds:schemaRef ds:uri="http://www.w3.org/XML/1998/namespace"/>
  </ds:schemaRefs>
</ds:datastoreItem>
</file>

<file path=customXml/itemProps4.xml><?xml version="1.0" encoding="utf-8"?>
<ds:datastoreItem xmlns:ds="http://schemas.openxmlformats.org/officeDocument/2006/customXml" ds:itemID="{32FB3202-9C14-4560-9D87-F730D9FFA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5</Pages>
  <Words>1180</Words>
  <Characters>6730</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Conveyance standards for imported bulk grain</vt:lpstr>
    </vt:vector>
  </TitlesOfParts>
  <Company>Department of Agriculture</Company>
  <LinksUpToDate>false</LinksUpToDate>
  <CharactersWithSpaces>7895</CharactersWithSpaces>
  <SharedDoc>false</SharedDoc>
  <HLinks>
    <vt:vector size="102" baseType="variant">
      <vt:variant>
        <vt:i4>65624</vt:i4>
      </vt:variant>
      <vt:variant>
        <vt:i4>102</vt:i4>
      </vt:variant>
      <vt:variant>
        <vt:i4>0</vt:i4>
      </vt:variant>
      <vt:variant>
        <vt:i4>5</vt:i4>
      </vt:variant>
      <vt:variant>
        <vt:lpwstr>http://mylink.agdaff.gov.au/team/IML/IML/Practice Statement Framework style guide.pdf</vt:lpwstr>
      </vt:variant>
      <vt:variant>
        <vt:lpwstr/>
      </vt:variant>
      <vt:variant>
        <vt:i4>65624</vt:i4>
      </vt:variant>
      <vt:variant>
        <vt:i4>96</vt:i4>
      </vt:variant>
      <vt:variant>
        <vt:i4>0</vt:i4>
      </vt:variant>
      <vt:variant>
        <vt:i4>5</vt:i4>
      </vt:variant>
      <vt:variant>
        <vt:lpwstr>http://mylink.agdaff.gov.au/team/IML/IML/Practice Statement Framework style guide.pdf</vt:lpwstr>
      </vt:variant>
      <vt:variant>
        <vt:lpwstr/>
      </vt:variant>
      <vt:variant>
        <vt:i4>1638454</vt:i4>
      </vt:variant>
      <vt:variant>
        <vt:i4>89</vt:i4>
      </vt:variant>
      <vt:variant>
        <vt:i4>0</vt:i4>
      </vt:variant>
      <vt:variant>
        <vt:i4>5</vt:i4>
      </vt:variant>
      <vt:variant>
        <vt:lpwstr/>
      </vt:variant>
      <vt:variant>
        <vt:lpwstr>_Toc407107581</vt:lpwstr>
      </vt:variant>
      <vt:variant>
        <vt:i4>1638454</vt:i4>
      </vt:variant>
      <vt:variant>
        <vt:i4>83</vt:i4>
      </vt:variant>
      <vt:variant>
        <vt:i4>0</vt:i4>
      </vt:variant>
      <vt:variant>
        <vt:i4>5</vt:i4>
      </vt:variant>
      <vt:variant>
        <vt:lpwstr/>
      </vt:variant>
      <vt:variant>
        <vt:lpwstr>_Toc407107580</vt:lpwstr>
      </vt:variant>
      <vt:variant>
        <vt:i4>1441846</vt:i4>
      </vt:variant>
      <vt:variant>
        <vt:i4>77</vt:i4>
      </vt:variant>
      <vt:variant>
        <vt:i4>0</vt:i4>
      </vt:variant>
      <vt:variant>
        <vt:i4>5</vt:i4>
      </vt:variant>
      <vt:variant>
        <vt:lpwstr/>
      </vt:variant>
      <vt:variant>
        <vt:lpwstr>_Toc407107579</vt:lpwstr>
      </vt:variant>
      <vt:variant>
        <vt:i4>1441846</vt:i4>
      </vt:variant>
      <vt:variant>
        <vt:i4>71</vt:i4>
      </vt:variant>
      <vt:variant>
        <vt:i4>0</vt:i4>
      </vt:variant>
      <vt:variant>
        <vt:i4>5</vt:i4>
      </vt:variant>
      <vt:variant>
        <vt:lpwstr/>
      </vt:variant>
      <vt:variant>
        <vt:lpwstr>_Toc407107578</vt:lpwstr>
      </vt:variant>
      <vt:variant>
        <vt:i4>1441846</vt:i4>
      </vt:variant>
      <vt:variant>
        <vt:i4>65</vt:i4>
      </vt:variant>
      <vt:variant>
        <vt:i4>0</vt:i4>
      </vt:variant>
      <vt:variant>
        <vt:i4>5</vt:i4>
      </vt:variant>
      <vt:variant>
        <vt:lpwstr/>
      </vt:variant>
      <vt:variant>
        <vt:lpwstr>_Toc407107577</vt:lpwstr>
      </vt:variant>
      <vt:variant>
        <vt:i4>1441846</vt:i4>
      </vt:variant>
      <vt:variant>
        <vt:i4>59</vt:i4>
      </vt:variant>
      <vt:variant>
        <vt:i4>0</vt:i4>
      </vt:variant>
      <vt:variant>
        <vt:i4>5</vt:i4>
      </vt:variant>
      <vt:variant>
        <vt:lpwstr/>
      </vt:variant>
      <vt:variant>
        <vt:lpwstr>_Toc407107576</vt:lpwstr>
      </vt:variant>
      <vt:variant>
        <vt:i4>1441846</vt:i4>
      </vt:variant>
      <vt:variant>
        <vt:i4>53</vt:i4>
      </vt:variant>
      <vt:variant>
        <vt:i4>0</vt:i4>
      </vt:variant>
      <vt:variant>
        <vt:i4>5</vt:i4>
      </vt:variant>
      <vt:variant>
        <vt:lpwstr/>
      </vt:variant>
      <vt:variant>
        <vt:lpwstr>_Toc407107575</vt:lpwstr>
      </vt:variant>
      <vt:variant>
        <vt:i4>1441846</vt:i4>
      </vt:variant>
      <vt:variant>
        <vt:i4>47</vt:i4>
      </vt:variant>
      <vt:variant>
        <vt:i4>0</vt:i4>
      </vt:variant>
      <vt:variant>
        <vt:i4>5</vt:i4>
      </vt:variant>
      <vt:variant>
        <vt:lpwstr/>
      </vt:variant>
      <vt:variant>
        <vt:lpwstr>_Toc407107574</vt:lpwstr>
      </vt:variant>
      <vt:variant>
        <vt:i4>1441846</vt:i4>
      </vt:variant>
      <vt:variant>
        <vt:i4>41</vt:i4>
      </vt:variant>
      <vt:variant>
        <vt:i4>0</vt:i4>
      </vt:variant>
      <vt:variant>
        <vt:i4>5</vt:i4>
      </vt:variant>
      <vt:variant>
        <vt:lpwstr/>
      </vt:variant>
      <vt:variant>
        <vt:lpwstr>_Toc407107573</vt:lpwstr>
      </vt:variant>
      <vt:variant>
        <vt:i4>1441846</vt:i4>
      </vt:variant>
      <vt:variant>
        <vt:i4>35</vt:i4>
      </vt:variant>
      <vt:variant>
        <vt:i4>0</vt:i4>
      </vt:variant>
      <vt:variant>
        <vt:i4>5</vt:i4>
      </vt:variant>
      <vt:variant>
        <vt:lpwstr/>
      </vt:variant>
      <vt:variant>
        <vt:lpwstr>_Toc407107572</vt:lpwstr>
      </vt:variant>
      <vt:variant>
        <vt:i4>1441846</vt:i4>
      </vt:variant>
      <vt:variant>
        <vt:i4>29</vt:i4>
      </vt:variant>
      <vt:variant>
        <vt:i4>0</vt:i4>
      </vt:variant>
      <vt:variant>
        <vt:i4>5</vt:i4>
      </vt:variant>
      <vt:variant>
        <vt:lpwstr/>
      </vt:variant>
      <vt:variant>
        <vt:lpwstr>_Toc407107571</vt:lpwstr>
      </vt:variant>
      <vt:variant>
        <vt:i4>1441846</vt:i4>
      </vt:variant>
      <vt:variant>
        <vt:i4>23</vt:i4>
      </vt:variant>
      <vt:variant>
        <vt:i4>0</vt:i4>
      </vt:variant>
      <vt:variant>
        <vt:i4>5</vt:i4>
      </vt:variant>
      <vt:variant>
        <vt:lpwstr/>
      </vt:variant>
      <vt:variant>
        <vt:lpwstr>_Toc407107570</vt:lpwstr>
      </vt:variant>
      <vt:variant>
        <vt:i4>1507382</vt:i4>
      </vt:variant>
      <vt:variant>
        <vt:i4>17</vt:i4>
      </vt:variant>
      <vt:variant>
        <vt:i4>0</vt:i4>
      </vt:variant>
      <vt:variant>
        <vt:i4>5</vt:i4>
      </vt:variant>
      <vt:variant>
        <vt:lpwstr/>
      </vt:variant>
      <vt:variant>
        <vt:lpwstr>_Toc407107569</vt:lpwstr>
      </vt:variant>
      <vt:variant>
        <vt:i4>1507382</vt:i4>
      </vt:variant>
      <vt:variant>
        <vt:i4>11</vt:i4>
      </vt:variant>
      <vt:variant>
        <vt:i4>0</vt:i4>
      </vt:variant>
      <vt:variant>
        <vt:i4>5</vt:i4>
      </vt:variant>
      <vt:variant>
        <vt:lpwstr/>
      </vt:variant>
      <vt:variant>
        <vt:lpwstr>_Toc407107568</vt:lpwstr>
      </vt:variant>
      <vt:variant>
        <vt:i4>5439568</vt:i4>
      </vt:variant>
      <vt:variant>
        <vt:i4>2585</vt:i4>
      </vt:variant>
      <vt:variant>
        <vt:i4>1026</vt:i4>
      </vt:variant>
      <vt:variant>
        <vt:i4>4</vt:i4>
      </vt:variant>
      <vt:variant>
        <vt:lpwstr>http://mylink.agdaff.gov.au/Comms/PrintPub/Logos/Departmental Logos/Department of Agriculture/Left Aligned/Master Inline-TIF.tif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Conveyance standards for imported bulk grain</dc:title>
  <dc:subject/>
  <dc:creator>Department of Agriculture</dc:creator>
  <cp:keywords/>
  <cp:lastModifiedBy>Dang, Van</cp:lastModifiedBy>
  <cp:revision>9</cp:revision>
  <cp:lastPrinted>2019-06-07T03:12:00Z</cp:lastPrinted>
  <dcterms:created xsi:type="dcterms:W3CDTF">2019-06-05T22:30:00Z</dcterms:created>
  <dcterms:modified xsi:type="dcterms:W3CDTF">2019-06-07T03:12:00Z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 No">
    <vt:lpwstr>4.00000000000000</vt:lpwstr>
  </property>
  <property fmtid="{D5CDD505-2E9C-101B-9397-08002B2CF9AE}" pid="3" name="ContentType">
    <vt:lpwstr>Document</vt:lpwstr>
  </property>
  <property fmtid="{D5CDD505-2E9C-101B-9397-08002B2CF9AE}" pid="4" name="ContentTypeId">
    <vt:lpwstr>0x01010078F6B24EF29B14488A4D3E054F39A21B</vt:lpwstr>
  </property>
  <property fmtid="{D5CDD505-2E9C-101B-9397-08002B2CF9AE}" pid="5" name="_dlc_DocIdItemGuid">
    <vt:lpwstr>1a13070c-4c9f-400a-955f-7ca74ff36b10</vt:lpwstr>
  </property>
  <property fmtid="{D5CDD505-2E9C-101B-9397-08002B2CF9AE}" pid="6" name="Entity">
    <vt:lpwstr>6;#Brightwater Care Group|5ab835ac-4b11-4ce4-b610-333d04e5f48f</vt:lpwstr>
  </property>
  <property fmtid="{D5CDD505-2E9C-101B-9397-08002B2CF9AE}" pid="7" name="CDMSDocumentType">
    <vt:lpwstr>119;#3.1 Reference|3f6e3ac3-4b14-47d9-844b-4f1a5b7aca54</vt:lpwstr>
  </property>
  <property fmtid="{D5CDD505-2E9C-101B-9397-08002B2CF9AE}" pid="8" name="Function1">
    <vt:lpwstr/>
  </property>
  <property fmtid="{D5CDD505-2E9C-101B-9397-08002B2CF9AE}" pid="9" name="BusinessService">
    <vt:lpwstr/>
  </property>
  <property fmtid="{D5CDD505-2E9C-101B-9397-08002B2CF9AE}" pid="10" name="Legislation">
    <vt:lpwstr/>
  </property>
  <property fmtid="{D5CDD505-2E9C-101B-9397-08002B2CF9AE}" pid="11" name="Activities">
    <vt:lpwstr/>
  </property>
  <property fmtid="{D5CDD505-2E9C-101B-9397-08002B2CF9AE}" pid="12" name="TopicPage">
    <vt:lpwstr>703;#+ Topic page not set|aa4be0e6-9dd0-4dbb-ba1f-5ae8412dff53</vt:lpwstr>
  </property>
  <property fmtid="{D5CDD505-2E9C-101B-9397-08002B2CF9AE}" pid="13" name="Systems">
    <vt:lpwstr/>
  </property>
  <property fmtid="{D5CDD505-2E9C-101B-9397-08002B2CF9AE}" pid="14" name="Section">
    <vt:lpwstr/>
  </property>
  <property fmtid="{D5CDD505-2E9C-101B-9397-08002B2CF9AE}" pid="15" name="Branch">
    <vt:lpwstr/>
  </property>
  <property fmtid="{D5CDD505-2E9C-101B-9397-08002B2CF9AE}" pid="16" name="Division">
    <vt:lpwstr/>
  </property>
  <property fmtid="{D5CDD505-2E9C-101B-9397-08002B2CF9AE}" pid="17" name="WorkflowCreationPath">
    <vt:lpwstr>680f5786-0236-4809-a685-d604790e1d93;11d59dd2-3299-4180-8ef3-432b590cfb81;</vt:lpwstr>
  </property>
  <property fmtid="{D5CDD505-2E9C-101B-9397-08002B2CF9AE}" pid="18" name="GUID">
    <vt:lpwstr>edc76249-879c-4fdd-8eb2-15af323ec3c4</vt:lpwstr>
  </property>
  <property fmtid="{D5CDD505-2E9C-101B-9397-08002B2CF9AE}" pid="19" name="WorkflowChangePath">
    <vt:lpwstr>97e1f8f7-7fe4-49d3-904d-1c9d7941122a,42;97e1f8f7-7fe4-49d3-904d-1c9d7941122a,46;97e1f8f7-7fe4-49d3-904d-1c9d7941122a,218;97e1f8f7-7fe4-49d3-904d-1c9d7941122a,224;97e1f8f7-7fe4-49d3-904d-1c9d7941122a,228;97e1f8f7-7fe4-49d3-904d-1c9d7941122a,230;97e1f8f7-7f</vt:lpwstr>
  </property>
</Properties>
</file>