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845F6" w14:textId="77777777" w:rsidR="003F6159" w:rsidRPr="003F6159" w:rsidRDefault="003F6159" w:rsidP="00245976">
      <w:pPr>
        <w:pStyle w:val="Heading1"/>
      </w:pPr>
      <w:r w:rsidRPr="003F6159">
        <w:t xml:space="preserve">Enhancing Australia’s systems for tracing agricultural </w:t>
      </w:r>
      <w:bookmarkStart w:id="0" w:name="_GoBack"/>
      <w:bookmarkEnd w:id="0"/>
      <w:r w:rsidRPr="003F6159">
        <w:t>production and products</w:t>
      </w:r>
    </w:p>
    <w:p w14:paraId="4200E521" w14:textId="77777777" w:rsidR="003F6159" w:rsidRPr="003F6159" w:rsidRDefault="003F6159" w:rsidP="007071F2">
      <w:pPr>
        <w:pStyle w:val="Author"/>
        <w:spacing w:before="240"/>
        <w:rPr>
          <w:lang w:val="es-ES"/>
        </w:rPr>
      </w:pPr>
      <w:proofErr w:type="spellStart"/>
      <w:r w:rsidRPr="003F6159">
        <w:rPr>
          <w:lang w:val="es-ES"/>
        </w:rPr>
        <w:t>Traceability</w:t>
      </w:r>
      <w:proofErr w:type="spellEnd"/>
      <w:r w:rsidRPr="003F6159">
        <w:rPr>
          <w:lang w:val="es-ES"/>
        </w:rPr>
        <w:t xml:space="preserve"> </w:t>
      </w:r>
      <w:proofErr w:type="spellStart"/>
      <w:r w:rsidRPr="003F6159">
        <w:rPr>
          <w:lang w:val="es-ES"/>
        </w:rPr>
        <w:t>Working</w:t>
      </w:r>
      <w:proofErr w:type="spellEnd"/>
      <w:r w:rsidRPr="003F6159">
        <w:rPr>
          <w:lang w:val="es-ES"/>
        </w:rPr>
        <w:t xml:space="preserve"> </w:t>
      </w:r>
      <w:proofErr w:type="spellStart"/>
      <w:r w:rsidRPr="003F6159">
        <w:rPr>
          <w:lang w:val="es-ES"/>
        </w:rPr>
        <w:t>Group</w:t>
      </w:r>
      <w:proofErr w:type="spellEnd"/>
    </w:p>
    <w:p w14:paraId="31E7B32E" w14:textId="4B2DCE4B" w:rsidR="0083418F" w:rsidRDefault="00AA752E">
      <w:pPr>
        <w:spacing w:after="0" w:line="240" w:lineRule="auto"/>
        <w:rPr>
          <w:sz w:val="18"/>
          <w:szCs w:val="18"/>
          <w:lang w:val="es-ES"/>
        </w:rPr>
      </w:pPr>
      <w:r>
        <w:rPr>
          <w:lang w:val="es-ES"/>
        </w:rPr>
        <w:pict w14:anchorId="674A0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5pt;height:309.05pt">
            <v:imagedata r:id="rId11" o:title="101246l"/>
          </v:shape>
        </w:pict>
      </w:r>
      <w:r w:rsidR="0083418F">
        <w:rPr>
          <w:lang w:val="es-ES"/>
        </w:rPr>
        <w:br w:type="page"/>
      </w:r>
    </w:p>
    <w:p w14:paraId="498FA28A" w14:textId="6A05F3F9" w:rsidR="003F6159" w:rsidRPr="003F6159" w:rsidRDefault="003F6159" w:rsidP="00245976">
      <w:pPr>
        <w:pStyle w:val="Normalsmall"/>
        <w:tabs>
          <w:tab w:val="left" w:pos="5655"/>
        </w:tabs>
      </w:pPr>
      <w:r w:rsidRPr="003F6159">
        <w:lastRenderedPageBreak/>
        <w:t>© Commonwealth of Australia 2018</w:t>
      </w:r>
    </w:p>
    <w:p w14:paraId="265B69EB" w14:textId="77777777" w:rsidR="003F6159" w:rsidRPr="003F6159" w:rsidRDefault="003F6159" w:rsidP="003F6159">
      <w:pPr>
        <w:spacing w:after="120"/>
        <w:rPr>
          <w:b/>
          <w:bCs/>
          <w:sz w:val="18"/>
          <w:szCs w:val="18"/>
        </w:rPr>
      </w:pPr>
      <w:r w:rsidRPr="003F6159">
        <w:rPr>
          <w:b/>
          <w:bCs/>
          <w:sz w:val="18"/>
          <w:szCs w:val="18"/>
        </w:rPr>
        <w:t>Ownership of intellectual property rights</w:t>
      </w:r>
    </w:p>
    <w:p w14:paraId="1BFB116C" w14:textId="77777777" w:rsidR="003F6159" w:rsidRPr="003F6159" w:rsidRDefault="003F6159" w:rsidP="003F6159">
      <w:pPr>
        <w:spacing w:after="120"/>
        <w:rPr>
          <w:sz w:val="18"/>
          <w:szCs w:val="18"/>
        </w:rPr>
      </w:pPr>
      <w:r w:rsidRPr="003F6159">
        <w:rPr>
          <w:sz w:val="18"/>
          <w:szCs w:val="18"/>
        </w:rPr>
        <w:t>Unless otherwise noted, copyright (and any other intellectual property rights, if any) in this publication is owned by the Commonwealth of Australia (referred to as the Commonwealth).</w:t>
      </w:r>
    </w:p>
    <w:p w14:paraId="09D826CB" w14:textId="77777777" w:rsidR="003F6159" w:rsidRPr="003F6159" w:rsidRDefault="003F6159" w:rsidP="003F6159">
      <w:pPr>
        <w:spacing w:after="120"/>
        <w:rPr>
          <w:b/>
          <w:bCs/>
          <w:sz w:val="18"/>
          <w:szCs w:val="18"/>
        </w:rPr>
      </w:pPr>
      <w:proofErr w:type="gramStart"/>
      <w:r w:rsidRPr="003F6159">
        <w:rPr>
          <w:b/>
          <w:bCs/>
          <w:sz w:val="18"/>
          <w:szCs w:val="18"/>
        </w:rPr>
        <w:t>Creative Commons</w:t>
      </w:r>
      <w:proofErr w:type="gramEnd"/>
      <w:r w:rsidRPr="003F6159">
        <w:rPr>
          <w:b/>
          <w:bCs/>
          <w:sz w:val="18"/>
          <w:szCs w:val="18"/>
        </w:rPr>
        <w:t xml:space="preserve"> licence</w:t>
      </w:r>
    </w:p>
    <w:p w14:paraId="4454E2F5" w14:textId="77777777" w:rsidR="003F6159" w:rsidRPr="003F6159" w:rsidRDefault="003F6159" w:rsidP="003F6159">
      <w:pPr>
        <w:spacing w:after="120"/>
        <w:rPr>
          <w:sz w:val="18"/>
          <w:szCs w:val="18"/>
        </w:rPr>
      </w:pPr>
      <w:r w:rsidRPr="003F6159">
        <w:rPr>
          <w:sz w:val="18"/>
          <w:szCs w:val="18"/>
        </w:rPr>
        <w:t xml:space="preserve">All material in this publication is licensed under a Creative </w:t>
      </w:r>
      <w:hyperlink r:id="rId12" w:history="1">
        <w:r w:rsidRPr="003F6159">
          <w:rPr>
            <w:color w:val="165788"/>
            <w:sz w:val="18"/>
            <w:szCs w:val="18"/>
            <w:u w:val="single"/>
          </w:rPr>
          <w:t>Commons Attribution 4.0 International Licence</w:t>
        </w:r>
      </w:hyperlink>
      <w:r w:rsidRPr="003F6159">
        <w:rPr>
          <w:sz w:val="18"/>
          <w:szCs w:val="18"/>
        </w:rPr>
        <w:t xml:space="preserve"> except content supplied by third parties, logos and the Commonwealth Coat of Arms.</w:t>
      </w:r>
    </w:p>
    <w:p w14:paraId="0793A71A" w14:textId="77777777" w:rsidR="003F6159" w:rsidRPr="003F6159" w:rsidRDefault="003F6159" w:rsidP="003F6159">
      <w:pPr>
        <w:spacing w:after="120"/>
        <w:rPr>
          <w:sz w:val="18"/>
          <w:szCs w:val="18"/>
        </w:rPr>
      </w:pPr>
      <w:r w:rsidRPr="003F6159">
        <w:rPr>
          <w:sz w:val="18"/>
          <w:szCs w:val="18"/>
        </w:rPr>
        <w:t xml:space="preserve">Inquiries about the licence and any use of this document should be emailed to </w:t>
      </w:r>
      <w:hyperlink r:id="rId13" w:history="1">
        <w:r w:rsidRPr="003F6159">
          <w:rPr>
            <w:color w:val="165788"/>
            <w:sz w:val="18"/>
            <w:szCs w:val="18"/>
            <w:u w:val="single"/>
          </w:rPr>
          <w:t>copyright@agriculture.gov.au</w:t>
        </w:r>
      </w:hyperlink>
      <w:r w:rsidRPr="003F6159">
        <w:rPr>
          <w:sz w:val="18"/>
          <w:szCs w:val="18"/>
        </w:rPr>
        <w:t>.</w:t>
      </w:r>
    </w:p>
    <w:p w14:paraId="467E389B" w14:textId="77777777" w:rsidR="003F6159" w:rsidRPr="003F6159" w:rsidRDefault="003F6159" w:rsidP="003F6159">
      <w:pPr>
        <w:spacing w:after="120"/>
        <w:rPr>
          <w:sz w:val="18"/>
          <w:szCs w:val="18"/>
        </w:rPr>
      </w:pPr>
      <w:r w:rsidRPr="003F6159">
        <w:rPr>
          <w:noProof/>
          <w:sz w:val="18"/>
          <w:szCs w:val="18"/>
          <w:lang w:eastAsia="en-AU"/>
        </w:rPr>
        <w:drawing>
          <wp:inline distT="0" distB="0" distL="0" distR="0" wp14:anchorId="610E5E95" wp14:editId="7F4F61E7">
            <wp:extent cx="724535" cy="255270"/>
            <wp:effectExtent l="19050" t="0" r="0" b="0"/>
            <wp:docPr id="3"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34E79EE" w14:textId="77777777" w:rsidR="003F6159" w:rsidRPr="003F6159" w:rsidRDefault="003F6159" w:rsidP="003F6159">
      <w:pPr>
        <w:spacing w:after="120"/>
        <w:rPr>
          <w:b/>
          <w:bCs/>
          <w:sz w:val="18"/>
          <w:szCs w:val="18"/>
        </w:rPr>
      </w:pPr>
      <w:r w:rsidRPr="003F6159">
        <w:rPr>
          <w:b/>
          <w:bCs/>
          <w:sz w:val="18"/>
          <w:szCs w:val="18"/>
        </w:rPr>
        <w:t>Cataloguing data</w:t>
      </w:r>
    </w:p>
    <w:p w14:paraId="24A8A7AF" w14:textId="77777777" w:rsidR="003F6159" w:rsidRPr="003F6159" w:rsidRDefault="003F6159" w:rsidP="003F6159">
      <w:pPr>
        <w:spacing w:after="120"/>
        <w:rPr>
          <w:sz w:val="18"/>
          <w:szCs w:val="18"/>
        </w:rPr>
      </w:pPr>
      <w:r w:rsidRPr="003F6159">
        <w:rPr>
          <w:sz w:val="18"/>
          <w:szCs w:val="18"/>
        </w:rPr>
        <w:t xml:space="preserve">This publication (and any material sourced from it) should be attributed as: </w:t>
      </w:r>
      <w:r w:rsidRPr="00767A44">
        <w:rPr>
          <w:sz w:val="18"/>
          <w:szCs w:val="18"/>
        </w:rPr>
        <w:t xml:space="preserve">Traceability Working Group, </w:t>
      </w:r>
      <w:r w:rsidRPr="00767A44">
        <w:rPr>
          <w:i/>
          <w:sz w:val="18"/>
          <w:szCs w:val="18"/>
        </w:rPr>
        <w:t>Enhancing</w:t>
      </w:r>
      <w:r w:rsidRPr="003F6159">
        <w:rPr>
          <w:i/>
          <w:sz w:val="18"/>
          <w:szCs w:val="18"/>
        </w:rPr>
        <w:t xml:space="preserve"> Australia’s systems for tracing agricultural production and products</w:t>
      </w:r>
      <w:r w:rsidRPr="003F6159">
        <w:rPr>
          <w:sz w:val="18"/>
          <w:szCs w:val="18"/>
        </w:rPr>
        <w:t>, Department of Agriculture and Water Resources, Canberra, October. CC BY 4.0.</w:t>
      </w:r>
    </w:p>
    <w:p w14:paraId="25646D65" w14:textId="33DE9EF4" w:rsidR="003F6159" w:rsidRPr="003F6159" w:rsidRDefault="0008444E" w:rsidP="003F6159">
      <w:pPr>
        <w:spacing w:after="120"/>
        <w:rPr>
          <w:sz w:val="18"/>
          <w:szCs w:val="18"/>
        </w:rPr>
      </w:pPr>
      <w:r>
        <w:rPr>
          <w:sz w:val="18"/>
          <w:szCs w:val="18"/>
        </w:rPr>
        <w:t xml:space="preserve">ISBN </w:t>
      </w:r>
      <w:r w:rsidRPr="0008444E">
        <w:rPr>
          <w:sz w:val="18"/>
          <w:szCs w:val="18"/>
        </w:rPr>
        <w:t xml:space="preserve">9781760031817 </w:t>
      </w:r>
      <w:r w:rsidR="003F6159" w:rsidRPr="0008444E">
        <w:rPr>
          <w:sz w:val="18"/>
          <w:szCs w:val="18"/>
        </w:rPr>
        <w:t>(online)</w:t>
      </w:r>
    </w:p>
    <w:p w14:paraId="18C5838D" w14:textId="7992E633" w:rsidR="003F6159" w:rsidRPr="003F6159" w:rsidRDefault="003F6159" w:rsidP="003F6159">
      <w:pPr>
        <w:spacing w:after="120"/>
        <w:rPr>
          <w:sz w:val="18"/>
          <w:szCs w:val="18"/>
        </w:rPr>
      </w:pPr>
      <w:r w:rsidRPr="003F6159">
        <w:rPr>
          <w:sz w:val="18"/>
          <w:szCs w:val="18"/>
        </w:rPr>
        <w:t xml:space="preserve">This publication is available at </w:t>
      </w:r>
      <w:r w:rsidR="007071F2" w:rsidRPr="007071F2">
        <w:rPr>
          <w:color w:val="165788"/>
          <w:sz w:val="18"/>
          <w:szCs w:val="18"/>
          <w:u w:val="single"/>
        </w:rPr>
        <w:t>http://www.agriculture.gov.au/market-access-trade/traceability-project/report</w:t>
      </w:r>
      <w:r w:rsidRPr="003F6159">
        <w:rPr>
          <w:sz w:val="18"/>
          <w:szCs w:val="18"/>
        </w:rPr>
        <w:t>.</w:t>
      </w:r>
    </w:p>
    <w:p w14:paraId="6C54731D" w14:textId="77777777" w:rsidR="003F6159" w:rsidRPr="003F6159" w:rsidRDefault="003F6159" w:rsidP="003F6159">
      <w:pPr>
        <w:spacing w:after="0"/>
        <w:rPr>
          <w:sz w:val="18"/>
          <w:szCs w:val="18"/>
        </w:rPr>
      </w:pPr>
      <w:r w:rsidRPr="003F6159">
        <w:rPr>
          <w:sz w:val="18"/>
          <w:szCs w:val="18"/>
        </w:rPr>
        <w:t>Department of Agriculture and Water Resources</w:t>
      </w:r>
    </w:p>
    <w:p w14:paraId="7ED116E4" w14:textId="77777777" w:rsidR="003F6159" w:rsidRPr="003F6159" w:rsidRDefault="003F6159" w:rsidP="003F6159">
      <w:pPr>
        <w:spacing w:after="0"/>
        <w:rPr>
          <w:sz w:val="18"/>
          <w:szCs w:val="18"/>
        </w:rPr>
      </w:pPr>
      <w:r w:rsidRPr="003F6159">
        <w:rPr>
          <w:sz w:val="18"/>
          <w:szCs w:val="18"/>
        </w:rPr>
        <w:t>GPO Box 858 Canberra ACT 2601</w:t>
      </w:r>
    </w:p>
    <w:p w14:paraId="366836AB" w14:textId="77777777" w:rsidR="003F6159" w:rsidRPr="003F6159" w:rsidRDefault="003F6159" w:rsidP="003F6159">
      <w:pPr>
        <w:spacing w:after="0"/>
        <w:rPr>
          <w:sz w:val="18"/>
          <w:szCs w:val="18"/>
        </w:rPr>
      </w:pPr>
      <w:r w:rsidRPr="003F6159">
        <w:rPr>
          <w:sz w:val="18"/>
          <w:szCs w:val="18"/>
        </w:rPr>
        <w:t>Telephone 1800 900 090</w:t>
      </w:r>
    </w:p>
    <w:p w14:paraId="5706121D" w14:textId="77777777" w:rsidR="003F6159" w:rsidRPr="003F6159" w:rsidRDefault="003F6159" w:rsidP="003F6159">
      <w:pPr>
        <w:spacing w:after="120"/>
        <w:rPr>
          <w:sz w:val="18"/>
          <w:szCs w:val="18"/>
        </w:rPr>
      </w:pPr>
      <w:r w:rsidRPr="003F6159">
        <w:rPr>
          <w:sz w:val="18"/>
          <w:szCs w:val="18"/>
        </w:rPr>
        <w:t xml:space="preserve">Web </w:t>
      </w:r>
      <w:hyperlink r:id="rId15" w:history="1">
        <w:r w:rsidRPr="003F6159">
          <w:rPr>
            <w:color w:val="165788"/>
            <w:sz w:val="18"/>
            <w:szCs w:val="18"/>
            <w:u w:val="single"/>
          </w:rPr>
          <w:t>agriculture.gov.au</w:t>
        </w:r>
      </w:hyperlink>
    </w:p>
    <w:p w14:paraId="1EF1D421" w14:textId="77777777" w:rsidR="003F6159" w:rsidRPr="003F6159" w:rsidRDefault="003F6159" w:rsidP="003F6159">
      <w:pPr>
        <w:spacing w:after="120"/>
        <w:rPr>
          <w:sz w:val="18"/>
          <w:szCs w:val="18"/>
        </w:rPr>
      </w:pPr>
      <w:r w:rsidRPr="003F6159">
        <w:rPr>
          <w:sz w:val="18"/>
          <w:szCs w:val="18"/>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E63B78D" w14:textId="77777777" w:rsidR="003F6159" w:rsidRPr="003F6159" w:rsidRDefault="003F6159" w:rsidP="003F6159">
      <w:pPr>
        <w:spacing w:after="120"/>
        <w:rPr>
          <w:b/>
          <w:bCs/>
          <w:sz w:val="18"/>
          <w:szCs w:val="18"/>
          <w:highlight w:val="yellow"/>
        </w:rPr>
      </w:pPr>
      <w:r w:rsidRPr="003F6159">
        <w:rPr>
          <w:b/>
          <w:bCs/>
          <w:sz w:val="18"/>
          <w:szCs w:val="18"/>
        </w:rPr>
        <w:t>Acknowledgements</w:t>
      </w:r>
    </w:p>
    <w:p w14:paraId="12857398" w14:textId="7FE5D2F3" w:rsidR="003F6159" w:rsidRPr="003F6159" w:rsidRDefault="003F6159" w:rsidP="003F6159">
      <w:pPr>
        <w:spacing w:after="120"/>
        <w:rPr>
          <w:sz w:val="18"/>
          <w:szCs w:val="18"/>
        </w:rPr>
      </w:pPr>
      <w:r w:rsidRPr="003F6159">
        <w:rPr>
          <w:sz w:val="18"/>
          <w:szCs w:val="18"/>
        </w:rPr>
        <w:t xml:space="preserve">This report has been prepared by a joint </w:t>
      </w:r>
      <w:r w:rsidR="00447029">
        <w:rPr>
          <w:sz w:val="18"/>
          <w:szCs w:val="18"/>
        </w:rPr>
        <w:t>Australian Government</w:t>
      </w:r>
      <w:r w:rsidRPr="003F6159">
        <w:rPr>
          <w:sz w:val="18"/>
          <w:szCs w:val="18"/>
        </w:rPr>
        <w:t xml:space="preserve">, </w:t>
      </w:r>
      <w:r w:rsidR="00447029">
        <w:rPr>
          <w:sz w:val="18"/>
          <w:szCs w:val="18"/>
        </w:rPr>
        <w:t>s</w:t>
      </w:r>
      <w:r w:rsidRPr="003F6159">
        <w:rPr>
          <w:sz w:val="18"/>
          <w:szCs w:val="18"/>
        </w:rPr>
        <w:t xml:space="preserve">tate and </w:t>
      </w:r>
      <w:r w:rsidR="00447029">
        <w:rPr>
          <w:sz w:val="18"/>
          <w:szCs w:val="18"/>
        </w:rPr>
        <w:t>t</w:t>
      </w:r>
      <w:r w:rsidRPr="003F6159">
        <w:rPr>
          <w:sz w:val="18"/>
          <w:szCs w:val="18"/>
        </w:rPr>
        <w:t xml:space="preserve">erritory </w:t>
      </w:r>
      <w:r w:rsidR="00447029">
        <w:rPr>
          <w:sz w:val="18"/>
          <w:szCs w:val="18"/>
        </w:rPr>
        <w:t>g</w:t>
      </w:r>
      <w:r w:rsidRPr="003F6159">
        <w:rPr>
          <w:sz w:val="18"/>
          <w:szCs w:val="18"/>
        </w:rPr>
        <w:t xml:space="preserve">overnment working group established in 2017 for the purpose of maintaining and advancing Australia’s trade and market access. This approach is to ensure that Australia is well placed to meet trading partners’ future traceability requirements. </w:t>
      </w:r>
    </w:p>
    <w:p w14:paraId="24B039C1" w14:textId="2EDAC424" w:rsidR="003F6159" w:rsidRPr="003F6159" w:rsidRDefault="003F6159" w:rsidP="003F6159">
      <w:pPr>
        <w:spacing w:after="120"/>
        <w:rPr>
          <w:sz w:val="18"/>
          <w:szCs w:val="18"/>
        </w:rPr>
      </w:pPr>
      <w:r w:rsidRPr="003F6159">
        <w:rPr>
          <w:sz w:val="18"/>
          <w:szCs w:val="18"/>
        </w:rPr>
        <w:t xml:space="preserve">Against this backdrop, the development of a national approach to Australia’s agricultural traceability systems was investigated by a Traceability Working Group of representatives from the </w:t>
      </w:r>
      <w:r w:rsidR="00447029" w:rsidRPr="00447029">
        <w:rPr>
          <w:sz w:val="18"/>
          <w:szCs w:val="18"/>
        </w:rPr>
        <w:t>Australian Government and state and territory government</w:t>
      </w:r>
      <w:r w:rsidR="00447029">
        <w:rPr>
          <w:sz w:val="18"/>
          <w:szCs w:val="18"/>
        </w:rPr>
        <w:t>s</w:t>
      </w:r>
      <w:r w:rsidRPr="003F6159">
        <w:rPr>
          <w:sz w:val="18"/>
          <w:szCs w:val="18"/>
        </w:rPr>
        <w:t>. The investigation is progressing through a 2-stage project – the National Traceability Project.</w:t>
      </w:r>
    </w:p>
    <w:p w14:paraId="17A4690C" w14:textId="77777777" w:rsidR="003F6159" w:rsidRPr="003F6159" w:rsidRDefault="003F6159" w:rsidP="003F6159">
      <w:pPr>
        <w:spacing w:after="120"/>
        <w:rPr>
          <w:sz w:val="18"/>
          <w:szCs w:val="18"/>
        </w:rPr>
      </w:pPr>
      <w:r w:rsidRPr="003F6159">
        <w:rPr>
          <w:sz w:val="18"/>
          <w:szCs w:val="18"/>
        </w:rPr>
        <w:t xml:space="preserve">This paper delivers key findings from Stage 1 of the project involving the review of existing traceability systems in agricultural production and trade, assessing their performance and identifying global and future drivers for traceability systems. The purpose of Stage 2 will be to design a national traceability policy framework and action plan in collaboration with industry to support future traceability innovations and requirements for a range of domestic and international trade purposes. </w:t>
      </w:r>
    </w:p>
    <w:p w14:paraId="195EB339" w14:textId="77777777" w:rsidR="003F6159" w:rsidRPr="003F6159" w:rsidRDefault="003F6159" w:rsidP="003F6159">
      <w:pPr>
        <w:spacing w:after="0" w:line="240" w:lineRule="auto"/>
      </w:pPr>
      <w:r w:rsidRPr="003F6159">
        <w:rPr>
          <w:bC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1BF116CF" w14:textId="1CA4C1C4" w:rsidR="003F6159" w:rsidRDefault="00A16A24" w:rsidP="003F6159">
          <w:pPr>
            <w:pStyle w:val="TOCHeading"/>
          </w:pPr>
          <w:r>
            <w:t>Contents</w:t>
          </w:r>
        </w:p>
        <w:p w14:paraId="7D2DB47A" w14:textId="77777777" w:rsidR="00472397" w:rsidRDefault="003F6159">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528072945" w:history="1">
            <w:r w:rsidR="00472397" w:rsidRPr="00B271B5">
              <w:rPr>
                <w:rStyle w:val="Hyperlink"/>
              </w:rPr>
              <w:t>Key points</w:t>
            </w:r>
            <w:r w:rsidR="00472397">
              <w:rPr>
                <w:webHidden/>
              </w:rPr>
              <w:tab/>
            </w:r>
            <w:r w:rsidR="00472397">
              <w:rPr>
                <w:webHidden/>
              </w:rPr>
              <w:fldChar w:fldCharType="begin"/>
            </w:r>
            <w:r w:rsidR="00472397">
              <w:rPr>
                <w:webHidden/>
              </w:rPr>
              <w:instrText xml:space="preserve"> PAGEREF _Toc528072945 \h </w:instrText>
            </w:r>
            <w:r w:rsidR="00472397">
              <w:rPr>
                <w:webHidden/>
              </w:rPr>
            </w:r>
            <w:r w:rsidR="00472397">
              <w:rPr>
                <w:webHidden/>
              </w:rPr>
              <w:fldChar w:fldCharType="separate"/>
            </w:r>
            <w:r w:rsidR="00AA752E">
              <w:rPr>
                <w:webHidden/>
              </w:rPr>
              <w:t>IV</w:t>
            </w:r>
            <w:r w:rsidR="00472397">
              <w:rPr>
                <w:webHidden/>
              </w:rPr>
              <w:fldChar w:fldCharType="end"/>
            </w:r>
          </w:hyperlink>
        </w:p>
        <w:p w14:paraId="5D71A9F9" w14:textId="77777777" w:rsidR="00472397" w:rsidRDefault="00AA752E">
          <w:pPr>
            <w:pStyle w:val="TOC1"/>
            <w:rPr>
              <w:rFonts w:asciiTheme="minorHAnsi" w:eastAsiaTheme="minorEastAsia" w:hAnsiTheme="minorHAnsi"/>
              <w:b w:val="0"/>
              <w:lang w:eastAsia="en-AU"/>
            </w:rPr>
          </w:pPr>
          <w:hyperlink w:anchor="_Toc528072946" w:history="1">
            <w:r w:rsidR="00472397" w:rsidRPr="00B271B5">
              <w:rPr>
                <w:rStyle w:val="Hyperlink"/>
              </w:rPr>
              <w:t>Australia’s agricultural traceability systems</w:t>
            </w:r>
            <w:r w:rsidR="00472397">
              <w:rPr>
                <w:webHidden/>
              </w:rPr>
              <w:tab/>
            </w:r>
            <w:r w:rsidR="00472397">
              <w:rPr>
                <w:webHidden/>
              </w:rPr>
              <w:fldChar w:fldCharType="begin"/>
            </w:r>
            <w:r w:rsidR="00472397">
              <w:rPr>
                <w:webHidden/>
              </w:rPr>
              <w:instrText xml:space="preserve"> PAGEREF _Toc528072946 \h </w:instrText>
            </w:r>
            <w:r w:rsidR="00472397">
              <w:rPr>
                <w:webHidden/>
              </w:rPr>
            </w:r>
            <w:r w:rsidR="00472397">
              <w:rPr>
                <w:webHidden/>
              </w:rPr>
              <w:fldChar w:fldCharType="separate"/>
            </w:r>
            <w:r>
              <w:rPr>
                <w:webHidden/>
              </w:rPr>
              <w:t>1</w:t>
            </w:r>
            <w:r w:rsidR="00472397">
              <w:rPr>
                <w:webHidden/>
              </w:rPr>
              <w:fldChar w:fldCharType="end"/>
            </w:r>
          </w:hyperlink>
        </w:p>
        <w:p w14:paraId="6C92A6D2" w14:textId="77777777" w:rsidR="00472397" w:rsidRDefault="00AA752E">
          <w:pPr>
            <w:pStyle w:val="TOC1"/>
            <w:rPr>
              <w:rFonts w:asciiTheme="minorHAnsi" w:eastAsiaTheme="minorEastAsia" w:hAnsiTheme="minorHAnsi"/>
              <w:b w:val="0"/>
              <w:lang w:eastAsia="en-AU"/>
            </w:rPr>
          </w:pPr>
          <w:hyperlink w:anchor="_Toc528072947" w:history="1">
            <w:r w:rsidR="00472397" w:rsidRPr="00B271B5">
              <w:rPr>
                <w:rStyle w:val="Hyperlink"/>
              </w:rPr>
              <w:t>Why is traceability so important?</w:t>
            </w:r>
            <w:r w:rsidR="00472397">
              <w:rPr>
                <w:webHidden/>
              </w:rPr>
              <w:tab/>
            </w:r>
            <w:r w:rsidR="00472397">
              <w:rPr>
                <w:webHidden/>
              </w:rPr>
              <w:fldChar w:fldCharType="begin"/>
            </w:r>
            <w:r w:rsidR="00472397">
              <w:rPr>
                <w:webHidden/>
              </w:rPr>
              <w:instrText xml:space="preserve"> PAGEREF _Toc528072947 \h </w:instrText>
            </w:r>
            <w:r w:rsidR="00472397">
              <w:rPr>
                <w:webHidden/>
              </w:rPr>
            </w:r>
            <w:r w:rsidR="00472397">
              <w:rPr>
                <w:webHidden/>
              </w:rPr>
              <w:fldChar w:fldCharType="separate"/>
            </w:r>
            <w:r>
              <w:rPr>
                <w:webHidden/>
              </w:rPr>
              <w:t>1</w:t>
            </w:r>
            <w:r w:rsidR="00472397">
              <w:rPr>
                <w:webHidden/>
              </w:rPr>
              <w:fldChar w:fldCharType="end"/>
            </w:r>
          </w:hyperlink>
        </w:p>
        <w:p w14:paraId="5116BFAC" w14:textId="77777777" w:rsidR="00472397" w:rsidRDefault="00AA752E">
          <w:pPr>
            <w:pStyle w:val="TOC1"/>
            <w:rPr>
              <w:rFonts w:asciiTheme="minorHAnsi" w:eastAsiaTheme="minorEastAsia" w:hAnsiTheme="minorHAnsi"/>
              <w:b w:val="0"/>
              <w:lang w:eastAsia="en-AU"/>
            </w:rPr>
          </w:pPr>
          <w:hyperlink w:anchor="_Toc528072948" w:history="1">
            <w:r w:rsidR="00472397" w:rsidRPr="00B271B5">
              <w:rPr>
                <w:rStyle w:val="Hyperlink"/>
              </w:rPr>
              <w:t>Increasing demands on Australia’s traceability systems</w:t>
            </w:r>
            <w:r w:rsidR="00472397">
              <w:rPr>
                <w:webHidden/>
              </w:rPr>
              <w:tab/>
            </w:r>
            <w:r w:rsidR="00472397">
              <w:rPr>
                <w:webHidden/>
              </w:rPr>
              <w:fldChar w:fldCharType="begin"/>
            </w:r>
            <w:r w:rsidR="00472397">
              <w:rPr>
                <w:webHidden/>
              </w:rPr>
              <w:instrText xml:space="preserve"> PAGEREF _Toc528072948 \h </w:instrText>
            </w:r>
            <w:r w:rsidR="00472397">
              <w:rPr>
                <w:webHidden/>
              </w:rPr>
            </w:r>
            <w:r w:rsidR="00472397">
              <w:rPr>
                <w:webHidden/>
              </w:rPr>
              <w:fldChar w:fldCharType="separate"/>
            </w:r>
            <w:r>
              <w:rPr>
                <w:webHidden/>
              </w:rPr>
              <w:t>3</w:t>
            </w:r>
            <w:r w:rsidR="00472397">
              <w:rPr>
                <w:webHidden/>
              </w:rPr>
              <w:fldChar w:fldCharType="end"/>
            </w:r>
          </w:hyperlink>
        </w:p>
        <w:p w14:paraId="70C40D36" w14:textId="77777777" w:rsidR="00472397" w:rsidRDefault="00AA752E">
          <w:pPr>
            <w:pStyle w:val="TOC1"/>
            <w:rPr>
              <w:rFonts w:asciiTheme="minorHAnsi" w:eastAsiaTheme="minorEastAsia" w:hAnsiTheme="minorHAnsi"/>
              <w:b w:val="0"/>
              <w:lang w:eastAsia="en-AU"/>
            </w:rPr>
          </w:pPr>
          <w:hyperlink w:anchor="_Toc528072949" w:history="1">
            <w:r w:rsidR="00472397" w:rsidRPr="00B271B5">
              <w:rPr>
                <w:rStyle w:val="Hyperlink"/>
              </w:rPr>
              <w:t>How well are systems performing?</w:t>
            </w:r>
            <w:r w:rsidR="00472397">
              <w:rPr>
                <w:webHidden/>
              </w:rPr>
              <w:tab/>
            </w:r>
            <w:r w:rsidR="00472397">
              <w:rPr>
                <w:webHidden/>
              </w:rPr>
              <w:fldChar w:fldCharType="begin"/>
            </w:r>
            <w:r w:rsidR="00472397">
              <w:rPr>
                <w:webHidden/>
              </w:rPr>
              <w:instrText xml:space="preserve"> PAGEREF _Toc528072949 \h </w:instrText>
            </w:r>
            <w:r w:rsidR="00472397">
              <w:rPr>
                <w:webHidden/>
              </w:rPr>
            </w:r>
            <w:r w:rsidR="00472397">
              <w:rPr>
                <w:webHidden/>
              </w:rPr>
              <w:fldChar w:fldCharType="separate"/>
            </w:r>
            <w:r>
              <w:rPr>
                <w:webHidden/>
              </w:rPr>
              <w:t>4</w:t>
            </w:r>
            <w:r w:rsidR="00472397">
              <w:rPr>
                <w:webHidden/>
              </w:rPr>
              <w:fldChar w:fldCharType="end"/>
            </w:r>
          </w:hyperlink>
        </w:p>
        <w:p w14:paraId="2C3BC7C1" w14:textId="77777777" w:rsidR="00472397" w:rsidRDefault="00AA752E">
          <w:pPr>
            <w:pStyle w:val="TOC1"/>
            <w:rPr>
              <w:rFonts w:asciiTheme="minorHAnsi" w:eastAsiaTheme="minorEastAsia" w:hAnsiTheme="minorHAnsi"/>
              <w:b w:val="0"/>
              <w:lang w:eastAsia="en-AU"/>
            </w:rPr>
          </w:pPr>
          <w:hyperlink w:anchor="_Toc528072950" w:history="1">
            <w:r w:rsidR="00472397" w:rsidRPr="00B271B5">
              <w:rPr>
                <w:rStyle w:val="Hyperlink"/>
              </w:rPr>
              <w:t>Consequences of not complying</w:t>
            </w:r>
            <w:r w:rsidR="00472397">
              <w:rPr>
                <w:webHidden/>
              </w:rPr>
              <w:tab/>
            </w:r>
            <w:r w:rsidR="00472397">
              <w:rPr>
                <w:webHidden/>
              </w:rPr>
              <w:fldChar w:fldCharType="begin"/>
            </w:r>
            <w:r w:rsidR="00472397">
              <w:rPr>
                <w:webHidden/>
              </w:rPr>
              <w:instrText xml:space="preserve"> PAGEREF _Toc528072950 \h </w:instrText>
            </w:r>
            <w:r w:rsidR="00472397">
              <w:rPr>
                <w:webHidden/>
              </w:rPr>
            </w:r>
            <w:r w:rsidR="00472397">
              <w:rPr>
                <w:webHidden/>
              </w:rPr>
              <w:fldChar w:fldCharType="separate"/>
            </w:r>
            <w:r>
              <w:rPr>
                <w:webHidden/>
              </w:rPr>
              <w:t>7</w:t>
            </w:r>
            <w:r w:rsidR="00472397">
              <w:rPr>
                <w:webHidden/>
              </w:rPr>
              <w:fldChar w:fldCharType="end"/>
            </w:r>
          </w:hyperlink>
        </w:p>
        <w:p w14:paraId="0C6B09C3" w14:textId="77777777" w:rsidR="00472397" w:rsidRDefault="00AA752E">
          <w:pPr>
            <w:pStyle w:val="TOC1"/>
            <w:rPr>
              <w:rFonts w:asciiTheme="minorHAnsi" w:eastAsiaTheme="minorEastAsia" w:hAnsiTheme="minorHAnsi"/>
              <w:b w:val="0"/>
              <w:lang w:eastAsia="en-AU"/>
            </w:rPr>
          </w:pPr>
          <w:hyperlink w:anchor="_Toc528072951" w:history="1">
            <w:r w:rsidR="00472397" w:rsidRPr="00B271B5">
              <w:rPr>
                <w:rStyle w:val="Hyperlink"/>
              </w:rPr>
              <w:t>Good governance will be critical</w:t>
            </w:r>
            <w:r w:rsidR="00472397">
              <w:rPr>
                <w:webHidden/>
              </w:rPr>
              <w:tab/>
            </w:r>
            <w:r w:rsidR="00472397">
              <w:rPr>
                <w:webHidden/>
              </w:rPr>
              <w:fldChar w:fldCharType="begin"/>
            </w:r>
            <w:r w:rsidR="00472397">
              <w:rPr>
                <w:webHidden/>
              </w:rPr>
              <w:instrText xml:space="preserve"> PAGEREF _Toc528072951 \h </w:instrText>
            </w:r>
            <w:r w:rsidR="00472397">
              <w:rPr>
                <w:webHidden/>
              </w:rPr>
            </w:r>
            <w:r w:rsidR="00472397">
              <w:rPr>
                <w:webHidden/>
              </w:rPr>
              <w:fldChar w:fldCharType="separate"/>
            </w:r>
            <w:r>
              <w:rPr>
                <w:webHidden/>
              </w:rPr>
              <w:t>8</w:t>
            </w:r>
            <w:r w:rsidR="00472397">
              <w:rPr>
                <w:webHidden/>
              </w:rPr>
              <w:fldChar w:fldCharType="end"/>
            </w:r>
          </w:hyperlink>
        </w:p>
        <w:p w14:paraId="01623EBB" w14:textId="77777777" w:rsidR="00472397" w:rsidRDefault="00AA752E">
          <w:pPr>
            <w:pStyle w:val="TOC1"/>
            <w:rPr>
              <w:rFonts w:asciiTheme="minorHAnsi" w:eastAsiaTheme="minorEastAsia" w:hAnsiTheme="minorHAnsi"/>
              <w:b w:val="0"/>
              <w:lang w:eastAsia="en-AU"/>
            </w:rPr>
          </w:pPr>
          <w:hyperlink w:anchor="_Toc528072952" w:history="1">
            <w:r w:rsidR="00472397" w:rsidRPr="00B271B5">
              <w:rPr>
                <w:rStyle w:val="Hyperlink"/>
              </w:rPr>
              <w:t>Future work</w:t>
            </w:r>
            <w:r w:rsidR="00472397">
              <w:rPr>
                <w:webHidden/>
              </w:rPr>
              <w:tab/>
            </w:r>
            <w:r w:rsidR="00472397">
              <w:rPr>
                <w:webHidden/>
              </w:rPr>
              <w:fldChar w:fldCharType="begin"/>
            </w:r>
            <w:r w:rsidR="00472397">
              <w:rPr>
                <w:webHidden/>
              </w:rPr>
              <w:instrText xml:space="preserve"> PAGEREF _Toc528072952 \h </w:instrText>
            </w:r>
            <w:r w:rsidR="00472397">
              <w:rPr>
                <w:webHidden/>
              </w:rPr>
            </w:r>
            <w:r w:rsidR="00472397">
              <w:rPr>
                <w:webHidden/>
              </w:rPr>
              <w:fldChar w:fldCharType="separate"/>
            </w:r>
            <w:r>
              <w:rPr>
                <w:webHidden/>
              </w:rPr>
              <w:t>9</w:t>
            </w:r>
            <w:r w:rsidR="00472397">
              <w:rPr>
                <w:webHidden/>
              </w:rPr>
              <w:fldChar w:fldCharType="end"/>
            </w:r>
          </w:hyperlink>
        </w:p>
        <w:p w14:paraId="310D4AF3" w14:textId="77777777" w:rsidR="00472397" w:rsidRDefault="00AA752E">
          <w:pPr>
            <w:pStyle w:val="TOC1"/>
            <w:rPr>
              <w:rFonts w:asciiTheme="minorHAnsi" w:eastAsiaTheme="minorEastAsia" w:hAnsiTheme="minorHAnsi"/>
              <w:b w:val="0"/>
              <w:lang w:eastAsia="en-AU"/>
            </w:rPr>
          </w:pPr>
          <w:hyperlink w:anchor="_Toc528072953" w:history="1">
            <w:r w:rsidR="00472397" w:rsidRPr="00B271B5">
              <w:rPr>
                <w:rStyle w:val="Hyperlink"/>
              </w:rPr>
              <w:t>Information sources</w:t>
            </w:r>
            <w:r w:rsidR="00472397">
              <w:rPr>
                <w:webHidden/>
              </w:rPr>
              <w:tab/>
            </w:r>
            <w:r w:rsidR="00472397">
              <w:rPr>
                <w:webHidden/>
              </w:rPr>
              <w:fldChar w:fldCharType="begin"/>
            </w:r>
            <w:r w:rsidR="00472397">
              <w:rPr>
                <w:webHidden/>
              </w:rPr>
              <w:instrText xml:space="preserve"> PAGEREF _Toc528072953 \h </w:instrText>
            </w:r>
            <w:r w:rsidR="00472397">
              <w:rPr>
                <w:webHidden/>
              </w:rPr>
            </w:r>
            <w:r w:rsidR="00472397">
              <w:rPr>
                <w:webHidden/>
              </w:rPr>
              <w:fldChar w:fldCharType="separate"/>
            </w:r>
            <w:r>
              <w:rPr>
                <w:webHidden/>
              </w:rPr>
              <w:t>9</w:t>
            </w:r>
            <w:r w:rsidR="00472397">
              <w:rPr>
                <w:webHidden/>
              </w:rPr>
              <w:fldChar w:fldCharType="end"/>
            </w:r>
          </w:hyperlink>
        </w:p>
        <w:p w14:paraId="66011CE6" w14:textId="77777777" w:rsidR="00472397" w:rsidRDefault="00AA752E">
          <w:pPr>
            <w:pStyle w:val="TOC1"/>
            <w:rPr>
              <w:rFonts w:asciiTheme="minorHAnsi" w:eastAsiaTheme="minorEastAsia" w:hAnsiTheme="minorHAnsi"/>
              <w:b w:val="0"/>
              <w:lang w:eastAsia="en-AU"/>
            </w:rPr>
          </w:pPr>
          <w:hyperlink w:anchor="_Toc528072954" w:history="1">
            <w:r w:rsidR="00472397" w:rsidRPr="00B271B5">
              <w:rPr>
                <w:rStyle w:val="Hyperlink"/>
              </w:rPr>
              <w:t>References</w:t>
            </w:r>
            <w:r w:rsidR="00472397">
              <w:rPr>
                <w:webHidden/>
              </w:rPr>
              <w:tab/>
            </w:r>
            <w:r w:rsidR="00472397">
              <w:rPr>
                <w:webHidden/>
              </w:rPr>
              <w:fldChar w:fldCharType="begin"/>
            </w:r>
            <w:r w:rsidR="00472397">
              <w:rPr>
                <w:webHidden/>
              </w:rPr>
              <w:instrText xml:space="preserve"> PAGEREF _Toc528072954 \h </w:instrText>
            </w:r>
            <w:r w:rsidR="00472397">
              <w:rPr>
                <w:webHidden/>
              </w:rPr>
            </w:r>
            <w:r w:rsidR="00472397">
              <w:rPr>
                <w:webHidden/>
              </w:rPr>
              <w:fldChar w:fldCharType="separate"/>
            </w:r>
            <w:r>
              <w:rPr>
                <w:webHidden/>
              </w:rPr>
              <w:t>10</w:t>
            </w:r>
            <w:r w:rsidR="00472397">
              <w:rPr>
                <w:webHidden/>
              </w:rPr>
              <w:fldChar w:fldCharType="end"/>
            </w:r>
          </w:hyperlink>
        </w:p>
        <w:p w14:paraId="6420EF6F" w14:textId="77777777" w:rsidR="003F6159" w:rsidRDefault="003F6159" w:rsidP="003F6159">
          <w:r>
            <w:rPr>
              <w:b/>
              <w:noProof/>
            </w:rPr>
            <w:fldChar w:fldCharType="end"/>
          </w:r>
        </w:p>
      </w:sdtContent>
    </w:sdt>
    <w:p w14:paraId="522572A5" w14:textId="77777777" w:rsidR="003F6159" w:rsidRDefault="003F6159" w:rsidP="003F6159">
      <w:pPr>
        <w:pStyle w:val="TOCHeading2"/>
        <w:rPr>
          <w:rStyle w:val="Strong"/>
        </w:rPr>
      </w:pPr>
      <w:r>
        <w:rPr>
          <w:rStyle w:val="Strong"/>
        </w:rPr>
        <w:t>Figures</w:t>
      </w:r>
    </w:p>
    <w:p w14:paraId="7FADBFF5" w14:textId="77777777" w:rsidR="00077E52" w:rsidRDefault="003F6159">
      <w:pPr>
        <w:pStyle w:val="TableofFigures"/>
        <w:tabs>
          <w:tab w:val="right" w:leader="dot" w:pos="9062"/>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528054593" w:history="1">
        <w:r w:rsidR="00077E52" w:rsidRPr="00EB7588">
          <w:rPr>
            <w:rStyle w:val="Hyperlink"/>
            <w:noProof/>
          </w:rPr>
          <w:t>Figure 1 Notifications submitted to the World Trade Organization regarding proposed changes in sanitary or phytosanitary measures, 1997 to 2017</w:t>
        </w:r>
        <w:r w:rsidR="00077E52">
          <w:rPr>
            <w:noProof/>
            <w:webHidden/>
          </w:rPr>
          <w:tab/>
        </w:r>
        <w:r w:rsidR="00077E52">
          <w:rPr>
            <w:noProof/>
            <w:webHidden/>
          </w:rPr>
          <w:fldChar w:fldCharType="begin"/>
        </w:r>
        <w:r w:rsidR="00077E52">
          <w:rPr>
            <w:noProof/>
            <w:webHidden/>
          </w:rPr>
          <w:instrText xml:space="preserve"> PAGEREF _Toc528054593 \h </w:instrText>
        </w:r>
        <w:r w:rsidR="00077E52">
          <w:rPr>
            <w:noProof/>
            <w:webHidden/>
          </w:rPr>
        </w:r>
        <w:r w:rsidR="00077E52">
          <w:rPr>
            <w:noProof/>
            <w:webHidden/>
          </w:rPr>
          <w:fldChar w:fldCharType="separate"/>
        </w:r>
        <w:r w:rsidR="00AA752E">
          <w:rPr>
            <w:noProof/>
            <w:webHidden/>
          </w:rPr>
          <w:t>2</w:t>
        </w:r>
        <w:r w:rsidR="00077E52">
          <w:rPr>
            <w:noProof/>
            <w:webHidden/>
          </w:rPr>
          <w:fldChar w:fldCharType="end"/>
        </w:r>
      </w:hyperlink>
    </w:p>
    <w:p w14:paraId="47AA1CFA" w14:textId="77777777" w:rsidR="00077E52" w:rsidRDefault="00AA752E">
      <w:pPr>
        <w:pStyle w:val="TableofFigures"/>
        <w:tabs>
          <w:tab w:val="right" w:leader="dot" w:pos="9062"/>
        </w:tabs>
        <w:rPr>
          <w:rFonts w:asciiTheme="minorHAnsi" w:eastAsiaTheme="minorEastAsia" w:hAnsiTheme="minorHAnsi"/>
          <w:noProof/>
          <w:lang w:eastAsia="en-AU"/>
        </w:rPr>
      </w:pPr>
      <w:hyperlink w:anchor="_Toc528054594" w:history="1">
        <w:r w:rsidR="00077E52" w:rsidRPr="00EB7588">
          <w:rPr>
            <w:rStyle w:val="Hyperlink"/>
            <w:noProof/>
          </w:rPr>
          <w:t>Figure 2 Notifications to the World Trade Organization regarding proposed changes in sanitary or phytosanitary measures, by type of product, 1997 to 2017</w:t>
        </w:r>
        <w:r w:rsidR="00077E52">
          <w:rPr>
            <w:noProof/>
            <w:webHidden/>
          </w:rPr>
          <w:tab/>
        </w:r>
        <w:r w:rsidR="00077E52">
          <w:rPr>
            <w:noProof/>
            <w:webHidden/>
          </w:rPr>
          <w:fldChar w:fldCharType="begin"/>
        </w:r>
        <w:r w:rsidR="00077E52">
          <w:rPr>
            <w:noProof/>
            <w:webHidden/>
          </w:rPr>
          <w:instrText xml:space="preserve"> PAGEREF _Toc528054594 \h </w:instrText>
        </w:r>
        <w:r w:rsidR="00077E52">
          <w:rPr>
            <w:noProof/>
            <w:webHidden/>
          </w:rPr>
        </w:r>
        <w:r w:rsidR="00077E52">
          <w:rPr>
            <w:noProof/>
            <w:webHidden/>
          </w:rPr>
          <w:fldChar w:fldCharType="separate"/>
        </w:r>
        <w:r>
          <w:rPr>
            <w:noProof/>
            <w:webHidden/>
          </w:rPr>
          <w:t>3</w:t>
        </w:r>
        <w:r w:rsidR="00077E52">
          <w:rPr>
            <w:noProof/>
            <w:webHidden/>
          </w:rPr>
          <w:fldChar w:fldCharType="end"/>
        </w:r>
      </w:hyperlink>
    </w:p>
    <w:p w14:paraId="64269024" w14:textId="77777777" w:rsidR="00077E52" w:rsidRDefault="00AA752E">
      <w:pPr>
        <w:pStyle w:val="TableofFigures"/>
        <w:tabs>
          <w:tab w:val="right" w:leader="dot" w:pos="9062"/>
        </w:tabs>
        <w:rPr>
          <w:rFonts w:asciiTheme="minorHAnsi" w:eastAsiaTheme="minorEastAsia" w:hAnsiTheme="minorHAnsi"/>
          <w:noProof/>
          <w:lang w:eastAsia="en-AU"/>
        </w:rPr>
      </w:pPr>
      <w:hyperlink w:anchor="_Toc528054595" w:history="1">
        <w:r w:rsidR="00077E52" w:rsidRPr="00EB7588">
          <w:rPr>
            <w:rStyle w:val="Hyperlink"/>
            <w:noProof/>
          </w:rPr>
          <w:t>Figure 3 Agricultural export projections, 2017–18 to 2022–23</w:t>
        </w:r>
        <w:r w:rsidR="00077E52">
          <w:rPr>
            <w:noProof/>
            <w:webHidden/>
          </w:rPr>
          <w:tab/>
        </w:r>
        <w:r w:rsidR="00077E52">
          <w:rPr>
            <w:noProof/>
            <w:webHidden/>
          </w:rPr>
          <w:fldChar w:fldCharType="begin"/>
        </w:r>
        <w:r w:rsidR="00077E52">
          <w:rPr>
            <w:noProof/>
            <w:webHidden/>
          </w:rPr>
          <w:instrText xml:space="preserve"> PAGEREF _Toc528054595 \h </w:instrText>
        </w:r>
        <w:r w:rsidR="00077E52">
          <w:rPr>
            <w:noProof/>
            <w:webHidden/>
          </w:rPr>
        </w:r>
        <w:r w:rsidR="00077E52">
          <w:rPr>
            <w:noProof/>
            <w:webHidden/>
          </w:rPr>
          <w:fldChar w:fldCharType="separate"/>
        </w:r>
        <w:r>
          <w:rPr>
            <w:noProof/>
            <w:webHidden/>
          </w:rPr>
          <w:t>6</w:t>
        </w:r>
        <w:r w:rsidR="00077E52">
          <w:rPr>
            <w:noProof/>
            <w:webHidden/>
          </w:rPr>
          <w:fldChar w:fldCharType="end"/>
        </w:r>
      </w:hyperlink>
    </w:p>
    <w:p w14:paraId="36748F71" w14:textId="611E279E" w:rsidR="00077E52" w:rsidRDefault="00AA752E">
      <w:pPr>
        <w:pStyle w:val="TableofFigures"/>
        <w:tabs>
          <w:tab w:val="right" w:leader="dot" w:pos="9062"/>
        </w:tabs>
        <w:rPr>
          <w:rFonts w:asciiTheme="minorHAnsi" w:eastAsiaTheme="minorEastAsia" w:hAnsiTheme="minorHAnsi"/>
          <w:noProof/>
          <w:lang w:eastAsia="en-AU"/>
        </w:rPr>
      </w:pPr>
      <w:hyperlink w:anchor="_Toc528054596" w:history="1">
        <w:r w:rsidR="00077E52" w:rsidRPr="00EB7588">
          <w:rPr>
            <w:rStyle w:val="Hyperlink"/>
            <w:noProof/>
          </w:rPr>
          <w:t>Figure 4 Index trends of (real) horticultural export values by state/territory,</w:t>
        </w:r>
        <w:r w:rsidR="00077E52">
          <w:rPr>
            <w:rStyle w:val="Hyperlink"/>
            <w:noProof/>
          </w:rPr>
          <w:br/>
        </w:r>
        <w:r w:rsidR="00077E52" w:rsidRPr="00EB7588">
          <w:rPr>
            <w:rStyle w:val="Hyperlink"/>
            <w:noProof/>
          </w:rPr>
          <w:t>2012–13 to 2022–23</w:t>
        </w:r>
        <w:r w:rsidR="00077E52">
          <w:rPr>
            <w:noProof/>
            <w:webHidden/>
          </w:rPr>
          <w:tab/>
        </w:r>
        <w:r w:rsidR="00077E52">
          <w:rPr>
            <w:noProof/>
            <w:webHidden/>
          </w:rPr>
          <w:fldChar w:fldCharType="begin"/>
        </w:r>
        <w:r w:rsidR="00077E52">
          <w:rPr>
            <w:noProof/>
            <w:webHidden/>
          </w:rPr>
          <w:instrText xml:space="preserve"> PAGEREF _Toc528054596 \h </w:instrText>
        </w:r>
        <w:r w:rsidR="00077E52">
          <w:rPr>
            <w:noProof/>
            <w:webHidden/>
          </w:rPr>
        </w:r>
        <w:r w:rsidR="00077E52">
          <w:rPr>
            <w:noProof/>
            <w:webHidden/>
          </w:rPr>
          <w:fldChar w:fldCharType="separate"/>
        </w:r>
        <w:r>
          <w:rPr>
            <w:noProof/>
            <w:webHidden/>
          </w:rPr>
          <w:t>7</w:t>
        </w:r>
        <w:r w:rsidR="00077E52">
          <w:rPr>
            <w:noProof/>
            <w:webHidden/>
          </w:rPr>
          <w:fldChar w:fldCharType="end"/>
        </w:r>
      </w:hyperlink>
    </w:p>
    <w:p w14:paraId="46D20619" w14:textId="6ECCFDA4" w:rsidR="005C7600" w:rsidRPr="003F6159" w:rsidRDefault="003F6159" w:rsidP="00245976">
      <w:pPr>
        <w:rPr>
          <w:sz w:val="18"/>
          <w:szCs w:val="18"/>
        </w:rPr>
      </w:pPr>
      <w:r>
        <w:fldChar w:fldCharType="end"/>
      </w:r>
    </w:p>
    <w:p w14:paraId="23F03F43" w14:textId="77777777" w:rsidR="00447029" w:rsidRDefault="00447029">
      <w:pPr>
        <w:rPr>
          <w:b/>
          <w:bCs/>
        </w:rPr>
      </w:pPr>
      <w:bookmarkStart w:id="1" w:name="_Toc524032709"/>
      <w:r>
        <w:rPr>
          <w:b/>
          <w:bCs/>
        </w:rPr>
        <w:br w:type="page"/>
      </w:r>
    </w:p>
    <w:p w14:paraId="43266EBF" w14:textId="77777777" w:rsidR="00447029" w:rsidRDefault="00447029" w:rsidP="00245976">
      <w:pPr>
        <w:pStyle w:val="Heading2"/>
      </w:pPr>
      <w:bookmarkStart w:id="2" w:name="_Toc528072945"/>
      <w:r>
        <w:lastRenderedPageBreak/>
        <w:t>Key points</w:t>
      </w:r>
      <w:bookmarkEnd w:id="2"/>
    </w:p>
    <w:p w14:paraId="347361E4" w14:textId="77777777" w:rsidR="00447029" w:rsidRDefault="00447029" w:rsidP="00245976">
      <w:pPr>
        <w:pStyle w:val="ListBullet"/>
      </w:pPr>
      <w:r>
        <w:t>Australian agriculture depends on export markets to absorb the bulk of its production, and to underpin prices and returns.</w:t>
      </w:r>
    </w:p>
    <w:p w14:paraId="497F2CC3" w14:textId="77777777" w:rsidR="00447029" w:rsidRDefault="00447029" w:rsidP="00245976">
      <w:pPr>
        <w:pStyle w:val="ListBullet"/>
      </w:pPr>
      <w:r>
        <w:t>Effective traceability systems are critical for access to export markets.</w:t>
      </w:r>
    </w:p>
    <w:p w14:paraId="2EE512E0" w14:textId="77777777" w:rsidR="00447029" w:rsidRDefault="00447029" w:rsidP="00245976">
      <w:pPr>
        <w:pStyle w:val="ListBullet2"/>
      </w:pPr>
      <w:r>
        <w:t>They underpin our export certification processes, often leading to improved access arrangements and reduced costs in meeting importing country requirements.</w:t>
      </w:r>
    </w:p>
    <w:p w14:paraId="2511F3A4" w14:textId="77777777" w:rsidR="00447029" w:rsidRDefault="00447029" w:rsidP="00245976">
      <w:pPr>
        <w:pStyle w:val="ListBullet2"/>
      </w:pPr>
      <w:r>
        <w:t>Our traceability arrangements are reasonably effective for most high risk, high value products, such as meat and dairy products, and live cattle.</w:t>
      </w:r>
    </w:p>
    <w:p w14:paraId="3CBCB35E" w14:textId="77777777" w:rsidR="00447029" w:rsidRDefault="00447029" w:rsidP="00245976">
      <w:pPr>
        <w:pStyle w:val="ListBullet2"/>
      </w:pPr>
      <w:r>
        <w:t>There are third party schemes certifying traceability for sustainability, provenance and other product attributes for commercial purposes which are not necessarily tested by government.</w:t>
      </w:r>
    </w:p>
    <w:p w14:paraId="2E3A005B" w14:textId="77777777" w:rsidR="00447029" w:rsidRDefault="00447029" w:rsidP="00245976">
      <w:pPr>
        <w:pStyle w:val="ListBullet2"/>
      </w:pPr>
      <w:r>
        <w:t>Food fraud is increasing in overseas markets, which traceability can help combat.</w:t>
      </w:r>
    </w:p>
    <w:p w14:paraId="022C696C" w14:textId="77777777" w:rsidR="00447029" w:rsidRDefault="00447029" w:rsidP="00245976">
      <w:pPr>
        <w:pStyle w:val="ListBullet"/>
      </w:pPr>
      <w:r>
        <w:t>Traceability systems that serve us well will need greater support.</w:t>
      </w:r>
    </w:p>
    <w:p w14:paraId="7CD4F6D9" w14:textId="77777777" w:rsidR="00447029" w:rsidRDefault="00447029" w:rsidP="00245976">
      <w:pPr>
        <w:pStyle w:val="ListBullet2"/>
      </w:pPr>
      <w:r>
        <w:t xml:space="preserve">Gaps could create biosecurity and food safety risks and diminish our ability to respond quickly. </w:t>
      </w:r>
    </w:p>
    <w:p w14:paraId="110EDFE5" w14:textId="77777777" w:rsidR="00447029" w:rsidRDefault="00447029" w:rsidP="00245976">
      <w:pPr>
        <w:pStyle w:val="ListBullet2"/>
      </w:pPr>
      <w:r>
        <w:t xml:space="preserve">Compliance with importing country requirements requires increasing certainty. </w:t>
      </w:r>
    </w:p>
    <w:p w14:paraId="02AFFE61" w14:textId="77777777" w:rsidR="00447029" w:rsidRDefault="00447029" w:rsidP="00245976">
      <w:pPr>
        <w:pStyle w:val="ListBullet2"/>
      </w:pPr>
      <w:r>
        <w:t>Governance and resourcing to support existing traceability systems is being challenged to keep pace with policy and market demands.</w:t>
      </w:r>
    </w:p>
    <w:p w14:paraId="34BE8CD5" w14:textId="77777777" w:rsidR="00447029" w:rsidRDefault="00447029" w:rsidP="00245976">
      <w:pPr>
        <w:pStyle w:val="ListBullet"/>
      </w:pPr>
      <w:r>
        <w:t>Australia’s export certification processes are coming under pressure as markets demand stronger assurances about our traceability.</w:t>
      </w:r>
    </w:p>
    <w:p w14:paraId="0D2D86B3" w14:textId="77777777" w:rsidR="00447029" w:rsidRDefault="00447029" w:rsidP="00245976">
      <w:pPr>
        <w:pStyle w:val="ListBullet2"/>
      </w:pPr>
      <w:r>
        <w:t>Trading partners are imposing more requirements on a wider range of imported products. Globally, World Trade Organisation (WTO) sanitary and phytosanitary notifications have been growing at an average rate of 6.3 per cent a year.</w:t>
      </w:r>
    </w:p>
    <w:p w14:paraId="269537CD" w14:textId="77777777" w:rsidR="00447029" w:rsidRDefault="00447029" w:rsidP="00245976">
      <w:pPr>
        <w:pStyle w:val="ListBullet2"/>
      </w:pPr>
      <w:r>
        <w:t>Changing consumer preferences (such as for animal welfare, environment protection and worker conditions) and rising incomes are driving demand for traceability.</w:t>
      </w:r>
    </w:p>
    <w:p w14:paraId="458A84D8" w14:textId="77777777" w:rsidR="00447029" w:rsidRDefault="00447029" w:rsidP="00245976">
      <w:pPr>
        <w:pStyle w:val="ListBullet"/>
      </w:pPr>
      <w:r>
        <w:t>The consequences and costs of Australia not complying with importing country requirements are likely to be significant.</w:t>
      </w:r>
    </w:p>
    <w:p w14:paraId="6E173658" w14:textId="77777777" w:rsidR="00447029" w:rsidRDefault="00447029" w:rsidP="00245976">
      <w:pPr>
        <w:pStyle w:val="ListBullet2"/>
      </w:pPr>
      <w:r>
        <w:t>Improving our traceability systems to enable exporters to prove that importing country requirements are met, and to quickly manage instances where they are not, is necessary for exporters to remain competitive and to maintain and improve market access.</w:t>
      </w:r>
    </w:p>
    <w:p w14:paraId="0B8CD30B" w14:textId="77777777" w:rsidR="00447029" w:rsidRDefault="00447029" w:rsidP="00245976">
      <w:pPr>
        <w:pStyle w:val="ListBullet2"/>
      </w:pPr>
      <w:r>
        <w:t>Any perception that our export certification processes are not delivering required outcomes would likely result in more costly importing country requirements or, potentially, loss of market access.</w:t>
      </w:r>
    </w:p>
    <w:p w14:paraId="34891740" w14:textId="77777777" w:rsidR="00447029" w:rsidRDefault="00447029" w:rsidP="00245976">
      <w:pPr>
        <w:pStyle w:val="ListBullet"/>
      </w:pPr>
      <w:r>
        <w:t>There is an opportunity to improve aspects of existing systems at a national level.</w:t>
      </w:r>
    </w:p>
    <w:p w14:paraId="0A4DCC51" w14:textId="5278B73C" w:rsidR="00447029" w:rsidRDefault="00447029" w:rsidP="00245976">
      <w:pPr>
        <w:pStyle w:val="ListBullet2"/>
      </w:pPr>
      <w:r>
        <w:t>Traceability for some agriculture, food and animal feed products is less mature compared with others. In particular, traceability systems could be strengthened in some sectors which are projected to drive growth in agricultural exports (including horticulture and grain products).</w:t>
      </w:r>
    </w:p>
    <w:p w14:paraId="65A3FFA3" w14:textId="77777777" w:rsidR="00447029" w:rsidRDefault="00447029" w:rsidP="00245976">
      <w:pPr>
        <w:pStyle w:val="ListBullet2"/>
      </w:pPr>
      <w:r>
        <w:t>Current data and information sharing practices between governments can impede effective implementation, enforcement and system improvement.</w:t>
      </w:r>
    </w:p>
    <w:p w14:paraId="5F93039A" w14:textId="77777777" w:rsidR="00447029" w:rsidRDefault="00447029" w:rsidP="00245976">
      <w:pPr>
        <w:pStyle w:val="ListBullet"/>
      </w:pPr>
      <w:r>
        <w:lastRenderedPageBreak/>
        <w:t>Good governance across all jurisdictions and all products is critical for improving traceability.</w:t>
      </w:r>
    </w:p>
    <w:p w14:paraId="25FE20A9" w14:textId="77777777" w:rsidR="00447029" w:rsidRDefault="00447029" w:rsidP="00245976">
      <w:pPr>
        <w:pStyle w:val="ListBullet2"/>
      </w:pPr>
      <w:r>
        <w:t>In some cases there is uncertainty around traceability roles and responsibilities and the acceptable level of harmonisation of regulation between Australian governments.</w:t>
      </w:r>
    </w:p>
    <w:p w14:paraId="3D5E841E" w14:textId="77777777" w:rsidR="0083418F" w:rsidRDefault="00447029" w:rsidP="00447029">
      <w:pPr>
        <w:pStyle w:val="ListBullet2"/>
        <w:sectPr w:rsidR="0083418F" w:rsidSect="0083418F">
          <w:headerReference w:type="default" r:id="rId16"/>
          <w:footerReference w:type="default" r:id="rId17"/>
          <w:headerReference w:type="first" r:id="rId18"/>
          <w:pgSz w:w="11906" w:h="16838"/>
          <w:pgMar w:top="1418" w:right="1700" w:bottom="567" w:left="1134" w:header="567" w:footer="284" w:gutter="0"/>
          <w:pgNumType w:fmt="upperRoman" w:start="1"/>
          <w:cols w:space="708"/>
          <w:titlePg/>
          <w:docGrid w:linePitch="360"/>
        </w:sectPr>
      </w:pPr>
      <w:r>
        <w:t>It will be important to clarify roles and responsibilities of industry and all governments in managing Australia’s agricultural traceability systems.</w:t>
      </w:r>
    </w:p>
    <w:p w14:paraId="2B5E58F9" w14:textId="6FD0254A" w:rsidR="005C7600" w:rsidRPr="00412A32" w:rsidRDefault="005C7600" w:rsidP="00245976">
      <w:pPr>
        <w:pStyle w:val="Heading2"/>
        <w:pageBreakBefore/>
      </w:pPr>
      <w:bookmarkStart w:id="3" w:name="_Toc528072946"/>
      <w:bookmarkEnd w:id="1"/>
      <w:r w:rsidRPr="00412A32">
        <w:lastRenderedPageBreak/>
        <w:t>Australia’s agricultural traceability system</w:t>
      </w:r>
      <w:r w:rsidR="004F7BEC" w:rsidRPr="00412A32">
        <w:t>s</w:t>
      </w:r>
      <w:bookmarkEnd w:id="3"/>
    </w:p>
    <w:p w14:paraId="5D88091E" w14:textId="745A12B6" w:rsidR="005C7600" w:rsidRPr="00FE47DE" w:rsidRDefault="005C7600" w:rsidP="005C7600">
      <w:r w:rsidRPr="00FE47DE">
        <w:t>Australia’s agricultural traceability system</w:t>
      </w:r>
      <w:r w:rsidR="004F7BEC" w:rsidRPr="00FE47DE">
        <w:t>s</w:t>
      </w:r>
      <w:r w:rsidRPr="00FE47DE">
        <w:t xml:space="preserve"> comprise all government regulation and industry arrangements that enable tracing of agricultural production and products, back and forward along entire supply chain</w:t>
      </w:r>
      <w:r w:rsidR="004F7BEC" w:rsidRPr="00FE47DE">
        <w:t>s</w:t>
      </w:r>
      <w:r w:rsidR="00FD59CD" w:rsidRPr="00FE47DE">
        <w:t xml:space="preserve">. </w:t>
      </w:r>
    </w:p>
    <w:p w14:paraId="5789F22F" w14:textId="77777777" w:rsidR="00A16A24" w:rsidRDefault="001C6CA1" w:rsidP="00A16A24">
      <w:pPr>
        <w:rPr>
          <w:lang w:val="en-US"/>
        </w:rPr>
      </w:pPr>
      <w:r w:rsidRPr="00FE47DE">
        <w:rPr>
          <w:lang w:val="en-US"/>
        </w:rPr>
        <w:t>Traceability in agriculture has historically served three main purposes</w:t>
      </w:r>
      <w:r>
        <w:rPr>
          <w:lang w:val="en-US"/>
        </w:rPr>
        <w:t>:</w:t>
      </w:r>
      <w:r w:rsidRPr="00FE47DE">
        <w:rPr>
          <w:lang w:val="en-US"/>
        </w:rPr>
        <w:t xml:space="preserve"> </w:t>
      </w:r>
      <w:r>
        <w:rPr>
          <w:lang w:val="en-US"/>
        </w:rPr>
        <w:t>(1)</w:t>
      </w:r>
      <w:r w:rsidRPr="00FE47DE">
        <w:rPr>
          <w:lang w:val="en-US"/>
        </w:rPr>
        <w:t xml:space="preserve"> mitigating risks related to biosecurity incursions</w:t>
      </w:r>
      <w:r>
        <w:rPr>
          <w:lang w:val="en-US"/>
        </w:rPr>
        <w:t>;</w:t>
      </w:r>
      <w:r w:rsidRPr="00FE47DE">
        <w:rPr>
          <w:lang w:val="en-US"/>
        </w:rPr>
        <w:t xml:space="preserve"> </w:t>
      </w:r>
      <w:r>
        <w:rPr>
          <w:lang w:val="en-US"/>
        </w:rPr>
        <w:t xml:space="preserve">(2) mitigating risks related to </w:t>
      </w:r>
      <w:r w:rsidRPr="00FE47DE">
        <w:rPr>
          <w:lang w:val="en-US"/>
        </w:rPr>
        <w:t>food safety incidents and</w:t>
      </w:r>
      <w:r>
        <w:rPr>
          <w:lang w:val="en-US"/>
        </w:rPr>
        <w:t xml:space="preserve"> (3)</w:t>
      </w:r>
      <w:r w:rsidRPr="00FE47DE">
        <w:rPr>
          <w:lang w:val="en-US"/>
        </w:rPr>
        <w:t xml:space="preserve"> meeting</w:t>
      </w:r>
      <w:r>
        <w:rPr>
          <w:lang w:val="en-US"/>
        </w:rPr>
        <w:t xml:space="preserve"> the</w:t>
      </w:r>
      <w:r w:rsidRPr="00FE47DE">
        <w:rPr>
          <w:lang w:val="en-US"/>
        </w:rPr>
        <w:t xml:space="preserve"> market access requirements of trading partners. </w:t>
      </w:r>
      <w:r w:rsidR="00EE47F0" w:rsidRPr="00FE47DE">
        <w:rPr>
          <w:lang w:val="en-US"/>
        </w:rPr>
        <w:t xml:space="preserve">When necessary, timely and accurate tracing can reduce costly consequences by targeting pest and disease responses, limiting product recalls, </w:t>
      </w:r>
      <w:proofErr w:type="spellStart"/>
      <w:r w:rsidR="00EE47F0" w:rsidRPr="00FE47DE">
        <w:rPr>
          <w:lang w:val="en-US"/>
        </w:rPr>
        <w:t>minimising</w:t>
      </w:r>
      <w:proofErr w:type="spellEnd"/>
      <w:r w:rsidR="00EE47F0" w:rsidRPr="00FE47DE">
        <w:rPr>
          <w:lang w:val="en-US"/>
        </w:rPr>
        <w:t xml:space="preserve"> market disruptions and restoring market access when markets are lost. More recently, traceability is being used to assure third parties about other product attributes, such as authenticity or sustainability.</w:t>
      </w:r>
    </w:p>
    <w:p w14:paraId="1D529B49" w14:textId="621CDEB9" w:rsidR="005C7600" w:rsidRPr="003F6159" w:rsidRDefault="005C7600" w:rsidP="00245976">
      <w:pPr>
        <w:pStyle w:val="Heading2"/>
      </w:pPr>
      <w:bookmarkStart w:id="4" w:name="_Toc528072947"/>
      <w:r w:rsidRPr="003F6159">
        <w:t>Why is traceability so important?</w:t>
      </w:r>
      <w:bookmarkEnd w:id="4"/>
    </w:p>
    <w:p w14:paraId="38E45FD8" w14:textId="5767E676" w:rsidR="00EE47F0" w:rsidRPr="00FE47DE" w:rsidRDefault="00EE47F0" w:rsidP="00EE47F0">
      <w:r w:rsidRPr="00FE47DE">
        <w:t xml:space="preserve">Australia’s traceability systems enable outcomes of national importance. All jurisdictions have contributed to the establishment of regulatory arrangements that complement industry-led systems to support national biosecurity, food safety and market access outcomes. </w:t>
      </w:r>
      <w:r w:rsidR="002C16FC" w:rsidRPr="00FE47DE">
        <w:t>I</w:t>
      </w:r>
      <w:r w:rsidRPr="00FE47DE">
        <w:t xml:space="preserve">n most instances, responsibility for regulatory implementation rests with state and territory governments and industry-led systems </w:t>
      </w:r>
      <w:r w:rsidR="002C16FC" w:rsidRPr="00FE47DE">
        <w:t xml:space="preserve">operating </w:t>
      </w:r>
      <w:r w:rsidRPr="00FE47DE">
        <w:t xml:space="preserve">in their jurisdictions. By itself, compliance with these domestic requirements delivers a range of beneficial outcomes quite apart from underpinning various export requirements. </w:t>
      </w:r>
    </w:p>
    <w:p w14:paraId="51027BE1" w14:textId="7AA56F21" w:rsidR="007E03CC" w:rsidRPr="00FE47DE" w:rsidRDefault="001529A1" w:rsidP="007E03CC">
      <w:bookmarkStart w:id="5" w:name="_Ref511229024"/>
      <w:bookmarkStart w:id="6" w:name="_Toc513110284"/>
      <w:r w:rsidRPr="00FE47DE">
        <w:t>It is expected that t</w:t>
      </w:r>
      <w:r w:rsidR="007E03CC" w:rsidRPr="00FE47DE">
        <w:t xml:space="preserve">rend growth of Australian agriculture will depend on maintaining and improving access to </w:t>
      </w:r>
      <w:r w:rsidR="00104DC5" w:rsidRPr="00FE47DE">
        <w:t>export</w:t>
      </w:r>
      <w:r w:rsidR="007E03CC" w:rsidRPr="00FE47DE">
        <w:t xml:space="preserve"> markets. Exports are vital to Australia’s agricultural industries and, in particular, to regional economies</w:t>
      </w:r>
      <w:r w:rsidR="00DD1F09" w:rsidRPr="00FE47DE">
        <w:t>,</w:t>
      </w:r>
      <w:r w:rsidR="007E03CC" w:rsidRPr="00FE47DE">
        <w:t xml:space="preserve"> as international markets absorb the bulk of Australia’s agricultural production. </w:t>
      </w:r>
      <w:r w:rsidR="00DD1F09" w:rsidRPr="00FE47DE">
        <w:t>The Australian Bureau of Agricultural and Resource Economics (</w:t>
      </w:r>
      <w:r w:rsidR="007E03CC" w:rsidRPr="00FE47DE">
        <w:t>ABARES</w:t>
      </w:r>
      <w:r w:rsidR="00DD1F09" w:rsidRPr="00FE47DE">
        <w:t>)</w:t>
      </w:r>
      <w:r w:rsidR="007E03CC" w:rsidRPr="00FE47DE">
        <w:t xml:space="preserve"> estimates 70 per cent of agricultural production was exported in the three years to 2015–16. In 2016, Australia’s agricultural, fisheries and forestry exports of $54 billion contributed around 16 per cent to Australia’s total export</w:t>
      </w:r>
      <w:r w:rsidR="001C6CA1">
        <w:t xml:space="preserve"> value</w:t>
      </w:r>
      <w:r w:rsidR="007E03CC" w:rsidRPr="00FE47DE">
        <w:t xml:space="preserve"> of goods and services.</w:t>
      </w:r>
    </w:p>
    <w:p w14:paraId="3CFFC8F1" w14:textId="240AFD10" w:rsidR="001E5ACC" w:rsidRDefault="00A260AD" w:rsidP="00A260AD">
      <w:r w:rsidRPr="00FE47DE">
        <w:t xml:space="preserve">Key trading partners are demanding stronger assurances about Australia’s traceability for </w:t>
      </w:r>
      <w:proofErr w:type="gramStart"/>
      <w:r w:rsidRPr="00FE47DE">
        <w:t xml:space="preserve">agricultural </w:t>
      </w:r>
      <w:r w:rsidR="00333452">
        <w:t xml:space="preserve"> and</w:t>
      </w:r>
      <w:proofErr w:type="gramEnd"/>
      <w:r w:rsidR="00333452">
        <w:t xml:space="preserve"> seafood </w:t>
      </w:r>
      <w:r w:rsidRPr="00FE47DE">
        <w:t>products, often by imposing importing country requirements. Consumers are demanding more information about food safety, quality, provenance and sustainability of production. At the same time, emerging and evolving technologies have spawned new solutions and lowered the costs of traceability.</w:t>
      </w:r>
    </w:p>
    <w:p w14:paraId="14D7A946" w14:textId="0BCC3BDF" w:rsidR="00D711F4" w:rsidRPr="00FE47DE" w:rsidRDefault="00A260AD" w:rsidP="00215567">
      <w:pPr>
        <w:spacing w:after="0" w:line="240" w:lineRule="auto"/>
      </w:pPr>
      <w:r w:rsidRPr="00FE47DE">
        <w:t>Changing consumer preferences are driving demand for greater traceability world-wide. Increasing disconnectedness with agricultural systems, increasing incidents of food safety scandals and better</w:t>
      </w:r>
      <w:r w:rsidR="001E5ACC">
        <w:t xml:space="preserve"> </w:t>
      </w:r>
      <w:r w:rsidRPr="00FE47DE">
        <w:t>education have all influence</w:t>
      </w:r>
      <w:r w:rsidR="001C6CA1">
        <w:t>d this demand</w:t>
      </w:r>
      <w:r w:rsidRPr="00FE47DE">
        <w:t xml:space="preserve">. </w:t>
      </w:r>
      <w:r w:rsidR="00256DFF">
        <w:t>C</w:t>
      </w:r>
      <w:r w:rsidRPr="00FE47DE">
        <w:t>onsumers are increasingly demanding robust traceability that verifies product integrity throughout the supply chain</w:t>
      </w:r>
      <w:r w:rsidR="00232438">
        <w:t xml:space="preserve"> a</w:t>
      </w:r>
      <w:r w:rsidRPr="00FE47DE">
        <w:t>nd they are willing to pay for it</w:t>
      </w:r>
      <w:r w:rsidR="00233BF9">
        <w:t xml:space="preserve"> (</w:t>
      </w:r>
      <w:proofErr w:type="spellStart"/>
      <w:r w:rsidR="00233BF9">
        <w:t>Brester</w:t>
      </w:r>
      <w:proofErr w:type="spellEnd"/>
      <w:r w:rsidR="00233BF9">
        <w:t xml:space="preserve"> et al. 2011)</w:t>
      </w:r>
      <w:r w:rsidR="008714C9">
        <w:t>.</w:t>
      </w:r>
    </w:p>
    <w:p w14:paraId="4F33CFE6" w14:textId="3A207F9B" w:rsidR="00090341" w:rsidRDefault="00090341">
      <w:pPr>
        <w:spacing w:after="0" w:line="240" w:lineRule="auto"/>
      </w:pPr>
    </w:p>
    <w:p w14:paraId="1B8445E5" w14:textId="77777777" w:rsidR="0057159A" w:rsidRDefault="0057159A">
      <w:pPr>
        <w:spacing w:after="0" w:line="240" w:lineRule="auto"/>
      </w:pPr>
      <w:r>
        <w:br w:type="page"/>
      </w:r>
    </w:p>
    <w:p w14:paraId="0A422A67" w14:textId="62EF906B" w:rsidR="00A260AD" w:rsidRPr="00FE47DE" w:rsidRDefault="00A260AD" w:rsidP="00767A44">
      <w:pPr>
        <w:spacing w:after="0" w:line="240" w:lineRule="auto"/>
      </w:pPr>
      <w:r w:rsidRPr="00FE47DE">
        <w:lastRenderedPageBreak/>
        <w:t>Not only are consumers demanding more detailed information, but also more timely information. Modern consumers are more connected with communication technologies, educated in environmental issues, and more likely to seek convenience and status in consumption. Their demand for anywhere, anytime information relates to the food safety and provenance, such as the sustainability of processes that have produced and delivered it.</w:t>
      </w:r>
    </w:p>
    <w:p w14:paraId="15110F30" w14:textId="4C6E7CBC" w:rsidR="002C16FC" w:rsidRPr="00FE47DE" w:rsidRDefault="002C16FC" w:rsidP="00A260AD">
      <w:r w:rsidRPr="00FE47DE">
        <w:t>R</w:t>
      </w:r>
      <w:r w:rsidR="00A260AD" w:rsidRPr="00FE47DE">
        <w:t xml:space="preserve">ising incomes and populations are driving </w:t>
      </w:r>
      <w:r w:rsidR="00232438">
        <w:t xml:space="preserve">global </w:t>
      </w:r>
      <w:r w:rsidR="00A260AD" w:rsidRPr="00FE47DE">
        <w:t>demand for high-end agricultural products and foods, which are often characterised by superior traceability</w:t>
      </w:r>
      <w:r w:rsidR="00233BF9">
        <w:t xml:space="preserve"> (CSIRO 2017)</w:t>
      </w:r>
      <w:r w:rsidR="008714C9">
        <w:t>.</w:t>
      </w:r>
      <w:r w:rsidR="00A260AD" w:rsidRPr="00FE47DE">
        <w:t xml:space="preserve"> The medium variant forecast from the United Nations is for the global population to rise by 40 per cent between 2007 and 2050. </w:t>
      </w:r>
    </w:p>
    <w:p w14:paraId="276154C9" w14:textId="40724EB8" w:rsidR="00A260AD" w:rsidRPr="00FE47DE" w:rsidRDefault="00A260AD" w:rsidP="00A260AD">
      <w:r w:rsidRPr="00FE47DE">
        <w:t>Over the same period, total world real income is projected to more than treble</w:t>
      </w:r>
      <w:r w:rsidR="00233BF9">
        <w:t xml:space="preserve"> (United Nations 2011)</w:t>
      </w:r>
      <w:r w:rsidR="008714C9">
        <w:t>.</w:t>
      </w:r>
      <w:r w:rsidRPr="00FE47DE">
        <w:t xml:space="preserve"> Asia is projected to account for the bulk of global growth in </w:t>
      </w:r>
      <w:proofErr w:type="spellStart"/>
      <w:r w:rsidRPr="00FE47DE">
        <w:t>agrifood</w:t>
      </w:r>
      <w:proofErr w:type="spellEnd"/>
      <w:r w:rsidRPr="00FE47DE">
        <w:t xml:space="preserve"> imports to 2050, with substantial increases expected in meat, vegetables and fruit imports—</w:t>
      </w:r>
      <w:r w:rsidR="00232438">
        <w:t>imports widely produced in</w:t>
      </w:r>
      <w:r w:rsidRPr="00FE47DE">
        <w:t xml:space="preserve"> Australia</w:t>
      </w:r>
      <w:r w:rsidR="00233BF9">
        <w:t xml:space="preserve"> (ABARES 2013)</w:t>
      </w:r>
      <w:r w:rsidR="008714C9">
        <w:t>.</w:t>
      </w:r>
      <w:r w:rsidR="00233BF9">
        <w:t xml:space="preserve"> A</w:t>
      </w:r>
      <w:r w:rsidRPr="00FE47DE">
        <w:t xml:space="preserve">ustralia must remain competitive to meet </w:t>
      </w:r>
      <w:r w:rsidR="00232438">
        <w:t xml:space="preserve">the </w:t>
      </w:r>
      <w:r w:rsidRPr="00FE47DE">
        <w:t xml:space="preserve">opportunities provided by </w:t>
      </w:r>
      <w:r w:rsidR="006C6EF6" w:rsidRPr="00FE47DE">
        <w:t xml:space="preserve">this </w:t>
      </w:r>
      <w:r w:rsidRPr="00FE47DE">
        <w:t>demand.</w:t>
      </w:r>
    </w:p>
    <w:p w14:paraId="64093DC7" w14:textId="4A24F297" w:rsidR="00A260AD" w:rsidRPr="001E5ACC" w:rsidRDefault="00A260AD" w:rsidP="003F6159">
      <w:r w:rsidRPr="00FE47DE">
        <w:t>Our trading partners are also imposing more and more complex requirements on their imports. Chief among these are sanitary and phytosanitary (SPS) measures, which countries impose to ensure their consumers are being supplied with food that is safe by their own food safety standards. SPS measures typically involve some level of traceability, directly or indirectly. The total number of SPS notifications provided to the WTO has been increasing at an average rate of 6.3 per cent a year (Figure 1).</w:t>
      </w:r>
    </w:p>
    <w:p w14:paraId="0303B4CE" w14:textId="5AA5351E" w:rsidR="005C7600" w:rsidRPr="00FE47DE" w:rsidRDefault="00E15837" w:rsidP="00E15837">
      <w:pPr>
        <w:pStyle w:val="Caption"/>
      </w:pPr>
      <w:bookmarkStart w:id="7" w:name="_Toc528054593"/>
      <w:bookmarkEnd w:id="5"/>
      <w:bookmarkEnd w:id="6"/>
      <w:r>
        <w:t xml:space="preserve">Figure </w:t>
      </w:r>
      <w:r w:rsidR="00072EAD">
        <w:rPr>
          <w:noProof/>
        </w:rPr>
        <w:fldChar w:fldCharType="begin"/>
      </w:r>
      <w:r w:rsidR="00072EAD">
        <w:rPr>
          <w:noProof/>
        </w:rPr>
        <w:instrText xml:space="preserve"> SEQ Figure \* ARABIC </w:instrText>
      </w:r>
      <w:r w:rsidR="00072EAD">
        <w:rPr>
          <w:noProof/>
        </w:rPr>
        <w:fldChar w:fldCharType="separate"/>
      </w:r>
      <w:r w:rsidR="00AA752E">
        <w:rPr>
          <w:noProof/>
        </w:rPr>
        <w:t>1</w:t>
      </w:r>
      <w:r w:rsidR="00072EAD">
        <w:rPr>
          <w:noProof/>
        </w:rPr>
        <w:fldChar w:fldCharType="end"/>
      </w:r>
      <w:r w:rsidRPr="00FE47DE">
        <w:t xml:space="preserve"> Notifications submitted to the World Trade Organization regarding proposed changes in sanitary or phytosanitary measures, 1997 to 2017</w:t>
      </w:r>
      <w:bookmarkEnd w:id="7"/>
    </w:p>
    <w:p w14:paraId="403BEDC5" w14:textId="77777777" w:rsidR="005C7600" w:rsidRPr="00FE47DE" w:rsidRDefault="005C7600" w:rsidP="005C7600">
      <w:r w:rsidRPr="00FE47DE">
        <w:t xml:space="preserve"> </w:t>
      </w:r>
      <w:r w:rsidRPr="00FE47DE">
        <w:rPr>
          <w:noProof/>
          <w:lang w:eastAsia="en-AU"/>
        </w:rPr>
        <w:drawing>
          <wp:inline distT="0" distB="0" distL="0" distR="0" wp14:anchorId="36AF410E" wp14:editId="642C0692">
            <wp:extent cx="5589917" cy="2510287"/>
            <wp:effectExtent l="0" t="0" r="0" b="4445"/>
            <wp:docPr id="8" name="Chart 8" descr="Figure 1 is a line graph which shows that since 1997 there has been a trend of increasing Sanitary and Phytosanitary measures notifications through time. The x axis shows the year, and the y axis shows the number of notifications up to 1,400 notifications. While there have been periods when the notifications have increased faster than at other times, and during some years there has been a fall in notifications, there is a steady overall increase between 1997 and 2017. In 1995, the number of notifications is sitting around 300, and by 2015, the number of notifications have increased to around 1,250." title="Notifications submitted to the World Trade Organization regarding proposed changes in sanitary or phytosanitary measures, 1997 to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1D7B7B" w14:textId="77777777" w:rsidR="005C7600" w:rsidRDefault="005C7600">
      <w:pPr>
        <w:pStyle w:val="FigureTableNoteSource"/>
        <w:spacing w:before="0"/>
      </w:pPr>
      <w:r w:rsidRPr="00FE47DE">
        <w:t>Note: Excludes addenda, corrigenda and revision notifications.</w:t>
      </w:r>
    </w:p>
    <w:p w14:paraId="6E33AA60" w14:textId="087A5B84" w:rsidR="005C7600" w:rsidRPr="00412A32" w:rsidRDefault="008B172B" w:rsidP="00412A32">
      <w:r w:rsidRPr="00412A32">
        <w:t>For example, j</w:t>
      </w:r>
      <w:r w:rsidR="005C7600" w:rsidRPr="00412A32">
        <w:t xml:space="preserve">ust as </w:t>
      </w:r>
      <w:r w:rsidR="0086591F" w:rsidRPr="00412A32">
        <w:t xml:space="preserve">many importing countries expect their trading partners to </w:t>
      </w:r>
      <w:r w:rsidR="005C7600" w:rsidRPr="00412A32">
        <w:t>hav</w:t>
      </w:r>
      <w:r w:rsidR="0086591F" w:rsidRPr="00412A32">
        <w:t>e</w:t>
      </w:r>
      <w:r w:rsidR="005C7600" w:rsidRPr="00412A32">
        <w:t xml:space="preserve"> robust traceability system</w:t>
      </w:r>
      <w:r w:rsidR="0086591F" w:rsidRPr="00412A32">
        <w:t>s for beef</w:t>
      </w:r>
      <w:r w:rsidR="005C7600" w:rsidRPr="00412A32">
        <w:t>,</w:t>
      </w:r>
      <w:r w:rsidRPr="00412A32">
        <w:t xml:space="preserve"> </w:t>
      </w:r>
      <w:r w:rsidR="005C7600" w:rsidRPr="00412A32">
        <w:t xml:space="preserve">similar expectations </w:t>
      </w:r>
      <w:r w:rsidRPr="00412A32">
        <w:t xml:space="preserve">are now developing for </w:t>
      </w:r>
      <w:r w:rsidR="005C7600" w:rsidRPr="00412A32">
        <w:t xml:space="preserve">plant products. </w:t>
      </w:r>
      <w:r w:rsidR="0086591F" w:rsidRPr="00412A32">
        <w:t>T</w:t>
      </w:r>
      <w:r w:rsidR="005C7600" w:rsidRPr="00412A32">
        <w:t xml:space="preserve">he number of </w:t>
      </w:r>
      <w:r w:rsidRPr="00412A32">
        <w:t xml:space="preserve">SPS </w:t>
      </w:r>
      <w:r w:rsidR="005C7600" w:rsidRPr="00412A32">
        <w:t xml:space="preserve">notifications submitted to the </w:t>
      </w:r>
      <w:r w:rsidR="009225E4" w:rsidRPr="00412A32">
        <w:t>WTO</w:t>
      </w:r>
      <w:r w:rsidR="005C7600" w:rsidRPr="00412A32">
        <w:t xml:space="preserve"> r</w:t>
      </w:r>
      <w:r w:rsidRPr="00412A32">
        <w:t>egarding changes for plant products</w:t>
      </w:r>
      <w:r w:rsidR="005C7600" w:rsidRPr="00412A32">
        <w:t xml:space="preserve"> </w:t>
      </w:r>
      <w:r w:rsidR="0086591F" w:rsidRPr="00412A32">
        <w:t xml:space="preserve">is </w:t>
      </w:r>
      <w:r w:rsidRPr="00412A32">
        <w:t>increasing much</w:t>
      </w:r>
      <w:r w:rsidR="005C7600" w:rsidRPr="00412A32">
        <w:t xml:space="preserve"> faster rate than those for animal products</w:t>
      </w:r>
      <w:r w:rsidR="0086591F" w:rsidRPr="00412A32">
        <w:t xml:space="preserve"> </w:t>
      </w:r>
      <w:r w:rsidR="006254D0" w:rsidRPr="00412A32">
        <w:t>(Figure 2).</w:t>
      </w:r>
      <w:r w:rsidRPr="00412A32">
        <w:t xml:space="preserve"> I</w:t>
      </w:r>
      <w:r w:rsidR="005C7600" w:rsidRPr="00412A32">
        <w:t xml:space="preserve">t would </w:t>
      </w:r>
      <w:r w:rsidRPr="00412A32">
        <w:t xml:space="preserve">therefore </w:t>
      </w:r>
      <w:r w:rsidR="005C7600" w:rsidRPr="00412A32">
        <w:t xml:space="preserve">be pertinent for </w:t>
      </w:r>
      <w:r w:rsidR="00145596" w:rsidRPr="00412A32">
        <w:t>industry and governments</w:t>
      </w:r>
      <w:r w:rsidR="005C7600" w:rsidRPr="00412A32">
        <w:t xml:space="preserve"> to proactively invest in </w:t>
      </w:r>
      <w:r w:rsidRPr="00412A32">
        <w:t xml:space="preserve">plant </w:t>
      </w:r>
      <w:r w:rsidR="005C7600" w:rsidRPr="00412A32">
        <w:t>traceability systems that can verify adherence to the SPS measures.</w:t>
      </w:r>
    </w:p>
    <w:p w14:paraId="4F1C1FFB" w14:textId="0EF39445" w:rsidR="005C7600" w:rsidRPr="00FE47DE" w:rsidRDefault="00E15837" w:rsidP="00E15837">
      <w:pPr>
        <w:pStyle w:val="Caption"/>
      </w:pPr>
      <w:bookmarkStart w:id="8" w:name="_Toc528054594"/>
      <w:r>
        <w:lastRenderedPageBreak/>
        <w:t xml:space="preserve">Figure </w:t>
      </w:r>
      <w:r w:rsidR="00072EAD">
        <w:rPr>
          <w:noProof/>
        </w:rPr>
        <w:fldChar w:fldCharType="begin"/>
      </w:r>
      <w:r w:rsidR="00072EAD">
        <w:rPr>
          <w:noProof/>
        </w:rPr>
        <w:instrText xml:space="preserve"> SEQ Figure \* ARABIC </w:instrText>
      </w:r>
      <w:r w:rsidR="00072EAD">
        <w:rPr>
          <w:noProof/>
        </w:rPr>
        <w:fldChar w:fldCharType="separate"/>
      </w:r>
      <w:r w:rsidR="00AA752E">
        <w:rPr>
          <w:noProof/>
        </w:rPr>
        <w:t>2</w:t>
      </w:r>
      <w:r w:rsidR="00072EAD">
        <w:rPr>
          <w:noProof/>
        </w:rPr>
        <w:fldChar w:fldCharType="end"/>
      </w:r>
      <w:r w:rsidRPr="00FE47DE">
        <w:t xml:space="preserve"> Notifications to the World Trade Organization regarding proposed changes in sanitary or phytosanitary measures, by type of product, 1997 to 2017</w:t>
      </w:r>
      <w:bookmarkEnd w:id="8"/>
    </w:p>
    <w:p w14:paraId="0503CACF" w14:textId="65523CAF" w:rsidR="005C7600" w:rsidRPr="00FE47DE" w:rsidRDefault="005C7600" w:rsidP="00083481">
      <w:pPr>
        <w:spacing w:after="0"/>
      </w:pPr>
      <w:r w:rsidRPr="00FE47DE">
        <w:rPr>
          <w:noProof/>
          <w:lang w:eastAsia="en-AU"/>
        </w:rPr>
        <w:drawing>
          <wp:inline distT="0" distB="0" distL="0" distR="0" wp14:anchorId="75333608" wp14:editId="667EB512">
            <wp:extent cx="5270740" cy="2311879"/>
            <wp:effectExtent l="0" t="0" r="6350" b="0"/>
            <wp:docPr id="17" name="Chart 17" descr="Figure 2 is a line graph which shows that there has been a trend of an increasing number of proposed changes in sanitary or phytosanitary measures (SPS) in plant and animal products from 1997 to 2017. The x axis shows the year, and the y axis shows the number of proposed changes. In 1995, the number of proposed changes in SPS measures for plant products is nearly 100, and by 2017 has reached over 400. In 1995, the number of proposed changes in SPS measures for animal products is just above 100, and by 2017 has reached nearly 400. There are initially more proposed changes in SPS measures for animal products than plant products, but from around 2010 proposed changes for plant products SPS measures overtake those for anima products. While there have been periods when there have been more proposed changes than at other times, and during some years there has been a fall in proposed changes, there is a steady overall increase between 1997 and 2017." title="Notifications to the World Trade Organization regarding proposed changes in sanitary or phytosanitary measures, by type of product, 1997 to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FE47DE">
        <w:t xml:space="preserve"> </w:t>
      </w:r>
    </w:p>
    <w:p w14:paraId="229A7D40" w14:textId="77777777" w:rsidR="00D117CE" w:rsidRDefault="00C66E61" w:rsidP="00D117CE">
      <w:pPr>
        <w:ind w:right="-2"/>
        <w:rPr>
          <w:rFonts w:asciiTheme="majorHAnsi" w:hAnsiTheme="majorHAnsi"/>
        </w:rPr>
      </w:pPr>
      <w:r w:rsidRPr="00FE47DE">
        <w:rPr>
          <w:rFonts w:asciiTheme="majorHAnsi" w:hAnsiTheme="majorHAnsi"/>
        </w:rPr>
        <w:t>The Codex Committee on Food Import and Export Inspection and Certification Systems (CCFICS) is an international committee chaired and hosted by Australia. This committee develops principles and guidelines related to food import and export inspection and certification systems with a view to harmonising methods and procedures which protect the health of consumers, ensure fair trading practices and contribute to facilitating international trade in food stuffs. CCFICS recently identified traceability as one of 10 global emerging issues that will likely impact on the current global food trade system and future directions for the work of CCFICS. Noting the rapidly changing technologies and processes supporting food production, globalisation, and the emergence of other risks, the Committee identified an increasing need to ensure consumers are protected from unsafe foods, with traceability being a component of the systems implemented to achieve this.</w:t>
      </w:r>
    </w:p>
    <w:p w14:paraId="3C6F807B" w14:textId="5E879940" w:rsidR="00EE47F0" w:rsidRPr="003F6159" w:rsidRDefault="00EE47F0" w:rsidP="00245976">
      <w:pPr>
        <w:pStyle w:val="Heading2"/>
      </w:pPr>
      <w:bookmarkStart w:id="9" w:name="_Toc528072948"/>
      <w:r w:rsidRPr="003F6159">
        <w:t>Increasing demands on Australia’s traceability systems</w:t>
      </w:r>
      <w:bookmarkEnd w:id="9"/>
    </w:p>
    <w:p w14:paraId="1CA0D424" w14:textId="130F057E" w:rsidR="00EE47F0" w:rsidRPr="00FE47DE" w:rsidRDefault="00EE47F0" w:rsidP="00EE47F0">
      <w:r w:rsidRPr="00FE47DE">
        <w:t xml:space="preserve">Australia negotiates preferential access to markets in part, by promoting our export certification processes as robust and reliable, and able to meet import requirements. Australia’s ability to provide acceptable assurances to our trading partners translates to enabling access for </w:t>
      </w:r>
      <w:r w:rsidR="00232438">
        <w:t xml:space="preserve">exports of </w:t>
      </w:r>
      <w:r w:rsidRPr="00FE47DE">
        <w:t>large volumes and/or value of agricultural product worldwide. Any perception that the traceability systems underpinning Australia’s export certification processes are not delivering expected outcomes could undermine preferential arrangements and risk greater increases in importing country requirements and attendant compliance costs.</w:t>
      </w:r>
    </w:p>
    <w:p w14:paraId="583FBD78" w14:textId="63AFAE5F" w:rsidR="00A260AD" w:rsidRPr="00FE47DE" w:rsidRDefault="00A260AD" w:rsidP="00A260AD">
      <w:r w:rsidRPr="00FE47DE">
        <w:t xml:space="preserve">Investment in traceability differs among stakeholders. Businesses implement traceability systems to manage commercial risks and pursue profitable opportunities, where consumers demand assurances and product information about quality attributes—provenance, production history and the like. Government involvement in traceability is largely, and should be commensurate with the assessed level of food safety, biosecurity and market access risk, to achieve broader public outcomes. </w:t>
      </w:r>
      <w:r w:rsidR="00CF7CF8">
        <w:t xml:space="preserve">From a government perspective, the </w:t>
      </w:r>
      <w:r w:rsidRPr="00FE47DE">
        <w:t>return on traceability can be improved by leveraging investments to satisfy multiple information needs, for example, from tracing cattle in the event of a disease outbreak to recalling food products from retail sale</w:t>
      </w:r>
      <w:r w:rsidR="00AD5825" w:rsidRPr="00FE47DE">
        <w:t xml:space="preserve"> in the case of a food safety incident</w:t>
      </w:r>
      <w:r w:rsidRPr="00FE47DE">
        <w:t>.</w:t>
      </w:r>
    </w:p>
    <w:p w14:paraId="062B8170" w14:textId="661AF38F" w:rsidR="00EE47F0" w:rsidRPr="00FE47DE" w:rsidRDefault="00A260AD" w:rsidP="00CF7CF8">
      <w:r w:rsidRPr="00FE47DE">
        <w:lastRenderedPageBreak/>
        <w:t>T</w:t>
      </w:r>
      <w:r w:rsidR="00EE47F0" w:rsidRPr="00FE47DE">
        <w:t>here is increasing pressure on our export certification process—a process that issues certificates for more than 70 per cent of Australia’s agricultural and fishery exports to meet specific importing country requirements. Continued growth in exports has increased inspections, audits and certifications</w:t>
      </w:r>
      <w:r w:rsidR="00CF7CF8">
        <w:t xml:space="preserve"> and </w:t>
      </w:r>
      <w:r w:rsidR="00EE47F0" w:rsidRPr="00FE47DE">
        <w:t>the number of certificates</w:t>
      </w:r>
      <w:r w:rsidR="00CF7CF8">
        <w:t xml:space="preserve"> issued has</w:t>
      </w:r>
      <w:r w:rsidR="00EE47F0" w:rsidRPr="00FE47DE">
        <w:t xml:space="preserve"> increased by more than 30 per cent in the past five years. Considerable growth has occurred in grains and horticulture exports in particular, where the Australian Government Department of Agriculture and Water Resources (DAWR) issued 81</w:t>
      </w:r>
      <w:r w:rsidRPr="00FE47DE">
        <w:t>,</w:t>
      </w:r>
      <w:r w:rsidR="00EE47F0" w:rsidRPr="00FE47DE">
        <w:t xml:space="preserve">765 export certificates in 2015–16, up 16.3 per cent on the previous year. </w:t>
      </w:r>
      <w:r w:rsidR="00CF7CF8">
        <w:t>G</w:t>
      </w:r>
      <w:r w:rsidR="00CF7CF8" w:rsidRPr="00FE47DE">
        <w:t xml:space="preserve">rowth in the number and types of importing country requirements </w:t>
      </w:r>
      <w:r w:rsidR="00CF7CF8">
        <w:t xml:space="preserve">for agricultural produce </w:t>
      </w:r>
      <w:r w:rsidR="00CF7CF8" w:rsidRPr="00FE47DE">
        <w:t xml:space="preserve">is occurring across a wide range of products. </w:t>
      </w:r>
      <w:r w:rsidR="00CF7CF8">
        <w:t xml:space="preserve">This growth </w:t>
      </w:r>
      <w:r w:rsidR="00CF7CF8" w:rsidRPr="00FE47DE">
        <w:t>is placing further pressure on Australia’s systems</w:t>
      </w:r>
      <w:r w:rsidR="00CF7CF8">
        <w:t>. A</w:t>
      </w:r>
      <w:r w:rsidR="00EE47F0" w:rsidRPr="00FE47DE">
        <w:t>ll governments will need to work more closely with each other and with industry to ensure export certification processes are robust, verifiable and acceptable to trading partner requirements and expectations.</w:t>
      </w:r>
    </w:p>
    <w:p w14:paraId="656E2FBA" w14:textId="5B013F06" w:rsidR="00EE47F0" w:rsidRPr="00FE47DE" w:rsidRDefault="00EE47F0" w:rsidP="00593783">
      <w:r w:rsidRPr="00FE47DE">
        <w:t xml:space="preserve">Demand for improved traceability is challenging </w:t>
      </w:r>
      <w:r w:rsidR="003814EC">
        <w:t xml:space="preserve">long-held </w:t>
      </w:r>
      <w:r w:rsidRPr="00FE47DE">
        <w:t xml:space="preserve">government arrangements for data and information sharing, particularly as industry supply chains become increasingly digitalised. As industry-held data is vital to timely traceability, it will be critical that industry and </w:t>
      </w:r>
      <w:r w:rsidR="003814EC" w:rsidRPr="00FE47DE">
        <w:t>governments</w:t>
      </w:r>
      <w:r w:rsidR="003814EC">
        <w:t xml:space="preserve"> collaborate as much as possible and share</w:t>
      </w:r>
      <w:r w:rsidR="003814EC" w:rsidRPr="00FE47DE">
        <w:t xml:space="preserve"> </w:t>
      </w:r>
      <w:r w:rsidRPr="00FE47DE">
        <w:t>traceability information along supply chains, as appropriate.</w:t>
      </w:r>
    </w:p>
    <w:p w14:paraId="09321ACC" w14:textId="65C16B4B" w:rsidR="00EE47F0" w:rsidRPr="00FE47DE" w:rsidRDefault="00EE47F0" w:rsidP="00593783">
      <w:r w:rsidRPr="00FE47DE">
        <w:t>Improving Australia’s traceability system will require investment</w:t>
      </w:r>
      <w:r w:rsidR="00593783" w:rsidRPr="00FE47DE">
        <w:t xml:space="preserve"> in more advanced IT systems to </w:t>
      </w:r>
      <w:r w:rsidRPr="00FE47DE">
        <w:t>allow for a more nationally cohesive approach to data and information sharing that better supports regul</w:t>
      </w:r>
      <w:r w:rsidR="00593783" w:rsidRPr="00FE47DE">
        <w:t xml:space="preserve">atory traceability requirements and help </w:t>
      </w:r>
      <w:r w:rsidRPr="00FE47DE">
        <w:t>Australia</w:t>
      </w:r>
      <w:r w:rsidR="003814EC">
        <w:t xml:space="preserve">n </w:t>
      </w:r>
      <w:r w:rsidR="001E5ACC">
        <w:t xml:space="preserve">exporters and </w:t>
      </w:r>
      <w:r w:rsidR="003814EC">
        <w:t>producers to</w:t>
      </w:r>
      <w:r w:rsidRPr="00FE47DE">
        <w:t xml:space="preserve"> keep pace with developments in global trade.</w:t>
      </w:r>
    </w:p>
    <w:p w14:paraId="342CDC09" w14:textId="77777777" w:rsidR="00D117CE" w:rsidRDefault="00EE47F0" w:rsidP="00D117CE">
      <w:r w:rsidRPr="00FE47DE">
        <w:t>Declining costs and wider availability of increasingly-advanced information and communication technology are enabling more effective and efficient traceability systems to be developed and implemented along diverse supply chains.</w:t>
      </w:r>
      <w:r w:rsidR="003814EC">
        <w:t xml:space="preserve"> It is important that Australia take advantage of these opportunities.</w:t>
      </w:r>
    </w:p>
    <w:p w14:paraId="7D882CE1" w14:textId="38021CC9" w:rsidR="005C7600" w:rsidRPr="00412A32" w:rsidRDefault="005C7600" w:rsidP="00245976">
      <w:pPr>
        <w:pStyle w:val="Heading2"/>
      </w:pPr>
      <w:bookmarkStart w:id="10" w:name="_Toc528072949"/>
      <w:r w:rsidRPr="00412A32">
        <w:t>How well are systems performing?</w:t>
      </w:r>
      <w:bookmarkEnd w:id="10"/>
    </w:p>
    <w:p w14:paraId="55C27833" w14:textId="5535DEB1" w:rsidR="00EE47F0" w:rsidRPr="00FE47DE" w:rsidRDefault="009E20CB" w:rsidP="005C7600">
      <w:r w:rsidRPr="00FE47DE">
        <w:t xml:space="preserve">Australia’s export certification system is highly regarded and its robustness has been fundamental to achieving market access for our agricultural exports. </w:t>
      </w:r>
      <w:r w:rsidR="00EE47F0" w:rsidRPr="00FE47DE">
        <w:t xml:space="preserve">Australia has a </w:t>
      </w:r>
      <w:r w:rsidR="00C2248D">
        <w:t>strong</w:t>
      </w:r>
      <w:r w:rsidR="00EE47F0" w:rsidRPr="00FE47DE">
        <w:t>, transparent and mature regulatory framework to ensure that</w:t>
      </w:r>
      <w:r w:rsidR="00C2248D">
        <w:t xml:space="preserve"> Australian agricultural produce</w:t>
      </w:r>
      <w:r w:rsidR="001E5ACC">
        <w:t xml:space="preserve">, including </w:t>
      </w:r>
      <w:r w:rsidR="00EE47F0" w:rsidRPr="00FE47DE">
        <w:t>food produced in Australia</w:t>
      </w:r>
      <w:r w:rsidR="001E5ACC">
        <w:t>,</w:t>
      </w:r>
      <w:r w:rsidR="00EE47F0" w:rsidRPr="00FE47DE">
        <w:t xml:space="preserve"> is safe for domestic consumption and export.</w:t>
      </w:r>
    </w:p>
    <w:p w14:paraId="49721086" w14:textId="42527310" w:rsidR="00EE47F0" w:rsidRPr="00FE47DE" w:rsidRDefault="00EE47F0" w:rsidP="00EE47F0">
      <w:r w:rsidRPr="00FE47DE">
        <w:t xml:space="preserve">Traceability systems for agricultural products are usually successful when required for tracing produce to assure food safety and protect human health. </w:t>
      </w:r>
      <w:r w:rsidR="00C2248D">
        <w:t>However, t</w:t>
      </w:r>
      <w:r w:rsidRPr="00FE47DE">
        <w:t xml:space="preserve">here are opportunities to improve performance across all industries with unique challenges for each. The effectiveness of Australia’s systems for tracing agricultural products varies and is heavily influenced by practicalities and the risks (biosecurity and food safety) posed by the product. Successful and cost-effective tracing in </w:t>
      </w:r>
      <w:r w:rsidR="00DE31AC" w:rsidRPr="00FE47DE">
        <w:t>all industries could be impeded,</w:t>
      </w:r>
      <w:r w:rsidRPr="00FE47DE">
        <w:t xml:space="preserve"> for instance</w:t>
      </w:r>
      <w:r w:rsidR="00DE31AC" w:rsidRPr="00FE47DE">
        <w:t>,</w:t>
      </w:r>
      <w:r w:rsidRPr="00FE47DE">
        <w:t xml:space="preserve"> by the cumulative effect of unlabelled produce and inconsistent </w:t>
      </w:r>
      <w:r w:rsidRPr="00FE47DE" w:rsidDel="009D7F7D">
        <w:t>record-keeping</w:t>
      </w:r>
      <w:r w:rsidRPr="00FE47DE">
        <w:t>.</w:t>
      </w:r>
    </w:p>
    <w:p w14:paraId="61C6BD07" w14:textId="4CD86469" w:rsidR="00C66E61" w:rsidRDefault="00C66E61" w:rsidP="005C7600">
      <w:pPr>
        <w:rPr>
          <w:spacing w:val="-2"/>
        </w:rPr>
      </w:pPr>
      <w:r w:rsidRPr="00FE47DE">
        <w:t xml:space="preserve">Australia’s competitive advantage as a leading exporter of agricultural production </w:t>
      </w:r>
      <w:r w:rsidR="00C2248D">
        <w:t xml:space="preserve">needs to be protected. </w:t>
      </w:r>
      <w:r w:rsidRPr="00FE47DE">
        <w:t>Other major agricultural exporting countries have</w:t>
      </w:r>
      <w:r w:rsidR="00DE31AC" w:rsidRPr="00FE47DE">
        <w:t xml:space="preserve"> implemented</w:t>
      </w:r>
      <w:r w:rsidRPr="00FE47DE">
        <w:t>, or are in the process of implementing new traceability systems</w:t>
      </w:r>
      <w:r w:rsidR="00C2248D">
        <w:t xml:space="preserve"> and</w:t>
      </w:r>
      <w:r w:rsidRPr="00FE47DE">
        <w:t xml:space="preserve"> </w:t>
      </w:r>
      <w:r w:rsidRPr="00FE47DE">
        <w:rPr>
          <w:spacing w:val="-2"/>
        </w:rPr>
        <w:t xml:space="preserve">Australia faces the </w:t>
      </w:r>
      <w:r w:rsidR="00C2248D">
        <w:rPr>
          <w:spacing w:val="-2"/>
        </w:rPr>
        <w:t xml:space="preserve">growing </w:t>
      </w:r>
      <w:r w:rsidRPr="00FE47DE">
        <w:rPr>
          <w:spacing w:val="-2"/>
        </w:rPr>
        <w:t>threat of other exporting countries capturing a larger market share by demonstrating traceability to differentiate their products even where importing countries do not impose traceability requirements.</w:t>
      </w:r>
    </w:p>
    <w:p w14:paraId="564CBB36" w14:textId="67F02985" w:rsidR="005C7600" w:rsidRPr="00245976" w:rsidRDefault="001529A1" w:rsidP="00412A32">
      <w:r w:rsidRPr="00FE47DE">
        <w:rPr>
          <w:spacing w:val="-2"/>
        </w:rPr>
        <w:lastRenderedPageBreak/>
        <w:t xml:space="preserve">In a </w:t>
      </w:r>
      <w:r w:rsidR="008714C9">
        <w:rPr>
          <w:spacing w:val="-2"/>
        </w:rPr>
        <w:t xml:space="preserve">global </w:t>
      </w:r>
      <w:r w:rsidRPr="00FE47DE">
        <w:rPr>
          <w:spacing w:val="-2"/>
        </w:rPr>
        <w:t xml:space="preserve">comparative study </w:t>
      </w:r>
      <w:r w:rsidR="008714C9">
        <w:rPr>
          <w:spacing w:val="-2"/>
        </w:rPr>
        <w:t xml:space="preserve">on food </w:t>
      </w:r>
      <w:proofErr w:type="spellStart"/>
      <w:r w:rsidR="008714C9">
        <w:rPr>
          <w:spacing w:val="-2"/>
        </w:rPr>
        <w:t>traceability</w:t>
      </w:r>
      <w:r w:rsidR="00145596">
        <w:rPr>
          <w:spacing w:val="-2"/>
        </w:rPr>
        <w:t>,</w:t>
      </w:r>
      <w:r w:rsidR="005C7600" w:rsidRPr="00FE47DE">
        <w:rPr>
          <w:spacing w:val="-2"/>
        </w:rPr>
        <w:t>Australia</w:t>
      </w:r>
      <w:proofErr w:type="spellEnd"/>
      <w:r w:rsidR="005C7600" w:rsidRPr="00FE47DE">
        <w:rPr>
          <w:spacing w:val="-2"/>
        </w:rPr>
        <w:t xml:space="preserve"> </w:t>
      </w:r>
      <w:r w:rsidR="00822B82" w:rsidRPr="00FE47DE">
        <w:rPr>
          <w:spacing w:val="-2"/>
        </w:rPr>
        <w:t xml:space="preserve">was considered to have strong livestock </w:t>
      </w:r>
      <w:r w:rsidR="00822B82" w:rsidRPr="00FE47DE">
        <w:t>identification</w:t>
      </w:r>
      <w:r w:rsidR="00822B82" w:rsidRPr="00FE47DE">
        <w:rPr>
          <w:spacing w:val="-2"/>
        </w:rPr>
        <w:t xml:space="preserve"> and traceability systems, however </w:t>
      </w:r>
      <w:r w:rsidR="00F06CBB" w:rsidRPr="00FE47DE">
        <w:rPr>
          <w:spacing w:val="-2"/>
        </w:rPr>
        <w:t>it was</w:t>
      </w:r>
      <w:r w:rsidRPr="00FE47DE">
        <w:rPr>
          <w:spacing w:val="-2"/>
        </w:rPr>
        <w:t xml:space="preserve"> </w:t>
      </w:r>
      <w:r w:rsidR="005C7600" w:rsidRPr="00FE47DE">
        <w:rPr>
          <w:spacing w:val="-2"/>
        </w:rPr>
        <w:t>ranked ‘average’</w:t>
      </w:r>
      <w:r w:rsidR="00822B82" w:rsidRPr="00FE47DE">
        <w:rPr>
          <w:spacing w:val="-2"/>
        </w:rPr>
        <w:t xml:space="preserve"> </w:t>
      </w:r>
      <w:r w:rsidR="000F7132" w:rsidRPr="00FE47DE">
        <w:rPr>
          <w:spacing w:val="-2"/>
        </w:rPr>
        <w:t>across all commodities</w:t>
      </w:r>
      <w:r w:rsidR="005C7600" w:rsidRPr="00FE47DE">
        <w:rPr>
          <w:spacing w:val="-2"/>
        </w:rPr>
        <w:t>, along with Canada, Japan, Brazil, New Zealand, and the United States</w:t>
      </w:r>
      <w:r w:rsidR="00D711F4">
        <w:rPr>
          <w:spacing w:val="-2"/>
        </w:rPr>
        <w:t xml:space="preserve"> (</w:t>
      </w:r>
      <w:proofErr w:type="spellStart"/>
      <w:r w:rsidR="00D711F4">
        <w:rPr>
          <w:spacing w:val="-2"/>
        </w:rPr>
        <w:t>Charlebois</w:t>
      </w:r>
      <w:proofErr w:type="spellEnd"/>
      <w:r w:rsidR="00D711F4">
        <w:rPr>
          <w:spacing w:val="-2"/>
        </w:rPr>
        <w:t xml:space="preserve"> et al. 2014)</w:t>
      </w:r>
      <w:r w:rsidR="005C7600" w:rsidRPr="00FE47DE">
        <w:rPr>
          <w:spacing w:val="-2"/>
        </w:rPr>
        <w:t xml:space="preserve">. Countries whose food traceability ranked higher (‘superior’) were 11 member countries of the European Union (Austria, Belgium, Denmark, Finland, France, Germany, Ireland, Italy, Netherlands, Sweden </w:t>
      </w:r>
      <w:r w:rsidR="005C7600" w:rsidRPr="00245976">
        <w:t xml:space="preserve">and United Kingdom), as well as Norway and Switzerland. </w:t>
      </w:r>
      <w:r w:rsidR="00F06CBB" w:rsidRPr="00245976">
        <w:t>The report noted that requirements to enable tracing of most foods from farm to fork are absent.</w:t>
      </w:r>
    </w:p>
    <w:p w14:paraId="3258C211" w14:textId="34DB5730" w:rsidR="000F16C4" w:rsidRDefault="001E5ACC" w:rsidP="00412A32">
      <w:r w:rsidRPr="00412A32">
        <w:t xml:space="preserve">Information collected from jurisdictions in 2018 </w:t>
      </w:r>
      <w:r w:rsidR="00105EB5" w:rsidRPr="00412A32">
        <w:t>suggests</w:t>
      </w:r>
      <w:r w:rsidR="005C7600" w:rsidRPr="00412A32">
        <w:t xml:space="preserve"> that</w:t>
      </w:r>
      <w:r w:rsidR="005C7600" w:rsidRPr="00FE47DE">
        <w:t xml:space="preserve"> performance</w:t>
      </w:r>
      <w:r w:rsidR="00F4547D" w:rsidRPr="00FE47DE">
        <w:t xml:space="preserve"> of and justification for</w:t>
      </w:r>
      <w:r w:rsidR="005C7600" w:rsidRPr="00FE47DE">
        <w:t xml:space="preserve"> individual traceability systems in Australia </w:t>
      </w:r>
      <w:r w:rsidR="002900DC" w:rsidRPr="00FE47DE">
        <w:t>var</w:t>
      </w:r>
      <w:r w:rsidR="002900DC">
        <w:t>y</w:t>
      </w:r>
      <w:r w:rsidR="002900DC" w:rsidRPr="00FE47DE">
        <w:t xml:space="preserve"> considerably</w:t>
      </w:r>
      <w:r w:rsidR="005C7600" w:rsidRPr="00FE47DE">
        <w:t xml:space="preserve"> by product group and by purpose</w:t>
      </w:r>
      <w:r w:rsidR="002E0104" w:rsidRPr="00FE47DE">
        <w:t xml:space="preserve"> </w:t>
      </w:r>
      <w:r w:rsidR="00B4700D">
        <w:t>noting g</w:t>
      </w:r>
      <w:r w:rsidR="0086591F" w:rsidRPr="00FE47DE">
        <w:t>overnment r</w:t>
      </w:r>
      <w:r w:rsidR="005C7600" w:rsidRPr="00FE47DE">
        <w:t xml:space="preserve">egulation or well-developed industry systems typically underpin </w:t>
      </w:r>
      <w:r w:rsidR="002E0104" w:rsidRPr="00FE47DE">
        <w:t xml:space="preserve">robust traceability </w:t>
      </w:r>
      <w:r w:rsidR="005C7600" w:rsidRPr="00FE47DE">
        <w:t xml:space="preserve">systems. </w:t>
      </w:r>
      <w:r w:rsidR="000F16C4">
        <w:t>This analysis included reference to Chapter 4 Primary Production and Production Standards of the Australia New Zealand Food Standards Code that are mandatory requirements in all Australian jurisdictions. These standards provide for paddock to plate regulation of seafood, poultry, meat, dairy, eggs and seed sprouts, inclusive of traceability requirements.</w:t>
      </w:r>
    </w:p>
    <w:p w14:paraId="10589BAC" w14:textId="0623E616" w:rsidR="000F16C4" w:rsidRPr="00FE47DE" w:rsidRDefault="000F16C4" w:rsidP="005C7600">
      <w:r>
        <w:t xml:space="preserve">In June 2018, in response to recent increases in foodborne illness outbreaks in high risk horticulture products in Australia, the Australia New Zealand Legislative and Governance Forum for Food Regulation requested that FSANZ </w:t>
      </w:r>
      <w:r w:rsidRPr="00426171">
        <w:t>identify appropriate regulatory and non-regulatory measures to manage food safety risks in</w:t>
      </w:r>
      <w:r>
        <w:t xml:space="preserve"> </w:t>
      </w:r>
      <w:r w:rsidRPr="00426171">
        <w:t>ready to eat, minimally processed fruits and vegetables, fresh leafy green vegetables, melons, berries, and</w:t>
      </w:r>
      <w:r>
        <w:t xml:space="preserve"> seed</w:t>
      </w:r>
      <w:r w:rsidRPr="00426171">
        <w:t xml:space="preserve"> sprouts.</w:t>
      </w:r>
    </w:p>
    <w:p w14:paraId="4C03E314" w14:textId="679421BC" w:rsidR="00EE47F0" w:rsidRPr="00FE47DE" w:rsidRDefault="00EE47F0" w:rsidP="00EE47F0">
      <w:r w:rsidRPr="00FE47DE">
        <w:t>T</w:t>
      </w:r>
      <w:r w:rsidR="003032A9" w:rsidRPr="00FE47DE">
        <w:t xml:space="preserve">here is scope to </w:t>
      </w:r>
      <w:r w:rsidR="008F1FF0" w:rsidRPr="00FE47DE">
        <w:t>strengthen</w:t>
      </w:r>
      <w:r w:rsidR="003032A9" w:rsidRPr="00FE47DE">
        <w:t xml:space="preserve"> </w:t>
      </w:r>
      <w:r w:rsidR="008F1FF0" w:rsidRPr="00FE47DE">
        <w:t xml:space="preserve">Australia’s traceability systems. </w:t>
      </w:r>
      <w:r w:rsidRPr="00FE47DE">
        <w:t>A single, national approach to property identification (including all properties with terrestrial and aquatic animals, and plant production activities) is a fundamental first step to improving traceability. The National Biosecurity Committee is progressing development and implementation of a national property identification system by 2022.</w:t>
      </w:r>
    </w:p>
    <w:p w14:paraId="2E108B7B" w14:textId="70CCD06D" w:rsidR="00EE47F0" w:rsidRPr="00FE47DE" w:rsidRDefault="00AD5825" w:rsidP="00EE47F0">
      <w:r w:rsidRPr="00FE47DE">
        <w:t>A</w:t>
      </w:r>
      <w:r w:rsidR="008F1FF0" w:rsidRPr="00FE47DE">
        <w:t xml:space="preserve">dvancing </w:t>
      </w:r>
      <w:r w:rsidR="003032A9" w:rsidRPr="00FE47DE">
        <w:t>livestock traceability, potentially by agreeing to consistent implementation and transparent performance assessment regimes, including more frequent audits, regular reporting against performance measures and investment in resea</w:t>
      </w:r>
      <w:r w:rsidRPr="00FE47DE">
        <w:t>rch to identify initiatives,</w:t>
      </w:r>
      <w:r w:rsidR="003032A9" w:rsidRPr="00FE47DE">
        <w:t xml:space="preserve"> could improve compliance.</w:t>
      </w:r>
      <w:r w:rsidR="00DB6A66" w:rsidRPr="00FE47DE">
        <w:t xml:space="preserve"> </w:t>
      </w:r>
      <w:r w:rsidR="00EE47F0" w:rsidRPr="00FE47DE">
        <w:t xml:space="preserve"> </w:t>
      </w:r>
      <w:r w:rsidR="00560F7C">
        <w:t>A recent assessment of</w:t>
      </w:r>
      <w:r w:rsidR="00EE47F0" w:rsidRPr="00FE47DE">
        <w:t xml:space="preserve"> traceability performance also revealed other product groupings with scope for improvement including live animal and animal feed categories.</w:t>
      </w:r>
    </w:p>
    <w:p w14:paraId="72D4D470" w14:textId="7C64CD85" w:rsidR="00EE47F0" w:rsidRPr="00412A32" w:rsidRDefault="00AD5825" w:rsidP="00412A32">
      <w:r w:rsidRPr="00FE47DE">
        <w:t>T</w:t>
      </w:r>
      <w:r w:rsidR="008F1FF0" w:rsidRPr="00FE47DE">
        <w:t xml:space="preserve">here are </w:t>
      </w:r>
      <w:r w:rsidR="00836424" w:rsidRPr="00FE47DE">
        <w:t>opportunities</w:t>
      </w:r>
      <w:r w:rsidR="00AC2112" w:rsidRPr="00FE47DE">
        <w:t xml:space="preserve"> for improvements to </w:t>
      </w:r>
      <w:r w:rsidR="005C7600" w:rsidRPr="00FE47DE">
        <w:t xml:space="preserve">traceability </w:t>
      </w:r>
      <w:r w:rsidR="00AC2112" w:rsidRPr="00FE47DE">
        <w:t xml:space="preserve">of </w:t>
      </w:r>
      <w:r w:rsidR="0002612E" w:rsidRPr="00FE47DE">
        <w:t xml:space="preserve">Australian </w:t>
      </w:r>
      <w:r w:rsidR="005C7600" w:rsidRPr="00FE47DE">
        <w:t xml:space="preserve">horticultural </w:t>
      </w:r>
      <w:r w:rsidR="00333452">
        <w:t xml:space="preserve">and seafood </w:t>
      </w:r>
      <w:r w:rsidR="005C7600" w:rsidRPr="00FE47DE">
        <w:t xml:space="preserve">products </w:t>
      </w:r>
      <w:r w:rsidR="00041A40" w:rsidRPr="00FE47DE">
        <w:t>and</w:t>
      </w:r>
      <w:r w:rsidR="005C7600" w:rsidRPr="00FE47DE">
        <w:t xml:space="preserve"> grains</w:t>
      </w:r>
      <w:r w:rsidR="00C46BAC" w:rsidRPr="00FE47DE">
        <w:t xml:space="preserve"> </w:t>
      </w:r>
      <w:r w:rsidR="00836424" w:rsidRPr="00FE47DE">
        <w:t>particularly</w:t>
      </w:r>
      <w:r w:rsidR="00C46BAC" w:rsidRPr="00FE47DE">
        <w:t xml:space="preserve"> in the regulatory sphere</w:t>
      </w:r>
      <w:r w:rsidR="005C7600" w:rsidRPr="00FE47DE">
        <w:t xml:space="preserve">. </w:t>
      </w:r>
      <w:r w:rsidR="007275AF" w:rsidRPr="00FE47DE">
        <w:t>However, it is important to note that h</w:t>
      </w:r>
      <w:r w:rsidR="005C7600" w:rsidRPr="00FE47DE">
        <w:t>orticulture is a diverse industry</w:t>
      </w:r>
      <w:r w:rsidR="00BF59A0">
        <w:t xml:space="preserve"> and t</w:t>
      </w:r>
      <w:r w:rsidR="007275AF" w:rsidRPr="00FE47DE">
        <w:t>he biosecurity and food safety risk of products and production methods vary greatly by product</w:t>
      </w:r>
      <w:r w:rsidR="005C7600" w:rsidRPr="00FE47DE">
        <w:t xml:space="preserve"> and traceability performance is mixed. </w:t>
      </w:r>
      <w:r w:rsidR="007275AF" w:rsidRPr="00FE47DE">
        <w:t>S</w:t>
      </w:r>
      <w:r w:rsidR="005C7600" w:rsidRPr="00FE47DE">
        <w:t xml:space="preserve">ome </w:t>
      </w:r>
      <w:r w:rsidR="00BF59A0">
        <w:t xml:space="preserve">producers and </w:t>
      </w:r>
      <w:r w:rsidR="00966E1E">
        <w:t>exporters</w:t>
      </w:r>
      <w:r w:rsidR="005C7600" w:rsidRPr="00FE47DE">
        <w:t xml:space="preserve"> have well-developed</w:t>
      </w:r>
      <w:r w:rsidR="00AC2112" w:rsidRPr="00FE47DE">
        <w:t xml:space="preserve"> commercial </w:t>
      </w:r>
      <w:r w:rsidR="005C7600" w:rsidRPr="00FE47DE">
        <w:t>traceability systems to</w:t>
      </w:r>
      <w:r w:rsidR="009860C3" w:rsidRPr="00FE47DE">
        <w:t xml:space="preserve"> pursue </w:t>
      </w:r>
      <w:r w:rsidR="009860C3" w:rsidRPr="00412A32">
        <w:t xml:space="preserve">commercial opportunities </w:t>
      </w:r>
      <w:r w:rsidR="007275AF" w:rsidRPr="00412A32">
        <w:t>(</w:t>
      </w:r>
      <w:r w:rsidR="009860C3" w:rsidRPr="00412A32">
        <w:t>such as exporting to high-value markets</w:t>
      </w:r>
      <w:r w:rsidR="007275AF" w:rsidRPr="00412A32">
        <w:t>,</w:t>
      </w:r>
      <w:r w:rsidR="009860C3" w:rsidRPr="00412A32">
        <w:t xml:space="preserve"> or certify</w:t>
      </w:r>
      <w:r w:rsidR="000C1AA0" w:rsidRPr="00412A32">
        <w:t>ing</w:t>
      </w:r>
      <w:r w:rsidR="009860C3" w:rsidRPr="00412A32">
        <w:t xml:space="preserve"> produce as organic</w:t>
      </w:r>
      <w:r w:rsidR="007275AF" w:rsidRPr="00412A32">
        <w:t>), while other segments do not.</w:t>
      </w:r>
    </w:p>
    <w:p w14:paraId="59C93461" w14:textId="422D651F" w:rsidR="00966E1E" w:rsidRDefault="00EE47F0" w:rsidP="00245976">
      <w:r w:rsidRPr="00412A32">
        <w:t xml:space="preserve">When considered from a national perspective, traceability systems for fresh horticultural products were identified as in most need of advancement to </w:t>
      </w:r>
      <w:r w:rsidR="00AC2112" w:rsidRPr="00412A32">
        <w:t xml:space="preserve">increase the speed of </w:t>
      </w:r>
      <w:r w:rsidRPr="00412A32">
        <w:t>response to biosecurity incidents, assure food safety, protect human health and achieve favourable market</w:t>
      </w:r>
      <w:r w:rsidRPr="00FE47DE">
        <w:t xml:space="preserve"> access outcomes. Doing so will </w:t>
      </w:r>
      <w:r w:rsidR="00AC2112" w:rsidRPr="00FE47DE">
        <w:t xml:space="preserve">also </w:t>
      </w:r>
      <w:r w:rsidRPr="00FE47DE">
        <w:t xml:space="preserve">reduce risk of economic loss and provide insurance for Australia’s reputation as a supplier of safe and </w:t>
      </w:r>
      <w:proofErr w:type="spellStart"/>
      <w:r w:rsidRPr="00FE47DE">
        <w:t>biosecure</w:t>
      </w:r>
      <w:proofErr w:type="spellEnd"/>
      <w:r w:rsidRPr="00FE47DE">
        <w:t xml:space="preserve"> products.</w:t>
      </w:r>
    </w:p>
    <w:p w14:paraId="43000537" w14:textId="628D2F33" w:rsidR="00EE47F0" w:rsidRPr="00FE47DE" w:rsidRDefault="00EE47F0" w:rsidP="00A260AD">
      <w:pPr>
        <w:keepLines/>
      </w:pPr>
      <w:r w:rsidRPr="00412A32">
        <w:lastRenderedPageBreak/>
        <w:t>Improving traceability in the horticultural industry is challenging because of supply chain complexity, product aggregation and the large number of small producers. However, the growth projected to occur in this industry over the medium term depends on favourable market access arrangements</w:t>
      </w:r>
      <w:r w:rsidRPr="00FE47DE">
        <w:t xml:space="preserve"> and good industry reputation, underpinned by robust traceability systems. Further analysis, in consultation with industry, </w:t>
      </w:r>
      <w:r w:rsidR="00BF59A0">
        <w:t>would help</w:t>
      </w:r>
      <w:r w:rsidRPr="00FE47DE">
        <w:t xml:space="preserve"> determine the best evidence-based approach to improving traceability of horticultural products, such as improved self-regulation or stronger state regulation of high risk products.</w:t>
      </w:r>
    </w:p>
    <w:p w14:paraId="2E028D94" w14:textId="24572841" w:rsidR="00041A40" w:rsidRPr="00FE47DE" w:rsidRDefault="0002612E" w:rsidP="005C7600">
      <w:bookmarkStart w:id="11" w:name="_Ref511229139"/>
      <w:r w:rsidRPr="00FE47DE">
        <w:t xml:space="preserve">These observations are </w:t>
      </w:r>
      <w:r w:rsidR="00BF59A0">
        <w:t>important because</w:t>
      </w:r>
      <w:r w:rsidR="00DB7D03" w:rsidRPr="00FE47DE">
        <w:t xml:space="preserve"> much of the growth in agricultural exports over the medium term is expected to stem from </w:t>
      </w:r>
      <w:r w:rsidR="00F21219" w:rsidRPr="00FE47DE">
        <w:t>horticulture and grains</w:t>
      </w:r>
      <w:r w:rsidR="00DB7D03" w:rsidRPr="00FE47DE">
        <w:t xml:space="preserve"> </w:t>
      </w:r>
      <w:r w:rsidR="006254D0" w:rsidRPr="00FE47DE">
        <w:t>(Figure 3).</w:t>
      </w:r>
      <w:r w:rsidR="00DB7D03" w:rsidRPr="00FE47DE">
        <w:t xml:space="preserve"> </w:t>
      </w:r>
      <w:r w:rsidR="00BF59A0">
        <w:t>This growth</w:t>
      </w:r>
      <w:r w:rsidR="00DB7D03" w:rsidRPr="00FE47DE">
        <w:t xml:space="preserve"> is significant nationally as horticultural exports have been growing strongly in all state</w:t>
      </w:r>
      <w:r w:rsidR="00F21219" w:rsidRPr="00FE47DE">
        <w:t>s</w:t>
      </w:r>
      <w:r w:rsidR="00DB7D03" w:rsidRPr="00FE47DE">
        <w:t xml:space="preserve"> and territories</w:t>
      </w:r>
      <w:r w:rsidR="007275AF" w:rsidRPr="00FE47DE">
        <w:t xml:space="preserve"> </w:t>
      </w:r>
      <w:r w:rsidRPr="00FE47DE">
        <w:t xml:space="preserve">often outpacing the evolution of Australia’s </w:t>
      </w:r>
      <w:r w:rsidR="007275AF" w:rsidRPr="00FE47DE">
        <w:t>traceability systems</w:t>
      </w:r>
      <w:r w:rsidR="00223E8B" w:rsidRPr="00FE47DE">
        <w:t xml:space="preserve"> </w:t>
      </w:r>
      <w:r w:rsidR="006254D0" w:rsidRPr="00FE47DE">
        <w:t>(Figure 4).</w:t>
      </w:r>
      <w:r w:rsidR="00DB7D03" w:rsidRPr="00FE47DE">
        <w:t xml:space="preserve"> </w:t>
      </w:r>
      <w:r w:rsidR="00F21219" w:rsidRPr="00FE47DE">
        <w:t>Moreover, growth in i</w:t>
      </w:r>
      <w:r w:rsidR="008B38DC" w:rsidRPr="00FE47DE">
        <w:t xml:space="preserve">mporting country requirements for plant products </w:t>
      </w:r>
      <w:r w:rsidR="00F21219" w:rsidRPr="00FE47DE">
        <w:t>has been substantial</w:t>
      </w:r>
      <w:r w:rsidR="008B38DC" w:rsidRPr="00FE47DE">
        <w:t xml:space="preserve"> </w:t>
      </w:r>
      <w:r w:rsidR="006254D0" w:rsidRPr="00FE47DE">
        <w:t>(Figure 2)</w:t>
      </w:r>
      <w:r w:rsidR="00220646" w:rsidRPr="00FE47DE">
        <w:t xml:space="preserve"> and is expected to continue.</w:t>
      </w:r>
      <w:r w:rsidR="009E4E2B" w:rsidRPr="00FE47DE">
        <w:t xml:space="preserve"> </w:t>
      </w:r>
      <w:r w:rsidR="00F21219" w:rsidRPr="00FE47DE">
        <w:t>A</w:t>
      </w:r>
      <w:r w:rsidR="00041A40" w:rsidRPr="00FE47DE">
        <w:t xml:space="preserve"> national approach </w:t>
      </w:r>
      <w:r w:rsidR="00BF59A0">
        <w:t xml:space="preserve">for traceability, and particularly for </w:t>
      </w:r>
      <w:r w:rsidR="00041A40" w:rsidRPr="00FE47DE">
        <w:t>tracing horticultural and grain products</w:t>
      </w:r>
      <w:r w:rsidR="00243B6F">
        <w:t>,</w:t>
      </w:r>
      <w:r w:rsidR="00041A40" w:rsidRPr="00FE47DE">
        <w:t xml:space="preserve"> </w:t>
      </w:r>
      <w:r w:rsidR="00F21219" w:rsidRPr="00FE47DE">
        <w:t>is likely to</w:t>
      </w:r>
      <w:r w:rsidR="00041A40" w:rsidRPr="00FE47DE">
        <w:t xml:space="preserve"> become integral to meeting importing country </w:t>
      </w:r>
      <w:r w:rsidR="008B38DC" w:rsidRPr="00FE47DE">
        <w:t>requirements,</w:t>
      </w:r>
      <w:r w:rsidR="00041A40" w:rsidRPr="00FE47DE">
        <w:t xml:space="preserve"> and </w:t>
      </w:r>
      <w:r w:rsidR="00F21219" w:rsidRPr="00FE47DE">
        <w:t xml:space="preserve">thus </w:t>
      </w:r>
      <w:r w:rsidR="00041A40" w:rsidRPr="00FE47DE">
        <w:t>increasing exports</w:t>
      </w:r>
      <w:r w:rsidR="00F21219" w:rsidRPr="00FE47DE">
        <w:t xml:space="preserve"> </w:t>
      </w:r>
      <w:r w:rsidR="00041A40" w:rsidRPr="00FE47DE">
        <w:t>in the future.</w:t>
      </w:r>
    </w:p>
    <w:p w14:paraId="5EDA6CAB" w14:textId="4811FB99" w:rsidR="000147A0" w:rsidRPr="00FE47DE" w:rsidRDefault="000147A0" w:rsidP="005C7600">
      <w:r w:rsidRPr="00FE47DE">
        <w:t xml:space="preserve">Further analysis and industry consultation is needed to fully understand the implications of traceability for horticultural products and grains, including to inform the development of options to underpin future action to improve traceability in the horticulture industry. Traceability is a risk management tool and its implementation should be commensurate with assessed risk. Consultation with industry will be crucial to </w:t>
      </w:r>
      <w:r w:rsidR="00622208" w:rsidRPr="00FE47DE">
        <w:t xml:space="preserve">acquiring a </w:t>
      </w:r>
      <w:r w:rsidRPr="00FE47DE">
        <w:t>better understand</w:t>
      </w:r>
      <w:r w:rsidR="00622208" w:rsidRPr="00FE47DE">
        <w:t>ing</w:t>
      </w:r>
      <w:r w:rsidRPr="00FE47DE">
        <w:t xml:space="preserve"> </w:t>
      </w:r>
      <w:r w:rsidR="00622208" w:rsidRPr="00FE47DE">
        <w:t>of</w:t>
      </w:r>
      <w:r w:rsidRPr="00FE47DE">
        <w:t xml:space="preserve"> opportunities to </w:t>
      </w:r>
      <w:r w:rsidR="00622208" w:rsidRPr="00FE47DE">
        <w:t xml:space="preserve">improve and </w:t>
      </w:r>
      <w:r w:rsidRPr="00FE47DE">
        <w:t>expand existing industry systems.</w:t>
      </w:r>
    </w:p>
    <w:p w14:paraId="7FC4FAEC" w14:textId="5D58A8AB" w:rsidR="00674B6E" w:rsidRPr="00FE47DE" w:rsidRDefault="00E15837" w:rsidP="00E15837">
      <w:pPr>
        <w:pStyle w:val="Caption"/>
      </w:pPr>
      <w:bookmarkStart w:id="12" w:name="_Toc528054595"/>
      <w:bookmarkEnd w:id="11"/>
      <w:r>
        <w:t xml:space="preserve">Figure </w:t>
      </w:r>
      <w:r w:rsidR="00072EAD">
        <w:rPr>
          <w:noProof/>
        </w:rPr>
        <w:fldChar w:fldCharType="begin"/>
      </w:r>
      <w:r w:rsidR="00072EAD">
        <w:rPr>
          <w:noProof/>
        </w:rPr>
        <w:instrText xml:space="preserve"> SEQ Figure \* ARABIC </w:instrText>
      </w:r>
      <w:r w:rsidR="00072EAD">
        <w:rPr>
          <w:noProof/>
        </w:rPr>
        <w:fldChar w:fldCharType="separate"/>
      </w:r>
      <w:r w:rsidR="00AA752E">
        <w:rPr>
          <w:noProof/>
        </w:rPr>
        <w:t>3</w:t>
      </w:r>
      <w:r w:rsidR="00072EAD">
        <w:rPr>
          <w:noProof/>
        </w:rPr>
        <w:fldChar w:fldCharType="end"/>
      </w:r>
      <w:r w:rsidRPr="00FE47DE">
        <w:t xml:space="preserve"> Agricultural export projections, 2017–18 to 2022–23</w:t>
      </w:r>
      <w:bookmarkEnd w:id="12"/>
    </w:p>
    <w:p w14:paraId="1DABC5E7" w14:textId="42DB20A7" w:rsidR="005C7600" w:rsidRPr="00FE47DE" w:rsidRDefault="005C7600" w:rsidP="00674B6E">
      <w:r w:rsidRPr="00FE47DE">
        <w:rPr>
          <w:noProof/>
          <w:lang w:eastAsia="en-AU"/>
        </w:rPr>
        <w:drawing>
          <wp:inline distT="0" distB="0" distL="0" distR="0" wp14:anchorId="267D8C56" wp14:editId="3508CF2A">
            <wp:extent cx="5731510" cy="2849680"/>
            <wp:effectExtent l="0" t="0" r="2540" b="8255"/>
            <wp:docPr id="5" name="Chart 5" descr="Figure 3 is a bar graph which shows the projected increase in agricultural exports from 2017-18, to 2022-23. The x axis shows the year, the y axis shows the amount of money the exports are worth in billions of dollars. The graph shows that there will be a significant increase in horticulture and grains and oilseeds, a slight increase in dairy, and barely any increase in meat, fishery, and live cattle. Total agricultural export projects are expected to rise from $27 billion to $31 billion." title="Agricultural export projections, 2017–18 to 2022–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D3FC78" w14:textId="77777777" w:rsidR="005C7600" w:rsidRPr="00FE47DE" w:rsidRDefault="005C7600" w:rsidP="005C7600">
      <w:pPr>
        <w:pStyle w:val="FigureTableNoteSource"/>
        <w:spacing w:before="0"/>
      </w:pPr>
      <w:r w:rsidRPr="00FE47DE">
        <w:t xml:space="preserve">Source: ABARES 2018. </w:t>
      </w:r>
    </w:p>
    <w:p w14:paraId="1C89615C" w14:textId="2D68F878" w:rsidR="005C7600" w:rsidRPr="00FE47DE" w:rsidRDefault="005C7600" w:rsidP="005C7600">
      <w:pPr>
        <w:pStyle w:val="FigureTableNoteSource"/>
      </w:pPr>
      <w:r w:rsidRPr="00FE47DE">
        <w:t>Note: Includes focus products except forestry and processed goods.</w:t>
      </w:r>
      <w:r w:rsidR="00D3049B" w:rsidRPr="00FE47DE">
        <w:t xml:space="preserve"> </w:t>
      </w:r>
      <w:proofErr w:type="gramStart"/>
      <w:r w:rsidRPr="00FE47DE">
        <w:rPr>
          <w:b/>
        </w:rPr>
        <w:t>f</w:t>
      </w:r>
      <w:proofErr w:type="gramEnd"/>
      <w:r w:rsidRPr="00FE47DE">
        <w:t xml:space="preserve"> ABARES forecast</w:t>
      </w:r>
      <w:r w:rsidR="00DF79AB" w:rsidRPr="00FE47DE">
        <w:t>.</w:t>
      </w:r>
      <w:r w:rsidR="00D3049B" w:rsidRPr="00FE47DE">
        <w:t xml:space="preserve"> </w:t>
      </w:r>
      <w:proofErr w:type="gramStart"/>
      <w:r w:rsidRPr="00FE47DE">
        <w:rPr>
          <w:b/>
        </w:rPr>
        <w:t>z</w:t>
      </w:r>
      <w:proofErr w:type="gramEnd"/>
      <w:r w:rsidRPr="00FE47DE">
        <w:t xml:space="preserve"> ABARES projection</w:t>
      </w:r>
      <w:r w:rsidR="00DF79AB" w:rsidRPr="00FE47DE">
        <w:t>.</w:t>
      </w:r>
    </w:p>
    <w:p w14:paraId="5B319B81" w14:textId="2D4B8C9A" w:rsidR="00674B6E" w:rsidRPr="00FE47DE" w:rsidRDefault="00E15837" w:rsidP="00E15837">
      <w:pPr>
        <w:pStyle w:val="Caption"/>
      </w:pPr>
      <w:bookmarkStart w:id="13" w:name="_Toc528054596"/>
      <w:r>
        <w:lastRenderedPageBreak/>
        <w:t xml:space="preserve">Figure </w:t>
      </w:r>
      <w:r w:rsidR="00072EAD">
        <w:rPr>
          <w:noProof/>
        </w:rPr>
        <w:fldChar w:fldCharType="begin"/>
      </w:r>
      <w:r w:rsidR="00072EAD">
        <w:rPr>
          <w:noProof/>
        </w:rPr>
        <w:instrText xml:space="preserve"> SEQ Figure \* ARABIC </w:instrText>
      </w:r>
      <w:r w:rsidR="00072EAD">
        <w:rPr>
          <w:noProof/>
        </w:rPr>
        <w:fldChar w:fldCharType="separate"/>
      </w:r>
      <w:r w:rsidR="00AA752E">
        <w:rPr>
          <w:noProof/>
        </w:rPr>
        <w:t>4</w:t>
      </w:r>
      <w:r w:rsidR="00072EAD">
        <w:rPr>
          <w:noProof/>
        </w:rPr>
        <w:fldChar w:fldCharType="end"/>
      </w:r>
      <w:r w:rsidRPr="00FE47DE">
        <w:t xml:space="preserve"> Index trends of (real) horticultural export values by state/territory, 2012–13 to 2022–23</w:t>
      </w:r>
      <w:bookmarkEnd w:id="13"/>
    </w:p>
    <w:p w14:paraId="2BFDFC02" w14:textId="19277E9B" w:rsidR="005C7600" w:rsidRPr="00FE47DE" w:rsidRDefault="005C7600" w:rsidP="00674B6E">
      <w:r w:rsidRPr="00FE47DE">
        <w:rPr>
          <w:noProof/>
          <w:lang w:eastAsia="en-AU"/>
        </w:rPr>
        <w:drawing>
          <wp:inline distT="0" distB="0" distL="0" distR="0" wp14:anchorId="2213300E" wp14:editId="790DE914">
            <wp:extent cx="5759450" cy="2792095"/>
            <wp:effectExtent l="0" t="0" r="0" b="8255"/>
            <wp:docPr id="6" name="Chart 6" descr="The line graph shows the value of horticultural exports by state or territory from 2012 to 2017. The x axis shows the year, and the y axis shows the index. The trend is an increase in values for all states. The Northern Territory has the highest index at approximately 230, followed by Queensland, South Australia, Victoria, Western Australia, New South Wales, and Tasmania. From 2018-19 to 2022-23, the graph shows the predicted value of horticultural exports for Australia as a whole, which continue to increase up to approximately 260." title="Index trends of (real) horticultural export values by state/territory, 2012–13 to 2022–23 "/>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4E8067F" w14:textId="77777777" w:rsidR="00E3733B" w:rsidRPr="00FE47DE" w:rsidRDefault="005C7600" w:rsidP="005C7600">
      <w:pPr>
        <w:pStyle w:val="FigureTableNoteSource"/>
      </w:pPr>
      <w:r w:rsidRPr="00FE47DE">
        <w:t>Source: Adapted from ABARES 2018.</w:t>
      </w:r>
    </w:p>
    <w:p w14:paraId="09A7572A" w14:textId="2A3CEA3E" w:rsidR="009748C6" w:rsidRPr="00333452" w:rsidRDefault="00E3733B" w:rsidP="00333452">
      <w:pPr>
        <w:pStyle w:val="FigureTableNoteSource"/>
      </w:pPr>
      <w:r w:rsidRPr="00FE47DE">
        <w:t>Note:</w:t>
      </w:r>
      <w:r w:rsidR="005C7600" w:rsidRPr="00FE47DE">
        <w:t xml:space="preserve"> </w:t>
      </w:r>
      <w:r w:rsidR="005C7600" w:rsidRPr="00FE47DE">
        <w:rPr>
          <w:b/>
        </w:rPr>
        <w:t>f</w:t>
      </w:r>
      <w:r w:rsidR="005C7600" w:rsidRPr="00FE47DE">
        <w:t xml:space="preserve"> ABARES forecast</w:t>
      </w:r>
      <w:r w:rsidR="00DF79AB" w:rsidRPr="00FE47DE">
        <w:t xml:space="preserve">. </w:t>
      </w:r>
      <w:proofErr w:type="gramStart"/>
      <w:r w:rsidR="005C7600" w:rsidRPr="00FE47DE">
        <w:rPr>
          <w:b/>
        </w:rPr>
        <w:t>z</w:t>
      </w:r>
      <w:proofErr w:type="gramEnd"/>
      <w:r w:rsidR="005C7600" w:rsidRPr="00FE47DE">
        <w:t xml:space="preserve"> ABARES projection</w:t>
      </w:r>
      <w:r w:rsidR="00DF79AB" w:rsidRPr="00FE47DE">
        <w:t>.</w:t>
      </w:r>
    </w:p>
    <w:p w14:paraId="7E4D816C" w14:textId="72CD936B" w:rsidR="005C7600" w:rsidRPr="003F6159" w:rsidRDefault="005C7600" w:rsidP="00245976">
      <w:pPr>
        <w:pStyle w:val="Heading2"/>
      </w:pPr>
      <w:bookmarkStart w:id="14" w:name="_Toc528072950"/>
      <w:r w:rsidRPr="003F6159">
        <w:t>Consequences of not complying</w:t>
      </w:r>
      <w:bookmarkEnd w:id="14"/>
    </w:p>
    <w:p w14:paraId="2CCF468E" w14:textId="465DB9AD" w:rsidR="00F21219" w:rsidRPr="00412A32" w:rsidRDefault="005C7600" w:rsidP="00412A32">
      <w:r w:rsidRPr="00412A32">
        <w:t xml:space="preserve">The consequences of not complying with importing country requirements </w:t>
      </w:r>
      <w:r w:rsidR="00A260AD" w:rsidRPr="00412A32">
        <w:t>are significant</w:t>
      </w:r>
      <w:r w:rsidRPr="00412A32">
        <w:t>. For example</w:t>
      </w:r>
      <w:r w:rsidR="00DE31AC" w:rsidRPr="00412A32">
        <w:t xml:space="preserve">, </w:t>
      </w:r>
      <w:r w:rsidR="00243B6F" w:rsidRPr="00412A32">
        <w:t xml:space="preserve">in the meat exports sector, </w:t>
      </w:r>
      <w:r w:rsidR="008A3D4A" w:rsidRPr="00412A32">
        <w:t xml:space="preserve">non-compliance in labelling and certification could result in the </w:t>
      </w:r>
      <w:r w:rsidRPr="00412A32">
        <w:t>suspension of</w:t>
      </w:r>
      <w:r w:rsidR="00EB50DB" w:rsidRPr="00412A32">
        <w:t xml:space="preserve"> </w:t>
      </w:r>
      <w:r w:rsidR="0037541C" w:rsidRPr="00412A32">
        <w:t>exports to a particular market for the meat processing establishments concerned.</w:t>
      </w:r>
      <w:r w:rsidR="008A3D4A" w:rsidRPr="00412A32">
        <w:t xml:space="preserve"> This could </w:t>
      </w:r>
      <w:r w:rsidRPr="00412A32">
        <w:t>cost the A</w:t>
      </w:r>
      <w:r w:rsidR="00EB50DB" w:rsidRPr="00412A32">
        <w:t>ustralian meat industry over $1 </w:t>
      </w:r>
      <w:r w:rsidRPr="00412A32">
        <w:t>million a day (</w:t>
      </w:r>
      <w:r w:rsidR="00EB50DB" w:rsidRPr="00412A32">
        <w:t>by industry</w:t>
      </w:r>
      <w:r w:rsidRPr="00412A32">
        <w:t xml:space="preserve"> calculations), impacting farmers, transport operations, abattoirs, </w:t>
      </w:r>
      <w:proofErr w:type="gramStart"/>
      <w:r w:rsidRPr="00412A32">
        <w:t>packing</w:t>
      </w:r>
      <w:proofErr w:type="gramEnd"/>
      <w:r w:rsidRPr="00412A32">
        <w:t xml:space="preserve"> and storage facilities. </w:t>
      </w:r>
      <w:r w:rsidR="008A3D4A" w:rsidRPr="00412A32">
        <w:t xml:space="preserve">Similarly, non-compliance with importing requirements in the grains industry could result in </w:t>
      </w:r>
      <w:r w:rsidR="00886858" w:rsidRPr="00412A32">
        <w:t xml:space="preserve">a </w:t>
      </w:r>
      <w:r w:rsidR="008A3D4A" w:rsidRPr="00412A32">
        <w:t xml:space="preserve">trading partner suspending trade in a commodity worth close to a </w:t>
      </w:r>
      <w:r w:rsidR="00306C69" w:rsidRPr="00412A32">
        <w:t xml:space="preserve">$1 </w:t>
      </w:r>
      <w:r w:rsidR="008A3D4A" w:rsidRPr="00412A32">
        <w:t>billion a year.</w:t>
      </w:r>
    </w:p>
    <w:p w14:paraId="6A2B090E" w14:textId="5DC19D07" w:rsidR="005C7600" w:rsidRPr="00412A32" w:rsidRDefault="005C7600" w:rsidP="00412A32">
      <w:r w:rsidRPr="00412A32">
        <w:t xml:space="preserve">Given Australia’s dependence on </w:t>
      </w:r>
      <w:r w:rsidR="00014500" w:rsidRPr="00412A32">
        <w:t xml:space="preserve">international </w:t>
      </w:r>
      <w:r w:rsidR="00F21219" w:rsidRPr="00412A32">
        <w:t>markets and the increasing standards of</w:t>
      </w:r>
      <w:r w:rsidRPr="00412A32">
        <w:t xml:space="preserve"> food safety </w:t>
      </w:r>
      <w:r w:rsidR="00243B6F" w:rsidRPr="00412A32">
        <w:t xml:space="preserve">assurance </w:t>
      </w:r>
      <w:r w:rsidR="00F21219" w:rsidRPr="00412A32">
        <w:t>that</w:t>
      </w:r>
      <w:r w:rsidRPr="00412A32">
        <w:t xml:space="preserve"> they expect, modern and responsive traceability systems will become integral to meeting importing country requirements into the future.</w:t>
      </w:r>
    </w:p>
    <w:p w14:paraId="1799F216" w14:textId="27190729" w:rsidR="00243B6F" w:rsidRPr="00412A32" w:rsidRDefault="00243B6F" w:rsidP="00412A32">
      <w:r w:rsidRPr="00412A32">
        <w:t>At present, we have an opportunity to set ourselves above our competitors by investing in our traceability systems to capture a greater share in overseas markets.</w:t>
      </w:r>
    </w:p>
    <w:p w14:paraId="56C3DF6F" w14:textId="786C94AF" w:rsidR="00E15837" w:rsidRPr="00412A32" w:rsidRDefault="0040049B" w:rsidP="00412A32">
      <w:r w:rsidRPr="00412A32">
        <w:t xml:space="preserve">Improvements made to our </w:t>
      </w:r>
      <w:r w:rsidR="008C7C37" w:rsidRPr="00412A32">
        <w:t>traceability</w:t>
      </w:r>
      <w:r w:rsidRPr="00412A32">
        <w:t xml:space="preserve"> systems motivated by growing our exports wi</w:t>
      </w:r>
      <w:r w:rsidR="008C7C37" w:rsidRPr="00412A32">
        <w:t xml:space="preserve">ll </w:t>
      </w:r>
      <w:r w:rsidR="00886858" w:rsidRPr="00412A32">
        <w:t xml:space="preserve">also </w:t>
      </w:r>
      <w:r w:rsidR="008C7C37" w:rsidRPr="00412A32">
        <w:t xml:space="preserve">benefit our domestic </w:t>
      </w:r>
      <w:r w:rsidR="00E57BBC" w:rsidRPr="00412A32">
        <w:t>customers</w:t>
      </w:r>
      <w:r w:rsidR="00886858" w:rsidRPr="00412A32">
        <w:t>.</w:t>
      </w:r>
    </w:p>
    <w:p w14:paraId="03A8265B" w14:textId="70E6E3FD" w:rsidR="005C7600" w:rsidRPr="003F6159" w:rsidRDefault="005C7600" w:rsidP="00A13307">
      <w:pPr>
        <w:pStyle w:val="Heading2"/>
        <w:pageBreakBefore/>
      </w:pPr>
      <w:bookmarkStart w:id="15" w:name="_Toc528072951"/>
      <w:r w:rsidRPr="003F6159">
        <w:lastRenderedPageBreak/>
        <w:t>Good governance will be critical</w:t>
      </w:r>
      <w:bookmarkEnd w:id="15"/>
    </w:p>
    <w:p w14:paraId="64D41B17" w14:textId="14A8F180" w:rsidR="005C7600" w:rsidRPr="00FE47DE" w:rsidRDefault="008C7C37" w:rsidP="00A260AD">
      <w:pPr>
        <w:keepLines/>
      </w:pPr>
      <w:r w:rsidRPr="00FE47DE">
        <w:t>There are</w:t>
      </w:r>
      <w:r w:rsidR="005C7600" w:rsidRPr="00FE47DE">
        <w:t xml:space="preserve"> </w:t>
      </w:r>
      <w:r w:rsidRPr="00FE47DE">
        <w:t>opportunities to improve</w:t>
      </w:r>
      <w:r w:rsidR="005C7600" w:rsidRPr="00FE47DE">
        <w:t xml:space="preserve"> the governance of Australia’s traceability system</w:t>
      </w:r>
      <w:r w:rsidRPr="00FE47DE">
        <w:t xml:space="preserve"> particularly in areas </w:t>
      </w:r>
      <w:r w:rsidR="00886858" w:rsidRPr="00FE47DE">
        <w:t xml:space="preserve">of </w:t>
      </w:r>
      <w:r w:rsidRPr="00FE47DE">
        <w:t xml:space="preserve">compliance and enforcement. </w:t>
      </w:r>
      <w:r w:rsidR="005C7600" w:rsidRPr="00FE47DE">
        <w:t>This is consistent with governance around decision-making and accountability that has</w:t>
      </w:r>
      <w:r w:rsidR="00863882" w:rsidRPr="00FE47DE">
        <w:t xml:space="preserve"> been developed and implemented in response to individual issues and needs, but has</w:t>
      </w:r>
      <w:r w:rsidR="005C7600" w:rsidRPr="00FE47DE">
        <w:t xml:space="preserve"> not </w:t>
      </w:r>
      <w:r w:rsidR="00863882" w:rsidRPr="00FE47DE">
        <w:t xml:space="preserve">necessarily </w:t>
      </w:r>
      <w:r w:rsidR="005C7600" w:rsidRPr="00FE47DE">
        <w:t>kept pace with broadening policy and market demands.</w:t>
      </w:r>
    </w:p>
    <w:p w14:paraId="47ED4337" w14:textId="30457233" w:rsidR="005C7600" w:rsidRPr="00FE47DE" w:rsidRDefault="00863882" w:rsidP="005C7600">
      <w:r w:rsidRPr="00FE47DE">
        <w:t>Left unaddressed, existing</w:t>
      </w:r>
      <w:r w:rsidR="005C7600" w:rsidRPr="00FE47DE">
        <w:t xml:space="preserve"> governance challenges are set to </w:t>
      </w:r>
      <w:r w:rsidRPr="00FE47DE">
        <w:t>increase</w:t>
      </w:r>
      <w:r w:rsidR="005C7600" w:rsidRPr="00FE47DE">
        <w:t xml:space="preserve">. The traceability policy domain </w:t>
      </w:r>
      <w:r w:rsidRPr="00FE47DE">
        <w:t>is</w:t>
      </w:r>
      <w:r w:rsidR="005C7600" w:rsidRPr="00FE47DE">
        <w:t xml:space="preserve"> broaden</w:t>
      </w:r>
      <w:r w:rsidRPr="00FE47DE">
        <w:t>ing</w:t>
      </w:r>
      <w:r w:rsidR="005C7600" w:rsidRPr="00FE47DE">
        <w:t xml:space="preserve"> and becom</w:t>
      </w:r>
      <w:r w:rsidRPr="00FE47DE">
        <w:t>ing</w:t>
      </w:r>
      <w:r w:rsidR="005C7600" w:rsidRPr="00FE47DE">
        <w:t xml:space="preserve"> more complex. </w:t>
      </w:r>
      <w:r w:rsidRPr="00FE47DE">
        <w:t>I</w:t>
      </w:r>
      <w:r w:rsidR="005C7600" w:rsidRPr="00FE47DE">
        <w:t>t is difficult to envisage how the current governance arrangements can deliver the timely decision-making and accountability that is necessary to drive system improvements and maintain competitive advantage</w:t>
      </w:r>
      <w:r w:rsidRPr="00FE47DE">
        <w:t xml:space="preserve"> without any meaningful reform</w:t>
      </w:r>
      <w:r w:rsidR="005C7600" w:rsidRPr="00FE47DE">
        <w:t xml:space="preserve">. </w:t>
      </w:r>
      <w:r w:rsidR="003808AA" w:rsidRPr="00FE47DE">
        <w:t>Investigating the development of</w:t>
      </w:r>
      <w:r w:rsidR="005C7600" w:rsidRPr="00FE47DE">
        <w:t xml:space="preserve"> a national approach to traceability with enhanced governance </w:t>
      </w:r>
      <w:r w:rsidR="00F66AA1" w:rsidRPr="00FE47DE">
        <w:t>may assist in managing</w:t>
      </w:r>
      <w:r w:rsidR="005C7600" w:rsidRPr="00FE47DE">
        <w:t xml:space="preserve"> multiple challenges at a national level</w:t>
      </w:r>
      <w:r w:rsidR="00014500" w:rsidRPr="00FE47DE">
        <w:t>,</w:t>
      </w:r>
      <w:r w:rsidR="005C7600" w:rsidRPr="00FE47DE">
        <w:t xml:space="preserve"> as traceability systems become more complex, international scrutiny intensifies and opportunities from enhanced traceability continue to emerge.</w:t>
      </w:r>
    </w:p>
    <w:p w14:paraId="425752AB" w14:textId="733AD8EE" w:rsidR="00EE47F0" w:rsidRPr="00FE47DE" w:rsidRDefault="00145596" w:rsidP="00EE47F0">
      <w:pPr>
        <w:rPr>
          <w:lang w:val="en-US"/>
        </w:rPr>
      </w:pPr>
      <w:r>
        <w:rPr>
          <w:lang w:val="en-US"/>
        </w:rPr>
        <w:t>Establishing a mechanism for</w:t>
      </w:r>
      <w:r w:rsidR="00EE47F0" w:rsidRPr="00FE47DE">
        <w:rPr>
          <w:lang w:val="en-US"/>
        </w:rPr>
        <w:t xml:space="preserve"> national oversight </w:t>
      </w:r>
      <w:r>
        <w:rPr>
          <w:lang w:val="en-US"/>
        </w:rPr>
        <w:t>of</w:t>
      </w:r>
      <w:r w:rsidR="00593783" w:rsidRPr="00FE47DE">
        <w:rPr>
          <w:lang w:val="en-US"/>
        </w:rPr>
        <w:t xml:space="preserve"> agricultural traceability</w:t>
      </w:r>
      <w:r w:rsidR="00EE47F0" w:rsidRPr="00FE47DE">
        <w:rPr>
          <w:lang w:val="en-US"/>
        </w:rPr>
        <w:t xml:space="preserve"> to achieve national outcomes for biosecurity, food safety and market access purposes should be considered.</w:t>
      </w:r>
    </w:p>
    <w:p w14:paraId="379B46BD" w14:textId="33A10A76" w:rsidR="00F21219" w:rsidRPr="00FE47DE" w:rsidRDefault="005C7600" w:rsidP="00EE47F0">
      <w:r w:rsidRPr="00FE47DE">
        <w:t>Clarifying roles and responsibilities of industry and all governments in managing these systems</w:t>
      </w:r>
      <w:r w:rsidR="00152B09" w:rsidRPr="00FE47DE">
        <w:t>,</w:t>
      </w:r>
      <w:r w:rsidRPr="00FE47DE">
        <w:t xml:space="preserve"> and improving accountability and visibility of system performance</w:t>
      </w:r>
      <w:r w:rsidR="00152B09" w:rsidRPr="00FE47DE">
        <w:t>,</w:t>
      </w:r>
      <w:r w:rsidRPr="00FE47DE">
        <w:t xml:space="preserve"> are likely to assist agricultural industries to capitalise on emerging opportunities. This is especially important as responsibilities for traceabilit</w:t>
      </w:r>
      <w:r w:rsidR="00145596">
        <w:t>y lie within a federated system</w:t>
      </w:r>
      <w:r w:rsidRPr="00FE47DE">
        <w:t xml:space="preserve"> where governance supports decision-making through government</w:t>
      </w:r>
      <w:r w:rsidR="00F21219" w:rsidRPr="00FE47DE">
        <w:t>–</w:t>
      </w:r>
      <w:r w:rsidRPr="00FE47DE">
        <w:t xml:space="preserve">industry networks rather than hierarchies. </w:t>
      </w:r>
      <w:r w:rsidR="004C4319" w:rsidRPr="00FE47DE">
        <w:t xml:space="preserve">It is the role of governments to enable, and not </w:t>
      </w:r>
      <w:r w:rsidR="002D092C" w:rsidRPr="00FE47DE">
        <w:t>stifle</w:t>
      </w:r>
      <w:r w:rsidR="004C4319" w:rsidRPr="00FE47DE">
        <w:t>, private and industry innovation to improve and implement effective traceability systems.</w:t>
      </w:r>
    </w:p>
    <w:p w14:paraId="68FC9B78" w14:textId="77777777" w:rsidR="00E15837" w:rsidRDefault="004C4319" w:rsidP="00E15837">
      <w:r w:rsidRPr="00FE47DE">
        <w:t>Also c</w:t>
      </w:r>
      <w:r w:rsidR="005C7600" w:rsidRPr="00FE47DE">
        <w:t>ritical</w:t>
      </w:r>
      <w:r w:rsidR="003808AA" w:rsidRPr="00FE47DE">
        <w:t xml:space="preserve"> to fully functioning traceability systems</w:t>
      </w:r>
      <w:r w:rsidR="005C7600" w:rsidRPr="00FE47DE">
        <w:t xml:space="preserve"> is policy coherence which, in turn, depends on high levels of coordination and communication. This ensures alignment of core objectives </w:t>
      </w:r>
      <w:r w:rsidR="00100580">
        <w:t xml:space="preserve">and </w:t>
      </w:r>
      <w:r w:rsidR="00F21219" w:rsidRPr="00FE47DE">
        <w:t>consistent governance of</w:t>
      </w:r>
      <w:r w:rsidR="005C7600" w:rsidRPr="00FE47DE">
        <w:t xml:space="preserve"> the </w:t>
      </w:r>
      <w:r w:rsidR="00F21219" w:rsidRPr="00FE47DE">
        <w:t xml:space="preserve">traceability system </w:t>
      </w:r>
      <w:r w:rsidR="005C7600" w:rsidRPr="00FE47DE">
        <w:t xml:space="preserve">as a whole, not simply its component systems. </w:t>
      </w:r>
      <w:r w:rsidR="00F21219" w:rsidRPr="00FE47DE">
        <w:t xml:space="preserve">Here, consistent governance does not imply, for example, identical standards, as risks and opportunities vary between products and traceability purposes. Nonetheless, </w:t>
      </w:r>
      <w:r w:rsidR="00145596">
        <w:t>establishing</w:t>
      </w:r>
      <w:r w:rsidR="005C7600" w:rsidRPr="00FE47DE">
        <w:t xml:space="preserve"> national </w:t>
      </w:r>
      <w:r w:rsidR="00193B37" w:rsidRPr="00FE47DE">
        <w:t>oversight</w:t>
      </w:r>
      <w:r w:rsidR="005C7600" w:rsidRPr="00FE47DE">
        <w:t xml:space="preserve"> for good governance over agricultural traceability, covering all agricultural sectors and charged with achieving national biosecurity, food safety and market access outcomes is an option </w:t>
      </w:r>
      <w:r w:rsidR="00445630" w:rsidRPr="00FE47DE">
        <w:t>for consideration</w:t>
      </w:r>
      <w:r w:rsidR="005C7600" w:rsidRPr="00FE47DE">
        <w:t>.</w:t>
      </w:r>
      <w:r w:rsidR="00CE6114" w:rsidRPr="00FE47DE">
        <w:t xml:space="preserve"> Such oversight could redress identified concerns around the active and ongoing monitoring of the performance of traceability systems</w:t>
      </w:r>
      <w:r w:rsidR="00445630" w:rsidRPr="00FE47DE">
        <w:t xml:space="preserve">, </w:t>
      </w:r>
      <w:r w:rsidR="00CE6114" w:rsidRPr="00FE47DE">
        <w:t xml:space="preserve">resourcing and reporting to stakeholders in </w:t>
      </w:r>
      <w:r w:rsidR="00145596">
        <w:t>a transparent</w:t>
      </w:r>
      <w:r w:rsidR="00CE6114" w:rsidRPr="00FE47DE">
        <w:t xml:space="preserve"> and timely manner.</w:t>
      </w:r>
    </w:p>
    <w:p w14:paraId="1D683A2D" w14:textId="27582EED" w:rsidR="00966E1E" w:rsidRPr="003F6159" w:rsidRDefault="00966E1E" w:rsidP="00A13307">
      <w:pPr>
        <w:pStyle w:val="Heading2"/>
        <w:pageBreakBefore/>
      </w:pPr>
      <w:bookmarkStart w:id="16" w:name="_Toc528072952"/>
      <w:r w:rsidRPr="003F6159">
        <w:lastRenderedPageBreak/>
        <w:t>Future work</w:t>
      </w:r>
      <w:bookmarkEnd w:id="16"/>
    </w:p>
    <w:p w14:paraId="7187362E" w14:textId="441B2F34" w:rsidR="00966E1E" w:rsidRDefault="00966E1E" w:rsidP="003F6159">
      <w:pPr>
        <w:keepNext/>
      </w:pPr>
      <w:r w:rsidRPr="00966E1E">
        <w:t xml:space="preserve">Australian </w:t>
      </w:r>
      <w:r>
        <w:t>governments have come together to respond to the findings of this report with the intentio</w:t>
      </w:r>
      <w:r w:rsidR="00145596">
        <w:t>n of delivering some government-</w:t>
      </w:r>
      <w:r>
        <w:t>industry initiatives to support future traceability needs across all of our agriculture food and products.</w:t>
      </w:r>
    </w:p>
    <w:p w14:paraId="74DAB8D2" w14:textId="51DD18F5" w:rsidR="00966E1E" w:rsidRPr="002F55A7" w:rsidRDefault="002900DC" w:rsidP="00245976">
      <w:r w:rsidRPr="002F55A7">
        <w:t>This</w:t>
      </w:r>
      <w:r w:rsidR="00966E1E" w:rsidRPr="002F55A7">
        <w:t xml:space="preserve"> report has been prepared by a joint </w:t>
      </w:r>
      <w:r w:rsidR="00447029" w:rsidRPr="002F55A7">
        <w:t>Australian Government and</w:t>
      </w:r>
      <w:r w:rsidR="00966E1E" w:rsidRPr="002F55A7">
        <w:t xml:space="preserve"> </w:t>
      </w:r>
      <w:r w:rsidR="00447029" w:rsidRPr="002F55A7">
        <w:t>s</w:t>
      </w:r>
      <w:r w:rsidR="00966E1E" w:rsidRPr="002F55A7">
        <w:t xml:space="preserve">tate and </w:t>
      </w:r>
      <w:r w:rsidR="00447029" w:rsidRPr="002F55A7">
        <w:t>t</w:t>
      </w:r>
      <w:r w:rsidR="00966E1E" w:rsidRPr="002F55A7">
        <w:t xml:space="preserve">erritory </w:t>
      </w:r>
      <w:r w:rsidR="00447029" w:rsidRPr="002F55A7">
        <w:t>g</w:t>
      </w:r>
      <w:r w:rsidR="00966E1E" w:rsidRPr="002F55A7">
        <w:t>overnment working group established in 2017 for the purpose of maintaining and advancing Australia’s trade and market access. This approach is to ensure that Australia is well placed to meet trading partners’ future traceability requirements.</w:t>
      </w:r>
    </w:p>
    <w:p w14:paraId="05F1343F" w14:textId="418510A4" w:rsidR="00966E1E" w:rsidRPr="002F55A7" w:rsidRDefault="00966E1E" w:rsidP="00245976">
      <w:r w:rsidRPr="002F55A7">
        <w:t xml:space="preserve">Against this backdrop, the development of a national approach to Australia’s agricultural traceability systems was investigated by a Traceability Working Group of representatives from the </w:t>
      </w:r>
      <w:r w:rsidR="00447029" w:rsidRPr="002F55A7">
        <w:t>Australian Government and state and territory governments</w:t>
      </w:r>
      <w:r w:rsidRPr="002F55A7">
        <w:t>. The investigation is progressing through a 2-stage project—the National Traceability Project.</w:t>
      </w:r>
    </w:p>
    <w:p w14:paraId="7D8C2987" w14:textId="1AD73318" w:rsidR="00E15837" w:rsidRPr="002F55A7" w:rsidRDefault="00966E1E" w:rsidP="005F7761">
      <w:pPr>
        <w:keepNext/>
      </w:pPr>
      <w:r w:rsidRPr="002F55A7">
        <w:t>This paper delivers key findings from Stage 1 of the project involving a review of existing traceability systems in agricultural production and trade, assessing their performance and identifying global and future drivers for traceability systems. The purpose of Stage 2 will be to design a national traceability policy framework and action plan in collaboration with industry to support future traceability innovations and requirements for a range of domestic and international trade purposes.</w:t>
      </w:r>
    </w:p>
    <w:p w14:paraId="0EAD1248" w14:textId="28DC3421" w:rsidR="00966E1E" w:rsidRPr="003F6159" w:rsidRDefault="00966E1E" w:rsidP="00245976">
      <w:pPr>
        <w:pStyle w:val="Heading2"/>
      </w:pPr>
      <w:bookmarkStart w:id="17" w:name="_Toc528072953"/>
      <w:r w:rsidRPr="003F6159">
        <w:t xml:space="preserve">Information </w:t>
      </w:r>
      <w:r w:rsidR="008F25F1">
        <w:t>s</w:t>
      </w:r>
      <w:r w:rsidRPr="003F6159">
        <w:t>ources</w:t>
      </w:r>
      <w:bookmarkEnd w:id="17"/>
    </w:p>
    <w:p w14:paraId="4C022931" w14:textId="77777777" w:rsidR="002F55A7" w:rsidRDefault="00DF097D" w:rsidP="005F7761">
      <w:pPr>
        <w:keepNext/>
      </w:pPr>
      <w:r>
        <w:t>C</w:t>
      </w:r>
      <w:r w:rsidR="00966E1E">
        <w:t xml:space="preserve">omprehensive information sources </w:t>
      </w:r>
      <w:r>
        <w:t>including academia</w:t>
      </w:r>
      <w:r w:rsidR="00966E1E">
        <w:t xml:space="preserve">, industry, </w:t>
      </w:r>
      <w:r>
        <w:t>global,</w:t>
      </w:r>
      <w:r w:rsidR="00966E1E">
        <w:t xml:space="preserve"> Australian and foreign government research and reports and ABS data was consulted and </w:t>
      </w:r>
      <w:r w:rsidR="002900DC">
        <w:t>analysed</w:t>
      </w:r>
      <w:r>
        <w:t xml:space="preserve"> in Stage 1 of the National Traceability Project in 2017 and early 2018. This public report </w:t>
      </w:r>
      <w:r w:rsidR="00966E1E">
        <w:t>is therefore supported by evidence and research</w:t>
      </w:r>
      <w:r>
        <w:t>.</w:t>
      </w:r>
    </w:p>
    <w:p w14:paraId="063CEE06" w14:textId="03D27A73" w:rsidR="00BF3285" w:rsidRDefault="002F55A7" w:rsidP="00245976">
      <w:pPr>
        <w:pStyle w:val="Heading2"/>
        <w:pageBreakBefore/>
      </w:pPr>
      <w:bookmarkStart w:id="18" w:name="_Toc528072954"/>
      <w:r>
        <w:lastRenderedPageBreak/>
        <w:t>References</w:t>
      </w:r>
      <w:bookmarkStart w:id="19" w:name="_Toc524023703"/>
      <w:bookmarkStart w:id="20" w:name="_Toc524024753"/>
      <w:bookmarkStart w:id="21" w:name="_Toc524024812"/>
      <w:bookmarkStart w:id="22" w:name="_Toc524024871"/>
      <w:bookmarkStart w:id="23" w:name="_Toc524023704"/>
      <w:bookmarkStart w:id="24" w:name="_Toc524024754"/>
      <w:bookmarkStart w:id="25" w:name="_Toc524024813"/>
      <w:bookmarkStart w:id="26" w:name="_Toc524024872"/>
      <w:bookmarkStart w:id="27" w:name="_Toc524023705"/>
      <w:bookmarkStart w:id="28" w:name="_Toc524024755"/>
      <w:bookmarkStart w:id="29" w:name="_Toc524024814"/>
      <w:bookmarkStart w:id="30" w:name="_Toc524024873"/>
      <w:bookmarkStart w:id="31" w:name="_Toc524023706"/>
      <w:bookmarkStart w:id="32" w:name="_Toc524024756"/>
      <w:bookmarkStart w:id="33" w:name="_Toc524024815"/>
      <w:bookmarkStart w:id="34" w:name="_Toc524024874"/>
      <w:bookmarkStart w:id="35" w:name="_Toc524023717"/>
      <w:bookmarkStart w:id="36" w:name="_Toc524024767"/>
      <w:bookmarkStart w:id="37" w:name="_Toc524024826"/>
      <w:bookmarkStart w:id="38" w:name="_Toc524024885"/>
      <w:bookmarkStart w:id="39" w:name="_Toc524025673"/>
      <w:bookmarkStart w:id="40" w:name="_Toc524026146"/>
      <w:bookmarkStart w:id="41" w:name="_Toc524026301"/>
      <w:bookmarkStart w:id="42" w:name="_Toc524027789"/>
      <w:bookmarkStart w:id="43" w:name="_Toc524023718"/>
      <w:bookmarkStart w:id="44" w:name="_Toc524024768"/>
      <w:bookmarkStart w:id="45" w:name="_Toc524024827"/>
      <w:bookmarkStart w:id="46" w:name="_Toc524024886"/>
      <w:bookmarkStart w:id="47" w:name="_Toc524025674"/>
      <w:bookmarkStart w:id="48" w:name="_Toc524026147"/>
      <w:bookmarkStart w:id="49" w:name="_Toc524026302"/>
      <w:bookmarkStart w:id="50" w:name="_Toc524027790"/>
      <w:bookmarkStart w:id="51" w:name="_Toc524023719"/>
      <w:bookmarkStart w:id="52" w:name="_Toc524024769"/>
      <w:bookmarkStart w:id="53" w:name="_Toc524024828"/>
      <w:bookmarkStart w:id="54" w:name="_Toc524024887"/>
      <w:bookmarkStart w:id="55" w:name="_Toc524025675"/>
      <w:bookmarkStart w:id="56" w:name="_Toc524026148"/>
      <w:bookmarkStart w:id="57" w:name="_Toc524026303"/>
      <w:bookmarkStart w:id="58" w:name="_Toc524027791"/>
      <w:bookmarkStart w:id="59" w:name="_Toc524023720"/>
      <w:bookmarkStart w:id="60" w:name="_Toc524024770"/>
      <w:bookmarkStart w:id="61" w:name="_Toc524024829"/>
      <w:bookmarkStart w:id="62" w:name="_Toc524024888"/>
      <w:bookmarkStart w:id="63" w:name="_Toc524025676"/>
      <w:bookmarkStart w:id="64" w:name="_Toc524026149"/>
      <w:bookmarkStart w:id="65" w:name="_Toc524026304"/>
      <w:bookmarkStart w:id="66" w:name="_Toc524027792"/>
      <w:bookmarkStart w:id="67" w:name="_Toc524023721"/>
      <w:bookmarkStart w:id="68" w:name="_Toc524024771"/>
      <w:bookmarkStart w:id="69" w:name="_Toc524024830"/>
      <w:bookmarkStart w:id="70" w:name="_Toc524024889"/>
      <w:bookmarkStart w:id="71" w:name="_Toc524025677"/>
      <w:bookmarkStart w:id="72" w:name="_Toc524026150"/>
      <w:bookmarkStart w:id="73" w:name="_Toc524026305"/>
      <w:bookmarkStart w:id="74" w:name="_Toc524027793"/>
      <w:bookmarkStart w:id="75" w:name="_Toc524023722"/>
      <w:bookmarkStart w:id="76" w:name="_Toc524024772"/>
      <w:bookmarkStart w:id="77" w:name="_Toc524024831"/>
      <w:bookmarkStart w:id="78" w:name="_Toc524024890"/>
      <w:bookmarkStart w:id="79" w:name="_Toc524025678"/>
      <w:bookmarkStart w:id="80" w:name="_Toc524026151"/>
      <w:bookmarkStart w:id="81" w:name="_Toc524026306"/>
      <w:bookmarkStart w:id="82" w:name="_Toc524027794"/>
      <w:bookmarkStart w:id="83" w:name="_Toc524023723"/>
      <w:bookmarkStart w:id="84" w:name="_Toc524024773"/>
      <w:bookmarkStart w:id="85" w:name="_Toc524024832"/>
      <w:bookmarkStart w:id="86" w:name="_Toc524024891"/>
      <w:bookmarkStart w:id="87" w:name="_Toc524025679"/>
      <w:bookmarkStart w:id="88" w:name="_Toc524026152"/>
      <w:bookmarkStart w:id="89" w:name="_Toc524026307"/>
      <w:bookmarkStart w:id="90" w:name="_Toc524027795"/>
      <w:bookmarkStart w:id="91" w:name="_Toc524023724"/>
      <w:bookmarkStart w:id="92" w:name="_Toc524024774"/>
      <w:bookmarkStart w:id="93" w:name="_Toc524024833"/>
      <w:bookmarkStart w:id="94" w:name="_Toc524024892"/>
      <w:bookmarkStart w:id="95" w:name="_Toc524025680"/>
      <w:bookmarkStart w:id="96" w:name="_Toc524026153"/>
      <w:bookmarkStart w:id="97" w:name="_Toc524026308"/>
      <w:bookmarkStart w:id="98" w:name="_Toc524027796"/>
      <w:bookmarkStart w:id="99" w:name="_Toc524023725"/>
      <w:bookmarkStart w:id="100" w:name="_Toc524024775"/>
      <w:bookmarkStart w:id="101" w:name="_Toc524024834"/>
      <w:bookmarkStart w:id="102" w:name="_Toc524024893"/>
      <w:bookmarkStart w:id="103" w:name="_Toc524025681"/>
      <w:bookmarkStart w:id="104" w:name="_Toc524026154"/>
      <w:bookmarkStart w:id="105" w:name="_Toc524026309"/>
      <w:bookmarkStart w:id="106" w:name="_Toc524027797"/>
      <w:bookmarkStart w:id="107" w:name="_Toc524023726"/>
      <w:bookmarkStart w:id="108" w:name="_Toc524024776"/>
      <w:bookmarkStart w:id="109" w:name="_Toc524024835"/>
      <w:bookmarkStart w:id="110" w:name="_Toc524024894"/>
      <w:bookmarkStart w:id="111" w:name="_Toc524025682"/>
      <w:bookmarkStart w:id="112" w:name="_Toc524026155"/>
      <w:bookmarkStart w:id="113" w:name="_Toc524026310"/>
      <w:bookmarkStart w:id="114" w:name="_Toc524027798"/>
      <w:bookmarkStart w:id="115" w:name="_Toc524023727"/>
      <w:bookmarkStart w:id="116" w:name="_Toc524024777"/>
      <w:bookmarkStart w:id="117" w:name="_Toc524024836"/>
      <w:bookmarkStart w:id="118" w:name="_Toc524024895"/>
      <w:bookmarkStart w:id="119" w:name="_Toc524025683"/>
      <w:bookmarkStart w:id="120" w:name="_Toc524026156"/>
      <w:bookmarkStart w:id="121" w:name="_Toc524026311"/>
      <w:bookmarkStart w:id="122" w:name="_Toc524027799"/>
      <w:bookmarkStart w:id="123" w:name="_Toc524023728"/>
      <w:bookmarkStart w:id="124" w:name="_Toc524024778"/>
      <w:bookmarkStart w:id="125" w:name="_Toc524024837"/>
      <w:bookmarkStart w:id="126" w:name="_Toc524024896"/>
      <w:bookmarkStart w:id="127" w:name="_Toc524025684"/>
      <w:bookmarkStart w:id="128" w:name="_Toc524026157"/>
      <w:bookmarkStart w:id="129" w:name="_Toc524026312"/>
      <w:bookmarkStart w:id="130" w:name="_Toc524027800"/>
      <w:bookmarkStart w:id="131" w:name="_Toc524023729"/>
      <w:bookmarkStart w:id="132" w:name="_Toc524024779"/>
      <w:bookmarkStart w:id="133" w:name="_Toc524024838"/>
      <w:bookmarkStart w:id="134" w:name="_Toc524024897"/>
      <w:bookmarkStart w:id="135" w:name="_Toc524025685"/>
      <w:bookmarkStart w:id="136" w:name="_Toc524026158"/>
      <w:bookmarkStart w:id="137" w:name="_Toc524026313"/>
      <w:bookmarkStart w:id="138" w:name="_Toc524027801"/>
      <w:bookmarkStart w:id="139" w:name="_Toc524023730"/>
      <w:bookmarkStart w:id="140" w:name="_Toc524024780"/>
      <w:bookmarkStart w:id="141" w:name="_Toc524024839"/>
      <w:bookmarkStart w:id="142" w:name="_Toc524024898"/>
      <w:bookmarkStart w:id="143" w:name="_Toc524025686"/>
      <w:bookmarkStart w:id="144" w:name="_Toc524026159"/>
      <w:bookmarkStart w:id="145" w:name="_Toc524026314"/>
      <w:bookmarkStart w:id="146" w:name="_Toc524027802"/>
      <w:bookmarkStart w:id="147" w:name="_Toc524023731"/>
      <w:bookmarkStart w:id="148" w:name="_Toc524024781"/>
      <w:bookmarkStart w:id="149" w:name="_Toc524024840"/>
      <w:bookmarkStart w:id="150" w:name="_Toc524024899"/>
      <w:bookmarkStart w:id="151" w:name="_Toc524025687"/>
      <w:bookmarkStart w:id="152" w:name="_Toc524026160"/>
      <w:bookmarkStart w:id="153" w:name="_Toc524026315"/>
      <w:bookmarkStart w:id="154" w:name="_Toc524027803"/>
      <w:bookmarkStart w:id="155" w:name="_Toc524023732"/>
      <w:bookmarkStart w:id="156" w:name="_Toc524024782"/>
      <w:bookmarkStart w:id="157" w:name="_Toc524024841"/>
      <w:bookmarkStart w:id="158" w:name="_Toc524024900"/>
      <w:bookmarkStart w:id="159" w:name="_Toc524025688"/>
      <w:bookmarkStart w:id="160" w:name="_Toc524026161"/>
      <w:bookmarkStart w:id="161" w:name="_Toc524026316"/>
      <w:bookmarkStart w:id="162" w:name="_Toc524027804"/>
      <w:bookmarkStart w:id="163" w:name="_Toc524023733"/>
      <w:bookmarkStart w:id="164" w:name="_Toc524024783"/>
      <w:bookmarkStart w:id="165" w:name="_Toc524024842"/>
      <w:bookmarkStart w:id="166" w:name="_Toc524024901"/>
      <w:bookmarkStart w:id="167" w:name="_Toc524025689"/>
      <w:bookmarkStart w:id="168" w:name="_Toc524026162"/>
      <w:bookmarkStart w:id="169" w:name="_Toc524026317"/>
      <w:bookmarkStart w:id="170" w:name="_Toc524027805"/>
      <w:bookmarkStart w:id="171" w:name="_Toc524023734"/>
      <w:bookmarkStart w:id="172" w:name="_Toc524024784"/>
      <w:bookmarkStart w:id="173" w:name="_Toc524024843"/>
      <w:bookmarkStart w:id="174" w:name="_Toc524024902"/>
      <w:bookmarkStart w:id="175" w:name="_Toc524025690"/>
      <w:bookmarkStart w:id="176" w:name="_Toc524026163"/>
      <w:bookmarkStart w:id="177" w:name="_Toc524026318"/>
      <w:bookmarkStart w:id="178" w:name="_Toc524027806"/>
      <w:bookmarkStart w:id="179" w:name="_Toc524023735"/>
      <w:bookmarkStart w:id="180" w:name="_Toc524024785"/>
      <w:bookmarkStart w:id="181" w:name="_Toc524024844"/>
      <w:bookmarkStart w:id="182" w:name="_Toc524024903"/>
      <w:bookmarkStart w:id="183" w:name="_Toc524025691"/>
      <w:bookmarkStart w:id="184" w:name="_Toc524026164"/>
      <w:bookmarkStart w:id="185" w:name="_Toc524026319"/>
      <w:bookmarkStart w:id="186" w:name="_Toc524027807"/>
      <w:bookmarkStart w:id="187" w:name="_Toc524023736"/>
      <w:bookmarkStart w:id="188" w:name="_Toc524024786"/>
      <w:bookmarkStart w:id="189" w:name="_Toc524024845"/>
      <w:bookmarkStart w:id="190" w:name="_Toc524024904"/>
      <w:bookmarkStart w:id="191" w:name="_Toc524025692"/>
      <w:bookmarkStart w:id="192" w:name="_Toc524026165"/>
      <w:bookmarkStart w:id="193" w:name="_Toc524026320"/>
      <w:bookmarkStart w:id="194" w:name="_Toc524027808"/>
      <w:bookmarkStart w:id="195" w:name="_Toc524023737"/>
      <w:bookmarkStart w:id="196" w:name="_Toc524024787"/>
      <w:bookmarkStart w:id="197" w:name="_Toc524024846"/>
      <w:bookmarkStart w:id="198" w:name="_Toc524024905"/>
      <w:bookmarkStart w:id="199" w:name="_Toc524025693"/>
      <w:bookmarkStart w:id="200" w:name="_Toc524026166"/>
      <w:bookmarkStart w:id="201" w:name="_Toc524026321"/>
      <w:bookmarkStart w:id="202" w:name="_Toc524027809"/>
      <w:bookmarkStart w:id="203" w:name="_Toc524023738"/>
      <w:bookmarkStart w:id="204" w:name="_Toc524024788"/>
      <w:bookmarkStart w:id="205" w:name="_Toc524024847"/>
      <w:bookmarkStart w:id="206" w:name="_Toc524024906"/>
      <w:bookmarkStart w:id="207" w:name="_Toc524025694"/>
      <w:bookmarkStart w:id="208" w:name="_Toc524026167"/>
      <w:bookmarkStart w:id="209" w:name="_Toc524026322"/>
      <w:bookmarkStart w:id="210" w:name="_Toc524027810"/>
      <w:bookmarkStart w:id="211" w:name="_Toc524023739"/>
      <w:bookmarkStart w:id="212" w:name="_Toc524024789"/>
      <w:bookmarkStart w:id="213" w:name="_Toc524024848"/>
      <w:bookmarkStart w:id="214" w:name="_Toc524024907"/>
      <w:bookmarkStart w:id="215" w:name="_Toc524025695"/>
      <w:bookmarkStart w:id="216" w:name="_Toc524026168"/>
      <w:bookmarkStart w:id="217" w:name="_Toc524026323"/>
      <w:bookmarkStart w:id="218" w:name="_Toc524027811"/>
      <w:bookmarkStart w:id="219" w:name="_Toc524023740"/>
      <w:bookmarkStart w:id="220" w:name="_Toc524024790"/>
      <w:bookmarkStart w:id="221" w:name="_Toc524024849"/>
      <w:bookmarkStart w:id="222" w:name="_Toc524024908"/>
      <w:bookmarkStart w:id="223" w:name="_Toc524025696"/>
      <w:bookmarkStart w:id="224" w:name="_Toc524026169"/>
      <w:bookmarkStart w:id="225" w:name="_Toc524026324"/>
      <w:bookmarkStart w:id="226" w:name="_Toc524027812"/>
      <w:bookmarkStart w:id="227" w:name="_Toc524023741"/>
      <w:bookmarkStart w:id="228" w:name="_Toc524024791"/>
      <w:bookmarkStart w:id="229" w:name="_Toc524024850"/>
      <w:bookmarkStart w:id="230" w:name="_Toc524024909"/>
      <w:bookmarkStart w:id="231" w:name="_Toc524025697"/>
      <w:bookmarkStart w:id="232" w:name="_Toc524026170"/>
      <w:bookmarkStart w:id="233" w:name="_Toc524026325"/>
      <w:bookmarkStart w:id="234" w:name="_Toc524027813"/>
      <w:bookmarkStart w:id="235" w:name="_Toc524023742"/>
      <w:bookmarkStart w:id="236" w:name="_Toc524024792"/>
      <w:bookmarkStart w:id="237" w:name="_Toc524024851"/>
      <w:bookmarkStart w:id="238" w:name="_Toc524024910"/>
      <w:bookmarkStart w:id="239" w:name="_Toc524025698"/>
      <w:bookmarkStart w:id="240" w:name="_Toc524026171"/>
      <w:bookmarkStart w:id="241" w:name="_Toc524026326"/>
      <w:bookmarkStart w:id="242" w:name="_Toc524027814"/>
      <w:bookmarkStart w:id="243" w:name="_Toc524023743"/>
      <w:bookmarkStart w:id="244" w:name="_Toc524024793"/>
      <w:bookmarkStart w:id="245" w:name="_Toc524024852"/>
      <w:bookmarkStart w:id="246" w:name="_Toc524024911"/>
      <w:bookmarkStart w:id="247" w:name="_Toc524025699"/>
      <w:bookmarkStart w:id="248" w:name="_Toc524026172"/>
      <w:bookmarkStart w:id="249" w:name="_Toc524026327"/>
      <w:bookmarkStart w:id="250" w:name="_Toc524027815"/>
      <w:bookmarkStart w:id="251" w:name="_Toc524023744"/>
      <w:bookmarkStart w:id="252" w:name="_Toc524024794"/>
      <w:bookmarkStart w:id="253" w:name="_Toc524024853"/>
      <w:bookmarkStart w:id="254" w:name="_Toc524024912"/>
      <w:bookmarkStart w:id="255" w:name="_Toc524025700"/>
      <w:bookmarkStart w:id="256" w:name="_Toc524026173"/>
      <w:bookmarkStart w:id="257" w:name="_Toc524026328"/>
      <w:bookmarkStart w:id="258" w:name="_Toc524027816"/>
      <w:bookmarkStart w:id="259" w:name="_Toc524023745"/>
      <w:bookmarkStart w:id="260" w:name="_Toc524024795"/>
      <w:bookmarkStart w:id="261" w:name="_Toc524024854"/>
      <w:bookmarkStart w:id="262" w:name="_Toc524024913"/>
      <w:bookmarkStart w:id="263" w:name="_Toc524025701"/>
      <w:bookmarkStart w:id="264" w:name="_Toc524026174"/>
      <w:bookmarkStart w:id="265" w:name="_Toc524026329"/>
      <w:bookmarkStart w:id="266" w:name="_Toc524027817"/>
      <w:bookmarkStart w:id="267" w:name="_Toc524023746"/>
      <w:bookmarkStart w:id="268" w:name="_Toc524024796"/>
      <w:bookmarkStart w:id="269" w:name="_Toc524024855"/>
      <w:bookmarkStart w:id="270" w:name="_Toc524024914"/>
      <w:bookmarkStart w:id="271" w:name="_Toc524025702"/>
      <w:bookmarkStart w:id="272" w:name="_Toc524026175"/>
      <w:bookmarkStart w:id="273" w:name="_Toc524026330"/>
      <w:bookmarkStart w:id="274" w:name="_Toc524027818"/>
      <w:bookmarkStart w:id="275" w:name="_Toc524023747"/>
      <w:bookmarkStart w:id="276" w:name="_Toc524024797"/>
      <w:bookmarkStart w:id="277" w:name="_Toc524024856"/>
      <w:bookmarkStart w:id="278" w:name="_Toc524024915"/>
      <w:bookmarkStart w:id="279" w:name="_Toc524025703"/>
      <w:bookmarkStart w:id="280" w:name="_Toc524026176"/>
      <w:bookmarkStart w:id="281" w:name="_Toc524026331"/>
      <w:bookmarkStart w:id="282" w:name="_Toc524027819"/>
      <w:bookmarkStart w:id="283" w:name="_Toc524023748"/>
      <w:bookmarkStart w:id="284" w:name="_Toc524024798"/>
      <w:bookmarkStart w:id="285" w:name="_Toc524024857"/>
      <w:bookmarkStart w:id="286" w:name="_Toc524024916"/>
      <w:bookmarkStart w:id="287" w:name="_Toc524025704"/>
      <w:bookmarkStart w:id="288" w:name="_Toc524026177"/>
      <w:bookmarkStart w:id="289" w:name="_Toc524026332"/>
      <w:bookmarkStart w:id="290" w:name="_Toc524027820"/>
      <w:bookmarkStart w:id="291" w:name="_Toc524023749"/>
      <w:bookmarkStart w:id="292" w:name="_Toc524024799"/>
      <w:bookmarkStart w:id="293" w:name="_Toc524024858"/>
      <w:bookmarkStart w:id="294" w:name="_Toc524024917"/>
      <w:bookmarkStart w:id="295" w:name="_Toc524025705"/>
      <w:bookmarkStart w:id="296" w:name="_Toc524026178"/>
      <w:bookmarkStart w:id="297" w:name="_Toc524026333"/>
      <w:bookmarkStart w:id="298" w:name="_Toc52402782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18"/>
    </w:p>
    <w:p w14:paraId="244BE059" w14:textId="77777777" w:rsidR="00767A44" w:rsidRPr="00694DBF" w:rsidRDefault="00767A44" w:rsidP="00767A44">
      <w:pPr>
        <w:rPr>
          <w:lang w:eastAsia="ja-JP"/>
        </w:rPr>
      </w:pPr>
      <w:r>
        <w:rPr>
          <w:lang w:eastAsia="ja-JP"/>
        </w:rPr>
        <w:t xml:space="preserve">ABARES 2013, Global food production and prices to 2050, </w:t>
      </w:r>
      <w:r w:rsidRPr="00694DBF">
        <w:rPr>
          <w:i/>
          <w:lang w:eastAsia="ja-JP"/>
        </w:rPr>
        <w:t>ABARES Conference paper</w:t>
      </w:r>
      <w:r>
        <w:rPr>
          <w:lang w:eastAsia="ja-JP"/>
        </w:rPr>
        <w:t>, Canberra.</w:t>
      </w:r>
    </w:p>
    <w:p w14:paraId="5A958657" w14:textId="77777777" w:rsidR="00767A44" w:rsidRDefault="00767A44" w:rsidP="00767A44">
      <w:pPr>
        <w:rPr>
          <w:lang w:eastAsia="ja-JP"/>
        </w:rPr>
      </w:pPr>
      <w:proofErr w:type="spellStart"/>
      <w:r>
        <w:rPr>
          <w:lang w:eastAsia="ja-JP"/>
        </w:rPr>
        <w:t>Brester</w:t>
      </w:r>
      <w:proofErr w:type="spellEnd"/>
      <w:r>
        <w:rPr>
          <w:lang w:eastAsia="ja-JP"/>
        </w:rPr>
        <w:t xml:space="preserve">, G, </w:t>
      </w:r>
      <w:proofErr w:type="spellStart"/>
      <w:r>
        <w:rPr>
          <w:lang w:eastAsia="ja-JP"/>
        </w:rPr>
        <w:t>Dhuyvetter</w:t>
      </w:r>
      <w:proofErr w:type="spellEnd"/>
      <w:r>
        <w:rPr>
          <w:lang w:eastAsia="ja-JP"/>
        </w:rPr>
        <w:t xml:space="preserve">, K, </w:t>
      </w:r>
      <w:proofErr w:type="spellStart"/>
      <w:r>
        <w:rPr>
          <w:lang w:eastAsia="ja-JP"/>
        </w:rPr>
        <w:t>Pendell</w:t>
      </w:r>
      <w:proofErr w:type="spellEnd"/>
      <w:r>
        <w:rPr>
          <w:lang w:eastAsia="ja-JP"/>
        </w:rPr>
        <w:t xml:space="preserve">, D, Schroeder, T, </w:t>
      </w:r>
      <w:proofErr w:type="spellStart"/>
      <w:r>
        <w:rPr>
          <w:lang w:eastAsia="ja-JP"/>
        </w:rPr>
        <w:t>Tonsor</w:t>
      </w:r>
      <w:proofErr w:type="spellEnd"/>
      <w:r>
        <w:rPr>
          <w:lang w:eastAsia="ja-JP"/>
        </w:rPr>
        <w:t xml:space="preserve">, G 2011, </w:t>
      </w:r>
      <w:hyperlink r:id="rId23" w:history="1">
        <w:r w:rsidRPr="00233BF9">
          <w:rPr>
            <w:rStyle w:val="Hyperlink"/>
            <w:lang w:eastAsia="ja-JP"/>
          </w:rPr>
          <w:t>Economic impacts of evolving red meat export market access requirements for traceability of livestock and meat</w:t>
        </w:r>
      </w:hyperlink>
      <w:r>
        <w:rPr>
          <w:lang w:eastAsia="ja-JP"/>
        </w:rPr>
        <w:t xml:space="preserve">, </w:t>
      </w:r>
      <w:r>
        <w:rPr>
          <w:i/>
          <w:lang w:eastAsia="ja-JP"/>
        </w:rPr>
        <w:t xml:space="preserve">Kansas State University Department of Agricultural Economics, </w:t>
      </w:r>
      <w:r>
        <w:rPr>
          <w:lang w:eastAsia="ja-JP"/>
        </w:rPr>
        <w:t xml:space="preserve">September 2011, accessed 23 October 2018. </w:t>
      </w:r>
    </w:p>
    <w:p w14:paraId="068D87AD" w14:textId="6EDA079F" w:rsidR="00D711F4" w:rsidRDefault="00D711F4" w:rsidP="00767A44">
      <w:pPr>
        <w:rPr>
          <w:lang w:eastAsia="ja-JP"/>
        </w:rPr>
      </w:pPr>
      <w:proofErr w:type="spellStart"/>
      <w:r w:rsidRPr="00D711F4">
        <w:rPr>
          <w:lang w:eastAsia="ja-JP"/>
        </w:rPr>
        <w:t>Charlebois</w:t>
      </w:r>
      <w:proofErr w:type="spellEnd"/>
      <w:r w:rsidRPr="00D711F4">
        <w:rPr>
          <w:lang w:eastAsia="ja-JP"/>
        </w:rPr>
        <w:t xml:space="preserve">, S, Sterling, B, </w:t>
      </w:r>
      <w:proofErr w:type="spellStart"/>
      <w:r w:rsidRPr="00D711F4">
        <w:rPr>
          <w:lang w:eastAsia="ja-JP"/>
        </w:rPr>
        <w:t>Haratifar</w:t>
      </w:r>
      <w:proofErr w:type="spellEnd"/>
      <w:r w:rsidRPr="00D711F4">
        <w:rPr>
          <w:lang w:eastAsia="ja-JP"/>
        </w:rPr>
        <w:t xml:space="preserve">, S &amp; </w:t>
      </w:r>
      <w:proofErr w:type="spellStart"/>
      <w:r w:rsidRPr="00D711F4">
        <w:rPr>
          <w:lang w:eastAsia="ja-JP"/>
        </w:rPr>
        <w:t>Naing</w:t>
      </w:r>
      <w:proofErr w:type="spellEnd"/>
      <w:r w:rsidRPr="00D711F4">
        <w:rPr>
          <w:lang w:eastAsia="ja-JP"/>
        </w:rPr>
        <w:t>, SK</w:t>
      </w:r>
      <w:r>
        <w:rPr>
          <w:lang w:eastAsia="ja-JP"/>
        </w:rPr>
        <w:t>,</w:t>
      </w:r>
      <w:r w:rsidRPr="00D711F4">
        <w:rPr>
          <w:lang w:eastAsia="ja-JP"/>
        </w:rPr>
        <w:t xml:space="preserve"> 2014</w:t>
      </w:r>
      <w:r>
        <w:rPr>
          <w:lang w:eastAsia="ja-JP"/>
        </w:rPr>
        <w:t>, ‘</w:t>
      </w:r>
      <w:r w:rsidRPr="00D711F4">
        <w:rPr>
          <w:lang w:eastAsia="ja-JP"/>
        </w:rPr>
        <w:t>Comparison of Global Food Traceability Regulations and Requirements</w:t>
      </w:r>
      <w:r>
        <w:rPr>
          <w:lang w:eastAsia="ja-JP"/>
        </w:rPr>
        <w:t>’,</w:t>
      </w:r>
      <w:r w:rsidRPr="00D711F4">
        <w:rPr>
          <w:lang w:eastAsia="ja-JP"/>
        </w:rPr>
        <w:t xml:space="preserve"> </w:t>
      </w:r>
      <w:r w:rsidRPr="00767A44">
        <w:rPr>
          <w:i/>
          <w:lang w:eastAsia="ja-JP"/>
        </w:rPr>
        <w:t>Comprehensive Reviews in Food Science and Food Safety</w:t>
      </w:r>
      <w:r>
        <w:rPr>
          <w:lang w:eastAsia="ja-JP"/>
        </w:rPr>
        <w:t>,</w:t>
      </w:r>
      <w:r w:rsidRPr="00D711F4">
        <w:rPr>
          <w:lang w:eastAsia="ja-JP"/>
        </w:rPr>
        <w:t xml:space="preserve"> </w:t>
      </w:r>
      <w:r>
        <w:rPr>
          <w:lang w:eastAsia="ja-JP"/>
        </w:rPr>
        <w:t>vol. 13, pp.</w:t>
      </w:r>
      <w:r w:rsidRPr="00D711F4">
        <w:rPr>
          <w:lang w:eastAsia="ja-JP"/>
        </w:rPr>
        <w:t xml:space="preserve"> 1104–1123. </w:t>
      </w:r>
    </w:p>
    <w:p w14:paraId="1BDFA4B4" w14:textId="35B8F8CC" w:rsidR="00D711F4" w:rsidRDefault="00D711F4" w:rsidP="00D711F4">
      <w:pPr>
        <w:rPr>
          <w:lang w:eastAsia="ja-JP"/>
        </w:rPr>
      </w:pPr>
      <w:r>
        <w:rPr>
          <w:lang w:eastAsia="ja-JP"/>
        </w:rPr>
        <w:t xml:space="preserve">CSIRO 2017, </w:t>
      </w:r>
      <w:hyperlink r:id="rId24" w:history="1">
        <w:r w:rsidRPr="00233BF9">
          <w:rPr>
            <w:rStyle w:val="Hyperlink"/>
            <w:lang w:eastAsia="ja-JP"/>
          </w:rPr>
          <w:t>Food and Agribusiness: A roadmap for unlocking value-adding growth opportunities for Australia</w:t>
        </w:r>
      </w:hyperlink>
      <w:r>
        <w:rPr>
          <w:lang w:eastAsia="ja-JP"/>
        </w:rPr>
        <w:t xml:space="preserve">, </w:t>
      </w:r>
      <w:r w:rsidRPr="00767A44">
        <w:rPr>
          <w:i/>
          <w:lang w:eastAsia="ja-JP"/>
        </w:rPr>
        <w:t>CSIRO Futures</w:t>
      </w:r>
      <w:r>
        <w:rPr>
          <w:lang w:eastAsia="ja-JP"/>
        </w:rPr>
        <w:t>, July 2017</w:t>
      </w:r>
      <w:r w:rsidR="00233BF9">
        <w:rPr>
          <w:lang w:eastAsia="ja-JP"/>
        </w:rPr>
        <w:t>, accessed 23 October 2018.</w:t>
      </w:r>
      <w:r>
        <w:rPr>
          <w:lang w:eastAsia="ja-JP"/>
        </w:rPr>
        <w:t xml:space="preserve"> </w:t>
      </w:r>
    </w:p>
    <w:p w14:paraId="2F0080DD" w14:textId="1DD1E97C" w:rsidR="00D711F4" w:rsidRPr="00767A44" w:rsidRDefault="00D711F4" w:rsidP="00767A44">
      <w:pPr>
        <w:rPr>
          <w:lang w:eastAsia="ja-JP"/>
        </w:rPr>
      </w:pPr>
      <w:r>
        <w:rPr>
          <w:lang w:eastAsia="ja-JP"/>
        </w:rPr>
        <w:t xml:space="preserve">United Nations 2011, </w:t>
      </w:r>
      <w:hyperlink r:id="rId25" w:history="1">
        <w:r w:rsidR="00767A44" w:rsidRPr="00767A44">
          <w:rPr>
            <w:rStyle w:val="Hyperlink"/>
            <w:lang w:eastAsia="ja-JP"/>
          </w:rPr>
          <w:t>Composition of macro geographical (continental) regions, geographical sub-regions, and selected economic and other groupings</w:t>
        </w:r>
      </w:hyperlink>
      <w:r w:rsidR="00767A44">
        <w:rPr>
          <w:lang w:eastAsia="ja-JP"/>
        </w:rPr>
        <w:t>, United Nations, New York, accessed 23 October 2018.</w:t>
      </w:r>
    </w:p>
    <w:sectPr w:rsidR="00D711F4" w:rsidRPr="00767A44" w:rsidSect="00245976">
      <w:headerReference w:type="default" r:id="rId26"/>
      <w:footerReference w:type="default" r:id="rId27"/>
      <w:pgSz w:w="11906" w:h="16838"/>
      <w:pgMar w:top="1418" w:right="1700" w:bottom="567" w:left="1134"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BCA12" w14:textId="77777777" w:rsidR="001F1A0E" w:rsidRDefault="001F1A0E">
      <w:r>
        <w:separator/>
      </w:r>
    </w:p>
    <w:p w14:paraId="55F3E2FD" w14:textId="77777777" w:rsidR="001F1A0E" w:rsidRDefault="001F1A0E"/>
    <w:p w14:paraId="0857E492" w14:textId="77777777" w:rsidR="001F1A0E" w:rsidRDefault="001F1A0E"/>
  </w:endnote>
  <w:endnote w:type="continuationSeparator" w:id="0">
    <w:p w14:paraId="26D00CAD" w14:textId="77777777" w:rsidR="001F1A0E" w:rsidRDefault="001F1A0E">
      <w:r>
        <w:continuationSeparator/>
      </w:r>
    </w:p>
    <w:p w14:paraId="168312CE" w14:textId="77777777" w:rsidR="001F1A0E" w:rsidRDefault="001F1A0E"/>
    <w:p w14:paraId="3D752707" w14:textId="77777777" w:rsidR="001F1A0E" w:rsidRDefault="001F1A0E"/>
  </w:endnote>
  <w:endnote w:type="continuationNotice" w:id="1">
    <w:p w14:paraId="55B3FE0D" w14:textId="77777777" w:rsidR="001F1A0E" w:rsidRDefault="001F1A0E">
      <w:pPr>
        <w:pStyle w:val="Footer"/>
      </w:pPr>
    </w:p>
    <w:p w14:paraId="75261628" w14:textId="77777777" w:rsidR="001F1A0E" w:rsidRDefault="001F1A0E"/>
    <w:p w14:paraId="512CE9C7" w14:textId="77777777" w:rsidR="001F1A0E" w:rsidRDefault="001F1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05FB7" w14:textId="2A38A207" w:rsidR="007C646A" w:rsidRDefault="00297016" w:rsidP="00077E52">
    <w:pPr>
      <w:pStyle w:val="Footer"/>
      <w:tabs>
        <w:tab w:val="clear" w:pos="4536"/>
        <w:tab w:val="right" w:pos="9072"/>
      </w:tabs>
      <w:jc w:val="both"/>
    </w:pPr>
    <w:r>
      <w:t>Department of Agriculture and Water Resources</w:t>
    </w:r>
    <w:r w:rsidR="00077E52">
      <w:tab/>
    </w:r>
    <w:r w:rsidR="008F25F1">
      <w:fldChar w:fldCharType="begin"/>
    </w:r>
    <w:r w:rsidR="008F25F1">
      <w:instrText xml:space="preserve"> PAGE  \* roman  \* MERGEFORMAT </w:instrText>
    </w:r>
    <w:r w:rsidR="008F25F1">
      <w:fldChar w:fldCharType="separate"/>
    </w:r>
    <w:r w:rsidR="00AA752E">
      <w:rPr>
        <w:noProof/>
      </w:rPr>
      <w:t>v</w:t>
    </w:r>
    <w:r w:rsidR="008F25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59767"/>
      <w:docPartObj>
        <w:docPartGallery w:val="Page Numbers (Bottom of Page)"/>
        <w:docPartUnique/>
      </w:docPartObj>
    </w:sdtPr>
    <w:sdtEndPr>
      <w:rPr>
        <w:noProof/>
      </w:rPr>
    </w:sdtEndPr>
    <w:sdtContent>
      <w:p w14:paraId="4DE412C1" w14:textId="246F5119" w:rsidR="00077E52" w:rsidRDefault="00077E52" w:rsidP="002971BB">
        <w:pPr>
          <w:pStyle w:val="Footer"/>
          <w:tabs>
            <w:tab w:val="clear" w:pos="4536"/>
            <w:tab w:val="right" w:pos="8931"/>
          </w:tabs>
          <w:spacing w:before="120"/>
          <w:ind w:firstLine="720"/>
          <w:jc w:val="both"/>
        </w:pPr>
        <w:r>
          <w:t>Department of Agriculture and Water Resources</w:t>
        </w:r>
        <w:r>
          <w:tab/>
        </w:r>
        <w:r>
          <w:fldChar w:fldCharType="begin"/>
        </w:r>
        <w:r>
          <w:instrText xml:space="preserve"> PAGE   \* MERGEFORMAT </w:instrText>
        </w:r>
        <w:r>
          <w:fldChar w:fldCharType="separate"/>
        </w:r>
        <w:r w:rsidR="00AA752E">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2E0F8" w14:textId="77777777" w:rsidR="001F1A0E" w:rsidRDefault="001F1A0E">
      <w:r>
        <w:separator/>
      </w:r>
    </w:p>
    <w:p w14:paraId="37DD59F8" w14:textId="77777777" w:rsidR="001F1A0E" w:rsidRDefault="001F1A0E"/>
    <w:p w14:paraId="41D14AB2" w14:textId="77777777" w:rsidR="001F1A0E" w:rsidRDefault="001F1A0E"/>
  </w:footnote>
  <w:footnote w:type="continuationSeparator" w:id="0">
    <w:p w14:paraId="3EEA3C4D" w14:textId="77777777" w:rsidR="001F1A0E" w:rsidRDefault="001F1A0E">
      <w:r>
        <w:continuationSeparator/>
      </w:r>
    </w:p>
    <w:p w14:paraId="3B1829BE" w14:textId="77777777" w:rsidR="001F1A0E" w:rsidRDefault="001F1A0E"/>
    <w:p w14:paraId="29063AB6" w14:textId="77777777" w:rsidR="001F1A0E" w:rsidRDefault="001F1A0E"/>
  </w:footnote>
  <w:footnote w:type="continuationNotice" w:id="1">
    <w:p w14:paraId="004B4A3E" w14:textId="77777777" w:rsidR="001F1A0E" w:rsidRDefault="001F1A0E">
      <w:pPr>
        <w:pStyle w:val="Footer"/>
      </w:pPr>
    </w:p>
    <w:p w14:paraId="636BE2B2" w14:textId="77777777" w:rsidR="001F1A0E" w:rsidRDefault="001F1A0E"/>
    <w:p w14:paraId="3CE4AD05" w14:textId="77777777" w:rsidR="001F1A0E" w:rsidRDefault="001F1A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0B447" w14:textId="29FAED86" w:rsidR="00A16A24" w:rsidRDefault="00A16A24" w:rsidP="008F25F1">
    <w:pPr>
      <w:pStyle w:val="Header"/>
    </w:pPr>
    <w:r>
      <w:rPr>
        <w:noProof/>
        <w:lang w:val="en-US"/>
      </w:rPr>
      <w:t>Enhancing Australia’s systems for tracing agricultural production and products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DF502" w14:textId="62A6D4C4" w:rsidR="00333452" w:rsidRPr="00412A32" w:rsidRDefault="00333452" w:rsidP="00245976">
    <w:r w:rsidRPr="00333452">
      <w:rPr>
        <w:noProof/>
        <w:lang w:eastAsia="en-AU"/>
      </w:rPr>
      <w:drawing>
        <wp:inline distT="0" distB="0" distL="0" distR="0" wp14:anchorId="3375BC81" wp14:editId="0F94475F">
          <wp:extent cx="1995231" cy="1152525"/>
          <wp:effectExtent l="0" t="0" r="0" b="0"/>
          <wp:docPr id="10" name="Picture 10" descr="Logo of 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ffy Melissa\AppData\Local\Microsoft\Windows\INetCache\Content.Outlook\286J0LOH\AG_Master Brandmark_Stacked-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220" cy="115945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29D20" w14:textId="1A770460" w:rsidR="00077E52" w:rsidRDefault="00077E52" w:rsidP="008F25F1">
    <w:pPr>
      <w:pStyle w:val="Header"/>
    </w:pPr>
    <w:r>
      <w:rPr>
        <w:noProof/>
        <w:lang w:val="en-US"/>
      </w:rPr>
      <w:t>Enhancing Australia’s systems for tracing agricultural production and products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B606F"/>
    <w:multiLevelType w:val="hybridMultilevel"/>
    <w:tmpl w:val="E0560262"/>
    <w:lvl w:ilvl="0" w:tplc="B9FA63BE">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 w15:restartNumberingAfterBreak="0">
    <w:nsid w:val="21A328D5"/>
    <w:multiLevelType w:val="multilevel"/>
    <w:tmpl w:val="BE78A4F8"/>
    <w:numStyleLink w:val="Numberlist"/>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30833BD"/>
    <w:multiLevelType w:val="hybridMultilevel"/>
    <w:tmpl w:val="3C700788"/>
    <w:lvl w:ilvl="0" w:tplc="0C090001">
      <w:start w:val="1"/>
      <w:numFmt w:val="bullet"/>
      <w:lvlText w:val=""/>
      <w:lvlJc w:val="left"/>
      <w:pPr>
        <w:ind w:left="360" w:hanging="360"/>
      </w:pPr>
      <w:rPr>
        <w:rFonts w:ascii="Symbol" w:hAnsi="Symbol" w:hint="default"/>
      </w:rPr>
    </w:lvl>
    <w:lvl w:ilvl="1" w:tplc="15108AE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94A15FE"/>
    <w:multiLevelType w:val="multilevel"/>
    <w:tmpl w:val="F36C17E8"/>
    <w:numStyleLink w:val="Headinglist"/>
  </w:abstractNum>
  <w:abstractNum w:abstractNumId="5" w15:restartNumberingAfterBreak="0">
    <w:nsid w:val="3A0351E3"/>
    <w:multiLevelType w:val="hybridMultilevel"/>
    <w:tmpl w:val="67127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7637CF"/>
    <w:multiLevelType w:val="hybridMultilevel"/>
    <w:tmpl w:val="17E02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DE2E4A"/>
    <w:multiLevelType w:val="hybridMultilevel"/>
    <w:tmpl w:val="7E70FE16"/>
    <w:lvl w:ilvl="0" w:tplc="50623E58">
      <w:start w:val="1"/>
      <w:numFmt w:val="bullet"/>
      <w:pStyle w:val="BoxTextBullet"/>
      <w:lvlText w:val=""/>
      <w:lvlJc w:val="left"/>
      <w:pPr>
        <w:ind w:left="720" w:hanging="360"/>
      </w:pPr>
      <w:rPr>
        <w:rFonts w:ascii="Symbol" w:hAnsi="Symbol" w:hint="default"/>
      </w:rPr>
    </w:lvl>
    <w:lvl w:ilvl="1" w:tplc="421CBBE6">
      <w:numFmt w:val="bullet"/>
      <w:lvlText w:val="•"/>
      <w:lvlJc w:val="left"/>
      <w:pPr>
        <w:ind w:left="1800" w:hanging="720"/>
      </w:pPr>
      <w:rPr>
        <w:rFonts w:ascii="Cambria" w:eastAsiaTheme="minorHAnsi" w:hAnsi="Cambria" w:cstheme="minorBidi"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A60A7444"/>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7"/>
  </w:num>
  <w:num w:numId="2">
    <w:abstractNumId w:val="0"/>
  </w:num>
  <w:num w:numId="3">
    <w:abstractNumId w:val="9"/>
  </w:num>
  <w:num w:numId="4">
    <w:abstractNumId w:val="10"/>
  </w:num>
  <w:num w:numId="5">
    <w:abstractNumId w:val="2"/>
  </w:num>
  <w:num w:numId="6">
    <w:abstractNumId w:val="4"/>
  </w:num>
  <w:num w:numId="7">
    <w:abstractNumId w:val="8"/>
  </w:num>
  <w:num w:numId="8">
    <w:abstractNumId w:val="1"/>
  </w:num>
  <w:num w:numId="9">
    <w:abstractNumId w:val="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4"/>
  </w:num>
  <w:num w:numId="15">
    <w:abstractNumId w:val="4"/>
  </w:num>
  <w:num w:numId="16">
    <w:abstractNumId w:val="4"/>
  </w:num>
  <w:num w:numId="1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86"/>
    <w:rsid w:val="0000014A"/>
    <w:rsid w:val="000005CA"/>
    <w:rsid w:val="00000DB0"/>
    <w:rsid w:val="00002981"/>
    <w:rsid w:val="00003C77"/>
    <w:rsid w:val="00004C9C"/>
    <w:rsid w:val="0000653E"/>
    <w:rsid w:val="00006C44"/>
    <w:rsid w:val="00006C4E"/>
    <w:rsid w:val="00006F0E"/>
    <w:rsid w:val="00011E84"/>
    <w:rsid w:val="00013A3F"/>
    <w:rsid w:val="00014500"/>
    <w:rsid w:val="000147A0"/>
    <w:rsid w:val="00014B18"/>
    <w:rsid w:val="00017666"/>
    <w:rsid w:val="0001766A"/>
    <w:rsid w:val="00017FC6"/>
    <w:rsid w:val="000202CD"/>
    <w:rsid w:val="00021790"/>
    <w:rsid w:val="000227A6"/>
    <w:rsid w:val="000230B3"/>
    <w:rsid w:val="0002374B"/>
    <w:rsid w:val="00023EC4"/>
    <w:rsid w:val="000254BD"/>
    <w:rsid w:val="0002612E"/>
    <w:rsid w:val="00026B8D"/>
    <w:rsid w:val="00026BD2"/>
    <w:rsid w:val="00026CC8"/>
    <w:rsid w:val="00030412"/>
    <w:rsid w:val="000304BF"/>
    <w:rsid w:val="000310A0"/>
    <w:rsid w:val="00031283"/>
    <w:rsid w:val="0003179B"/>
    <w:rsid w:val="000317A6"/>
    <w:rsid w:val="000322FC"/>
    <w:rsid w:val="00034282"/>
    <w:rsid w:val="00035C92"/>
    <w:rsid w:val="00035FD9"/>
    <w:rsid w:val="0003673C"/>
    <w:rsid w:val="00036CF8"/>
    <w:rsid w:val="0003700C"/>
    <w:rsid w:val="00040312"/>
    <w:rsid w:val="0004076B"/>
    <w:rsid w:val="00040F4A"/>
    <w:rsid w:val="00041009"/>
    <w:rsid w:val="0004183F"/>
    <w:rsid w:val="00041A40"/>
    <w:rsid w:val="00041CB2"/>
    <w:rsid w:val="000422A1"/>
    <w:rsid w:val="00043217"/>
    <w:rsid w:val="00043D74"/>
    <w:rsid w:val="00045920"/>
    <w:rsid w:val="00045E5B"/>
    <w:rsid w:val="00046108"/>
    <w:rsid w:val="0004762C"/>
    <w:rsid w:val="0005001B"/>
    <w:rsid w:val="00050601"/>
    <w:rsid w:val="00051ADB"/>
    <w:rsid w:val="00052D01"/>
    <w:rsid w:val="000552DD"/>
    <w:rsid w:val="00055824"/>
    <w:rsid w:val="00056503"/>
    <w:rsid w:val="00056E06"/>
    <w:rsid w:val="00057AF2"/>
    <w:rsid w:val="00060849"/>
    <w:rsid w:val="0006116B"/>
    <w:rsid w:val="00061ED1"/>
    <w:rsid w:val="00061F51"/>
    <w:rsid w:val="000623FD"/>
    <w:rsid w:val="00062AE9"/>
    <w:rsid w:val="00062E7F"/>
    <w:rsid w:val="00063C55"/>
    <w:rsid w:val="00064330"/>
    <w:rsid w:val="000648C1"/>
    <w:rsid w:val="0006547B"/>
    <w:rsid w:val="00065C25"/>
    <w:rsid w:val="000673A8"/>
    <w:rsid w:val="00067B4B"/>
    <w:rsid w:val="00067B99"/>
    <w:rsid w:val="00070274"/>
    <w:rsid w:val="00071128"/>
    <w:rsid w:val="000725F2"/>
    <w:rsid w:val="00072AD1"/>
    <w:rsid w:val="00072EAD"/>
    <w:rsid w:val="00072F84"/>
    <w:rsid w:val="000740D4"/>
    <w:rsid w:val="000742B4"/>
    <w:rsid w:val="00074D0F"/>
    <w:rsid w:val="000755E2"/>
    <w:rsid w:val="00075932"/>
    <w:rsid w:val="00075BAC"/>
    <w:rsid w:val="0007646B"/>
    <w:rsid w:val="00077795"/>
    <w:rsid w:val="00077E52"/>
    <w:rsid w:val="00081298"/>
    <w:rsid w:val="00081B76"/>
    <w:rsid w:val="00081B92"/>
    <w:rsid w:val="0008252B"/>
    <w:rsid w:val="00082547"/>
    <w:rsid w:val="00082F19"/>
    <w:rsid w:val="00083481"/>
    <w:rsid w:val="00083BBE"/>
    <w:rsid w:val="0008444E"/>
    <w:rsid w:val="00084B22"/>
    <w:rsid w:val="00086005"/>
    <w:rsid w:val="000872A4"/>
    <w:rsid w:val="00087769"/>
    <w:rsid w:val="0008783D"/>
    <w:rsid w:val="00090057"/>
    <w:rsid w:val="00090341"/>
    <w:rsid w:val="00092783"/>
    <w:rsid w:val="0009284F"/>
    <w:rsid w:val="000930E6"/>
    <w:rsid w:val="000934EF"/>
    <w:rsid w:val="00093AFA"/>
    <w:rsid w:val="00093C81"/>
    <w:rsid w:val="00093FFC"/>
    <w:rsid w:val="00094567"/>
    <w:rsid w:val="000959F5"/>
    <w:rsid w:val="0009621D"/>
    <w:rsid w:val="0009757B"/>
    <w:rsid w:val="000A0614"/>
    <w:rsid w:val="000A06DD"/>
    <w:rsid w:val="000A1554"/>
    <w:rsid w:val="000A19EE"/>
    <w:rsid w:val="000A1C08"/>
    <w:rsid w:val="000A25D8"/>
    <w:rsid w:val="000A2791"/>
    <w:rsid w:val="000A3321"/>
    <w:rsid w:val="000A3604"/>
    <w:rsid w:val="000A388C"/>
    <w:rsid w:val="000A4444"/>
    <w:rsid w:val="000A6E35"/>
    <w:rsid w:val="000B17CA"/>
    <w:rsid w:val="000B184A"/>
    <w:rsid w:val="000B3C60"/>
    <w:rsid w:val="000B4334"/>
    <w:rsid w:val="000B4653"/>
    <w:rsid w:val="000B68C3"/>
    <w:rsid w:val="000B6D7F"/>
    <w:rsid w:val="000B6DF8"/>
    <w:rsid w:val="000B7E55"/>
    <w:rsid w:val="000C00B0"/>
    <w:rsid w:val="000C011A"/>
    <w:rsid w:val="000C0342"/>
    <w:rsid w:val="000C0976"/>
    <w:rsid w:val="000C144C"/>
    <w:rsid w:val="000C1AA0"/>
    <w:rsid w:val="000C2043"/>
    <w:rsid w:val="000C2093"/>
    <w:rsid w:val="000C218F"/>
    <w:rsid w:val="000C2DA2"/>
    <w:rsid w:val="000C4A01"/>
    <w:rsid w:val="000C4C94"/>
    <w:rsid w:val="000C501F"/>
    <w:rsid w:val="000C5570"/>
    <w:rsid w:val="000C5EB2"/>
    <w:rsid w:val="000C7E2C"/>
    <w:rsid w:val="000D0408"/>
    <w:rsid w:val="000D14DA"/>
    <w:rsid w:val="000D1AEF"/>
    <w:rsid w:val="000D20C5"/>
    <w:rsid w:val="000D6EC8"/>
    <w:rsid w:val="000D77A1"/>
    <w:rsid w:val="000E0368"/>
    <w:rsid w:val="000E093E"/>
    <w:rsid w:val="000E1322"/>
    <w:rsid w:val="000E13CD"/>
    <w:rsid w:val="000E1F64"/>
    <w:rsid w:val="000E1FCD"/>
    <w:rsid w:val="000E3072"/>
    <w:rsid w:val="000E4EBC"/>
    <w:rsid w:val="000E6AF1"/>
    <w:rsid w:val="000E6B7C"/>
    <w:rsid w:val="000E7670"/>
    <w:rsid w:val="000F16C4"/>
    <w:rsid w:val="000F22DA"/>
    <w:rsid w:val="000F3040"/>
    <w:rsid w:val="000F4989"/>
    <w:rsid w:val="000F4F47"/>
    <w:rsid w:val="000F5149"/>
    <w:rsid w:val="000F599A"/>
    <w:rsid w:val="000F6F90"/>
    <w:rsid w:val="000F7132"/>
    <w:rsid w:val="000F7755"/>
    <w:rsid w:val="00100005"/>
    <w:rsid w:val="00100008"/>
    <w:rsid w:val="0010022A"/>
    <w:rsid w:val="00100580"/>
    <w:rsid w:val="00101197"/>
    <w:rsid w:val="001013F4"/>
    <w:rsid w:val="00102884"/>
    <w:rsid w:val="001029B9"/>
    <w:rsid w:val="00103B27"/>
    <w:rsid w:val="001046A1"/>
    <w:rsid w:val="00104C77"/>
    <w:rsid w:val="00104DC5"/>
    <w:rsid w:val="001052FE"/>
    <w:rsid w:val="00105636"/>
    <w:rsid w:val="001057C4"/>
    <w:rsid w:val="0010584E"/>
    <w:rsid w:val="00105958"/>
    <w:rsid w:val="00105E6B"/>
    <w:rsid w:val="00105EB5"/>
    <w:rsid w:val="00106414"/>
    <w:rsid w:val="001064B4"/>
    <w:rsid w:val="0010675E"/>
    <w:rsid w:val="001072CF"/>
    <w:rsid w:val="00107F9E"/>
    <w:rsid w:val="001134F7"/>
    <w:rsid w:val="00113AA0"/>
    <w:rsid w:val="00114DFF"/>
    <w:rsid w:val="001153F3"/>
    <w:rsid w:val="00115967"/>
    <w:rsid w:val="00117605"/>
    <w:rsid w:val="00117D8F"/>
    <w:rsid w:val="001202D4"/>
    <w:rsid w:val="00120AF1"/>
    <w:rsid w:val="001214EC"/>
    <w:rsid w:val="00122656"/>
    <w:rsid w:val="0012315E"/>
    <w:rsid w:val="0012355F"/>
    <w:rsid w:val="001248F3"/>
    <w:rsid w:val="00125167"/>
    <w:rsid w:val="00126AD1"/>
    <w:rsid w:val="00127B28"/>
    <w:rsid w:val="0013233A"/>
    <w:rsid w:val="0013278B"/>
    <w:rsid w:val="00132853"/>
    <w:rsid w:val="0013297E"/>
    <w:rsid w:val="00133578"/>
    <w:rsid w:val="00134B1E"/>
    <w:rsid w:val="00134D22"/>
    <w:rsid w:val="00137C2F"/>
    <w:rsid w:val="00140081"/>
    <w:rsid w:val="001406E5"/>
    <w:rsid w:val="00141541"/>
    <w:rsid w:val="00141EBB"/>
    <w:rsid w:val="00142D44"/>
    <w:rsid w:val="00143E35"/>
    <w:rsid w:val="00145596"/>
    <w:rsid w:val="00145DEF"/>
    <w:rsid w:val="00146435"/>
    <w:rsid w:val="00146998"/>
    <w:rsid w:val="00147187"/>
    <w:rsid w:val="0014722A"/>
    <w:rsid w:val="00147333"/>
    <w:rsid w:val="00147CD8"/>
    <w:rsid w:val="001502C7"/>
    <w:rsid w:val="00150898"/>
    <w:rsid w:val="00150D02"/>
    <w:rsid w:val="001515C6"/>
    <w:rsid w:val="001529A1"/>
    <w:rsid w:val="00152B09"/>
    <w:rsid w:val="00154388"/>
    <w:rsid w:val="001551C9"/>
    <w:rsid w:val="001561D1"/>
    <w:rsid w:val="00156F41"/>
    <w:rsid w:val="00157EC8"/>
    <w:rsid w:val="00160E7E"/>
    <w:rsid w:val="00161810"/>
    <w:rsid w:val="001624CD"/>
    <w:rsid w:val="0016437E"/>
    <w:rsid w:val="00164BBE"/>
    <w:rsid w:val="00165448"/>
    <w:rsid w:val="00165E2A"/>
    <w:rsid w:val="00166370"/>
    <w:rsid w:val="001700C4"/>
    <w:rsid w:val="001701F0"/>
    <w:rsid w:val="00170E62"/>
    <w:rsid w:val="001720BB"/>
    <w:rsid w:val="00172B68"/>
    <w:rsid w:val="001744DA"/>
    <w:rsid w:val="00174DA9"/>
    <w:rsid w:val="0017652A"/>
    <w:rsid w:val="001806D0"/>
    <w:rsid w:val="001806EC"/>
    <w:rsid w:val="0018113A"/>
    <w:rsid w:val="00181720"/>
    <w:rsid w:val="0018172A"/>
    <w:rsid w:val="00181EA7"/>
    <w:rsid w:val="00182287"/>
    <w:rsid w:val="00182A5D"/>
    <w:rsid w:val="00183EE4"/>
    <w:rsid w:val="00184810"/>
    <w:rsid w:val="001850F1"/>
    <w:rsid w:val="0018512A"/>
    <w:rsid w:val="00185885"/>
    <w:rsid w:val="00186A03"/>
    <w:rsid w:val="00187310"/>
    <w:rsid w:val="00187782"/>
    <w:rsid w:val="001901DD"/>
    <w:rsid w:val="00191226"/>
    <w:rsid w:val="00192503"/>
    <w:rsid w:val="00193B37"/>
    <w:rsid w:val="0019431F"/>
    <w:rsid w:val="00196956"/>
    <w:rsid w:val="0019707A"/>
    <w:rsid w:val="001973B2"/>
    <w:rsid w:val="0019781D"/>
    <w:rsid w:val="001A0E7D"/>
    <w:rsid w:val="001A173B"/>
    <w:rsid w:val="001A272E"/>
    <w:rsid w:val="001A2AE6"/>
    <w:rsid w:val="001A3614"/>
    <w:rsid w:val="001A40AC"/>
    <w:rsid w:val="001A5231"/>
    <w:rsid w:val="001A5732"/>
    <w:rsid w:val="001A5A7A"/>
    <w:rsid w:val="001A5BAE"/>
    <w:rsid w:val="001A5D1F"/>
    <w:rsid w:val="001A6B07"/>
    <w:rsid w:val="001A722A"/>
    <w:rsid w:val="001B02E6"/>
    <w:rsid w:val="001B0A86"/>
    <w:rsid w:val="001B1A1B"/>
    <w:rsid w:val="001B1AD5"/>
    <w:rsid w:val="001B1FAB"/>
    <w:rsid w:val="001B28F6"/>
    <w:rsid w:val="001B3D27"/>
    <w:rsid w:val="001B4B14"/>
    <w:rsid w:val="001B5A7C"/>
    <w:rsid w:val="001B63F4"/>
    <w:rsid w:val="001B66D8"/>
    <w:rsid w:val="001B67E7"/>
    <w:rsid w:val="001B6C32"/>
    <w:rsid w:val="001B6E52"/>
    <w:rsid w:val="001B73FC"/>
    <w:rsid w:val="001B7EB9"/>
    <w:rsid w:val="001C00A1"/>
    <w:rsid w:val="001C02F5"/>
    <w:rsid w:val="001C0712"/>
    <w:rsid w:val="001C0D85"/>
    <w:rsid w:val="001C1A4D"/>
    <w:rsid w:val="001C1C6F"/>
    <w:rsid w:val="001C2C0E"/>
    <w:rsid w:val="001C3241"/>
    <w:rsid w:val="001C3A51"/>
    <w:rsid w:val="001C532A"/>
    <w:rsid w:val="001C56C4"/>
    <w:rsid w:val="001C5AA8"/>
    <w:rsid w:val="001C65DB"/>
    <w:rsid w:val="001C6CA1"/>
    <w:rsid w:val="001C6E00"/>
    <w:rsid w:val="001C7E51"/>
    <w:rsid w:val="001D0C6B"/>
    <w:rsid w:val="001D2CB1"/>
    <w:rsid w:val="001D3E21"/>
    <w:rsid w:val="001D46E1"/>
    <w:rsid w:val="001D5003"/>
    <w:rsid w:val="001D64D5"/>
    <w:rsid w:val="001E0D41"/>
    <w:rsid w:val="001E1156"/>
    <w:rsid w:val="001E34BC"/>
    <w:rsid w:val="001E5894"/>
    <w:rsid w:val="001E5ACC"/>
    <w:rsid w:val="001E6093"/>
    <w:rsid w:val="001E66E2"/>
    <w:rsid w:val="001E6BE9"/>
    <w:rsid w:val="001E7874"/>
    <w:rsid w:val="001F0176"/>
    <w:rsid w:val="001F04E4"/>
    <w:rsid w:val="001F0839"/>
    <w:rsid w:val="001F0854"/>
    <w:rsid w:val="001F08BD"/>
    <w:rsid w:val="001F1A0E"/>
    <w:rsid w:val="001F1BD2"/>
    <w:rsid w:val="001F2B1F"/>
    <w:rsid w:val="001F4033"/>
    <w:rsid w:val="001F43CA"/>
    <w:rsid w:val="001F44CC"/>
    <w:rsid w:val="001F5FE6"/>
    <w:rsid w:val="001F733E"/>
    <w:rsid w:val="001F735A"/>
    <w:rsid w:val="001F76AF"/>
    <w:rsid w:val="001F7A3C"/>
    <w:rsid w:val="001F7BCD"/>
    <w:rsid w:val="002001E3"/>
    <w:rsid w:val="00201318"/>
    <w:rsid w:val="00203126"/>
    <w:rsid w:val="00203B6D"/>
    <w:rsid w:val="00203D34"/>
    <w:rsid w:val="00203EF7"/>
    <w:rsid w:val="002040A1"/>
    <w:rsid w:val="00205E08"/>
    <w:rsid w:val="00206355"/>
    <w:rsid w:val="00206648"/>
    <w:rsid w:val="002079BC"/>
    <w:rsid w:val="00210893"/>
    <w:rsid w:val="00210ECA"/>
    <w:rsid w:val="00211B73"/>
    <w:rsid w:val="00212199"/>
    <w:rsid w:val="00212488"/>
    <w:rsid w:val="00213F8E"/>
    <w:rsid w:val="00214127"/>
    <w:rsid w:val="00215567"/>
    <w:rsid w:val="002165B3"/>
    <w:rsid w:val="00217D81"/>
    <w:rsid w:val="00220646"/>
    <w:rsid w:val="0022080C"/>
    <w:rsid w:val="00220C4F"/>
    <w:rsid w:val="00221399"/>
    <w:rsid w:val="002216DD"/>
    <w:rsid w:val="00221C97"/>
    <w:rsid w:val="00222757"/>
    <w:rsid w:val="002230F7"/>
    <w:rsid w:val="00223218"/>
    <w:rsid w:val="00223738"/>
    <w:rsid w:val="00223E8B"/>
    <w:rsid w:val="00224152"/>
    <w:rsid w:val="00224461"/>
    <w:rsid w:val="00225DE6"/>
    <w:rsid w:val="00226749"/>
    <w:rsid w:val="002268F8"/>
    <w:rsid w:val="00226FE7"/>
    <w:rsid w:val="0022722C"/>
    <w:rsid w:val="00227DF9"/>
    <w:rsid w:val="0023081A"/>
    <w:rsid w:val="00230ABF"/>
    <w:rsid w:val="00232149"/>
    <w:rsid w:val="00232438"/>
    <w:rsid w:val="002325C3"/>
    <w:rsid w:val="00232642"/>
    <w:rsid w:val="00233BF9"/>
    <w:rsid w:val="00234405"/>
    <w:rsid w:val="00234A1A"/>
    <w:rsid w:val="00234DF5"/>
    <w:rsid w:val="002351DA"/>
    <w:rsid w:val="002357A2"/>
    <w:rsid w:val="00235CF7"/>
    <w:rsid w:val="002363E0"/>
    <w:rsid w:val="002371FC"/>
    <w:rsid w:val="00237722"/>
    <w:rsid w:val="0024175D"/>
    <w:rsid w:val="002419B8"/>
    <w:rsid w:val="0024269B"/>
    <w:rsid w:val="002434B5"/>
    <w:rsid w:val="00243B6F"/>
    <w:rsid w:val="00243F59"/>
    <w:rsid w:val="0024555B"/>
    <w:rsid w:val="00245976"/>
    <w:rsid w:val="00246DC0"/>
    <w:rsid w:val="00247A78"/>
    <w:rsid w:val="002507D8"/>
    <w:rsid w:val="0025090B"/>
    <w:rsid w:val="002515F9"/>
    <w:rsid w:val="00251D28"/>
    <w:rsid w:val="00252BA4"/>
    <w:rsid w:val="00253A82"/>
    <w:rsid w:val="00253B8B"/>
    <w:rsid w:val="00254141"/>
    <w:rsid w:val="00254235"/>
    <w:rsid w:val="00255053"/>
    <w:rsid w:val="0025535C"/>
    <w:rsid w:val="00256DFF"/>
    <w:rsid w:val="002579F7"/>
    <w:rsid w:val="00260AB2"/>
    <w:rsid w:val="002615E2"/>
    <w:rsid w:val="0026189A"/>
    <w:rsid w:val="00261A9B"/>
    <w:rsid w:val="00262372"/>
    <w:rsid w:val="00263645"/>
    <w:rsid w:val="00265491"/>
    <w:rsid w:val="0026692F"/>
    <w:rsid w:val="0027077A"/>
    <w:rsid w:val="00270B02"/>
    <w:rsid w:val="002719D2"/>
    <w:rsid w:val="0027202E"/>
    <w:rsid w:val="002720C6"/>
    <w:rsid w:val="0027263F"/>
    <w:rsid w:val="00272BB6"/>
    <w:rsid w:val="00272C59"/>
    <w:rsid w:val="00273065"/>
    <w:rsid w:val="00273845"/>
    <w:rsid w:val="00273D5F"/>
    <w:rsid w:val="0027404A"/>
    <w:rsid w:val="0027435F"/>
    <w:rsid w:val="00274A03"/>
    <w:rsid w:val="00274FD5"/>
    <w:rsid w:val="00276420"/>
    <w:rsid w:val="00276D24"/>
    <w:rsid w:val="00277455"/>
    <w:rsid w:val="00277E9B"/>
    <w:rsid w:val="00277EA2"/>
    <w:rsid w:val="002801D5"/>
    <w:rsid w:val="0028033E"/>
    <w:rsid w:val="0028038B"/>
    <w:rsid w:val="00280D80"/>
    <w:rsid w:val="002812A9"/>
    <w:rsid w:val="002822FB"/>
    <w:rsid w:val="002828E5"/>
    <w:rsid w:val="0028378B"/>
    <w:rsid w:val="00283950"/>
    <w:rsid w:val="00283FC2"/>
    <w:rsid w:val="00285137"/>
    <w:rsid w:val="00285716"/>
    <w:rsid w:val="00285BC2"/>
    <w:rsid w:val="002860C7"/>
    <w:rsid w:val="0028661D"/>
    <w:rsid w:val="00286712"/>
    <w:rsid w:val="00286894"/>
    <w:rsid w:val="00286FF9"/>
    <w:rsid w:val="0028763C"/>
    <w:rsid w:val="00287D02"/>
    <w:rsid w:val="002900DC"/>
    <w:rsid w:val="0029130F"/>
    <w:rsid w:val="0029158D"/>
    <w:rsid w:val="00292855"/>
    <w:rsid w:val="00293467"/>
    <w:rsid w:val="0029448B"/>
    <w:rsid w:val="00294DC6"/>
    <w:rsid w:val="00297016"/>
    <w:rsid w:val="002971BB"/>
    <w:rsid w:val="002972F7"/>
    <w:rsid w:val="00297501"/>
    <w:rsid w:val="002979CC"/>
    <w:rsid w:val="00297FC3"/>
    <w:rsid w:val="002A137C"/>
    <w:rsid w:val="002A1D44"/>
    <w:rsid w:val="002A2E97"/>
    <w:rsid w:val="002A3339"/>
    <w:rsid w:val="002A35F3"/>
    <w:rsid w:val="002A3F1D"/>
    <w:rsid w:val="002A61D6"/>
    <w:rsid w:val="002A67E0"/>
    <w:rsid w:val="002A6EFD"/>
    <w:rsid w:val="002A6F2F"/>
    <w:rsid w:val="002A7ACE"/>
    <w:rsid w:val="002B050B"/>
    <w:rsid w:val="002B0743"/>
    <w:rsid w:val="002B139B"/>
    <w:rsid w:val="002B1AAD"/>
    <w:rsid w:val="002B1F69"/>
    <w:rsid w:val="002B2740"/>
    <w:rsid w:val="002B2C67"/>
    <w:rsid w:val="002B2EA4"/>
    <w:rsid w:val="002B336B"/>
    <w:rsid w:val="002B338D"/>
    <w:rsid w:val="002B3447"/>
    <w:rsid w:val="002B5961"/>
    <w:rsid w:val="002B6093"/>
    <w:rsid w:val="002B6702"/>
    <w:rsid w:val="002B6886"/>
    <w:rsid w:val="002B6BBE"/>
    <w:rsid w:val="002C02D9"/>
    <w:rsid w:val="002C10A3"/>
    <w:rsid w:val="002C16FC"/>
    <w:rsid w:val="002C2AC7"/>
    <w:rsid w:val="002C3551"/>
    <w:rsid w:val="002C3848"/>
    <w:rsid w:val="002C4D28"/>
    <w:rsid w:val="002C5028"/>
    <w:rsid w:val="002C6A84"/>
    <w:rsid w:val="002C71CD"/>
    <w:rsid w:val="002C728D"/>
    <w:rsid w:val="002C73F5"/>
    <w:rsid w:val="002D03D1"/>
    <w:rsid w:val="002D092C"/>
    <w:rsid w:val="002D1284"/>
    <w:rsid w:val="002D13EA"/>
    <w:rsid w:val="002D1CAC"/>
    <w:rsid w:val="002D33E1"/>
    <w:rsid w:val="002D39ED"/>
    <w:rsid w:val="002D4752"/>
    <w:rsid w:val="002D5720"/>
    <w:rsid w:val="002D5CE1"/>
    <w:rsid w:val="002D6897"/>
    <w:rsid w:val="002D6E95"/>
    <w:rsid w:val="002D6E99"/>
    <w:rsid w:val="002D7B90"/>
    <w:rsid w:val="002D7BD2"/>
    <w:rsid w:val="002D7C5F"/>
    <w:rsid w:val="002E0104"/>
    <w:rsid w:val="002E1161"/>
    <w:rsid w:val="002E289F"/>
    <w:rsid w:val="002E2CFC"/>
    <w:rsid w:val="002E2E6F"/>
    <w:rsid w:val="002E338D"/>
    <w:rsid w:val="002E39B4"/>
    <w:rsid w:val="002E644C"/>
    <w:rsid w:val="002E64E6"/>
    <w:rsid w:val="002F00F8"/>
    <w:rsid w:val="002F18E3"/>
    <w:rsid w:val="002F1DC1"/>
    <w:rsid w:val="002F2183"/>
    <w:rsid w:val="002F32A8"/>
    <w:rsid w:val="002F32B7"/>
    <w:rsid w:val="002F3AD7"/>
    <w:rsid w:val="002F46D9"/>
    <w:rsid w:val="002F510C"/>
    <w:rsid w:val="002F55A7"/>
    <w:rsid w:val="002F582A"/>
    <w:rsid w:val="002F68C0"/>
    <w:rsid w:val="002F7096"/>
    <w:rsid w:val="002F772E"/>
    <w:rsid w:val="003002EC"/>
    <w:rsid w:val="00300647"/>
    <w:rsid w:val="00300C6B"/>
    <w:rsid w:val="003014E7"/>
    <w:rsid w:val="00301B90"/>
    <w:rsid w:val="00301C78"/>
    <w:rsid w:val="0030319E"/>
    <w:rsid w:val="003032A9"/>
    <w:rsid w:val="003033FC"/>
    <w:rsid w:val="00304657"/>
    <w:rsid w:val="0030583D"/>
    <w:rsid w:val="00306720"/>
    <w:rsid w:val="00306C69"/>
    <w:rsid w:val="00307662"/>
    <w:rsid w:val="00307F9A"/>
    <w:rsid w:val="00310CA8"/>
    <w:rsid w:val="00311BBA"/>
    <w:rsid w:val="0031328C"/>
    <w:rsid w:val="003148CC"/>
    <w:rsid w:val="003148FF"/>
    <w:rsid w:val="0031685B"/>
    <w:rsid w:val="00320103"/>
    <w:rsid w:val="00321790"/>
    <w:rsid w:val="00322338"/>
    <w:rsid w:val="00322A97"/>
    <w:rsid w:val="00322D85"/>
    <w:rsid w:val="003231A9"/>
    <w:rsid w:val="003235C8"/>
    <w:rsid w:val="003237D6"/>
    <w:rsid w:val="003265C9"/>
    <w:rsid w:val="0032676B"/>
    <w:rsid w:val="00326F89"/>
    <w:rsid w:val="003273B5"/>
    <w:rsid w:val="00331102"/>
    <w:rsid w:val="00333085"/>
    <w:rsid w:val="00333364"/>
    <w:rsid w:val="00333452"/>
    <w:rsid w:val="003335AF"/>
    <w:rsid w:val="00333605"/>
    <w:rsid w:val="00333704"/>
    <w:rsid w:val="003338D8"/>
    <w:rsid w:val="00333B2D"/>
    <w:rsid w:val="00333E52"/>
    <w:rsid w:val="00333F09"/>
    <w:rsid w:val="0033592B"/>
    <w:rsid w:val="00336DA4"/>
    <w:rsid w:val="0033720E"/>
    <w:rsid w:val="00337240"/>
    <w:rsid w:val="00337310"/>
    <w:rsid w:val="003400DA"/>
    <w:rsid w:val="00340178"/>
    <w:rsid w:val="00340B7D"/>
    <w:rsid w:val="00341D52"/>
    <w:rsid w:val="00341FD5"/>
    <w:rsid w:val="00342728"/>
    <w:rsid w:val="00343289"/>
    <w:rsid w:val="00343F32"/>
    <w:rsid w:val="00344169"/>
    <w:rsid w:val="003442E8"/>
    <w:rsid w:val="00344320"/>
    <w:rsid w:val="0034511E"/>
    <w:rsid w:val="00345ADA"/>
    <w:rsid w:val="00345B47"/>
    <w:rsid w:val="003461D4"/>
    <w:rsid w:val="00347883"/>
    <w:rsid w:val="00347A16"/>
    <w:rsid w:val="00353480"/>
    <w:rsid w:val="00353559"/>
    <w:rsid w:val="00353D93"/>
    <w:rsid w:val="00355104"/>
    <w:rsid w:val="003561BD"/>
    <w:rsid w:val="003563E8"/>
    <w:rsid w:val="003567CA"/>
    <w:rsid w:val="003578B2"/>
    <w:rsid w:val="00360388"/>
    <w:rsid w:val="00361C0B"/>
    <w:rsid w:val="003625E6"/>
    <w:rsid w:val="00362A53"/>
    <w:rsid w:val="00362ACC"/>
    <w:rsid w:val="00363720"/>
    <w:rsid w:val="0036373F"/>
    <w:rsid w:val="003637DC"/>
    <w:rsid w:val="003646AB"/>
    <w:rsid w:val="003648CB"/>
    <w:rsid w:val="003653D5"/>
    <w:rsid w:val="003665C8"/>
    <w:rsid w:val="00367159"/>
    <w:rsid w:val="00370E13"/>
    <w:rsid w:val="00371542"/>
    <w:rsid w:val="003715AF"/>
    <w:rsid w:val="003748B1"/>
    <w:rsid w:val="00374A49"/>
    <w:rsid w:val="0037541C"/>
    <w:rsid w:val="00375811"/>
    <w:rsid w:val="00375D49"/>
    <w:rsid w:val="00375DE8"/>
    <w:rsid w:val="00376A42"/>
    <w:rsid w:val="00377346"/>
    <w:rsid w:val="00377AEF"/>
    <w:rsid w:val="00377D57"/>
    <w:rsid w:val="003808AA"/>
    <w:rsid w:val="00380A33"/>
    <w:rsid w:val="00380C47"/>
    <w:rsid w:val="003814EC"/>
    <w:rsid w:val="00381676"/>
    <w:rsid w:val="00381D77"/>
    <w:rsid w:val="00382739"/>
    <w:rsid w:val="003829E7"/>
    <w:rsid w:val="0038335C"/>
    <w:rsid w:val="00384869"/>
    <w:rsid w:val="003849E8"/>
    <w:rsid w:val="003853BA"/>
    <w:rsid w:val="003865A4"/>
    <w:rsid w:val="00386998"/>
    <w:rsid w:val="003904D4"/>
    <w:rsid w:val="0039091B"/>
    <w:rsid w:val="003909ED"/>
    <w:rsid w:val="003917F7"/>
    <w:rsid w:val="003919C3"/>
    <w:rsid w:val="00391CEE"/>
    <w:rsid w:val="003920A3"/>
    <w:rsid w:val="00392702"/>
    <w:rsid w:val="00392953"/>
    <w:rsid w:val="003930D1"/>
    <w:rsid w:val="003935EA"/>
    <w:rsid w:val="00394AB5"/>
    <w:rsid w:val="00395264"/>
    <w:rsid w:val="00396AC7"/>
    <w:rsid w:val="003973EC"/>
    <w:rsid w:val="00397834"/>
    <w:rsid w:val="00397E55"/>
    <w:rsid w:val="003A01AC"/>
    <w:rsid w:val="003A1229"/>
    <w:rsid w:val="003A199C"/>
    <w:rsid w:val="003A1F25"/>
    <w:rsid w:val="003A29D5"/>
    <w:rsid w:val="003A44FB"/>
    <w:rsid w:val="003A689A"/>
    <w:rsid w:val="003A70D2"/>
    <w:rsid w:val="003B08EB"/>
    <w:rsid w:val="003B0D5E"/>
    <w:rsid w:val="003B0E19"/>
    <w:rsid w:val="003B2694"/>
    <w:rsid w:val="003B2698"/>
    <w:rsid w:val="003B26E5"/>
    <w:rsid w:val="003B2D0F"/>
    <w:rsid w:val="003B2FCC"/>
    <w:rsid w:val="003B3977"/>
    <w:rsid w:val="003B4488"/>
    <w:rsid w:val="003B5214"/>
    <w:rsid w:val="003B5518"/>
    <w:rsid w:val="003B66DE"/>
    <w:rsid w:val="003B7284"/>
    <w:rsid w:val="003B768A"/>
    <w:rsid w:val="003C0131"/>
    <w:rsid w:val="003C0640"/>
    <w:rsid w:val="003C1606"/>
    <w:rsid w:val="003C1FF4"/>
    <w:rsid w:val="003C25DA"/>
    <w:rsid w:val="003C3375"/>
    <w:rsid w:val="003C3723"/>
    <w:rsid w:val="003C39F2"/>
    <w:rsid w:val="003C3F18"/>
    <w:rsid w:val="003C40E4"/>
    <w:rsid w:val="003C4E31"/>
    <w:rsid w:val="003C5B95"/>
    <w:rsid w:val="003C5F59"/>
    <w:rsid w:val="003C643A"/>
    <w:rsid w:val="003C68C3"/>
    <w:rsid w:val="003C760F"/>
    <w:rsid w:val="003D035D"/>
    <w:rsid w:val="003D2122"/>
    <w:rsid w:val="003D2774"/>
    <w:rsid w:val="003D4607"/>
    <w:rsid w:val="003D5040"/>
    <w:rsid w:val="003D55E2"/>
    <w:rsid w:val="003D6443"/>
    <w:rsid w:val="003D675E"/>
    <w:rsid w:val="003D7B54"/>
    <w:rsid w:val="003E0490"/>
    <w:rsid w:val="003E0858"/>
    <w:rsid w:val="003E2765"/>
    <w:rsid w:val="003E52DA"/>
    <w:rsid w:val="003E5991"/>
    <w:rsid w:val="003E65E6"/>
    <w:rsid w:val="003F0FD8"/>
    <w:rsid w:val="003F189D"/>
    <w:rsid w:val="003F1EAA"/>
    <w:rsid w:val="003F2939"/>
    <w:rsid w:val="003F2E9C"/>
    <w:rsid w:val="003F358A"/>
    <w:rsid w:val="003F4BB6"/>
    <w:rsid w:val="003F4F88"/>
    <w:rsid w:val="003F6069"/>
    <w:rsid w:val="003F6159"/>
    <w:rsid w:val="003F6549"/>
    <w:rsid w:val="003F6694"/>
    <w:rsid w:val="003F727A"/>
    <w:rsid w:val="0040049B"/>
    <w:rsid w:val="00400678"/>
    <w:rsid w:val="00400B83"/>
    <w:rsid w:val="00400B96"/>
    <w:rsid w:val="00400F27"/>
    <w:rsid w:val="0040194B"/>
    <w:rsid w:val="00401EFE"/>
    <w:rsid w:val="00402A69"/>
    <w:rsid w:val="0040332C"/>
    <w:rsid w:val="00404263"/>
    <w:rsid w:val="00405057"/>
    <w:rsid w:val="00405243"/>
    <w:rsid w:val="00405BE7"/>
    <w:rsid w:val="00406B96"/>
    <w:rsid w:val="00406F61"/>
    <w:rsid w:val="0040742E"/>
    <w:rsid w:val="00407DDE"/>
    <w:rsid w:val="00410388"/>
    <w:rsid w:val="00410C7F"/>
    <w:rsid w:val="00410EC6"/>
    <w:rsid w:val="00410FB4"/>
    <w:rsid w:val="00411AC4"/>
    <w:rsid w:val="00412591"/>
    <w:rsid w:val="00412A32"/>
    <w:rsid w:val="00413B13"/>
    <w:rsid w:val="004148AA"/>
    <w:rsid w:val="00414AEE"/>
    <w:rsid w:val="00415AE4"/>
    <w:rsid w:val="00416D48"/>
    <w:rsid w:val="00422044"/>
    <w:rsid w:val="004223AB"/>
    <w:rsid w:val="00422431"/>
    <w:rsid w:val="00422445"/>
    <w:rsid w:val="00423406"/>
    <w:rsid w:val="004241C7"/>
    <w:rsid w:val="004251B6"/>
    <w:rsid w:val="00425A9C"/>
    <w:rsid w:val="0042643A"/>
    <w:rsid w:val="00426600"/>
    <w:rsid w:val="00426D2F"/>
    <w:rsid w:val="00427301"/>
    <w:rsid w:val="004275D0"/>
    <w:rsid w:val="00427A3B"/>
    <w:rsid w:val="00427FCB"/>
    <w:rsid w:val="00430214"/>
    <w:rsid w:val="00430984"/>
    <w:rsid w:val="00430AF2"/>
    <w:rsid w:val="00431622"/>
    <w:rsid w:val="00431AB6"/>
    <w:rsid w:val="00432185"/>
    <w:rsid w:val="00432368"/>
    <w:rsid w:val="00432674"/>
    <w:rsid w:val="0043283C"/>
    <w:rsid w:val="00432B8E"/>
    <w:rsid w:val="00432BF3"/>
    <w:rsid w:val="00432E05"/>
    <w:rsid w:val="00432E44"/>
    <w:rsid w:val="00432EE1"/>
    <w:rsid w:val="0043403C"/>
    <w:rsid w:val="004343D1"/>
    <w:rsid w:val="00434424"/>
    <w:rsid w:val="00435079"/>
    <w:rsid w:val="00437862"/>
    <w:rsid w:val="0044050E"/>
    <w:rsid w:val="0044134F"/>
    <w:rsid w:val="0044270B"/>
    <w:rsid w:val="00442EEE"/>
    <w:rsid w:val="004442DE"/>
    <w:rsid w:val="00444F07"/>
    <w:rsid w:val="00445630"/>
    <w:rsid w:val="0044660D"/>
    <w:rsid w:val="00446B18"/>
    <w:rsid w:val="00447029"/>
    <w:rsid w:val="00447314"/>
    <w:rsid w:val="00447BC1"/>
    <w:rsid w:val="00447D1D"/>
    <w:rsid w:val="004501AA"/>
    <w:rsid w:val="00450C56"/>
    <w:rsid w:val="004515F5"/>
    <w:rsid w:val="00451C87"/>
    <w:rsid w:val="00452B10"/>
    <w:rsid w:val="00453A39"/>
    <w:rsid w:val="00454F57"/>
    <w:rsid w:val="004558FD"/>
    <w:rsid w:val="00457786"/>
    <w:rsid w:val="00457B35"/>
    <w:rsid w:val="00460E3F"/>
    <w:rsid w:val="00461382"/>
    <w:rsid w:val="00461F0C"/>
    <w:rsid w:val="004625F1"/>
    <w:rsid w:val="004637C7"/>
    <w:rsid w:val="00464EF2"/>
    <w:rsid w:val="00465442"/>
    <w:rsid w:val="004667A3"/>
    <w:rsid w:val="00466EA5"/>
    <w:rsid w:val="0046760D"/>
    <w:rsid w:val="00467620"/>
    <w:rsid w:val="00467975"/>
    <w:rsid w:val="00470474"/>
    <w:rsid w:val="00472397"/>
    <w:rsid w:val="004745F7"/>
    <w:rsid w:val="0047522B"/>
    <w:rsid w:val="004754E0"/>
    <w:rsid w:val="00475A7B"/>
    <w:rsid w:val="00476F93"/>
    <w:rsid w:val="004775DF"/>
    <w:rsid w:val="004802A0"/>
    <w:rsid w:val="004805FE"/>
    <w:rsid w:val="00481050"/>
    <w:rsid w:val="00481D83"/>
    <w:rsid w:val="00482456"/>
    <w:rsid w:val="00482ADC"/>
    <w:rsid w:val="00482C1A"/>
    <w:rsid w:val="00484494"/>
    <w:rsid w:val="00484689"/>
    <w:rsid w:val="004859B1"/>
    <w:rsid w:val="00487AD3"/>
    <w:rsid w:val="00490196"/>
    <w:rsid w:val="00491078"/>
    <w:rsid w:val="0049108B"/>
    <w:rsid w:val="004915F5"/>
    <w:rsid w:val="00491D57"/>
    <w:rsid w:val="00491E22"/>
    <w:rsid w:val="00493445"/>
    <w:rsid w:val="00494169"/>
    <w:rsid w:val="004969E1"/>
    <w:rsid w:val="00496AC8"/>
    <w:rsid w:val="00496ED7"/>
    <w:rsid w:val="004A0D92"/>
    <w:rsid w:val="004A1EA1"/>
    <w:rsid w:val="004A2381"/>
    <w:rsid w:val="004A2759"/>
    <w:rsid w:val="004A30FD"/>
    <w:rsid w:val="004A35DB"/>
    <w:rsid w:val="004A4299"/>
    <w:rsid w:val="004A4394"/>
    <w:rsid w:val="004A5345"/>
    <w:rsid w:val="004A56C0"/>
    <w:rsid w:val="004A6671"/>
    <w:rsid w:val="004A6A67"/>
    <w:rsid w:val="004A6D25"/>
    <w:rsid w:val="004A70FF"/>
    <w:rsid w:val="004A7783"/>
    <w:rsid w:val="004B04B6"/>
    <w:rsid w:val="004B0B1A"/>
    <w:rsid w:val="004B0F08"/>
    <w:rsid w:val="004B1514"/>
    <w:rsid w:val="004B2536"/>
    <w:rsid w:val="004B48E7"/>
    <w:rsid w:val="004B4AB1"/>
    <w:rsid w:val="004B5113"/>
    <w:rsid w:val="004B6790"/>
    <w:rsid w:val="004B7CFA"/>
    <w:rsid w:val="004C035E"/>
    <w:rsid w:val="004C05E0"/>
    <w:rsid w:val="004C0DE2"/>
    <w:rsid w:val="004C118D"/>
    <w:rsid w:val="004C2DAB"/>
    <w:rsid w:val="004C31C5"/>
    <w:rsid w:val="004C3C38"/>
    <w:rsid w:val="004C4319"/>
    <w:rsid w:val="004C4CAF"/>
    <w:rsid w:val="004C5761"/>
    <w:rsid w:val="004C5843"/>
    <w:rsid w:val="004C68ED"/>
    <w:rsid w:val="004C6972"/>
    <w:rsid w:val="004C6CDD"/>
    <w:rsid w:val="004C6D1C"/>
    <w:rsid w:val="004C747D"/>
    <w:rsid w:val="004C766B"/>
    <w:rsid w:val="004C7BEC"/>
    <w:rsid w:val="004D0073"/>
    <w:rsid w:val="004D0A06"/>
    <w:rsid w:val="004D0C26"/>
    <w:rsid w:val="004D15EE"/>
    <w:rsid w:val="004D3E43"/>
    <w:rsid w:val="004D59EA"/>
    <w:rsid w:val="004D5FD8"/>
    <w:rsid w:val="004D6101"/>
    <w:rsid w:val="004D6634"/>
    <w:rsid w:val="004D68CB"/>
    <w:rsid w:val="004D75DE"/>
    <w:rsid w:val="004E1A37"/>
    <w:rsid w:val="004E27C7"/>
    <w:rsid w:val="004E3062"/>
    <w:rsid w:val="004E3C0C"/>
    <w:rsid w:val="004E6A01"/>
    <w:rsid w:val="004E72BC"/>
    <w:rsid w:val="004E733F"/>
    <w:rsid w:val="004F00B9"/>
    <w:rsid w:val="004F036A"/>
    <w:rsid w:val="004F107A"/>
    <w:rsid w:val="004F4310"/>
    <w:rsid w:val="004F52EF"/>
    <w:rsid w:val="004F53C0"/>
    <w:rsid w:val="004F5D9F"/>
    <w:rsid w:val="004F7BEC"/>
    <w:rsid w:val="004F7D77"/>
    <w:rsid w:val="0050015A"/>
    <w:rsid w:val="005021EF"/>
    <w:rsid w:val="005026B4"/>
    <w:rsid w:val="005036F4"/>
    <w:rsid w:val="00504692"/>
    <w:rsid w:val="005060C2"/>
    <w:rsid w:val="005064AC"/>
    <w:rsid w:val="00507291"/>
    <w:rsid w:val="00507A03"/>
    <w:rsid w:val="00513101"/>
    <w:rsid w:val="005135C0"/>
    <w:rsid w:val="0051380A"/>
    <w:rsid w:val="00513BCD"/>
    <w:rsid w:val="00513DF8"/>
    <w:rsid w:val="00514389"/>
    <w:rsid w:val="00514E3B"/>
    <w:rsid w:val="00515041"/>
    <w:rsid w:val="00515A9B"/>
    <w:rsid w:val="005162AF"/>
    <w:rsid w:val="005166CE"/>
    <w:rsid w:val="00516908"/>
    <w:rsid w:val="00516C8B"/>
    <w:rsid w:val="00516E57"/>
    <w:rsid w:val="0051734C"/>
    <w:rsid w:val="00520527"/>
    <w:rsid w:val="00520BD3"/>
    <w:rsid w:val="00520DDF"/>
    <w:rsid w:val="00521138"/>
    <w:rsid w:val="00523CD9"/>
    <w:rsid w:val="00524905"/>
    <w:rsid w:val="00524BA2"/>
    <w:rsid w:val="00524C76"/>
    <w:rsid w:val="005269F1"/>
    <w:rsid w:val="00527463"/>
    <w:rsid w:val="005324FC"/>
    <w:rsid w:val="00532A26"/>
    <w:rsid w:val="00532ACA"/>
    <w:rsid w:val="00532CED"/>
    <w:rsid w:val="0053341F"/>
    <w:rsid w:val="00533D29"/>
    <w:rsid w:val="0053619D"/>
    <w:rsid w:val="005361DC"/>
    <w:rsid w:val="005406BB"/>
    <w:rsid w:val="00543135"/>
    <w:rsid w:val="00543FDB"/>
    <w:rsid w:val="00545554"/>
    <w:rsid w:val="00546CFA"/>
    <w:rsid w:val="005500AB"/>
    <w:rsid w:val="00550BF1"/>
    <w:rsid w:val="00550FBF"/>
    <w:rsid w:val="00551076"/>
    <w:rsid w:val="00552157"/>
    <w:rsid w:val="005521B9"/>
    <w:rsid w:val="00552306"/>
    <w:rsid w:val="00552775"/>
    <w:rsid w:val="00552A17"/>
    <w:rsid w:val="005547EF"/>
    <w:rsid w:val="00554926"/>
    <w:rsid w:val="00555A8C"/>
    <w:rsid w:val="005568AC"/>
    <w:rsid w:val="00557228"/>
    <w:rsid w:val="005579CD"/>
    <w:rsid w:val="00560181"/>
    <w:rsid w:val="00560F7C"/>
    <w:rsid w:val="00561CA3"/>
    <w:rsid w:val="00562397"/>
    <w:rsid w:val="00563113"/>
    <w:rsid w:val="00564098"/>
    <w:rsid w:val="00564605"/>
    <w:rsid w:val="00565648"/>
    <w:rsid w:val="005656CE"/>
    <w:rsid w:val="00566003"/>
    <w:rsid w:val="00566F7E"/>
    <w:rsid w:val="00567515"/>
    <w:rsid w:val="00567534"/>
    <w:rsid w:val="005675B0"/>
    <w:rsid w:val="00567D08"/>
    <w:rsid w:val="0057159A"/>
    <w:rsid w:val="0057180A"/>
    <w:rsid w:val="00571935"/>
    <w:rsid w:val="00572CD4"/>
    <w:rsid w:val="005740EE"/>
    <w:rsid w:val="00575544"/>
    <w:rsid w:val="00575B93"/>
    <w:rsid w:val="00575DD3"/>
    <w:rsid w:val="0057601D"/>
    <w:rsid w:val="00577265"/>
    <w:rsid w:val="005808A1"/>
    <w:rsid w:val="00581ED9"/>
    <w:rsid w:val="00582050"/>
    <w:rsid w:val="00582EE6"/>
    <w:rsid w:val="00583AF6"/>
    <w:rsid w:val="00583F82"/>
    <w:rsid w:val="0058420B"/>
    <w:rsid w:val="005856F8"/>
    <w:rsid w:val="005858CE"/>
    <w:rsid w:val="00586805"/>
    <w:rsid w:val="0058787E"/>
    <w:rsid w:val="00587D9A"/>
    <w:rsid w:val="00590241"/>
    <w:rsid w:val="00590804"/>
    <w:rsid w:val="0059151E"/>
    <w:rsid w:val="00591E8C"/>
    <w:rsid w:val="00592104"/>
    <w:rsid w:val="00593783"/>
    <w:rsid w:val="005946A3"/>
    <w:rsid w:val="00594B1B"/>
    <w:rsid w:val="005956AB"/>
    <w:rsid w:val="0059627C"/>
    <w:rsid w:val="00596A54"/>
    <w:rsid w:val="00596B4F"/>
    <w:rsid w:val="00596FE4"/>
    <w:rsid w:val="0059777E"/>
    <w:rsid w:val="00597A32"/>
    <w:rsid w:val="00597D1D"/>
    <w:rsid w:val="005A0544"/>
    <w:rsid w:val="005A1575"/>
    <w:rsid w:val="005A17D2"/>
    <w:rsid w:val="005A18D0"/>
    <w:rsid w:val="005A2569"/>
    <w:rsid w:val="005A2F6C"/>
    <w:rsid w:val="005A4603"/>
    <w:rsid w:val="005A48D3"/>
    <w:rsid w:val="005A5680"/>
    <w:rsid w:val="005A5932"/>
    <w:rsid w:val="005A5A2C"/>
    <w:rsid w:val="005A622D"/>
    <w:rsid w:val="005A7F9A"/>
    <w:rsid w:val="005B0225"/>
    <w:rsid w:val="005B07DE"/>
    <w:rsid w:val="005B08BA"/>
    <w:rsid w:val="005B09D9"/>
    <w:rsid w:val="005B1597"/>
    <w:rsid w:val="005B2860"/>
    <w:rsid w:val="005B2AAF"/>
    <w:rsid w:val="005B30CF"/>
    <w:rsid w:val="005B609F"/>
    <w:rsid w:val="005C0202"/>
    <w:rsid w:val="005C032C"/>
    <w:rsid w:val="005C1BFA"/>
    <w:rsid w:val="005C3EE3"/>
    <w:rsid w:val="005C4637"/>
    <w:rsid w:val="005C5310"/>
    <w:rsid w:val="005C696E"/>
    <w:rsid w:val="005C69BE"/>
    <w:rsid w:val="005C7050"/>
    <w:rsid w:val="005C7600"/>
    <w:rsid w:val="005C7AAB"/>
    <w:rsid w:val="005D006A"/>
    <w:rsid w:val="005D077D"/>
    <w:rsid w:val="005D0F9B"/>
    <w:rsid w:val="005D29C2"/>
    <w:rsid w:val="005D459C"/>
    <w:rsid w:val="005D4899"/>
    <w:rsid w:val="005D4A27"/>
    <w:rsid w:val="005D4A8C"/>
    <w:rsid w:val="005D5C8E"/>
    <w:rsid w:val="005D73C0"/>
    <w:rsid w:val="005D79B1"/>
    <w:rsid w:val="005D7D57"/>
    <w:rsid w:val="005D7D98"/>
    <w:rsid w:val="005E0AF7"/>
    <w:rsid w:val="005E0B82"/>
    <w:rsid w:val="005E17A9"/>
    <w:rsid w:val="005E1F6A"/>
    <w:rsid w:val="005E25E1"/>
    <w:rsid w:val="005E2A99"/>
    <w:rsid w:val="005E321F"/>
    <w:rsid w:val="005E3238"/>
    <w:rsid w:val="005E35F2"/>
    <w:rsid w:val="005E409A"/>
    <w:rsid w:val="005E5475"/>
    <w:rsid w:val="005E5952"/>
    <w:rsid w:val="005E6943"/>
    <w:rsid w:val="005E6E07"/>
    <w:rsid w:val="005E770E"/>
    <w:rsid w:val="005F0732"/>
    <w:rsid w:val="005F08D3"/>
    <w:rsid w:val="005F14E1"/>
    <w:rsid w:val="005F1DC5"/>
    <w:rsid w:val="005F2950"/>
    <w:rsid w:val="005F367A"/>
    <w:rsid w:val="005F47D5"/>
    <w:rsid w:val="005F519F"/>
    <w:rsid w:val="005F53E9"/>
    <w:rsid w:val="005F680B"/>
    <w:rsid w:val="005F6E95"/>
    <w:rsid w:val="005F750A"/>
    <w:rsid w:val="005F7761"/>
    <w:rsid w:val="00602467"/>
    <w:rsid w:val="006026D3"/>
    <w:rsid w:val="00602BCF"/>
    <w:rsid w:val="00602FB0"/>
    <w:rsid w:val="006040A9"/>
    <w:rsid w:val="006045F6"/>
    <w:rsid w:val="00606D88"/>
    <w:rsid w:val="006104B3"/>
    <w:rsid w:val="00611191"/>
    <w:rsid w:val="00611A09"/>
    <w:rsid w:val="00613327"/>
    <w:rsid w:val="00613F93"/>
    <w:rsid w:val="00614233"/>
    <w:rsid w:val="006144C3"/>
    <w:rsid w:val="0061470A"/>
    <w:rsid w:val="006148FF"/>
    <w:rsid w:val="00615322"/>
    <w:rsid w:val="0061536F"/>
    <w:rsid w:val="006164EA"/>
    <w:rsid w:val="00616719"/>
    <w:rsid w:val="00620523"/>
    <w:rsid w:val="00622208"/>
    <w:rsid w:val="006231F0"/>
    <w:rsid w:val="00623B00"/>
    <w:rsid w:val="00623D20"/>
    <w:rsid w:val="00624C9D"/>
    <w:rsid w:val="00624D86"/>
    <w:rsid w:val="006253EC"/>
    <w:rsid w:val="006254D0"/>
    <w:rsid w:val="00626117"/>
    <w:rsid w:val="006279F9"/>
    <w:rsid w:val="00627A05"/>
    <w:rsid w:val="00631347"/>
    <w:rsid w:val="00632981"/>
    <w:rsid w:val="0063329E"/>
    <w:rsid w:val="0063491F"/>
    <w:rsid w:val="00634CEF"/>
    <w:rsid w:val="00636532"/>
    <w:rsid w:val="00636801"/>
    <w:rsid w:val="006370FC"/>
    <w:rsid w:val="00637E68"/>
    <w:rsid w:val="00640C22"/>
    <w:rsid w:val="00640C7E"/>
    <w:rsid w:val="00641DDF"/>
    <w:rsid w:val="00641E65"/>
    <w:rsid w:val="00642045"/>
    <w:rsid w:val="00643F0B"/>
    <w:rsid w:val="00644DC0"/>
    <w:rsid w:val="006457DA"/>
    <w:rsid w:val="006460CF"/>
    <w:rsid w:val="00647801"/>
    <w:rsid w:val="00647FF2"/>
    <w:rsid w:val="00650B3F"/>
    <w:rsid w:val="00650D9C"/>
    <w:rsid w:val="006511D3"/>
    <w:rsid w:val="00651C6C"/>
    <w:rsid w:val="0065255A"/>
    <w:rsid w:val="00653B2C"/>
    <w:rsid w:val="00653FAA"/>
    <w:rsid w:val="00654BD9"/>
    <w:rsid w:val="00655388"/>
    <w:rsid w:val="006555C8"/>
    <w:rsid w:val="006555EC"/>
    <w:rsid w:val="0065637A"/>
    <w:rsid w:val="006563B9"/>
    <w:rsid w:val="00656AB2"/>
    <w:rsid w:val="00660A3D"/>
    <w:rsid w:val="00660EAE"/>
    <w:rsid w:val="00661CCB"/>
    <w:rsid w:val="00662D8E"/>
    <w:rsid w:val="00663427"/>
    <w:rsid w:val="00663C0F"/>
    <w:rsid w:val="006642F5"/>
    <w:rsid w:val="00664A24"/>
    <w:rsid w:val="00665B55"/>
    <w:rsid w:val="0066697B"/>
    <w:rsid w:val="00666C6B"/>
    <w:rsid w:val="00666F90"/>
    <w:rsid w:val="0066775C"/>
    <w:rsid w:val="00667891"/>
    <w:rsid w:val="00667897"/>
    <w:rsid w:val="00667E29"/>
    <w:rsid w:val="00670737"/>
    <w:rsid w:val="006709DA"/>
    <w:rsid w:val="0067205A"/>
    <w:rsid w:val="00672EE5"/>
    <w:rsid w:val="00674B6E"/>
    <w:rsid w:val="00674CD2"/>
    <w:rsid w:val="006768D6"/>
    <w:rsid w:val="006768E9"/>
    <w:rsid w:val="00676AEA"/>
    <w:rsid w:val="00680488"/>
    <w:rsid w:val="00680F3B"/>
    <w:rsid w:val="00681780"/>
    <w:rsid w:val="00681C7C"/>
    <w:rsid w:val="00681EE0"/>
    <w:rsid w:val="0068386D"/>
    <w:rsid w:val="00683EA9"/>
    <w:rsid w:val="006847F7"/>
    <w:rsid w:val="00684A0F"/>
    <w:rsid w:val="00685300"/>
    <w:rsid w:val="006862CA"/>
    <w:rsid w:val="006907C3"/>
    <w:rsid w:val="006925BF"/>
    <w:rsid w:val="00692902"/>
    <w:rsid w:val="006930C3"/>
    <w:rsid w:val="00694795"/>
    <w:rsid w:val="006961B6"/>
    <w:rsid w:val="0069704C"/>
    <w:rsid w:val="0069799D"/>
    <w:rsid w:val="00697BBC"/>
    <w:rsid w:val="006A0517"/>
    <w:rsid w:val="006A0A8C"/>
    <w:rsid w:val="006A15FA"/>
    <w:rsid w:val="006A2666"/>
    <w:rsid w:val="006A2BCF"/>
    <w:rsid w:val="006A2C63"/>
    <w:rsid w:val="006A2EAD"/>
    <w:rsid w:val="006A3EA4"/>
    <w:rsid w:val="006A407A"/>
    <w:rsid w:val="006A496E"/>
    <w:rsid w:val="006A4CFE"/>
    <w:rsid w:val="006A5BCF"/>
    <w:rsid w:val="006B1E4F"/>
    <w:rsid w:val="006B2236"/>
    <w:rsid w:val="006B3CFD"/>
    <w:rsid w:val="006B3DD4"/>
    <w:rsid w:val="006B4491"/>
    <w:rsid w:val="006B455B"/>
    <w:rsid w:val="006B57BB"/>
    <w:rsid w:val="006B5D1B"/>
    <w:rsid w:val="006B7B36"/>
    <w:rsid w:val="006B7C31"/>
    <w:rsid w:val="006C0835"/>
    <w:rsid w:val="006C0E23"/>
    <w:rsid w:val="006C1077"/>
    <w:rsid w:val="006C18B1"/>
    <w:rsid w:val="006C196D"/>
    <w:rsid w:val="006C26F7"/>
    <w:rsid w:val="006C3AFD"/>
    <w:rsid w:val="006C3B29"/>
    <w:rsid w:val="006C3E99"/>
    <w:rsid w:val="006C4579"/>
    <w:rsid w:val="006C46B4"/>
    <w:rsid w:val="006C52FB"/>
    <w:rsid w:val="006C6622"/>
    <w:rsid w:val="006C6AFE"/>
    <w:rsid w:val="006C6EF6"/>
    <w:rsid w:val="006C72B3"/>
    <w:rsid w:val="006C7721"/>
    <w:rsid w:val="006D16A5"/>
    <w:rsid w:val="006D1817"/>
    <w:rsid w:val="006D1ADC"/>
    <w:rsid w:val="006D2539"/>
    <w:rsid w:val="006D354C"/>
    <w:rsid w:val="006D36BE"/>
    <w:rsid w:val="006D5101"/>
    <w:rsid w:val="006D62F6"/>
    <w:rsid w:val="006D704D"/>
    <w:rsid w:val="006D74BE"/>
    <w:rsid w:val="006E1113"/>
    <w:rsid w:val="006E1144"/>
    <w:rsid w:val="006E12A0"/>
    <w:rsid w:val="006E19F0"/>
    <w:rsid w:val="006E1C9F"/>
    <w:rsid w:val="006E2623"/>
    <w:rsid w:val="006E2948"/>
    <w:rsid w:val="006E4EDD"/>
    <w:rsid w:val="006E61B5"/>
    <w:rsid w:val="006E6603"/>
    <w:rsid w:val="006E6FF3"/>
    <w:rsid w:val="006E7BAD"/>
    <w:rsid w:val="006F1ACF"/>
    <w:rsid w:val="006F1C53"/>
    <w:rsid w:val="006F1D4B"/>
    <w:rsid w:val="006F239C"/>
    <w:rsid w:val="006F3435"/>
    <w:rsid w:val="006F5177"/>
    <w:rsid w:val="006F551F"/>
    <w:rsid w:val="006F795C"/>
    <w:rsid w:val="00700DAC"/>
    <w:rsid w:val="00701BBC"/>
    <w:rsid w:val="00702D33"/>
    <w:rsid w:val="00704F09"/>
    <w:rsid w:val="00704FF2"/>
    <w:rsid w:val="00706BCD"/>
    <w:rsid w:val="007071F2"/>
    <w:rsid w:val="00707451"/>
    <w:rsid w:val="0071069A"/>
    <w:rsid w:val="00710AA3"/>
    <w:rsid w:val="007110DB"/>
    <w:rsid w:val="007111AF"/>
    <w:rsid w:val="00711F96"/>
    <w:rsid w:val="00713444"/>
    <w:rsid w:val="007140EA"/>
    <w:rsid w:val="0071417B"/>
    <w:rsid w:val="007151D0"/>
    <w:rsid w:val="007160C0"/>
    <w:rsid w:val="00717180"/>
    <w:rsid w:val="007173D2"/>
    <w:rsid w:val="00717D84"/>
    <w:rsid w:val="0072082A"/>
    <w:rsid w:val="00721E57"/>
    <w:rsid w:val="0072224B"/>
    <w:rsid w:val="00723DF1"/>
    <w:rsid w:val="00723EA7"/>
    <w:rsid w:val="00723FB1"/>
    <w:rsid w:val="00724051"/>
    <w:rsid w:val="00724621"/>
    <w:rsid w:val="00724F4D"/>
    <w:rsid w:val="007253A5"/>
    <w:rsid w:val="007255E6"/>
    <w:rsid w:val="00726BE7"/>
    <w:rsid w:val="007275AF"/>
    <w:rsid w:val="00727787"/>
    <w:rsid w:val="00727D92"/>
    <w:rsid w:val="007302C0"/>
    <w:rsid w:val="007303A1"/>
    <w:rsid w:val="007303A5"/>
    <w:rsid w:val="007304BC"/>
    <w:rsid w:val="007307F0"/>
    <w:rsid w:val="007313CB"/>
    <w:rsid w:val="00731573"/>
    <w:rsid w:val="00732029"/>
    <w:rsid w:val="00732094"/>
    <w:rsid w:val="00732827"/>
    <w:rsid w:val="0073282A"/>
    <w:rsid w:val="00735E07"/>
    <w:rsid w:val="00736146"/>
    <w:rsid w:val="00736D7B"/>
    <w:rsid w:val="00736F31"/>
    <w:rsid w:val="0073753A"/>
    <w:rsid w:val="00740D47"/>
    <w:rsid w:val="0074146C"/>
    <w:rsid w:val="0074225D"/>
    <w:rsid w:val="00742316"/>
    <w:rsid w:val="0074253A"/>
    <w:rsid w:val="0074265F"/>
    <w:rsid w:val="007434D2"/>
    <w:rsid w:val="007447AD"/>
    <w:rsid w:val="00744BFF"/>
    <w:rsid w:val="007451B6"/>
    <w:rsid w:val="00745E57"/>
    <w:rsid w:val="007464AE"/>
    <w:rsid w:val="00747D04"/>
    <w:rsid w:val="00750361"/>
    <w:rsid w:val="0075262C"/>
    <w:rsid w:val="00753B89"/>
    <w:rsid w:val="00754725"/>
    <w:rsid w:val="00754A86"/>
    <w:rsid w:val="0075530F"/>
    <w:rsid w:val="00755BD6"/>
    <w:rsid w:val="00755FC2"/>
    <w:rsid w:val="007563BD"/>
    <w:rsid w:val="007566AA"/>
    <w:rsid w:val="00756A0A"/>
    <w:rsid w:val="007578F0"/>
    <w:rsid w:val="00757C5B"/>
    <w:rsid w:val="007605A4"/>
    <w:rsid w:val="00760B34"/>
    <w:rsid w:val="00760F38"/>
    <w:rsid w:val="0076121E"/>
    <w:rsid w:val="0076137B"/>
    <w:rsid w:val="00761383"/>
    <w:rsid w:val="00761F90"/>
    <w:rsid w:val="00762C99"/>
    <w:rsid w:val="007633F9"/>
    <w:rsid w:val="0076364E"/>
    <w:rsid w:val="00763987"/>
    <w:rsid w:val="00763C21"/>
    <w:rsid w:val="00763C2A"/>
    <w:rsid w:val="00764584"/>
    <w:rsid w:val="00764C69"/>
    <w:rsid w:val="00765552"/>
    <w:rsid w:val="00766DB7"/>
    <w:rsid w:val="00766EE1"/>
    <w:rsid w:val="0076715B"/>
    <w:rsid w:val="007677CD"/>
    <w:rsid w:val="00767A44"/>
    <w:rsid w:val="00767F2F"/>
    <w:rsid w:val="0077004A"/>
    <w:rsid w:val="0077096A"/>
    <w:rsid w:val="00771378"/>
    <w:rsid w:val="00771653"/>
    <w:rsid w:val="007716B0"/>
    <w:rsid w:val="007717CB"/>
    <w:rsid w:val="00771ACB"/>
    <w:rsid w:val="0077474F"/>
    <w:rsid w:val="00775AD2"/>
    <w:rsid w:val="00776196"/>
    <w:rsid w:val="007769E0"/>
    <w:rsid w:val="00776BBF"/>
    <w:rsid w:val="00776CD3"/>
    <w:rsid w:val="00776FBF"/>
    <w:rsid w:val="00777564"/>
    <w:rsid w:val="007778DE"/>
    <w:rsid w:val="0077799E"/>
    <w:rsid w:val="00777B2D"/>
    <w:rsid w:val="00777CF6"/>
    <w:rsid w:val="0078045D"/>
    <w:rsid w:val="00780495"/>
    <w:rsid w:val="00780B2C"/>
    <w:rsid w:val="00780D08"/>
    <w:rsid w:val="00782BA5"/>
    <w:rsid w:val="00784C27"/>
    <w:rsid w:val="007854B1"/>
    <w:rsid w:val="007857A0"/>
    <w:rsid w:val="00785BA7"/>
    <w:rsid w:val="00785EF7"/>
    <w:rsid w:val="00786159"/>
    <w:rsid w:val="00786A5F"/>
    <w:rsid w:val="00786ED6"/>
    <w:rsid w:val="00787C6B"/>
    <w:rsid w:val="00790F26"/>
    <w:rsid w:val="00790FF9"/>
    <w:rsid w:val="007926E3"/>
    <w:rsid w:val="00792C1F"/>
    <w:rsid w:val="00793C2B"/>
    <w:rsid w:val="00794414"/>
    <w:rsid w:val="00795605"/>
    <w:rsid w:val="00796B61"/>
    <w:rsid w:val="00796D84"/>
    <w:rsid w:val="00796FBE"/>
    <w:rsid w:val="00797024"/>
    <w:rsid w:val="007A11C8"/>
    <w:rsid w:val="007A230C"/>
    <w:rsid w:val="007A2E2C"/>
    <w:rsid w:val="007A2E3E"/>
    <w:rsid w:val="007A4E5C"/>
    <w:rsid w:val="007A568D"/>
    <w:rsid w:val="007A7A5F"/>
    <w:rsid w:val="007A7C88"/>
    <w:rsid w:val="007B03EC"/>
    <w:rsid w:val="007B08BE"/>
    <w:rsid w:val="007B163B"/>
    <w:rsid w:val="007B167E"/>
    <w:rsid w:val="007B2921"/>
    <w:rsid w:val="007B2BCF"/>
    <w:rsid w:val="007B36E4"/>
    <w:rsid w:val="007B496E"/>
    <w:rsid w:val="007B539E"/>
    <w:rsid w:val="007B58E2"/>
    <w:rsid w:val="007B6A02"/>
    <w:rsid w:val="007B6BD8"/>
    <w:rsid w:val="007B6D89"/>
    <w:rsid w:val="007B6E96"/>
    <w:rsid w:val="007C01E0"/>
    <w:rsid w:val="007C0396"/>
    <w:rsid w:val="007C0EBC"/>
    <w:rsid w:val="007C102A"/>
    <w:rsid w:val="007C171A"/>
    <w:rsid w:val="007C1AA3"/>
    <w:rsid w:val="007C1CD9"/>
    <w:rsid w:val="007C1F75"/>
    <w:rsid w:val="007C211B"/>
    <w:rsid w:val="007C2674"/>
    <w:rsid w:val="007C4DB6"/>
    <w:rsid w:val="007C4ED1"/>
    <w:rsid w:val="007C5962"/>
    <w:rsid w:val="007C646A"/>
    <w:rsid w:val="007C7007"/>
    <w:rsid w:val="007C75DA"/>
    <w:rsid w:val="007D003C"/>
    <w:rsid w:val="007D0A0E"/>
    <w:rsid w:val="007D185F"/>
    <w:rsid w:val="007D1E17"/>
    <w:rsid w:val="007D36CD"/>
    <w:rsid w:val="007D3DD4"/>
    <w:rsid w:val="007D5AC1"/>
    <w:rsid w:val="007D742F"/>
    <w:rsid w:val="007D749D"/>
    <w:rsid w:val="007D761A"/>
    <w:rsid w:val="007E03CC"/>
    <w:rsid w:val="007E12CA"/>
    <w:rsid w:val="007E299B"/>
    <w:rsid w:val="007E3127"/>
    <w:rsid w:val="007E440F"/>
    <w:rsid w:val="007E5AC4"/>
    <w:rsid w:val="007E6844"/>
    <w:rsid w:val="007E7F18"/>
    <w:rsid w:val="007F0F91"/>
    <w:rsid w:val="007F0FD9"/>
    <w:rsid w:val="007F18DE"/>
    <w:rsid w:val="007F23C8"/>
    <w:rsid w:val="007F24DA"/>
    <w:rsid w:val="007F297D"/>
    <w:rsid w:val="007F2EBD"/>
    <w:rsid w:val="007F3139"/>
    <w:rsid w:val="007F322A"/>
    <w:rsid w:val="007F3C08"/>
    <w:rsid w:val="007F5020"/>
    <w:rsid w:val="007F54F8"/>
    <w:rsid w:val="007F5DA5"/>
    <w:rsid w:val="007F5E2B"/>
    <w:rsid w:val="007F728E"/>
    <w:rsid w:val="00800BE0"/>
    <w:rsid w:val="0080107E"/>
    <w:rsid w:val="00801B8C"/>
    <w:rsid w:val="00801EE3"/>
    <w:rsid w:val="0080280F"/>
    <w:rsid w:val="008029DE"/>
    <w:rsid w:val="00802E98"/>
    <w:rsid w:val="008035B9"/>
    <w:rsid w:val="0080437F"/>
    <w:rsid w:val="0080488C"/>
    <w:rsid w:val="00804E67"/>
    <w:rsid w:val="008054BA"/>
    <w:rsid w:val="008062E3"/>
    <w:rsid w:val="00807169"/>
    <w:rsid w:val="00811164"/>
    <w:rsid w:val="00811F9F"/>
    <w:rsid w:val="00812570"/>
    <w:rsid w:val="0081273C"/>
    <w:rsid w:val="0081454D"/>
    <w:rsid w:val="0082138B"/>
    <w:rsid w:val="00821BF3"/>
    <w:rsid w:val="00821DA2"/>
    <w:rsid w:val="00821F16"/>
    <w:rsid w:val="00822B82"/>
    <w:rsid w:val="0082384F"/>
    <w:rsid w:val="00825429"/>
    <w:rsid w:val="0082631A"/>
    <w:rsid w:val="00826C23"/>
    <w:rsid w:val="00826E01"/>
    <w:rsid w:val="00830D8F"/>
    <w:rsid w:val="00831431"/>
    <w:rsid w:val="008319DC"/>
    <w:rsid w:val="00831A05"/>
    <w:rsid w:val="00832021"/>
    <w:rsid w:val="00832306"/>
    <w:rsid w:val="008326F6"/>
    <w:rsid w:val="00832B02"/>
    <w:rsid w:val="00832C64"/>
    <w:rsid w:val="008332A2"/>
    <w:rsid w:val="00833830"/>
    <w:rsid w:val="00833994"/>
    <w:rsid w:val="0083418F"/>
    <w:rsid w:val="0083476A"/>
    <w:rsid w:val="00834CCF"/>
    <w:rsid w:val="008351E2"/>
    <w:rsid w:val="0083621C"/>
    <w:rsid w:val="00836424"/>
    <w:rsid w:val="00837032"/>
    <w:rsid w:val="00837D42"/>
    <w:rsid w:val="00840289"/>
    <w:rsid w:val="0084053E"/>
    <w:rsid w:val="008414FD"/>
    <w:rsid w:val="00841649"/>
    <w:rsid w:val="008419F5"/>
    <w:rsid w:val="00841A42"/>
    <w:rsid w:val="00842297"/>
    <w:rsid w:val="00842AE0"/>
    <w:rsid w:val="00843986"/>
    <w:rsid w:val="008445AF"/>
    <w:rsid w:val="00846255"/>
    <w:rsid w:val="008463BF"/>
    <w:rsid w:val="00846801"/>
    <w:rsid w:val="00846A9B"/>
    <w:rsid w:val="00846C41"/>
    <w:rsid w:val="00846C62"/>
    <w:rsid w:val="008471C1"/>
    <w:rsid w:val="00847797"/>
    <w:rsid w:val="00850B18"/>
    <w:rsid w:val="00851740"/>
    <w:rsid w:val="00851901"/>
    <w:rsid w:val="00851E3B"/>
    <w:rsid w:val="00852AD3"/>
    <w:rsid w:val="00853288"/>
    <w:rsid w:val="0085368C"/>
    <w:rsid w:val="00854D84"/>
    <w:rsid w:val="008553DC"/>
    <w:rsid w:val="00855A04"/>
    <w:rsid w:val="00855A61"/>
    <w:rsid w:val="00856DCC"/>
    <w:rsid w:val="00857C19"/>
    <w:rsid w:val="00861697"/>
    <w:rsid w:val="008617EB"/>
    <w:rsid w:val="00862369"/>
    <w:rsid w:val="00862516"/>
    <w:rsid w:val="00862721"/>
    <w:rsid w:val="00862A37"/>
    <w:rsid w:val="00863882"/>
    <w:rsid w:val="00863ADF"/>
    <w:rsid w:val="00863E83"/>
    <w:rsid w:val="008640C7"/>
    <w:rsid w:val="008658B3"/>
    <w:rsid w:val="0086591F"/>
    <w:rsid w:val="00870213"/>
    <w:rsid w:val="00870BF0"/>
    <w:rsid w:val="008714C9"/>
    <w:rsid w:val="00871740"/>
    <w:rsid w:val="00871850"/>
    <w:rsid w:val="00871B65"/>
    <w:rsid w:val="00873B87"/>
    <w:rsid w:val="008749C8"/>
    <w:rsid w:val="00875166"/>
    <w:rsid w:val="0087542F"/>
    <w:rsid w:val="00876D0A"/>
    <w:rsid w:val="008772B1"/>
    <w:rsid w:val="00877324"/>
    <w:rsid w:val="00877825"/>
    <w:rsid w:val="008806F9"/>
    <w:rsid w:val="008818A6"/>
    <w:rsid w:val="00881A4C"/>
    <w:rsid w:val="008820C6"/>
    <w:rsid w:val="008820DE"/>
    <w:rsid w:val="0088219D"/>
    <w:rsid w:val="00882F17"/>
    <w:rsid w:val="008837E7"/>
    <w:rsid w:val="00884EFA"/>
    <w:rsid w:val="00884FD5"/>
    <w:rsid w:val="008852CD"/>
    <w:rsid w:val="008853ED"/>
    <w:rsid w:val="00885F83"/>
    <w:rsid w:val="00886858"/>
    <w:rsid w:val="00886A08"/>
    <w:rsid w:val="008906A5"/>
    <w:rsid w:val="008907C6"/>
    <w:rsid w:val="00890CF8"/>
    <w:rsid w:val="008918A1"/>
    <w:rsid w:val="00891ED5"/>
    <w:rsid w:val="0089375A"/>
    <w:rsid w:val="00893D0B"/>
    <w:rsid w:val="008947AC"/>
    <w:rsid w:val="00895F9D"/>
    <w:rsid w:val="008964E6"/>
    <w:rsid w:val="00896F3D"/>
    <w:rsid w:val="008971B2"/>
    <w:rsid w:val="0089789D"/>
    <w:rsid w:val="008A02E7"/>
    <w:rsid w:val="008A06EB"/>
    <w:rsid w:val="008A11AF"/>
    <w:rsid w:val="008A2173"/>
    <w:rsid w:val="008A2480"/>
    <w:rsid w:val="008A2991"/>
    <w:rsid w:val="008A2BF7"/>
    <w:rsid w:val="008A3C7A"/>
    <w:rsid w:val="008A3D4A"/>
    <w:rsid w:val="008A43EF"/>
    <w:rsid w:val="008A4FAA"/>
    <w:rsid w:val="008A5BD8"/>
    <w:rsid w:val="008A5F38"/>
    <w:rsid w:val="008B0111"/>
    <w:rsid w:val="008B0946"/>
    <w:rsid w:val="008B0B06"/>
    <w:rsid w:val="008B1057"/>
    <w:rsid w:val="008B12A4"/>
    <w:rsid w:val="008B1715"/>
    <w:rsid w:val="008B172B"/>
    <w:rsid w:val="008B1E3E"/>
    <w:rsid w:val="008B23ED"/>
    <w:rsid w:val="008B3158"/>
    <w:rsid w:val="008B334B"/>
    <w:rsid w:val="008B38DC"/>
    <w:rsid w:val="008B4578"/>
    <w:rsid w:val="008B4AF2"/>
    <w:rsid w:val="008B58EB"/>
    <w:rsid w:val="008B5C9E"/>
    <w:rsid w:val="008B62A4"/>
    <w:rsid w:val="008B69A2"/>
    <w:rsid w:val="008B6B86"/>
    <w:rsid w:val="008C10FE"/>
    <w:rsid w:val="008C2335"/>
    <w:rsid w:val="008C2F1E"/>
    <w:rsid w:val="008C3A57"/>
    <w:rsid w:val="008C3BD2"/>
    <w:rsid w:val="008C40EF"/>
    <w:rsid w:val="008C44BC"/>
    <w:rsid w:val="008C4A30"/>
    <w:rsid w:val="008C553E"/>
    <w:rsid w:val="008C5742"/>
    <w:rsid w:val="008C604E"/>
    <w:rsid w:val="008C7087"/>
    <w:rsid w:val="008C7867"/>
    <w:rsid w:val="008C7C37"/>
    <w:rsid w:val="008D0088"/>
    <w:rsid w:val="008D361D"/>
    <w:rsid w:val="008D370F"/>
    <w:rsid w:val="008D382F"/>
    <w:rsid w:val="008D43DC"/>
    <w:rsid w:val="008D5094"/>
    <w:rsid w:val="008D6A6B"/>
    <w:rsid w:val="008D6E8A"/>
    <w:rsid w:val="008D7E1F"/>
    <w:rsid w:val="008E12B7"/>
    <w:rsid w:val="008E1837"/>
    <w:rsid w:val="008E1C07"/>
    <w:rsid w:val="008E246D"/>
    <w:rsid w:val="008E32A8"/>
    <w:rsid w:val="008E33F1"/>
    <w:rsid w:val="008E3627"/>
    <w:rsid w:val="008E3E3C"/>
    <w:rsid w:val="008E4563"/>
    <w:rsid w:val="008E4BBD"/>
    <w:rsid w:val="008E63E7"/>
    <w:rsid w:val="008E7869"/>
    <w:rsid w:val="008E7DBA"/>
    <w:rsid w:val="008E7DDA"/>
    <w:rsid w:val="008F0220"/>
    <w:rsid w:val="008F02AE"/>
    <w:rsid w:val="008F0ACC"/>
    <w:rsid w:val="008F0E8F"/>
    <w:rsid w:val="008F102F"/>
    <w:rsid w:val="008F1384"/>
    <w:rsid w:val="008F13A9"/>
    <w:rsid w:val="008F1474"/>
    <w:rsid w:val="008F15DB"/>
    <w:rsid w:val="008F173E"/>
    <w:rsid w:val="008F1A2E"/>
    <w:rsid w:val="008F1FF0"/>
    <w:rsid w:val="008F25EE"/>
    <w:rsid w:val="008F25F1"/>
    <w:rsid w:val="008F29FB"/>
    <w:rsid w:val="008F3075"/>
    <w:rsid w:val="008F326C"/>
    <w:rsid w:val="008F4222"/>
    <w:rsid w:val="008F46FC"/>
    <w:rsid w:val="008F491D"/>
    <w:rsid w:val="008F4CA6"/>
    <w:rsid w:val="008F52CE"/>
    <w:rsid w:val="008F6A1D"/>
    <w:rsid w:val="008F7375"/>
    <w:rsid w:val="008F7644"/>
    <w:rsid w:val="008F7A3B"/>
    <w:rsid w:val="0090043E"/>
    <w:rsid w:val="0090144E"/>
    <w:rsid w:val="00902CB9"/>
    <w:rsid w:val="00902FD2"/>
    <w:rsid w:val="00903A04"/>
    <w:rsid w:val="0090513F"/>
    <w:rsid w:val="00905CED"/>
    <w:rsid w:val="00905E14"/>
    <w:rsid w:val="00907CCD"/>
    <w:rsid w:val="00907FF4"/>
    <w:rsid w:val="00910047"/>
    <w:rsid w:val="009101C1"/>
    <w:rsid w:val="0091029A"/>
    <w:rsid w:val="00910983"/>
    <w:rsid w:val="00910AC3"/>
    <w:rsid w:val="009110D7"/>
    <w:rsid w:val="009113D5"/>
    <w:rsid w:val="00912E36"/>
    <w:rsid w:val="00913401"/>
    <w:rsid w:val="00914153"/>
    <w:rsid w:val="009143A2"/>
    <w:rsid w:val="00914917"/>
    <w:rsid w:val="009159CA"/>
    <w:rsid w:val="009166D3"/>
    <w:rsid w:val="00917220"/>
    <w:rsid w:val="009172F0"/>
    <w:rsid w:val="00917F3B"/>
    <w:rsid w:val="009205AB"/>
    <w:rsid w:val="00920CF3"/>
    <w:rsid w:val="00920D74"/>
    <w:rsid w:val="00921BAD"/>
    <w:rsid w:val="009225E4"/>
    <w:rsid w:val="00922D40"/>
    <w:rsid w:val="00922D43"/>
    <w:rsid w:val="00923A64"/>
    <w:rsid w:val="0092402C"/>
    <w:rsid w:val="00924745"/>
    <w:rsid w:val="00924B85"/>
    <w:rsid w:val="00924CB3"/>
    <w:rsid w:val="009261A1"/>
    <w:rsid w:val="009263E5"/>
    <w:rsid w:val="00926FE1"/>
    <w:rsid w:val="0092730B"/>
    <w:rsid w:val="009274A7"/>
    <w:rsid w:val="00927693"/>
    <w:rsid w:val="00927CD9"/>
    <w:rsid w:val="00930289"/>
    <w:rsid w:val="00930396"/>
    <w:rsid w:val="009314E5"/>
    <w:rsid w:val="0093183A"/>
    <w:rsid w:val="00931F13"/>
    <w:rsid w:val="00933C08"/>
    <w:rsid w:val="0093404B"/>
    <w:rsid w:val="00936E54"/>
    <w:rsid w:val="00937C0A"/>
    <w:rsid w:val="0094087F"/>
    <w:rsid w:val="00940DD0"/>
    <w:rsid w:val="00940FFF"/>
    <w:rsid w:val="00941A58"/>
    <w:rsid w:val="00942886"/>
    <w:rsid w:val="00943768"/>
    <w:rsid w:val="009437F8"/>
    <w:rsid w:val="00944061"/>
    <w:rsid w:val="00945960"/>
    <w:rsid w:val="00945C4D"/>
    <w:rsid w:val="00946007"/>
    <w:rsid w:val="00946374"/>
    <w:rsid w:val="0094712C"/>
    <w:rsid w:val="009472AF"/>
    <w:rsid w:val="009500EA"/>
    <w:rsid w:val="009515C1"/>
    <w:rsid w:val="0095191B"/>
    <w:rsid w:val="00953622"/>
    <w:rsid w:val="0095365C"/>
    <w:rsid w:val="00955177"/>
    <w:rsid w:val="009556B6"/>
    <w:rsid w:val="00955BD2"/>
    <w:rsid w:val="009566F4"/>
    <w:rsid w:val="009571F6"/>
    <w:rsid w:val="00957ED8"/>
    <w:rsid w:val="00960A69"/>
    <w:rsid w:val="00960BC8"/>
    <w:rsid w:val="009617F8"/>
    <w:rsid w:val="00961E1F"/>
    <w:rsid w:val="009633A3"/>
    <w:rsid w:val="009637EC"/>
    <w:rsid w:val="00963B91"/>
    <w:rsid w:val="0096518F"/>
    <w:rsid w:val="009661C8"/>
    <w:rsid w:val="00966322"/>
    <w:rsid w:val="00966E1E"/>
    <w:rsid w:val="00967077"/>
    <w:rsid w:val="009674F5"/>
    <w:rsid w:val="009675E6"/>
    <w:rsid w:val="00967BCE"/>
    <w:rsid w:val="00967CE2"/>
    <w:rsid w:val="00970205"/>
    <w:rsid w:val="0097028F"/>
    <w:rsid w:val="00970C1B"/>
    <w:rsid w:val="00972618"/>
    <w:rsid w:val="0097299B"/>
    <w:rsid w:val="00972D47"/>
    <w:rsid w:val="00972E65"/>
    <w:rsid w:val="00973E0E"/>
    <w:rsid w:val="009748C6"/>
    <w:rsid w:val="0097565C"/>
    <w:rsid w:val="00975CF2"/>
    <w:rsid w:val="009771B8"/>
    <w:rsid w:val="00980968"/>
    <w:rsid w:val="009809B2"/>
    <w:rsid w:val="00980BD8"/>
    <w:rsid w:val="00981A26"/>
    <w:rsid w:val="00981A57"/>
    <w:rsid w:val="009832F7"/>
    <w:rsid w:val="00983D06"/>
    <w:rsid w:val="00984288"/>
    <w:rsid w:val="00984414"/>
    <w:rsid w:val="00984765"/>
    <w:rsid w:val="00984FB3"/>
    <w:rsid w:val="0098500D"/>
    <w:rsid w:val="009854AB"/>
    <w:rsid w:val="00985504"/>
    <w:rsid w:val="009860C3"/>
    <w:rsid w:val="009863AA"/>
    <w:rsid w:val="009865D6"/>
    <w:rsid w:val="00987766"/>
    <w:rsid w:val="00987D7E"/>
    <w:rsid w:val="00990AAF"/>
    <w:rsid w:val="00991168"/>
    <w:rsid w:val="0099199A"/>
    <w:rsid w:val="00991D72"/>
    <w:rsid w:val="009945DB"/>
    <w:rsid w:val="00994815"/>
    <w:rsid w:val="00994E72"/>
    <w:rsid w:val="0099511A"/>
    <w:rsid w:val="00995ACF"/>
    <w:rsid w:val="00996D39"/>
    <w:rsid w:val="00997209"/>
    <w:rsid w:val="0099733F"/>
    <w:rsid w:val="009976CB"/>
    <w:rsid w:val="009A034C"/>
    <w:rsid w:val="009A0B89"/>
    <w:rsid w:val="009A18F1"/>
    <w:rsid w:val="009A2BAE"/>
    <w:rsid w:val="009A4C7B"/>
    <w:rsid w:val="009A4CAA"/>
    <w:rsid w:val="009A4FCA"/>
    <w:rsid w:val="009A4FF5"/>
    <w:rsid w:val="009A54C5"/>
    <w:rsid w:val="009A5564"/>
    <w:rsid w:val="009A5799"/>
    <w:rsid w:val="009A73B5"/>
    <w:rsid w:val="009A7571"/>
    <w:rsid w:val="009B1141"/>
    <w:rsid w:val="009B19DC"/>
    <w:rsid w:val="009B3210"/>
    <w:rsid w:val="009B366A"/>
    <w:rsid w:val="009B3FEF"/>
    <w:rsid w:val="009B467E"/>
    <w:rsid w:val="009B4B0B"/>
    <w:rsid w:val="009B6433"/>
    <w:rsid w:val="009B69D3"/>
    <w:rsid w:val="009B7027"/>
    <w:rsid w:val="009B7617"/>
    <w:rsid w:val="009C00D0"/>
    <w:rsid w:val="009C015C"/>
    <w:rsid w:val="009C06D1"/>
    <w:rsid w:val="009C1EFD"/>
    <w:rsid w:val="009C247C"/>
    <w:rsid w:val="009C2A53"/>
    <w:rsid w:val="009C2B3A"/>
    <w:rsid w:val="009C3B00"/>
    <w:rsid w:val="009C4F5A"/>
    <w:rsid w:val="009C56C3"/>
    <w:rsid w:val="009C59AD"/>
    <w:rsid w:val="009C7CF7"/>
    <w:rsid w:val="009D0335"/>
    <w:rsid w:val="009D0EF0"/>
    <w:rsid w:val="009D3EAE"/>
    <w:rsid w:val="009D3F4B"/>
    <w:rsid w:val="009D3FA2"/>
    <w:rsid w:val="009D47DA"/>
    <w:rsid w:val="009D508A"/>
    <w:rsid w:val="009D565F"/>
    <w:rsid w:val="009D5F07"/>
    <w:rsid w:val="009D6AF7"/>
    <w:rsid w:val="009D75D3"/>
    <w:rsid w:val="009D7F7D"/>
    <w:rsid w:val="009E0377"/>
    <w:rsid w:val="009E0381"/>
    <w:rsid w:val="009E0861"/>
    <w:rsid w:val="009E09E2"/>
    <w:rsid w:val="009E1818"/>
    <w:rsid w:val="009E1B19"/>
    <w:rsid w:val="009E20CB"/>
    <w:rsid w:val="009E2CF9"/>
    <w:rsid w:val="009E33C2"/>
    <w:rsid w:val="009E34F1"/>
    <w:rsid w:val="009E44F0"/>
    <w:rsid w:val="009E4E2B"/>
    <w:rsid w:val="009E5612"/>
    <w:rsid w:val="009E5E93"/>
    <w:rsid w:val="009E6352"/>
    <w:rsid w:val="009E644B"/>
    <w:rsid w:val="009E7AE3"/>
    <w:rsid w:val="009E7DCB"/>
    <w:rsid w:val="009E7E83"/>
    <w:rsid w:val="009F017A"/>
    <w:rsid w:val="009F127C"/>
    <w:rsid w:val="009F34D7"/>
    <w:rsid w:val="009F3BD8"/>
    <w:rsid w:val="009F419D"/>
    <w:rsid w:val="009F43B1"/>
    <w:rsid w:val="009F47A6"/>
    <w:rsid w:val="009F4A60"/>
    <w:rsid w:val="009F4FC8"/>
    <w:rsid w:val="009F5E9A"/>
    <w:rsid w:val="009F6E8E"/>
    <w:rsid w:val="009F71C6"/>
    <w:rsid w:val="009F7970"/>
    <w:rsid w:val="009F7D9B"/>
    <w:rsid w:val="00A014EB"/>
    <w:rsid w:val="00A01F7C"/>
    <w:rsid w:val="00A02376"/>
    <w:rsid w:val="00A027CC"/>
    <w:rsid w:val="00A03A9B"/>
    <w:rsid w:val="00A045CE"/>
    <w:rsid w:val="00A04D3F"/>
    <w:rsid w:val="00A053B4"/>
    <w:rsid w:val="00A05BED"/>
    <w:rsid w:val="00A05FAC"/>
    <w:rsid w:val="00A063A9"/>
    <w:rsid w:val="00A064CD"/>
    <w:rsid w:val="00A0682D"/>
    <w:rsid w:val="00A06D3C"/>
    <w:rsid w:val="00A07565"/>
    <w:rsid w:val="00A075BB"/>
    <w:rsid w:val="00A07756"/>
    <w:rsid w:val="00A07D41"/>
    <w:rsid w:val="00A07F5C"/>
    <w:rsid w:val="00A10C65"/>
    <w:rsid w:val="00A11DC6"/>
    <w:rsid w:val="00A12C50"/>
    <w:rsid w:val="00A130D0"/>
    <w:rsid w:val="00A13307"/>
    <w:rsid w:val="00A13701"/>
    <w:rsid w:val="00A13A99"/>
    <w:rsid w:val="00A13CA5"/>
    <w:rsid w:val="00A14DF8"/>
    <w:rsid w:val="00A14F40"/>
    <w:rsid w:val="00A1660A"/>
    <w:rsid w:val="00A16A24"/>
    <w:rsid w:val="00A208B1"/>
    <w:rsid w:val="00A20D8D"/>
    <w:rsid w:val="00A24A50"/>
    <w:rsid w:val="00A24BF6"/>
    <w:rsid w:val="00A251A4"/>
    <w:rsid w:val="00A252C3"/>
    <w:rsid w:val="00A260AD"/>
    <w:rsid w:val="00A27142"/>
    <w:rsid w:val="00A27A57"/>
    <w:rsid w:val="00A27EDC"/>
    <w:rsid w:val="00A30A07"/>
    <w:rsid w:val="00A30DC6"/>
    <w:rsid w:val="00A316F9"/>
    <w:rsid w:val="00A31B4C"/>
    <w:rsid w:val="00A320D8"/>
    <w:rsid w:val="00A329FF"/>
    <w:rsid w:val="00A32CE2"/>
    <w:rsid w:val="00A34309"/>
    <w:rsid w:val="00A34319"/>
    <w:rsid w:val="00A349E1"/>
    <w:rsid w:val="00A35003"/>
    <w:rsid w:val="00A35A8E"/>
    <w:rsid w:val="00A35B7C"/>
    <w:rsid w:val="00A35CE8"/>
    <w:rsid w:val="00A364FB"/>
    <w:rsid w:val="00A369F3"/>
    <w:rsid w:val="00A36AF7"/>
    <w:rsid w:val="00A37579"/>
    <w:rsid w:val="00A37978"/>
    <w:rsid w:val="00A40908"/>
    <w:rsid w:val="00A40FBF"/>
    <w:rsid w:val="00A41CA1"/>
    <w:rsid w:val="00A41E6B"/>
    <w:rsid w:val="00A42639"/>
    <w:rsid w:val="00A42AD3"/>
    <w:rsid w:val="00A43084"/>
    <w:rsid w:val="00A4321F"/>
    <w:rsid w:val="00A43295"/>
    <w:rsid w:val="00A43B53"/>
    <w:rsid w:val="00A447AE"/>
    <w:rsid w:val="00A44940"/>
    <w:rsid w:val="00A44A68"/>
    <w:rsid w:val="00A44F0B"/>
    <w:rsid w:val="00A45EA5"/>
    <w:rsid w:val="00A46500"/>
    <w:rsid w:val="00A46760"/>
    <w:rsid w:val="00A47278"/>
    <w:rsid w:val="00A50F36"/>
    <w:rsid w:val="00A51183"/>
    <w:rsid w:val="00A51540"/>
    <w:rsid w:val="00A51E2D"/>
    <w:rsid w:val="00A51F60"/>
    <w:rsid w:val="00A532F9"/>
    <w:rsid w:val="00A53CD2"/>
    <w:rsid w:val="00A5448B"/>
    <w:rsid w:val="00A55017"/>
    <w:rsid w:val="00A551E2"/>
    <w:rsid w:val="00A55ACC"/>
    <w:rsid w:val="00A567DB"/>
    <w:rsid w:val="00A57BCC"/>
    <w:rsid w:val="00A57CF6"/>
    <w:rsid w:val="00A6288D"/>
    <w:rsid w:val="00A643C9"/>
    <w:rsid w:val="00A645F9"/>
    <w:rsid w:val="00A64C89"/>
    <w:rsid w:val="00A6507A"/>
    <w:rsid w:val="00A6567D"/>
    <w:rsid w:val="00A65B41"/>
    <w:rsid w:val="00A66CEC"/>
    <w:rsid w:val="00A66DC6"/>
    <w:rsid w:val="00A672B4"/>
    <w:rsid w:val="00A67659"/>
    <w:rsid w:val="00A70B40"/>
    <w:rsid w:val="00A721E7"/>
    <w:rsid w:val="00A722D5"/>
    <w:rsid w:val="00A726C5"/>
    <w:rsid w:val="00A737BD"/>
    <w:rsid w:val="00A73812"/>
    <w:rsid w:val="00A74DF1"/>
    <w:rsid w:val="00A755B8"/>
    <w:rsid w:val="00A75BDD"/>
    <w:rsid w:val="00A76920"/>
    <w:rsid w:val="00A76CFD"/>
    <w:rsid w:val="00A77920"/>
    <w:rsid w:val="00A77DF9"/>
    <w:rsid w:val="00A77EB8"/>
    <w:rsid w:val="00A80ED0"/>
    <w:rsid w:val="00A814F0"/>
    <w:rsid w:val="00A8232A"/>
    <w:rsid w:val="00A854D8"/>
    <w:rsid w:val="00A85B0D"/>
    <w:rsid w:val="00A865E5"/>
    <w:rsid w:val="00A86A91"/>
    <w:rsid w:val="00A870F6"/>
    <w:rsid w:val="00A878C2"/>
    <w:rsid w:val="00A87C9D"/>
    <w:rsid w:val="00A908DF"/>
    <w:rsid w:val="00A90CCA"/>
    <w:rsid w:val="00A91F7E"/>
    <w:rsid w:val="00A940B0"/>
    <w:rsid w:val="00A94457"/>
    <w:rsid w:val="00A952CA"/>
    <w:rsid w:val="00A95447"/>
    <w:rsid w:val="00A95E5D"/>
    <w:rsid w:val="00A96523"/>
    <w:rsid w:val="00A96D86"/>
    <w:rsid w:val="00A97660"/>
    <w:rsid w:val="00AA0A7F"/>
    <w:rsid w:val="00AA0A96"/>
    <w:rsid w:val="00AA2DA0"/>
    <w:rsid w:val="00AA3317"/>
    <w:rsid w:val="00AA3F20"/>
    <w:rsid w:val="00AA427C"/>
    <w:rsid w:val="00AA48DD"/>
    <w:rsid w:val="00AA4985"/>
    <w:rsid w:val="00AA5179"/>
    <w:rsid w:val="00AA752E"/>
    <w:rsid w:val="00AA768B"/>
    <w:rsid w:val="00AB1FA3"/>
    <w:rsid w:val="00AB2736"/>
    <w:rsid w:val="00AB3718"/>
    <w:rsid w:val="00AB39CE"/>
    <w:rsid w:val="00AB5291"/>
    <w:rsid w:val="00AB5AAB"/>
    <w:rsid w:val="00AB5B26"/>
    <w:rsid w:val="00AB63F1"/>
    <w:rsid w:val="00AB6774"/>
    <w:rsid w:val="00AB6B84"/>
    <w:rsid w:val="00AB6BEF"/>
    <w:rsid w:val="00AB6ED7"/>
    <w:rsid w:val="00AB7B5A"/>
    <w:rsid w:val="00AB7D65"/>
    <w:rsid w:val="00AC027D"/>
    <w:rsid w:val="00AC08B5"/>
    <w:rsid w:val="00AC1C2A"/>
    <w:rsid w:val="00AC1D83"/>
    <w:rsid w:val="00AC1FD3"/>
    <w:rsid w:val="00AC20FE"/>
    <w:rsid w:val="00AC2112"/>
    <w:rsid w:val="00AC2451"/>
    <w:rsid w:val="00AC3040"/>
    <w:rsid w:val="00AC3F84"/>
    <w:rsid w:val="00AC43E2"/>
    <w:rsid w:val="00AC527F"/>
    <w:rsid w:val="00AC5769"/>
    <w:rsid w:val="00AC5CE5"/>
    <w:rsid w:val="00AC66AE"/>
    <w:rsid w:val="00AC6E43"/>
    <w:rsid w:val="00AC73AB"/>
    <w:rsid w:val="00AC7959"/>
    <w:rsid w:val="00AC7FB5"/>
    <w:rsid w:val="00AD0E0F"/>
    <w:rsid w:val="00AD25BA"/>
    <w:rsid w:val="00AD28F8"/>
    <w:rsid w:val="00AD2B80"/>
    <w:rsid w:val="00AD2D53"/>
    <w:rsid w:val="00AD3AA0"/>
    <w:rsid w:val="00AD3CA1"/>
    <w:rsid w:val="00AD3D32"/>
    <w:rsid w:val="00AD3E79"/>
    <w:rsid w:val="00AD5825"/>
    <w:rsid w:val="00AD5ADE"/>
    <w:rsid w:val="00AD5C84"/>
    <w:rsid w:val="00AD6730"/>
    <w:rsid w:val="00AD7B7C"/>
    <w:rsid w:val="00AD7D54"/>
    <w:rsid w:val="00AE000F"/>
    <w:rsid w:val="00AE0080"/>
    <w:rsid w:val="00AE0A70"/>
    <w:rsid w:val="00AE0D42"/>
    <w:rsid w:val="00AE0FDB"/>
    <w:rsid w:val="00AE17B9"/>
    <w:rsid w:val="00AE1BAD"/>
    <w:rsid w:val="00AE238E"/>
    <w:rsid w:val="00AE25DC"/>
    <w:rsid w:val="00AE272C"/>
    <w:rsid w:val="00AE347B"/>
    <w:rsid w:val="00AE351F"/>
    <w:rsid w:val="00AE3E59"/>
    <w:rsid w:val="00AE3F2C"/>
    <w:rsid w:val="00AE4A02"/>
    <w:rsid w:val="00AE4BE3"/>
    <w:rsid w:val="00AE5817"/>
    <w:rsid w:val="00AE5E66"/>
    <w:rsid w:val="00AE6015"/>
    <w:rsid w:val="00AE611A"/>
    <w:rsid w:val="00AE7289"/>
    <w:rsid w:val="00AE7651"/>
    <w:rsid w:val="00AE77E2"/>
    <w:rsid w:val="00AF08A1"/>
    <w:rsid w:val="00AF20DE"/>
    <w:rsid w:val="00AF2610"/>
    <w:rsid w:val="00AF2E69"/>
    <w:rsid w:val="00AF3FB8"/>
    <w:rsid w:val="00AF42D4"/>
    <w:rsid w:val="00AF52F4"/>
    <w:rsid w:val="00AF6801"/>
    <w:rsid w:val="00AF6886"/>
    <w:rsid w:val="00AF732F"/>
    <w:rsid w:val="00AF751C"/>
    <w:rsid w:val="00AF7DF5"/>
    <w:rsid w:val="00B00DC6"/>
    <w:rsid w:val="00B00EC4"/>
    <w:rsid w:val="00B012E2"/>
    <w:rsid w:val="00B02BE7"/>
    <w:rsid w:val="00B035E3"/>
    <w:rsid w:val="00B0376F"/>
    <w:rsid w:val="00B0393D"/>
    <w:rsid w:val="00B04199"/>
    <w:rsid w:val="00B044B3"/>
    <w:rsid w:val="00B04AC7"/>
    <w:rsid w:val="00B06650"/>
    <w:rsid w:val="00B06837"/>
    <w:rsid w:val="00B0768A"/>
    <w:rsid w:val="00B1133D"/>
    <w:rsid w:val="00B119EA"/>
    <w:rsid w:val="00B11B53"/>
    <w:rsid w:val="00B11D80"/>
    <w:rsid w:val="00B13D6B"/>
    <w:rsid w:val="00B1417F"/>
    <w:rsid w:val="00B1501E"/>
    <w:rsid w:val="00B15D61"/>
    <w:rsid w:val="00B1718F"/>
    <w:rsid w:val="00B17439"/>
    <w:rsid w:val="00B20B9E"/>
    <w:rsid w:val="00B217AE"/>
    <w:rsid w:val="00B2212B"/>
    <w:rsid w:val="00B22FB6"/>
    <w:rsid w:val="00B23E75"/>
    <w:rsid w:val="00B2456B"/>
    <w:rsid w:val="00B246A3"/>
    <w:rsid w:val="00B24A24"/>
    <w:rsid w:val="00B24A42"/>
    <w:rsid w:val="00B25300"/>
    <w:rsid w:val="00B2596B"/>
    <w:rsid w:val="00B25A9E"/>
    <w:rsid w:val="00B25EED"/>
    <w:rsid w:val="00B26C49"/>
    <w:rsid w:val="00B30DB0"/>
    <w:rsid w:val="00B30EC6"/>
    <w:rsid w:val="00B3116D"/>
    <w:rsid w:val="00B33389"/>
    <w:rsid w:val="00B3391F"/>
    <w:rsid w:val="00B34662"/>
    <w:rsid w:val="00B3512E"/>
    <w:rsid w:val="00B35EAE"/>
    <w:rsid w:val="00B36497"/>
    <w:rsid w:val="00B365C5"/>
    <w:rsid w:val="00B36C7A"/>
    <w:rsid w:val="00B4020E"/>
    <w:rsid w:val="00B407C6"/>
    <w:rsid w:val="00B40B44"/>
    <w:rsid w:val="00B40D5C"/>
    <w:rsid w:val="00B41277"/>
    <w:rsid w:val="00B4179D"/>
    <w:rsid w:val="00B42F37"/>
    <w:rsid w:val="00B4537C"/>
    <w:rsid w:val="00B459E6"/>
    <w:rsid w:val="00B45FC6"/>
    <w:rsid w:val="00B468A6"/>
    <w:rsid w:val="00B4700D"/>
    <w:rsid w:val="00B47345"/>
    <w:rsid w:val="00B510CE"/>
    <w:rsid w:val="00B51113"/>
    <w:rsid w:val="00B514C3"/>
    <w:rsid w:val="00B51A15"/>
    <w:rsid w:val="00B52514"/>
    <w:rsid w:val="00B52695"/>
    <w:rsid w:val="00B5292D"/>
    <w:rsid w:val="00B53D83"/>
    <w:rsid w:val="00B54DC1"/>
    <w:rsid w:val="00B57258"/>
    <w:rsid w:val="00B573D5"/>
    <w:rsid w:val="00B6116F"/>
    <w:rsid w:val="00B62AF6"/>
    <w:rsid w:val="00B62BA4"/>
    <w:rsid w:val="00B62C3D"/>
    <w:rsid w:val="00B64802"/>
    <w:rsid w:val="00B64D5C"/>
    <w:rsid w:val="00B65934"/>
    <w:rsid w:val="00B664BE"/>
    <w:rsid w:val="00B6691F"/>
    <w:rsid w:val="00B67112"/>
    <w:rsid w:val="00B67D7D"/>
    <w:rsid w:val="00B712C8"/>
    <w:rsid w:val="00B71978"/>
    <w:rsid w:val="00B71F7B"/>
    <w:rsid w:val="00B729C1"/>
    <w:rsid w:val="00B73966"/>
    <w:rsid w:val="00B74501"/>
    <w:rsid w:val="00B74694"/>
    <w:rsid w:val="00B74C94"/>
    <w:rsid w:val="00B759A0"/>
    <w:rsid w:val="00B75B6A"/>
    <w:rsid w:val="00B760A7"/>
    <w:rsid w:val="00B76911"/>
    <w:rsid w:val="00B76A64"/>
    <w:rsid w:val="00B77197"/>
    <w:rsid w:val="00B7751A"/>
    <w:rsid w:val="00B80247"/>
    <w:rsid w:val="00B80D00"/>
    <w:rsid w:val="00B813DE"/>
    <w:rsid w:val="00B814AC"/>
    <w:rsid w:val="00B81BBE"/>
    <w:rsid w:val="00B823EB"/>
    <w:rsid w:val="00B828CE"/>
    <w:rsid w:val="00B82EB0"/>
    <w:rsid w:val="00B835AF"/>
    <w:rsid w:val="00B83C24"/>
    <w:rsid w:val="00B84538"/>
    <w:rsid w:val="00B8592C"/>
    <w:rsid w:val="00B8598E"/>
    <w:rsid w:val="00B86C27"/>
    <w:rsid w:val="00B90081"/>
    <w:rsid w:val="00B90B3A"/>
    <w:rsid w:val="00B90C07"/>
    <w:rsid w:val="00B917C0"/>
    <w:rsid w:val="00B9212F"/>
    <w:rsid w:val="00B92225"/>
    <w:rsid w:val="00B92CCD"/>
    <w:rsid w:val="00B92CF2"/>
    <w:rsid w:val="00B9601A"/>
    <w:rsid w:val="00B96157"/>
    <w:rsid w:val="00B97DEE"/>
    <w:rsid w:val="00BA08A2"/>
    <w:rsid w:val="00BA0ECE"/>
    <w:rsid w:val="00BA10B3"/>
    <w:rsid w:val="00BA2CFD"/>
    <w:rsid w:val="00BA3ED6"/>
    <w:rsid w:val="00BA4C81"/>
    <w:rsid w:val="00BA6F26"/>
    <w:rsid w:val="00BB01A0"/>
    <w:rsid w:val="00BB0A66"/>
    <w:rsid w:val="00BB1136"/>
    <w:rsid w:val="00BB1DCC"/>
    <w:rsid w:val="00BB20CE"/>
    <w:rsid w:val="00BB3D26"/>
    <w:rsid w:val="00BB45E3"/>
    <w:rsid w:val="00BB5145"/>
    <w:rsid w:val="00BB5872"/>
    <w:rsid w:val="00BB59BF"/>
    <w:rsid w:val="00BB6323"/>
    <w:rsid w:val="00BB6F61"/>
    <w:rsid w:val="00BC037F"/>
    <w:rsid w:val="00BC05A2"/>
    <w:rsid w:val="00BC0853"/>
    <w:rsid w:val="00BC0F38"/>
    <w:rsid w:val="00BC1660"/>
    <w:rsid w:val="00BC17CC"/>
    <w:rsid w:val="00BC1BFB"/>
    <w:rsid w:val="00BC1C2D"/>
    <w:rsid w:val="00BC1DFA"/>
    <w:rsid w:val="00BC210F"/>
    <w:rsid w:val="00BC24E9"/>
    <w:rsid w:val="00BC2B1A"/>
    <w:rsid w:val="00BC348C"/>
    <w:rsid w:val="00BC3CC3"/>
    <w:rsid w:val="00BC4B79"/>
    <w:rsid w:val="00BC4FEE"/>
    <w:rsid w:val="00BC53CB"/>
    <w:rsid w:val="00BC5E25"/>
    <w:rsid w:val="00BC6E79"/>
    <w:rsid w:val="00BC6FAF"/>
    <w:rsid w:val="00BC7B15"/>
    <w:rsid w:val="00BD01FA"/>
    <w:rsid w:val="00BD06C0"/>
    <w:rsid w:val="00BD074C"/>
    <w:rsid w:val="00BD0F8C"/>
    <w:rsid w:val="00BD2A94"/>
    <w:rsid w:val="00BD42EC"/>
    <w:rsid w:val="00BD4889"/>
    <w:rsid w:val="00BD49BA"/>
    <w:rsid w:val="00BD5890"/>
    <w:rsid w:val="00BD6B2B"/>
    <w:rsid w:val="00BD7BAE"/>
    <w:rsid w:val="00BD7EAB"/>
    <w:rsid w:val="00BE0217"/>
    <w:rsid w:val="00BE1D9C"/>
    <w:rsid w:val="00BE3180"/>
    <w:rsid w:val="00BE4C8F"/>
    <w:rsid w:val="00BE4FE8"/>
    <w:rsid w:val="00BE5636"/>
    <w:rsid w:val="00BE606C"/>
    <w:rsid w:val="00BE65DC"/>
    <w:rsid w:val="00BE790B"/>
    <w:rsid w:val="00BF1282"/>
    <w:rsid w:val="00BF1CAB"/>
    <w:rsid w:val="00BF1F89"/>
    <w:rsid w:val="00BF2860"/>
    <w:rsid w:val="00BF2AD0"/>
    <w:rsid w:val="00BF3285"/>
    <w:rsid w:val="00BF425A"/>
    <w:rsid w:val="00BF59A0"/>
    <w:rsid w:val="00BF7290"/>
    <w:rsid w:val="00BF7568"/>
    <w:rsid w:val="00C00425"/>
    <w:rsid w:val="00C010AC"/>
    <w:rsid w:val="00C019B5"/>
    <w:rsid w:val="00C0230A"/>
    <w:rsid w:val="00C02897"/>
    <w:rsid w:val="00C03798"/>
    <w:rsid w:val="00C042D2"/>
    <w:rsid w:val="00C0499E"/>
    <w:rsid w:val="00C051A8"/>
    <w:rsid w:val="00C062B6"/>
    <w:rsid w:val="00C0643D"/>
    <w:rsid w:val="00C0719D"/>
    <w:rsid w:val="00C07ABC"/>
    <w:rsid w:val="00C07B24"/>
    <w:rsid w:val="00C100B2"/>
    <w:rsid w:val="00C11978"/>
    <w:rsid w:val="00C11C97"/>
    <w:rsid w:val="00C11CCD"/>
    <w:rsid w:val="00C12443"/>
    <w:rsid w:val="00C12CC2"/>
    <w:rsid w:val="00C12CE9"/>
    <w:rsid w:val="00C135D5"/>
    <w:rsid w:val="00C141D1"/>
    <w:rsid w:val="00C1542F"/>
    <w:rsid w:val="00C16652"/>
    <w:rsid w:val="00C202F5"/>
    <w:rsid w:val="00C205F0"/>
    <w:rsid w:val="00C20A3A"/>
    <w:rsid w:val="00C20B02"/>
    <w:rsid w:val="00C20EF3"/>
    <w:rsid w:val="00C21245"/>
    <w:rsid w:val="00C2248D"/>
    <w:rsid w:val="00C22577"/>
    <w:rsid w:val="00C23779"/>
    <w:rsid w:val="00C248E7"/>
    <w:rsid w:val="00C24C9A"/>
    <w:rsid w:val="00C24E03"/>
    <w:rsid w:val="00C268C8"/>
    <w:rsid w:val="00C27944"/>
    <w:rsid w:val="00C279C9"/>
    <w:rsid w:val="00C3000F"/>
    <w:rsid w:val="00C30295"/>
    <w:rsid w:val="00C317A5"/>
    <w:rsid w:val="00C3201A"/>
    <w:rsid w:val="00C32156"/>
    <w:rsid w:val="00C327E1"/>
    <w:rsid w:val="00C35FE6"/>
    <w:rsid w:val="00C363AA"/>
    <w:rsid w:val="00C369D7"/>
    <w:rsid w:val="00C36C28"/>
    <w:rsid w:val="00C3724D"/>
    <w:rsid w:val="00C377DB"/>
    <w:rsid w:val="00C37FC5"/>
    <w:rsid w:val="00C40517"/>
    <w:rsid w:val="00C40D70"/>
    <w:rsid w:val="00C4157C"/>
    <w:rsid w:val="00C4188D"/>
    <w:rsid w:val="00C41E3F"/>
    <w:rsid w:val="00C42358"/>
    <w:rsid w:val="00C43DB7"/>
    <w:rsid w:val="00C443D7"/>
    <w:rsid w:val="00C44CD3"/>
    <w:rsid w:val="00C45497"/>
    <w:rsid w:val="00C45586"/>
    <w:rsid w:val="00C45625"/>
    <w:rsid w:val="00C45FC0"/>
    <w:rsid w:val="00C46BAC"/>
    <w:rsid w:val="00C47192"/>
    <w:rsid w:val="00C4725A"/>
    <w:rsid w:val="00C4758A"/>
    <w:rsid w:val="00C50218"/>
    <w:rsid w:val="00C50D1B"/>
    <w:rsid w:val="00C5196B"/>
    <w:rsid w:val="00C52F3F"/>
    <w:rsid w:val="00C53C99"/>
    <w:rsid w:val="00C5417C"/>
    <w:rsid w:val="00C5417E"/>
    <w:rsid w:val="00C55091"/>
    <w:rsid w:val="00C55ED2"/>
    <w:rsid w:val="00C56261"/>
    <w:rsid w:val="00C562D9"/>
    <w:rsid w:val="00C571DD"/>
    <w:rsid w:val="00C5758A"/>
    <w:rsid w:val="00C577F0"/>
    <w:rsid w:val="00C61699"/>
    <w:rsid w:val="00C6171F"/>
    <w:rsid w:val="00C61EF6"/>
    <w:rsid w:val="00C6241A"/>
    <w:rsid w:val="00C626D4"/>
    <w:rsid w:val="00C6298E"/>
    <w:rsid w:val="00C63DD5"/>
    <w:rsid w:val="00C6483C"/>
    <w:rsid w:val="00C66B6E"/>
    <w:rsid w:val="00C66E61"/>
    <w:rsid w:val="00C67F74"/>
    <w:rsid w:val="00C67FF1"/>
    <w:rsid w:val="00C705BC"/>
    <w:rsid w:val="00C7081C"/>
    <w:rsid w:val="00C7087E"/>
    <w:rsid w:val="00C7182A"/>
    <w:rsid w:val="00C738EA"/>
    <w:rsid w:val="00C7390A"/>
    <w:rsid w:val="00C74BC4"/>
    <w:rsid w:val="00C75149"/>
    <w:rsid w:val="00C7561E"/>
    <w:rsid w:val="00C75736"/>
    <w:rsid w:val="00C75D19"/>
    <w:rsid w:val="00C7658E"/>
    <w:rsid w:val="00C776EC"/>
    <w:rsid w:val="00C804AA"/>
    <w:rsid w:val="00C8329C"/>
    <w:rsid w:val="00C839B5"/>
    <w:rsid w:val="00C8504C"/>
    <w:rsid w:val="00C85B2E"/>
    <w:rsid w:val="00C87184"/>
    <w:rsid w:val="00C8758D"/>
    <w:rsid w:val="00C878E7"/>
    <w:rsid w:val="00C87C97"/>
    <w:rsid w:val="00C87D7B"/>
    <w:rsid w:val="00C903B0"/>
    <w:rsid w:val="00C90A8F"/>
    <w:rsid w:val="00C90B1D"/>
    <w:rsid w:val="00C90F97"/>
    <w:rsid w:val="00C91746"/>
    <w:rsid w:val="00C92089"/>
    <w:rsid w:val="00C93A10"/>
    <w:rsid w:val="00C94A12"/>
    <w:rsid w:val="00C951C6"/>
    <w:rsid w:val="00C956B1"/>
    <w:rsid w:val="00C95E87"/>
    <w:rsid w:val="00C965F2"/>
    <w:rsid w:val="00C974A5"/>
    <w:rsid w:val="00C9762F"/>
    <w:rsid w:val="00C977C1"/>
    <w:rsid w:val="00C97D64"/>
    <w:rsid w:val="00CA02B5"/>
    <w:rsid w:val="00CA0A54"/>
    <w:rsid w:val="00CA0D04"/>
    <w:rsid w:val="00CA1F9C"/>
    <w:rsid w:val="00CA267C"/>
    <w:rsid w:val="00CA36F7"/>
    <w:rsid w:val="00CA455E"/>
    <w:rsid w:val="00CA5BEE"/>
    <w:rsid w:val="00CA5EA8"/>
    <w:rsid w:val="00CA6AB4"/>
    <w:rsid w:val="00CA74F2"/>
    <w:rsid w:val="00CA7601"/>
    <w:rsid w:val="00CB0769"/>
    <w:rsid w:val="00CB1319"/>
    <w:rsid w:val="00CB1E3E"/>
    <w:rsid w:val="00CB2997"/>
    <w:rsid w:val="00CB2D07"/>
    <w:rsid w:val="00CB3FB8"/>
    <w:rsid w:val="00CB58AD"/>
    <w:rsid w:val="00CB5928"/>
    <w:rsid w:val="00CB5A41"/>
    <w:rsid w:val="00CB7151"/>
    <w:rsid w:val="00CB75B4"/>
    <w:rsid w:val="00CB798C"/>
    <w:rsid w:val="00CC1A5A"/>
    <w:rsid w:val="00CC334F"/>
    <w:rsid w:val="00CC37A1"/>
    <w:rsid w:val="00CC3E54"/>
    <w:rsid w:val="00CC5726"/>
    <w:rsid w:val="00CC62A5"/>
    <w:rsid w:val="00CC66F7"/>
    <w:rsid w:val="00CC6756"/>
    <w:rsid w:val="00CC6A88"/>
    <w:rsid w:val="00CC73F1"/>
    <w:rsid w:val="00CD0B0E"/>
    <w:rsid w:val="00CD0F61"/>
    <w:rsid w:val="00CD0FB6"/>
    <w:rsid w:val="00CD17D0"/>
    <w:rsid w:val="00CD18D2"/>
    <w:rsid w:val="00CD253A"/>
    <w:rsid w:val="00CD272E"/>
    <w:rsid w:val="00CD30D9"/>
    <w:rsid w:val="00CD32D9"/>
    <w:rsid w:val="00CD382A"/>
    <w:rsid w:val="00CD3AA6"/>
    <w:rsid w:val="00CD54DF"/>
    <w:rsid w:val="00CD5946"/>
    <w:rsid w:val="00CD6128"/>
    <w:rsid w:val="00CD666E"/>
    <w:rsid w:val="00CD6D14"/>
    <w:rsid w:val="00CD726D"/>
    <w:rsid w:val="00CD7929"/>
    <w:rsid w:val="00CD79C3"/>
    <w:rsid w:val="00CD7E08"/>
    <w:rsid w:val="00CE0B3C"/>
    <w:rsid w:val="00CE0E48"/>
    <w:rsid w:val="00CE1530"/>
    <w:rsid w:val="00CE1553"/>
    <w:rsid w:val="00CE31B8"/>
    <w:rsid w:val="00CE34F7"/>
    <w:rsid w:val="00CE35C5"/>
    <w:rsid w:val="00CE4BD5"/>
    <w:rsid w:val="00CE5C5F"/>
    <w:rsid w:val="00CE6114"/>
    <w:rsid w:val="00CE68C1"/>
    <w:rsid w:val="00CE6BD9"/>
    <w:rsid w:val="00CE6E09"/>
    <w:rsid w:val="00CE6F65"/>
    <w:rsid w:val="00CE7D55"/>
    <w:rsid w:val="00CF10DD"/>
    <w:rsid w:val="00CF19F3"/>
    <w:rsid w:val="00CF24DE"/>
    <w:rsid w:val="00CF262E"/>
    <w:rsid w:val="00CF4B59"/>
    <w:rsid w:val="00CF6271"/>
    <w:rsid w:val="00CF703B"/>
    <w:rsid w:val="00CF73F2"/>
    <w:rsid w:val="00CF7898"/>
    <w:rsid w:val="00CF7CF8"/>
    <w:rsid w:val="00D02735"/>
    <w:rsid w:val="00D02A6A"/>
    <w:rsid w:val="00D02DBE"/>
    <w:rsid w:val="00D02FCE"/>
    <w:rsid w:val="00D03667"/>
    <w:rsid w:val="00D0433B"/>
    <w:rsid w:val="00D056EB"/>
    <w:rsid w:val="00D06233"/>
    <w:rsid w:val="00D074ED"/>
    <w:rsid w:val="00D107A2"/>
    <w:rsid w:val="00D112CF"/>
    <w:rsid w:val="00D117CE"/>
    <w:rsid w:val="00D15010"/>
    <w:rsid w:val="00D151FA"/>
    <w:rsid w:val="00D1671A"/>
    <w:rsid w:val="00D17A09"/>
    <w:rsid w:val="00D21413"/>
    <w:rsid w:val="00D22A27"/>
    <w:rsid w:val="00D22A69"/>
    <w:rsid w:val="00D22F07"/>
    <w:rsid w:val="00D252DD"/>
    <w:rsid w:val="00D255AA"/>
    <w:rsid w:val="00D25C32"/>
    <w:rsid w:val="00D25D23"/>
    <w:rsid w:val="00D2635C"/>
    <w:rsid w:val="00D26CC9"/>
    <w:rsid w:val="00D2715C"/>
    <w:rsid w:val="00D3049B"/>
    <w:rsid w:val="00D306DC"/>
    <w:rsid w:val="00D3079B"/>
    <w:rsid w:val="00D324E6"/>
    <w:rsid w:val="00D3290A"/>
    <w:rsid w:val="00D32FFE"/>
    <w:rsid w:val="00D34B98"/>
    <w:rsid w:val="00D35AA1"/>
    <w:rsid w:val="00D36700"/>
    <w:rsid w:val="00D36A12"/>
    <w:rsid w:val="00D375B5"/>
    <w:rsid w:val="00D37EA0"/>
    <w:rsid w:val="00D408D9"/>
    <w:rsid w:val="00D40A31"/>
    <w:rsid w:val="00D40B32"/>
    <w:rsid w:val="00D41077"/>
    <w:rsid w:val="00D410B2"/>
    <w:rsid w:val="00D41956"/>
    <w:rsid w:val="00D42462"/>
    <w:rsid w:val="00D4366C"/>
    <w:rsid w:val="00D43B78"/>
    <w:rsid w:val="00D43DFC"/>
    <w:rsid w:val="00D454C5"/>
    <w:rsid w:val="00D4570F"/>
    <w:rsid w:val="00D466D2"/>
    <w:rsid w:val="00D467F5"/>
    <w:rsid w:val="00D46A9D"/>
    <w:rsid w:val="00D46DB9"/>
    <w:rsid w:val="00D46E36"/>
    <w:rsid w:val="00D50458"/>
    <w:rsid w:val="00D50BCD"/>
    <w:rsid w:val="00D511D4"/>
    <w:rsid w:val="00D51CC5"/>
    <w:rsid w:val="00D527D5"/>
    <w:rsid w:val="00D54995"/>
    <w:rsid w:val="00D5606C"/>
    <w:rsid w:val="00D57373"/>
    <w:rsid w:val="00D5739A"/>
    <w:rsid w:val="00D57635"/>
    <w:rsid w:val="00D6073A"/>
    <w:rsid w:val="00D60C7D"/>
    <w:rsid w:val="00D6204F"/>
    <w:rsid w:val="00D6272A"/>
    <w:rsid w:val="00D62980"/>
    <w:rsid w:val="00D63394"/>
    <w:rsid w:val="00D636BE"/>
    <w:rsid w:val="00D650F5"/>
    <w:rsid w:val="00D70370"/>
    <w:rsid w:val="00D711F4"/>
    <w:rsid w:val="00D7238F"/>
    <w:rsid w:val="00D7266B"/>
    <w:rsid w:val="00D72ACB"/>
    <w:rsid w:val="00D732BA"/>
    <w:rsid w:val="00D73E84"/>
    <w:rsid w:val="00D7420E"/>
    <w:rsid w:val="00D75926"/>
    <w:rsid w:val="00D7691A"/>
    <w:rsid w:val="00D76A19"/>
    <w:rsid w:val="00D7714C"/>
    <w:rsid w:val="00D77B63"/>
    <w:rsid w:val="00D8014B"/>
    <w:rsid w:val="00D801C2"/>
    <w:rsid w:val="00D806CE"/>
    <w:rsid w:val="00D80DAE"/>
    <w:rsid w:val="00D81103"/>
    <w:rsid w:val="00D81554"/>
    <w:rsid w:val="00D81C0B"/>
    <w:rsid w:val="00D82414"/>
    <w:rsid w:val="00D82BF5"/>
    <w:rsid w:val="00D82FAF"/>
    <w:rsid w:val="00D834EA"/>
    <w:rsid w:val="00D8487C"/>
    <w:rsid w:val="00D84C3F"/>
    <w:rsid w:val="00D861EA"/>
    <w:rsid w:val="00D865FD"/>
    <w:rsid w:val="00D87891"/>
    <w:rsid w:val="00D91AB3"/>
    <w:rsid w:val="00D93386"/>
    <w:rsid w:val="00D9390F"/>
    <w:rsid w:val="00D9529E"/>
    <w:rsid w:val="00D959D0"/>
    <w:rsid w:val="00D95C79"/>
    <w:rsid w:val="00D96251"/>
    <w:rsid w:val="00D967C1"/>
    <w:rsid w:val="00D97387"/>
    <w:rsid w:val="00DA037D"/>
    <w:rsid w:val="00DA1BB3"/>
    <w:rsid w:val="00DA2F96"/>
    <w:rsid w:val="00DA33C3"/>
    <w:rsid w:val="00DA34C3"/>
    <w:rsid w:val="00DA3C26"/>
    <w:rsid w:val="00DA47A4"/>
    <w:rsid w:val="00DA4B12"/>
    <w:rsid w:val="00DA4D7B"/>
    <w:rsid w:val="00DA4F52"/>
    <w:rsid w:val="00DA530E"/>
    <w:rsid w:val="00DA572B"/>
    <w:rsid w:val="00DA661A"/>
    <w:rsid w:val="00DA711A"/>
    <w:rsid w:val="00DB0A81"/>
    <w:rsid w:val="00DB0F8D"/>
    <w:rsid w:val="00DB1C84"/>
    <w:rsid w:val="00DB2184"/>
    <w:rsid w:val="00DB2C40"/>
    <w:rsid w:val="00DB2E56"/>
    <w:rsid w:val="00DB2FC1"/>
    <w:rsid w:val="00DB34BB"/>
    <w:rsid w:val="00DB371E"/>
    <w:rsid w:val="00DB40DF"/>
    <w:rsid w:val="00DB44C5"/>
    <w:rsid w:val="00DB5F2B"/>
    <w:rsid w:val="00DB607C"/>
    <w:rsid w:val="00DB68EB"/>
    <w:rsid w:val="00DB6A66"/>
    <w:rsid w:val="00DB70DE"/>
    <w:rsid w:val="00DB74CA"/>
    <w:rsid w:val="00DB76CD"/>
    <w:rsid w:val="00DB7925"/>
    <w:rsid w:val="00DB7D03"/>
    <w:rsid w:val="00DC0526"/>
    <w:rsid w:val="00DC08A0"/>
    <w:rsid w:val="00DC1019"/>
    <w:rsid w:val="00DC1359"/>
    <w:rsid w:val="00DC1ECC"/>
    <w:rsid w:val="00DC2803"/>
    <w:rsid w:val="00DC2DC1"/>
    <w:rsid w:val="00DC3AC7"/>
    <w:rsid w:val="00DC3CD6"/>
    <w:rsid w:val="00DC4DBF"/>
    <w:rsid w:val="00DC56F1"/>
    <w:rsid w:val="00DC573B"/>
    <w:rsid w:val="00DC5B00"/>
    <w:rsid w:val="00DC6141"/>
    <w:rsid w:val="00DD068A"/>
    <w:rsid w:val="00DD1ACA"/>
    <w:rsid w:val="00DD1D6D"/>
    <w:rsid w:val="00DD1F09"/>
    <w:rsid w:val="00DD2808"/>
    <w:rsid w:val="00DD2C76"/>
    <w:rsid w:val="00DD4DF5"/>
    <w:rsid w:val="00DD53D2"/>
    <w:rsid w:val="00DD54A4"/>
    <w:rsid w:val="00DD56B1"/>
    <w:rsid w:val="00DE1150"/>
    <w:rsid w:val="00DE29EF"/>
    <w:rsid w:val="00DE31AC"/>
    <w:rsid w:val="00DE33CF"/>
    <w:rsid w:val="00DE3B55"/>
    <w:rsid w:val="00DE3DA1"/>
    <w:rsid w:val="00DE4238"/>
    <w:rsid w:val="00DE4A3D"/>
    <w:rsid w:val="00DE4A94"/>
    <w:rsid w:val="00DE4D30"/>
    <w:rsid w:val="00DE5195"/>
    <w:rsid w:val="00DE6C53"/>
    <w:rsid w:val="00DE783B"/>
    <w:rsid w:val="00DE784D"/>
    <w:rsid w:val="00DF0532"/>
    <w:rsid w:val="00DF097D"/>
    <w:rsid w:val="00DF0BDF"/>
    <w:rsid w:val="00DF0C0F"/>
    <w:rsid w:val="00DF11D6"/>
    <w:rsid w:val="00DF1D5A"/>
    <w:rsid w:val="00DF1F48"/>
    <w:rsid w:val="00DF1FF4"/>
    <w:rsid w:val="00DF30A5"/>
    <w:rsid w:val="00DF3491"/>
    <w:rsid w:val="00DF4408"/>
    <w:rsid w:val="00DF48A0"/>
    <w:rsid w:val="00DF5897"/>
    <w:rsid w:val="00DF65C0"/>
    <w:rsid w:val="00DF69AA"/>
    <w:rsid w:val="00DF7406"/>
    <w:rsid w:val="00DF7565"/>
    <w:rsid w:val="00DF79AB"/>
    <w:rsid w:val="00DF7C3D"/>
    <w:rsid w:val="00DF7EE1"/>
    <w:rsid w:val="00E0204D"/>
    <w:rsid w:val="00E040AB"/>
    <w:rsid w:val="00E04ECD"/>
    <w:rsid w:val="00E064AF"/>
    <w:rsid w:val="00E07844"/>
    <w:rsid w:val="00E07E18"/>
    <w:rsid w:val="00E10430"/>
    <w:rsid w:val="00E1085B"/>
    <w:rsid w:val="00E11021"/>
    <w:rsid w:val="00E11E2F"/>
    <w:rsid w:val="00E11FD4"/>
    <w:rsid w:val="00E125D3"/>
    <w:rsid w:val="00E14197"/>
    <w:rsid w:val="00E14BB2"/>
    <w:rsid w:val="00E15003"/>
    <w:rsid w:val="00E151A1"/>
    <w:rsid w:val="00E15475"/>
    <w:rsid w:val="00E15726"/>
    <w:rsid w:val="00E15837"/>
    <w:rsid w:val="00E15F7F"/>
    <w:rsid w:val="00E1625F"/>
    <w:rsid w:val="00E16BCB"/>
    <w:rsid w:val="00E17E46"/>
    <w:rsid w:val="00E2080C"/>
    <w:rsid w:val="00E2080F"/>
    <w:rsid w:val="00E20D38"/>
    <w:rsid w:val="00E2121F"/>
    <w:rsid w:val="00E22D4E"/>
    <w:rsid w:val="00E256FE"/>
    <w:rsid w:val="00E25CAB"/>
    <w:rsid w:val="00E26A89"/>
    <w:rsid w:val="00E26D47"/>
    <w:rsid w:val="00E2749C"/>
    <w:rsid w:val="00E27DBE"/>
    <w:rsid w:val="00E30035"/>
    <w:rsid w:val="00E3071C"/>
    <w:rsid w:val="00E31892"/>
    <w:rsid w:val="00E31E10"/>
    <w:rsid w:val="00E31FE4"/>
    <w:rsid w:val="00E3208C"/>
    <w:rsid w:val="00E32E7D"/>
    <w:rsid w:val="00E33C10"/>
    <w:rsid w:val="00E3407B"/>
    <w:rsid w:val="00E34229"/>
    <w:rsid w:val="00E34C45"/>
    <w:rsid w:val="00E35C38"/>
    <w:rsid w:val="00E35EAE"/>
    <w:rsid w:val="00E3733B"/>
    <w:rsid w:val="00E402FB"/>
    <w:rsid w:val="00E461F5"/>
    <w:rsid w:val="00E47A10"/>
    <w:rsid w:val="00E47DE1"/>
    <w:rsid w:val="00E47E29"/>
    <w:rsid w:val="00E5187E"/>
    <w:rsid w:val="00E527D9"/>
    <w:rsid w:val="00E539C2"/>
    <w:rsid w:val="00E54057"/>
    <w:rsid w:val="00E550EC"/>
    <w:rsid w:val="00E57060"/>
    <w:rsid w:val="00E576C2"/>
    <w:rsid w:val="00E57BBC"/>
    <w:rsid w:val="00E57DBA"/>
    <w:rsid w:val="00E61122"/>
    <w:rsid w:val="00E61AC1"/>
    <w:rsid w:val="00E61B9E"/>
    <w:rsid w:val="00E62078"/>
    <w:rsid w:val="00E624D1"/>
    <w:rsid w:val="00E6299F"/>
    <w:rsid w:val="00E6353D"/>
    <w:rsid w:val="00E64320"/>
    <w:rsid w:val="00E65783"/>
    <w:rsid w:val="00E65FD2"/>
    <w:rsid w:val="00E66316"/>
    <w:rsid w:val="00E664AE"/>
    <w:rsid w:val="00E66788"/>
    <w:rsid w:val="00E67819"/>
    <w:rsid w:val="00E7044A"/>
    <w:rsid w:val="00E71B9D"/>
    <w:rsid w:val="00E72371"/>
    <w:rsid w:val="00E7328E"/>
    <w:rsid w:val="00E73A19"/>
    <w:rsid w:val="00E757E2"/>
    <w:rsid w:val="00E75FFE"/>
    <w:rsid w:val="00E76148"/>
    <w:rsid w:val="00E770C2"/>
    <w:rsid w:val="00E77592"/>
    <w:rsid w:val="00E77CBD"/>
    <w:rsid w:val="00E82266"/>
    <w:rsid w:val="00E82720"/>
    <w:rsid w:val="00E834E7"/>
    <w:rsid w:val="00E83F7E"/>
    <w:rsid w:val="00E847A5"/>
    <w:rsid w:val="00E84968"/>
    <w:rsid w:val="00E85EBD"/>
    <w:rsid w:val="00E85FEE"/>
    <w:rsid w:val="00E8643E"/>
    <w:rsid w:val="00E875A1"/>
    <w:rsid w:val="00E90D54"/>
    <w:rsid w:val="00E915B9"/>
    <w:rsid w:val="00E919A8"/>
    <w:rsid w:val="00E91D9B"/>
    <w:rsid w:val="00E92159"/>
    <w:rsid w:val="00E9260F"/>
    <w:rsid w:val="00E9375C"/>
    <w:rsid w:val="00E93C0D"/>
    <w:rsid w:val="00E93FAB"/>
    <w:rsid w:val="00E942D6"/>
    <w:rsid w:val="00E94800"/>
    <w:rsid w:val="00E9730A"/>
    <w:rsid w:val="00E97AB3"/>
    <w:rsid w:val="00EA2CD2"/>
    <w:rsid w:val="00EA4E23"/>
    <w:rsid w:val="00EA5D17"/>
    <w:rsid w:val="00EA68F7"/>
    <w:rsid w:val="00EA708E"/>
    <w:rsid w:val="00EA74F7"/>
    <w:rsid w:val="00EA75F3"/>
    <w:rsid w:val="00EB02F7"/>
    <w:rsid w:val="00EB068B"/>
    <w:rsid w:val="00EB0BE3"/>
    <w:rsid w:val="00EB1693"/>
    <w:rsid w:val="00EB23D8"/>
    <w:rsid w:val="00EB247E"/>
    <w:rsid w:val="00EB2629"/>
    <w:rsid w:val="00EB2AD4"/>
    <w:rsid w:val="00EB375A"/>
    <w:rsid w:val="00EB4683"/>
    <w:rsid w:val="00EB4F74"/>
    <w:rsid w:val="00EB50DB"/>
    <w:rsid w:val="00EB5E74"/>
    <w:rsid w:val="00EB6807"/>
    <w:rsid w:val="00EB6AFF"/>
    <w:rsid w:val="00EB75AB"/>
    <w:rsid w:val="00EB7897"/>
    <w:rsid w:val="00EB7E1E"/>
    <w:rsid w:val="00EC100A"/>
    <w:rsid w:val="00EC1243"/>
    <w:rsid w:val="00EC1585"/>
    <w:rsid w:val="00EC171F"/>
    <w:rsid w:val="00EC32E6"/>
    <w:rsid w:val="00EC3C81"/>
    <w:rsid w:val="00EC4F9B"/>
    <w:rsid w:val="00EC54FF"/>
    <w:rsid w:val="00EC606C"/>
    <w:rsid w:val="00EC6B76"/>
    <w:rsid w:val="00EC75D5"/>
    <w:rsid w:val="00EC7A28"/>
    <w:rsid w:val="00EC7A66"/>
    <w:rsid w:val="00EC7CF9"/>
    <w:rsid w:val="00ED09B2"/>
    <w:rsid w:val="00ED11CE"/>
    <w:rsid w:val="00ED22F6"/>
    <w:rsid w:val="00ED3CE9"/>
    <w:rsid w:val="00ED3FD3"/>
    <w:rsid w:val="00ED470C"/>
    <w:rsid w:val="00ED5C57"/>
    <w:rsid w:val="00ED6116"/>
    <w:rsid w:val="00ED6493"/>
    <w:rsid w:val="00ED7A25"/>
    <w:rsid w:val="00EE0D00"/>
    <w:rsid w:val="00EE0E9A"/>
    <w:rsid w:val="00EE1477"/>
    <w:rsid w:val="00EE19BA"/>
    <w:rsid w:val="00EE1F87"/>
    <w:rsid w:val="00EE2F8A"/>
    <w:rsid w:val="00EE31DB"/>
    <w:rsid w:val="00EE343F"/>
    <w:rsid w:val="00EE3724"/>
    <w:rsid w:val="00EE3C7C"/>
    <w:rsid w:val="00EE47F0"/>
    <w:rsid w:val="00EE778F"/>
    <w:rsid w:val="00EE7C3F"/>
    <w:rsid w:val="00EF13A0"/>
    <w:rsid w:val="00EF3F7D"/>
    <w:rsid w:val="00EF409D"/>
    <w:rsid w:val="00EF47FC"/>
    <w:rsid w:val="00EF4B0B"/>
    <w:rsid w:val="00EF4C7A"/>
    <w:rsid w:val="00EF610A"/>
    <w:rsid w:val="00EF7140"/>
    <w:rsid w:val="00EF7DD4"/>
    <w:rsid w:val="00F000E9"/>
    <w:rsid w:val="00F0087B"/>
    <w:rsid w:val="00F00D32"/>
    <w:rsid w:val="00F0145C"/>
    <w:rsid w:val="00F01546"/>
    <w:rsid w:val="00F01878"/>
    <w:rsid w:val="00F01973"/>
    <w:rsid w:val="00F01FBA"/>
    <w:rsid w:val="00F024D8"/>
    <w:rsid w:val="00F038BA"/>
    <w:rsid w:val="00F03BFB"/>
    <w:rsid w:val="00F05107"/>
    <w:rsid w:val="00F05761"/>
    <w:rsid w:val="00F05E87"/>
    <w:rsid w:val="00F062E1"/>
    <w:rsid w:val="00F0691D"/>
    <w:rsid w:val="00F06CBB"/>
    <w:rsid w:val="00F075C1"/>
    <w:rsid w:val="00F07644"/>
    <w:rsid w:val="00F11978"/>
    <w:rsid w:val="00F12148"/>
    <w:rsid w:val="00F12E12"/>
    <w:rsid w:val="00F12FA8"/>
    <w:rsid w:val="00F16AD5"/>
    <w:rsid w:val="00F16B6D"/>
    <w:rsid w:val="00F16D08"/>
    <w:rsid w:val="00F17CB3"/>
    <w:rsid w:val="00F20D69"/>
    <w:rsid w:val="00F21007"/>
    <w:rsid w:val="00F211CC"/>
    <w:rsid w:val="00F21219"/>
    <w:rsid w:val="00F21873"/>
    <w:rsid w:val="00F21F1B"/>
    <w:rsid w:val="00F22860"/>
    <w:rsid w:val="00F22ED6"/>
    <w:rsid w:val="00F22F95"/>
    <w:rsid w:val="00F235CA"/>
    <w:rsid w:val="00F23D16"/>
    <w:rsid w:val="00F2416E"/>
    <w:rsid w:val="00F2481B"/>
    <w:rsid w:val="00F2501B"/>
    <w:rsid w:val="00F252C7"/>
    <w:rsid w:val="00F255EE"/>
    <w:rsid w:val="00F25D0E"/>
    <w:rsid w:val="00F310C9"/>
    <w:rsid w:val="00F31780"/>
    <w:rsid w:val="00F32FE0"/>
    <w:rsid w:val="00F33C1A"/>
    <w:rsid w:val="00F340FD"/>
    <w:rsid w:val="00F346AD"/>
    <w:rsid w:val="00F34F1C"/>
    <w:rsid w:val="00F355A3"/>
    <w:rsid w:val="00F40056"/>
    <w:rsid w:val="00F40245"/>
    <w:rsid w:val="00F428DB"/>
    <w:rsid w:val="00F43294"/>
    <w:rsid w:val="00F4395A"/>
    <w:rsid w:val="00F43E6E"/>
    <w:rsid w:val="00F4479B"/>
    <w:rsid w:val="00F44A97"/>
    <w:rsid w:val="00F44BF6"/>
    <w:rsid w:val="00F44D7F"/>
    <w:rsid w:val="00F4547D"/>
    <w:rsid w:val="00F45A25"/>
    <w:rsid w:val="00F45CBD"/>
    <w:rsid w:val="00F46422"/>
    <w:rsid w:val="00F4785C"/>
    <w:rsid w:val="00F50040"/>
    <w:rsid w:val="00F5061A"/>
    <w:rsid w:val="00F50A26"/>
    <w:rsid w:val="00F51535"/>
    <w:rsid w:val="00F52172"/>
    <w:rsid w:val="00F5309A"/>
    <w:rsid w:val="00F5417C"/>
    <w:rsid w:val="00F54D32"/>
    <w:rsid w:val="00F5519E"/>
    <w:rsid w:val="00F55B3D"/>
    <w:rsid w:val="00F55BF9"/>
    <w:rsid w:val="00F55C4B"/>
    <w:rsid w:val="00F56B0B"/>
    <w:rsid w:val="00F56F34"/>
    <w:rsid w:val="00F57512"/>
    <w:rsid w:val="00F576DE"/>
    <w:rsid w:val="00F62319"/>
    <w:rsid w:val="00F62E2A"/>
    <w:rsid w:val="00F62E49"/>
    <w:rsid w:val="00F62E62"/>
    <w:rsid w:val="00F63033"/>
    <w:rsid w:val="00F63700"/>
    <w:rsid w:val="00F6411B"/>
    <w:rsid w:val="00F641F7"/>
    <w:rsid w:val="00F64B91"/>
    <w:rsid w:val="00F6593D"/>
    <w:rsid w:val="00F65F06"/>
    <w:rsid w:val="00F66AA1"/>
    <w:rsid w:val="00F66C1D"/>
    <w:rsid w:val="00F66D36"/>
    <w:rsid w:val="00F66EFF"/>
    <w:rsid w:val="00F6758B"/>
    <w:rsid w:val="00F70411"/>
    <w:rsid w:val="00F70AC9"/>
    <w:rsid w:val="00F71589"/>
    <w:rsid w:val="00F71BA7"/>
    <w:rsid w:val="00F722C5"/>
    <w:rsid w:val="00F724D9"/>
    <w:rsid w:val="00F72B4D"/>
    <w:rsid w:val="00F73E4B"/>
    <w:rsid w:val="00F751E9"/>
    <w:rsid w:val="00F761B4"/>
    <w:rsid w:val="00F763AF"/>
    <w:rsid w:val="00F7667E"/>
    <w:rsid w:val="00F7688D"/>
    <w:rsid w:val="00F76A66"/>
    <w:rsid w:val="00F77A72"/>
    <w:rsid w:val="00F77CAF"/>
    <w:rsid w:val="00F80616"/>
    <w:rsid w:val="00F80E88"/>
    <w:rsid w:val="00F81664"/>
    <w:rsid w:val="00F82E25"/>
    <w:rsid w:val="00F83219"/>
    <w:rsid w:val="00F83CBB"/>
    <w:rsid w:val="00F841D9"/>
    <w:rsid w:val="00F84372"/>
    <w:rsid w:val="00F84494"/>
    <w:rsid w:val="00F8586E"/>
    <w:rsid w:val="00F86357"/>
    <w:rsid w:val="00F8646C"/>
    <w:rsid w:val="00F86882"/>
    <w:rsid w:val="00F87A5E"/>
    <w:rsid w:val="00F908F5"/>
    <w:rsid w:val="00F90BDF"/>
    <w:rsid w:val="00F90E18"/>
    <w:rsid w:val="00F922DC"/>
    <w:rsid w:val="00F92DEB"/>
    <w:rsid w:val="00F93DA5"/>
    <w:rsid w:val="00F9422D"/>
    <w:rsid w:val="00F952EC"/>
    <w:rsid w:val="00F9531A"/>
    <w:rsid w:val="00F95867"/>
    <w:rsid w:val="00F964E2"/>
    <w:rsid w:val="00F97A2A"/>
    <w:rsid w:val="00FA0110"/>
    <w:rsid w:val="00FA17F2"/>
    <w:rsid w:val="00FA2B6F"/>
    <w:rsid w:val="00FA2EE2"/>
    <w:rsid w:val="00FA3517"/>
    <w:rsid w:val="00FA4044"/>
    <w:rsid w:val="00FA50C6"/>
    <w:rsid w:val="00FA5929"/>
    <w:rsid w:val="00FA6F62"/>
    <w:rsid w:val="00FA75DE"/>
    <w:rsid w:val="00FA7F60"/>
    <w:rsid w:val="00FB19BF"/>
    <w:rsid w:val="00FB1F62"/>
    <w:rsid w:val="00FB2053"/>
    <w:rsid w:val="00FB20BB"/>
    <w:rsid w:val="00FB2AD7"/>
    <w:rsid w:val="00FB2BB2"/>
    <w:rsid w:val="00FB30E5"/>
    <w:rsid w:val="00FB36DB"/>
    <w:rsid w:val="00FB3909"/>
    <w:rsid w:val="00FB3BE3"/>
    <w:rsid w:val="00FB3DDF"/>
    <w:rsid w:val="00FB497F"/>
    <w:rsid w:val="00FB4A1D"/>
    <w:rsid w:val="00FB4A21"/>
    <w:rsid w:val="00FB68A6"/>
    <w:rsid w:val="00FB6FE9"/>
    <w:rsid w:val="00FC00BA"/>
    <w:rsid w:val="00FC1A9B"/>
    <w:rsid w:val="00FC3077"/>
    <w:rsid w:val="00FC367B"/>
    <w:rsid w:val="00FC3BEA"/>
    <w:rsid w:val="00FC4F97"/>
    <w:rsid w:val="00FC4FBD"/>
    <w:rsid w:val="00FC56D6"/>
    <w:rsid w:val="00FC5F1F"/>
    <w:rsid w:val="00FC7773"/>
    <w:rsid w:val="00FD1911"/>
    <w:rsid w:val="00FD32B3"/>
    <w:rsid w:val="00FD3797"/>
    <w:rsid w:val="00FD3DD9"/>
    <w:rsid w:val="00FD47FD"/>
    <w:rsid w:val="00FD514F"/>
    <w:rsid w:val="00FD565A"/>
    <w:rsid w:val="00FD59CD"/>
    <w:rsid w:val="00FD5D2B"/>
    <w:rsid w:val="00FD60E1"/>
    <w:rsid w:val="00FD7253"/>
    <w:rsid w:val="00FD7628"/>
    <w:rsid w:val="00FD7CA9"/>
    <w:rsid w:val="00FD7CE3"/>
    <w:rsid w:val="00FE0123"/>
    <w:rsid w:val="00FE09D5"/>
    <w:rsid w:val="00FE0B82"/>
    <w:rsid w:val="00FE0B87"/>
    <w:rsid w:val="00FE0FD0"/>
    <w:rsid w:val="00FE102C"/>
    <w:rsid w:val="00FE1991"/>
    <w:rsid w:val="00FE1B82"/>
    <w:rsid w:val="00FE1F60"/>
    <w:rsid w:val="00FE4184"/>
    <w:rsid w:val="00FE44BC"/>
    <w:rsid w:val="00FE4582"/>
    <w:rsid w:val="00FE47DE"/>
    <w:rsid w:val="00FE4CB5"/>
    <w:rsid w:val="00FE560F"/>
    <w:rsid w:val="00FE60CD"/>
    <w:rsid w:val="00FE6DFA"/>
    <w:rsid w:val="00FE6E6F"/>
    <w:rsid w:val="00FE7B99"/>
    <w:rsid w:val="00FF2017"/>
    <w:rsid w:val="00FF29C7"/>
    <w:rsid w:val="00FF31C7"/>
    <w:rsid w:val="00FF32F9"/>
    <w:rsid w:val="00FF3B7A"/>
    <w:rsid w:val="00FF418D"/>
    <w:rsid w:val="00FF4905"/>
    <w:rsid w:val="00FF4AA2"/>
    <w:rsid w:val="00FF51A9"/>
    <w:rsid w:val="00FF64C5"/>
    <w:rsid w:val="00FF6B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B5C1B3"/>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qFormat/>
    <w:rsid w:val="00447029"/>
    <w:pPr>
      <w:keepNext/>
      <w:keepLines/>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9"/>
    <w:qFormat/>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9"/>
    <w:qFormat/>
    <w:pPr>
      <w:keepNext/>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447029"/>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583AF6"/>
    <w:pPr>
      <w:numPr>
        <w:numId w:val="3"/>
      </w:numPr>
      <w:spacing w:before="120" w:after="120"/>
    </w:pPr>
    <w:rPr>
      <w:color w:val="000000" w:themeColor="text1"/>
    </w:r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paragraph" w:styleId="ListParagraph">
    <w:name w:val="List Paragraph"/>
    <w:aliases w:val="List Paragraph1,Recommendation,List Paragraph11,NFP GP Bulleted List,List Paragraph2,FooterText,numbered,Paragraphe de liste1,Bulletr List Paragraph,列出段落,列出段落1,List Paragraph21,Listeafsnit1,Parágrafo da Lista1,Párrafo de lista1,リスト段落1,L"/>
    <w:basedOn w:val="Normal"/>
    <w:link w:val="ListParagraphChar"/>
    <w:uiPriority w:val="34"/>
    <w:qFormat/>
    <w:rsid w:val="00CE6BD9"/>
    <w:pPr>
      <w:spacing w:line="240" w:lineRule="auto"/>
    </w:pPr>
    <w:rPr>
      <w:rFonts w:ascii="Calibri" w:eastAsia="Calibri" w:hAnsi="Calibri" w:cs="Times New Roman"/>
      <w:sz w:val="24"/>
    </w:rPr>
  </w:style>
  <w:style w:type="character" w:customStyle="1" w:styleId="ListParagraphChar">
    <w:name w:val="List Paragraph Char"/>
    <w:aliases w:val="List Paragraph1 Char,Recommendation Char,List Paragraph11 Char,NFP GP Bulleted List Char,List Paragraph2 Char,FooterText Char,numbered Char,Paragraphe de liste1 Char,Bulletr List Paragraph Char,列出段落 Char,列出段落1 Char,Listeafsnit1 Char"/>
    <w:link w:val="ListParagraph"/>
    <w:uiPriority w:val="34"/>
    <w:qFormat/>
    <w:rsid w:val="00CE6BD9"/>
    <w:rPr>
      <w:rFonts w:ascii="Calibri" w:eastAsia="Calibri" w:hAnsi="Calibri"/>
      <w:sz w:val="24"/>
      <w:szCs w:val="22"/>
      <w:lang w:eastAsia="en-US"/>
    </w:rPr>
  </w:style>
  <w:style w:type="table" w:customStyle="1" w:styleId="TableGrid10">
    <w:name w:val="Table Grid1"/>
    <w:basedOn w:val="TableNormal"/>
    <w:next w:val="TableGrid"/>
    <w:uiPriority w:val="59"/>
    <w:rsid w:val="000342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A350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xTextBullet2">
    <w:name w:val="Box Text Bullet 2"/>
    <w:basedOn w:val="Normal"/>
    <w:qFormat/>
    <w:rsid w:val="00A77920"/>
    <w:pPr>
      <w:pBdr>
        <w:top w:val="single" w:sz="4" w:space="10" w:color="auto"/>
        <w:left w:val="single" w:sz="4" w:space="10" w:color="auto"/>
        <w:bottom w:val="single" w:sz="4" w:space="10" w:color="auto"/>
        <w:right w:val="single" w:sz="4" w:space="10" w:color="auto"/>
      </w:pBdr>
      <w:spacing w:before="120" w:after="120" w:line="240" w:lineRule="auto"/>
      <w:ind w:left="567" w:hanging="567"/>
    </w:pPr>
    <w:rPr>
      <w:sz w:val="20"/>
    </w:rPr>
  </w:style>
  <w:style w:type="character" w:styleId="SubtleEmphasis">
    <w:name w:val="Subtle Emphasis"/>
    <w:basedOn w:val="DefaultParagraphFont"/>
    <w:uiPriority w:val="19"/>
    <w:qFormat/>
    <w:rsid w:val="006511D3"/>
    <w:rPr>
      <w:i/>
      <w:iCs/>
      <w:color w:val="404040" w:themeColor="text1" w:themeTint="BF"/>
    </w:rPr>
  </w:style>
  <w:style w:type="paragraph" w:styleId="Revision">
    <w:name w:val="Revision"/>
    <w:hidden/>
    <w:uiPriority w:val="99"/>
    <w:semiHidden/>
    <w:rsid w:val="00165448"/>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491060">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93003">
      <w:bodyDiv w:val="1"/>
      <w:marLeft w:val="0"/>
      <w:marRight w:val="0"/>
      <w:marTop w:val="0"/>
      <w:marBottom w:val="0"/>
      <w:divBdr>
        <w:top w:val="none" w:sz="0" w:space="0" w:color="auto"/>
        <w:left w:val="none" w:sz="0" w:space="0" w:color="auto"/>
        <w:bottom w:val="none" w:sz="0" w:space="0" w:color="auto"/>
        <w:right w:val="none" w:sz="0" w:space="0" w:color="auto"/>
      </w:divBdr>
      <w:divsChild>
        <w:div w:id="2072265406">
          <w:marLeft w:val="0"/>
          <w:marRight w:val="0"/>
          <w:marTop w:val="0"/>
          <w:marBottom w:val="0"/>
          <w:divBdr>
            <w:top w:val="none" w:sz="0" w:space="0" w:color="auto"/>
            <w:left w:val="none" w:sz="0" w:space="0" w:color="auto"/>
            <w:bottom w:val="none" w:sz="0" w:space="0" w:color="auto"/>
            <w:right w:val="none" w:sz="0" w:space="0" w:color="auto"/>
          </w:divBdr>
          <w:divsChild>
            <w:div w:id="631596386">
              <w:marLeft w:val="0"/>
              <w:marRight w:val="0"/>
              <w:marTop w:val="0"/>
              <w:marBottom w:val="0"/>
              <w:divBdr>
                <w:top w:val="none" w:sz="0" w:space="0" w:color="auto"/>
                <w:left w:val="none" w:sz="0" w:space="0" w:color="auto"/>
                <w:bottom w:val="none" w:sz="0" w:space="0" w:color="auto"/>
                <w:right w:val="none" w:sz="0" w:space="0" w:color="auto"/>
              </w:divBdr>
              <w:divsChild>
                <w:div w:id="869877052">
                  <w:marLeft w:val="0"/>
                  <w:marRight w:val="0"/>
                  <w:marTop w:val="0"/>
                  <w:marBottom w:val="0"/>
                  <w:divBdr>
                    <w:top w:val="none" w:sz="0" w:space="0" w:color="auto"/>
                    <w:left w:val="none" w:sz="0" w:space="0" w:color="auto"/>
                    <w:bottom w:val="none" w:sz="0" w:space="0" w:color="auto"/>
                    <w:right w:val="none" w:sz="0" w:space="0" w:color="auto"/>
                  </w:divBdr>
                  <w:divsChild>
                    <w:div w:id="1405106688">
                      <w:marLeft w:val="0"/>
                      <w:marRight w:val="0"/>
                      <w:marTop w:val="0"/>
                      <w:marBottom w:val="0"/>
                      <w:divBdr>
                        <w:top w:val="none" w:sz="0" w:space="0" w:color="auto"/>
                        <w:left w:val="none" w:sz="0" w:space="0" w:color="auto"/>
                        <w:bottom w:val="none" w:sz="0" w:space="0" w:color="auto"/>
                        <w:right w:val="none" w:sz="0" w:space="0" w:color="auto"/>
                      </w:divBdr>
                      <w:divsChild>
                        <w:div w:id="1140149252">
                          <w:marLeft w:val="0"/>
                          <w:marRight w:val="0"/>
                          <w:marTop w:val="0"/>
                          <w:marBottom w:val="0"/>
                          <w:divBdr>
                            <w:top w:val="none" w:sz="0" w:space="0" w:color="auto"/>
                            <w:left w:val="none" w:sz="0" w:space="0" w:color="auto"/>
                            <w:bottom w:val="none" w:sz="0" w:space="0" w:color="auto"/>
                            <w:right w:val="none" w:sz="0" w:space="0" w:color="auto"/>
                          </w:divBdr>
                          <w:divsChild>
                            <w:div w:id="338971428">
                              <w:marLeft w:val="0"/>
                              <w:marRight w:val="0"/>
                              <w:marTop w:val="0"/>
                              <w:marBottom w:val="0"/>
                              <w:divBdr>
                                <w:top w:val="none" w:sz="0" w:space="0" w:color="auto"/>
                                <w:left w:val="none" w:sz="0" w:space="0" w:color="auto"/>
                                <w:bottom w:val="none" w:sz="0" w:space="0" w:color="auto"/>
                                <w:right w:val="none" w:sz="0" w:space="0" w:color="auto"/>
                              </w:divBdr>
                              <w:divsChild>
                                <w:div w:id="163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2624121">
      <w:bodyDiv w:val="1"/>
      <w:marLeft w:val="0"/>
      <w:marRight w:val="0"/>
      <w:marTop w:val="0"/>
      <w:marBottom w:val="0"/>
      <w:divBdr>
        <w:top w:val="none" w:sz="0" w:space="0" w:color="auto"/>
        <w:left w:val="none" w:sz="0" w:space="0" w:color="auto"/>
        <w:bottom w:val="none" w:sz="0" w:space="0" w:color="auto"/>
        <w:right w:val="none" w:sz="0" w:space="0" w:color="auto"/>
      </w:divBdr>
      <w:divsChild>
        <w:div w:id="38431943">
          <w:marLeft w:val="0"/>
          <w:marRight w:val="0"/>
          <w:marTop w:val="0"/>
          <w:marBottom w:val="0"/>
          <w:divBdr>
            <w:top w:val="none" w:sz="0" w:space="0" w:color="auto"/>
            <w:left w:val="none" w:sz="0" w:space="0" w:color="auto"/>
            <w:bottom w:val="none" w:sz="0" w:space="0" w:color="auto"/>
            <w:right w:val="none" w:sz="0" w:space="0" w:color="auto"/>
          </w:divBdr>
          <w:divsChild>
            <w:div w:id="1756590288">
              <w:marLeft w:val="0"/>
              <w:marRight w:val="0"/>
              <w:marTop w:val="0"/>
              <w:marBottom w:val="0"/>
              <w:divBdr>
                <w:top w:val="none" w:sz="0" w:space="0" w:color="auto"/>
                <w:left w:val="none" w:sz="0" w:space="0" w:color="auto"/>
                <w:bottom w:val="none" w:sz="0" w:space="0" w:color="auto"/>
                <w:right w:val="none" w:sz="0" w:space="0" w:color="auto"/>
              </w:divBdr>
              <w:divsChild>
                <w:div w:id="1783526304">
                  <w:marLeft w:val="0"/>
                  <w:marRight w:val="0"/>
                  <w:marTop w:val="0"/>
                  <w:marBottom w:val="0"/>
                  <w:divBdr>
                    <w:top w:val="none" w:sz="0" w:space="0" w:color="auto"/>
                    <w:left w:val="none" w:sz="0" w:space="0" w:color="auto"/>
                    <w:bottom w:val="none" w:sz="0" w:space="0" w:color="auto"/>
                    <w:right w:val="none" w:sz="0" w:space="0" w:color="auto"/>
                  </w:divBdr>
                  <w:divsChild>
                    <w:div w:id="1495099235">
                      <w:marLeft w:val="0"/>
                      <w:marRight w:val="0"/>
                      <w:marTop w:val="0"/>
                      <w:marBottom w:val="0"/>
                      <w:divBdr>
                        <w:top w:val="none" w:sz="0" w:space="0" w:color="auto"/>
                        <w:left w:val="none" w:sz="0" w:space="0" w:color="auto"/>
                        <w:bottom w:val="none" w:sz="0" w:space="0" w:color="auto"/>
                        <w:right w:val="none" w:sz="0" w:space="0" w:color="auto"/>
                      </w:divBdr>
                      <w:divsChild>
                        <w:div w:id="448941367">
                          <w:marLeft w:val="0"/>
                          <w:marRight w:val="0"/>
                          <w:marTop w:val="0"/>
                          <w:marBottom w:val="0"/>
                          <w:divBdr>
                            <w:top w:val="none" w:sz="0" w:space="0" w:color="auto"/>
                            <w:left w:val="none" w:sz="0" w:space="0" w:color="auto"/>
                            <w:bottom w:val="none" w:sz="0" w:space="0" w:color="auto"/>
                            <w:right w:val="none" w:sz="0" w:space="0" w:color="auto"/>
                          </w:divBdr>
                          <w:divsChild>
                            <w:div w:id="1687364411">
                              <w:marLeft w:val="0"/>
                              <w:marRight w:val="0"/>
                              <w:marTop w:val="0"/>
                              <w:marBottom w:val="0"/>
                              <w:divBdr>
                                <w:top w:val="none" w:sz="0" w:space="0" w:color="auto"/>
                                <w:left w:val="none" w:sz="0" w:space="0" w:color="auto"/>
                                <w:bottom w:val="none" w:sz="0" w:space="0" w:color="auto"/>
                                <w:right w:val="none" w:sz="0" w:space="0" w:color="auto"/>
                              </w:divBdr>
                              <w:divsChild>
                                <w:div w:id="1281692466">
                                  <w:marLeft w:val="0"/>
                                  <w:marRight w:val="0"/>
                                  <w:marTop w:val="0"/>
                                  <w:marBottom w:val="0"/>
                                  <w:divBdr>
                                    <w:top w:val="none" w:sz="0" w:space="0" w:color="auto"/>
                                    <w:left w:val="none" w:sz="0" w:space="0" w:color="auto"/>
                                    <w:bottom w:val="none" w:sz="0" w:space="0" w:color="auto"/>
                                    <w:right w:val="none" w:sz="0" w:space="0" w:color="auto"/>
                                  </w:divBdr>
                                  <w:divsChild>
                                    <w:div w:id="1023558966">
                                      <w:marLeft w:val="0"/>
                                      <w:marRight w:val="0"/>
                                      <w:marTop w:val="0"/>
                                      <w:marBottom w:val="0"/>
                                      <w:divBdr>
                                        <w:top w:val="none" w:sz="0" w:space="0" w:color="auto"/>
                                        <w:left w:val="none" w:sz="0" w:space="0" w:color="auto"/>
                                        <w:bottom w:val="none" w:sz="0" w:space="0" w:color="auto"/>
                                        <w:right w:val="none" w:sz="0" w:space="0" w:color="auto"/>
                                      </w:divBdr>
                                      <w:divsChild>
                                        <w:div w:id="80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6660">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4419205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697159">
      <w:bodyDiv w:val="1"/>
      <w:marLeft w:val="0"/>
      <w:marRight w:val="0"/>
      <w:marTop w:val="0"/>
      <w:marBottom w:val="0"/>
      <w:divBdr>
        <w:top w:val="none" w:sz="0" w:space="0" w:color="auto"/>
        <w:left w:val="none" w:sz="0" w:space="0" w:color="auto"/>
        <w:bottom w:val="none" w:sz="0" w:space="0" w:color="auto"/>
        <w:right w:val="none" w:sz="0" w:space="0" w:color="auto"/>
      </w:divBdr>
      <w:divsChild>
        <w:div w:id="1328287461">
          <w:marLeft w:val="0"/>
          <w:marRight w:val="0"/>
          <w:marTop w:val="0"/>
          <w:marBottom w:val="0"/>
          <w:divBdr>
            <w:top w:val="none" w:sz="0" w:space="0" w:color="auto"/>
            <w:left w:val="none" w:sz="0" w:space="0" w:color="auto"/>
            <w:bottom w:val="none" w:sz="0" w:space="0" w:color="auto"/>
            <w:right w:val="none" w:sz="0" w:space="0" w:color="auto"/>
          </w:divBdr>
          <w:divsChild>
            <w:div w:id="1005471654">
              <w:marLeft w:val="0"/>
              <w:marRight w:val="0"/>
              <w:marTop w:val="0"/>
              <w:marBottom w:val="0"/>
              <w:divBdr>
                <w:top w:val="none" w:sz="0" w:space="0" w:color="auto"/>
                <w:left w:val="none" w:sz="0" w:space="0" w:color="auto"/>
                <w:bottom w:val="none" w:sz="0" w:space="0" w:color="auto"/>
                <w:right w:val="none" w:sz="0" w:space="0" w:color="auto"/>
              </w:divBdr>
              <w:divsChild>
                <w:div w:id="740523342">
                  <w:marLeft w:val="0"/>
                  <w:marRight w:val="0"/>
                  <w:marTop w:val="0"/>
                  <w:marBottom w:val="0"/>
                  <w:divBdr>
                    <w:top w:val="none" w:sz="0" w:space="0" w:color="auto"/>
                    <w:left w:val="none" w:sz="0" w:space="0" w:color="auto"/>
                    <w:bottom w:val="none" w:sz="0" w:space="0" w:color="auto"/>
                    <w:right w:val="none" w:sz="0" w:space="0" w:color="auto"/>
                  </w:divBdr>
                  <w:divsChild>
                    <w:div w:id="1253321071">
                      <w:marLeft w:val="0"/>
                      <w:marRight w:val="0"/>
                      <w:marTop w:val="0"/>
                      <w:marBottom w:val="0"/>
                      <w:divBdr>
                        <w:top w:val="none" w:sz="0" w:space="0" w:color="auto"/>
                        <w:left w:val="none" w:sz="0" w:space="0" w:color="auto"/>
                        <w:bottom w:val="none" w:sz="0" w:space="0" w:color="auto"/>
                        <w:right w:val="none" w:sz="0" w:space="0" w:color="auto"/>
                      </w:divBdr>
                      <w:divsChild>
                        <w:div w:id="14355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3808">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chart" Target="charts/chart3.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5" Type="http://schemas.openxmlformats.org/officeDocument/2006/relationships/hyperlink" Target="https://unstats.un.org/unsd/methodology/m49/"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siro.au/en/Do-business/Futures/Reports/Food-and-Agribusiness-Roadmap" TargetMode="External"/><Relationship Id="rId5" Type="http://schemas.openxmlformats.org/officeDocument/2006/relationships/numbering" Target="numbering.xml"/><Relationship Id="rId15" Type="http://schemas.openxmlformats.org/officeDocument/2006/relationships/hyperlink" Target="http://agriculture.gov.au/" TargetMode="External"/><Relationship Id="rId23" Type="http://schemas.openxmlformats.org/officeDocument/2006/relationships/hyperlink" Target="http://www.agmanager.info/livestock/marketing/AnimalID/USMEF-Final-Project-Report-Tonsor_03-30-11.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hart" Target="charts/chart4.xm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file:///\\ACT001CL04FS02\marketaccessdata$\Cross-cutting%20issues\Traceability\Data\SPS\Summary%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Act001cl04fs02\marketaccessdata$\Cross-cutting%20issues\Traceability\Resources\Copy%20of%20AgCommodities201803_Tables_v1.0.0%20--%20commodities.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ACT001CL04FS02\marketaccessdata$\Cross-cutting%20issues\Traceability\Engagement\Meetings%20with%20states%20on%20advice%20to%20AGSOC%20April%202018\Stats\ExportProduc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8882708029773397E-2"/>
          <c:y val="5.7920353982300908E-2"/>
          <c:w val="0.87759575301956039"/>
          <c:h val="0.85157114474343321"/>
        </c:manualLayout>
      </c:layout>
      <c:lineChart>
        <c:grouping val="standard"/>
        <c:varyColors val="0"/>
        <c:ser>
          <c:idx val="0"/>
          <c:order val="0"/>
          <c:tx>
            <c:strRef>
              <c:f>Sheet1!$U$2</c:f>
              <c:strCache>
                <c:ptCount val="1"/>
              </c:strCache>
            </c:strRef>
          </c:tx>
          <c:spPr>
            <a:ln w="28575" cap="rnd">
              <a:solidFill>
                <a:schemeClr val="accent1"/>
              </a:solidFill>
              <a:round/>
            </a:ln>
            <a:effectLst/>
          </c:spPr>
          <c:marker>
            <c:symbol val="none"/>
          </c:marker>
          <c:trendline>
            <c:name>Linear trend</c:name>
            <c:spPr>
              <a:ln w="19050" cap="rnd">
                <a:solidFill>
                  <a:schemeClr val="accent1"/>
                </a:solidFill>
                <a:prstDash val="sysDot"/>
              </a:ln>
              <a:effectLst/>
            </c:spPr>
            <c:trendlineType val="linear"/>
            <c:dispRSqr val="0"/>
            <c:dispEq val="0"/>
          </c:trendline>
          <c:cat>
            <c:numRef>
              <c:f>Sheet1!$B$2:$V$2</c:f>
              <c:numCache>
                <c:formatCode>General</c:formatCode>
                <c:ptCount val="21"/>
                <c:pt idx="3">
                  <c:v>2000</c:v>
                </c:pt>
                <c:pt idx="8">
                  <c:v>2005</c:v>
                </c:pt>
                <c:pt idx="13">
                  <c:v>2010</c:v>
                </c:pt>
                <c:pt idx="18">
                  <c:v>2015</c:v>
                </c:pt>
              </c:numCache>
            </c:numRef>
          </c:cat>
          <c:val>
            <c:numRef>
              <c:f>Sheet1!$B$3:$V$3</c:f>
              <c:numCache>
                <c:formatCode>General</c:formatCode>
                <c:ptCount val="21"/>
                <c:pt idx="0">
                  <c:v>286</c:v>
                </c:pt>
                <c:pt idx="1">
                  <c:v>296</c:v>
                </c:pt>
                <c:pt idx="2">
                  <c:v>401</c:v>
                </c:pt>
                <c:pt idx="3">
                  <c:v>402</c:v>
                </c:pt>
                <c:pt idx="4">
                  <c:v>623</c:v>
                </c:pt>
                <c:pt idx="5">
                  <c:v>608</c:v>
                </c:pt>
                <c:pt idx="6">
                  <c:v>686</c:v>
                </c:pt>
                <c:pt idx="7">
                  <c:v>610</c:v>
                </c:pt>
                <c:pt idx="8">
                  <c:v>648</c:v>
                </c:pt>
                <c:pt idx="9">
                  <c:v>901</c:v>
                </c:pt>
                <c:pt idx="10">
                  <c:v>847</c:v>
                </c:pt>
                <c:pt idx="11">
                  <c:v>886</c:v>
                </c:pt>
                <c:pt idx="12">
                  <c:v>737</c:v>
                </c:pt>
                <c:pt idx="13">
                  <c:v>1051</c:v>
                </c:pt>
                <c:pt idx="14">
                  <c:v>1005</c:v>
                </c:pt>
                <c:pt idx="15">
                  <c:v>857</c:v>
                </c:pt>
                <c:pt idx="16">
                  <c:v>924</c:v>
                </c:pt>
                <c:pt idx="17">
                  <c:v>1152</c:v>
                </c:pt>
                <c:pt idx="18">
                  <c:v>1262</c:v>
                </c:pt>
                <c:pt idx="19">
                  <c:v>1028</c:v>
                </c:pt>
                <c:pt idx="20">
                  <c:v>1098</c:v>
                </c:pt>
              </c:numCache>
            </c:numRef>
          </c:val>
          <c:smooth val="0"/>
        </c:ser>
        <c:dLbls>
          <c:showLegendKey val="0"/>
          <c:showVal val="0"/>
          <c:showCatName val="0"/>
          <c:showSerName val="0"/>
          <c:showPercent val="0"/>
          <c:showBubbleSize val="0"/>
        </c:dLbls>
        <c:smooth val="0"/>
        <c:axId val="321959216"/>
        <c:axId val="321959608"/>
      </c:lineChart>
      <c:catAx>
        <c:axId val="32195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959608"/>
        <c:crosses val="autoZero"/>
        <c:auto val="1"/>
        <c:lblAlgn val="ctr"/>
        <c:lblOffset val="100"/>
        <c:noMultiLvlLbl val="0"/>
      </c:catAx>
      <c:valAx>
        <c:axId val="321959608"/>
        <c:scaling>
          <c:orientation val="minMax"/>
        </c:scaling>
        <c:delete val="0"/>
        <c:axPos val="l"/>
        <c:majorGridlines>
          <c:spPr>
            <a:ln w="9525" cap="flat" cmpd="sng" algn="ctr">
              <a:solidFill>
                <a:schemeClr val="tx1">
                  <a:lumMod val="15000"/>
                  <a:lumOff val="85000"/>
                </a:schemeClr>
              </a:solidFill>
              <a:round/>
            </a:ln>
            <a:effectLst/>
          </c:spPr>
        </c:majorGridlines>
        <c:numFmt formatCode="#,##0;\-#,##0;\ &quot;no.&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9592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798154732043535E-2"/>
          <c:y val="5.1948051948051951E-2"/>
          <c:w val="0.89050101424302575"/>
          <c:h val="0.75379337198234841"/>
        </c:manualLayout>
      </c:layout>
      <c:lineChart>
        <c:grouping val="standard"/>
        <c:varyColors val="0"/>
        <c:ser>
          <c:idx val="0"/>
          <c:order val="0"/>
          <c:tx>
            <c:strRef>
              <c:f>Sheet1!$A$12</c:f>
              <c:strCache>
                <c:ptCount val="1"/>
                <c:pt idx="0">
                  <c:v>Plant</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Sheet2!$D$2:$X$2</c:f>
              <c:numCache>
                <c:formatCode>General</c:formatCode>
                <c:ptCount val="21"/>
                <c:pt idx="3">
                  <c:v>2000</c:v>
                </c:pt>
                <c:pt idx="8">
                  <c:v>2005</c:v>
                </c:pt>
                <c:pt idx="13">
                  <c:v>2010</c:v>
                </c:pt>
                <c:pt idx="18">
                  <c:v>2015</c:v>
                </c:pt>
              </c:numCache>
            </c:numRef>
          </c:cat>
          <c:val>
            <c:numRef>
              <c:f>Sheet1!$B$12:$V$12</c:f>
              <c:numCache>
                <c:formatCode>General</c:formatCode>
                <c:ptCount val="21"/>
                <c:pt idx="0">
                  <c:v>82</c:v>
                </c:pt>
                <c:pt idx="1">
                  <c:v>70</c:v>
                </c:pt>
                <c:pt idx="2">
                  <c:v>86</c:v>
                </c:pt>
                <c:pt idx="3">
                  <c:v>66</c:v>
                </c:pt>
                <c:pt idx="4">
                  <c:v>129</c:v>
                </c:pt>
                <c:pt idx="5">
                  <c:v>181</c:v>
                </c:pt>
                <c:pt idx="6">
                  <c:v>192</c:v>
                </c:pt>
                <c:pt idx="7">
                  <c:v>140</c:v>
                </c:pt>
                <c:pt idx="8">
                  <c:v>176</c:v>
                </c:pt>
                <c:pt idx="9">
                  <c:v>204</c:v>
                </c:pt>
                <c:pt idx="10">
                  <c:v>182</c:v>
                </c:pt>
                <c:pt idx="11">
                  <c:v>286</c:v>
                </c:pt>
                <c:pt idx="12">
                  <c:v>194</c:v>
                </c:pt>
                <c:pt idx="13">
                  <c:v>309</c:v>
                </c:pt>
                <c:pt idx="14">
                  <c:v>288</c:v>
                </c:pt>
                <c:pt idx="15">
                  <c:v>250</c:v>
                </c:pt>
                <c:pt idx="16">
                  <c:v>272</c:v>
                </c:pt>
                <c:pt idx="17">
                  <c:v>401</c:v>
                </c:pt>
                <c:pt idx="18">
                  <c:v>365</c:v>
                </c:pt>
                <c:pt idx="19">
                  <c:v>312</c:v>
                </c:pt>
                <c:pt idx="20">
                  <c:v>420</c:v>
                </c:pt>
              </c:numCache>
            </c:numRef>
          </c:val>
          <c:smooth val="0"/>
        </c:ser>
        <c:ser>
          <c:idx val="1"/>
          <c:order val="1"/>
          <c:tx>
            <c:strRef>
              <c:f>Sheet1!$A$13</c:f>
              <c:strCache>
                <c:ptCount val="1"/>
                <c:pt idx="0">
                  <c:v>Animal</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cat>
            <c:numRef>
              <c:f>Sheet2!$D$2:$X$2</c:f>
              <c:numCache>
                <c:formatCode>General</c:formatCode>
                <c:ptCount val="21"/>
                <c:pt idx="3">
                  <c:v>2000</c:v>
                </c:pt>
                <c:pt idx="8">
                  <c:v>2005</c:v>
                </c:pt>
                <c:pt idx="13">
                  <c:v>2010</c:v>
                </c:pt>
                <c:pt idx="18">
                  <c:v>2015</c:v>
                </c:pt>
              </c:numCache>
            </c:numRef>
          </c:cat>
          <c:val>
            <c:numRef>
              <c:f>Sheet1!$B$13:$V$13</c:f>
              <c:numCache>
                <c:formatCode>General</c:formatCode>
                <c:ptCount val="21"/>
                <c:pt idx="0">
                  <c:v>119</c:v>
                </c:pt>
                <c:pt idx="1">
                  <c:v>146</c:v>
                </c:pt>
                <c:pt idx="2">
                  <c:v>177</c:v>
                </c:pt>
                <c:pt idx="3">
                  <c:v>129</c:v>
                </c:pt>
                <c:pt idx="4">
                  <c:v>308</c:v>
                </c:pt>
                <c:pt idx="5">
                  <c:v>210</c:v>
                </c:pt>
                <c:pt idx="6">
                  <c:v>196</c:v>
                </c:pt>
                <c:pt idx="7">
                  <c:v>210</c:v>
                </c:pt>
                <c:pt idx="8">
                  <c:v>181</c:v>
                </c:pt>
                <c:pt idx="9">
                  <c:v>246</c:v>
                </c:pt>
                <c:pt idx="10">
                  <c:v>219</c:v>
                </c:pt>
                <c:pt idx="11">
                  <c:v>269</c:v>
                </c:pt>
                <c:pt idx="12">
                  <c:v>276</c:v>
                </c:pt>
                <c:pt idx="13">
                  <c:v>186</c:v>
                </c:pt>
                <c:pt idx="14">
                  <c:v>216</c:v>
                </c:pt>
                <c:pt idx="15">
                  <c:v>223</c:v>
                </c:pt>
                <c:pt idx="16">
                  <c:v>235</c:v>
                </c:pt>
                <c:pt idx="17">
                  <c:v>299</c:v>
                </c:pt>
                <c:pt idx="18">
                  <c:v>302</c:v>
                </c:pt>
                <c:pt idx="19">
                  <c:v>286</c:v>
                </c:pt>
                <c:pt idx="20">
                  <c:v>390</c:v>
                </c:pt>
              </c:numCache>
            </c:numRef>
          </c:val>
          <c:smooth val="0"/>
        </c:ser>
        <c:dLbls>
          <c:showLegendKey val="0"/>
          <c:showVal val="0"/>
          <c:showCatName val="0"/>
          <c:showSerName val="0"/>
          <c:showPercent val="0"/>
          <c:showBubbleSize val="0"/>
        </c:dLbls>
        <c:smooth val="0"/>
        <c:axId val="321961176"/>
        <c:axId val="321960000"/>
      </c:lineChart>
      <c:catAx>
        <c:axId val="321961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960000"/>
        <c:crosses val="autoZero"/>
        <c:auto val="1"/>
        <c:lblAlgn val="ctr"/>
        <c:lblOffset val="100"/>
        <c:noMultiLvlLbl val="0"/>
      </c:catAx>
      <c:valAx>
        <c:axId val="321960000"/>
        <c:scaling>
          <c:orientation val="minMax"/>
        </c:scaling>
        <c:delete val="0"/>
        <c:axPos val="l"/>
        <c:majorGridlines>
          <c:spPr>
            <a:ln w="9525" cap="flat" cmpd="sng" algn="ctr">
              <a:solidFill>
                <a:schemeClr val="tx1">
                  <a:lumMod val="15000"/>
                  <a:lumOff val="85000"/>
                </a:schemeClr>
              </a:solidFill>
              <a:round/>
            </a:ln>
            <a:effectLst/>
          </c:spPr>
        </c:majorGridlines>
        <c:numFmt formatCode="#,##0;\-#,##0;\ &quot;no.&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961176"/>
        <c:crosses val="autoZero"/>
        <c:crossBetween val="between"/>
        <c:majorUnit val="100"/>
      </c:valAx>
      <c:spPr>
        <a:noFill/>
        <a:ln>
          <a:noFill/>
        </a:ln>
        <a:effectLst/>
      </c:spPr>
    </c:plotArea>
    <c:legend>
      <c:legendPos val="b"/>
      <c:legendEntry>
        <c:idx val="2"/>
        <c:delete val="1"/>
      </c:legendEntry>
      <c:legendEntry>
        <c:idx val="3"/>
        <c:delete val="1"/>
      </c:legendEntry>
      <c:layout>
        <c:manualLayout>
          <c:xMode val="edge"/>
          <c:yMode val="edge"/>
          <c:x val="0.36649615785978562"/>
          <c:y val="0.90727957082287791"/>
          <c:w val="0.26700768428042881"/>
          <c:h val="9.27204291771220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215727427676965E-2"/>
          <c:y val="0.1322539681306221"/>
          <c:w val="0.62615567326725319"/>
          <c:h val="0.81682506163221935"/>
        </c:manualLayout>
      </c:layout>
      <c:barChart>
        <c:barDir val="col"/>
        <c:grouping val="stacked"/>
        <c:varyColors val="0"/>
        <c:ser>
          <c:idx val="0"/>
          <c:order val="0"/>
          <c:tx>
            <c:strRef>
              <c:f>Sheet1!$A$89</c:f>
              <c:strCache>
                <c:ptCount val="1"/>
                <c:pt idx="0">
                  <c:v>Meat</c:v>
                </c:pt>
              </c:strCache>
            </c:strRef>
          </c:tx>
          <c:spPr>
            <a:solidFill>
              <a:srgbClr val="ED7D31"/>
            </a:solidFill>
            <a:ln>
              <a:noFill/>
            </a:ln>
            <a:effectLst/>
          </c:spPr>
          <c:invertIfNegative val="0"/>
          <c:cat>
            <c:strRef>
              <c:f>Sheet1!$B$88:$C$88</c:f>
              <c:strCache>
                <c:ptCount val="2"/>
                <c:pt idx="0">
                  <c:v>2017–18 f</c:v>
                </c:pt>
                <c:pt idx="1">
                  <c:v>2022–23 z</c:v>
                </c:pt>
              </c:strCache>
            </c:strRef>
          </c:cat>
          <c:val>
            <c:numRef>
              <c:f>Sheet1!$B$89:$C$89</c:f>
              <c:numCache>
                <c:formatCode>#,##0</c:formatCode>
                <c:ptCount val="2"/>
                <c:pt idx="0">
                  <c:v>10726.848000000002</c:v>
                </c:pt>
                <c:pt idx="1">
                  <c:v>10922.891000000001</c:v>
                </c:pt>
              </c:numCache>
            </c:numRef>
          </c:val>
        </c:ser>
        <c:ser>
          <c:idx val="1"/>
          <c:order val="1"/>
          <c:tx>
            <c:strRef>
              <c:f>Sheet1!$A$90</c:f>
              <c:strCache>
                <c:ptCount val="1"/>
                <c:pt idx="0">
                  <c:v>Dairy</c:v>
                </c:pt>
              </c:strCache>
            </c:strRef>
          </c:tx>
          <c:spPr>
            <a:solidFill>
              <a:srgbClr val="9AE2D9"/>
            </a:solidFill>
            <a:ln>
              <a:noFill/>
            </a:ln>
            <a:effectLst/>
          </c:spPr>
          <c:invertIfNegative val="0"/>
          <c:cat>
            <c:strRef>
              <c:f>Sheet1!$B$88:$C$88</c:f>
              <c:strCache>
                <c:ptCount val="2"/>
                <c:pt idx="0">
                  <c:v>2017–18 f</c:v>
                </c:pt>
                <c:pt idx="1">
                  <c:v>2022–23 z</c:v>
                </c:pt>
              </c:strCache>
            </c:strRef>
          </c:cat>
          <c:val>
            <c:numRef>
              <c:f>Sheet1!$B$90:$C$90</c:f>
              <c:numCache>
                <c:formatCode>#,##0</c:formatCode>
                <c:ptCount val="2"/>
                <c:pt idx="0">
                  <c:v>3267.5210000000002</c:v>
                </c:pt>
                <c:pt idx="1">
                  <c:v>3735.9059999999999</c:v>
                </c:pt>
              </c:numCache>
            </c:numRef>
          </c:val>
        </c:ser>
        <c:ser>
          <c:idx val="2"/>
          <c:order val="2"/>
          <c:tx>
            <c:strRef>
              <c:f>Sheet1!$A$91</c:f>
              <c:strCache>
                <c:ptCount val="1"/>
                <c:pt idx="0">
                  <c:v>Fishery</c:v>
                </c:pt>
              </c:strCache>
            </c:strRef>
          </c:tx>
          <c:spPr>
            <a:solidFill>
              <a:schemeClr val="accent3"/>
            </a:solidFill>
            <a:ln>
              <a:noFill/>
            </a:ln>
            <a:effectLst/>
          </c:spPr>
          <c:invertIfNegative val="0"/>
          <c:cat>
            <c:strRef>
              <c:f>Sheet1!$B$88:$C$88</c:f>
              <c:strCache>
                <c:ptCount val="2"/>
                <c:pt idx="0">
                  <c:v>2017–18 f</c:v>
                </c:pt>
                <c:pt idx="1">
                  <c:v>2022–23 z</c:v>
                </c:pt>
              </c:strCache>
            </c:strRef>
          </c:cat>
          <c:val>
            <c:numRef>
              <c:f>Sheet1!$B$91:$C$91</c:f>
              <c:numCache>
                <c:formatCode>General</c:formatCode>
                <c:ptCount val="2"/>
                <c:pt idx="0">
                  <c:v>1502.865</c:v>
                </c:pt>
                <c:pt idx="1">
                  <c:v>1483.547</c:v>
                </c:pt>
              </c:numCache>
            </c:numRef>
          </c:val>
        </c:ser>
        <c:ser>
          <c:idx val="3"/>
          <c:order val="3"/>
          <c:tx>
            <c:strRef>
              <c:f>Sheet1!$A$92</c:f>
              <c:strCache>
                <c:ptCount val="1"/>
                <c:pt idx="0">
                  <c:v>Cattle (live)</c:v>
                </c:pt>
              </c:strCache>
            </c:strRef>
          </c:tx>
          <c:spPr>
            <a:solidFill>
              <a:srgbClr val="44546A"/>
            </a:solidFill>
            <a:ln>
              <a:noFill/>
            </a:ln>
            <a:effectLst/>
          </c:spPr>
          <c:invertIfNegative val="0"/>
          <c:cat>
            <c:strRef>
              <c:f>Sheet1!$B$88:$C$88</c:f>
              <c:strCache>
                <c:ptCount val="2"/>
                <c:pt idx="0">
                  <c:v>2017–18 f</c:v>
                </c:pt>
                <c:pt idx="1">
                  <c:v>2022–23 z</c:v>
                </c:pt>
              </c:strCache>
            </c:strRef>
          </c:cat>
          <c:val>
            <c:numRef>
              <c:f>Sheet1!$B$92:$C$92</c:f>
              <c:numCache>
                <c:formatCode>#,##0</c:formatCode>
                <c:ptCount val="2"/>
                <c:pt idx="0">
                  <c:v>1049.999</c:v>
                </c:pt>
                <c:pt idx="1">
                  <c:v>1047.181</c:v>
                </c:pt>
              </c:numCache>
            </c:numRef>
          </c:val>
        </c:ser>
        <c:ser>
          <c:idx val="4"/>
          <c:order val="4"/>
          <c:tx>
            <c:strRef>
              <c:f>Sheet1!$A$93</c:f>
              <c:strCache>
                <c:ptCount val="1"/>
                <c:pt idx="0">
                  <c:v>Sheep (live)</c:v>
                </c:pt>
              </c:strCache>
            </c:strRef>
          </c:tx>
          <c:spPr>
            <a:solidFill>
              <a:srgbClr val="AD805B"/>
            </a:solidFill>
            <a:ln>
              <a:noFill/>
            </a:ln>
            <a:effectLst/>
          </c:spPr>
          <c:invertIfNegative val="0"/>
          <c:cat>
            <c:strRef>
              <c:f>Sheet1!$B$88:$C$88</c:f>
              <c:strCache>
                <c:ptCount val="2"/>
                <c:pt idx="0">
                  <c:v>2017–18 f</c:v>
                </c:pt>
                <c:pt idx="1">
                  <c:v>2022–23 z</c:v>
                </c:pt>
              </c:strCache>
            </c:strRef>
          </c:cat>
          <c:val>
            <c:numRef>
              <c:f>Sheet1!$B$93:$C$93</c:f>
              <c:numCache>
                <c:formatCode>#,##0</c:formatCode>
                <c:ptCount val="2"/>
                <c:pt idx="0">
                  <c:v>243.89699999999999</c:v>
                </c:pt>
                <c:pt idx="1">
                  <c:v>223.92099999999999</c:v>
                </c:pt>
              </c:numCache>
            </c:numRef>
          </c:val>
        </c:ser>
        <c:ser>
          <c:idx val="5"/>
          <c:order val="5"/>
          <c:tx>
            <c:strRef>
              <c:f>Sheet1!$A$94</c:f>
              <c:strCache>
                <c:ptCount val="1"/>
                <c:pt idx="0">
                  <c:v>Grains and oilseeds</c:v>
                </c:pt>
              </c:strCache>
            </c:strRef>
          </c:tx>
          <c:spPr>
            <a:solidFill>
              <a:srgbClr val="5B9BD5"/>
            </a:solidFill>
            <a:ln>
              <a:noFill/>
            </a:ln>
            <a:effectLst/>
          </c:spPr>
          <c:invertIfNegative val="0"/>
          <c:cat>
            <c:strRef>
              <c:f>Sheet1!$B$88:$C$88</c:f>
              <c:strCache>
                <c:ptCount val="2"/>
                <c:pt idx="0">
                  <c:v>2017–18 f</c:v>
                </c:pt>
                <c:pt idx="1">
                  <c:v>2022–23 z</c:v>
                </c:pt>
              </c:strCache>
            </c:strRef>
          </c:cat>
          <c:val>
            <c:numRef>
              <c:f>Sheet1!$B$94:$C$94</c:f>
              <c:numCache>
                <c:formatCode>_-* #,##0_-;\-* #,##0_-;_-* "-"??_-;_-@_-</c:formatCode>
                <c:ptCount val="2"/>
                <c:pt idx="0">
                  <c:v>8524.3590000000004</c:v>
                </c:pt>
                <c:pt idx="1">
                  <c:v>9416.4380000000001</c:v>
                </c:pt>
              </c:numCache>
            </c:numRef>
          </c:val>
        </c:ser>
        <c:ser>
          <c:idx val="6"/>
          <c:order val="6"/>
          <c:tx>
            <c:strRef>
              <c:f>Sheet1!$A$95</c:f>
              <c:strCache>
                <c:ptCount val="1"/>
                <c:pt idx="0">
                  <c:v>Horticulture</c:v>
                </c:pt>
              </c:strCache>
            </c:strRef>
          </c:tx>
          <c:spPr>
            <a:solidFill>
              <a:srgbClr val="70AD47"/>
            </a:solidFill>
            <a:ln>
              <a:noFill/>
            </a:ln>
            <a:effectLst/>
          </c:spPr>
          <c:invertIfNegative val="0"/>
          <c:cat>
            <c:strRef>
              <c:f>Sheet1!$B$88:$C$88</c:f>
              <c:strCache>
                <c:ptCount val="2"/>
                <c:pt idx="0">
                  <c:v>2017–18 f</c:v>
                </c:pt>
                <c:pt idx="1">
                  <c:v>2022–23 z</c:v>
                </c:pt>
              </c:strCache>
            </c:strRef>
          </c:cat>
          <c:val>
            <c:numRef>
              <c:f>Sheet1!$B$95:$C$95</c:f>
              <c:numCache>
                <c:formatCode>#,##0</c:formatCode>
                <c:ptCount val="2"/>
                <c:pt idx="0">
                  <c:v>2693.56</c:v>
                </c:pt>
                <c:pt idx="1">
                  <c:v>3997.0920000000001</c:v>
                </c:pt>
              </c:numCache>
            </c:numRef>
          </c:val>
        </c:ser>
        <c:dLbls>
          <c:showLegendKey val="0"/>
          <c:showVal val="0"/>
          <c:showCatName val="0"/>
          <c:showSerName val="0"/>
          <c:showPercent val="0"/>
          <c:showBubbleSize val="0"/>
        </c:dLbls>
        <c:gapWidth val="150"/>
        <c:overlap val="100"/>
        <c:axId val="321964312"/>
        <c:axId val="321965096"/>
      </c:barChart>
      <c:catAx>
        <c:axId val="321964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21965096"/>
        <c:crosses val="autoZero"/>
        <c:auto val="1"/>
        <c:lblAlgn val="ctr"/>
        <c:lblOffset val="100"/>
        <c:noMultiLvlLbl val="0"/>
      </c:catAx>
      <c:valAx>
        <c:axId val="321965096"/>
        <c:scaling>
          <c:orientation val="minMax"/>
        </c:scaling>
        <c:delete val="0"/>
        <c:axPos val="l"/>
        <c:majorGridlines>
          <c:spPr>
            <a:ln w="9525" cap="flat" cmpd="sng" algn="ctr">
              <a:solidFill>
                <a:schemeClr val="tx1">
                  <a:lumMod val="15000"/>
                  <a:lumOff val="85000"/>
                </a:schemeClr>
              </a:solidFill>
              <a:round/>
            </a:ln>
            <a:effectLst/>
          </c:spPr>
        </c:majorGridlines>
        <c:numFmt formatCode="#,##0,;\ ####;\ &quot;2017-18 $b&quot;"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21964312"/>
        <c:crosses val="autoZero"/>
        <c:crossBetween val="between"/>
      </c:valAx>
      <c:spPr>
        <a:noFill/>
        <a:ln>
          <a:noFill/>
        </a:ln>
        <a:effectLst/>
      </c:spPr>
    </c:plotArea>
    <c:legend>
      <c:legendPos val="r"/>
      <c:layout>
        <c:manualLayout>
          <c:xMode val="edge"/>
          <c:yMode val="edge"/>
          <c:x val="0.80246128214468326"/>
          <c:y val="0.14909541321594236"/>
          <c:w val="0.1887077677692573"/>
          <c:h val="0.693585068651848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7"/>
          <c:order val="0"/>
          <c:tx>
            <c:strRef>
              <c:f>Sheet2!$T$85</c:f>
              <c:strCache>
                <c:ptCount val="1"/>
                <c:pt idx="0">
                  <c:v>Australia</c:v>
                </c:pt>
              </c:strCache>
            </c:strRef>
          </c:tx>
          <c:spPr>
            <a:ln w="28575" cap="rnd">
              <a:solidFill>
                <a:srgbClr val="C00000"/>
              </a:solidFill>
              <a:round/>
            </a:ln>
            <a:effectLst/>
          </c:spPr>
          <c:marker>
            <c:symbol val="none"/>
          </c:marker>
          <c:cat>
            <c:strRef>
              <c:f>Sheet2!$U$80:$AE$80</c:f>
              <c:strCache>
                <c:ptCount val="11"/>
                <c:pt idx="0">
                  <c:v>2012-13</c:v>
                </c:pt>
                <c:pt idx="1">
                  <c:v>2013-14</c:v>
                </c:pt>
                <c:pt idx="2">
                  <c:v>2014-15</c:v>
                </c:pt>
                <c:pt idx="3">
                  <c:v>2015–16</c:v>
                </c:pt>
                <c:pt idx="4">
                  <c:v>2016–17</c:v>
                </c:pt>
                <c:pt idx="5">
                  <c:v>2017–18 f</c:v>
                </c:pt>
                <c:pt idx="6">
                  <c:v>2018–19 f</c:v>
                </c:pt>
                <c:pt idx="7">
                  <c:v>2019–20 z</c:v>
                </c:pt>
                <c:pt idx="8">
                  <c:v>2020–21 z</c:v>
                </c:pt>
                <c:pt idx="9">
                  <c:v>2021–22 z</c:v>
                </c:pt>
                <c:pt idx="10">
                  <c:v>2022–23 z</c:v>
                </c:pt>
              </c:strCache>
            </c:strRef>
          </c:cat>
          <c:val>
            <c:numRef>
              <c:f>Sheet2!$U$85:$AE$85</c:f>
              <c:numCache>
                <c:formatCode>General</c:formatCode>
                <c:ptCount val="11"/>
                <c:pt idx="0">
                  <c:v>100</c:v>
                </c:pt>
                <c:pt idx="1">
                  <c:v>116.75325065909898</c:v>
                </c:pt>
                <c:pt idx="2">
                  <c:v>133.50650131819796</c:v>
                </c:pt>
                <c:pt idx="3">
                  <c:v>150.25975197729696</c:v>
                </c:pt>
                <c:pt idx="4">
                  <c:v>167.01300263639592</c:v>
                </c:pt>
                <c:pt idx="5">
                  <c:v>182.91898412513237</c:v>
                </c:pt>
                <c:pt idx="6">
                  <c:v>198.82496561386878</c:v>
                </c:pt>
                <c:pt idx="7">
                  <c:v>214.73094710260523</c:v>
                </c:pt>
                <c:pt idx="8">
                  <c:v>230.63692859134164</c:v>
                </c:pt>
                <c:pt idx="9">
                  <c:v>246.54291008007809</c:v>
                </c:pt>
                <c:pt idx="10">
                  <c:v>262.44889156881453</c:v>
                </c:pt>
              </c:numCache>
            </c:numRef>
          </c:val>
          <c:smooth val="0"/>
        </c:ser>
        <c:ser>
          <c:idx val="6"/>
          <c:order val="1"/>
          <c:tx>
            <c:strRef>
              <c:f>Sheet2!$B$83</c:f>
              <c:strCache>
                <c:ptCount val="1"/>
                <c:pt idx="0">
                  <c:v>NT</c:v>
                </c:pt>
              </c:strCache>
            </c:strRef>
          </c:tx>
          <c:spPr>
            <a:ln w="28575" cap="rnd">
              <a:solidFill>
                <a:schemeClr val="accent1">
                  <a:lumMod val="60000"/>
                </a:schemeClr>
              </a:solidFill>
              <a:round/>
            </a:ln>
            <a:effectLst/>
          </c:spPr>
          <c:marker>
            <c:symbol val="none"/>
          </c:marker>
          <c:cat>
            <c:strRef>
              <c:f>Sheet2!$U$80:$AE$80</c:f>
              <c:strCache>
                <c:ptCount val="11"/>
                <c:pt idx="0">
                  <c:v>2012-13</c:v>
                </c:pt>
                <c:pt idx="1">
                  <c:v>2013-14</c:v>
                </c:pt>
                <c:pt idx="2">
                  <c:v>2014-15</c:v>
                </c:pt>
                <c:pt idx="3">
                  <c:v>2015–16</c:v>
                </c:pt>
                <c:pt idx="4">
                  <c:v>2016–17</c:v>
                </c:pt>
                <c:pt idx="5">
                  <c:v>2017–18 f</c:v>
                </c:pt>
                <c:pt idx="6">
                  <c:v>2018–19 f</c:v>
                </c:pt>
                <c:pt idx="7">
                  <c:v>2019–20 z</c:v>
                </c:pt>
                <c:pt idx="8">
                  <c:v>2020–21 z</c:v>
                </c:pt>
                <c:pt idx="9">
                  <c:v>2021–22 z</c:v>
                </c:pt>
                <c:pt idx="10">
                  <c:v>2022–23 z</c:v>
                </c:pt>
              </c:strCache>
            </c:strRef>
          </c:cat>
          <c:val>
            <c:numRef>
              <c:f>Sheet2!$C$83:$G$83</c:f>
              <c:numCache>
                <c:formatCode>General</c:formatCode>
                <c:ptCount val="5"/>
                <c:pt idx="0">
                  <c:v>100</c:v>
                </c:pt>
                <c:pt idx="1">
                  <c:v>132.66387732707079</c:v>
                </c:pt>
                <c:pt idx="2">
                  <c:v>165.32775465414156</c:v>
                </c:pt>
                <c:pt idx="3">
                  <c:v>197.99163198121232</c:v>
                </c:pt>
                <c:pt idx="4">
                  <c:v>230.65550930828311</c:v>
                </c:pt>
              </c:numCache>
            </c:numRef>
          </c:val>
          <c:smooth val="0"/>
        </c:ser>
        <c:ser>
          <c:idx val="1"/>
          <c:order val="2"/>
          <c:tx>
            <c:strRef>
              <c:f>Sheet2!$B$78</c:f>
              <c:strCache>
                <c:ptCount val="1"/>
                <c:pt idx="0">
                  <c:v>QLD</c:v>
                </c:pt>
              </c:strCache>
            </c:strRef>
          </c:tx>
          <c:spPr>
            <a:ln w="28575" cap="rnd">
              <a:solidFill>
                <a:srgbClr val="00B050"/>
              </a:solidFill>
              <a:round/>
            </a:ln>
            <a:effectLst/>
          </c:spPr>
          <c:marker>
            <c:symbol val="none"/>
          </c:marker>
          <c:cat>
            <c:strRef>
              <c:f>Sheet2!$U$80:$AE$80</c:f>
              <c:strCache>
                <c:ptCount val="11"/>
                <c:pt idx="0">
                  <c:v>2012-13</c:v>
                </c:pt>
                <c:pt idx="1">
                  <c:v>2013-14</c:v>
                </c:pt>
                <c:pt idx="2">
                  <c:v>2014-15</c:v>
                </c:pt>
                <c:pt idx="3">
                  <c:v>2015–16</c:v>
                </c:pt>
                <c:pt idx="4">
                  <c:v>2016–17</c:v>
                </c:pt>
                <c:pt idx="5">
                  <c:v>2017–18 f</c:v>
                </c:pt>
                <c:pt idx="6">
                  <c:v>2018–19 f</c:v>
                </c:pt>
                <c:pt idx="7">
                  <c:v>2019–20 z</c:v>
                </c:pt>
                <c:pt idx="8">
                  <c:v>2020–21 z</c:v>
                </c:pt>
                <c:pt idx="9">
                  <c:v>2021–22 z</c:v>
                </c:pt>
                <c:pt idx="10">
                  <c:v>2022–23 z</c:v>
                </c:pt>
              </c:strCache>
            </c:strRef>
          </c:cat>
          <c:val>
            <c:numRef>
              <c:f>Sheet2!$C$78:$G$78</c:f>
              <c:numCache>
                <c:formatCode>General</c:formatCode>
                <c:ptCount val="5"/>
                <c:pt idx="0">
                  <c:v>100</c:v>
                </c:pt>
                <c:pt idx="1">
                  <c:v>123.63828798008893</c:v>
                </c:pt>
                <c:pt idx="2">
                  <c:v>147.27657596017787</c:v>
                </c:pt>
                <c:pt idx="3">
                  <c:v>170.91486394026677</c:v>
                </c:pt>
                <c:pt idx="4">
                  <c:v>194.5531519203557</c:v>
                </c:pt>
              </c:numCache>
            </c:numRef>
          </c:val>
          <c:smooth val="0"/>
        </c:ser>
        <c:ser>
          <c:idx val="3"/>
          <c:order val="3"/>
          <c:tx>
            <c:strRef>
              <c:f>Sheet2!$B$80</c:f>
              <c:strCache>
                <c:ptCount val="1"/>
                <c:pt idx="0">
                  <c:v>SA</c:v>
                </c:pt>
              </c:strCache>
            </c:strRef>
          </c:tx>
          <c:spPr>
            <a:ln w="28575" cap="rnd">
              <a:solidFill>
                <a:srgbClr val="FFC000"/>
              </a:solidFill>
              <a:round/>
            </a:ln>
            <a:effectLst/>
          </c:spPr>
          <c:marker>
            <c:symbol val="none"/>
          </c:marker>
          <c:cat>
            <c:strRef>
              <c:f>Sheet2!$U$80:$AE$80</c:f>
              <c:strCache>
                <c:ptCount val="11"/>
                <c:pt idx="0">
                  <c:v>2012-13</c:v>
                </c:pt>
                <c:pt idx="1">
                  <c:v>2013-14</c:v>
                </c:pt>
                <c:pt idx="2">
                  <c:v>2014-15</c:v>
                </c:pt>
                <c:pt idx="3">
                  <c:v>2015–16</c:v>
                </c:pt>
                <c:pt idx="4">
                  <c:v>2016–17</c:v>
                </c:pt>
                <c:pt idx="5">
                  <c:v>2017–18 f</c:v>
                </c:pt>
                <c:pt idx="6">
                  <c:v>2018–19 f</c:v>
                </c:pt>
                <c:pt idx="7">
                  <c:v>2019–20 z</c:v>
                </c:pt>
                <c:pt idx="8">
                  <c:v>2020–21 z</c:v>
                </c:pt>
                <c:pt idx="9">
                  <c:v>2021–22 z</c:v>
                </c:pt>
                <c:pt idx="10">
                  <c:v>2022–23 z</c:v>
                </c:pt>
              </c:strCache>
            </c:strRef>
          </c:cat>
          <c:val>
            <c:numRef>
              <c:f>Sheet2!$C$80:$G$80</c:f>
              <c:numCache>
                <c:formatCode>General</c:formatCode>
                <c:ptCount val="5"/>
                <c:pt idx="0">
                  <c:v>100</c:v>
                </c:pt>
                <c:pt idx="1">
                  <c:v>121.24998728536326</c:v>
                </c:pt>
                <c:pt idx="2">
                  <c:v>142.49997457072652</c:v>
                </c:pt>
                <c:pt idx="3">
                  <c:v>163.74996185608978</c:v>
                </c:pt>
                <c:pt idx="4">
                  <c:v>184.99994914145304</c:v>
                </c:pt>
              </c:numCache>
            </c:numRef>
          </c:val>
          <c:smooth val="0"/>
        </c:ser>
        <c:ser>
          <c:idx val="0"/>
          <c:order val="4"/>
          <c:tx>
            <c:strRef>
              <c:f>Sheet2!$B$77</c:f>
              <c:strCache>
                <c:ptCount val="1"/>
                <c:pt idx="0">
                  <c:v>VIC</c:v>
                </c:pt>
              </c:strCache>
            </c:strRef>
          </c:tx>
          <c:spPr>
            <a:ln w="28575" cap="rnd">
              <a:solidFill>
                <a:srgbClr val="7030A0"/>
              </a:solidFill>
              <a:round/>
            </a:ln>
            <a:effectLst/>
          </c:spPr>
          <c:marker>
            <c:symbol val="none"/>
          </c:marker>
          <c:cat>
            <c:strRef>
              <c:f>Sheet2!$U$80:$AE$80</c:f>
              <c:strCache>
                <c:ptCount val="11"/>
                <c:pt idx="0">
                  <c:v>2012-13</c:v>
                </c:pt>
                <c:pt idx="1">
                  <c:v>2013-14</c:v>
                </c:pt>
                <c:pt idx="2">
                  <c:v>2014-15</c:v>
                </c:pt>
                <c:pt idx="3">
                  <c:v>2015–16</c:v>
                </c:pt>
                <c:pt idx="4">
                  <c:v>2016–17</c:v>
                </c:pt>
                <c:pt idx="5">
                  <c:v>2017–18 f</c:v>
                </c:pt>
                <c:pt idx="6">
                  <c:v>2018–19 f</c:v>
                </c:pt>
                <c:pt idx="7">
                  <c:v>2019–20 z</c:v>
                </c:pt>
                <c:pt idx="8">
                  <c:v>2020–21 z</c:v>
                </c:pt>
                <c:pt idx="9">
                  <c:v>2021–22 z</c:v>
                </c:pt>
                <c:pt idx="10">
                  <c:v>2022–23 z</c:v>
                </c:pt>
              </c:strCache>
            </c:strRef>
          </c:cat>
          <c:val>
            <c:numRef>
              <c:f>Sheet2!$C$77:$G$77</c:f>
              <c:numCache>
                <c:formatCode>General</c:formatCode>
                <c:ptCount val="5"/>
                <c:pt idx="0">
                  <c:v>100</c:v>
                </c:pt>
                <c:pt idx="1">
                  <c:v>118.20707511720425</c:v>
                </c:pt>
                <c:pt idx="2">
                  <c:v>136.41415023440851</c:v>
                </c:pt>
                <c:pt idx="3">
                  <c:v>154.62122535161279</c:v>
                </c:pt>
                <c:pt idx="4">
                  <c:v>172.82830046881702</c:v>
                </c:pt>
              </c:numCache>
            </c:numRef>
          </c:val>
          <c:smooth val="0"/>
        </c:ser>
        <c:ser>
          <c:idx val="4"/>
          <c:order val="5"/>
          <c:tx>
            <c:strRef>
              <c:f>Sheet2!$B$81</c:f>
              <c:strCache>
                <c:ptCount val="1"/>
                <c:pt idx="0">
                  <c:v>WA</c:v>
                </c:pt>
              </c:strCache>
            </c:strRef>
          </c:tx>
          <c:spPr>
            <a:ln w="28575" cap="rnd">
              <a:solidFill>
                <a:schemeClr val="accent5"/>
              </a:solidFill>
              <a:round/>
            </a:ln>
            <a:effectLst/>
          </c:spPr>
          <c:marker>
            <c:symbol val="none"/>
          </c:marker>
          <c:cat>
            <c:strRef>
              <c:f>Sheet2!$U$80:$AE$80</c:f>
              <c:strCache>
                <c:ptCount val="11"/>
                <c:pt idx="0">
                  <c:v>2012-13</c:v>
                </c:pt>
                <c:pt idx="1">
                  <c:v>2013-14</c:v>
                </c:pt>
                <c:pt idx="2">
                  <c:v>2014-15</c:v>
                </c:pt>
                <c:pt idx="3">
                  <c:v>2015–16</c:v>
                </c:pt>
                <c:pt idx="4">
                  <c:v>2016–17</c:v>
                </c:pt>
                <c:pt idx="5">
                  <c:v>2017–18 f</c:v>
                </c:pt>
                <c:pt idx="6">
                  <c:v>2018–19 f</c:v>
                </c:pt>
                <c:pt idx="7">
                  <c:v>2019–20 z</c:v>
                </c:pt>
                <c:pt idx="8">
                  <c:v>2020–21 z</c:v>
                </c:pt>
                <c:pt idx="9">
                  <c:v>2021–22 z</c:v>
                </c:pt>
                <c:pt idx="10">
                  <c:v>2022–23 z</c:v>
                </c:pt>
              </c:strCache>
            </c:strRef>
          </c:cat>
          <c:val>
            <c:numRef>
              <c:f>Sheet2!$C$81:$G$81</c:f>
              <c:numCache>
                <c:formatCode>General</c:formatCode>
                <c:ptCount val="5"/>
                <c:pt idx="0">
                  <c:v>100</c:v>
                </c:pt>
                <c:pt idx="1">
                  <c:v>115.95204615334917</c:v>
                </c:pt>
                <c:pt idx="2">
                  <c:v>131.90409230669835</c:v>
                </c:pt>
                <c:pt idx="3">
                  <c:v>147.8561384600475</c:v>
                </c:pt>
                <c:pt idx="4">
                  <c:v>163.80818461339666</c:v>
                </c:pt>
              </c:numCache>
            </c:numRef>
          </c:val>
          <c:smooth val="0"/>
        </c:ser>
        <c:ser>
          <c:idx val="2"/>
          <c:order val="6"/>
          <c:tx>
            <c:strRef>
              <c:f>Sheet2!$B$79</c:f>
              <c:strCache>
                <c:ptCount val="1"/>
                <c:pt idx="0">
                  <c:v>NSW</c:v>
                </c:pt>
              </c:strCache>
            </c:strRef>
          </c:tx>
          <c:spPr>
            <a:ln w="28575" cap="rnd">
              <a:solidFill>
                <a:schemeClr val="accent2"/>
              </a:solidFill>
              <a:round/>
            </a:ln>
            <a:effectLst/>
          </c:spPr>
          <c:marker>
            <c:symbol val="none"/>
          </c:marker>
          <c:cat>
            <c:strRef>
              <c:f>Sheet2!$U$80:$AE$80</c:f>
              <c:strCache>
                <c:ptCount val="11"/>
                <c:pt idx="0">
                  <c:v>2012-13</c:v>
                </c:pt>
                <c:pt idx="1">
                  <c:v>2013-14</c:v>
                </c:pt>
                <c:pt idx="2">
                  <c:v>2014-15</c:v>
                </c:pt>
                <c:pt idx="3">
                  <c:v>2015–16</c:v>
                </c:pt>
                <c:pt idx="4">
                  <c:v>2016–17</c:v>
                </c:pt>
                <c:pt idx="5">
                  <c:v>2017–18 f</c:v>
                </c:pt>
                <c:pt idx="6">
                  <c:v>2018–19 f</c:v>
                </c:pt>
                <c:pt idx="7">
                  <c:v>2019–20 z</c:v>
                </c:pt>
                <c:pt idx="8">
                  <c:v>2020–21 z</c:v>
                </c:pt>
                <c:pt idx="9">
                  <c:v>2021–22 z</c:v>
                </c:pt>
                <c:pt idx="10">
                  <c:v>2022–23 z</c:v>
                </c:pt>
              </c:strCache>
            </c:strRef>
          </c:cat>
          <c:val>
            <c:numRef>
              <c:f>Sheet2!$C$79:$G$79</c:f>
              <c:numCache>
                <c:formatCode>General</c:formatCode>
                <c:ptCount val="5"/>
                <c:pt idx="0">
                  <c:v>100</c:v>
                </c:pt>
                <c:pt idx="1">
                  <c:v>113.58411268508868</c:v>
                </c:pt>
                <c:pt idx="2">
                  <c:v>127.16822537017738</c:v>
                </c:pt>
                <c:pt idx="3">
                  <c:v>140.75233805526608</c:v>
                </c:pt>
                <c:pt idx="4">
                  <c:v>154.33645074035476</c:v>
                </c:pt>
              </c:numCache>
            </c:numRef>
          </c:val>
          <c:smooth val="0"/>
        </c:ser>
        <c:ser>
          <c:idx val="5"/>
          <c:order val="7"/>
          <c:tx>
            <c:strRef>
              <c:f>Sheet2!$B$82</c:f>
              <c:strCache>
                <c:ptCount val="1"/>
                <c:pt idx="0">
                  <c:v>TAS</c:v>
                </c:pt>
              </c:strCache>
            </c:strRef>
          </c:tx>
          <c:spPr>
            <a:ln w="28575" cap="rnd">
              <a:solidFill>
                <a:schemeClr val="bg1">
                  <a:lumMod val="50000"/>
                </a:schemeClr>
              </a:solidFill>
              <a:round/>
            </a:ln>
            <a:effectLst/>
          </c:spPr>
          <c:marker>
            <c:symbol val="none"/>
          </c:marker>
          <c:cat>
            <c:strRef>
              <c:f>Sheet2!$U$80:$AE$80</c:f>
              <c:strCache>
                <c:ptCount val="11"/>
                <c:pt idx="0">
                  <c:v>2012-13</c:v>
                </c:pt>
                <c:pt idx="1">
                  <c:v>2013-14</c:v>
                </c:pt>
                <c:pt idx="2">
                  <c:v>2014-15</c:v>
                </c:pt>
                <c:pt idx="3">
                  <c:v>2015–16</c:v>
                </c:pt>
                <c:pt idx="4">
                  <c:v>2016–17</c:v>
                </c:pt>
                <c:pt idx="5">
                  <c:v>2017–18 f</c:v>
                </c:pt>
                <c:pt idx="6">
                  <c:v>2018–19 f</c:v>
                </c:pt>
                <c:pt idx="7">
                  <c:v>2019–20 z</c:v>
                </c:pt>
                <c:pt idx="8">
                  <c:v>2020–21 z</c:v>
                </c:pt>
                <c:pt idx="9">
                  <c:v>2021–22 z</c:v>
                </c:pt>
                <c:pt idx="10">
                  <c:v>2022–23 z</c:v>
                </c:pt>
              </c:strCache>
            </c:strRef>
          </c:cat>
          <c:val>
            <c:numRef>
              <c:f>Sheet2!$C$82:$G$82</c:f>
              <c:numCache>
                <c:formatCode>General</c:formatCode>
                <c:ptCount val="5"/>
                <c:pt idx="0">
                  <c:v>100</c:v>
                </c:pt>
                <c:pt idx="1">
                  <c:v>108.63673315728106</c:v>
                </c:pt>
                <c:pt idx="2">
                  <c:v>117.2734663145621</c:v>
                </c:pt>
                <c:pt idx="3">
                  <c:v>125.91019947184316</c:v>
                </c:pt>
                <c:pt idx="4">
                  <c:v>134.5469326291242</c:v>
                </c:pt>
              </c:numCache>
            </c:numRef>
          </c:val>
          <c:smooth val="0"/>
        </c:ser>
        <c:dLbls>
          <c:showLegendKey val="0"/>
          <c:showVal val="0"/>
          <c:showCatName val="0"/>
          <c:showSerName val="0"/>
          <c:showPercent val="0"/>
          <c:showBubbleSize val="0"/>
        </c:dLbls>
        <c:smooth val="0"/>
        <c:axId val="321961568"/>
        <c:axId val="321962352"/>
      </c:lineChart>
      <c:catAx>
        <c:axId val="32196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962352"/>
        <c:crosses val="autoZero"/>
        <c:auto val="1"/>
        <c:lblAlgn val="ctr"/>
        <c:lblOffset val="100"/>
        <c:tickLblSkip val="2"/>
        <c:noMultiLvlLbl val="0"/>
      </c:catAx>
      <c:valAx>
        <c:axId val="321962352"/>
        <c:scaling>
          <c:orientation val="minMax"/>
          <c:min val="50"/>
        </c:scaling>
        <c:delete val="0"/>
        <c:axPos val="l"/>
        <c:majorGridlines>
          <c:spPr>
            <a:ln w="9525" cap="flat" cmpd="sng" algn="ctr">
              <a:solidFill>
                <a:schemeClr val="tx1">
                  <a:lumMod val="15000"/>
                  <a:lumOff val="85000"/>
                </a:schemeClr>
              </a:solidFill>
              <a:round/>
            </a:ln>
            <a:effectLst/>
          </c:spPr>
        </c:majorGridlines>
        <c:numFmt formatCode="[&lt;&gt;50]\ #,##0;&quot;index&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1961568"/>
        <c:crosses val="autoZero"/>
        <c:crossBetween val="between"/>
        <c:majorUnit val="50"/>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54172-8B4F-42D7-A6FC-C54B8BEFD935}"/>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C36B6856-2DC4-4DAF-8AA8-59ECCBAD30CA}"/>
</file>

<file path=docProps/app.xml><?xml version="1.0" encoding="utf-8"?>
<Properties xmlns="http://schemas.openxmlformats.org/officeDocument/2006/extended-properties" xmlns:vt="http://schemas.openxmlformats.org/officeDocument/2006/docPropsVTypes">
  <Template>Standard-report-template-with-numbered-headings (1)</Template>
  <TotalTime>14</TotalTime>
  <Pages>15</Pages>
  <Words>4301</Words>
  <Characters>26638</Characters>
  <Application>Microsoft Office Word</Application>
  <DocSecurity>0</DocSecurity>
  <Lines>411</Lines>
  <Paragraphs>128</Paragraphs>
  <ScaleCrop>false</ScaleCrop>
  <HeadingPairs>
    <vt:vector size="2" baseType="variant">
      <vt:variant>
        <vt:lpstr>Title</vt:lpstr>
      </vt:variant>
      <vt:variant>
        <vt:i4>1</vt:i4>
      </vt:variant>
    </vt:vector>
  </HeadingPairs>
  <TitlesOfParts>
    <vt:vector size="1" baseType="lpstr">
      <vt:lpstr>Enhancing Australia’s systems for tracing agricultural production and products</vt:lpstr>
    </vt:vector>
  </TitlesOfParts>
  <Company>Department of Agriculture Fisheries &amp; Forestry</Company>
  <LinksUpToDate>false</LinksUpToDate>
  <CharactersWithSpaces>30817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Australia’s systems for tracing agricultural production and products</dc:title>
  <dc:creator>National Traceability Working Group</dc:creator>
  <cp:lastModifiedBy>Dang, Van</cp:lastModifiedBy>
  <cp:revision>9</cp:revision>
  <cp:lastPrinted>2018-10-23T22:19:00Z</cp:lastPrinted>
  <dcterms:created xsi:type="dcterms:W3CDTF">2018-10-23T02:15:00Z</dcterms:created>
  <dcterms:modified xsi:type="dcterms:W3CDTF">2018-10-23T22:20:00Z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