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436" w:rsidRDefault="00385436" w:rsidP="00385436">
      <w:pPr>
        <w:jc w:val="center"/>
        <w:rPr>
          <w:bCs/>
          <w:sz w:val="36"/>
        </w:rPr>
      </w:pPr>
      <w:r>
        <w:rPr>
          <w:bCs/>
          <w:noProof/>
          <w:sz w:val="36"/>
          <w:lang w:eastAsia="en-AU"/>
        </w:rPr>
        <w:drawing>
          <wp:inline distT="0" distB="0" distL="0" distR="0">
            <wp:extent cx="3905250" cy="2924175"/>
            <wp:effectExtent l="19050" t="0" r="0" b="0"/>
            <wp:docPr id="12" name="Picture 3" descr="J:\APLC\APLC-Common\Extension\APLC Image Library\Australian plague locust\Bands\Werrimul band Vic Oct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PLC\APLC-Common\Extension\APLC Image Library\Australian plague locust\Bands\Werrimul band Vic Oct2010.JPG"/>
                    <pic:cNvPicPr>
                      <a:picLocks noChangeAspect="1" noChangeArrowheads="1"/>
                    </pic:cNvPicPr>
                  </pic:nvPicPr>
                  <pic:blipFill>
                    <a:blip r:embed="rId8" cstate="print"/>
                    <a:srcRect/>
                    <a:stretch>
                      <a:fillRect/>
                    </a:stretch>
                  </pic:blipFill>
                  <pic:spPr bwMode="auto">
                    <a:xfrm>
                      <a:off x="0" y="0"/>
                      <a:ext cx="3905250" cy="2924175"/>
                    </a:xfrm>
                    <a:prstGeom prst="rect">
                      <a:avLst/>
                    </a:prstGeom>
                    <a:noFill/>
                    <a:ln w="9525">
                      <a:noFill/>
                      <a:miter lim="800000"/>
                      <a:headEnd/>
                      <a:tailEnd/>
                    </a:ln>
                  </pic:spPr>
                </pic:pic>
              </a:graphicData>
            </a:graphic>
          </wp:inline>
        </w:drawing>
      </w:r>
    </w:p>
    <w:p w:rsidR="00385436" w:rsidRDefault="00385436" w:rsidP="00385436">
      <w:pPr>
        <w:rPr>
          <w:bCs/>
          <w:sz w:val="36"/>
        </w:rPr>
      </w:pPr>
    </w:p>
    <w:p w:rsidR="00385436" w:rsidRDefault="00385436" w:rsidP="00385436">
      <w:pPr>
        <w:rPr>
          <w:bCs/>
          <w:sz w:val="36"/>
        </w:rPr>
      </w:pPr>
    </w:p>
    <w:p w:rsidR="00385436" w:rsidRPr="00814B56" w:rsidRDefault="00385436" w:rsidP="00385436">
      <w:pPr>
        <w:spacing w:line="360" w:lineRule="auto"/>
        <w:jc w:val="center"/>
        <w:rPr>
          <w:rFonts w:ascii="Arial" w:hAnsi="Arial" w:cs="Arial"/>
          <w:bCs/>
          <w:color w:val="0000FF"/>
          <w:sz w:val="52"/>
        </w:rPr>
      </w:pPr>
      <w:r w:rsidRPr="00814B56">
        <w:rPr>
          <w:rFonts w:ascii="Arial" w:hAnsi="Arial" w:cs="Arial"/>
          <w:bCs/>
          <w:color w:val="0000FF"/>
          <w:sz w:val="52"/>
        </w:rPr>
        <w:t>AUSTRALIAN PLAGUE</w:t>
      </w:r>
    </w:p>
    <w:p w:rsidR="00385436" w:rsidRPr="00814B56" w:rsidRDefault="00385436" w:rsidP="00385436">
      <w:pPr>
        <w:spacing w:line="360" w:lineRule="auto"/>
        <w:jc w:val="center"/>
        <w:rPr>
          <w:bCs/>
          <w:color w:val="0000FF"/>
          <w:sz w:val="36"/>
        </w:rPr>
      </w:pPr>
      <w:r w:rsidRPr="00814B56">
        <w:rPr>
          <w:rFonts w:ascii="Arial" w:hAnsi="Arial" w:cs="Arial"/>
          <w:bCs/>
          <w:color w:val="0000FF"/>
          <w:sz w:val="52"/>
        </w:rPr>
        <w:t>LOCUST COMMISSION</w:t>
      </w:r>
    </w:p>
    <w:p w:rsidR="00385436" w:rsidRDefault="00385436" w:rsidP="00385436">
      <w:pPr>
        <w:jc w:val="center"/>
        <w:rPr>
          <w:bCs/>
          <w:sz w:val="36"/>
        </w:rPr>
      </w:pPr>
    </w:p>
    <w:p w:rsidR="00385436" w:rsidRDefault="00385436" w:rsidP="00385436">
      <w:pPr>
        <w:jc w:val="center"/>
        <w:rPr>
          <w:bCs/>
          <w:sz w:val="36"/>
        </w:rPr>
      </w:pPr>
    </w:p>
    <w:p w:rsidR="00385436" w:rsidRPr="00814B56" w:rsidRDefault="006959E2" w:rsidP="00385436">
      <w:pPr>
        <w:spacing w:line="360" w:lineRule="auto"/>
        <w:jc w:val="center"/>
        <w:rPr>
          <w:rFonts w:ascii="Arial" w:hAnsi="Arial" w:cs="Arial"/>
          <w:bCs/>
          <w:color w:val="C00000"/>
          <w:sz w:val="72"/>
        </w:rPr>
      </w:pPr>
      <w:r>
        <w:rPr>
          <w:rFonts w:ascii="Arial" w:hAnsi="Arial" w:cs="Arial"/>
          <w:bCs/>
          <w:color w:val="C00000"/>
          <w:sz w:val="72"/>
        </w:rPr>
        <w:t>ANNUAL</w:t>
      </w:r>
    </w:p>
    <w:p w:rsidR="00385436" w:rsidRPr="00814B56" w:rsidRDefault="00385436" w:rsidP="00385436">
      <w:pPr>
        <w:spacing w:line="360" w:lineRule="auto"/>
        <w:jc w:val="center"/>
        <w:rPr>
          <w:rFonts w:ascii="Arial" w:hAnsi="Arial" w:cs="Arial"/>
          <w:bCs/>
          <w:color w:val="C00000"/>
          <w:sz w:val="72"/>
        </w:rPr>
      </w:pPr>
      <w:r w:rsidRPr="00814B56">
        <w:rPr>
          <w:rFonts w:ascii="Arial" w:hAnsi="Arial" w:cs="Arial"/>
          <w:bCs/>
          <w:color w:val="C00000"/>
          <w:sz w:val="72"/>
        </w:rPr>
        <w:t>REPORT</w:t>
      </w:r>
    </w:p>
    <w:p w:rsidR="00385436" w:rsidRPr="00814B56" w:rsidRDefault="00385436" w:rsidP="00385436">
      <w:pPr>
        <w:spacing w:line="360" w:lineRule="auto"/>
        <w:jc w:val="center"/>
        <w:rPr>
          <w:rFonts w:ascii="Arial" w:hAnsi="Arial" w:cs="Arial"/>
          <w:bCs/>
          <w:color w:val="C00000"/>
          <w:sz w:val="72"/>
        </w:rPr>
      </w:pPr>
      <w:r w:rsidRPr="00814B56">
        <w:rPr>
          <w:rFonts w:ascii="Arial" w:hAnsi="Arial" w:cs="Arial"/>
          <w:bCs/>
          <w:color w:val="C00000"/>
          <w:sz w:val="72"/>
        </w:rPr>
        <w:t>20</w:t>
      </w:r>
      <w:r>
        <w:rPr>
          <w:rFonts w:ascii="Arial" w:hAnsi="Arial" w:cs="Arial"/>
          <w:bCs/>
          <w:color w:val="C00000"/>
          <w:sz w:val="72"/>
        </w:rPr>
        <w:t>09</w:t>
      </w:r>
      <w:r w:rsidRPr="00814B56">
        <w:rPr>
          <w:rFonts w:ascii="Arial" w:hAnsi="Arial" w:cs="Arial"/>
          <w:bCs/>
          <w:color w:val="C00000"/>
          <w:sz w:val="72"/>
        </w:rPr>
        <w:t>-1</w:t>
      </w:r>
      <w:r>
        <w:rPr>
          <w:rFonts w:ascii="Arial" w:hAnsi="Arial" w:cs="Arial"/>
          <w:bCs/>
          <w:color w:val="C00000"/>
          <w:sz w:val="72"/>
        </w:rPr>
        <w:t>0</w:t>
      </w:r>
    </w:p>
    <w:p w:rsidR="00385436" w:rsidRDefault="00385436" w:rsidP="00385436">
      <w:pPr>
        <w:rPr>
          <w:bCs/>
          <w:sz w:val="36"/>
        </w:rPr>
      </w:pPr>
    </w:p>
    <w:p w:rsidR="00385436" w:rsidRDefault="00385436" w:rsidP="00385436">
      <w:pPr>
        <w:jc w:val="center"/>
        <w:rPr>
          <w:bCs/>
          <w:sz w:val="36"/>
        </w:rPr>
      </w:pPr>
    </w:p>
    <w:p w:rsidR="00385436" w:rsidRDefault="00433EA0" w:rsidP="00385436">
      <w:pPr>
        <w:ind w:left="720" w:firstLine="720"/>
        <w:rPr>
          <w:rFonts w:ascii="Times" w:hAnsi="Times"/>
          <w:b/>
          <w:bCs/>
          <w:sz w:val="36"/>
        </w:rPr>
      </w:pPr>
      <w:r w:rsidRPr="00433EA0">
        <w:rPr>
          <w:rFonts w:ascii="Times" w:hAnsi="Times"/>
          <w:b/>
          <w:bCs/>
          <w:noProof/>
          <w:sz w:val="36"/>
          <w:lang w:val="en-US" w:eastAsia="zh-TW"/>
        </w:rPr>
        <w:pict>
          <v:shapetype id="_x0000_t202" coordsize="21600,21600" o:spt="202" path="m,l,21600r21600,l21600,xe">
            <v:stroke joinstyle="miter"/>
            <v:path gradientshapeok="t" o:connecttype="rect"/>
          </v:shapetype>
          <v:shape id="_x0000_s1032" type="#_x0000_t202" style="position:absolute;left:0;text-align:left;margin-left:217.2pt;margin-top:4.9pt;width:223.9pt;height:41.7pt;z-index:251660800;mso-height-percent:200;mso-height-percent:200;mso-width-relative:margin;mso-height-relative:margin" filled="f" stroked="f">
            <v:textbox style="mso-next-textbox:#_x0000_s1032;mso-fit-shape-to-text:t">
              <w:txbxContent>
                <w:p w:rsidR="00AB7ADA" w:rsidRPr="003017C9" w:rsidRDefault="00AB7ADA" w:rsidP="00385436">
                  <w:pPr>
                    <w:jc w:val="center"/>
                    <w:rPr>
                      <w:rFonts w:ascii="Arial" w:hAnsi="Arial" w:cs="Arial"/>
                    </w:rPr>
                  </w:pPr>
                  <w:proofErr w:type="gramStart"/>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roofErr w:type="gramEnd"/>
                </w:p>
              </w:txbxContent>
            </v:textbox>
          </v:shape>
        </w:pict>
      </w:r>
      <w:r w:rsidR="00385436">
        <w:rPr>
          <w:rFonts w:ascii="Times" w:hAnsi="Times"/>
          <w:b/>
          <w:bCs/>
          <w:noProof/>
          <w:sz w:val="36"/>
          <w:lang w:eastAsia="en-AU"/>
        </w:rPr>
        <w:drawing>
          <wp:inline distT="0" distB="0" distL="0" distR="0">
            <wp:extent cx="1798320" cy="683895"/>
            <wp:effectExtent l="19050" t="0" r="0" b="0"/>
            <wp:docPr id="4" name="Picture 10" descr="J:\APLC\APLC-Common\Logos\black\APL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PLC\APLC-Common\Logos\black\APLC_Logo.tif"/>
                    <pic:cNvPicPr>
                      <a:picLocks noChangeAspect="1" noChangeArrowheads="1"/>
                    </pic:cNvPicPr>
                  </pic:nvPicPr>
                  <pic:blipFill>
                    <a:blip r:embed="rId9" cstate="print"/>
                    <a:srcRect/>
                    <a:stretch>
                      <a:fillRect/>
                    </a:stretch>
                  </pic:blipFill>
                  <pic:spPr bwMode="auto">
                    <a:xfrm>
                      <a:off x="0" y="0"/>
                      <a:ext cx="1798320" cy="683895"/>
                    </a:xfrm>
                    <a:prstGeom prst="rect">
                      <a:avLst/>
                    </a:prstGeom>
                    <a:noFill/>
                    <a:ln w="9525">
                      <a:noFill/>
                      <a:miter lim="800000"/>
                      <a:headEnd/>
                      <a:tailEnd/>
                    </a:ln>
                  </pic:spPr>
                </pic:pic>
              </a:graphicData>
            </a:graphic>
          </wp:inline>
        </w:drawing>
      </w:r>
    </w:p>
    <w:p w:rsidR="00385436" w:rsidRDefault="00385436" w:rsidP="00385436">
      <w:pPr>
        <w:rPr>
          <w:rFonts w:ascii="Times" w:hAnsi="Times"/>
          <w:b/>
          <w:bCs/>
          <w:sz w:val="36"/>
        </w:rPr>
      </w:pPr>
      <w:r>
        <w:rPr>
          <w:bCs/>
          <w:sz w:val="36"/>
        </w:rPr>
        <w:lastRenderedPageBreak/>
        <w:br w:type="page"/>
      </w:r>
    </w:p>
    <w:p w:rsidR="00385436" w:rsidRDefault="00385436">
      <w:pPr>
        <w:rPr>
          <w:rFonts w:ascii="Times" w:hAnsi="Times"/>
          <w:b/>
          <w:bCs/>
          <w:sz w:val="36"/>
        </w:rPr>
      </w:pPr>
    </w:p>
    <w:p w:rsidR="00A62F24" w:rsidRDefault="00A62F24" w:rsidP="00A62F24">
      <w:pPr>
        <w:pStyle w:val="Subtitle"/>
        <w:rPr>
          <w:bCs/>
          <w:color w:val="auto"/>
          <w:sz w:val="36"/>
        </w:rPr>
      </w:pPr>
      <w:r w:rsidRPr="0043520E">
        <w:rPr>
          <w:bCs/>
          <w:color w:val="auto"/>
          <w:sz w:val="36"/>
        </w:rPr>
        <w:t>Contents</w:t>
      </w:r>
    </w:p>
    <w:p w:rsidR="009C6A1C" w:rsidRDefault="009C6A1C" w:rsidP="00A62F24">
      <w:pPr>
        <w:tabs>
          <w:tab w:val="left" w:pos="4980"/>
        </w:tabs>
        <w:ind w:right="-765"/>
        <w:rPr>
          <w:rFonts w:ascii="Times" w:hAnsi="Times"/>
          <w:b/>
          <w:sz w:val="28"/>
        </w:rPr>
      </w:pPr>
    </w:p>
    <w:p w:rsidR="009625E9" w:rsidRDefault="00433EA0" w:rsidP="009625E9">
      <w:pPr>
        <w:pStyle w:val="TOC1"/>
        <w:spacing w:line="360" w:lineRule="auto"/>
        <w:rPr>
          <w:rFonts w:eastAsia="SimSun"/>
          <w:b w:val="0"/>
          <w:bCs w:val="0"/>
          <w:caps w:val="0"/>
          <w:sz w:val="24"/>
          <w:szCs w:val="24"/>
          <w:lang w:eastAsia="zh-CN"/>
        </w:rPr>
      </w:pPr>
      <w:r w:rsidRPr="00433EA0">
        <w:rPr>
          <w:rFonts w:ascii="Times" w:hAnsi="Times"/>
          <w:sz w:val="28"/>
        </w:rPr>
        <w:fldChar w:fldCharType="begin"/>
      </w:r>
      <w:r w:rsidR="00F808E2">
        <w:rPr>
          <w:rFonts w:ascii="Times" w:hAnsi="Times"/>
          <w:sz w:val="28"/>
        </w:rPr>
        <w:instrText xml:space="preserve"> TOC \o "1-2" \h \z \u </w:instrText>
      </w:r>
      <w:r w:rsidRPr="00433EA0">
        <w:rPr>
          <w:rFonts w:ascii="Times" w:hAnsi="Times"/>
          <w:sz w:val="28"/>
        </w:rPr>
        <w:fldChar w:fldCharType="separate"/>
      </w:r>
      <w:hyperlink w:anchor="_Toc263163105" w:history="1">
        <w:r w:rsidR="009625E9" w:rsidRPr="00246593">
          <w:rPr>
            <w:rStyle w:val="Hyperlink"/>
          </w:rPr>
          <w:t>Introduction</w:t>
        </w:r>
        <w:r w:rsidR="009625E9">
          <w:rPr>
            <w:webHidden/>
          </w:rPr>
          <w:tab/>
        </w:r>
        <w:r>
          <w:rPr>
            <w:webHidden/>
          </w:rPr>
          <w:fldChar w:fldCharType="begin"/>
        </w:r>
        <w:r w:rsidR="009625E9">
          <w:rPr>
            <w:webHidden/>
          </w:rPr>
          <w:instrText xml:space="preserve"> PAGEREF _Toc263163105 \h </w:instrText>
        </w:r>
        <w:r>
          <w:rPr>
            <w:webHidden/>
          </w:rPr>
        </w:r>
        <w:r>
          <w:rPr>
            <w:webHidden/>
          </w:rPr>
          <w:fldChar w:fldCharType="separate"/>
        </w:r>
        <w:r w:rsidR="00B528B1">
          <w:rPr>
            <w:webHidden/>
          </w:rPr>
          <w:t>1</w:t>
        </w:r>
        <w:r>
          <w:rPr>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06" w:history="1">
        <w:r w:rsidR="009625E9" w:rsidRPr="00246593">
          <w:rPr>
            <w:rStyle w:val="Hyperlink"/>
            <w:noProof/>
          </w:rPr>
          <w:t>APLC Charter</w:t>
        </w:r>
        <w:r w:rsidR="009625E9">
          <w:rPr>
            <w:noProof/>
            <w:webHidden/>
          </w:rPr>
          <w:tab/>
        </w:r>
        <w:r>
          <w:rPr>
            <w:noProof/>
            <w:webHidden/>
          </w:rPr>
          <w:fldChar w:fldCharType="begin"/>
        </w:r>
        <w:r w:rsidR="009625E9">
          <w:rPr>
            <w:noProof/>
            <w:webHidden/>
          </w:rPr>
          <w:instrText xml:space="preserve"> PAGEREF _Toc263163106 \h </w:instrText>
        </w:r>
        <w:r>
          <w:rPr>
            <w:noProof/>
            <w:webHidden/>
          </w:rPr>
        </w:r>
        <w:r>
          <w:rPr>
            <w:noProof/>
            <w:webHidden/>
          </w:rPr>
          <w:fldChar w:fldCharType="separate"/>
        </w:r>
        <w:r w:rsidR="00B528B1">
          <w:rPr>
            <w:noProof/>
            <w:webHidden/>
          </w:rPr>
          <w:t>1</w:t>
        </w:r>
        <w:r>
          <w:rPr>
            <w:noProof/>
            <w:webHidden/>
          </w:rPr>
          <w:fldChar w:fldCharType="end"/>
        </w:r>
      </w:hyperlink>
    </w:p>
    <w:p w:rsidR="009625E9" w:rsidRDefault="00433EA0" w:rsidP="009625E9">
      <w:pPr>
        <w:pStyle w:val="TOC1"/>
        <w:spacing w:line="360" w:lineRule="auto"/>
        <w:rPr>
          <w:rFonts w:eastAsia="SimSun"/>
          <w:b w:val="0"/>
          <w:bCs w:val="0"/>
          <w:caps w:val="0"/>
          <w:sz w:val="24"/>
          <w:szCs w:val="24"/>
          <w:lang w:eastAsia="zh-CN"/>
        </w:rPr>
      </w:pPr>
      <w:hyperlink w:anchor="_Toc263163107" w:history="1">
        <w:r w:rsidR="009625E9" w:rsidRPr="00246593">
          <w:rPr>
            <w:rStyle w:val="Hyperlink"/>
          </w:rPr>
          <w:t>Commissioners</w:t>
        </w:r>
        <w:r w:rsidR="009625E9">
          <w:rPr>
            <w:webHidden/>
          </w:rPr>
          <w:tab/>
        </w:r>
        <w:r>
          <w:rPr>
            <w:webHidden/>
          </w:rPr>
          <w:fldChar w:fldCharType="begin"/>
        </w:r>
        <w:r w:rsidR="009625E9">
          <w:rPr>
            <w:webHidden/>
          </w:rPr>
          <w:instrText xml:space="preserve"> PAGEREF _Toc263163107 \h </w:instrText>
        </w:r>
        <w:r>
          <w:rPr>
            <w:webHidden/>
          </w:rPr>
        </w:r>
        <w:r>
          <w:rPr>
            <w:webHidden/>
          </w:rPr>
          <w:fldChar w:fldCharType="separate"/>
        </w:r>
        <w:r w:rsidR="00B528B1">
          <w:rPr>
            <w:webHidden/>
          </w:rPr>
          <w:t>2</w:t>
        </w:r>
        <w:r>
          <w:rPr>
            <w:webHidden/>
          </w:rPr>
          <w:fldChar w:fldCharType="end"/>
        </w:r>
      </w:hyperlink>
    </w:p>
    <w:p w:rsidR="009625E9" w:rsidRDefault="00433EA0" w:rsidP="009625E9">
      <w:pPr>
        <w:pStyle w:val="TOC1"/>
        <w:spacing w:line="360" w:lineRule="auto"/>
        <w:rPr>
          <w:rFonts w:eastAsia="SimSun"/>
          <w:b w:val="0"/>
          <w:bCs w:val="0"/>
          <w:caps w:val="0"/>
          <w:sz w:val="24"/>
          <w:szCs w:val="24"/>
          <w:lang w:eastAsia="zh-CN"/>
        </w:rPr>
      </w:pPr>
      <w:hyperlink w:anchor="_Toc263163109" w:history="1">
        <w:r w:rsidR="009625E9" w:rsidRPr="00246593">
          <w:rPr>
            <w:rStyle w:val="Hyperlink"/>
          </w:rPr>
          <w:t>Review of 200</w:t>
        </w:r>
        <w:r w:rsidR="00E936F0">
          <w:rPr>
            <w:rStyle w:val="Hyperlink"/>
          </w:rPr>
          <w:t>9</w:t>
        </w:r>
        <w:r w:rsidR="009625E9" w:rsidRPr="00246593">
          <w:rPr>
            <w:rStyle w:val="Hyperlink"/>
          </w:rPr>
          <w:t>-20</w:t>
        </w:r>
        <w:r w:rsidR="00E936F0">
          <w:rPr>
            <w:rStyle w:val="Hyperlink"/>
          </w:rPr>
          <w:t>1</w:t>
        </w:r>
        <w:r w:rsidR="009625E9" w:rsidRPr="00246593">
          <w:rPr>
            <w:rStyle w:val="Hyperlink"/>
          </w:rPr>
          <w:t>0</w:t>
        </w:r>
        <w:r w:rsidR="009625E9">
          <w:rPr>
            <w:webHidden/>
          </w:rPr>
          <w:tab/>
        </w:r>
        <w:r>
          <w:rPr>
            <w:webHidden/>
          </w:rPr>
          <w:fldChar w:fldCharType="begin"/>
        </w:r>
        <w:r w:rsidR="009625E9">
          <w:rPr>
            <w:webHidden/>
          </w:rPr>
          <w:instrText xml:space="preserve"> PAGEREF _Toc263163109 \h </w:instrText>
        </w:r>
        <w:r>
          <w:rPr>
            <w:webHidden/>
          </w:rPr>
        </w:r>
        <w:r>
          <w:rPr>
            <w:webHidden/>
          </w:rPr>
          <w:fldChar w:fldCharType="separate"/>
        </w:r>
        <w:r w:rsidR="00B528B1">
          <w:rPr>
            <w:webHidden/>
          </w:rPr>
          <w:t>3</w:t>
        </w:r>
        <w:r>
          <w:rPr>
            <w:webHidden/>
          </w:rPr>
          <w:fldChar w:fldCharType="end"/>
        </w:r>
      </w:hyperlink>
    </w:p>
    <w:p w:rsidR="009625E9" w:rsidRDefault="0080703F" w:rsidP="009625E9">
      <w:pPr>
        <w:pStyle w:val="TOC1"/>
        <w:spacing w:line="360" w:lineRule="auto"/>
        <w:rPr>
          <w:rFonts w:eastAsia="SimSun"/>
          <w:b w:val="0"/>
          <w:bCs w:val="0"/>
          <w:caps w:val="0"/>
          <w:sz w:val="24"/>
          <w:szCs w:val="24"/>
          <w:lang w:eastAsia="zh-CN"/>
        </w:rPr>
      </w:pPr>
      <w:r>
        <w:t xml:space="preserve">2009-10 </w:t>
      </w:r>
      <w:hyperlink w:anchor="_Toc263163110" w:history="1">
        <w:r w:rsidR="009625E9" w:rsidRPr="00246593">
          <w:rPr>
            <w:rStyle w:val="Hyperlink"/>
          </w:rPr>
          <w:t>Locust situation</w:t>
        </w:r>
        <w:r w:rsidR="009625E9">
          <w:rPr>
            <w:webHidden/>
          </w:rPr>
          <w:tab/>
        </w:r>
        <w:r w:rsidR="00433EA0">
          <w:rPr>
            <w:webHidden/>
          </w:rPr>
          <w:fldChar w:fldCharType="begin"/>
        </w:r>
        <w:r w:rsidR="009625E9">
          <w:rPr>
            <w:webHidden/>
          </w:rPr>
          <w:instrText xml:space="preserve"> PAGEREF _Toc263163110 \h </w:instrText>
        </w:r>
        <w:r w:rsidR="00433EA0">
          <w:rPr>
            <w:webHidden/>
          </w:rPr>
        </w:r>
        <w:r w:rsidR="00433EA0">
          <w:rPr>
            <w:webHidden/>
          </w:rPr>
          <w:fldChar w:fldCharType="separate"/>
        </w:r>
        <w:r w:rsidR="00B528B1">
          <w:rPr>
            <w:webHidden/>
          </w:rPr>
          <w:t>4</w:t>
        </w:r>
        <w:r w:rsidR="00433EA0">
          <w:rPr>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11" w:history="1">
        <w:r w:rsidR="009625E9" w:rsidRPr="00246593">
          <w:rPr>
            <w:rStyle w:val="Hyperlink"/>
            <w:bCs/>
            <w:noProof/>
          </w:rPr>
          <w:t>Australian plague locust</w:t>
        </w:r>
        <w:r w:rsidR="009625E9">
          <w:rPr>
            <w:noProof/>
            <w:webHidden/>
          </w:rPr>
          <w:tab/>
        </w:r>
        <w:r>
          <w:rPr>
            <w:noProof/>
            <w:webHidden/>
          </w:rPr>
          <w:fldChar w:fldCharType="begin"/>
        </w:r>
        <w:r w:rsidR="009625E9">
          <w:rPr>
            <w:noProof/>
            <w:webHidden/>
          </w:rPr>
          <w:instrText xml:space="preserve"> PAGEREF _Toc263163111 \h </w:instrText>
        </w:r>
        <w:r>
          <w:rPr>
            <w:noProof/>
            <w:webHidden/>
          </w:rPr>
        </w:r>
        <w:r>
          <w:rPr>
            <w:noProof/>
            <w:webHidden/>
          </w:rPr>
          <w:fldChar w:fldCharType="separate"/>
        </w:r>
        <w:r w:rsidR="00B528B1">
          <w:rPr>
            <w:noProof/>
            <w:webHidden/>
          </w:rPr>
          <w:t>4</w:t>
        </w:r>
        <w:r>
          <w:rPr>
            <w:noProof/>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12" w:history="1">
        <w:r w:rsidR="009625E9" w:rsidRPr="00246593">
          <w:rPr>
            <w:rStyle w:val="Hyperlink"/>
            <w:bCs/>
            <w:noProof/>
          </w:rPr>
          <w:t>Spur-throated locust</w:t>
        </w:r>
        <w:r w:rsidR="009625E9">
          <w:rPr>
            <w:noProof/>
            <w:webHidden/>
          </w:rPr>
          <w:tab/>
        </w:r>
        <w:r>
          <w:rPr>
            <w:noProof/>
            <w:webHidden/>
          </w:rPr>
          <w:fldChar w:fldCharType="begin"/>
        </w:r>
        <w:r w:rsidR="009625E9">
          <w:rPr>
            <w:noProof/>
            <w:webHidden/>
          </w:rPr>
          <w:instrText xml:space="preserve"> PAGEREF _Toc263163112 \h </w:instrText>
        </w:r>
        <w:r>
          <w:rPr>
            <w:noProof/>
            <w:webHidden/>
          </w:rPr>
        </w:r>
        <w:r>
          <w:rPr>
            <w:noProof/>
            <w:webHidden/>
          </w:rPr>
          <w:fldChar w:fldCharType="separate"/>
        </w:r>
        <w:r w:rsidR="00B528B1">
          <w:rPr>
            <w:noProof/>
            <w:webHidden/>
          </w:rPr>
          <w:t>14</w:t>
        </w:r>
        <w:r>
          <w:rPr>
            <w:noProof/>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13" w:history="1">
        <w:r w:rsidR="009625E9" w:rsidRPr="00246593">
          <w:rPr>
            <w:rStyle w:val="Hyperlink"/>
            <w:bCs/>
            <w:noProof/>
          </w:rPr>
          <w:t>Migratory locust</w:t>
        </w:r>
        <w:r w:rsidR="009625E9">
          <w:rPr>
            <w:noProof/>
            <w:webHidden/>
          </w:rPr>
          <w:tab/>
        </w:r>
        <w:r>
          <w:rPr>
            <w:noProof/>
            <w:webHidden/>
          </w:rPr>
          <w:fldChar w:fldCharType="begin"/>
        </w:r>
        <w:r w:rsidR="009625E9">
          <w:rPr>
            <w:noProof/>
            <w:webHidden/>
          </w:rPr>
          <w:instrText xml:space="preserve"> PAGEREF _Toc263163113 \h </w:instrText>
        </w:r>
        <w:r>
          <w:rPr>
            <w:noProof/>
            <w:webHidden/>
          </w:rPr>
        </w:r>
        <w:r>
          <w:rPr>
            <w:noProof/>
            <w:webHidden/>
          </w:rPr>
          <w:fldChar w:fldCharType="separate"/>
        </w:r>
        <w:r w:rsidR="00B528B1">
          <w:rPr>
            <w:noProof/>
            <w:webHidden/>
          </w:rPr>
          <w:t>15</w:t>
        </w:r>
        <w:r>
          <w:rPr>
            <w:noProof/>
            <w:webHidden/>
          </w:rPr>
          <w:fldChar w:fldCharType="end"/>
        </w:r>
      </w:hyperlink>
    </w:p>
    <w:p w:rsidR="009625E9" w:rsidRDefault="00433EA0" w:rsidP="009625E9">
      <w:pPr>
        <w:pStyle w:val="TOC1"/>
        <w:spacing w:line="360" w:lineRule="auto"/>
        <w:rPr>
          <w:rFonts w:eastAsia="SimSun"/>
          <w:b w:val="0"/>
          <w:bCs w:val="0"/>
          <w:caps w:val="0"/>
          <w:sz w:val="24"/>
          <w:szCs w:val="24"/>
          <w:lang w:eastAsia="zh-CN"/>
        </w:rPr>
      </w:pPr>
      <w:hyperlink w:anchor="_Toc263163114" w:history="1">
        <w:r w:rsidR="009625E9" w:rsidRPr="00246593">
          <w:rPr>
            <w:rStyle w:val="Hyperlink"/>
          </w:rPr>
          <w:t>Operations</w:t>
        </w:r>
        <w:r w:rsidR="009625E9">
          <w:rPr>
            <w:webHidden/>
          </w:rPr>
          <w:tab/>
        </w:r>
        <w:r>
          <w:rPr>
            <w:webHidden/>
          </w:rPr>
          <w:fldChar w:fldCharType="begin"/>
        </w:r>
        <w:r w:rsidR="009625E9">
          <w:rPr>
            <w:webHidden/>
          </w:rPr>
          <w:instrText xml:space="preserve"> PAGEREF _Toc263163114 \h </w:instrText>
        </w:r>
        <w:r>
          <w:rPr>
            <w:webHidden/>
          </w:rPr>
        </w:r>
        <w:r>
          <w:rPr>
            <w:webHidden/>
          </w:rPr>
          <w:fldChar w:fldCharType="separate"/>
        </w:r>
        <w:r w:rsidR="00B528B1">
          <w:rPr>
            <w:webHidden/>
          </w:rPr>
          <w:t>17</w:t>
        </w:r>
        <w:r>
          <w:rPr>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15" w:history="1">
        <w:r w:rsidR="009625E9" w:rsidRPr="00246593">
          <w:rPr>
            <w:rStyle w:val="Hyperlink"/>
            <w:bCs/>
            <w:noProof/>
          </w:rPr>
          <w:t>Forecasting, information and survey</w:t>
        </w:r>
        <w:r w:rsidR="009625E9">
          <w:rPr>
            <w:noProof/>
            <w:webHidden/>
          </w:rPr>
          <w:tab/>
        </w:r>
        <w:r>
          <w:rPr>
            <w:noProof/>
            <w:webHidden/>
          </w:rPr>
          <w:fldChar w:fldCharType="begin"/>
        </w:r>
        <w:r w:rsidR="009625E9">
          <w:rPr>
            <w:noProof/>
            <w:webHidden/>
          </w:rPr>
          <w:instrText xml:space="preserve"> PAGEREF _Toc263163115 \h </w:instrText>
        </w:r>
        <w:r>
          <w:rPr>
            <w:noProof/>
            <w:webHidden/>
          </w:rPr>
        </w:r>
        <w:r>
          <w:rPr>
            <w:noProof/>
            <w:webHidden/>
          </w:rPr>
          <w:fldChar w:fldCharType="separate"/>
        </w:r>
        <w:r w:rsidR="00B528B1">
          <w:rPr>
            <w:noProof/>
            <w:webHidden/>
          </w:rPr>
          <w:t>17</w:t>
        </w:r>
        <w:r>
          <w:rPr>
            <w:noProof/>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16" w:history="1">
        <w:r w:rsidR="009625E9" w:rsidRPr="00246593">
          <w:rPr>
            <w:rStyle w:val="Hyperlink"/>
            <w:bCs/>
            <w:noProof/>
          </w:rPr>
          <w:t>Pesticide evaluation and application management</w:t>
        </w:r>
        <w:r w:rsidR="009625E9">
          <w:rPr>
            <w:noProof/>
            <w:webHidden/>
          </w:rPr>
          <w:tab/>
        </w:r>
        <w:r>
          <w:rPr>
            <w:noProof/>
            <w:webHidden/>
          </w:rPr>
          <w:fldChar w:fldCharType="begin"/>
        </w:r>
        <w:r w:rsidR="009625E9">
          <w:rPr>
            <w:noProof/>
            <w:webHidden/>
          </w:rPr>
          <w:instrText xml:space="preserve"> PAGEREF _Toc263163116 \h </w:instrText>
        </w:r>
        <w:r>
          <w:rPr>
            <w:noProof/>
            <w:webHidden/>
          </w:rPr>
        </w:r>
        <w:r>
          <w:rPr>
            <w:noProof/>
            <w:webHidden/>
          </w:rPr>
          <w:fldChar w:fldCharType="separate"/>
        </w:r>
        <w:r w:rsidR="00B528B1">
          <w:rPr>
            <w:noProof/>
            <w:webHidden/>
          </w:rPr>
          <w:t>19</w:t>
        </w:r>
        <w:r>
          <w:rPr>
            <w:noProof/>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17" w:history="1">
        <w:r w:rsidR="009625E9" w:rsidRPr="00246593">
          <w:rPr>
            <w:rStyle w:val="Hyperlink"/>
            <w:bCs/>
            <w:noProof/>
          </w:rPr>
          <w:t>Control operations and pesticide use</w:t>
        </w:r>
        <w:r w:rsidR="009625E9">
          <w:rPr>
            <w:noProof/>
            <w:webHidden/>
          </w:rPr>
          <w:tab/>
        </w:r>
        <w:r>
          <w:rPr>
            <w:noProof/>
            <w:webHidden/>
          </w:rPr>
          <w:fldChar w:fldCharType="begin"/>
        </w:r>
        <w:r w:rsidR="009625E9">
          <w:rPr>
            <w:noProof/>
            <w:webHidden/>
          </w:rPr>
          <w:instrText xml:space="preserve"> PAGEREF _Toc263163117 \h </w:instrText>
        </w:r>
        <w:r>
          <w:rPr>
            <w:noProof/>
            <w:webHidden/>
          </w:rPr>
        </w:r>
        <w:r>
          <w:rPr>
            <w:noProof/>
            <w:webHidden/>
          </w:rPr>
          <w:fldChar w:fldCharType="separate"/>
        </w:r>
        <w:r w:rsidR="00B528B1">
          <w:rPr>
            <w:noProof/>
            <w:webHidden/>
          </w:rPr>
          <w:t>19</w:t>
        </w:r>
        <w:r>
          <w:rPr>
            <w:noProof/>
            <w:webHidden/>
          </w:rPr>
          <w:fldChar w:fldCharType="end"/>
        </w:r>
      </w:hyperlink>
    </w:p>
    <w:p w:rsidR="006F6A0E" w:rsidRDefault="006F6A0E" w:rsidP="009625E9">
      <w:pPr>
        <w:pStyle w:val="TOC2"/>
        <w:tabs>
          <w:tab w:val="right" w:leader="dot" w:pos="8778"/>
        </w:tabs>
        <w:spacing w:line="360" w:lineRule="auto"/>
      </w:pPr>
      <w:r>
        <w:t>Locust Control Agents Stocks</w:t>
      </w:r>
      <w:r>
        <w:tab/>
        <w:t>2</w:t>
      </w:r>
      <w:r w:rsidR="00994788">
        <w:t>2</w:t>
      </w:r>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18" w:history="1">
        <w:r w:rsidR="009625E9" w:rsidRPr="00246593">
          <w:rPr>
            <w:rStyle w:val="Hyperlink"/>
            <w:bCs/>
            <w:noProof/>
          </w:rPr>
          <w:t>Environmental Management System</w:t>
        </w:r>
        <w:r w:rsidR="009625E9">
          <w:rPr>
            <w:noProof/>
            <w:webHidden/>
          </w:rPr>
          <w:tab/>
        </w:r>
        <w:r>
          <w:rPr>
            <w:noProof/>
            <w:webHidden/>
          </w:rPr>
          <w:fldChar w:fldCharType="begin"/>
        </w:r>
        <w:r w:rsidR="009625E9">
          <w:rPr>
            <w:noProof/>
            <w:webHidden/>
          </w:rPr>
          <w:instrText xml:space="preserve"> PAGEREF _Toc263163118 \h </w:instrText>
        </w:r>
        <w:r>
          <w:rPr>
            <w:noProof/>
            <w:webHidden/>
          </w:rPr>
        </w:r>
        <w:r>
          <w:rPr>
            <w:noProof/>
            <w:webHidden/>
          </w:rPr>
          <w:fldChar w:fldCharType="separate"/>
        </w:r>
        <w:r w:rsidR="00B528B1">
          <w:rPr>
            <w:noProof/>
            <w:webHidden/>
          </w:rPr>
          <w:t>23</w:t>
        </w:r>
        <w:r>
          <w:rPr>
            <w:noProof/>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19" w:history="1">
        <w:r w:rsidR="009625E9" w:rsidRPr="00246593">
          <w:rPr>
            <w:rStyle w:val="Hyperlink"/>
            <w:bCs/>
            <w:noProof/>
          </w:rPr>
          <w:t>Occupational Health &amp; Safety</w:t>
        </w:r>
        <w:r w:rsidR="009625E9">
          <w:rPr>
            <w:noProof/>
            <w:webHidden/>
          </w:rPr>
          <w:tab/>
        </w:r>
        <w:r>
          <w:rPr>
            <w:noProof/>
            <w:webHidden/>
          </w:rPr>
          <w:fldChar w:fldCharType="begin"/>
        </w:r>
        <w:r w:rsidR="009625E9">
          <w:rPr>
            <w:noProof/>
            <w:webHidden/>
          </w:rPr>
          <w:instrText xml:space="preserve"> PAGEREF _Toc263163119 \h </w:instrText>
        </w:r>
        <w:r>
          <w:rPr>
            <w:noProof/>
            <w:webHidden/>
          </w:rPr>
        </w:r>
        <w:r>
          <w:rPr>
            <w:noProof/>
            <w:webHidden/>
          </w:rPr>
          <w:fldChar w:fldCharType="separate"/>
        </w:r>
        <w:r w:rsidR="00B528B1">
          <w:rPr>
            <w:noProof/>
            <w:webHidden/>
          </w:rPr>
          <w:t>23</w:t>
        </w:r>
        <w:r>
          <w:rPr>
            <w:noProof/>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20" w:history="1">
        <w:r w:rsidR="009625E9" w:rsidRPr="00246593">
          <w:rPr>
            <w:rStyle w:val="Hyperlink"/>
            <w:bCs/>
            <w:noProof/>
          </w:rPr>
          <w:t>Competency based training and assessment</w:t>
        </w:r>
        <w:r w:rsidR="009625E9">
          <w:rPr>
            <w:noProof/>
            <w:webHidden/>
          </w:rPr>
          <w:tab/>
        </w:r>
        <w:r>
          <w:rPr>
            <w:noProof/>
            <w:webHidden/>
          </w:rPr>
          <w:fldChar w:fldCharType="begin"/>
        </w:r>
        <w:r w:rsidR="009625E9">
          <w:rPr>
            <w:noProof/>
            <w:webHidden/>
          </w:rPr>
          <w:instrText xml:space="preserve"> PAGEREF _Toc263163120 \h </w:instrText>
        </w:r>
        <w:r>
          <w:rPr>
            <w:noProof/>
            <w:webHidden/>
          </w:rPr>
        </w:r>
        <w:r>
          <w:rPr>
            <w:noProof/>
            <w:webHidden/>
          </w:rPr>
          <w:fldChar w:fldCharType="separate"/>
        </w:r>
        <w:r w:rsidR="00B528B1">
          <w:rPr>
            <w:noProof/>
            <w:webHidden/>
          </w:rPr>
          <w:t>24</w:t>
        </w:r>
        <w:r>
          <w:rPr>
            <w:noProof/>
            <w:webHidden/>
          </w:rPr>
          <w:fldChar w:fldCharType="end"/>
        </w:r>
      </w:hyperlink>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21" w:history="1">
        <w:r w:rsidR="009625E9" w:rsidRPr="00246593">
          <w:rPr>
            <w:rStyle w:val="Hyperlink"/>
            <w:bCs/>
            <w:noProof/>
          </w:rPr>
          <w:t>International linkages</w:t>
        </w:r>
        <w:r w:rsidR="009625E9">
          <w:rPr>
            <w:noProof/>
            <w:webHidden/>
          </w:rPr>
          <w:tab/>
        </w:r>
        <w:r>
          <w:rPr>
            <w:noProof/>
            <w:webHidden/>
          </w:rPr>
          <w:fldChar w:fldCharType="begin"/>
        </w:r>
        <w:r w:rsidR="009625E9">
          <w:rPr>
            <w:noProof/>
            <w:webHidden/>
          </w:rPr>
          <w:instrText xml:space="preserve"> PAGEREF _Toc263163121 \h </w:instrText>
        </w:r>
        <w:r>
          <w:rPr>
            <w:noProof/>
            <w:webHidden/>
          </w:rPr>
        </w:r>
        <w:r>
          <w:rPr>
            <w:noProof/>
            <w:webHidden/>
          </w:rPr>
          <w:fldChar w:fldCharType="separate"/>
        </w:r>
        <w:r w:rsidR="00B528B1">
          <w:rPr>
            <w:noProof/>
            <w:webHidden/>
          </w:rPr>
          <w:t>24</w:t>
        </w:r>
        <w:r>
          <w:rPr>
            <w:noProof/>
            <w:webHidden/>
          </w:rPr>
          <w:fldChar w:fldCharType="end"/>
        </w:r>
      </w:hyperlink>
    </w:p>
    <w:p w:rsidR="009625E9" w:rsidRDefault="00433EA0" w:rsidP="009625E9">
      <w:pPr>
        <w:pStyle w:val="TOC1"/>
        <w:spacing w:line="360" w:lineRule="auto"/>
        <w:rPr>
          <w:rFonts w:eastAsia="SimSun"/>
          <w:b w:val="0"/>
          <w:bCs w:val="0"/>
          <w:caps w:val="0"/>
          <w:sz w:val="24"/>
          <w:szCs w:val="24"/>
          <w:lang w:eastAsia="zh-CN"/>
        </w:rPr>
      </w:pPr>
      <w:hyperlink w:anchor="_Toc263163122" w:history="1">
        <w:r w:rsidR="009625E9" w:rsidRPr="00246593">
          <w:rPr>
            <w:rStyle w:val="Hyperlink"/>
          </w:rPr>
          <w:t>Administration</w:t>
        </w:r>
        <w:r w:rsidR="009625E9">
          <w:rPr>
            <w:webHidden/>
          </w:rPr>
          <w:tab/>
        </w:r>
        <w:r>
          <w:rPr>
            <w:webHidden/>
          </w:rPr>
          <w:fldChar w:fldCharType="begin"/>
        </w:r>
        <w:r w:rsidR="009625E9">
          <w:rPr>
            <w:webHidden/>
          </w:rPr>
          <w:instrText xml:space="preserve"> PAGEREF _Toc263163122 \h </w:instrText>
        </w:r>
        <w:r>
          <w:rPr>
            <w:webHidden/>
          </w:rPr>
        </w:r>
        <w:r>
          <w:rPr>
            <w:webHidden/>
          </w:rPr>
          <w:fldChar w:fldCharType="separate"/>
        </w:r>
        <w:r w:rsidR="00B528B1">
          <w:rPr>
            <w:webHidden/>
          </w:rPr>
          <w:t>25</w:t>
        </w:r>
        <w:r>
          <w:rPr>
            <w:webHidden/>
          </w:rPr>
          <w:fldChar w:fldCharType="end"/>
        </w:r>
      </w:hyperlink>
    </w:p>
    <w:p w:rsidR="006F6A0E" w:rsidRDefault="006F6A0E" w:rsidP="009625E9">
      <w:pPr>
        <w:pStyle w:val="TOC2"/>
        <w:tabs>
          <w:tab w:val="right" w:leader="dot" w:pos="8778"/>
        </w:tabs>
        <w:spacing w:line="360" w:lineRule="auto"/>
      </w:pPr>
      <w:r>
        <w:t>Governance</w:t>
      </w:r>
      <w:r>
        <w:tab/>
        <w:t>2</w:t>
      </w:r>
      <w:r w:rsidR="00994788">
        <w:t>5</w:t>
      </w:r>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23" w:history="1">
        <w:r w:rsidR="009625E9" w:rsidRPr="00246593">
          <w:rPr>
            <w:rStyle w:val="Hyperlink"/>
            <w:bCs/>
            <w:noProof/>
          </w:rPr>
          <w:t>Staffing</w:t>
        </w:r>
        <w:r w:rsidR="009625E9">
          <w:rPr>
            <w:noProof/>
            <w:webHidden/>
          </w:rPr>
          <w:tab/>
        </w:r>
        <w:r>
          <w:rPr>
            <w:noProof/>
            <w:webHidden/>
          </w:rPr>
          <w:fldChar w:fldCharType="begin"/>
        </w:r>
        <w:r w:rsidR="009625E9">
          <w:rPr>
            <w:noProof/>
            <w:webHidden/>
          </w:rPr>
          <w:instrText xml:space="preserve"> PAGEREF _Toc263163123 \h </w:instrText>
        </w:r>
        <w:r>
          <w:rPr>
            <w:noProof/>
            <w:webHidden/>
          </w:rPr>
        </w:r>
        <w:r>
          <w:rPr>
            <w:noProof/>
            <w:webHidden/>
          </w:rPr>
          <w:fldChar w:fldCharType="separate"/>
        </w:r>
        <w:r w:rsidR="00B528B1">
          <w:rPr>
            <w:noProof/>
            <w:webHidden/>
          </w:rPr>
          <w:t>25</w:t>
        </w:r>
        <w:r>
          <w:rPr>
            <w:noProof/>
            <w:webHidden/>
          </w:rPr>
          <w:fldChar w:fldCharType="end"/>
        </w:r>
      </w:hyperlink>
    </w:p>
    <w:p w:rsidR="009625E9" w:rsidRDefault="00433EA0" w:rsidP="009625E9">
      <w:pPr>
        <w:pStyle w:val="TOC1"/>
        <w:spacing w:line="360" w:lineRule="auto"/>
        <w:rPr>
          <w:rFonts w:eastAsia="SimSun"/>
          <w:b w:val="0"/>
          <w:bCs w:val="0"/>
          <w:caps w:val="0"/>
          <w:sz w:val="24"/>
          <w:szCs w:val="24"/>
          <w:lang w:eastAsia="zh-CN"/>
        </w:rPr>
      </w:pPr>
      <w:hyperlink w:anchor="_Toc263163124" w:history="1">
        <w:r w:rsidR="009625E9" w:rsidRPr="00246593">
          <w:rPr>
            <w:rStyle w:val="Hyperlink"/>
          </w:rPr>
          <w:t>Finance</w:t>
        </w:r>
        <w:r w:rsidR="009625E9">
          <w:rPr>
            <w:webHidden/>
          </w:rPr>
          <w:tab/>
        </w:r>
        <w:r>
          <w:rPr>
            <w:webHidden/>
          </w:rPr>
          <w:fldChar w:fldCharType="begin"/>
        </w:r>
        <w:r w:rsidR="009625E9">
          <w:rPr>
            <w:webHidden/>
          </w:rPr>
          <w:instrText xml:space="preserve"> PAGEREF _Toc263163124 \h </w:instrText>
        </w:r>
        <w:r>
          <w:rPr>
            <w:webHidden/>
          </w:rPr>
        </w:r>
        <w:r>
          <w:rPr>
            <w:webHidden/>
          </w:rPr>
          <w:fldChar w:fldCharType="separate"/>
        </w:r>
        <w:r w:rsidR="00B528B1">
          <w:rPr>
            <w:webHidden/>
          </w:rPr>
          <w:t>27</w:t>
        </w:r>
        <w:r>
          <w:rPr>
            <w:webHidden/>
          </w:rPr>
          <w:fldChar w:fldCharType="end"/>
        </w:r>
      </w:hyperlink>
    </w:p>
    <w:p w:rsidR="009625E9" w:rsidRDefault="00433EA0" w:rsidP="009625E9">
      <w:pPr>
        <w:pStyle w:val="TOC1"/>
        <w:spacing w:line="360" w:lineRule="auto"/>
        <w:rPr>
          <w:rFonts w:eastAsia="SimSun"/>
          <w:b w:val="0"/>
          <w:bCs w:val="0"/>
          <w:caps w:val="0"/>
          <w:sz w:val="24"/>
          <w:szCs w:val="24"/>
          <w:lang w:eastAsia="zh-CN"/>
        </w:rPr>
      </w:pPr>
      <w:hyperlink w:anchor="_Toc263163125" w:history="1">
        <w:r w:rsidR="009625E9" w:rsidRPr="00246593">
          <w:rPr>
            <w:rStyle w:val="Hyperlink"/>
          </w:rPr>
          <w:t>Key Performance Indicators</w:t>
        </w:r>
        <w:r w:rsidR="009625E9">
          <w:rPr>
            <w:webHidden/>
          </w:rPr>
          <w:tab/>
        </w:r>
        <w:r>
          <w:rPr>
            <w:webHidden/>
          </w:rPr>
          <w:fldChar w:fldCharType="begin"/>
        </w:r>
        <w:r w:rsidR="009625E9">
          <w:rPr>
            <w:webHidden/>
          </w:rPr>
          <w:instrText xml:space="preserve"> PAGEREF _Toc263163125 \h </w:instrText>
        </w:r>
        <w:r>
          <w:rPr>
            <w:webHidden/>
          </w:rPr>
        </w:r>
        <w:r>
          <w:rPr>
            <w:webHidden/>
          </w:rPr>
          <w:fldChar w:fldCharType="separate"/>
        </w:r>
        <w:r w:rsidR="00B528B1">
          <w:rPr>
            <w:webHidden/>
          </w:rPr>
          <w:t>28</w:t>
        </w:r>
        <w:r>
          <w:rPr>
            <w:webHidden/>
          </w:rPr>
          <w:fldChar w:fldCharType="end"/>
        </w:r>
      </w:hyperlink>
    </w:p>
    <w:p w:rsidR="009625E9" w:rsidRDefault="00433EA0" w:rsidP="009625E9">
      <w:pPr>
        <w:pStyle w:val="TOC1"/>
        <w:spacing w:line="360" w:lineRule="auto"/>
        <w:rPr>
          <w:rFonts w:eastAsia="SimSun"/>
          <w:b w:val="0"/>
          <w:bCs w:val="0"/>
          <w:caps w:val="0"/>
          <w:sz w:val="24"/>
          <w:szCs w:val="24"/>
          <w:lang w:eastAsia="zh-CN"/>
        </w:rPr>
      </w:pPr>
      <w:hyperlink w:anchor="_Toc263163126" w:history="1">
        <w:r w:rsidR="009625E9" w:rsidRPr="00246593">
          <w:rPr>
            <w:rStyle w:val="Hyperlink"/>
          </w:rPr>
          <w:t>Research</w:t>
        </w:r>
        <w:r w:rsidR="009625E9">
          <w:rPr>
            <w:webHidden/>
          </w:rPr>
          <w:tab/>
        </w:r>
        <w:r>
          <w:rPr>
            <w:webHidden/>
          </w:rPr>
          <w:fldChar w:fldCharType="begin"/>
        </w:r>
        <w:r w:rsidR="009625E9">
          <w:rPr>
            <w:webHidden/>
          </w:rPr>
          <w:instrText xml:space="preserve"> PAGEREF _Toc263163126 \h </w:instrText>
        </w:r>
        <w:r>
          <w:rPr>
            <w:webHidden/>
          </w:rPr>
        </w:r>
        <w:r>
          <w:rPr>
            <w:webHidden/>
          </w:rPr>
          <w:fldChar w:fldCharType="separate"/>
        </w:r>
        <w:r w:rsidR="00B528B1">
          <w:rPr>
            <w:webHidden/>
          </w:rPr>
          <w:t>31</w:t>
        </w:r>
        <w:r>
          <w:rPr>
            <w:webHidden/>
          </w:rPr>
          <w:fldChar w:fldCharType="end"/>
        </w:r>
      </w:hyperlink>
    </w:p>
    <w:p w:rsidR="00A15448" w:rsidRDefault="00A15448" w:rsidP="00A15448">
      <w:pPr>
        <w:pStyle w:val="TOC2"/>
        <w:tabs>
          <w:tab w:val="right" w:leader="dot" w:pos="8778"/>
        </w:tabs>
        <w:spacing w:line="360" w:lineRule="auto"/>
        <w:rPr>
          <w:rFonts w:eastAsia="SimSun"/>
          <w:smallCaps w:val="0"/>
          <w:noProof/>
          <w:sz w:val="24"/>
          <w:szCs w:val="24"/>
          <w:lang w:eastAsia="zh-CN"/>
        </w:rPr>
      </w:pPr>
      <w:r>
        <w:t xml:space="preserve">Purpose and </w:t>
      </w:r>
      <w:hyperlink w:anchor="_Toc263163127" w:history="1">
        <w:r w:rsidRPr="00246593">
          <w:rPr>
            <w:rStyle w:val="Hyperlink"/>
            <w:bCs/>
            <w:noProof/>
          </w:rPr>
          <w:t xml:space="preserve">Research </w:t>
        </w:r>
        <w:r>
          <w:rPr>
            <w:rStyle w:val="Hyperlink"/>
            <w:bCs/>
            <w:noProof/>
          </w:rPr>
          <w:t>Areas</w:t>
        </w:r>
        <w:r>
          <w:rPr>
            <w:noProof/>
            <w:webHidden/>
          </w:rPr>
          <w:tab/>
        </w:r>
      </w:hyperlink>
      <w:r w:rsidR="006F6A0E">
        <w:t>3</w:t>
      </w:r>
      <w:r w:rsidR="00994788">
        <w:t>1</w:t>
      </w:r>
      <w:hyperlink w:anchor="_Toc263163128" w:history="1"/>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27" w:history="1">
        <w:r w:rsidR="009625E9" w:rsidRPr="00246593">
          <w:rPr>
            <w:rStyle w:val="Hyperlink"/>
            <w:bCs/>
            <w:noProof/>
          </w:rPr>
          <w:t>Research Review Committee</w:t>
        </w:r>
        <w:r w:rsidR="009625E9">
          <w:rPr>
            <w:noProof/>
            <w:webHidden/>
          </w:rPr>
          <w:tab/>
        </w:r>
      </w:hyperlink>
      <w:r w:rsidR="006F6A0E">
        <w:t>3</w:t>
      </w:r>
      <w:r w:rsidR="00994788">
        <w:t>1</w:t>
      </w:r>
      <w:hyperlink w:anchor="_Toc263163128" w:history="1"/>
    </w:p>
    <w:p w:rsidR="009625E9" w:rsidRDefault="00433EA0" w:rsidP="009625E9">
      <w:pPr>
        <w:pStyle w:val="TOC2"/>
        <w:tabs>
          <w:tab w:val="right" w:leader="dot" w:pos="8778"/>
        </w:tabs>
        <w:spacing w:line="360" w:lineRule="auto"/>
        <w:rPr>
          <w:rFonts w:eastAsia="SimSun"/>
          <w:smallCaps w:val="0"/>
          <w:noProof/>
          <w:sz w:val="24"/>
          <w:szCs w:val="24"/>
          <w:lang w:eastAsia="zh-CN"/>
        </w:rPr>
      </w:pPr>
      <w:hyperlink w:anchor="_Toc263163129" w:history="1">
        <w:r w:rsidR="009625E9" w:rsidRPr="00246593">
          <w:rPr>
            <w:rStyle w:val="Hyperlink"/>
            <w:bCs/>
            <w:noProof/>
          </w:rPr>
          <w:t>Summaries of research in progress</w:t>
        </w:r>
        <w:r w:rsidR="009625E9">
          <w:rPr>
            <w:noProof/>
            <w:webHidden/>
          </w:rPr>
          <w:tab/>
        </w:r>
      </w:hyperlink>
      <w:r w:rsidR="006F6A0E">
        <w:t>3</w:t>
      </w:r>
      <w:r w:rsidR="00994788">
        <w:t>1</w:t>
      </w:r>
    </w:p>
    <w:p w:rsidR="009625E9" w:rsidRDefault="00433EA0" w:rsidP="009625E9">
      <w:pPr>
        <w:pStyle w:val="TOC1"/>
        <w:spacing w:line="360" w:lineRule="auto"/>
        <w:rPr>
          <w:rFonts w:eastAsia="SimSun"/>
          <w:b w:val="0"/>
          <w:bCs w:val="0"/>
          <w:caps w:val="0"/>
          <w:sz w:val="24"/>
          <w:szCs w:val="24"/>
          <w:lang w:eastAsia="zh-CN"/>
        </w:rPr>
      </w:pPr>
      <w:hyperlink w:anchor="_Toc263163130" w:history="1">
        <w:r w:rsidR="009625E9" w:rsidRPr="00246593">
          <w:rPr>
            <w:rStyle w:val="Hyperlink"/>
          </w:rPr>
          <w:t>Publications</w:t>
        </w:r>
        <w:r w:rsidR="009625E9">
          <w:rPr>
            <w:webHidden/>
          </w:rPr>
          <w:tab/>
        </w:r>
      </w:hyperlink>
      <w:r w:rsidR="00994788">
        <w:t>37</w:t>
      </w:r>
    </w:p>
    <w:p w:rsidR="009C6A1C" w:rsidRDefault="00433EA0" w:rsidP="009625E9">
      <w:pPr>
        <w:tabs>
          <w:tab w:val="left" w:pos="4980"/>
        </w:tabs>
        <w:spacing w:line="360" w:lineRule="auto"/>
        <w:ind w:right="-765"/>
        <w:rPr>
          <w:rFonts w:ascii="Times" w:hAnsi="Times"/>
          <w:b/>
          <w:sz w:val="28"/>
        </w:rPr>
      </w:pPr>
      <w:r>
        <w:rPr>
          <w:rFonts w:ascii="Times" w:hAnsi="Times"/>
          <w:b/>
          <w:sz w:val="28"/>
        </w:rPr>
        <w:fldChar w:fldCharType="end"/>
      </w:r>
    </w:p>
    <w:p w:rsidR="0029607E" w:rsidRPr="0029607E" w:rsidRDefault="009C6A1C" w:rsidP="009C6A1C">
      <w:pPr>
        <w:tabs>
          <w:tab w:val="left" w:pos="4980"/>
        </w:tabs>
        <w:ind w:right="-765"/>
        <w:rPr>
          <w:rStyle w:val="Hyperlink"/>
          <w:color w:val="auto"/>
        </w:rPr>
      </w:pPr>
      <w:r>
        <w:rPr>
          <w:rFonts w:ascii="Times" w:hAnsi="Times"/>
          <w:b/>
          <w:sz w:val="28"/>
        </w:rPr>
        <w:br w:type="page"/>
      </w:r>
      <w:bookmarkStart w:id="0" w:name="_Toc488115486"/>
      <w:r w:rsidR="0029607E" w:rsidRPr="009C6A1C">
        <w:rPr>
          <w:rStyle w:val="Hyperlink"/>
          <w:b/>
          <w:color w:val="auto"/>
          <w:sz w:val="36"/>
          <w:szCs w:val="36"/>
          <w:u w:val="none"/>
        </w:rPr>
        <w:lastRenderedPageBreak/>
        <w:t>F</w:t>
      </w:r>
      <w:r w:rsidRPr="009C6A1C">
        <w:rPr>
          <w:rStyle w:val="Hyperlink"/>
          <w:b/>
          <w:color w:val="auto"/>
          <w:sz w:val="36"/>
          <w:szCs w:val="36"/>
          <w:u w:val="none"/>
        </w:rPr>
        <w:t>igures</w:t>
      </w:r>
    </w:p>
    <w:p w:rsidR="0029607E" w:rsidRPr="0029607E" w:rsidRDefault="0029607E">
      <w:pPr>
        <w:pStyle w:val="TableofFigures"/>
        <w:tabs>
          <w:tab w:val="right" w:leader="dot" w:pos="8778"/>
        </w:tabs>
        <w:rPr>
          <w:b/>
          <w:color w:val="0000FF"/>
          <w:szCs w:val="24"/>
        </w:rPr>
      </w:pPr>
    </w:p>
    <w:p w:rsidR="009625E9" w:rsidRDefault="00433EA0" w:rsidP="009625E9">
      <w:pPr>
        <w:pStyle w:val="TableofFigures"/>
        <w:tabs>
          <w:tab w:val="right" w:leader="dot" w:pos="8778"/>
        </w:tabs>
        <w:spacing w:line="360" w:lineRule="auto"/>
        <w:rPr>
          <w:rFonts w:eastAsia="SimSun"/>
          <w:noProof/>
          <w:szCs w:val="24"/>
          <w:lang w:eastAsia="zh-CN"/>
        </w:rPr>
      </w:pPr>
      <w:r w:rsidRPr="00A351DA">
        <w:rPr>
          <w:b/>
          <w:color w:val="0000FF"/>
          <w:sz w:val="22"/>
          <w:szCs w:val="22"/>
        </w:rPr>
        <w:fldChar w:fldCharType="begin"/>
      </w:r>
      <w:r w:rsidR="0029607E" w:rsidRPr="00A351DA">
        <w:rPr>
          <w:b/>
          <w:color w:val="0000FF"/>
          <w:sz w:val="22"/>
          <w:szCs w:val="22"/>
        </w:rPr>
        <w:instrText xml:space="preserve"> TOC \h \z \c "Figure" </w:instrText>
      </w:r>
      <w:r w:rsidRPr="00A351DA">
        <w:rPr>
          <w:b/>
          <w:color w:val="0000FF"/>
          <w:sz w:val="22"/>
          <w:szCs w:val="22"/>
        </w:rPr>
        <w:fldChar w:fldCharType="separate"/>
      </w:r>
      <w:hyperlink w:anchor="_Toc263163132" w:history="1">
        <w:r w:rsidR="009625E9" w:rsidRPr="003E1445">
          <w:rPr>
            <w:rStyle w:val="Hyperlink"/>
            <w:noProof/>
          </w:rPr>
          <w:t xml:space="preserve">Figure 1 : Australian plague locust distribution: </w:t>
        </w:r>
        <w:r w:rsidR="00A15448">
          <w:rPr>
            <w:rStyle w:val="Hyperlink"/>
            <w:noProof/>
          </w:rPr>
          <w:t>September 2009</w:t>
        </w:r>
        <w:r w:rsidR="009625E9">
          <w:rPr>
            <w:noProof/>
            <w:webHidden/>
          </w:rPr>
          <w:tab/>
        </w:r>
        <w:r>
          <w:rPr>
            <w:noProof/>
            <w:webHidden/>
          </w:rPr>
          <w:fldChar w:fldCharType="begin"/>
        </w:r>
        <w:r w:rsidR="009625E9">
          <w:rPr>
            <w:noProof/>
            <w:webHidden/>
          </w:rPr>
          <w:instrText xml:space="preserve"> PAGEREF _Toc263163132 \h </w:instrText>
        </w:r>
        <w:r>
          <w:rPr>
            <w:noProof/>
            <w:webHidden/>
          </w:rPr>
        </w:r>
        <w:r>
          <w:rPr>
            <w:noProof/>
            <w:webHidden/>
          </w:rPr>
          <w:fldChar w:fldCharType="separate"/>
        </w:r>
        <w:r w:rsidR="00B528B1">
          <w:rPr>
            <w:noProof/>
            <w:webHidden/>
          </w:rPr>
          <w:t>9</w:t>
        </w:r>
        <w:r>
          <w:rPr>
            <w:noProof/>
            <w:webHidden/>
          </w:rPr>
          <w:fldChar w:fldCharType="end"/>
        </w:r>
      </w:hyperlink>
    </w:p>
    <w:p w:rsidR="009625E9" w:rsidRDefault="00433EA0" w:rsidP="009625E9">
      <w:pPr>
        <w:pStyle w:val="TableofFigures"/>
        <w:tabs>
          <w:tab w:val="right" w:leader="dot" w:pos="8778"/>
        </w:tabs>
        <w:spacing w:line="360" w:lineRule="auto"/>
        <w:rPr>
          <w:rFonts w:eastAsia="SimSun"/>
          <w:noProof/>
          <w:szCs w:val="24"/>
          <w:lang w:eastAsia="zh-CN"/>
        </w:rPr>
      </w:pPr>
      <w:hyperlink w:anchor="_Toc263163133" w:history="1">
        <w:r w:rsidR="009625E9" w:rsidRPr="003E1445">
          <w:rPr>
            <w:rStyle w:val="Hyperlink"/>
            <w:noProof/>
          </w:rPr>
          <w:t xml:space="preserve">Figure 2 : Australian plague locust distribution: </w:t>
        </w:r>
        <w:r w:rsidR="00A15448">
          <w:rPr>
            <w:rStyle w:val="Hyperlink"/>
            <w:noProof/>
          </w:rPr>
          <w:t>November</w:t>
        </w:r>
        <w:r w:rsidR="009625E9" w:rsidRPr="003E1445">
          <w:rPr>
            <w:rStyle w:val="Hyperlink"/>
            <w:noProof/>
          </w:rPr>
          <w:t xml:space="preserve"> 2009</w:t>
        </w:r>
        <w:r w:rsidR="009625E9">
          <w:rPr>
            <w:noProof/>
            <w:webHidden/>
          </w:rPr>
          <w:tab/>
        </w:r>
        <w:r>
          <w:rPr>
            <w:noProof/>
            <w:webHidden/>
          </w:rPr>
          <w:fldChar w:fldCharType="begin"/>
        </w:r>
        <w:r w:rsidR="009625E9">
          <w:rPr>
            <w:noProof/>
            <w:webHidden/>
          </w:rPr>
          <w:instrText xml:space="preserve"> PAGEREF _Toc263163133 \h </w:instrText>
        </w:r>
        <w:r>
          <w:rPr>
            <w:noProof/>
            <w:webHidden/>
          </w:rPr>
        </w:r>
        <w:r>
          <w:rPr>
            <w:noProof/>
            <w:webHidden/>
          </w:rPr>
          <w:fldChar w:fldCharType="separate"/>
        </w:r>
        <w:r w:rsidR="00B528B1">
          <w:rPr>
            <w:noProof/>
            <w:webHidden/>
          </w:rPr>
          <w:t>10</w:t>
        </w:r>
        <w:r>
          <w:rPr>
            <w:noProof/>
            <w:webHidden/>
          </w:rPr>
          <w:fldChar w:fldCharType="end"/>
        </w:r>
      </w:hyperlink>
    </w:p>
    <w:p w:rsidR="009625E9" w:rsidRDefault="00433EA0" w:rsidP="009625E9">
      <w:pPr>
        <w:pStyle w:val="TableofFigures"/>
        <w:tabs>
          <w:tab w:val="right" w:leader="dot" w:pos="8778"/>
        </w:tabs>
        <w:spacing w:line="360" w:lineRule="auto"/>
        <w:rPr>
          <w:rFonts w:eastAsia="SimSun"/>
          <w:noProof/>
          <w:szCs w:val="24"/>
          <w:lang w:eastAsia="zh-CN"/>
        </w:rPr>
      </w:pPr>
      <w:hyperlink w:anchor="_Toc263163134" w:history="1">
        <w:r w:rsidR="009625E9" w:rsidRPr="003E1445">
          <w:rPr>
            <w:rStyle w:val="Hyperlink"/>
            <w:noProof/>
          </w:rPr>
          <w:t xml:space="preserve">Figure 3 : Australian plague locust distribution: </w:t>
        </w:r>
        <w:r w:rsidR="00A15448">
          <w:rPr>
            <w:rStyle w:val="Hyperlink"/>
            <w:noProof/>
          </w:rPr>
          <w:t>January 2010</w:t>
        </w:r>
        <w:r w:rsidR="009625E9">
          <w:rPr>
            <w:noProof/>
            <w:webHidden/>
          </w:rPr>
          <w:tab/>
        </w:r>
        <w:r>
          <w:rPr>
            <w:noProof/>
            <w:webHidden/>
          </w:rPr>
          <w:fldChar w:fldCharType="begin"/>
        </w:r>
        <w:r w:rsidR="009625E9">
          <w:rPr>
            <w:noProof/>
            <w:webHidden/>
          </w:rPr>
          <w:instrText xml:space="preserve"> PAGEREF _Toc263163134 \h </w:instrText>
        </w:r>
        <w:r>
          <w:rPr>
            <w:noProof/>
            <w:webHidden/>
          </w:rPr>
        </w:r>
        <w:r>
          <w:rPr>
            <w:noProof/>
            <w:webHidden/>
          </w:rPr>
          <w:fldChar w:fldCharType="separate"/>
        </w:r>
        <w:r w:rsidR="00B528B1">
          <w:rPr>
            <w:noProof/>
            <w:webHidden/>
          </w:rPr>
          <w:t>11</w:t>
        </w:r>
        <w:r>
          <w:rPr>
            <w:noProof/>
            <w:webHidden/>
          </w:rPr>
          <w:fldChar w:fldCharType="end"/>
        </w:r>
      </w:hyperlink>
    </w:p>
    <w:p w:rsidR="009625E9" w:rsidRDefault="00433EA0" w:rsidP="009625E9">
      <w:pPr>
        <w:pStyle w:val="TableofFigures"/>
        <w:tabs>
          <w:tab w:val="right" w:leader="dot" w:pos="8778"/>
        </w:tabs>
        <w:spacing w:line="360" w:lineRule="auto"/>
      </w:pPr>
      <w:hyperlink w:anchor="_Toc263163135" w:history="1">
        <w:r w:rsidR="009625E9" w:rsidRPr="003E1445">
          <w:rPr>
            <w:rStyle w:val="Hyperlink"/>
            <w:noProof/>
          </w:rPr>
          <w:t>Figure 4 : Australian plague locust distribution: March 20</w:t>
        </w:r>
        <w:r w:rsidR="00A15448">
          <w:rPr>
            <w:rStyle w:val="Hyperlink"/>
            <w:noProof/>
          </w:rPr>
          <w:t>1</w:t>
        </w:r>
        <w:r w:rsidR="009625E9" w:rsidRPr="003E1445">
          <w:rPr>
            <w:rStyle w:val="Hyperlink"/>
            <w:noProof/>
          </w:rPr>
          <w:t>0</w:t>
        </w:r>
        <w:r w:rsidR="009625E9">
          <w:rPr>
            <w:noProof/>
            <w:webHidden/>
          </w:rPr>
          <w:tab/>
        </w:r>
        <w:r>
          <w:rPr>
            <w:noProof/>
            <w:webHidden/>
          </w:rPr>
          <w:fldChar w:fldCharType="begin"/>
        </w:r>
        <w:r w:rsidR="009625E9">
          <w:rPr>
            <w:noProof/>
            <w:webHidden/>
          </w:rPr>
          <w:instrText xml:space="preserve"> PAGEREF _Toc263163135 \h </w:instrText>
        </w:r>
        <w:r>
          <w:rPr>
            <w:noProof/>
            <w:webHidden/>
          </w:rPr>
        </w:r>
        <w:r>
          <w:rPr>
            <w:noProof/>
            <w:webHidden/>
          </w:rPr>
          <w:fldChar w:fldCharType="separate"/>
        </w:r>
        <w:r w:rsidR="00B528B1">
          <w:rPr>
            <w:noProof/>
            <w:webHidden/>
          </w:rPr>
          <w:t>12</w:t>
        </w:r>
        <w:r>
          <w:rPr>
            <w:noProof/>
            <w:webHidden/>
          </w:rPr>
          <w:fldChar w:fldCharType="end"/>
        </w:r>
      </w:hyperlink>
    </w:p>
    <w:p w:rsidR="00A15448" w:rsidRDefault="00433EA0" w:rsidP="00A15448">
      <w:pPr>
        <w:pStyle w:val="TableofFigures"/>
        <w:tabs>
          <w:tab w:val="right" w:leader="dot" w:pos="8778"/>
        </w:tabs>
        <w:spacing w:line="360" w:lineRule="auto"/>
        <w:rPr>
          <w:rFonts w:eastAsia="SimSun"/>
          <w:noProof/>
          <w:szCs w:val="24"/>
          <w:lang w:eastAsia="zh-CN"/>
        </w:rPr>
      </w:pPr>
      <w:hyperlink w:anchor="_Toc263163135" w:history="1">
        <w:r w:rsidR="00A15448">
          <w:rPr>
            <w:rStyle w:val="Hyperlink"/>
            <w:noProof/>
          </w:rPr>
          <w:t>Figure 5</w:t>
        </w:r>
        <w:r w:rsidR="00A15448" w:rsidRPr="003E1445">
          <w:rPr>
            <w:rStyle w:val="Hyperlink"/>
            <w:noProof/>
          </w:rPr>
          <w:t xml:space="preserve"> : Australian plague locust distribution: </w:t>
        </w:r>
        <w:r w:rsidR="00A15448">
          <w:rPr>
            <w:rStyle w:val="Hyperlink"/>
            <w:noProof/>
          </w:rPr>
          <w:t>A</w:t>
        </w:r>
        <w:r w:rsidR="006F6A0E">
          <w:rPr>
            <w:rStyle w:val="Hyperlink"/>
            <w:noProof/>
          </w:rPr>
          <w:t>p</w:t>
        </w:r>
        <w:r w:rsidR="00A15448">
          <w:rPr>
            <w:rStyle w:val="Hyperlink"/>
            <w:noProof/>
          </w:rPr>
          <w:t>ril 2010</w:t>
        </w:r>
        <w:r w:rsidR="00A15448">
          <w:rPr>
            <w:noProof/>
            <w:webHidden/>
          </w:rPr>
          <w:tab/>
        </w:r>
      </w:hyperlink>
      <w:r w:rsidR="00F77CC0">
        <w:t>1</w:t>
      </w:r>
      <w:r w:rsidR="00A71915">
        <w:t>3</w:t>
      </w:r>
    </w:p>
    <w:p w:rsidR="00A15448" w:rsidRDefault="00433EA0" w:rsidP="00A15448">
      <w:pPr>
        <w:pStyle w:val="TableofFigures"/>
        <w:tabs>
          <w:tab w:val="right" w:leader="dot" w:pos="8778"/>
        </w:tabs>
        <w:spacing w:line="360" w:lineRule="auto"/>
        <w:rPr>
          <w:rFonts w:eastAsia="SimSun"/>
          <w:noProof/>
          <w:szCs w:val="24"/>
          <w:lang w:eastAsia="zh-CN"/>
        </w:rPr>
      </w:pPr>
      <w:hyperlink w:anchor="_Toc263163135" w:history="1">
        <w:r w:rsidR="00A15448">
          <w:rPr>
            <w:rStyle w:val="Hyperlink"/>
            <w:noProof/>
          </w:rPr>
          <w:t>Figure 6</w:t>
        </w:r>
        <w:r w:rsidR="00A15448" w:rsidRPr="003E1445">
          <w:rPr>
            <w:rStyle w:val="Hyperlink"/>
            <w:noProof/>
          </w:rPr>
          <w:t xml:space="preserve"> : </w:t>
        </w:r>
        <w:r w:rsidR="00A15448">
          <w:rPr>
            <w:rStyle w:val="Hyperlink"/>
            <w:noProof/>
          </w:rPr>
          <w:t>Spur-throated</w:t>
        </w:r>
        <w:r w:rsidR="00A15448" w:rsidRPr="003E1445">
          <w:rPr>
            <w:rStyle w:val="Hyperlink"/>
            <w:noProof/>
          </w:rPr>
          <w:t xml:space="preserve"> locust distribution: </w:t>
        </w:r>
        <w:r w:rsidR="00A900F3">
          <w:rPr>
            <w:rStyle w:val="Hyperlink"/>
            <w:noProof/>
          </w:rPr>
          <w:t>A</w:t>
        </w:r>
        <w:r w:rsidR="00A15448" w:rsidRPr="003E1445">
          <w:rPr>
            <w:rStyle w:val="Hyperlink"/>
            <w:noProof/>
          </w:rPr>
          <w:t xml:space="preserve"> 20</w:t>
        </w:r>
        <w:r w:rsidR="00A15448">
          <w:rPr>
            <w:rStyle w:val="Hyperlink"/>
            <w:noProof/>
          </w:rPr>
          <w:t>1</w:t>
        </w:r>
        <w:r w:rsidR="00A15448" w:rsidRPr="003E1445">
          <w:rPr>
            <w:rStyle w:val="Hyperlink"/>
            <w:noProof/>
          </w:rPr>
          <w:t>0</w:t>
        </w:r>
        <w:r w:rsidR="00A15448">
          <w:rPr>
            <w:noProof/>
            <w:webHidden/>
          </w:rPr>
          <w:tab/>
        </w:r>
      </w:hyperlink>
      <w:r w:rsidR="00F77CC0">
        <w:t>1</w:t>
      </w:r>
      <w:r w:rsidR="00A71915">
        <w:t>6</w:t>
      </w:r>
    </w:p>
    <w:p w:rsidR="00A15448" w:rsidRDefault="00433EA0" w:rsidP="00A15448">
      <w:pPr>
        <w:pStyle w:val="TableofFigures"/>
        <w:tabs>
          <w:tab w:val="right" w:leader="dot" w:pos="8778"/>
        </w:tabs>
        <w:spacing w:line="360" w:lineRule="auto"/>
        <w:rPr>
          <w:rFonts w:eastAsia="SimSun"/>
          <w:noProof/>
          <w:szCs w:val="24"/>
          <w:lang w:eastAsia="zh-CN"/>
        </w:rPr>
      </w:pPr>
      <w:hyperlink w:anchor="_Toc263163135" w:history="1">
        <w:r w:rsidR="00A15448">
          <w:rPr>
            <w:rStyle w:val="Hyperlink"/>
            <w:noProof/>
          </w:rPr>
          <w:t>Figure 7</w:t>
        </w:r>
        <w:r w:rsidR="00A15448" w:rsidRPr="003E1445">
          <w:rPr>
            <w:rStyle w:val="Hyperlink"/>
            <w:noProof/>
          </w:rPr>
          <w:t xml:space="preserve"> : </w:t>
        </w:r>
        <w:r w:rsidR="00A15448">
          <w:rPr>
            <w:rStyle w:val="Hyperlink"/>
            <w:noProof/>
          </w:rPr>
          <w:t xml:space="preserve">Nightly displacement of </w:t>
        </w:r>
        <w:r w:rsidR="00A15448">
          <w:rPr>
            <w:rStyle w:val="Hyperlink"/>
            <w:i/>
            <w:noProof/>
          </w:rPr>
          <w:t>Chortoicetes terminifera</w:t>
        </w:r>
        <w:r w:rsidR="00A15448">
          <w:rPr>
            <w:rStyle w:val="Hyperlink"/>
            <w:noProof/>
          </w:rPr>
          <w:t xml:space="preserve"> over Bourke IMR</w:t>
        </w:r>
        <w:r w:rsidR="00A15448">
          <w:rPr>
            <w:noProof/>
            <w:webHidden/>
          </w:rPr>
          <w:tab/>
        </w:r>
      </w:hyperlink>
      <w:r w:rsidR="00F77CC0">
        <w:t>1</w:t>
      </w:r>
      <w:r w:rsidR="00A71915">
        <w:t>8</w:t>
      </w:r>
    </w:p>
    <w:p w:rsidR="00A15448" w:rsidRDefault="00433EA0" w:rsidP="00A15448">
      <w:pPr>
        <w:pStyle w:val="TableofFigures"/>
        <w:tabs>
          <w:tab w:val="right" w:leader="dot" w:pos="8778"/>
        </w:tabs>
        <w:spacing w:line="360" w:lineRule="auto"/>
        <w:rPr>
          <w:rFonts w:eastAsia="SimSun"/>
          <w:noProof/>
          <w:szCs w:val="24"/>
          <w:lang w:eastAsia="zh-CN"/>
        </w:rPr>
      </w:pPr>
      <w:hyperlink w:anchor="_Toc263163135" w:history="1">
        <w:r w:rsidR="00A15448">
          <w:rPr>
            <w:rStyle w:val="Hyperlink"/>
            <w:noProof/>
          </w:rPr>
          <w:t>Figure 8</w:t>
        </w:r>
        <w:r w:rsidR="00A15448" w:rsidRPr="003E1445">
          <w:rPr>
            <w:rStyle w:val="Hyperlink"/>
            <w:noProof/>
          </w:rPr>
          <w:t xml:space="preserve"> : </w:t>
        </w:r>
        <w:r w:rsidR="00A15448">
          <w:rPr>
            <w:rStyle w:val="Hyperlink"/>
            <w:noProof/>
          </w:rPr>
          <w:t>Map of locust control operations October</w:t>
        </w:r>
        <w:r w:rsidR="00A15448" w:rsidRPr="003E1445">
          <w:rPr>
            <w:rStyle w:val="Hyperlink"/>
            <w:noProof/>
          </w:rPr>
          <w:t xml:space="preserve"> 2009</w:t>
        </w:r>
        <w:r w:rsidR="00A15448">
          <w:rPr>
            <w:noProof/>
            <w:webHidden/>
          </w:rPr>
          <w:tab/>
        </w:r>
      </w:hyperlink>
      <w:r w:rsidR="006F6A0E">
        <w:t>2</w:t>
      </w:r>
      <w:r w:rsidR="00A71915">
        <w:t>1</w:t>
      </w:r>
    </w:p>
    <w:p w:rsidR="00A15448" w:rsidRDefault="00433EA0" w:rsidP="00A15448">
      <w:pPr>
        <w:pStyle w:val="TableofFigures"/>
        <w:tabs>
          <w:tab w:val="right" w:leader="dot" w:pos="8778"/>
        </w:tabs>
        <w:spacing w:line="360" w:lineRule="auto"/>
        <w:rPr>
          <w:rFonts w:eastAsia="SimSun"/>
          <w:noProof/>
          <w:szCs w:val="24"/>
          <w:lang w:eastAsia="zh-CN"/>
        </w:rPr>
      </w:pPr>
      <w:hyperlink w:anchor="_Toc263163135" w:history="1">
        <w:r w:rsidR="00A15448">
          <w:rPr>
            <w:rStyle w:val="Hyperlink"/>
            <w:noProof/>
          </w:rPr>
          <w:t>Figure 9</w:t>
        </w:r>
        <w:r w:rsidR="00A15448" w:rsidRPr="003E1445">
          <w:rPr>
            <w:rStyle w:val="Hyperlink"/>
            <w:noProof/>
          </w:rPr>
          <w:t xml:space="preserve"> : </w:t>
        </w:r>
        <w:r w:rsidR="00A15448">
          <w:rPr>
            <w:rStyle w:val="Hyperlink"/>
            <w:noProof/>
          </w:rPr>
          <w:t>Map of locust control operations</w:t>
        </w:r>
        <w:r w:rsidR="00A15448" w:rsidRPr="003E1445">
          <w:rPr>
            <w:rStyle w:val="Hyperlink"/>
            <w:noProof/>
          </w:rPr>
          <w:t xml:space="preserve"> March 20</w:t>
        </w:r>
        <w:r w:rsidR="00A15448">
          <w:rPr>
            <w:rStyle w:val="Hyperlink"/>
            <w:noProof/>
          </w:rPr>
          <w:t>1</w:t>
        </w:r>
        <w:r w:rsidR="00A15448" w:rsidRPr="003E1445">
          <w:rPr>
            <w:rStyle w:val="Hyperlink"/>
            <w:noProof/>
          </w:rPr>
          <w:t>0</w:t>
        </w:r>
        <w:r w:rsidR="00A15448">
          <w:rPr>
            <w:noProof/>
            <w:webHidden/>
          </w:rPr>
          <w:tab/>
        </w:r>
        <w:r w:rsidR="006F6A0E">
          <w:rPr>
            <w:noProof/>
            <w:webHidden/>
          </w:rPr>
          <w:t>2</w:t>
        </w:r>
      </w:hyperlink>
      <w:r w:rsidR="00A71915">
        <w:t>1</w:t>
      </w:r>
    </w:p>
    <w:p w:rsidR="00A15448" w:rsidRDefault="00433EA0" w:rsidP="00A15448">
      <w:pPr>
        <w:pStyle w:val="TableofFigures"/>
        <w:tabs>
          <w:tab w:val="right" w:leader="dot" w:pos="8778"/>
        </w:tabs>
        <w:spacing w:line="360" w:lineRule="auto"/>
        <w:rPr>
          <w:rFonts w:eastAsia="SimSun"/>
          <w:noProof/>
          <w:szCs w:val="24"/>
          <w:lang w:eastAsia="zh-CN"/>
        </w:rPr>
      </w:pPr>
      <w:hyperlink w:anchor="_Toc263163135" w:history="1">
        <w:r w:rsidR="00A15448">
          <w:rPr>
            <w:rStyle w:val="Hyperlink"/>
            <w:noProof/>
          </w:rPr>
          <w:t>Figure 10</w:t>
        </w:r>
        <w:r w:rsidR="00A15448" w:rsidRPr="003E1445">
          <w:rPr>
            <w:rStyle w:val="Hyperlink"/>
            <w:noProof/>
          </w:rPr>
          <w:t xml:space="preserve"> :</w:t>
        </w:r>
        <w:r w:rsidR="0026658C" w:rsidRPr="0026658C">
          <w:rPr>
            <w:sz w:val="22"/>
          </w:rPr>
          <w:t xml:space="preserve"> </w:t>
        </w:r>
        <w:r w:rsidR="0026658C" w:rsidRPr="00D1724E">
          <w:rPr>
            <w:sz w:val="22"/>
          </w:rPr>
          <w:t xml:space="preserve">Estimates of </w:t>
        </w:r>
        <w:r w:rsidR="0026658C" w:rsidRPr="00D1724E">
          <w:rPr>
            <w:i/>
            <w:sz w:val="22"/>
          </w:rPr>
          <w:t>Nomadacris septemfa</w:t>
        </w:r>
        <w:r w:rsidR="00E05727">
          <w:rPr>
            <w:i/>
            <w:sz w:val="22"/>
          </w:rPr>
          <w:t>sciat</w:t>
        </w:r>
        <w:r w:rsidR="0026658C" w:rsidRPr="00D1724E">
          <w:rPr>
            <w:i/>
            <w:sz w:val="22"/>
          </w:rPr>
          <w:t>a</w:t>
        </w:r>
        <w:r w:rsidR="0026658C" w:rsidRPr="00D1724E">
          <w:rPr>
            <w:sz w:val="22"/>
          </w:rPr>
          <w:t xml:space="preserve"> </w:t>
        </w:r>
        <w:r w:rsidR="00A71915">
          <w:rPr>
            <w:sz w:val="22"/>
          </w:rPr>
          <w:t>killing r</w:t>
        </w:r>
        <w:r w:rsidR="0026658C" w:rsidRPr="00D1724E">
          <w:rPr>
            <w:sz w:val="22"/>
          </w:rPr>
          <w:t xml:space="preserve">ates by </w:t>
        </w:r>
        <w:r w:rsidR="0026658C" w:rsidRPr="0026658C">
          <w:rPr>
            <w:i/>
            <w:sz w:val="22"/>
          </w:rPr>
          <w:t>Metarhrizium</w:t>
        </w:r>
        <w:r w:rsidR="00A15448">
          <w:rPr>
            <w:noProof/>
            <w:webHidden/>
          </w:rPr>
          <w:tab/>
        </w:r>
      </w:hyperlink>
      <w:r w:rsidR="006F6A0E">
        <w:t>3</w:t>
      </w:r>
      <w:r w:rsidR="00A71915">
        <w:t>2</w:t>
      </w:r>
    </w:p>
    <w:p w:rsidR="00A15448" w:rsidRDefault="00433EA0" w:rsidP="00A15448">
      <w:pPr>
        <w:pStyle w:val="TableofFigures"/>
        <w:tabs>
          <w:tab w:val="right" w:leader="dot" w:pos="8778"/>
        </w:tabs>
        <w:spacing w:line="360" w:lineRule="auto"/>
        <w:rPr>
          <w:rFonts w:eastAsia="SimSun"/>
          <w:noProof/>
          <w:szCs w:val="24"/>
          <w:lang w:eastAsia="zh-CN"/>
        </w:rPr>
      </w:pPr>
      <w:hyperlink w:anchor="_Toc263163135" w:history="1">
        <w:r w:rsidR="00A15448">
          <w:rPr>
            <w:rStyle w:val="Hyperlink"/>
            <w:noProof/>
          </w:rPr>
          <w:t>Figure 11</w:t>
        </w:r>
        <w:r w:rsidR="00A15448" w:rsidRPr="003E1445">
          <w:rPr>
            <w:rStyle w:val="Hyperlink"/>
            <w:noProof/>
          </w:rPr>
          <w:t xml:space="preserve"> :</w:t>
        </w:r>
        <w:r w:rsidR="0026658C" w:rsidRPr="0026658C">
          <w:rPr>
            <w:sz w:val="22"/>
          </w:rPr>
          <w:t xml:space="preserve"> </w:t>
        </w:r>
        <w:r w:rsidR="0026658C" w:rsidRPr="00D1724E">
          <w:rPr>
            <w:sz w:val="22"/>
          </w:rPr>
          <w:t xml:space="preserve">Estimates of </w:t>
        </w:r>
        <w:r w:rsidR="0026658C" w:rsidRPr="00D1724E">
          <w:rPr>
            <w:i/>
            <w:sz w:val="22"/>
          </w:rPr>
          <w:t>Chortoicetes terminifera</w:t>
        </w:r>
        <w:r w:rsidR="0026658C" w:rsidRPr="00D1724E">
          <w:rPr>
            <w:sz w:val="22"/>
          </w:rPr>
          <w:t xml:space="preserve"> </w:t>
        </w:r>
        <w:r w:rsidR="00A71915">
          <w:rPr>
            <w:sz w:val="22"/>
          </w:rPr>
          <w:t>k</w:t>
        </w:r>
        <w:r w:rsidR="0026658C" w:rsidRPr="00D1724E">
          <w:rPr>
            <w:sz w:val="22"/>
          </w:rPr>
          <w:t xml:space="preserve">illing </w:t>
        </w:r>
        <w:r w:rsidR="00A71915">
          <w:rPr>
            <w:sz w:val="22"/>
          </w:rPr>
          <w:t>r</w:t>
        </w:r>
        <w:r w:rsidR="0026658C" w:rsidRPr="00D1724E">
          <w:rPr>
            <w:sz w:val="22"/>
          </w:rPr>
          <w:t xml:space="preserve">ates by </w:t>
        </w:r>
        <w:r w:rsidR="0026658C" w:rsidRPr="0026658C">
          <w:rPr>
            <w:i/>
            <w:sz w:val="22"/>
          </w:rPr>
          <w:t>Metarhrizium</w:t>
        </w:r>
        <w:r w:rsidR="00A15448">
          <w:rPr>
            <w:noProof/>
            <w:webHidden/>
          </w:rPr>
          <w:tab/>
        </w:r>
      </w:hyperlink>
      <w:r w:rsidR="006F6A0E">
        <w:t>3</w:t>
      </w:r>
      <w:r w:rsidR="00A71915">
        <w:t>3</w:t>
      </w:r>
    </w:p>
    <w:p w:rsidR="00A15448" w:rsidRPr="00A15448" w:rsidRDefault="00A15448" w:rsidP="00A15448">
      <w:pPr>
        <w:rPr>
          <w:rFonts w:eastAsia="SimSun"/>
        </w:rPr>
      </w:pPr>
    </w:p>
    <w:p w:rsidR="00E60BA1" w:rsidRDefault="00433EA0" w:rsidP="009625E9">
      <w:pPr>
        <w:tabs>
          <w:tab w:val="left" w:pos="1276"/>
          <w:tab w:val="right" w:pos="7938"/>
        </w:tabs>
        <w:spacing w:before="20" w:after="20" w:line="360" w:lineRule="auto"/>
        <w:ind w:right="-765"/>
        <w:rPr>
          <w:b/>
          <w:color w:val="0000FF"/>
          <w:sz w:val="22"/>
          <w:szCs w:val="22"/>
        </w:rPr>
      </w:pPr>
      <w:r w:rsidRPr="00A351DA">
        <w:rPr>
          <w:b/>
          <w:color w:val="0000FF"/>
          <w:sz w:val="22"/>
          <w:szCs w:val="22"/>
        </w:rPr>
        <w:fldChar w:fldCharType="end"/>
      </w:r>
    </w:p>
    <w:p w:rsidR="00FC155E" w:rsidRDefault="00FC155E" w:rsidP="00EF5214">
      <w:pPr>
        <w:tabs>
          <w:tab w:val="left" w:pos="1276"/>
          <w:tab w:val="right" w:pos="7938"/>
        </w:tabs>
        <w:spacing w:before="20" w:after="20"/>
        <w:ind w:right="-765"/>
        <w:rPr>
          <w:b/>
          <w:color w:val="0000FF"/>
          <w:sz w:val="36"/>
          <w:szCs w:val="36"/>
        </w:rPr>
      </w:pPr>
    </w:p>
    <w:p w:rsidR="009C6A1C" w:rsidRPr="00FC155E" w:rsidRDefault="009C6A1C">
      <w:pPr>
        <w:pStyle w:val="TableofFigures"/>
        <w:tabs>
          <w:tab w:val="right" w:leader="dot" w:pos="8778"/>
        </w:tabs>
        <w:rPr>
          <w:b/>
          <w:sz w:val="36"/>
          <w:szCs w:val="36"/>
        </w:rPr>
      </w:pPr>
      <w:r w:rsidRPr="00FC155E">
        <w:rPr>
          <w:b/>
          <w:sz w:val="36"/>
          <w:szCs w:val="36"/>
        </w:rPr>
        <w:t>Tables</w:t>
      </w:r>
    </w:p>
    <w:p w:rsidR="009F0F94" w:rsidRPr="009F0F94" w:rsidRDefault="009F0F94" w:rsidP="009F0F94"/>
    <w:p w:rsidR="00305DBE" w:rsidRPr="00305DBE" w:rsidRDefault="00433EA0" w:rsidP="00305DBE">
      <w:pPr>
        <w:pStyle w:val="TableofFigures"/>
        <w:tabs>
          <w:tab w:val="right" w:leader="dot" w:pos="8778"/>
        </w:tabs>
        <w:rPr>
          <w:noProof/>
          <w:sz w:val="22"/>
          <w:szCs w:val="22"/>
          <w:lang w:eastAsia="en-AU"/>
        </w:rPr>
      </w:pPr>
      <w:hyperlink w:anchor="_Toc209581995" w:history="1">
        <w:r w:rsidR="00305DBE" w:rsidRPr="00305DBE">
          <w:rPr>
            <w:rStyle w:val="Hyperlink"/>
            <w:noProof/>
            <w:color w:val="auto"/>
            <w:sz w:val="22"/>
            <w:szCs w:val="22"/>
            <w:u w:val="none"/>
          </w:rPr>
          <w:t xml:space="preserve">Table 1 : </w:t>
        </w:r>
        <w:r w:rsidR="00305DBE" w:rsidRPr="00305DBE">
          <w:rPr>
            <w:sz w:val="22"/>
            <w:szCs w:val="22"/>
          </w:rPr>
          <w:t>Control operations 200</w:t>
        </w:r>
        <w:r w:rsidR="006F6A0E">
          <w:rPr>
            <w:sz w:val="22"/>
            <w:szCs w:val="22"/>
          </w:rPr>
          <w:t>9</w:t>
        </w:r>
        <w:r w:rsidR="00305DBE" w:rsidRPr="00305DBE">
          <w:rPr>
            <w:sz w:val="22"/>
            <w:szCs w:val="22"/>
          </w:rPr>
          <w:t>-</w:t>
        </w:r>
        <w:r w:rsidR="006F6A0E">
          <w:rPr>
            <w:sz w:val="22"/>
            <w:szCs w:val="22"/>
          </w:rPr>
          <w:t>1</w:t>
        </w:r>
        <w:r w:rsidR="00305DBE" w:rsidRPr="00305DBE">
          <w:rPr>
            <w:sz w:val="22"/>
            <w:szCs w:val="22"/>
          </w:rPr>
          <w:t>0</w:t>
        </w:r>
        <w:r w:rsidR="00305DBE" w:rsidRPr="00305DBE">
          <w:rPr>
            <w:noProof/>
            <w:webHidden/>
            <w:sz w:val="22"/>
            <w:szCs w:val="22"/>
          </w:rPr>
          <w:tab/>
        </w:r>
      </w:hyperlink>
      <w:r w:rsidR="006F6A0E">
        <w:t>2</w:t>
      </w:r>
      <w:r w:rsidR="00A71915">
        <w:t>0</w:t>
      </w:r>
    </w:p>
    <w:p w:rsidR="00305DBE" w:rsidRPr="00305DBE" w:rsidRDefault="00305DBE" w:rsidP="009F0F94">
      <w:pPr>
        <w:pStyle w:val="TableofFigures"/>
        <w:tabs>
          <w:tab w:val="right" w:leader="dot" w:pos="8778"/>
        </w:tabs>
        <w:rPr>
          <w:sz w:val="22"/>
          <w:szCs w:val="22"/>
        </w:rPr>
      </w:pPr>
    </w:p>
    <w:p w:rsidR="00305DBE" w:rsidRPr="00305DBE" w:rsidRDefault="00433EA0" w:rsidP="00305DBE">
      <w:pPr>
        <w:pStyle w:val="TableofFigures"/>
        <w:tabs>
          <w:tab w:val="right" w:leader="dot" w:pos="8778"/>
        </w:tabs>
        <w:rPr>
          <w:noProof/>
          <w:sz w:val="22"/>
          <w:szCs w:val="22"/>
          <w:lang w:eastAsia="en-AU"/>
        </w:rPr>
      </w:pPr>
      <w:hyperlink w:anchor="_Toc209581995" w:history="1">
        <w:r w:rsidR="00305DBE" w:rsidRPr="00305DBE">
          <w:rPr>
            <w:rStyle w:val="Hyperlink"/>
            <w:noProof/>
            <w:color w:val="auto"/>
            <w:sz w:val="22"/>
            <w:szCs w:val="22"/>
            <w:u w:val="none"/>
          </w:rPr>
          <w:t xml:space="preserve">Table 2 : </w:t>
        </w:r>
        <w:r w:rsidR="00305DBE" w:rsidRPr="00305DBE">
          <w:rPr>
            <w:sz w:val="22"/>
            <w:szCs w:val="22"/>
          </w:rPr>
          <w:t>Area treated by pesticide type 200</w:t>
        </w:r>
        <w:r w:rsidR="006F6A0E">
          <w:rPr>
            <w:sz w:val="22"/>
            <w:szCs w:val="22"/>
          </w:rPr>
          <w:t>9</w:t>
        </w:r>
        <w:r w:rsidR="00305DBE" w:rsidRPr="00305DBE">
          <w:rPr>
            <w:sz w:val="22"/>
            <w:szCs w:val="22"/>
          </w:rPr>
          <w:t>-</w:t>
        </w:r>
        <w:r w:rsidR="006F6A0E">
          <w:rPr>
            <w:sz w:val="22"/>
            <w:szCs w:val="22"/>
          </w:rPr>
          <w:t>1</w:t>
        </w:r>
        <w:r w:rsidR="00305DBE" w:rsidRPr="00305DBE">
          <w:rPr>
            <w:sz w:val="22"/>
            <w:szCs w:val="22"/>
          </w:rPr>
          <w:t>0</w:t>
        </w:r>
        <w:r w:rsidR="00305DBE" w:rsidRPr="00305DBE">
          <w:rPr>
            <w:noProof/>
            <w:webHidden/>
            <w:sz w:val="22"/>
            <w:szCs w:val="22"/>
          </w:rPr>
          <w:tab/>
        </w:r>
      </w:hyperlink>
      <w:r w:rsidR="006F6A0E">
        <w:t>2</w:t>
      </w:r>
      <w:r w:rsidR="00A71915">
        <w:t>0</w:t>
      </w:r>
    </w:p>
    <w:p w:rsidR="009F0F94" w:rsidRPr="006A0BB3" w:rsidRDefault="009F0F94">
      <w:pPr>
        <w:pStyle w:val="TableofFigures"/>
        <w:tabs>
          <w:tab w:val="right" w:leader="dot" w:pos="8778"/>
        </w:tabs>
        <w:rPr>
          <w:b/>
          <w:color w:val="0000FF"/>
          <w:sz w:val="22"/>
          <w:szCs w:val="22"/>
        </w:rPr>
      </w:pPr>
    </w:p>
    <w:p w:rsidR="0029607E" w:rsidRPr="006A0BB3" w:rsidRDefault="00433EA0">
      <w:pPr>
        <w:pStyle w:val="TableofFigures"/>
        <w:tabs>
          <w:tab w:val="right" w:leader="dot" w:pos="8778"/>
        </w:tabs>
        <w:rPr>
          <w:noProof/>
          <w:sz w:val="22"/>
          <w:szCs w:val="22"/>
          <w:lang w:eastAsia="en-AU"/>
        </w:rPr>
      </w:pPr>
      <w:r w:rsidRPr="006A0BB3">
        <w:rPr>
          <w:b/>
          <w:color w:val="0000FF"/>
          <w:sz w:val="22"/>
          <w:szCs w:val="22"/>
        </w:rPr>
        <w:fldChar w:fldCharType="begin"/>
      </w:r>
      <w:r w:rsidR="0029607E" w:rsidRPr="006A0BB3">
        <w:rPr>
          <w:b/>
          <w:color w:val="0000FF"/>
          <w:sz w:val="22"/>
          <w:szCs w:val="22"/>
        </w:rPr>
        <w:instrText xml:space="preserve"> TOC \h \z \c "Table" </w:instrText>
      </w:r>
      <w:r w:rsidRPr="006A0BB3">
        <w:rPr>
          <w:b/>
          <w:color w:val="0000FF"/>
          <w:sz w:val="22"/>
          <w:szCs w:val="22"/>
        </w:rPr>
        <w:fldChar w:fldCharType="separate"/>
      </w:r>
      <w:hyperlink w:anchor="_Toc209581995" w:history="1">
        <w:r w:rsidR="00FE3181" w:rsidRPr="006A0BB3">
          <w:rPr>
            <w:rStyle w:val="Hyperlink"/>
            <w:noProof/>
            <w:sz w:val="22"/>
            <w:szCs w:val="22"/>
            <w:u w:val="none"/>
          </w:rPr>
          <w:t>Table 3</w:t>
        </w:r>
        <w:r w:rsidR="0029607E" w:rsidRPr="006A0BB3">
          <w:rPr>
            <w:rStyle w:val="Hyperlink"/>
            <w:noProof/>
            <w:sz w:val="22"/>
            <w:szCs w:val="22"/>
            <w:u w:val="none"/>
          </w:rPr>
          <w:t xml:space="preserve"> : Locust control agent stocks</w:t>
        </w:r>
        <w:r w:rsidR="006F6A0E">
          <w:rPr>
            <w:rStyle w:val="Hyperlink"/>
            <w:noProof/>
            <w:sz w:val="22"/>
            <w:szCs w:val="22"/>
            <w:u w:val="none"/>
          </w:rPr>
          <w:t xml:space="preserve"> 2009-10</w:t>
        </w:r>
        <w:r w:rsidR="0029607E" w:rsidRPr="006A0BB3">
          <w:rPr>
            <w:noProof/>
            <w:webHidden/>
            <w:sz w:val="22"/>
            <w:szCs w:val="22"/>
          </w:rPr>
          <w:tab/>
        </w:r>
      </w:hyperlink>
      <w:r w:rsidR="006F6A0E">
        <w:t>2</w:t>
      </w:r>
      <w:r w:rsidR="00A71915">
        <w:t>2</w:t>
      </w:r>
    </w:p>
    <w:p w:rsidR="0029607E" w:rsidRPr="006A0BB3" w:rsidRDefault="0029607E">
      <w:pPr>
        <w:pStyle w:val="TableofFigures"/>
        <w:tabs>
          <w:tab w:val="right" w:leader="dot" w:pos="8778"/>
        </w:tabs>
        <w:rPr>
          <w:rStyle w:val="Hyperlink"/>
          <w:noProof/>
          <w:sz w:val="22"/>
          <w:szCs w:val="22"/>
          <w:u w:val="none"/>
        </w:rPr>
      </w:pPr>
    </w:p>
    <w:p w:rsidR="0029607E" w:rsidRPr="006A0BB3" w:rsidRDefault="00433EA0">
      <w:pPr>
        <w:pStyle w:val="TableofFigures"/>
        <w:tabs>
          <w:tab w:val="right" w:leader="dot" w:pos="8778"/>
        </w:tabs>
        <w:rPr>
          <w:noProof/>
          <w:sz w:val="22"/>
          <w:szCs w:val="22"/>
          <w:lang w:eastAsia="en-AU"/>
        </w:rPr>
      </w:pPr>
      <w:hyperlink w:anchor="_Toc209581996" w:history="1">
        <w:r w:rsidR="00FE3181" w:rsidRPr="006A0BB3">
          <w:rPr>
            <w:rStyle w:val="Hyperlink"/>
            <w:noProof/>
            <w:sz w:val="22"/>
            <w:szCs w:val="22"/>
            <w:u w:val="none"/>
          </w:rPr>
          <w:t>Table 4</w:t>
        </w:r>
        <w:r w:rsidR="0029607E" w:rsidRPr="006A0BB3">
          <w:rPr>
            <w:rStyle w:val="Hyperlink"/>
            <w:noProof/>
            <w:sz w:val="22"/>
            <w:szCs w:val="22"/>
            <w:u w:val="none"/>
          </w:rPr>
          <w:t xml:space="preserve"> :</w:t>
        </w:r>
        <w:r w:rsidR="0029607E" w:rsidRPr="006A0BB3">
          <w:rPr>
            <w:rStyle w:val="Hyperlink"/>
            <w:bCs/>
            <w:noProof/>
            <w:sz w:val="22"/>
            <w:szCs w:val="22"/>
            <w:u w:val="none"/>
          </w:rPr>
          <w:t xml:space="preserve"> Staffing position </w:t>
        </w:r>
        <w:r w:rsidR="006F6A0E">
          <w:rPr>
            <w:rStyle w:val="Hyperlink"/>
            <w:bCs/>
            <w:noProof/>
            <w:sz w:val="22"/>
            <w:szCs w:val="22"/>
            <w:u w:val="none"/>
          </w:rPr>
          <w:t>during 2009-10</w:t>
        </w:r>
        <w:r w:rsidR="0029607E" w:rsidRPr="006A0BB3">
          <w:rPr>
            <w:noProof/>
            <w:webHidden/>
            <w:sz w:val="22"/>
            <w:szCs w:val="22"/>
          </w:rPr>
          <w:tab/>
        </w:r>
        <w:r w:rsidRPr="006A0BB3">
          <w:rPr>
            <w:noProof/>
            <w:webHidden/>
            <w:sz w:val="22"/>
            <w:szCs w:val="22"/>
          </w:rPr>
          <w:fldChar w:fldCharType="begin"/>
        </w:r>
        <w:r w:rsidR="0029607E" w:rsidRPr="006A0BB3">
          <w:rPr>
            <w:noProof/>
            <w:webHidden/>
            <w:sz w:val="22"/>
            <w:szCs w:val="22"/>
          </w:rPr>
          <w:instrText xml:space="preserve"> PAGEREF _Toc209581996 \h </w:instrText>
        </w:r>
        <w:r w:rsidRPr="006A0BB3">
          <w:rPr>
            <w:noProof/>
            <w:webHidden/>
            <w:sz w:val="22"/>
            <w:szCs w:val="22"/>
          </w:rPr>
        </w:r>
        <w:r w:rsidRPr="006A0BB3">
          <w:rPr>
            <w:noProof/>
            <w:webHidden/>
            <w:sz w:val="22"/>
            <w:szCs w:val="22"/>
          </w:rPr>
          <w:fldChar w:fldCharType="separate"/>
        </w:r>
        <w:r w:rsidR="00B528B1">
          <w:rPr>
            <w:noProof/>
            <w:webHidden/>
            <w:sz w:val="22"/>
            <w:szCs w:val="22"/>
          </w:rPr>
          <w:t>26</w:t>
        </w:r>
        <w:r w:rsidRPr="006A0BB3">
          <w:rPr>
            <w:noProof/>
            <w:webHidden/>
            <w:sz w:val="22"/>
            <w:szCs w:val="22"/>
          </w:rPr>
          <w:fldChar w:fldCharType="end"/>
        </w:r>
      </w:hyperlink>
    </w:p>
    <w:p w:rsidR="0029607E" w:rsidRPr="006A0BB3" w:rsidRDefault="0029607E">
      <w:pPr>
        <w:pStyle w:val="TableofFigures"/>
        <w:tabs>
          <w:tab w:val="right" w:leader="dot" w:pos="8778"/>
        </w:tabs>
        <w:rPr>
          <w:rStyle w:val="Hyperlink"/>
          <w:noProof/>
          <w:sz w:val="22"/>
          <w:szCs w:val="22"/>
          <w:u w:val="none"/>
        </w:rPr>
      </w:pPr>
    </w:p>
    <w:p w:rsidR="0029607E" w:rsidRPr="006A0BB3" w:rsidRDefault="00433EA0">
      <w:pPr>
        <w:pStyle w:val="TableofFigures"/>
        <w:tabs>
          <w:tab w:val="right" w:leader="dot" w:pos="8778"/>
        </w:tabs>
        <w:rPr>
          <w:noProof/>
          <w:sz w:val="22"/>
          <w:szCs w:val="22"/>
          <w:lang w:eastAsia="en-AU"/>
        </w:rPr>
      </w:pPr>
      <w:hyperlink w:anchor="_Toc209581997" w:history="1">
        <w:r w:rsidR="00FE3181" w:rsidRPr="006A0BB3">
          <w:rPr>
            <w:rStyle w:val="Hyperlink"/>
            <w:noProof/>
            <w:sz w:val="22"/>
            <w:szCs w:val="22"/>
            <w:u w:val="none"/>
          </w:rPr>
          <w:t>Table 5</w:t>
        </w:r>
        <w:r w:rsidR="0029607E" w:rsidRPr="006A0BB3">
          <w:rPr>
            <w:rStyle w:val="Hyperlink"/>
            <w:noProof/>
            <w:sz w:val="22"/>
            <w:szCs w:val="22"/>
            <w:u w:val="none"/>
          </w:rPr>
          <w:t xml:space="preserve"> : APLC 200</w:t>
        </w:r>
        <w:r w:rsidR="006F6A0E">
          <w:rPr>
            <w:rStyle w:val="Hyperlink"/>
            <w:noProof/>
            <w:sz w:val="22"/>
            <w:szCs w:val="22"/>
            <w:u w:val="none"/>
          </w:rPr>
          <w:t>9</w:t>
        </w:r>
        <w:r w:rsidR="0029607E" w:rsidRPr="006A0BB3">
          <w:rPr>
            <w:rStyle w:val="Hyperlink"/>
            <w:noProof/>
            <w:sz w:val="22"/>
            <w:szCs w:val="22"/>
            <w:u w:val="none"/>
          </w:rPr>
          <w:t>-</w:t>
        </w:r>
        <w:r w:rsidR="006F6A0E">
          <w:rPr>
            <w:rStyle w:val="Hyperlink"/>
            <w:noProof/>
            <w:sz w:val="22"/>
            <w:szCs w:val="22"/>
            <w:u w:val="none"/>
          </w:rPr>
          <w:t>1</w:t>
        </w:r>
        <w:r w:rsidR="0029607E" w:rsidRPr="006A0BB3">
          <w:rPr>
            <w:rStyle w:val="Hyperlink"/>
            <w:noProof/>
            <w:sz w:val="22"/>
            <w:szCs w:val="22"/>
            <w:u w:val="none"/>
          </w:rPr>
          <w:t>0 Performance against KPI measures</w:t>
        </w:r>
        <w:r w:rsidR="0029607E" w:rsidRPr="006A0BB3">
          <w:rPr>
            <w:noProof/>
            <w:webHidden/>
            <w:sz w:val="22"/>
            <w:szCs w:val="22"/>
          </w:rPr>
          <w:tab/>
        </w:r>
        <w:r w:rsidRPr="006A0BB3">
          <w:rPr>
            <w:noProof/>
            <w:webHidden/>
            <w:sz w:val="22"/>
            <w:szCs w:val="22"/>
          </w:rPr>
          <w:fldChar w:fldCharType="begin"/>
        </w:r>
        <w:r w:rsidR="0029607E" w:rsidRPr="006A0BB3">
          <w:rPr>
            <w:noProof/>
            <w:webHidden/>
            <w:sz w:val="22"/>
            <w:szCs w:val="22"/>
          </w:rPr>
          <w:instrText xml:space="preserve"> PAGEREF _Toc209581997 \h </w:instrText>
        </w:r>
        <w:r w:rsidRPr="006A0BB3">
          <w:rPr>
            <w:noProof/>
            <w:webHidden/>
            <w:sz w:val="22"/>
            <w:szCs w:val="22"/>
          </w:rPr>
        </w:r>
        <w:r w:rsidRPr="006A0BB3">
          <w:rPr>
            <w:noProof/>
            <w:webHidden/>
            <w:sz w:val="22"/>
            <w:szCs w:val="22"/>
          </w:rPr>
          <w:fldChar w:fldCharType="separate"/>
        </w:r>
        <w:r w:rsidR="00B528B1">
          <w:rPr>
            <w:noProof/>
            <w:webHidden/>
            <w:sz w:val="22"/>
            <w:szCs w:val="22"/>
          </w:rPr>
          <w:t>28</w:t>
        </w:r>
        <w:r w:rsidRPr="006A0BB3">
          <w:rPr>
            <w:noProof/>
            <w:webHidden/>
            <w:sz w:val="22"/>
            <w:szCs w:val="22"/>
          </w:rPr>
          <w:fldChar w:fldCharType="end"/>
        </w:r>
      </w:hyperlink>
    </w:p>
    <w:p w:rsidR="0029607E" w:rsidRPr="006A0BB3" w:rsidRDefault="0029607E">
      <w:pPr>
        <w:pStyle w:val="TableofFigures"/>
        <w:tabs>
          <w:tab w:val="right" w:leader="dot" w:pos="8778"/>
        </w:tabs>
        <w:rPr>
          <w:rStyle w:val="Hyperlink"/>
          <w:noProof/>
          <w:sz w:val="22"/>
          <w:szCs w:val="22"/>
          <w:u w:val="none"/>
        </w:rPr>
      </w:pPr>
    </w:p>
    <w:p w:rsidR="006A0BB3" w:rsidRPr="006A0BB3" w:rsidRDefault="006A0BB3" w:rsidP="006A0BB3"/>
    <w:p w:rsidR="0029607E" w:rsidRDefault="00433EA0" w:rsidP="00EF5214">
      <w:pPr>
        <w:tabs>
          <w:tab w:val="left" w:pos="1276"/>
          <w:tab w:val="right" w:pos="7938"/>
        </w:tabs>
        <w:spacing w:before="20" w:after="20"/>
        <w:ind w:right="-765"/>
        <w:rPr>
          <w:b/>
          <w:color w:val="0000FF"/>
          <w:sz w:val="22"/>
          <w:szCs w:val="22"/>
        </w:rPr>
      </w:pPr>
      <w:r w:rsidRPr="006A0BB3">
        <w:rPr>
          <w:b/>
          <w:color w:val="0000FF"/>
          <w:sz w:val="22"/>
          <w:szCs w:val="22"/>
        </w:rPr>
        <w:fldChar w:fldCharType="end"/>
      </w:r>
    </w:p>
    <w:p w:rsidR="00FC155E" w:rsidRDefault="00FC155E" w:rsidP="00EF5214">
      <w:pPr>
        <w:tabs>
          <w:tab w:val="left" w:pos="1276"/>
          <w:tab w:val="right" w:pos="7938"/>
        </w:tabs>
        <w:spacing w:before="20" w:after="20"/>
        <w:ind w:right="-765"/>
        <w:rPr>
          <w:b/>
          <w:color w:val="0000FF"/>
          <w:sz w:val="22"/>
          <w:szCs w:val="22"/>
        </w:rPr>
      </w:pPr>
    </w:p>
    <w:p w:rsidR="00FC155E" w:rsidRPr="00FC155E" w:rsidRDefault="00FC155E" w:rsidP="00EF5214">
      <w:pPr>
        <w:tabs>
          <w:tab w:val="left" w:pos="1276"/>
          <w:tab w:val="right" w:pos="7938"/>
        </w:tabs>
        <w:spacing w:before="20" w:after="20"/>
        <w:ind w:right="-765"/>
        <w:rPr>
          <w:b/>
          <w:sz w:val="36"/>
          <w:szCs w:val="36"/>
        </w:rPr>
      </w:pPr>
      <w:r w:rsidRPr="00FC155E">
        <w:rPr>
          <w:b/>
          <w:sz w:val="36"/>
          <w:szCs w:val="36"/>
        </w:rPr>
        <w:t>Annexes</w:t>
      </w:r>
    </w:p>
    <w:p w:rsidR="0029607E" w:rsidRDefault="0029607E" w:rsidP="00EF5214">
      <w:pPr>
        <w:tabs>
          <w:tab w:val="left" w:pos="1276"/>
          <w:tab w:val="right" w:pos="7938"/>
        </w:tabs>
        <w:spacing w:before="20" w:after="20"/>
        <w:ind w:right="-765"/>
        <w:rPr>
          <w:b/>
          <w:color w:val="0000FF"/>
          <w:szCs w:val="24"/>
        </w:rPr>
      </w:pPr>
    </w:p>
    <w:p w:rsidR="0029607E" w:rsidRPr="009A2DD2" w:rsidRDefault="009A2DD2" w:rsidP="00A351DA">
      <w:pPr>
        <w:pStyle w:val="TableofFigures"/>
        <w:tabs>
          <w:tab w:val="right" w:leader="dot" w:pos="8778"/>
        </w:tabs>
        <w:rPr>
          <w:sz w:val="22"/>
          <w:szCs w:val="22"/>
        </w:rPr>
      </w:pPr>
      <w:r w:rsidRPr="009A2DD2">
        <w:rPr>
          <w:sz w:val="22"/>
          <w:szCs w:val="22"/>
        </w:rPr>
        <w:t xml:space="preserve">Annex </w:t>
      </w:r>
      <w:proofErr w:type="gramStart"/>
      <w:r w:rsidRPr="009A2DD2">
        <w:rPr>
          <w:sz w:val="22"/>
          <w:szCs w:val="22"/>
        </w:rPr>
        <w:t>1 :</w:t>
      </w:r>
      <w:proofErr w:type="gramEnd"/>
      <w:r w:rsidRPr="009A2DD2">
        <w:rPr>
          <w:sz w:val="22"/>
          <w:szCs w:val="22"/>
        </w:rPr>
        <w:t xml:space="preserve"> E</w:t>
      </w:r>
      <w:r>
        <w:rPr>
          <w:sz w:val="22"/>
          <w:szCs w:val="22"/>
        </w:rPr>
        <w:t>nvironmental Management System conformance …………………………………</w:t>
      </w:r>
      <w:r w:rsidR="00A71915">
        <w:rPr>
          <w:sz w:val="22"/>
          <w:szCs w:val="22"/>
        </w:rPr>
        <w:t>..</w:t>
      </w:r>
      <w:r>
        <w:rPr>
          <w:sz w:val="22"/>
          <w:szCs w:val="22"/>
        </w:rPr>
        <w:t xml:space="preserve"> </w:t>
      </w:r>
      <w:r w:rsidR="00A71915">
        <w:rPr>
          <w:sz w:val="22"/>
          <w:szCs w:val="22"/>
        </w:rPr>
        <w:t>38</w:t>
      </w:r>
    </w:p>
    <w:p w:rsidR="006642FC" w:rsidRPr="009A2DD2" w:rsidRDefault="006642FC" w:rsidP="0043520E">
      <w:pPr>
        <w:pStyle w:val="Heading1"/>
        <w:jc w:val="left"/>
        <w:rPr>
          <w:b w:val="0"/>
          <w:bCs/>
          <w:color w:val="0000FF"/>
          <w:sz w:val="22"/>
          <w:szCs w:val="22"/>
        </w:rPr>
      </w:pPr>
      <w:bookmarkStart w:id="1" w:name="_Toc209579928"/>
      <w:bookmarkStart w:id="2" w:name="_Toc209580087"/>
      <w:bookmarkStart w:id="3" w:name="_Toc209580355"/>
      <w:bookmarkStart w:id="4" w:name="_Toc209580497"/>
      <w:bookmarkStart w:id="5" w:name="_Toc209580764"/>
    </w:p>
    <w:p w:rsidR="009A2DD2" w:rsidRPr="009A2DD2" w:rsidRDefault="009A2DD2" w:rsidP="009A2DD2">
      <w:pPr>
        <w:pStyle w:val="TableofFigures"/>
        <w:tabs>
          <w:tab w:val="right" w:leader="dot" w:pos="8778"/>
        </w:tabs>
        <w:rPr>
          <w:sz w:val="22"/>
          <w:szCs w:val="22"/>
        </w:rPr>
      </w:pPr>
      <w:r>
        <w:rPr>
          <w:sz w:val="22"/>
          <w:szCs w:val="22"/>
        </w:rPr>
        <w:t xml:space="preserve">Annex </w:t>
      </w:r>
      <w:proofErr w:type="gramStart"/>
      <w:r w:rsidR="006F6A0E">
        <w:rPr>
          <w:sz w:val="22"/>
          <w:szCs w:val="22"/>
        </w:rPr>
        <w:t>2</w:t>
      </w:r>
      <w:r w:rsidRPr="009A2DD2">
        <w:rPr>
          <w:sz w:val="22"/>
          <w:szCs w:val="22"/>
        </w:rPr>
        <w:t xml:space="preserve"> :</w:t>
      </w:r>
      <w:proofErr w:type="gramEnd"/>
      <w:r w:rsidRPr="009A2DD2">
        <w:rPr>
          <w:sz w:val="22"/>
          <w:szCs w:val="22"/>
        </w:rPr>
        <w:t xml:space="preserve"> </w:t>
      </w:r>
      <w:r>
        <w:rPr>
          <w:sz w:val="22"/>
          <w:szCs w:val="22"/>
        </w:rPr>
        <w:t>Financial performance report 200</w:t>
      </w:r>
      <w:r w:rsidR="006F6A0E">
        <w:rPr>
          <w:sz w:val="22"/>
          <w:szCs w:val="22"/>
        </w:rPr>
        <w:t>9</w:t>
      </w:r>
      <w:r>
        <w:rPr>
          <w:sz w:val="22"/>
          <w:szCs w:val="22"/>
        </w:rPr>
        <w:t>-</w:t>
      </w:r>
      <w:r w:rsidR="006F6A0E">
        <w:rPr>
          <w:sz w:val="22"/>
          <w:szCs w:val="22"/>
        </w:rPr>
        <w:t>1</w:t>
      </w:r>
      <w:r>
        <w:rPr>
          <w:sz w:val="22"/>
          <w:szCs w:val="22"/>
        </w:rPr>
        <w:t>0</w:t>
      </w:r>
      <w:r w:rsidR="006F6A0E">
        <w:rPr>
          <w:sz w:val="22"/>
          <w:szCs w:val="22"/>
        </w:rPr>
        <w:tab/>
      </w:r>
      <w:r w:rsidR="00A71915">
        <w:rPr>
          <w:sz w:val="22"/>
          <w:szCs w:val="22"/>
        </w:rPr>
        <w:t>………………………</w:t>
      </w:r>
      <w:r w:rsidR="006F6A0E">
        <w:rPr>
          <w:sz w:val="22"/>
          <w:szCs w:val="22"/>
        </w:rPr>
        <w:t>4</w:t>
      </w:r>
      <w:r w:rsidR="00A71915">
        <w:rPr>
          <w:sz w:val="22"/>
          <w:szCs w:val="22"/>
        </w:rPr>
        <w:t>0</w:t>
      </w:r>
    </w:p>
    <w:p w:rsidR="009A2DD2" w:rsidRDefault="009A2DD2" w:rsidP="009A2DD2"/>
    <w:p w:rsidR="009A2DD2" w:rsidRPr="009A2DD2" w:rsidRDefault="009A2DD2" w:rsidP="009A2DD2"/>
    <w:p w:rsidR="009A2DD2" w:rsidRPr="009A2DD2" w:rsidRDefault="009A2DD2" w:rsidP="009A2DD2">
      <w:pPr>
        <w:sectPr w:rsidR="009A2DD2" w:rsidRPr="009A2DD2" w:rsidSect="006959E2">
          <w:footerReference w:type="even" r:id="rId10"/>
          <w:footerReference w:type="first" r:id="rId11"/>
          <w:type w:val="oddPage"/>
          <w:pgSz w:w="11907" w:h="16840" w:code="9"/>
          <w:pgMar w:top="1440" w:right="1440" w:bottom="1440" w:left="1797" w:header="720" w:footer="720" w:gutter="0"/>
          <w:pgNumType w:fmt="lowerRoman" w:start="1"/>
          <w:cols w:space="720"/>
          <w:noEndnote/>
          <w:titlePg/>
          <w:docGrid w:linePitch="326"/>
        </w:sectPr>
      </w:pPr>
    </w:p>
    <w:p w:rsidR="00EF5214" w:rsidRPr="0043520E" w:rsidRDefault="00EF5214" w:rsidP="0043520E">
      <w:pPr>
        <w:pStyle w:val="Heading1"/>
        <w:jc w:val="left"/>
        <w:rPr>
          <w:bCs/>
          <w:color w:val="0000FF"/>
          <w:szCs w:val="36"/>
        </w:rPr>
      </w:pPr>
      <w:bookmarkStart w:id="6" w:name="_Toc263163105"/>
      <w:r w:rsidRPr="0043520E">
        <w:rPr>
          <w:bCs/>
          <w:color w:val="0000FF"/>
          <w:szCs w:val="36"/>
        </w:rPr>
        <w:lastRenderedPageBreak/>
        <w:t>Introduction</w:t>
      </w:r>
      <w:bookmarkEnd w:id="0"/>
      <w:bookmarkEnd w:id="1"/>
      <w:bookmarkEnd w:id="2"/>
      <w:bookmarkEnd w:id="3"/>
      <w:bookmarkEnd w:id="4"/>
      <w:bookmarkEnd w:id="5"/>
      <w:bookmarkEnd w:id="6"/>
    </w:p>
    <w:p w:rsidR="00B634BF" w:rsidRDefault="00B634BF" w:rsidP="00EF5214">
      <w:pPr>
        <w:ind w:right="-96"/>
        <w:jc w:val="both"/>
        <w:rPr>
          <w:rFonts w:ascii="Times" w:hAnsi="Times"/>
        </w:rPr>
      </w:pPr>
    </w:p>
    <w:p w:rsidR="00EF5214" w:rsidRDefault="00EF5214" w:rsidP="00EF5214">
      <w:pPr>
        <w:ind w:right="-96"/>
        <w:jc w:val="both"/>
        <w:rPr>
          <w:rFonts w:ascii="Times" w:hAnsi="Times"/>
        </w:rPr>
      </w:pPr>
      <w:r>
        <w:rPr>
          <w:rFonts w:ascii="Times" w:hAnsi="Times"/>
        </w:rPr>
        <w:t xml:space="preserve">The Australian Plague Locust Commission was established in 1974 and began operations in late 1976. The Commission is financed by the States of New South Wales, </w:t>
      </w:r>
      <w:smartTag w:uri="urn:schemas-microsoft-com:office:smarttags" w:element="City">
        <w:r>
          <w:rPr>
            <w:rFonts w:ascii="Times" w:hAnsi="Times"/>
          </w:rPr>
          <w:t>Victoria</w:t>
        </w:r>
      </w:smartTag>
      <w:r>
        <w:rPr>
          <w:rFonts w:ascii="Times" w:hAnsi="Times"/>
        </w:rPr>
        <w:t xml:space="preserve">, </w:t>
      </w:r>
      <w:smartTag w:uri="urn:schemas-microsoft-com:office:smarttags" w:element="State">
        <w:r>
          <w:rPr>
            <w:rFonts w:ascii="Times" w:hAnsi="Times"/>
          </w:rPr>
          <w:t>South Australia</w:t>
        </w:r>
      </w:smartTag>
      <w:r>
        <w:rPr>
          <w:rFonts w:ascii="Times" w:hAnsi="Times"/>
        </w:rPr>
        <w:t xml:space="preserve"> and </w:t>
      </w:r>
      <w:smartTag w:uri="urn:schemas-microsoft-com:office:smarttags" w:element="place">
        <w:smartTag w:uri="urn:schemas-microsoft-com:office:smarttags" w:element="State">
          <w:r>
            <w:rPr>
              <w:rFonts w:ascii="Times" w:hAnsi="Times"/>
            </w:rPr>
            <w:t>Queensland</w:t>
          </w:r>
        </w:smartTag>
      </w:smartTag>
      <w:r>
        <w:rPr>
          <w:rFonts w:ascii="Times" w:hAnsi="Times"/>
        </w:rPr>
        <w:t>, with a matching contribution from the Australian Government.</w:t>
      </w:r>
      <w:r w:rsidR="003F420C">
        <w:rPr>
          <w:rFonts w:ascii="Times" w:hAnsi="Times"/>
        </w:rPr>
        <w:t xml:space="preserve"> Funding allocations from the member states are in proportion to the agreed benefit delivered to that state by APLC operations, while the Australian Government contribution reflects that national benefit derived from APLC activities. </w:t>
      </w:r>
      <w:r>
        <w:rPr>
          <w:rFonts w:ascii="Times" w:hAnsi="Times"/>
        </w:rPr>
        <w:t xml:space="preserve">The Commission </w:t>
      </w:r>
      <w:r w:rsidR="003F420C">
        <w:rPr>
          <w:rFonts w:ascii="Times" w:hAnsi="Times"/>
        </w:rPr>
        <w:t>is governed by</w:t>
      </w:r>
      <w:r>
        <w:rPr>
          <w:rFonts w:ascii="Times" w:hAnsi="Times"/>
        </w:rPr>
        <w:t xml:space="preserve"> six Commissioners: one from each contributing </w:t>
      </w:r>
      <w:r w:rsidR="00024262">
        <w:rPr>
          <w:rFonts w:ascii="Times" w:hAnsi="Times"/>
        </w:rPr>
        <w:t>s</w:t>
      </w:r>
      <w:r>
        <w:rPr>
          <w:rFonts w:ascii="Times" w:hAnsi="Times"/>
        </w:rPr>
        <w:t xml:space="preserve">tate, one from the Department of Agriculture, Fisheries and Forestry and </w:t>
      </w:r>
      <w:r w:rsidR="003F420C">
        <w:rPr>
          <w:rFonts w:ascii="Times" w:hAnsi="Times"/>
        </w:rPr>
        <w:t xml:space="preserve">one from </w:t>
      </w:r>
      <w:r>
        <w:rPr>
          <w:rFonts w:ascii="Times" w:hAnsi="Times"/>
        </w:rPr>
        <w:t xml:space="preserve">the </w:t>
      </w:r>
      <w:r w:rsidR="00EA1034" w:rsidRPr="00EA1034">
        <w:rPr>
          <w:rFonts w:ascii="Times" w:hAnsi="Times"/>
        </w:rPr>
        <w:t>Department of the Environment, Water, Heritage and the Arts</w:t>
      </w:r>
      <w:r w:rsidR="003F420C">
        <w:rPr>
          <w:rFonts w:ascii="Times" w:hAnsi="Times"/>
        </w:rPr>
        <w:t xml:space="preserve">. APLC activities are managed by </w:t>
      </w:r>
      <w:r>
        <w:rPr>
          <w:rFonts w:ascii="Times" w:hAnsi="Times"/>
        </w:rPr>
        <w:t>a Director</w:t>
      </w:r>
      <w:r w:rsidR="003F420C">
        <w:rPr>
          <w:rFonts w:ascii="Times" w:hAnsi="Times"/>
        </w:rPr>
        <w:t xml:space="preserve"> </w:t>
      </w:r>
      <w:r>
        <w:rPr>
          <w:rFonts w:ascii="Times" w:hAnsi="Times"/>
        </w:rPr>
        <w:t>assisted by staff</w:t>
      </w:r>
      <w:r w:rsidR="00E545FE">
        <w:rPr>
          <w:rFonts w:ascii="Times" w:hAnsi="Times"/>
        </w:rPr>
        <w:t xml:space="preserve"> based in Canberra HQ and at three field bases in NSW and Qld</w:t>
      </w:r>
      <w:r w:rsidR="003F420C">
        <w:rPr>
          <w:rFonts w:ascii="Times" w:hAnsi="Times"/>
        </w:rPr>
        <w:t>, who are all Commonwealth Public Sector employees</w:t>
      </w:r>
      <w:r>
        <w:rPr>
          <w:rFonts w:ascii="Times" w:hAnsi="Times"/>
        </w:rPr>
        <w:t xml:space="preserve">. The Commission is </w:t>
      </w:r>
      <w:r w:rsidR="003F420C">
        <w:rPr>
          <w:rFonts w:ascii="Times" w:hAnsi="Times"/>
        </w:rPr>
        <w:t>accountable</w:t>
      </w:r>
      <w:r>
        <w:rPr>
          <w:rFonts w:ascii="Times" w:hAnsi="Times"/>
        </w:rPr>
        <w:t xml:space="preserve"> to the </w:t>
      </w:r>
      <w:r w:rsidR="003F420C">
        <w:rPr>
          <w:rFonts w:ascii="Times" w:hAnsi="Times"/>
        </w:rPr>
        <w:t xml:space="preserve">Australian Government </w:t>
      </w:r>
      <w:r>
        <w:rPr>
          <w:rFonts w:ascii="Times" w:hAnsi="Times"/>
        </w:rPr>
        <w:t xml:space="preserve">Minister for Agriculture, Fisheries and Forestry and </w:t>
      </w:r>
      <w:r w:rsidR="003F420C">
        <w:rPr>
          <w:rFonts w:ascii="Times" w:hAnsi="Times"/>
        </w:rPr>
        <w:t>to the relevant Minister for Primary Industries in each member state</w:t>
      </w:r>
      <w:r>
        <w:rPr>
          <w:rFonts w:ascii="Times" w:hAnsi="Times"/>
        </w:rPr>
        <w:t>.</w:t>
      </w:r>
    </w:p>
    <w:p w:rsidR="00EF5214" w:rsidRDefault="00EF5214" w:rsidP="00EF5214">
      <w:pPr>
        <w:ind w:right="-765"/>
        <w:jc w:val="both"/>
        <w:rPr>
          <w:rFonts w:ascii="Times" w:hAnsi="Times"/>
          <w:sz w:val="20"/>
        </w:rPr>
      </w:pPr>
    </w:p>
    <w:p w:rsidR="00EF5214" w:rsidRDefault="00EF5214" w:rsidP="00EF5214">
      <w:pPr>
        <w:pStyle w:val="Heading2"/>
        <w:rPr>
          <w:color w:val="0000FF"/>
        </w:rPr>
      </w:pPr>
      <w:bookmarkStart w:id="7" w:name="_Toc209580088"/>
      <w:bookmarkStart w:id="8" w:name="_Toc209580356"/>
      <w:bookmarkStart w:id="9" w:name="_Toc209580498"/>
      <w:bookmarkStart w:id="10" w:name="_Toc209580765"/>
      <w:bookmarkStart w:id="11" w:name="_Toc263163106"/>
      <w:r>
        <w:rPr>
          <w:color w:val="0000FF"/>
        </w:rPr>
        <w:t>APLC Charter</w:t>
      </w:r>
      <w:bookmarkEnd w:id="7"/>
      <w:bookmarkEnd w:id="8"/>
      <w:bookmarkEnd w:id="9"/>
      <w:bookmarkEnd w:id="10"/>
      <w:bookmarkEnd w:id="11"/>
    </w:p>
    <w:p w:rsidR="00EF5214" w:rsidRDefault="00EF5214" w:rsidP="00EF5214">
      <w:pPr>
        <w:ind w:right="-192"/>
        <w:jc w:val="both"/>
      </w:pPr>
      <w:r>
        <w:t xml:space="preserve">In August 2002, a Memorandum of Understanding (MOU) was signed between the Department of Agriculture, Fisheries and Forestry (DAFF) on behalf of the Australian Government and participating </w:t>
      </w:r>
      <w:smartTag w:uri="urn:schemas-microsoft-com:office:smarttags" w:element="place">
        <w:smartTag w:uri="urn:schemas-microsoft-com:office:smarttags" w:element="PlaceName">
          <w:r>
            <w:t>member</w:t>
          </w:r>
        </w:smartTag>
        <w:r>
          <w:t xml:space="preserve"> </w:t>
        </w:r>
        <w:smartTag w:uri="urn:schemas-microsoft-com:office:smarttags" w:element="PlaceType">
          <w:r>
            <w:t>States</w:t>
          </w:r>
        </w:smartTag>
      </w:smartTag>
      <w:r>
        <w:t xml:space="preserve"> effectively replacing the original (1974) Exchange of Letters under which the APLC was established. The MOU also incorporated a Charter that replaced the original terms of reference under which the APLC had operated since its establishment. </w:t>
      </w:r>
    </w:p>
    <w:p w:rsidR="00EF5214" w:rsidRDefault="00EF5214" w:rsidP="00EF5214">
      <w:pPr>
        <w:ind w:right="-192"/>
        <w:jc w:val="both"/>
      </w:pPr>
    </w:p>
    <w:p w:rsidR="00EF5214" w:rsidRDefault="00EF5214" w:rsidP="00EF5214">
      <w:pPr>
        <w:ind w:right="-192"/>
        <w:jc w:val="both"/>
      </w:pPr>
      <w:r>
        <w:t>The purpose of the APLC, as defined in the Charter, is “to control locust populations in those situations where they have the potential to inflict significant damage to agricultural industries in more than one member state.”</w:t>
      </w:r>
      <w:r w:rsidR="00D73AB4">
        <w:t xml:space="preserve"> </w:t>
      </w:r>
      <w:r>
        <w:t>In fulfilling its charter the APLC is required to:</w:t>
      </w:r>
    </w:p>
    <w:p w:rsidR="00EF5214" w:rsidRDefault="00EF5214" w:rsidP="00EF5214">
      <w:pPr>
        <w:jc w:val="both"/>
      </w:pPr>
    </w:p>
    <w:p w:rsidR="00EF5214" w:rsidRDefault="00EF5214" w:rsidP="00E60BA1">
      <w:pPr>
        <w:numPr>
          <w:ilvl w:val="0"/>
          <w:numId w:val="15"/>
        </w:numPr>
        <w:ind w:right="-96"/>
        <w:jc w:val="both"/>
      </w:pPr>
      <w:r>
        <w:t>Implement a preventive control strategy to minimis</w:t>
      </w:r>
      <w:r w:rsidR="00CA3CFA">
        <w:t xml:space="preserve">e economic loss to agricultural </w:t>
      </w:r>
      <w:r>
        <w:t>industries caused by the Australian plague locust, spu</w:t>
      </w:r>
      <w:r w:rsidR="00CA3CFA">
        <w:t xml:space="preserve">r-throated locust and migratory </w:t>
      </w:r>
      <w:r>
        <w:t>locust, with priority given to Australian plague locust.</w:t>
      </w:r>
    </w:p>
    <w:p w:rsidR="00EF5214" w:rsidRDefault="00EF5214" w:rsidP="00956688">
      <w:pPr>
        <w:ind w:right="-96"/>
        <w:jc w:val="both"/>
      </w:pPr>
    </w:p>
    <w:p w:rsidR="00EF5214" w:rsidRDefault="00EF5214" w:rsidP="00E60BA1">
      <w:pPr>
        <w:numPr>
          <w:ilvl w:val="0"/>
          <w:numId w:val="15"/>
        </w:numPr>
        <w:ind w:right="-96"/>
        <w:jc w:val="both"/>
      </w:pPr>
      <w:r>
        <w:t>Minimise risk of locust control to the natural environmen</w:t>
      </w:r>
      <w:r w:rsidR="00CA3CFA">
        <w:t xml:space="preserve">t, human health and markets for </w:t>
      </w:r>
      <w:r>
        <w:t>Australian produce.</w:t>
      </w:r>
    </w:p>
    <w:p w:rsidR="00EF5214" w:rsidRDefault="00EF5214" w:rsidP="00956688">
      <w:pPr>
        <w:ind w:right="-96"/>
        <w:jc w:val="both"/>
      </w:pPr>
    </w:p>
    <w:p w:rsidR="00EF5214" w:rsidRDefault="00EF5214" w:rsidP="00E60BA1">
      <w:pPr>
        <w:numPr>
          <w:ilvl w:val="0"/>
          <w:numId w:val="15"/>
        </w:numPr>
        <w:ind w:right="-96"/>
        <w:jc w:val="both"/>
      </w:pPr>
      <w:r>
        <w:t>Develop improved locust management practices through a targeted research program.</w:t>
      </w:r>
    </w:p>
    <w:p w:rsidR="00EF5214" w:rsidRDefault="00EF5214" w:rsidP="00956688">
      <w:pPr>
        <w:ind w:right="-96"/>
        <w:jc w:val="both"/>
      </w:pPr>
    </w:p>
    <w:p w:rsidR="00EF5214" w:rsidRDefault="00EF5214" w:rsidP="00E60BA1">
      <w:pPr>
        <w:numPr>
          <w:ilvl w:val="0"/>
          <w:numId w:val="15"/>
        </w:numPr>
        <w:ind w:right="-96"/>
        <w:jc w:val="both"/>
      </w:pPr>
      <w:r>
        <w:t>Provide a monitoring and forecasting system for o</w:t>
      </w:r>
      <w:r w:rsidR="00CA3CFA">
        <w:t xml:space="preserve">perations conducted by APLC and </w:t>
      </w:r>
      <w:r>
        <w:t>member states.</w:t>
      </w:r>
    </w:p>
    <w:p w:rsidR="00EF5214" w:rsidRDefault="00EF5214" w:rsidP="00956688">
      <w:pPr>
        <w:ind w:right="-96"/>
        <w:jc w:val="both"/>
      </w:pPr>
    </w:p>
    <w:p w:rsidR="00EF5214" w:rsidRDefault="00EF5214" w:rsidP="00E60BA1">
      <w:pPr>
        <w:numPr>
          <w:ilvl w:val="0"/>
          <w:numId w:val="15"/>
        </w:numPr>
        <w:ind w:right="-96"/>
        <w:jc w:val="both"/>
      </w:pPr>
      <w:r>
        <w:t>Promote and facilitate adoption of best practice in locust control by member states.</w:t>
      </w:r>
    </w:p>
    <w:p w:rsidR="00EF5214" w:rsidRDefault="00EF5214" w:rsidP="00956688">
      <w:pPr>
        <w:ind w:right="-96"/>
        <w:jc w:val="both"/>
      </w:pPr>
    </w:p>
    <w:p w:rsidR="00EF5214" w:rsidRDefault="00EF5214" w:rsidP="00E60BA1">
      <w:pPr>
        <w:numPr>
          <w:ilvl w:val="0"/>
          <w:numId w:val="15"/>
        </w:numPr>
        <w:ind w:right="-96"/>
        <w:jc w:val="both"/>
      </w:pPr>
      <w:r>
        <w:t>Participate in cooperative national and international p</w:t>
      </w:r>
      <w:r w:rsidR="00CA3CFA">
        <w:t xml:space="preserve">rograms for development of APLC </w:t>
      </w:r>
      <w:r>
        <w:t>expertise.</w:t>
      </w:r>
    </w:p>
    <w:p w:rsidR="00EF5214" w:rsidRDefault="00EF5214" w:rsidP="00956688"/>
    <w:p w:rsidR="00EF5214" w:rsidRDefault="00EF5214" w:rsidP="00E60BA1">
      <w:pPr>
        <w:numPr>
          <w:ilvl w:val="0"/>
          <w:numId w:val="15"/>
        </w:numPr>
        <w:ind w:right="-96"/>
        <w:jc w:val="both"/>
      </w:pPr>
      <w:r>
        <w:t>Continually review APLC operations to ensure they keep pace with the ex</w:t>
      </w:r>
      <w:r w:rsidR="00CA3CFA">
        <w:t xml:space="preserve">pectations of </w:t>
      </w:r>
      <w:r>
        <w:t xml:space="preserve">industry, community and government. </w:t>
      </w:r>
    </w:p>
    <w:p w:rsidR="00EF5214" w:rsidRDefault="00EF5214" w:rsidP="00956688">
      <w:pPr>
        <w:ind w:right="-96"/>
        <w:jc w:val="both"/>
      </w:pPr>
      <w:bookmarkStart w:id="12" w:name="_Toc488115487"/>
    </w:p>
    <w:p w:rsidR="006959E2" w:rsidRDefault="006959E2">
      <w:pPr>
        <w:rPr>
          <w:rFonts w:ascii="Times" w:hAnsi="Times"/>
          <w:b/>
          <w:bCs/>
          <w:color w:val="0000FF"/>
          <w:sz w:val="36"/>
        </w:rPr>
      </w:pPr>
      <w:bookmarkStart w:id="13" w:name="_Toc209579929"/>
      <w:bookmarkStart w:id="14" w:name="_Toc209580089"/>
      <w:bookmarkStart w:id="15" w:name="_Toc209580357"/>
      <w:bookmarkStart w:id="16" w:name="_Toc209580499"/>
      <w:bookmarkStart w:id="17" w:name="_Toc209580766"/>
      <w:bookmarkStart w:id="18" w:name="_Toc263163107"/>
      <w:bookmarkStart w:id="19" w:name="OLE_LINK3"/>
      <w:bookmarkStart w:id="20" w:name="OLE_LINK4"/>
      <w:r>
        <w:rPr>
          <w:bCs/>
          <w:color w:val="0000FF"/>
        </w:rPr>
        <w:br w:type="page"/>
      </w:r>
    </w:p>
    <w:p w:rsidR="00EF5214" w:rsidRPr="0043520E" w:rsidRDefault="00EF5214" w:rsidP="0043520E">
      <w:pPr>
        <w:pStyle w:val="Heading1"/>
        <w:jc w:val="left"/>
        <w:rPr>
          <w:bCs/>
          <w:color w:val="0000FF"/>
        </w:rPr>
      </w:pPr>
      <w:r w:rsidRPr="0043520E">
        <w:rPr>
          <w:bCs/>
          <w:color w:val="0000FF"/>
        </w:rPr>
        <w:lastRenderedPageBreak/>
        <w:t>Commissioners</w:t>
      </w:r>
      <w:bookmarkEnd w:id="12"/>
      <w:bookmarkEnd w:id="13"/>
      <w:bookmarkEnd w:id="14"/>
      <w:bookmarkEnd w:id="15"/>
      <w:bookmarkEnd w:id="16"/>
      <w:bookmarkEnd w:id="17"/>
      <w:bookmarkEnd w:id="18"/>
      <w:r w:rsidR="002F5095">
        <w:rPr>
          <w:bCs/>
          <w:color w:val="0000FF"/>
        </w:rPr>
        <w:t xml:space="preserve"> (as at </w:t>
      </w:r>
      <w:r w:rsidR="00291006">
        <w:rPr>
          <w:bCs/>
          <w:color w:val="0000FF"/>
        </w:rPr>
        <w:t>01 April 201</w:t>
      </w:r>
      <w:r w:rsidR="00F84C65">
        <w:rPr>
          <w:bCs/>
          <w:color w:val="0000FF"/>
        </w:rPr>
        <w:t>0</w:t>
      </w:r>
      <w:r w:rsidR="002F5095">
        <w:rPr>
          <w:bCs/>
          <w:color w:val="0000FF"/>
        </w:rPr>
        <w:t>)</w:t>
      </w:r>
    </w:p>
    <w:p w:rsidR="005B43F4" w:rsidRPr="005B43F4" w:rsidRDefault="005B43F4" w:rsidP="005B43F4"/>
    <w:p w:rsidR="00EF5214" w:rsidRDefault="00E936F0" w:rsidP="00EF5214">
      <w:pPr>
        <w:tabs>
          <w:tab w:val="left" w:pos="453"/>
          <w:tab w:val="left" w:pos="1440"/>
        </w:tabs>
        <w:ind w:right="-765"/>
        <w:jc w:val="both"/>
        <w:rPr>
          <w:rFonts w:ascii="Times" w:hAnsi="Times"/>
        </w:rPr>
      </w:pPr>
      <w:r>
        <w:rPr>
          <w:rFonts w:ascii="Times" w:hAnsi="Times"/>
        </w:rPr>
        <w:t>Dr Colin Grant</w:t>
      </w:r>
      <w:r w:rsidR="00EF5214">
        <w:rPr>
          <w:rFonts w:ascii="Times" w:hAnsi="Times"/>
        </w:rPr>
        <w:t xml:space="preserve"> (Chai</w:t>
      </w:r>
      <w:r w:rsidR="000815FE">
        <w:rPr>
          <w:rFonts w:ascii="Times" w:hAnsi="Times"/>
        </w:rPr>
        <w:t>r</w:t>
      </w:r>
      <w:r w:rsidR="00EF5214">
        <w:rPr>
          <w:rFonts w:ascii="Times" w:hAnsi="Times"/>
        </w:rPr>
        <w:t>)</w:t>
      </w:r>
    </w:p>
    <w:p w:rsidR="00EF5214" w:rsidRDefault="00EF5214" w:rsidP="00EF5214">
      <w:pPr>
        <w:tabs>
          <w:tab w:val="left" w:pos="453"/>
          <w:tab w:val="left" w:pos="1440"/>
        </w:tabs>
        <w:ind w:right="-765"/>
        <w:jc w:val="both"/>
        <w:rPr>
          <w:rFonts w:ascii="Times" w:hAnsi="Times"/>
        </w:rPr>
      </w:pPr>
      <w:r>
        <w:rPr>
          <w:rFonts w:ascii="Times" w:hAnsi="Times"/>
        </w:rPr>
        <w:t>Executive Manager</w:t>
      </w:r>
    </w:p>
    <w:p w:rsidR="00EF5214" w:rsidRDefault="00291006" w:rsidP="00EF5214">
      <w:pPr>
        <w:tabs>
          <w:tab w:val="left" w:pos="453"/>
          <w:tab w:val="left" w:pos="1440"/>
        </w:tabs>
        <w:ind w:right="-765"/>
        <w:jc w:val="both"/>
        <w:rPr>
          <w:rFonts w:ascii="Times" w:hAnsi="Times"/>
        </w:rPr>
      </w:pPr>
      <w:r>
        <w:rPr>
          <w:rFonts w:ascii="Times" w:hAnsi="Times"/>
        </w:rPr>
        <w:t xml:space="preserve">Biosecurity </w:t>
      </w:r>
      <w:r w:rsidR="00E936F0">
        <w:rPr>
          <w:rFonts w:ascii="Times" w:hAnsi="Times"/>
        </w:rPr>
        <w:t>Plant Division</w:t>
      </w:r>
    </w:p>
    <w:p w:rsidR="00EF5214" w:rsidRDefault="00EF5214" w:rsidP="00EF5214">
      <w:pPr>
        <w:tabs>
          <w:tab w:val="left" w:pos="453"/>
          <w:tab w:val="left" w:pos="1440"/>
        </w:tabs>
        <w:ind w:right="-765"/>
        <w:jc w:val="both"/>
        <w:rPr>
          <w:rFonts w:ascii="Times" w:hAnsi="Times"/>
        </w:rPr>
      </w:pPr>
      <w:r>
        <w:rPr>
          <w:rFonts w:ascii="Times" w:hAnsi="Times"/>
        </w:rPr>
        <w:t xml:space="preserve">Department of Agriculture, Fisheries and Forestry - </w:t>
      </w:r>
      <w:smartTag w:uri="urn:schemas-microsoft-com:office:smarttags" w:element="place">
        <w:smartTag w:uri="urn:schemas-microsoft-com:office:smarttags" w:element="country-region">
          <w:r>
            <w:rPr>
              <w:rFonts w:ascii="Times" w:hAnsi="Times"/>
            </w:rPr>
            <w:t>Australia</w:t>
          </w:r>
        </w:smartTag>
      </w:smartTag>
    </w:p>
    <w:p w:rsidR="00EF5214" w:rsidRDefault="00EF5214" w:rsidP="00EF5214">
      <w:pPr>
        <w:tabs>
          <w:tab w:val="left" w:pos="453"/>
          <w:tab w:val="left" w:pos="1440"/>
        </w:tabs>
        <w:ind w:right="-765"/>
        <w:jc w:val="both"/>
        <w:rPr>
          <w:rFonts w:ascii="Times" w:hAnsi="Times"/>
        </w:rPr>
      </w:pPr>
      <w:r>
        <w:rPr>
          <w:rFonts w:ascii="Times" w:hAnsi="Times"/>
        </w:rPr>
        <w:t xml:space="preserve">GPO </w:t>
      </w:r>
      <w:smartTag w:uri="urn:schemas-microsoft-com:office:smarttags" w:element="address">
        <w:smartTag w:uri="urn:schemas-microsoft-com:office:smarttags" w:element="Street">
          <w:r>
            <w:rPr>
              <w:rFonts w:ascii="Times" w:hAnsi="Times"/>
            </w:rPr>
            <w:t>Box 858</w:t>
          </w:r>
        </w:smartTag>
        <w:r>
          <w:rPr>
            <w:rFonts w:ascii="Times" w:hAnsi="Times"/>
          </w:rPr>
          <w:t xml:space="preserve"> </w:t>
        </w:r>
        <w:smartTag w:uri="urn:schemas-microsoft-com:office:smarttags" w:element="City">
          <w:r>
            <w:rPr>
              <w:rFonts w:ascii="Times" w:hAnsi="Times"/>
            </w:rPr>
            <w:t>Canberra</w:t>
          </w:r>
        </w:smartTag>
      </w:smartTag>
      <w:r>
        <w:rPr>
          <w:rFonts w:ascii="Times" w:hAnsi="Times"/>
        </w:rPr>
        <w:t xml:space="preserve"> ACT 2601</w:t>
      </w:r>
    </w:p>
    <w:p w:rsidR="00EF5214" w:rsidRDefault="00EF5214" w:rsidP="00EF5214">
      <w:pPr>
        <w:tabs>
          <w:tab w:val="left" w:pos="453"/>
          <w:tab w:val="left" w:pos="1440"/>
        </w:tabs>
        <w:ind w:right="-765"/>
        <w:jc w:val="both"/>
        <w:rPr>
          <w:rFonts w:ascii="Times" w:hAnsi="Times"/>
        </w:rPr>
      </w:pPr>
    </w:p>
    <w:p w:rsidR="00FD6C2B" w:rsidRDefault="00FD6C2B" w:rsidP="00EF5214">
      <w:pPr>
        <w:tabs>
          <w:tab w:val="left" w:pos="453"/>
          <w:tab w:val="left" w:pos="1440"/>
        </w:tabs>
        <w:ind w:right="-765"/>
        <w:jc w:val="both"/>
        <w:rPr>
          <w:rFonts w:ascii="Times" w:hAnsi="Times"/>
        </w:rPr>
      </w:pPr>
    </w:p>
    <w:p w:rsidR="00EF5214" w:rsidRDefault="00EF5214" w:rsidP="00EF5214">
      <w:pPr>
        <w:tabs>
          <w:tab w:val="left" w:pos="453"/>
          <w:tab w:val="left" w:pos="1440"/>
        </w:tabs>
        <w:ind w:right="-765"/>
        <w:jc w:val="both"/>
        <w:rPr>
          <w:rFonts w:ascii="Times" w:hAnsi="Times"/>
        </w:rPr>
      </w:pPr>
      <w:r>
        <w:rPr>
          <w:rFonts w:ascii="Times" w:hAnsi="Times"/>
        </w:rPr>
        <w:t xml:space="preserve">Mr </w:t>
      </w:r>
      <w:smartTag w:uri="urn:schemas-microsoft-com:office:smarttags" w:element="PersonName">
        <w:r>
          <w:rPr>
            <w:rFonts w:ascii="Times" w:hAnsi="Times"/>
          </w:rPr>
          <w:t>G</w:t>
        </w:r>
        <w:r w:rsidR="005B43F4">
          <w:rPr>
            <w:rFonts w:ascii="Times" w:hAnsi="Times"/>
          </w:rPr>
          <w:t>reg</w:t>
        </w:r>
        <w:r>
          <w:rPr>
            <w:rFonts w:ascii="Times" w:hAnsi="Times"/>
          </w:rPr>
          <w:t xml:space="preserve"> Plummer</w:t>
        </w:r>
      </w:smartTag>
    </w:p>
    <w:p w:rsidR="00EF5214" w:rsidRDefault="00EF5214" w:rsidP="00EF5214">
      <w:pPr>
        <w:tabs>
          <w:tab w:val="left" w:pos="453"/>
          <w:tab w:val="left" w:pos="1440"/>
        </w:tabs>
        <w:ind w:right="-765"/>
        <w:jc w:val="both"/>
        <w:rPr>
          <w:rFonts w:ascii="Times" w:hAnsi="Times"/>
        </w:rPr>
      </w:pPr>
      <w:r>
        <w:rPr>
          <w:rFonts w:ascii="Times" w:hAnsi="Times"/>
        </w:rPr>
        <w:t>Director, Risk Assessment Section</w:t>
      </w:r>
    </w:p>
    <w:p w:rsidR="00EF5214" w:rsidRDefault="00EA1034" w:rsidP="00EF5214">
      <w:pPr>
        <w:tabs>
          <w:tab w:val="left" w:pos="453"/>
          <w:tab w:val="left" w:pos="1440"/>
        </w:tabs>
        <w:ind w:right="-765"/>
        <w:jc w:val="both"/>
        <w:rPr>
          <w:rFonts w:ascii="Times" w:hAnsi="Times"/>
        </w:rPr>
      </w:pPr>
      <w:r w:rsidRPr="00EA1034">
        <w:rPr>
          <w:rFonts w:ascii="Times" w:hAnsi="Times"/>
        </w:rPr>
        <w:t xml:space="preserve">Department of Environment, Water, </w:t>
      </w:r>
      <w:r w:rsidR="00F84C65">
        <w:rPr>
          <w:rFonts w:ascii="Times" w:hAnsi="Times"/>
        </w:rPr>
        <w:t>Heritage</w:t>
      </w:r>
      <w:r w:rsidRPr="00EA1034">
        <w:rPr>
          <w:rFonts w:ascii="Times" w:hAnsi="Times"/>
        </w:rPr>
        <w:t xml:space="preserve"> and </w:t>
      </w:r>
      <w:r w:rsidR="00F84C65">
        <w:rPr>
          <w:rFonts w:ascii="Times" w:hAnsi="Times"/>
        </w:rPr>
        <w:t>the Arts</w:t>
      </w:r>
    </w:p>
    <w:p w:rsidR="00EF5214" w:rsidRDefault="00EF5214" w:rsidP="00EF5214">
      <w:pPr>
        <w:tabs>
          <w:tab w:val="left" w:pos="453"/>
          <w:tab w:val="left" w:pos="1440"/>
        </w:tabs>
        <w:ind w:right="-765"/>
        <w:jc w:val="both"/>
        <w:rPr>
          <w:rFonts w:ascii="Times" w:hAnsi="Times"/>
        </w:rPr>
      </w:pPr>
      <w:r>
        <w:rPr>
          <w:rFonts w:ascii="Times" w:hAnsi="Times"/>
        </w:rPr>
        <w:t>GPO Box 787 Canberra ACT 2601</w:t>
      </w:r>
    </w:p>
    <w:p w:rsidR="00291006" w:rsidRDefault="00291006" w:rsidP="00EF5214">
      <w:pPr>
        <w:tabs>
          <w:tab w:val="left" w:pos="453"/>
          <w:tab w:val="left" w:pos="1440"/>
        </w:tabs>
        <w:ind w:right="-765"/>
        <w:jc w:val="both"/>
        <w:rPr>
          <w:rFonts w:ascii="Times" w:hAnsi="Times"/>
        </w:rPr>
      </w:pPr>
    </w:p>
    <w:p w:rsidR="00EF5214" w:rsidRDefault="00EF5214" w:rsidP="00EF5214">
      <w:pPr>
        <w:tabs>
          <w:tab w:val="left" w:pos="453"/>
          <w:tab w:val="left" w:pos="1440"/>
        </w:tabs>
        <w:ind w:right="-765"/>
        <w:jc w:val="both"/>
        <w:rPr>
          <w:rFonts w:ascii="Times" w:hAnsi="Times"/>
        </w:rPr>
      </w:pPr>
    </w:p>
    <w:p w:rsidR="002F5095" w:rsidRDefault="002F5095" w:rsidP="00EF5214">
      <w:pPr>
        <w:tabs>
          <w:tab w:val="left" w:pos="453"/>
          <w:tab w:val="left" w:pos="1440"/>
        </w:tabs>
        <w:ind w:right="-765"/>
        <w:jc w:val="both"/>
        <w:rPr>
          <w:rFonts w:ascii="Times" w:hAnsi="Times"/>
        </w:rPr>
      </w:pPr>
      <w:r>
        <w:rPr>
          <w:rFonts w:ascii="Times" w:hAnsi="Times"/>
        </w:rPr>
        <w:t xml:space="preserve">Mr </w:t>
      </w:r>
      <w:r w:rsidR="00F84C65">
        <w:rPr>
          <w:rFonts w:ascii="Times" w:hAnsi="Times"/>
        </w:rPr>
        <w:t>Ross Burton</w:t>
      </w:r>
    </w:p>
    <w:p w:rsidR="00BC110A" w:rsidRDefault="002F5095" w:rsidP="00EF5214">
      <w:pPr>
        <w:tabs>
          <w:tab w:val="left" w:pos="453"/>
          <w:tab w:val="left" w:pos="1440"/>
        </w:tabs>
        <w:ind w:right="-765"/>
        <w:jc w:val="both"/>
        <w:rPr>
          <w:rFonts w:ascii="Times" w:hAnsi="Times"/>
        </w:rPr>
      </w:pPr>
      <w:r>
        <w:rPr>
          <w:rFonts w:ascii="Times" w:hAnsi="Times"/>
        </w:rPr>
        <w:t>Director</w:t>
      </w:r>
      <w:r w:rsidR="00291006">
        <w:rPr>
          <w:rFonts w:ascii="Times" w:hAnsi="Times"/>
        </w:rPr>
        <w:t xml:space="preserve">, </w:t>
      </w:r>
      <w:r w:rsidR="00B62E7E">
        <w:rPr>
          <w:rFonts w:ascii="Times" w:hAnsi="Times"/>
        </w:rPr>
        <w:t>Emergencies and Animal Welfare</w:t>
      </w:r>
    </w:p>
    <w:p w:rsidR="00291006" w:rsidRDefault="00291006" w:rsidP="00EF5214">
      <w:pPr>
        <w:tabs>
          <w:tab w:val="left" w:pos="453"/>
          <w:tab w:val="left" w:pos="1440"/>
        </w:tabs>
        <w:ind w:right="-765"/>
        <w:jc w:val="both"/>
        <w:rPr>
          <w:rFonts w:ascii="Times" w:hAnsi="Times"/>
        </w:rPr>
      </w:pPr>
      <w:r>
        <w:rPr>
          <w:rFonts w:ascii="Times" w:hAnsi="Times"/>
        </w:rPr>
        <w:t>NSW Primary Industries</w:t>
      </w:r>
    </w:p>
    <w:p w:rsidR="00EF5214" w:rsidRDefault="00EF5214" w:rsidP="00EF5214">
      <w:pPr>
        <w:tabs>
          <w:tab w:val="left" w:pos="453"/>
          <w:tab w:val="left" w:pos="1440"/>
        </w:tabs>
        <w:ind w:right="-765"/>
        <w:jc w:val="both"/>
        <w:rPr>
          <w:rFonts w:ascii="Times" w:hAnsi="Times"/>
        </w:rPr>
      </w:pPr>
      <w:r>
        <w:rPr>
          <w:rFonts w:ascii="Times" w:hAnsi="Times"/>
        </w:rPr>
        <w:t>Locked Bag 21 Orange NSW 2800</w:t>
      </w:r>
      <w:r w:rsidR="00BC110A">
        <w:rPr>
          <w:rFonts w:ascii="Times" w:hAnsi="Times"/>
        </w:rPr>
        <w:tab/>
      </w:r>
      <w:r>
        <w:rPr>
          <w:rFonts w:ascii="Times" w:hAnsi="Times"/>
        </w:rPr>
        <w:t xml:space="preserve"> </w:t>
      </w:r>
    </w:p>
    <w:p w:rsidR="00EF5214" w:rsidRDefault="00EF5214" w:rsidP="00EF5214">
      <w:pPr>
        <w:tabs>
          <w:tab w:val="left" w:pos="453"/>
          <w:tab w:val="left" w:pos="1440"/>
        </w:tabs>
        <w:ind w:right="-765"/>
        <w:jc w:val="both"/>
        <w:rPr>
          <w:rFonts w:ascii="Times" w:hAnsi="Times"/>
        </w:rPr>
      </w:pPr>
    </w:p>
    <w:p w:rsidR="00FD6C2B" w:rsidRDefault="00FD6C2B" w:rsidP="00EF5214">
      <w:pPr>
        <w:tabs>
          <w:tab w:val="left" w:pos="453"/>
          <w:tab w:val="left" w:pos="1440"/>
        </w:tabs>
        <w:ind w:right="-765"/>
        <w:jc w:val="both"/>
        <w:rPr>
          <w:rFonts w:ascii="Times" w:hAnsi="Times"/>
        </w:rPr>
      </w:pPr>
    </w:p>
    <w:p w:rsidR="00EF5214" w:rsidRPr="00810BD3" w:rsidRDefault="00F84C65" w:rsidP="00EF5214">
      <w:pPr>
        <w:tabs>
          <w:tab w:val="left" w:pos="4536"/>
        </w:tabs>
        <w:ind w:right="-765"/>
        <w:jc w:val="both"/>
        <w:rPr>
          <w:rFonts w:ascii="Times" w:hAnsi="Times"/>
          <w:szCs w:val="24"/>
          <w:lang w:eastAsia="en-AU"/>
        </w:rPr>
      </w:pPr>
      <w:r>
        <w:rPr>
          <w:rFonts w:ascii="Times" w:hAnsi="Times"/>
          <w:szCs w:val="24"/>
          <w:lang w:eastAsia="en-AU"/>
        </w:rPr>
        <w:t>M</w:t>
      </w:r>
      <w:r w:rsidR="00EF5214" w:rsidRPr="00810BD3">
        <w:rPr>
          <w:rFonts w:ascii="Times" w:hAnsi="Times"/>
          <w:szCs w:val="24"/>
          <w:lang w:eastAsia="en-AU"/>
        </w:rPr>
        <w:t xml:space="preserve">r </w:t>
      </w:r>
      <w:r w:rsidR="00E936F0">
        <w:rPr>
          <w:rFonts w:ascii="Times" w:hAnsi="Times"/>
          <w:szCs w:val="24"/>
          <w:lang w:eastAsia="en-AU"/>
        </w:rPr>
        <w:t>Gordon Berg</w:t>
      </w:r>
    </w:p>
    <w:p w:rsidR="00EF5214" w:rsidRPr="00810BD3" w:rsidRDefault="00EF5214" w:rsidP="00EF5214">
      <w:pPr>
        <w:tabs>
          <w:tab w:val="left" w:pos="4536"/>
        </w:tabs>
        <w:ind w:right="-765"/>
        <w:jc w:val="both"/>
        <w:rPr>
          <w:szCs w:val="24"/>
          <w:lang w:eastAsia="en-AU"/>
        </w:rPr>
      </w:pPr>
      <w:r w:rsidRPr="00810BD3">
        <w:rPr>
          <w:rFonts w:ascii="Times" w:hAnsi="Times"/>
          <w:szCs w:val="24"/>
          <w:lang w:eastAsia="en-AU"/>
        </w:rPr>
        <w:t xml:space="preserve">Principal Scientist, </w:t>
      </w:r>
      <w:r w:rsidR="00BC110A">
        <w:rPr>
          <w:rFonts w:ascii="Times" w:hAnsi="Times"/>
          <w:szCs w:val="24"/>
          <w:lang w:eastAsia="en-AU"/>
        </w:rPr>
        <w:t>Plant Standards</w:t>
      </w:r>
    </w:p>
    <w:p w:rsidR="00EF5214" w:rsidRPr="00810BD3" w:rsidRDefault="00EF5214" w:rsidP="00EF5214">
      <w:pPr>
        <w:tabs>
          <w:tab w:val="left" w:pos="4536"/>
        </w:tabs>
        <w:ind w:right="-765"/>
        <w:jc w:val="both"/>
        <w:rPr>
          <w:rFonts w:ascii="Times" w:hAnsi="Times"/>
          <w:szCs w:val="24"/>
          <w:lang w:eastAsia="en-AU"/>
        </w:rPr>
      </w:pPr>
      <w:r w:rsidRPr="00810BD3">
        <w:rPr>
          <w:rFonts w:ascii="Times" w:hAnsi="Times"/>
          <w:szCs w:val="24"/>
          <w:lang w:eastAsia="en-AU"/>
        </w:rPr>
        <w:t xml:space="preserve">Department of Primary Industries </w:t>
      </w:r>
      <w:smartTag w:uri="urn:schemas-microsoft-com:office:smarttags" w:element="place">
        <w:smartTag w:uri="urn:schemas-microsoft-com:office:smarttags" w:element="State">
          <w:r w:rsidRPr="00810BD3">
            <w:rPr>
              <w:rFonts w:ascii="Times" w:hAnsi="Times"/>
              <w:szCs w:val="24"/>
              <w:lang w:eastAsia="en-AU"/>
            </w:rPr>
            <w:t>Victoria</w:t>
          </w:r>
        </w:smartTag>
      </w:smartTag>
    </w:p>
    <w:p w:rsidR="00EF5214" w:rsidRDefault="00EF5214" w:rsidP="00EF5214">
      <w:pPr>
        <w:tabs>
          <w:tab w:val="left" w:pos="4536"/>
        </w:tabs>
        <w:ind w:right="-765"/>
        <w:jc w:val="both"/>
        <w:rPr>
          <w:rFonts w:ascii="Times" w:hAnsi="Times"/>
          <w:szCs w:val="24"/>
          <w:lang w:eastAsia="en-AU"/>
        </w:rPr>
      </w:pPr>
      <w:r w:rsidRPr="00810BD3">
        <w:rPr>
          <w:rFonts w:ascii="Times" w:hAnsi="Times"/>
          <w:szCs w:val="24"/>
          <w:lang w:eastAsia="en-AU"/>
        </w:rPr>
        <w:t>Private Bag 1</w:t>
      </w:r>
      <w:r w:rsidR="00BC110A">
        <w:rPr>
          <w:rFonts w:ascii="Times" w:hAnsi="Times"/>
          <w:szCs w:val="24"/>
          <w:lang w:eastAsia="en-AU"/>
        </w:rPr>
        <w:t>5,</w:t>
      </w:r>
      <w:r w:rsidRPr="00810BD3">
        <w:rPr>
          <w:rFonts w:ascii="Times" w:hAnsi="Times"/>
          <w:szCs w:val="24"/>
          <w:lang w:eastAsia="en-AU"/>
        </w:rPr>
        <w:t xml:space="preserve"> </w:t>
      </w:r>
      <w:r w:rsidR="00BC110A">
        <w:rPr>
          <w:rFonts w:ascii="Times" w:hAnsi="Times"/>
          <w:szCs w:val="24"/>
          <w:lang w:eastAsia="en-AU"/>
        </w:rPr>
        <w:t>Ferntree Gully DC</w:t>
      </w:r>
      <w:r w:rsidRPr="00810BD3">
        <w:rPr>
          <w:rFonts w:ascii="Times" w:hAnsi="Times"/>
          <w:szCs w:val="24"/>
          <w:lang w:eastAsia="en-AU"/>
        </w:rPr>
        <w:t xml:space="preserve">, Vic </w:t>
      </w:r>
      <w:r w:rsidR="00BC110A">
        <w:rPr>
          <w:rFonts w:ascii="Times" w:hAnsi="Times"/>
          <w:szCs w:val="24"/>
          <w:lang w:eastAsia="en-AU"/>
        </w:rPr>
        <w:t>3156</w:t>
      </w:r>
    </w:p>
    <w:p w:rsidR="00EF5214" w:rsidRDefault="00EF5214" w:rsidP="00EF5214">
      <w:pPr>
        <w:tabs>
          <w:tab w:val="left" w:pos="453"/>
          <w:tab w:val="left" w:pos="1440"/>
        </w:tabs>
        <w:ind w:right="-765"/>
        <w:jc w:val="both"/>
        <w:rPr>
          <w:rFonts w:ascii="Times" w:hAnsi="Times"/>
        </w:rPr>
      </w:pPr>
    </w:p>
    <w:p w:rsidR="00FD6C2B" w:rsidRDefault="00FD6C2B" w:rsidP="00EF5214">
      <w:pPr>
        <w:tabs>
          <w:tab w:val="left" w:pos="453"/>
          <w:tab w:val="left" w:pos="1440"/>
        </w:tabs>
        <w:ind w:right="-765"/>
        <w:jc w:val="both"/>
        <w:rPr>
          <w:rFonts w:ascii="Times" w:hAnsi="Times"/>
        </w:rPr>
      </w:pPr>
    </w:p>
    <w:p w:rsidR="00EF5214" w:rsidRDefault="00EF5214" w:rsidP="00EF5214">
      <w:pPr>
        <w:tabs>
          <w:tab w:val="left" w:pos="453"/>
          <w:tab w:val="left" w:pos="1440"/>
        </w:tabs>
        <w:ind w:right="-765"/>
        <w:jc w:val="both"/>
        <w:rPr>
          <w:rFonts w:ascii="Times" w:hAnsi="Times"/>
        </w:rPr>
      </w:pPr>
      <w:r>
        <w:rPr>
          <w:rFonts w:ascii="Times" w:hAnsi="Times"/>
        </w:rPr>
        <w:t xml:space="preserve">Mr </w:t>
      </w:r>
      <w:r w:rsidR="00E936F0">
        <w:rPr>
          <w:rFonts w:ascii="Times" w:hAnsi="Times"/>
        </w:rPr>
        <w:t>John Badgery</w:t>
      </w:r>
    </w:p>
    <w:p w:rsidR="00EF5214" w:rsidRDefault="00EF5214" w:rsidP="00EF5214">
      <w:pPr>
        <w:tabs>
          <w:tab w:val="left" w:pos="453"/>
          <w:tab w:val="left" w:pos="1440"/>
        </w:tabs>
        <w:ind w:right="-765"/>
        <w:jc w:val="both"/>
        <w:rPr>
          <w:rFonts w:ascii="Times" w:hAnsi="Times"/>
        </w:rPr>
      </w:pPr>
      <w:r>
        <w:rPr>
          <w:rFonts w:ascii="Times" w:hAnsi="Times"/>
        </w:rPr>
        <w:t xml:space="preserve">Manager, </w:t>
      </w:r>
      <w:r w:rsidR="00E936F0">
        <w:rPr>
          <w:rFonts w:ascii="Times" w:hAnsi="Times"/>
        </w:rPr>
        <w:t>Emergency Management</w:t>
      </w:r>
    </w:p>
    <w:p w:rsidR="00EF5214" w:rsidRDefault="00EF5214" w:rsidP="00EF5214">
      <w:pPr>
        <w:tabs>
          <w:tab w:val="left" w:pos="453"/>
          <w:tab w:val="left" w:pos="1440"/>
        </w:tabs>
        <w:ind w:right="-765"/>
        <w:jc w:val="both"/>
        <w:rPr>
          <w:rFonts w:ascii="Times" w:hAnsi="Times"/>
        </w:rPr>
      </w:pPr>
      <w:r>
        <w:rPr>
          <w:rFonts w:ascii="Times" w:hAnsi="Times"/>
        </w:rPr>
        <w:t>Primary Industries and Resources SA</w:t>
      </w:r>
    </w:p>
    <w:p w:rsidR="00EF5214" w:rsidRDefault="00EF5214" w:rsidP="00EF5214">
      <w:pPr>
        <w:tabs>
          <w:tab w:val="left" w:pos="453"/>
          <w:tab w:val="left" w:pos="1440"/>
        </w:tabs>
        <w:ind w:right="-765"/>
        <w:jc w:val="both"/>
        <w:rPr>
          <w:rFonts w:ascii="Times" w:hAnsi="Times"/>
        </w:rPr>
      </w:pPr>
      <w:r>
        <w:rPr>
          <w:rFonts w:ascii="Times" w:hAnsi="Times"/>
        </w:rPr>
        <w:t xml:space="preserve">GPO </w:t>
      </w:r>
      <w:smartTag w:uri="urn:schemas-microsoft-com:office:smarttags" w:element="address">
        <w:smartTag w:uri="urn:schemas-microsoft-com:office:smarttags" w:element="Street">
          <w:r>
            <w:rPr>
              <w:rFonts w:ascii="Times" w:hAnsi="Times"/>
            </w:rPr>
            <w:t>Box 1671</w:t>
          </w:r>
        </w:smartTag>
        <w:r>
          <w:rPr>
            <w:rFonts w:ascii="Times" w:hAnsi="Times"/>
          </w:rPr>
          <w:t xml:space="preserve"> </w:t>
        </w:r>
        <w:smartTag w:uri="urn:schemas-microsoft-com:office:smarttags" w:element="City">
          <w:r>
            <w:rPr>
              <w:rFonts w:ascii="Times" w:hAnsi="Times"/>
            </w:rPr>
            <w:t>Adelaide</w:t>
          </w:r>
        </w:smartTag>
      </w:smartTag>
      <w:r>
        <w:rPr>
          <w:rFonts w:ascii="Times" w:hAnsi="Times"/>
        </w:rPr>
        <w:t xml:space="preserve"> SA 5001</w:t>
      </w:r>
    </w:p>
    <w:p w:rsidR="002F5095" w:rsidRDefault="00E545FE" w:rsidP="00E545FE">
      <w:pPr>
        <w:tabs>
          <w:tab w:val="left" w:pos="453"/>
          <w:tab w:val="left" w:pos="1440"/>
        </w:tabs>
        <w:ind w:right="-765"/>
        <w:jc w:val="both"/>
        <w:rPr>
          <w:rFonts w:ascii="Times" w:hAnsi="Times"/>
        </w:rPr>
      </w:pPr>
      <w:r>
        <w:rPr>
          <w:rFonts w:ascii="Times" w:hAnsi="Times"/>
        </w:rPr>
        <w:t xml:space="preserve"> </w:t>
      </w:r>
    </w:p>
    <w:p w:rsidR="00FD6C2B" w:rsidRDefault="00FD6C2B" w:rsidP="00E545FE">
      <w:pPr>
        <w:tabs>
          <w:tab w:val="left" w:pos="453"/>
          <w:tab w:val="left" w:pos="1440"/>
        </w:tabs>
        <w:ind w:right="-765"/>
        <w:jc w:val="both"/>
        <w:rPr>
          <w:rFonts w:ascii="Times" w:hAnsi="Times"/>
        </w:rPr>
      </w:pPr>
    </w:p>
    <w:p w:rsidR="002F5095" w:rsidRDefault="002F5095" w:rsidP="00E545FE">
      <w:pPr>
        <w:tabs>
          <w:tab w:val="left" w:pos="453"/>
          <w:tab w:val="left" w:pos="1440"/>
        </w:tabs>
        <w:ind w:right="-765"/>
        <w:jc w:val="both"/>
        <w:rPr>
          <w:rFonts w:ascii="Times" w:hAnsi="Times"/>
        </w:rPr>
      </w:pPr>
      <w:r>
        <w:rPr>
          <w:rFonts w:ascii="Times" w:hAnsi="Times"/>
        </w:rPr>
        <w:t>Mr Andrew Wilke</w:t>
      </w:r>
    </w:p>
    <w:p w:rsidR="00E545FE" w:rsidRDefault="002F5095" w:rsidP="00E545FE">
      <w:pPr>
        <w:tabs>
          <w:tab w:val="left" w:pos="453"/>
          <w:tab w:val="left" w:pos="1440"/>
        </w:tabs>
        <w:ind w:right="-765"/>
        <w:jc w:val="both"/>
        <w:rPr>
          <w:rFonts w:ascii="Times" w:hAnsi="Times"/>
        </w:rPr>
      </w:pPr>
      <w:r>
        <w:rPr>
          <w:rFonts w:ascii="Times" w:hAnsi="Times"/>
        </w:rPr>
        <w:t xml:space="preserve">Operations </w:t>
      </w:r>
      <w:r w:rsidR="00E545FE">
        <w:rPr>
          <w:rFonts w:ascii="Times" w:hAnsi="Times"/>
        </w:rPr>
        <w:t>Manager</w:t>
      </w:r>
    </w:p>
    <w:p w:rsidR="002F5095" w:rsidRDefault="002F5095" w:rsidP="00E545FE">
      <w:pPr>
        <w:tabs>
          <w:tab w:val="left" w:pos="453"/>
          <w:tab w:val="left" w:pos="1440"/>
        </w:tabs>
        <w:ind w:right="-765"/>
        <w:jc w:val="both"/>
        <w:rPr>
          <w:rFonts w:ascii="Times" w:hAnsi="Times"/>
        </w:rPr>
      </w:pPr>
      <w:r>
        <w:rPr>
          <w:rFonts w:ascii="Times" w:hAnsi="Times"/>
        </w:rPr>
        <w:t>Invasive Plants &amp; Animals</w:t>
      </w:r>
    </w:p>
    <w:p w:rsidR="00E545FE" w:rsidRDefault="00E545FE" w:rsidP="00E545FE">
      <w:pPr>
        <w:tabs>
          <w:tab w:val="left" w:pos="453"/>
          <w:tab w:val="left" w:pos="1440"/>
        </w:tabs>
        <w:ind w:right="-765"/>
        <w:jc w:val="both"/>
        <w:rPr>
          <w:rFonts w:ascii="Times" w:hAnsi="Times"/>
        </w:rPr>
      </w:pPr>
      <w:r>
        <w:rPr>
          <w:rFonts w:ascii="Times" w:hAnsi="Times"/>
        </w:rPr>
        <w:t>Biosecurity Queensland</w:t>
      </w:r>
    </w:p>
    <w:p w:rsidR="00F84C65" w:rsidRDefault="00F84C65" w:rsidP="00E545FE">
      <w:pPr>
        <w:tabs>
          <w:tab w:val="left" w:pos="453"/>
          <w:tab w:val="left" w:pos="1440"/>
        </w:tabs>
        <w:ind w:right="-765"/>
        <w:jc w:val="both"/>
        <w:rPr>
          <w:rFonts w:ascii="Times" w:hAnsi="Times"/>
        </w:rPr>
      </w:pPr>
      <w:r>
        <w:rPr>
          <w:rFonts w:ascii="Times" w:hAnsi="Times"/>
        </w:rPr>
        <w:t>Department of Employment, Economic Development and Innovation</w:t>
      </w:r>
    </w:p>
    <w:p w:rsidR="00E545FE" w:rsidRDefault="00E545FE" w:rsidP="00E545FE">
      <w:pPr>
        <w:tabs>
          <w:tab w:val="left" w:pos="453"/>
          <w:tab w:val="left" w:pos="1440"/>
        </w:tabs>
        <w:ind w:right="-765"/>
        <w:jc w:val="both"/>
        <w:rPr>
          <w:rFonts w:ascii="Times" w:hAnsi="Times"/>
        </w:rPr>
      </w:pPr>
      <w:r>
        <w:rPr>
          <w:rFonts w:ascii="Times" w:hAnsi="Times"/>
        </w:rPr>
        <w:t xml:space="preserve">GPO </w:t>
      </w:r>
      <w:smartTag w:uri="urn:schemas-microsoft-com:office:smarttags" w:element="address">
        <w:smartTag w:uri="urn:schemas-microsoft-com:office:smarttags" w:element="Street">
          <w:r>
            <w:rPr>
              <w:rFonts w:ascii="Times" w:hAnsi="Times"/>
            </w:rPr>
            <w:t>Box</w:t>
          </w:r>
        </w:smartTag>
        <w:r>
          <w:rPr>
            <w:rFonts w:ascii="Times" w:hAnsi="Times"/>
          </w:rPr>
          <w:t xml:space="preserve"> 46</w:t>
        </w:r>
      </w:smartTag>
    </w:p>
    <w:p w:rsidR="00E545FE" w:rsidRDefault="00E545FE" w:rsidP="00E545FE">
      <w:pPr>
        <w:tabs>
          <w:tab w:val="left" w:pos="453"/>
          <w:tab w:val="left" w:pos="1440"/>
        </w:tabs>
        <w:ind w:right="-765"/>
        <w:jc w:val="both"/>
        <w:rPr>
          <w:rFonts w:ascii="Times" w:hAnsi="Times"/>
        </w:rPr>
      </w:pPr>
      <w:smartTag w:uri="urn:schemas-microsoft-com:office:smarttags" w:element="place">
        <w:smartTag w:uri="urn:schemas-microsoft-com:office:smarttags" w:element="City">
          <w:r>
            <w:rPr>
              <w:rFonts w:ascii="Times" w:hAnsi="Times"/>
            </w:rPr>
            <w:t>Brisbane</w:t>
          </w:r>
        </w:smartTag>
      </w:smartTag>
      <w:r>
        <w:rPr>
          <w:rFonts w:ascii="Times" w:hAnsi="Times"/>
        </w:rPr>
        <w:t xml:space="preserve"> QLD 4001</w:t>
      </w:r>
    </w:p>
    <w:p w:rsidR="00EF5214" w:rsidRDefault="00EF5214" w:rsidP="00EF5214">
      <w:pPr>
        <w:tabs>
          <w:tab w:val="left" w:pos="453"/>
          <w:tab w:val="left" w:pos="1440"/>
        </w:tabs>
        <w:ind w:right="-765"/>
        <w:jc w:val="both"/>
        <w:rPr>
          <w:rFonts w:ascii="Times" w:hAnsi="Times"/>
        </w:rPr>
      </w:pPr>
    </w:p>
    <w:p w:rsidR="00FD6C2B" w:rsidRDefault="00FD6C2B" w:rsidP="00EF5214">
      <w:pPr>
        <w:tabs>
          <w:tab w:val="left" w:pos="453"/>
          <w:tab w:val="left" w:pos="1440"/>
        </w:tabs>
        <w:ind w:right="-765"/>
        <w:jc w:val="both"/>
        <w:rPr>
          <w:rFonts w:ascii="Times" w:hAnsi="Times"/>
          <w:b/>
          <w:sz w:val="28"/>
        </w:rPr>
      </w:pPr>
    </w:p>
    <w:p w:rsidR="00EF5214" w:rsidRDefault="00EF5214" w:rsidP="00EF5214">
      <w:pPr>
        <w:tabs>
          <w:tab w:val="left" w:pos="453"/>
          <w:tab w:val="left" w:pos="1440"/>
        </w:tabs>
        <w:ind w:right="-765"/>
        <w:jc w:val="both"/>
        <w:rPr>
          <w:rFonts w:ascii="Times" w:hAnsi="Times"/>
          <w:sz w:val="28"/>
        </w:rPr>
      </w:pPr>
      <w:r>
        <w:rPr>
          <w:rFonts w:ascii="Times" w:hAnsi="Times"/>
          <w:b/>
          <w:sz w:val="28"/>
        </w:rPr>
        <w:t>Director</w:t>
      </w:r>
    </w:p>
    <w:p w:rsidR="00EF5214" w:rsidRDefault="005B43F4" w:rsidP="00EF5214">
      <w:pPr>
        <w:tabs>
          <w:tab w:val="left" w:pos="453"/>
          <w:tab w:val="left" w:pos="1440"/>
        </w:tabs>
        <w:ind w:right="-765"/>
        <w:jc w:val="both"/>
        <w:rPr>
          <w:rFonts w:ascii="Times" w:hAnsi="Times"/>
        </w:rPr>
      </w:pPr>
      <w:r>
        <w:rPr>
          <w:rFonts w:ascii="Times" w:hAnsi="Times"/>
        </w:rPr>
        <w:t>Mr Chris Adriaansen</w:t>
      </w:r>
    </w:p>
    <w:p w:rsidR="00EF5214" w:rsidRDefault="00EF5214" w:rsidP="00EF5214">
      <w:pPr>
        <w:tabs>
          <w:tab w:val="left" w:pos="453"/>
          <w:tab w:val="left" w:pos="1440"/>
        </w:tabs>
        <w:ind w:right="-765"/>
        <w:jc w:val="both"/>
        <w:rPr>
          <w:rFonts w:ascii="Times" w:hAnsi="Times"/>
        </w:rPr>
      </w:pPr>
      <w:r>
        <w:rPr>
          <w:rFonts w:ascii="Times" w:hAnsi="Times"/>
        </w:rPr>
        <w:t>Australian Plague Locust Commission</w:t>
      </w:r>
    </w:p>
    <w:p w:rsidR="00EF5214" w:rsidRDefault="00F84C65" w:rsidP="00EF5214">
      <w:pPr>
        <w:tabs>
          <w:tab w:val="left" w:pos="453"/>
          <w:tab w:val="left" w:pos="1440"/>
        </w:tabs>
        <w:ind w:right="-765"/>
        <w:jc w:val="both"/>
        <w:rPr>
          <w:rFonts w:ascii="Times" w:hAnsi="Times"/>
        </w:rPr>
      </w:pPr>
      <w:r>
        <w:rPr>
          <w:rFonts w:ascii="Times" w:hAnsi="Times"/>
        </w:rPr>
        <w:t>Biosecurity Plant Division</w:t>
      </w:r>
    </w:p>
    <w:p w:rsidR="00EF5214" w:rsidRDefault="00EF5214" w:rsidP="00EF5214">
      <w:pPr>
        <w:tabs>
          <w:tab w:val="left" w:pos="453"/>
          <w:tab w:val="left" w:pos="1440"/>
        </w:tabs>
        <w:ind w:right="-765"/>
        <w:jc w:val="both"/>
        <w:rPr>
          <w:rFonts w:ascii="Times" w:hAnsi="Times"/>
        </w:rPr>
      </w:pPr>
      <w:r>
        <w:rPr>
          <w:rFonts w:ascii="Times" w:hAnsi="Times"/>
        </w:rPr>
        <w:t xml:space="preserve">Department of Agriculture, Fisheries and Forestry - </w:t>
      </w:r>
      <w:smartTag w:uri="urn:schemas-microsoft-com:office:smarttags" w:element="place">
        <w:smartTag w:uri="urn:schemas-microsoft-com:office:smarttags" w:element="country-region">
          <w:r>
            <w:rPr>
              <w:rFonts w:ascii="Times" w:hAnsi="Times"/>
            </w:rPr>
            <w:t>Australia</w:t>
          </w:r>
        </w:smartTag>
      </w:smartTag>
    </w:p>
    <w:p w:rsidR="00EF5214" w:rsidRDefault="00EF5214" w:rsidP="00FD6C2B">
      <w:pPr>
        <w:tabs>
          <w:tab w:val="left" w:pos="453"/>
          <w:tab w:val="left" w:pos="1440"/>
        </w:tabs>
        <w:ind w:right="-765"/>
        <w:jc w:val="both"/>
        <w:rPr>
          <w:rFonts w:ascii="Times" w:hAnsi="Times"/>
          <w:b/>
        </w:rPr>
      </w:pPr>
      <w:r>
        <w:rPr>
          <w:rFonts w:ascii="Times" w:hAnsi="Times"/>
        </w:rPr>
        <w:t>GPO Box 858 Canberra ACT 2601</w:t>
      </w:r>
    </w:p>
    <w:p w:rsidR="00385436" w:rsidRPr="007113B1" w:rsidRDefault="005B43F4" w:rsidP="00385436">
      <w:pPr>
        <w:pStyle w:val="Heading1"/>
        <w:jc w:val="left"/>
        <w:rPr>
          <w:rStyle w:val="Heading1Char"/>
          <w:bCs/>
          <w:color w:val="0000FF"/>
        </w:rPr>
      </w:pPr>
      <w:r>
        <w:rPr>
          <w:sz w:val="24"/>
        </w:rPr>
        <w:br w:type="page"/>
      </w:r>
      <w:bookmarkStart w:id="21" w:name="_Hlt488115103"/>
      <w:bookmarkStart w:id="22" w:name="_Toc209579942"/>
      <w:bookmarkStart w:id="23" w:name="_Toc209579943"/>
      <w:bookmarkStart w:id="24" w:name="_Toc263163109"/>
      <w:bookmarkEnd w:id="19"/>
      <w:bookmarkEnd w:id="20"/>
      <w:bookmarkEnd w:id="21"/>
    </w:p>
    <w:p w:rsidR="00EF5214" w:rsidRDefault="00EF5214" w:rsidP="006959E2">
      <w:r w:rsidRPr="007113B1">
        <w:rPr>
          <w:rStyle w:val="Heading1Char"/>
          <w:bCs/>
          <w:color w:val="0000FF"/>
        </w:rPr>
        <w:lastRenderedPageBreak/>
        <w:t>Review of 200</w:t>
      </w:r>
      <w:r w:rsidR="00772358">
        <w:rPr>
          <w:rStyle w:val="Heading1Char"/>
          <w:bCs/>
          <w:color w:val="0000FF"/>
        </w:rPr>
        <w:t>9</w:t>
      </w:r>
      <w:r w:rsidRPr="007113B1">
        <w:rPr>
          <w:rStyle w:val="Heading1Char"/>
          <w:bCs/>
          <w:color w:val="0000FF"/>
        </w:rPr>
        <w:t>-20</w:t>
      </w:r>
      <w:r w:rsidR="00772358">
        <w:rPr>
          <w:rStyle w:val="Heading1Char"/>
          <w:bCs/>
          <w:color w:val="0000FF"/>
        </w:rPr>
        <w:t>1</w:t>
      </w:r>
      <w:r w:rsidRPr="007113B1">
        <w:rPr>
          <w:rStyle w:val="Heading1Char"/>
          <w:bCs/>
          <w:color w:val="0000FF"/>
        </w:rPr>
        <w:t>0</w:t>
      </w:r>
      <w:bookmarkEnd w:id="22"/>
      <w:bookmarkEnd w:id="23"/>
      <w:bookmarkEnd w:id="24"/>
      <w:r w:rsidRPr="007113B1">
        <w:rPr>
          <w:rStyle w:val="Heading1Char"/>
          <w:bCs/>
          <w:color w:val="0000FF"/>
        </w:rPr>
        <w:t xml:space="preserve"> </w:t>
      </w:r>
    </w:p>
    <w:p w:rsidR="006959E2" w:rsidRDefault="006959E2" w:rsidP="008A7EEC">
      <w:pPr>
        <w:jc w:val="both"/>
        <w:rPr>
          <w:sz w:val="22"/>
          <w:szCs w:val="22"/>
        </w:rPr>
      </w:pPr>
    </w:p>
    <w:p w:rsidR="00B920C6" w:rsidRDefault="00A9296C" w:rsidP="008A7EEC">
      <w:pPr>
        <w:jc w:val="both"/>
        <w:rPr>
          <w:szCs w:val="22"/>
        </w:rPr>
      </w:pPr>
      <w:r>
        <w:rPr>
          <w:szCs w:val="22"/>
        </w:rPr>
        <w:t xml:space="preserve">The 2009-10 locust </w:t>
      </w:r>
      <w:proofErr w:type="gramStart"/>
      <w:r>
        <w:rPr>
          <w:szCs w:val="22"/>
        </w:rPr>
        <w:t>season</w:t>
      </w:r>
      <w:proofErr w:type="gramEnd"/>
      <w:r>
        <w:rPr>
          <w:szCs w:val="22"/>
        </w:rPr>
        <w:t xml:space="preserve"> proved to be one of the most engaging and active faced by the Australian Plague Locust Commission for many years.</w:t>
      </w:r>
    </w:p>
    <w:p w:rsidR="00A9296C" w:rsidRDefault="00A9296C" w:rsidP="008A7EEC">
      <w:pPr>
        <w:jc w:val="both"/>
        <w:rPr>
          <w:szCs w:val="22"/>
        </w:rPr>
      </w:pPr>
    </w:p>
    <w:p w:rsidR="00A9296C" w:rsidRDefault="00A9296C" w:rsidP="008A7EEC">
      <w:pPr>
        <w:jc w:val="both"/>
        <w:rPr>
          <w:szCs w:val="22"/>
        </w:rPr>
      </w:pPr>
      <w:r>
        <w:rPr>
          <w:szCs w:val="22"/>
        </w:rPr>
        <w:t>An initial spring 2009 generation arose from hatching of over-wintering egg beds, with hatching in some areas peaking several weeks ahead of normal due to higher winter temperatures and good soil moisture levels. Consequently, an area of high density nymphal bands in the Coonamble area presented a moderate target for an APLC control campaign in October 2009. Hatching across much of the remaining habitat area was quite protracted, reflecting significant temperature and soil moisture variation across and between regions. While resultant nymphal populations were moderate, none were of sufficient density or extent to warrant APLC intervention.</w:t>
      </w:r>
    </w:p>
    <w:p w:rsidR="00A9296C" w:rsidRDefault="00A9296C" w:rsidP="008A7EEC">
      <w:pPr>
        <w:jc w:val="both"/>
        <w:rPr>
          <w:szCs w:val="22"/>
        </w:rPr>
      </w:pPr>
    </w:p>
    <w:p w:rsidR="00A9296C" w:rsidRDefault="00A9296C" w:rsidP="00A9296C">
      <w:pPr>
        <w:jc w:val="both"/>
        <w:rPr>
          <w:szCs w:val="22"/>
        </w:rPr>
      </w:pPr>
      <w:r>
        <w:rPr>
          <w:szCs w:val="22"/>
        </w:rPr>
        <w:t>The summer generation continued to build on the spring generation platform, but with widespread rainfall and improving habitat conditions, the level of aggregation observed in this generation did not facilitate any APLC control activities. Intensive surveillance and mapping was the limit of activities which APLC could legitimately undertake at this time, always vigilant for any opportunity to implement our standard early intervention strategy.</w:t>
      </w:r>
    </w:p>
    <w:p w:rsidR="00A9296C" w:rsidRDefault="00A9296C" w:rsidP="00A9296C">
      <w:pPr>
        <w:jc w:val="both"/>
        <w:rPr>
          <w:szCs w:val="22"/>
        </w:rPr>
      </w:pPr>
    </w:p>
    <w:p w:rsidR="008D535A" w:rsidRDefault="00A9296C" w:rsidP="00A9296C">
      <w:pPr>
        <w:jc w:val="both"/>
        <w:rPr>
          <w:szCs w:val="22"/>
        </w:rPr>
      </w:pPr>
      <w:r>
        <w:rPr>
          <w:szCs w:val="22"/>
        </w:rPr>
        <w:t>The opportunity for intervention came with the emergence of the autumn generation, but again weather conditions limited the ability to implement control. While dense and extensive nymphal populations established across large parts of southern Queensland and northern NSW, heavy rainfall and subsequent flooding limited the opportunity for APLC to implement control measures due to extensive surface water</w:t>
      </w:r>
      <w:r w:rsidR="008D535A">
        <w:rPr>
          <w:szCs w:val="22"/>
        </w:rPr>
        <w:t xml:space="preserve"> and limited windows between the rainfall systems which swept across eastern Australia in February, March and April 2010. A significant control campaign was mounted in March 2010, which eventually covered over 200,000 ha of nymph-infested grazing lands and National Parks. </w:t>
      </w:r>
    </w:p>
    <w:p w:rsidR="008D535A" w:rsidRDefault="008D535A" w:rsidP="00A9296C">
      <w:pPr>
        <w:jc w:val="both"/>
        <w:rPr>
          <w:szCs w:val="22"/>
        </w:rPr>
      </w:pPr>
    </w:p>
    <w:p w:rsidR="00A9296C" w:rsidRDefault="008D535A" w:rsidP="00A9296C">
      <w:pPr>
        <w:jc w:val="both"/>
        <w:rPr>
          <w:szCs w:val="22"/>
        </w:rPr>
      </w:pPr>
      <w:r>
        <w:rPr>
          <w:szCs w:val="22"/>
        </w:rPr>
        <w:t>While the March 2010 control campaign did have a significant impact on the locust population which subsequently migrated into southern NSW, northern Victoria and eastern South Australia, this impact would have been greatly increased (and subsequent migration and infestation elsewhere significantly decreased) had the control campaign been able to commence 7-10 days before it did and extend for a week beyond its actual completion date. However, the same rainfall events which supported high levels of locust survival and outstanding habitat conditions in autumn 2010 also severely hampered the ability to implement widespread control by APLC.</w:t>
      </w:r>
    </w:p>
    <w:p w:rsidR="008D535A" w:rsidRDefault="008D535A" w:rsidP="00A9296C">
      <w:pPr>
        <w:jc w:val="both"/>
        <w:rPr>
          <w:szCs w:val="22"/>
        </w:rPr>
      </w:pPr>
    </w:p>
    <w:p w:rsidR="008D535A" w:rsidRPr="00A9296C" w:rsidRDefault="008D535A" w:rsidP="00A9296C">
      <w:pPr>
        <w:jc w:val="both"/>
        <w:rPr>
          <w:szCs w:val="22"/>
        </w:rPr>
      </w:pPr>
      <w:r>
        <w:rPr>
          <w:szCs w:val="22"/>
        </w:rPr>
        <w:t>The subsequent migration of the autumn generation set up infestation levels across most parts of inland NSW, northern Victoria and eastern South Australia which had not been seen for more than 20 years. Multiple egg-laying by females was common, due to the extent of green vegetation and high soil moisture. Large egg beds were identified as sources of hig</w:t>
      </w:r>
      <w:r w:rsidR="008A675F">
        <w:rPr>
          <w:szCs w:val="22"/>
        </w:rPr>
        <w:t>h density hatching to occur in s</w:t>
      </w:r>
      <w:r>
        <w:rPr>
          <w:szCs w:val="22"/>
        </w:rPr>
        <w:t>pring 2010</w:t>
      </w:r>
      <w:r w:rsidR="008A675F">
        <w:rPr>
          <w:szCs w:val="22"/>
        </w:rPr>
        <w:t>, and these areas were to become the focus of extensive planning efforts across four jurisdictional agencies to prepare for the expected “eruption” of the spring 2010 generation in three states.</w:t>
      </w:r>
    </w:p>
    <w:p w:rsidR="00B920C6" w:rsidRPr="00B634BF" w:rsidRDefault="00947A19" w:rsidP="00C11265">
      <w:pPr>
        <w:rPr>
          <w:sz w:val="22"/>
          <w:szCs w:val="22"/>
        </w:rPr>
      </w:pPr>
      <w:r w:rsidRPr="00A4444E">
        <w:rPr>
          <w:sz w:val="22"/>
          <w:szCs w:val="22"/>
        </w:rPr>
        <w:object w:dxaOrig="17445" w:dyaOrig="10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3.25pt" o:ole="">
            <v:imagedata r:id="rId12" o:title=""/>
          </v:shape>
          <o:OLEObject Type="Embed" ProgID="PBrush" ShapeID="_x0000_i1025" DrawAspect="Content" ObjectID="_1491718972" r:id="rId13"/>
        </w:object>
      </w:r>
    </w:p>
    <w:p w:rsidR="00947A19" w:rsidRDefault="005B43F4" w:rsidP="00D474D5">
      <w:pPr>
        <w:rPr>
          <w:sz w:val="22"/>
          <w:szCs w:val="22"/>
        </w:rPr>
      </w:pPr>
      <w:r w:rsidRPr="00B634BF">
        <w:rPr>
          <w:sz w:val="22"/>
          <w:szCs w:val="22"/>
        </w:rPr>
        <w:t>Chris Adriaansen</w:t>
      </w:r>
    </w:p>
    <w:p w:rsidR="00EF5214" w:rsidRPr="00B634BF" w:rsidRDefault="00EF5214" w:rsidP="00D474D5">
      <w:pPr>
        <w:rPr>
          <w:sz w:val="22"/>
          <w:szCs w:val="22"/>
        </w:rPr>
      </w:pPr>
      <w:r w:rsidRPr="00B634BF">
        <w:rPr>
          <w:sz w:val="22"/>
          <w:szCs w:val="22"/>
        </w:rPr>
        <w:t xml:space="preserve">Director </w:t>
      </w:r>
      <w:r w:rsidR="00D474D5">
        <w:rPr>
          <w:sz w:val="22"/>
          <w:szCs w:val="22"/>
        </w:rPr>
        <w:t>APLC</w:t>
      </w:r>
    </w:p>
    <w:p w:rsidR="00EF5214" w:rsidRPr="0043520E" w:rsidRDefault="00D474D5" w:rsidP="0043520E">
      <w:pPr>
        <w:pStyle w:val="Heading1"/>
        <w:jc w:val="left"/>
        <w:rPr>
          <w:bCs/>
          <w:i/>
          <w:color w:val="0000FF"/>
        </w:rPr>
      </w:pPr>
      <w:bookmarkStart w:id="25" w:name="_Toc488115489"/>
      <w:r>
        <w:rPr>
          <w:b w:val="0"/>
          <w:bCs/>
          <w:color w:val="0000FF"/>
        </w:rPr>
        <w:br w:type="page"/>
      </w:r>
      <w:bookmarkStart w:id="26" w:name="_Toc209579944"/>
      <w:bookmarkStart w:id="27" w:name="_Toc209580091"/>
      <w:bookmarkStart w:id="28" w:name="_Toc209580359"/>
      <w:bookmarkStart w:id="29" w:name="_Toc209580501"/>
      <w:bookmarkStart w:id="30" w:name="_Toc209580768"/>
      <w:bookmarkStart w:id="31" w:name="_Toc263163110"/>
      <w:r w:rsidR="0080703F" w:rsidRPr="0080703F">
        <w:rPr>
          <w:bCs/>
          <w:color w:val="0000FF"/>
        </w:rPr>
        <w:lastRenderedPageBreak/>
        <w:t>2009-10</w:t>
      </w:r>
      <w:r w:rsidR="0080703F">
        <w:rPr>
          <w:b w:val="0"/>
          <w:bCs/>
          <w:color w:val="0000FF"/>
        </w:rPr>
        <w:t xml:space="preserve"> </w:t>
      </w:r>
      <w:r w:rsidR="00EF5214" w:rsidRPr="0043520E">
        <w:rPr>
          <w:bCs/>
          <w:color w:val="0000FF"/>
        </w:rPr>
        <w:t>Locust situation</w:t>
      </w:r>
      <w:bookmarkEnd w:id="25"/>
      <w:bookmarkEnd w:id="26"/>
      <w:bookmarkEnd w:id="27"/>
      <w:bookmarkEnd w:id="28"/>
      <w:bookmarkEnd w:id="29"/>
      <w:bookmarkEnd w:id="30"/>
      <w:bookmarkEnd w:id="31"/>
      <w:r w:rsidR="00D73AB4">
        <w:rPr>
          <w:bCs/>
          <w:color w:val="0000FF"/>
        </w:rPr>
        <w:t xml:space="preserve"> </w:t>
      </w:r>
    </w:p>
    <w:p w:rsidR="00A95341" w:rsidRDefault="00A95341" w:rsidP="00EF5214">
      <w:pPr>
        <w:ind w:right="-765"/>
        <w:rPr>
          <w:b/>
          <w:color w:val="0000FF"/>
        </w:rPr>
      </w:pPr>
    </w:p>
    <w:p w:rsidR="00EB04D5" w:rsidRPr="0043520E" w:rsidRDefault="00EB04D5" w:rsidP="00EB04D5">
      <w:pPr>
        <w:pStyle w:val="Heading2"/>
        <w:ind w:right="-96"/>
        <w:jc w:val="both"/>
        <w:rPr>
          <w:bCs/>
          <w:color w:val="0000FF"/>
          <w:sz w:val="28"/>
          <w:szCs w:val="28"/>
          <w:u w:val="single"/>
        </w:rPr>
      </w:pPr>
      <w:bookmarkStart w:id="32" w:name="_Toc209580092"/>
      <w:bookmarkStart w:id="33" w:name="_Toc209580360"/>
      <w:bookmarkStart w:id="34" w:name="_Toc209580502"/>
      <w:bookmarkStart w:id="35" w:name="_Toc209580769"/>
      <w:bookmarkStart w:id="36" w:name="_Toc263163111"/>
      <w:bookmarkStart w:id="37" w:name="_Toc488115490"/>
      <w:r w:rsidRPr="0043520E">
        <w:rPr>
          <w:bCs/>
          <w:color w:val="0000FF"/>
          <w:sz w:val="28"/>
          <w:szCs w:val="28"/>
          <w:u w:val="single"/>
        </w:rPr>
        <w:t>Australian plague locust</w:t>
      </w:r>
      <w:bookmarkEnd w:id="32"/>
      <w:bookmarkEnd w:id="33"/>
      <w:bookmarkEnd w:id="34"/>
      <w:bookmarkEnd w:id="35"/>
      <w:bookmarkEnd w:id="36"/>
    </w:p>
    <w:p w:rsidR="00EB04D5" w:rsidRDefault="00EB04D5" w:rsidP="00EB04D5">
      <w:pPr>
        <w:ind w:right="-765"/>
        <w:jc w:val="both"/>
        <w:rPr>
          <w:rFonts w:ascii="Times" w:hAnsi="Times"/>
          <w:b/>
          <w:color w:val="0000FF"/>
        </w:rPr>
      </w:pPr>
    </w:p>
    <w:p w:rsidR="00EB04D5" w:rsidRPr="000302B8" w:rsidRDefault="00EB04D5" w:rsidP="00EB04D5">
      <w:pPr>
        <w:pStyle w:val="Heading3"/>
      </w:pPr>
      <w:r w:rsidRPr="00860AE9">
        <w:t>Overview</w:t>
      </w:r>
    </w:p>
    <w:p w:rsidR="00EB04D5" w:rsidRDefault="00EB04D5" w:rsidP="00EB04D5">
      <w:pPr>
        <w:jc w:val="both"/>
      </w:pPr>
    </w:p>
    <w:p w:rsidR="00EB04D5" w:rsidRDefault="00EB04D5" w:rsidP="00EB04D5">
      <w:r>
        <w:t xml:space="preserve">A plague cycle of </w:t>
      </w:r>
      <w:r w:rsidRPr="00EF4E46">
        <w:rPr>
          <w:i/>
        </w:rPr>
        <w:t>Chortoicetes terminifera</w:t>
      </w:r>
      <w:r>
        <w:t xml:space="preserve"> (Walker) was initiated in inland eastern Australia during 2009-2010. A sequence of three gregarious generations commenced in spring 2009 in NSW, with high density populations linked by migrations developing in different regions of NSW, southwest Queensland and South Australia during summer. These produced large numbers of swarms in autumn 2010 that migrated into northern Victoria, southern NSW and areas south of the Murray River in South Australia, establishing a plague situation affecting numerous regions. Extensive swarm egg </w:t>
      </w:r>
      <w:proofErr w:type="gramStart"/>
      <w:r>
        <w:t>laying</w:t>
      </w:r>
      <w:proofErr w:type="gramEnd"/>
      <w:r>
        <w:t xml:space="preserve"> occurred from March to May 2010.</w:t>
      </w:r>
    </w:p>
    <w:p w:rsidR="00EB04D5" w:rsidRDefault="00EB04D5" w:rsidP="00EB04D5">
      <w:r>
        <w:t xml:space="preserve">  </w:t>
      </w:r>
    </w:p>
    <w:p w:rsidR="00EB04D5" w:rsidRDefault="00EB04D5" w:rsidP="00EB04D5">
      <w:pPr>
        <w:jc w:val="both"/>
      </w:pPr>
      <w:r>
        <w:t>The rapid increase in</w:t>
      </w:r>
      <w:r w:rsidR="0080703F">
        <w:t xml:space="preserve"> the</w:t>
      </w:r>
      <w:r>
        <w:t xml:space="preserve"> </w:t>
      </w:r>
      <w:r w:rsidRPr="00391BEF">
        <w:rPr>
          <w:i/>
        </w:rPr>
        <w:t>Chortoicetes</w:t>
      </w:r>
      <w:r>
        <w:t xml:space="preserve"> population level from November 2009 to March 2010 occurred across extensive areas of habitat, which became favourable for breeding, egg laying and nymphal survival as a result of widespread above-normal rainfall throughout inland eastern Australia. Higher than average rainfall occurred in parts of the arid and semi-arid inland during each month from November 2009 to January 2010 and there was widespread heavy inland rainfall during February. An intense la Nina ocean-atmosphere phase had developed by March 2010 and continued producing widespread rainfall and vegetation growth during autumn. Significant agricultural damage occurred in the autumn of 2010, when swarms impacted on emerging winter crops. </w:t>
      </w:r>
    </w:p>
    <w:p w:rsidR="00EB04D5" w:rsidRDefault="00EB04D5" w:rsidP="00EB04D5">
      <w:pPr>
        <w:jc w:val="both"/>
      </w:pPr>
      <w:r>
        <w:t xml:space="preserve"> </w:t>
      </w:r>
    </w:p>
    <w:p w:rsidR="00EB04D5" w:rsidRDefault="00EB04D5" w:rsidP="00EB04D5">
      <w:pPr>
        <w:jc w:val="both"/>
      </w:pPr>
    </w:p>
    <w:p w:rsidR="00EB04D5" w:rsidRPr="004B095B" w:rsidRDefault="00EB04D5" w:rsidP="00EB04D5">
      <w:pPr>
        <w:jc w:val="both"/>
      </w:pPr>
    </w:p>
    <w:p w:rsidR="00EB04D5" w:rsidRPr="00E75495" w:rsidRDefault="00EB04D5" w:rsidP="00EB04D5">
      <w:pPr>
        <w:pStyle w:val="Heading3"/>
      </w:pPr>
      <w:smartTag w:uri="urn:schemas-microsoft-com:office:smarttags" w:element="place">
        <w:smartTag w:uri="urn:schemas-microsoft-com:office:smarttags" w:element="State">
          <w:r w:rsidRPr="00E75495">
            <w:t>New South Wales</w:t>
          </w:r>
        </w:smartTag>
      </w:smartTag>
      <w:r w:rsidRPr="00E75495">
        <w:t xml:space="preserve"> </w:t>
      </w:r>
    </w:p>
    <w:p w:rsidR="00EB04D5" w:rsidRDefault="00EB04D5" w:rsidP="00EB04D5">
      <w:pPr>
        <w:jc w:val="both"/>
        <w:rPr>
          <w:rFonts w:ascii="Times" w:hAnsi="Times"/>
          <w:color w:val="0000FF"/>
        </w:rPr>
      </w:pPr>
    </w:p>
    <w:p w:rsidR="00EB04D5" w:rsidRDefault="00EB04D5" w:rsidP="00EB04D5">
      <w:r>
        <w:t xml:space="preserve">High density egg </w:t>
      </w:r>
      <w:proofErr w:type="gramStart"/>
      <w:r>
        <w:t>laying</w:t>
      </w:r>
      <w:proofErr w:type="gramEnd"/>
      <w:r>
        <w:t xml:space="preserve"> occurred in parts of the Central West region and near Bourke during autumn 2009. Hatching of nymphs began in late August</w:t>
      </w:r>
      <w:r w:rsidR="0080703F">
        <w:t xml:space="preserve"> 2009</w:t>
      </w:r>
      <w:r>
        <w:t xml:space="preserve"> in the Central West region in response to temperatures several degrees above average during the month. By late September a large number of </w:t>
      </w:r>
      <w:r w:rsidR="00B92822">
        <w:t>b</w:t>
      </w:r>
      <w:r>
        <w:t xml:space="preserve">ands had developed in the Coonamble area and more sporadic </w:t>
      </w:r>
      <w:r w:rsidR="00B92822">
        <w:t>b</w:t>
      </w:r>
      <w:r>
        <w:t>and development was widespread throughout the Central West as far south as Parkes</w:t>
      </w:r>
      <w:r w:rsidR="009032BB">
        <w:t xml:space="preserve"> (Fig. 1)</w:t>
      </w:r>
      <w:r>
        <w:t xml:space="preserve">. Localised nymphs and several </w:t>
      </w:r>
      <w:r w:rsidR="00B92822">
        <w:t>b</w:t>
      </w:r>
      <w:r>
        <w:t xml:space="preserve">ands also developed in the Ivanhoe–Menindee and </w:t>
      </w:r>
      <w:r w:rsidR="0080703F">
        <w:t>Narrandera areas during October</w:t>
      </w:r>
      <w:r w:rsidR="00B92822">
        <w:t>.</w:t>
      </w:r>
    </w:p>
    <w:p w:rsidR="00EB04D5" w:rsidRDefault="00EB04D5" w:rsidP="00EB04D5"/>
    <w:p w:rsidR="00EB04D5" w:rsidRDefault="00EB04D5" w:rsidP="00EB04D5">
      <w:r>
        <w:t xml:space="preserve">APLC carried out aerial control of nymphal </w:t>
      </w:r>
      <w:r w:rsidR="00B407D9">
        <w:t>b</w:t>
      </w:r>
      <w:r>
        <w:t xml:space="preserve">ands in areas south and east of Coonamble in the Central West during 10–18 October, treating over 5,000 ha of infested </w:t>
      </w:r>
      <w:r w:rsidRPr="009032BB">
        <w:t xml:space="preserve">land (Fig. </w:t>
      </w:r>
      <w:r w:rsidR="0036318C">
        <w:t>8</w:t>
      </w:r>
      <w:r w:rsidRPr="009032BB">
        <w:t>).</w:t>
      </w:r>
      <w:r>
        <w:t xml:space="preserve"> Fledging commenced during October in the Central West and by the end of the month swarm density young adults </w:t>
      </w:r>
      <w:r w:rsidR="00611BC2">
        <w:t xml:space="preserve">were found </w:t>
      </w:r>
      <w:r>
        <w:t xml:space="preserve">in the Coonamble–Baradine–Gulargambone, Warren–Trangie and Nyngan–Tullamore areas. Migrations from these areas and localised swarm egg </w:t>
      </w:r>
      <w:proofErr w:type="gramStart"/>
      <w:r>
        <w:t>laying</w:t>
      </w:r>
      <w:proofErr w:type="gramEnd"/>
      <w:r>
        <w:t xml:space="preserve"> were reported in early November. Cooler temperatures during October resulted in protracted fledging of remaining nymphs in the Central West and those in the Parkes area continued fledging in early November. </w:t>
      </w:r>
    </w:p>
    <w:p w:rsidR="00EB04D5" w:rsidRDefault="00EB04D5" w:rsidP="00EB04D5"/>
    <w:p w:rsidR="00EB04D5" w:rsidRDefault="00EB04D5" w:rsidP="00EB04D5">
      <w:r>
        <w:t xml:space="preserve">Many small swarms formed in the Coonamble–Warren area at the start of November, but swarm activity declined in the second half of the month, </w:t>
      </w:r>
      <w:r w:rsidR="0080703F">
        <w:t>it</w:t>
      </w:r>
      <w:r>
        <w:t xml:space="preserve"> continued in the Peak Hill–Tullamore area. Several swarms formed in the Binya–Barellan area in the Riverina in mid-November and there were </w:t>
      </w:r>
      <w:r w:rsidR="00B407D9">
        <w:t>medium</w:t>
      </w:r>
      <w:r>
        <w:t xml:space="preserve"> density adults and low density nymphs throughout the western Riverina and the Ivanhoe area (Fig. 2). </w:t>
      </w:r>
      <w:r w:rsidR="00B407D9">
        <w:t>Medium</w:t>
      </w:r>
      <w:r>
        <w:t xml:space="preserve"> density</w:t>
      </w:r>
      <w:r w:rsidR="00B407D9">
        <w:t xml:space="preserve"> adults remained</w:t>
      </w:r>
      <w:r>
        <w:t xml:space="preserve"> in the Central </w:t>
      </w:r>
      <w:r>
        <w:lastRenderedPageBreak/>
        <w:t xml:space="preserve">West during December </w:t>
      </w:r>
      <w:r w:rsidR="00B407D9">
        <w:t xml:space="preserve">but </w:t>
      </w:r>
      <w:r>
        <w:t xml:space="preserve">no significant second nymphal generation developed. Population remained generally low in other </w:t>
      </w:r>
      <w:proofErr w:type="gramStart"/>
      <w:r>
        <w:t>regions,</w:t>
      </w:r>
      <w:proofErr w:type="gramEnd"/>
      <w:r>
        <w:t xml:space="preserve"> however medium density nymphs and adults were recorded in the Deniliquin–Balranald area. There was heavy rainfall (&gt;40 mm) in the Far West and Far Southwest regions during the second half of November. </w:t>
      </w:r>
    </w:p>
    <w:p w:rsidR="00EB04D5" w:rsidRDefault="00EB04D5" w:rsidP="00EB04D5"/>
    <w:p w:rsidR="00EB04D5" w:rsidRDefault="00EB04D5" w:rsidP="00EB04D5">
      <w:r>
        <w:t xml:space="preserve">Population densities remained generally low during December, but a localised second generation of nymphs was detected in parts of the Riverina and Far Southwest regions. Surveys in mid-January in the Tibooburra, Wanaaring, </w:t>
      </w:r>
      <w:proofErr w:type="gramStart"/>
      <w:r>
        <w:t>Bourke</w:t>
      </w:r>
      <w:proofErr w:type="gramEnd"/>
      <w:r>
        <w:t xml:space="preserve"> and Brewarrina areas </w:t>
      </w:r>
      <w:r w:rsidR="00B407D9">
        <w:t xml:space="preserve">of the Far West </w:t>
      </w:r>
      <w:r>
        <w:t>identified low density adults and occasional late instar nymphs</w:t>
      </w:r>
      <w:r w:rsidR="00E911C0">
        <w:t>. Localised high density adults with</w:t>
      </w:r>
      <w:r>
        <w:t xml:space="preserve"> some swarms formed in late January in the Bourke–Brewarrina area, and in the Kyalite–Moulamein area of the western Riverina (Fig. 3). The swarms in the Riverina resulted from local breeding, but the population increase in the Far West is likely to have had an immigrant component from the large population of young adults in Southwest Queensland at that time. Reports of swarms were received from Hungerford, Bourke, Wanaaring and Brewarrina during the second half of</w:t>
      </w:r>
      <w:r w:rsidR="001705AB">
        <w:t xml:space="preserve"> January</w:t>
      </w:r>
      <w:r>
        <w:t>.</w:t>
      </w:r>
    </w:p>
    <w:p w:rsidR="00EB04D5" w:rsidRDefault="00EB04D5" w:rsidP="00EB04D5"/>
    <w:p w:rsidR="00EB04D5" w:rsidRDefault="00EB04D5" w:rsidP="00EB04D5">
      <w:r>
        <w:t xml:space="preserve">The situation changed rapidly </w:t>
      </w:r>
      <w:r w:rsidR="001705AB">
        <w:t xml:space="preserve">in </w:t>
      </w:r>
      <w:r>
        <w:t>early February as a result of major migrations from Southwest Queensland</w:t>
      </w:r>
      <w:r w:rsidR="00611BC2">
        <w:t>, with m</w:t>
      </w:r>
      <w:r w:rsidRPr="008D3B1B">
        <w:t>any swarms</w:t>
      </w:r>
      <w:r w:rsidR="00611BC2">
        <w:t xml:space="preserve"> subsequently</w:t>
      </w:r>
      <w:r w:rsidRPr="008D3B1B">
        <w:t xml:space="preserve"> </w:t>
      </w:r>
      <w:r>
        <w:t>appear</w:t>
      </w:r>
      <w:r w:rsidR="00611BC2">
        <w:t>ing</w:t>
      </w:r>
      <w:r>
        <w:t xml:space="preserve"> </w:t>
      </w:r>
      <w:r w:rsidRPr="008D3B1B">
        <w:t xml:space="preserve">in the Far </w:t>
      </w:r>
      <w:r w:rsidR="001705AB">
        <w:t xml:space="preserve">West </w:t>
      </w:r>
      <w:r w:rsidR="00611BC2">
        <w:t>of New South Wales</w:t>
      </w:r>
      <w:r w:rsidRPr="008D3B1B">
        <w:t xml:space="preserve">. Swarms also formed in the Far Southwest, southern Central West and Riverina regions from fledging </w:t>
      </w:r>
      <w:r>
        <w:t xml:space="preserve">of local populations </w:t>
      </w:r>
      <w:r w:rsidRPr="008D3B1B">
        <w:t xml:space="preserve">and migratory </w:t>
      </w:r>
      <w:r>
        <w:t>redistribution</w:t>
      </w:r>
      <w:r w:rsidRPr="008D3B1B">
        <w:t xml:space="preserve">. </w:t>
      </w:r>
      <w:r>
        <w:t xml:space="preserve">Swarms were reported in the Tullamore–Condobolin–West Wyalong, Griffith–Coolamon, Ivanhoe–Menindee, Broken Hill, Hay–Balranald and Mossgiel–Booligal areas. </w:t>
      </w:r>
      <w:r w:rsidRPr="008D3B1B">
        <w:t xml:space="preserve">Widespread heavy rains during the first two weeks of February initiated swarm egg </w:t>
      </w:r>
      <w:proofErr w:type="gramStart"/>
      <w:r w:rsidRPr="008D3B1B">
        <w:t>laying</w:t>
      </w:r>
      <w:proofErr w:type="gramEnd"/>
      <w:r w:rsidRPr="008D3B1B">
        <w:t xml:space="preserve"> </w:t>
      </w:r>
      <w:r>
        <w:t>throughout</w:t>
      </w:r>
      <w:r w:rsidRPr="008D3B1B">
        <w:t xml:space="preserve"> these </w:t>
      </w:r>
      <w:r>
        <w:t>area</w:t>
      </w:r>
      <w:r w:rsidRPr="008D3B1B">
        <w:t xml:space="preserve">s. The highest intensity of egg </w:t>
      </w:r>
      <w:proofErr w:type="gramStart"/>
      <w:r w:rsidRPr="008D3B1B">
        <w:t>laying</w:t>
      </w:r>
      <w:proofErr w:type="gramEnd"/>
      <w:r w:rsidRPr="008D3B1B">
        <w:t xml:space="preserve"> occurred in the Tibooburra–Wilcannia area and </w:t>
      </w:r>
      <w:r>
        <w:t xml:space="preserve">first </w:t>
      </w:r>
      <w:r w:rsidRPr="008D3B1B">
        <w:t>hatchings were reported in late February.</w:t>
      </w:r>
    </w:p>
    <w:p w:rsidR="00EB04D5" w:rsidRDefault="00EB04D5" w:rsidP="00EB04D5">
      <w:pPr>
        <w:tabs>
          <w:tab w:val="right" w:pos="9072"/>
          <w:tab w:val="right" w:pos="9180"/>
        </w:tabs>
        <w:jc w:val="both"/>
      </w:pPr>
    </w:p>
    <w:p w:rsidR="00EB04D5" w:rsidRDefault="00EB04D5" w:rsidP="00EB04D5">
      <w:pPr>
        <w:tabs>
          <w:tab w:val="right" w:pos="9072"/>
          <w:tab w:val="right" w:pos="9180"/>
        </w:tabs>
        <w:jc w:val="both"/>
      </w:pPr>
      <w:r>
        <w:t xml:space="preserve">A large number of nymphal bands developed throughout habitat areas in the Far West, Far Southwest, Riverina and southern Central West regions during March. Further widespread heavy rainfall in early March provided suitable vegetation conditions for nymphal survival. Adult swarms persisted and sporadic egg </w:t>
      </w:r>
      <w:proofErr w:type="gramStart"/>
      <w:r>
        <w:t>laying</w:t>
      </w:r>
      <w:proofErr w:type="gramEnd"/>
      <w:r>
        <w:t xml:space="preserve"> continued throughout the month (Fig. 4). </w:t>
      </w:r>
      <w:r w:rsidRPr="006E24CE">
        <w:t>In the Tibooburra–Wilcannia area</w:t>
      </w:r>
      <w:r>
        <w:t xml:space="preserve"> </w:t>
      </w:r>
      <w:r w:rsidRPr="006E24CE">
        <w:t xml:space="preserve">many </w:t>
      </w:r>
      <w:r>
        <w:t xml:space="preserve">very </w:t>
      </w:r>
      <w:r w:rsidRPr="006E24CE">
        <w:t xml:space="preserve">large bands of mid and late instar nymphs had developed by mid-March. APLC carried out aerial control of bands in the Tibooburra–White Cliffs area during 14–25 March and a total of </w:t>
      </w:r>
      <w:r w:rsidR="009032BB">
        <w:t>170,0</w:t>
      </w:r>
      <w:r w:rsidRPr="006E24CE">
        <w:t xml:space="preserve">00 ha of infestation were </w:t>
      </w:r>
      <w:r>
        <w:t>treated</w:t>
      </w:r>
      <w:r w:rsidR="009032BB">
        <w:t xml:space="preserve"> within NSW</w:t>
      </w:r>
      <w:r>
        <w:t xml:space="preserve"> (Fig. </w:t>
      </w:r>
      <w:r w:rsidR="0036318C">
        <w:t>9</w:t>
      </w:r>
      <w:r>
        <w:t>)</w:t>
      </w:r>
      <w:r w:rsidRPr="006E24CE">
        <w:t>.</w:t>
      </w:r>
      <w:r>
        <w:t xml:space="preserve"> Industry and Investment NSW conducted aerial control of 4,000 ha of bands in the Louth–Tilpa area. </w:t>
      </w:r>
      <w:r w:rsidR="001705AB">
        <w:t>M</w:t>
      </w:r>
      <w:r>
        <w:t xml:space="preserve">any small bands were </w:t>
      </w:r>
      <w:r w:rsidR="001705AB">
        <w:t xml:space="preserve">also </w:t>
      </w:r>
      <w:r>
        <w:t>reported from the Hillston–Booligal, Hay–Merriwagga, Balranald–Moulamein, Ivanhoe–Menindee and Narrandera–Weethalle areas</w:t>
      </w:r>
      <w:r w:rsidR="001705AB">
        <w:t xml:space="preserve"> in southern New South Wales</w:t>
      </w:r>
      <w:r>
        <w:t xml:space="preserve">. Livestock Health and Pest Authorities (LHPA) and landholders carried out ground control </w:t>
      </w:r>
      <w:proofErr w:type="gramStart"/>
      <w:r>
        <w:t>of  bands</w:t>
      </w:r>
      <w:proofErr w:type="gramEnd"/>
      <w:r>
        <w:t>.</w:t>
      </w:r>
    </w:p>
    <w:p w:rsidR="00EB04D5" w:rsidRDefault="00EB04D5" w:rsidP="00EB04D5">
      <w:pPr>
        <w:tabs>
          <w:tab w:val="right" w:pos="9072"/>
          <w:tab w:val="right" w:pos="9180"/>
        </w:tabs>
        <w:jc w:val="both"/>
      </w:pPr>
    </w:p>
    <w:p w:rsidR="00EB04D5" w:rsidRDefault="00EB04D5" w:rsidP="00EB04D5">
      <w:pPr>
        <w:tabs>
          <w:tab w:val="right" w:pos="9072"/>
          <w:tab w:val="right" w:pos="9180"/>
        </w:tabs>
        <w:jc w:val="both"/>
      </w:pPr>
      <w:r>
        <w:t xml:space="preserve">Fledging of third generation nymphs commenced at the end of March and swarms developed in all inland regions except the Northwest Plains.  Migrations in early and mid-April extended the distribution of swarms into previously lightly infested areas in the southern parts of Riverina and Western LHPA areas (Fig. 5). </w:t>
      </w:r>
      <w:r w:rsidR="001705AB">
        <w:t>A</w:t>
      </w:r>
      <w:r>
        <w:t xml:space="preserve">dults remained in the Tibooburra–Wilcannia area in mid-April, but the low number of swarms detected </w:t>
      </w:r>
      <w:r w:rsidR="001705AB">
        <w:t xml:space="preserve">was </w:t>
      </w:r>
      <w:r>
        <w:t xml:space="preserve">the result </w:t>
      </w:r>
      <w:r w:rsidR="001705AB">
        <w:t xml:space="preserve">of </w:t>
      </w:r>
      <w:r>
        <w:t xml:space="preserve">both emigration and APLC control of nymphs during March. Surveys and reports identified swarms throughout grassland habitats in mid-April and high density egg </w:t>
      </w:r>
      <w:proofErr w:type="gramStart"/>
      <w:r>
        <w:t>laying</w:t>
      </w:r>
      <w:proofErr w:type="gramEnd"/>
      <w:r>
        <w:t xml:space="preserve"> occurred in many locations.</w:t>
      </w:r>
    </w:p>
    <w:p w:rsidR="00EB04D5" w:rsidRDefault="00EB04D5" w:rsidP="00EB04D5">
      <w:pPr>
        <w:tabs>
          <w:tab w:val="right" w:pos="9072"/>
          <w:tab w:val="right" w:pos="9180"/>
        </w:tabs>
        <w:jc w:val="both"/>
      </w:pPr>
    </w:p>
    <w:p w:rsidR="00EB04D5" w:rsidRDefault="00EB04D5" w:rsidP="00EB04D5">
      <w:pPr>
        <w:tabs>
          <w:tab w:val="right" w:pos="9072"/>
          <w:tab w:val="right" w:pos="9180"/>
        </w:tabs>
        <w:jc w:val="both"/>
      </w:pPr>
    </w:p>
    <w:p w:rsidR="0080703F" w:rsidRDefault="0080703F">
      <w:pPr>
        <w:rPr>
          <w:rFonts w:ascii="Times" w:hAnsi="Times"/>
          <w:b/>
        </w:rPr>
      </w:pPr>
      <w:r>
        <w:br w:type="page"/>
      </w:r>
    </w:p>
    <w:p w:rsidR="00EB04D5" w:rsidRDefault="00EB04D5" w:rsidP="00EB04D5">
      <w:pPr>
        <w:pStyle w:val="Heading3"/>
      </w:pPr>
      <w:r w:rsidRPr="00B57C13">
        <w:lastRenderedPageBreak/>
        <w:t xml:space="preserve">Queensland </w:t>
      </w:r>
    </w:p>
    <w:p w:rsidR="00EB04D5" w:rsidRPr="00D763D0" w:rsidRDefault="00EB04D5" w:rsidP="00EB04D5"/>
    <w:p w:rsidR="00EB04D5" w:rsidRDefault="00EB04D5" w:rsidP="00EB04D5">
      <w:pPr>
        <w:tabs>
          <w:tab w:val="right" w:pos="9072"/>
          <w:tab w:val="right" w:pos="9180"/>
        </w:tabs>
        <w:jc w:val="both"/>
      </w:pPr>
      <w:r>
        <w:t xml:space="preserve">Surveys in Queensland during August–September identified low density adults in most regions. Occasional low density nymphs were detected in the Isisford area </w:t>
      </w:r>
      <w:r w:rsidR="001705AB">
        <w:t xml:space="preserve">of the Central West </w:t>
      </w:r>
      <w:r>
        <w:t xml:space="preserve">in mid-September (Fig. 1). Conditions remained dry in most regions and were unsuitable for locust breeding. Surveys of Southwest, Central West and South Central Queensland in early November identified low density adults, with no locusts detected in Bulloo Shire (Fig. 2). However, reports and light trap records indicated migratory </w:t>
      </w:r>
      <w:r w:rsidR="001705AB">
        <w:t xml:space="preserve">movements </w:t>
      </w:r>
      <w:r>
        <w:t>in</w:t>
      </w:r>
      <w:r w:rsidR="001705AB">
        <w:t>to</w:t>
      </w:r>
      <w:r>
        <w:t xml:space="preserve"> Southwest Queensland in mid-November, and swarms were reported from the Jackson–</w:t>
      </w:r>
      <w:proofErr w:type="spellStart"/>
      <w:r>
        <w:t>Nacowlah</w:t>
      </w:r>
      <w:proofErr w:type="spellEnd"/>
      <w:r>
        <w:t xml:space="preserve"> area in Bulloo Shire at the end of the month. Wind trajectory analysis indicated that convergence associated with trough activity would have concentrated migrating locusts from a wide area of western Queensland in</w:t>
      </w:r>
      <w:r w:rsidR="0080703F">
        <w:t>to</w:t>
      </w:r>
      <w:r>
        <w:t xml:space="preserve"> the Southwest. Immigration from the high density young adult population in </w:t>
      </w:r>
      <w:r w:rsidR="001705AB">
        <w:t xml:space="preserve">the Bourke area and </w:t>
      </w:r>
      <w:r>
        <w:t>Central West New South Wales is likely to have contributed to th</w:t>
      </w:r>
      <w:r w:rsidR="001705AB">
        <w:t>e</w:t>
      </w:r>
      <w:r>
        <w:t xml:space="preserve"> rapid increase. Widespread heavy rainfall in Southwest Queensland in late November provided suitable soil and vegetation conditions for locust breeding.</w:t>
      </w:r>
    </w:p>
    <w:p w:rsidR="00EB04D5" w:rsidRDefault="00EB04D5" w:rsidP="00EB04D5">
      <w:pPr>
        <w:tabs>
          <w:tab w:val="right" w:pos="9072"/>
          <w:tab w:val="right" w:pos="9180"/>
        </w:tabs>
        <w:jc w:val="both"/>
      </w:pPr>
    </w:p>
    <w:p w:rsidR="00EB04D5" w:rsidRDefault="00EB04D5" w:rsidP="00EB04D5">
      <w:pPr>
        <w:tabs>
          <w:tab w:val="right" w:pos="9072"/>
          <w:tab w:val="right" w:pos="9180"/>
        </w:tabs>
        <w:jc w:val="both"/>
      </w:pPr>
      <w:r w:rsidRPr="009D54C2">
        <w:t xml:space="preserve">Surveys in </w:t>
      </w:r>
      <w:r>
        <w:t>mid-</w:t>
      </w:r>
      <w:r w:rsidRPr="009D54C2">
        <w:t xml:space="preserve">December identified a number of swarms with developed eggs in the </w:t>
      </w:r>
      <w:proofErr w:type="spellStart"/>
      <w:r w:rsidRPr="009D54C2">
        <w:t>Noccundra</w:t>
      </w:r>
      <w:proofErr w:type="spellEnd"/>
      <w:r w:rsidRPr="009D54C2">
        <w:t xml:space="preserve">–Durham Downs–Mt </w:t>
      </w:r>
      <w:proofErr w:type="spellStart"/>
      <w:r w:rsidRPr="009D54C2">
        <w:t>Howitt</w:t>
      </w:r>
      <w:proofErr w:type="spellEnd"/>
      <w:r w:rsidRPr="009D54C2">
        <w:t xml:space="preserve"> area. </w:t>
      </w:r>
      <w:r>
        <w:t xml:space="preserve">There were further heavy rains in western Queensland in late December and early January. </w:t>
      </w:r>
      <w:r w:rsidRPr="009D54C2">
        <w:t>At the start of January bands of mid-instar nymphs were identified</w:t>
      </w:r>
      <w:r>
        <w:t xml:space="preserve"> at several locations in that area. APLC aerial survey identified a number of late instar bands, but </w:t>
      </w:r>
      <w:r w:rsidR="007642EF">
        <w:t xml:space="preserve">most </w:t>
      </w:r>
      <w:r>
        <w:t xml:space="preserve">were close to flooded areas.  </w:t>
      </w:r>
      <w:r w:rsidRPr="00EE5622">
        <w:t>Fledging commenced in the second week of January. The first swarms formed at that time and continued to develop throughout the month.</w:t>
      </w:r>
      <w:r>
        <w:t xml:space="preserve"> From 20 January swarms and high density adults were identified near Thargomindah, Eulo, Hungerford and Bulloo Downs (Fig. 3). Very high numbers of locusts were recorded at the </w:t>
      </w:r>
      <w:proofErr w:type="spellStart"/>
      <w:r>
        <w:t>Nooyeah</w:t>
      </w:r>
      <w:proofErr w:type="spellEnd"/>
      <w:r>
        <w:t xml:space="preserve"> Downs light trap during 10–28 January, with over 40,000 on 12 January, indicating migratory </w:t>
      </w:r>
      <w:r w:rsidR="007642EF">
        <w:t xml:space="preserve">activity </w:t>
      </w:r>
      <w:r>
        <w:t xml:space="preserve">of young adults throughout the region and </w:t>
      </w:r>
      <w:r w:rsidR="007642EF">
        <w:t xml:space="preserve">likely dispersal </w:t>
      </w:r>
      <w:r>
        <w:t>into adjacent regions, including New South Wales and northern South Australia. There were major southward migrations into Far West New South Wales and northern South Australia in early February and further widespread heavy rainfall events in western Queensland.</w:t>
      </w:r>
    </w:p>
    <w:p w:rsidR="00EB04D5" w:rsidRDefault="00EB04D5" w:rsidP="00EB04D5">
      <w:pPr>
        <w:tabs>
          <w:tab w:val="right" w:pos="9072"/>
          <w:tab w:val="right" w:pos="9180"/>
        </w:tabs>
        <w:jc w:val="both"/>
      </w:pPr>
    </w:p>
    <w:p w:rsidR="00EB04D5" w:rsidRDefault="00EB04D5" w:rsidP="00EB04D5">
      <w:pPr>
        <w:tabs>
          <w:tab w:val="right" w:pos="9072"/>
          <w:tab w:val="right" w:pos="9180"/>
        </w:tabs>
        <w:jc w:val="both"/>
      </w:pPr>
      <w:r>
        <w:t xml:space="preserve">Flooding restricted ground access to parts of western Queensland during February. Limited APLC aerial survey in Quilpie Shire did not detect any high density locusts. </w:t>
      </w:r>
      <w:r w:rsidR="00C04192">
        <w:t>B</w:t>
      </w:r>
      <w:r>
        <w:t xml:space="preserve">ands were </w:t>
      </w:r>
      <w:r w:rsidR="00C04192">
        <w:t xml:space="preserve">subsequently </w:t>
      </w:r>
      <w:r>
        <w:t xml:space="preserve">identified in the area from </w:t>
      </w:r>
      <w:proofErr w:type="spellStart"/>
      <w:r>
        <w:t>Bransby</w:t>
      </w:r>
      <w:proofErr w:type="spellEnd"/>
      <w:r>
        <w:t xml:space="preserve"> south to the New South Wales border</w:t>
      </w:r>
      <w:r w:rsidR="00C04192">
        <w:t xml:space="preserve"> in Bulloo Shire</w:t>
      </w:r>
      <w:r>
        <w:t xml:space="preserve">. Aerial control of these bands was conducted </w:t>
      </w:r>
      <w:r w:rsidR="00611BC2">
        <w:t>during</w:t>
      </w:r>
      <w:r>
        <w:t xml:space="preserve"> 20–25 March, covering a total area of 34,</w:t>
      </w:r>
      <w:r w:rsidR="009032BB">
        <w:t>4</w:t>
      </w:r>
      <w:r>
        <w:t>00 ha</w:t>
      </w:r>
      <w:r w:rsidR="00932E69">
        <w:t xml:space="preserve"> within Queensland</w:t>
      </w:r>
      <w:r>
        <w:t xml:space="preserve"> (Fig.</w:t>
      </w:r>
      <w:r w:rsidR="00932E69">
        <w:t> </w:t>
      </w:r>
      <w:r w:rsidR="0036318C">
        <w:t>9</w:t>
      </w:r>
      <w:r>
        <w:t xml:space="preserve">). High density adults formed in Bulloo Shire during April, but no swarms were identified on survey, partly as a result of </w:t>
      </w:r>
      <w:r w:rsidR="00E94A89">
        <w:t xml:space="preserve">the </w:t>
      </w:r>
      <w:r>
        <w:t>southward migrations.</w:t>
      </w:r>
    </w:p>
    <w:p w:rsidR="00EB04D5" w:rsidRDefault="00EB04D5" w:rsidP="00EB04D5">
      <w:pPr>
        <w:tabs>
          <w:tab w:val="right" w:pos="9072"/>
          <w:tab w:val="right" w:pos="9180"/>
        </w:tabs>
        <w:jc w:val="both"/>
      </w:pPr>
    </w:p>
    <w:p w:rsidR="00EB04D5" w:rsidRDefault="00EB04D5" w:rsidP="00EB04D5">
      <w:pPr>
        <w:jc w:val="both"/>
        <w:rPr>
          <w:rFonts w:ascii="Times" w:hAnsi="Times"/>
          <w:b/>
          <w:color w:val="0000FF"/>
        </w:rPr>
      </w:pPr>
    </w:p>
    <w:p w:rsidR="00EB04D5" w:rsidRDefault="00EB04D5" w:rsidP="00EB04D5">
      <w:pPr>
        <w:jc w:val="both"/>
        <w:rPr>
          <w:rFonts w:ascii="Times" w:hAnsi="Times"/>
          <w:b/>
          <w:color w:val="0000FF"/>
        </w:rPr>
      </w:pPr>
    </w:p>
    <w:p w:rsidR="00EB04D5" w:rsidRPr="006B1761" w:rsidRDefault="00EB04D5" w:rsidP="00EB04D5">
      <w:pPr>
        <w:pStyle w:val="Heading3"/>
      </w:pPr>
      <w:smartTag w:uri="urn:schemas-microsoft-com:office:smarttags" w:element="place">
        <w:smartTag w:uri="urn:schemas-microsoft-com:office:smarttags" w:element="State">
          <w:r w:rsidRPr="006B1761">
            <w:t>Victoria</w:t>
          </w:r>
        </w:smartTag>
      </w:smartTag>
    </w:p>
    <w:p w:rsidR="00EB04D5" w:rsidRDefault="00EB04D5" w:rsidP="00EB04D5"/>
    <w:p w:rsidR="00EB04D5" w:rsidRDefault="00EB04D5" w:rsidP="00EB04D5">
      <w:r>
        <w:t xml:space="preserve">The development of a local population in North Central Victoria and adjacent parts of the western Riverina during the season was overwhelmed by large immigrations during April that established a major infestation in this state. Low numbers of adults and mid-instar nymphs were reported from the area around Echuca in North Central Victoria in mid-October. In mid-December the Department of Primary Industries identified medium density adults in the Swan Hill–Chinkapook area of Northwest Victoria and, in February, adults and nymphs were collected from south of Kerang and Swan Hill. This paralleled population developments in the </w:t>
      </w:r>
      <w:r>
        <w:lastRenderedPageBreak/>
        <w:t>Kyalite–Moulamein area in New South Wales, which produced a number of swarms during February and may have contributed to population increases in Victoria during March.</w:t>
      </w:r>
    </w:p>
    <w:p w:rsidR="00EB04D5" w:rsidRDefault="00EB04D5" w:rsidP="00EB04D5"/>
    <w:p w:rsidR="00EB04D5" w:rsidRDefault="00EB04D5" w:rsidP="00EB04D5">
      <w:pPr>
        <w:jc w:val="both"/>
      </w:pPr>
      <w:r>
        <w:t xml:space="preserve">Adult population levels increased throughout Victoria during March and isolated locusts were reported as far south as Melbourne. A number of small swarms were identified across northern Victoria from Swan Hill to Numurkah in mid-March and there </w:t>
      </w:r>
      <w:r w:rsidR="0080703F">
        <w:t xml:space="preserve">were </w:t>
      </w:r>
      <w:r>
        <w:t xml:space="preserve">reports from the Bendigo and Shepparton areas. </w:t>
      </w:r>
    </w:p>
    <w:p w:rsidR="00EB04D5" w:rsidRDefault="00EB04D5" w:rsidP="00EB04D5">
      <w:pPr>
        <w:jc w:val="both"/>
      </w:pPr>
    </w:p>
    <w:p w:rsidR="00EB04D5" w:rsidRDefault="00EB04D5" w:rsidP="00EB04D5">
      <w:pPr>
        <w:jc w:val="both"/>
      </w:pPr>
      <w:r>
        <w:t>Adult locust population levels increased dramatically in northern Victoria during April. There were several periods of immigration from the Riverina and Far Southwest New South Wales. Wind trajectories indicated significant southward movements were likely during 4</w:t>
      </w:r>
      <w:r w:rsidR="00702EE7">
        <w:t>–</w:t>
      </w:r>
      <w:r>
        <w:t>8 April and 16–20 April. An increase in swarm numbers was reported in the Mallee and Wimmera districts, from Swan Hill south to Maryborough and from Echuca to Bendigo. Swarms continued to move southwards during April and were reported near Stawell, St Arna</w:t>
      </w:r>
      <w:r w:rsidR="00932E69">
        <w:t>ud, Horsham and Toolondo (Fig. 5</w:t>
      </w:r>
      <w:r>
        <w:t xml:space="preserve">). Dense swarms and egg </w:t>
      </w:r>
      <w:proofErr w:type="gramStart"/>
      <w:r>
        <w:t>laying</w:t>
      </w:r>
      <w:proofErr w:type="gramEnd"/>
      <w:r>
        <w:t xml:space="preserve"> were reported in the Northwest and North Central regions, with the intense activity reported from </w:t>
      </w:r>
      <w:r w:rsidR="00702EE7">
        <w:t xml:space="preserve">the </w:t>
      </w:r>
      <w:r>
        <w:t xml:space="preserve">Mildura–Ouyen–Sea </w:t>
      </w:r>
      <w:r w:rsidR="00702EE7">
        <w:t>L</w:t>
      </w:r>
      <w:r>
        <w:t>ake, Swan Hill–Boort–Wedderburn, Kerang–Mitiamo–Rochester and Hopetoun–Horsham</w:t>
      </w:r>
      <w:r w:rsidR="00702EE7">
        <w:t xml:space="preserve"> areas</w:t>
      </w:r>
      <w:r>
        <w:t xml:space="preserve">. Swarm activity and sporadic egg </w:t>
      </w:r>
      <w:proofErr w:type="gramStart"/>
      <w:r>
        <w:t>laying</w:t>
      </w:r>
      <w:proofErr w:type="gramEnd"/>
      <w:r>
        <w:t xml:space="preserve"> continued during May in some areas. The extent of the autumn swarm infestation was more widespread in Victoria than any recorded since 1974.</w:t>
      </w:r>
    </w:p>
    <w:p w:rsidR="00EB04D5" w:rsidRPr="00CB152E" w:rsidRDefault="00EB04D5" w:rsidP="00EB04D5">
      <w:pPr>
        <w:jc w:val="both"/>
      </w:pPr>
    </w:p>
    <w:p w:rsidR="0080703F" w:rsidRDefault="0080703F" w:rsidP="00EB04D5">
      <w:pPr>
        <w:pStyle w:val="Heading3"/>
      </w:pPr>
    </w:p>
    <w:p w:rsidR="0080703F" w:rsidRDefault="0080703F" w:rsidP="00EB04D5">
      <w:pPr>
        <w:pStyle w:val="Heading3"/>
      </w:pPr>
    </w:p>
    <w:p w:rsidR="00EB04D5" w:rsidRDefault="00EB04D5" w:rsidP="00EB04D5">
      <w:pPr>
        <w:pStyle w:val="Heading3"/>
      </w:pPr>
      <w:r w:rsidRPr="00B05018">
        <w:t>South Australia</w:t>
      </w:r>
    </w:p>
    <w:p w:rsidR="00EB04D5" w:rsidRDefault="00EB04D5" w:rsidP="00EB04D5">
      <w:pPr>
        <w:jc w:val="both"/>
      </w:pPr>
    </w:p>
    <w:p w:rsidR="00EB04D5" w:rsidRDefault="00EB04D5" w:rsidP="00EB04D5">
      <w:pPr>
        <w:jc w:val="both"/>
      </w:pPr>
      <w:r>
        <w:t>Locust numbers were low during autumn 2009 and continued at low densities in mostly dry conditions during spring. Surveys detected very few locusts in September in the Far North region (Fig. 1). No APLC surveys were conducted during October or November due to staff commitments to control in other states and no locust activity was reported from South Australia. Heavy ra</w:t>
      </w:r>
      <w:r w:rsidR="0080703F">
        <w:t>infall in the Far North region i</w:t>
      </w:r>
      <w:r>
        <w:t xml:space="preserve">n late November provided the first opportunity for habitat response favourable </w:t>
      </w:r>
      <w:r w:rsidR="0080703F">
        <w:t>to</w:t>
      </w:r>
      <w:r>
        <w:t xml:space="preserve"> locusts and there was further moderate–heavy rainfall in late December.  </w:t>
      </w:r>
    </w:p>
    <w:p w:rsidR="00EB04D5" w:rsidRDefault="00EB04D5" w:rsidP="00EB04D5">
      <w:pPr>
        <w:jc w:val="both"/>
      </w:pPr>
    </w:p>
    <w:p w:rsidR="00EB04D5" w:rsidRDefault="00EB04D5" w:rsidP="00EB04D5">
      <w:pPr>
        <w:jc w:val="both"/>
      </w:pPr>
      <w:r>
        <w:t>APLC surveys in mid-December showed very low numbers of adults in the Far North and Northwest regions, while in the Northeast a localised low–medium density adult population was identified in the Orroroo–Hawker area of the Southern Flinders Ranges. No further APLC surveys were conducted in South Australia during the season, which limited subsequent estimates of locust distribution and density.</w:t>
      </w:r>
    </w:p>
    <w:p w:rsidR="00EB04D5" w:rsidRDefault="00EB04D5" w:rsidP="00EB04D5">
      <w:pPr>
        <w:jc w:val="both"/>
      </w:pPr>
    </w:p>
    <w:p w:rsidR="00EB04D5" w:rsidRDefault="00EB04D5" w:rsidP="00EB04D5">
      <w:pPr>
        <w:jc w:val="both"/>
      </w:pPr>
      <w:r>
        <w:t xml:space="preserve">The first indications of locust activity in northern regions were light trap catches from early January at both </w:t>
      </w:r>
      <w:proofErr w:type="spellStart"/>
      <w:r>
        <w:t>Dulkaninna</w:t>
      </w:r>
      <w:proofErr w:type="spellEnd"/>
      <w:r>
        <w:t xml:space="preserve"> and Oodnadatta. The increase in locust numbers resulted from local egg laying following rainfall in late November and immigration from the fledging population in Southwest Queensland at that time. There was also a report </w:t>
      </w:r>
      <w:r w:rsidR="0080703F">
        <w:t>from</w:t>
      </w:r>
      <w:r>
        <w:t xml:space="preserve"> Arkaroola in late January. </w:t>
      </w:r>
    </w:p>
    <w:p w:rsidR="00EB04D5" w:rsidRDefault="00EB04D5" w:rsidP="00EB04D5">
      <w:pPr>
        <w:jc w:val="both"/>
      </w:pPr>
    </w:p>
    <w:p w:rsidR="00EB04D5" w:rsidRDefault="00EB04D5" w:rsidP="00EB04D5">
      <w:pPr>
        <w:jc w:val="both"/>
      </w:pPr>
      <w:r>
        <w:t xml:space="preserve">Locust density increased in the Far North of South Australia during February, following further migrations from adjacent areas of Queensland and New South Wales. Light traps at </w:t>
      </w:r>
      <w:proofErr w:type="spellStart"/>
      <w:r>
        <w:t>Dulkaninna</w:t>
      </w:r>
      <w:proofErr w:type="spellEnd"/>
      <w:r>
        <w:t xml:space="preserve"> and Oodnadatta reported high activity from mid-February to early March and reports of high density adults were subsequently received from several locations in the Far North, in particular the Marree–Lyndhurst–Parachilna area. In late February locusts were also reported in the Northeast and Murray Valley regions. There were several periods of heavy </w:t>
      </w:r>
      <w:r>
        <w:lastRenderedPageBreak/>
        <w:t>rainfall across northern South Australia during February, establishing favourable conditions for breeding and nymphal development.</w:t>
      </w:r>
    </w:p>
    <w:p w:rsidR="00EB04D5" w:rsidRDefault="00EB04D5" w:rsidP="00EB04D5">
      <w:pPr>
        <w:jc w:val="both"/>
      </w:pPr>
    </w:p>
    <w:p w:rsidR="00EB04D5" w:rsidRDefault="00EB04D5" w:rsidP="00EB04D5">
      <w:pPr>
        <w:jc w:val="both"/>
      </w:pPr>
      <w:r>
        <w:t xml:space="preserve">During March bands of nymphs were reported from the </w:t>
      </w:r>
      <w:proofErr w:type="spellStart"/>
      <w:r>
        <w:t>Dulkaninna</w:t>
      </w:r>
      <w:proofErr w:type="spellEnd"/>
      <w:r>
        <w:t xml:space="preserve">, Marree–Lyndhurst and northern </w:t>
      </w:r>
      <w:proofErr w:type="gramStart"/>
      <w:r>
        <w:t>Flinders Ranges</w:t>
      </w:r>
      <w:proofErr w:type="gramEnd"/>
      <w:r>
        <w:t xml:space="preserve"> areas of the Far North region and the Parachilna–Hawker area </w:t>
      </w:r>
      <w:r w:rsidR="007D48CD">
        <w:t>in</w:t>
      </w:r>
      <w:r>
        <w:t xml:space="preserve"> the Northeast region</w:t>
      </w:r>
      <w:r w:rsidR="0080703F">
        <w:t xml:space="preserve"> (Fig. 4)</w:t>
      </w:r>
      <w:r>
        <w:t xml:space="preserve">. Residual adults continued to move south and sporadic high density egg </w:t>
      </w:r>
      <w:proofErr w:type="gramStart"/>
      <w:r>
        <w:t>laying</w:t>
      </w:r>
      <w:proofErr w:type="gramEnd"/>
      <w:r>
        <w:t xml:space="preserve"> was reported on the Eyre Peninsula in late March. </w:t>
      </w:r>
    </w:p>
    <w:p w:rsidR="00EB04D5" w:rsidRDefault="00EB04D5" w:rsidP="00EB04D5">
      <w:pPr>
        <w:jc w:val="both"/>
      </w:pPr>
    </w:p>
    <w:p w:rsidR="00EB04D5" w:rsidRDefault="00EB04D5" w:rsidP="00EB04D5">
      <w:pPr>
        <w:jc w:val="both"/>
      </w:pPr>
      <w:r>
        <w:t>Significant southward migrations from the Far North region and from western New South Wales occurred during the first week of April</w:t>
      </w:r>
      <w:r w:rsidR="0080703F">
        <w:t>,</w:t>
      </w:r>
      <w:r>
        <w:t xml:space="preserve"> result</w:t>
      </w:r>
      <w:r w:rsidR="0080703F">
        <w:t>ing</w:t>
      </w:r>
      <w:r>
        <w:t xml:space="preserve"> in increased swarm activity in the southern Flinders Ranges area of the Northeast region and throughout the Riverland </w:t>
      </w:r>
      <w:r w:rsidR="007D48CD">
        <w:t>and</w:t>
      </w:r>
      <w:r>
        <w:t xml:space="preserve"> Murray </w:t>
      </w:r>
      <w:r w:rsidR="007D48CD">
        <w:t xml:space="preserve">Mallee </w:t>
      </w:r>
      <w:r>
        <w:t xml:space="preserve">districts. Reports of swarm appearance in the Sturt Vale area, south of Yunta, on 4 April, followed by swarm reports from the Riverland indicate likely migrations from New South Wales. Further movement to the south in mid-April brought swarms as far south as Bordertown and Keith in the Southeast region (Fig. 5). Extensive swarm egg </w:t>
      </w:r>
      <w:proofErr w:type="gramStart"/>
      <w:r>
        <w:t>laying</w:t>
      </w:r>
      <w:proofErr w:type="gramEnd"/>
      <w:r>
        <w:t xml:space="preserve"> occurred in the Northeast</w:t>
      </w:r>
      <w:r w:rsidR="007D48CD">
        <w:t xml:space="preserve"> and Murray Valley</w:t>
      </w:r>
      <w:r>
        <w:t xml:space="preserve"> regions. On the eastern Eyre Peninsula adult numbers declined to medium densities by mid-April, </w:t>
      </w:r>
      <w:r w:rsidR="007D48CD">
        <w:t xml:space="preserve">after </w:t>
      </w:r>
      <w:r>
        <w:t xml:space="preserve">swarm egg </w:t>
      </w:r>
      <w:proofErr w:type="gramStart"/>
      <w:r>
        <w:t>laying</w:t>
      </w:r>
      <w:proofErr w:type="gramEnd"/>
      <w:r>
        <w:t xml:space="preserve"> in late March.</w:t>
      </w:r>
    </w:p>
    <w:p w:rsidR="00EB04D5" w:rsidRDefault="00EB04D5" w:rsidP="00EB04D5">
      <w:pPr>
        <w:jc w:val="both"/>
      </w:pPr>
    </w:p>
    <w:p w:rsidR="00EB04D5" w:rsidRPr="00FC5608" w:rsidRDefault="00EB04D5" w:rsidP="00EB04D5">
      <w:pPr>
        <w:jc w:val="both"/>
        <w:rPr>
          <w:b/>
        </w:rPr>
      </w:pPr>
    </w:p>
    <w:p w:rsidR="00EB04D5" w:rsidRPr="009D4B94" w:rsidRDefault="00EB04D5" w:rsidP="00EB04D5">
      <w:pPr>
        <w:pStyle w:val="Heading3"/>
      </w:pPr>
      <w:smartTag w:uri="urn:schemas-microsoft-com:office:smarttags" w:element="place">
        <w:smartTag w:uri="urn:schemas-microsoft-com:office:smarttags" w:element="State">
          <w:r w:rsidRPr="00A95341">
            <w:t>Western Australia</w:t>
          </w:r>
        </w:smartTag>
      </w:smartTag>
    </w:p>
    <w:p w:rsidR="00EB04D5" w:rsidRPr="00FC5608" w:rsidRDefault="00EB04D5" w:rsidP="00EB04D5">
      <w:pPr>
        <w:jc w:val="both"/>
      </w:pPr>
      <w:r>
        <w:t>Spring hatchings were reported on numerous properti</w:t>
      </w:r>
      <w:r w:rsidR="00E911C0">
        <w:t xml:space="preserve">es in the Central and Southern </w:t>
      </w:r>
      <w:r>
        <w:t>Agricultural regions during October. The highest number</w:t>
      </w:r>
      <w:r w:rsidR="00E911C0">
        <w:t>s</w:t>
      </w:r>
      <w:r>
        <w:t xml:space="preserve"> of properties affected w</w:t>
      </w:r>
      <w:r w:rsidR="00E911C0">
        <w:t>ere</w:t>
      </w:r>
      <w:r>
        <w:t xml:space="preserve"> in the eastern Shires of these regions, including </w:t>
      </w:r>
      <w:proofErr w:type="spellStart"/>
      <w:r>
        <w:t>Muckinbudin</w:t>
      </w:r>
      <w:proofErr w:type="spellEnd"/>
      <w:r>
        <w:t xml:space="preserve">, </w:t>
      </w:r>
      <w:proofErr w:type="spellStart"/>
      <w:r>
        <w:t>Yilgarn</w:t>
      </w:r>
      <w:proofErr w:type="spellEnd"/>
      <w:r>
        <w:t>, Westonia, Lake Grace, Esperance, Ravensthorpe and Gnowangerup. The subsequent adult generation did not develop at high enough densities for any significant swarm formation.</w:t>
      </w:r>
    </w:p>
    <w:p w:rsidR="00EB04D5" w:rsidRPr="00FC5608" w:rsidRDefault="00EB04D5" w:rsidP="00EB04D5">
      <w:pPr>
        <w:jc w:val="both"/>
      </w:pPr>
    </w:p>
    <w:p w:rsidR="00EB04D5" w:rsidRPr="004B095B" w:rsidRDefault="00EB04D5" w:rsidP="00EB04D5">
      <w:pPr>
        <w:jc w:val="both"/>
      </w:pPr>
    </w:p>
    <w:p w:rsidR="00EB04D5" w:rsidRDefault="00EB04D5" w:rsidP="00EB04D5">
      <w:pPr>
        <w:tabs>
          <w:tab w:val="right" w:pos="9072"/>
          <w:tab w:val="right" w:pos="9180"/>
        </w:tabs>
        <w:jc w:val="both"/>
      </w:pPr>
    </w:p>
    <w:p w:rsidR="00EB04D5" w:rsidRDefault="00EB04D5" w:rsidP="00EB04D5">
      <w:pPr>
        <w:tabs>
          <w:tab w:val="right" w:pos="9072"/>
          <w:tab w:val="right" w:pos="9180"/>
        </w:tabs>
        <w:ind w:right="-765"/>
        <w:jc w:val="both"/>
        <w:rPr>
          <w:color w:val="FF0000"/>
        </w:rPr>
      </w:pPr>
      <w:r>
        <w:rPr>
          <w:noProof/>
          <w:color w:val="FF0000"/>
          <w:lang w:eastAsia="en-AU"/>
        </w:rPr>
        <w:lastRenderedPageBreak/>
        <w:drawing>
          <wp:inline distT="0" distB="0" distL="0" distR="0">
            <wp:extent cx="5580380" cy="7324090"/>
            <wp:effectExtent l="19050" t="0" r="1270" b="0"/>
            <wp:docPr id="7" name="Picture 6" descr="Figure 1 shows the distribution of Australian plague locust across eastern Australia in Septem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ep09.jpg"/>
                    <pic:cNvPicPr/>
                  </pic:nvPicPr>
                  <pic:blipFill>
                    <a:blip r:embed="rId14" cstate="print"/>
                    <a:stretch>
                      <a:fillRect/>
                    </a:stretch>
                  </pic:blipFill>
                  <pic:spPr>
                    <a:xfrm>
                      <a:off x="0" y="0"/>
                      <a:ext cx="5580380" cy="7324090"/>
                    </a:xfrm>
                    <a:prstGeom prst="rect">
                      <a:avLst/>
                    </a:prstGeom>
                  </pic:spPr>
                </pic:pic>
              </a:graphicData>
            </a:graphic>
          </wp:inline>
        </w:drawing>
      </w:r>
    </w:p>
    <w:p w:rsidR="00EB04D5" w:rsidRDefault="00EB04D5" w:rsidP="00EB04D5"/>
    <w:p w:rsidR="00EB04D5" w:rsidRDefault="00EB04D5" w:rsidP="00EB04D5">
      <w:pPr>
        <w:jc w:val="both"/>
        <w:rPr>
          <w:b/>
          <w:color w:val="0000FF"/>
        </w:rPr>
      </w:pPr>
    </w:p>
    <w:p w:rsidR="00EB04D5" w:rsidRPr="006D3AEA" w:rsidRDefault="00EB04D5" w:rsidP="00EB04D5">
      <w:pPr>
        <w:pStyle w:val="Caption"/>
        <w:jc w:val="center"/>
        <w:rPr>
          <w:color w:val="0000FF"/>
        </w:rPr>
      </w:pPr>
      <w:bookmarkStart w:id="38" w:name="_Toc263163132"/>
      <w:r w:rsidRPr="006D3AEA">
        <w:rPr>
          <w:color w:val="0000FF"/>
        </w:rPr>
        <w:t xml:space="preserve">Figure </w:t>
      </w:r>
      <w:r w:rsidR="00433EA0" w:rsidRPr="006D3AEA">
        <w:rPr>
          <w:color w:val="0000FF"/>
        </w:rPr>
        <w:fldChar w:fldCharType="begin"/>
      </w:r>
      <w:r w:rsidRPr="006D3AEA">
        <w:rPr>
          <w:color w:val="0000FF"/>
        </w:rPr>
        <w:instrText xml:space="preserve"> SEQ Figure \* ARABIC </w:instrText>
      </w:r>
      <w:r w:rsidR="00433EA0" w:rsidRPr="006D3AEA">
        <w:rPr>
          <w:color w:val="0000FF"/>
        </w:rPr>
        <w:fldChar w:fldCharType="separate"/>
      </w:r>
      <w:r w:rsidR="00B528B1">
        <w:rPr>
          <w:noProof/>
          <w:color w:val="0000FF"/>
        </w:rPr>
        <w:t>1</w:t>
      </w:r>
      <w:r w:rsidR="00433EA0" w:rsidRPr="006D3AEA">
        <w:rPr>
          <w:color w:val="0000FF"/>
        </w:rPr>
        <w:fldChar w:fldCharType="end"/>
      </w:r>
      <w:r w:rsidRPr="006D3AEA">
        <w:rPr>
          <w:color w:val="0000FF"/>
        </w:rPr>
        <w:t xml:space="preserve"> : Australian plague locust distribution: </w:t>
      </w:r>
      <w:r>
        <w:rPr>
          <w:color w:val="0000FF"/>
        </w:rPr>
        <w:t>Septem</w:t>
      </w:r>
      <w:r w:rsidRPr="000F12A3">
        <w:rPr>
          <w:color w:val="0000FF"/>
        </w:rPr>
        <w:t>ber 200</w:t>
      </w:r>
      <w:bookmarkEnd w:id="38"/>
      <w:r>
        <w:rPr>
          <w:color w:val="0000FF"/>
        </w:rPr>
        <w:t>9</w:t>
      </w:r>
    </w:p>
    <w:p w:rsidR="00EB04D5" w:rsidRDefault="00EB04D5" w:rsidP="00EB04D5"/>
    <w:p w:rsidR="00EB04D5" w:rsidRDefault="00EB04D5" w:rsidP="00EB04D5">
      <w:pPr>
        <w:jc w:val="both"/>
        <w:rPr>
          <w:b/>
          <w:color w:val="0000FF"/>
        </w:rPr>
      </w:pPr>
    </w:p>
    <w:p w:rsidR="00EB04D5" w:rsidRDefault="00EB04D5" w:rsidP="00EB04D5">
      <w:pPr>
        <w:jc w:val="both"/>
        <w:rPr>
          <w:b/>
          <w:color w:val="0000FF"/>
        </w:rPr>
      </w:pPr>
      <w:r>
        <w:rPr>
          <w:b/>
          <w:noProof/>
          <w:color w:val="0000FF"/>
          <w:lang w:eastAsia="en-AU"/>
        </w:rPr>
        <w:lastRenderedPageBreak/>
        <w:drawing>
          <wp:inline distT="0" distB="0" distL="0" distR="0">
            <wp:extent cx="5580380" cy="7324090"/>
            <wp:effectExtent l="19050" t="0" r="1270" b="0"/>
            <wp:docPr id="8" name="Picture 7" descr="Figure 2 shows the distribution of Australian plague locust across eastern Australia in Novem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nov09.jpg"/>
                    <pic:cNvPicPr/>
                  </pic:nvPicPr>
                  <pic:blipFill>
                    <a:blip r:embed="rId15" cstate="print"/>
                    <a:stretch>
                      <a:fillRect/>
                    </a:stretch>
                  </pic:blipFill>
                  <pic:spPr>
                    <a:xfrm>
                      <a:off x="0" y="0"/>
                      <a:ext cx="5580380" cy="7324090"/>
                    </a:xfrm>
                    <a:prstGeom prst="rect">
                      <a:avLst/>
                    </a:prstGeom>
                  </pic:spPr>
                </pic:pic>
              </a:graphicData>
            </a:graphic>
          </wp:inline>
        </w:drawing>
      </w:r>
    </w:p>
    <w:p w:rsidR="00EB04D5" w:rsidRDefault="00EB04D5" w:rsidP="00EB04D5">
      <w:pPr>
        <w:jc w:val="both"/>
        <w:rPr>
          <w:b/>
          <w:color w:val="0000FF"/>
        </w:rPr>
      </w:pPr>
    </w:p>
    <w:p w:rsidR="00EB04D5" w:rsidRDefault="00EB04D5" w:rsidP="00EB04D5">
      <w:pPr>
        <w:jc w:val="both"/>
        <w:rPr>
          <w:b/>
          <w:color w:val="0000FF"/>
        </w:rPr>
      </w:pPr>
    </w:p>
    <w:p w:rsidR="00EB04D5" w:rsidRPr="006D3AEA" w:rsidRDefault="00EB04D5" w:rsidP="00EB04D5">
      <w:pPr>
        <w:pStyle w:val="Caption"/>
        <w:jc w:val="center"/>
        <w:rPr>
          <w:color w:val="0000FF"/>
        </w:rPr>
      </w:pPr>
      <w:bookmarkStart w:id="39" w:name="_Toc263163133"/>
      <w:r w:rsidRPr="006D3AEA">
        <w:rPr>
          <w:color w:val="0000FF"/>
        </w:rPr>
        <w:t xml:space="preserve">Figure </w:t>
      </w:r>
      <w:r w:rsidR="00433EA0" w:rsidRPr="006D3AEA">
        <w:rPr>
          <w:color w:val="0000FF"/>
        </w:rPr>
        <w:fldChar w:fldCharType="begin"/>
      </w:r>
      <w:r w:rsidRPr="006D3AEA">
        <w:rPr>
          <w:color w:val="0000FF"/>
        </w:rPr>
        <w:instrText xml:space="preserve"> SEQ Figure \* ARABIC </w:instrText>
      </w:r>
      <w:r w:rsidR="00433EA0" w:rsidRPr="006D3AEA">
        <w:rPr>
          <w:color w:val="0000FF"/>
        </w:rPr>
        <w:fldChar w:fldCharType="separate"/>
      </w:r>
      <w:r w:rsidR="00B528B1">
        <w:rPr>
          <w:noProof/>
          <w:color w:val="0000FF"/>
        </w:rPr>
        <w:t>2</w:t>
      </w:r>
      <w:r w:rsidR="00433EA0" w:rsidRPr="006D3AEA">
        <w:rPr>
          <w:color w:val="0000FF"/>
        </w:rPr>
        <w:fldChar w:fldCharType="end"/>
      </w:r>
      <w:r w:rsidRPr="006D3AEA">
        <w:rPr>
          <w:color w:val="0000FF"/>
        </w:rPr>
        <w:t xml:space="preserve"> : Australian plague locust distribution: </w:t>
      </w:r>
      <w:r>
        <w:rPr>
          <w:color w:val="0000FF"/>
        </w:rPr>
        <w:t>November</w:t>
      </w:r>
      <w:r w:rsidRPr="000F12A3">
        <w:rPr>
          <w:color w:val="0000FF"/>
        </w:rPr>
        <w:t xml:space="preserve"> 200</w:t>
      </w:r>
      <w:r>
        <w:rPr>
          <w:color w:val="0000FF"/>
        </w:rPr>
        <w:t>9</w:t>
      </w:r>
      <w:bookmarkEnd w:id="39"/>
    </w:p>
    <w:p w:rsidR="00EB04D5" w:rsidRDefault="00EB04D5" w:rsidP="00EB04D5">
      <w:pPr>
        <w:jc w:val="both"/>
      </w:pPr>
    </w:p>
    <w:p w:rsidR="00EB04D5" w:rsidRDefault="00EB04D5" w:rsidP="00EB04D5">
      <w:pPr>
        <w:jc w:val="both"/>
        <w:rPr>
          <w:b/>
          <w:color w:val="0000FF"/>
        </w:rPr>
      </w:pPr>
    </w:p>
    <w:p w:rsidR="00EB04D5" w:rsidRDefault="00EB04D5" w:rsidP="00EB04D5">
      <w:pPr>
        <w:jc w:val="both"/>
        <w:rPr>
          <w:noProof/>
        </w:rPr>
      </w:pPr>
    </w:p>
    <w:p w:rsidR="00EB04D5" w:rsidRDefault="00EB04D5" w:rsidP="00EB04D5">
      <w:pPr>
        <w:jc w:val="both"/>
        <w:rPr>
          <w:noProof/>
        </w:rPr>
      </w:pPr>
      <w:r>
        <w:rPr>
          <w:noProof/>
          <w:lang w:eastAsia="en-AU"/>
        </w:rPr>
        <w:lastRenderedPageBreak/>
        <w:drawing>
          <wp:inline distT="0" distB="0" distL="0" distR="0">
            <wp:extent cx="5580380" cy="7324090"/>
            <wp:effectExtent l="19050" t="0" r="1270" b="0"/>
            <wp:docPr id="9" name="Picture 8" descr="Figure 3 shows the distribution of Australian plague locust across eastern Australia in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jan2010.jpg"/>
                    <pic:cNvPicPr/>
                  </pic:nvPicPr>
                  <pic:blipFill>
                    <a:blip r:embed="rId16" cstate="print"/>
                    <a:stretch>
                      <a:fillRect/>
                    </a:stretch>
                  </pic:blipFill>
                  <pic:spPr>
                    <a:xfrm>
                      <a:off x="0" y="0"/>
                      <a:ext cx="5580380" cy="7324090"/>
                    </a:xfrm>
                    <a:prstGeom prst="rect">
                      <a:avLst/>
                    </a:prstGeom>
                  </pic:spPr>
                </pic:pic>
              </a:graphicData>
            </a:graphic>
          </wp:inline>
        </w:drawing>
      </w:r>
    </w:p>
    <w:p w:rsidR="00EB04D5" w:rsidRDefault="00EB04D5" w:rsidP="00EB04D5">
      <w:pPr>
        <w:jc w:val="both"/>
        <w:rPr>
          <w:b/>
          <w:color w:val="0000FF"/>
        </w:rPr>
      </w:pPr>
    </w:p>
    <w:p w:rsidR="00EB04D5" w:rsidRPr="006D3AEA" w:rsidRDefault="00EB04D5" w:rsidP="00EB04D5">
      <w:pPr>
        <w:pStyle w:val="Caption"/>
        <w:jc w:val="center"/>
        <w:rPr>
          <w:noProof/>
          <w:color w:val="0000FF"/>
        </w:rPr>
      </w:pPr>
      <w:bookmarkStart w:id="40" w:name="_Toc263163134"/>
      <w:r w:rsidRPr="006D3AEA">
        <w:rPr>
          <w:color w:val="0000FF"/>
        </w:rPr>
        <w:t xml:space="preserve">Figure </w:t>
      </w:r>
      <w:r w:rsidR="00433EA0" w:rsidRPr="006D3AEA">
        <w:rPr>
          <w:color w:val="0000FF"/>
        </w:rPr>
        <w:fldChar w:fldCharType="begin"/>
      </w:r>
      <w:r w:rsidRPr="006D3AEA">
        <w:rPr>
          <w:color w:val="0000FF"/>
        </w:rPr>
        <w:instrText xml:space="preserve"> SEQ Figure \* ARABIC </w:instrText>
      </w:r>
      <w:r w:rsidR="00433EA0" w:rsidRPr="006D3AEA">
        <w:rPr>
          <w:color w:val="0000FF"/>
        </w:rPr>
        <w:fldChar w:fldCharType="separate"/>
      </w:r>
      <w:r w:rsidR="00B528B1">
        <w:rPr>
          <w:noProof/>
          <w:color w:val="0000FF"/>
        </w:rPr>
        <w:t>3</w:t>
      </w:r>
      <w:r w:rsidR="00433EA0" w:rsidRPr="006D3AEA">
        <w:rPr>
          <w:color w:val="0000FF"/>
        </w:rPr>
        <w:fldChar w:fldCharType="end"/>
      </w:r>
      <w:r w:rsidRPr="006D3AEA">
        <w:rPr>
          <w:color w:val="0000FF"/>
        </w:rPr>
        <w:t xml:space="preserve"> : Australian plague locust distribution: </w:t>
      </w:r>
      <w:r>
        <w:rPr>
          <w:color w:val="0000FF"/>
        </w:rPr>
        <w:t>January</w:t>
      </w:r>
      <w:r w:rsidRPr="000F12A3">
        <w:rPr>
          <w:color w:val="0000FF"/>
        </w:rPr>
        <w:t xml:space="preserve"> 20</w:t>
      </w:r>
      <w:bookmarkEnd w:id="40"/>
      <w:r>
        <w:rPr>
          <w:color w:val="0000FF"/>
        </w:rPr>
        <w:t>10</w:t>
      </w:r>
    </w:p>
    <w:p w:rsidR="00EB04D5" w:rsidRDefault="00EB04D5" w:rsidP="00EB04D5">
      <w:pPr>
        <w:jc w:val="both"/>
        <w:rPr>
          <w:noProof/>
        </w:rPr>
      </w:pPr>
    </w:p>
    <w:p w:rsidR="00EB04D5" w:rsidRDefault="00EB04D5" w:rsidP="00EB04D5">
      <w:pPr>
        <w:jc w:val="both"/>
        <w:rPr>
          <w:noProof/>
        </w:rPr>
      </w:pPr>
    </w:p>
    <w:p w:rsidR="00EB04D5" w:rsidRDefault="00EB04D5" w:rsidP="00EB04D5">
      <w:pPr>
        <w:jc w:val="both"/>
        <w:rPr>
          <w:noProof/>
        </w:rPr>
      </w:pPr>
    </w:p>
    <w:p w:rsidR="00EB04D5" w:rsidRDefault="00EB04D5" w:rsidP="00EB04D5">
      <w:pPr>
        <w:jc w:val="both"/>
      </w:pPr>
      <w:r>
        <w:rPr>
          <w:noProof/>
          <w:lang w:eastAsia="en-AU"/>
        </w:rPr>
        <w:lastRenderedPageBreak/>
        <w:drawing>
          <wp:inline distT="0" distB="0" distL="0" distR="0">
            <wp:extent cx="5580380" cy="7324090"/>
            <wp:effectExtent l="19050" t="0" r="1270" b="0"/>
            <wp:docPr id="11" name="Picture 10" descr="Figure 4 shows the distribution of Australian plague locust across eastern Australia in March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mar2010.jpg"/>
                    <pic:cNvPicPr/>
                  </pic:nvPicPr>
                  <pic:blipFill>
                    <a:blip r:embed="rId17" cstate="print"/>
                    <a:stretch>
                      <a:fillRect/>
                    </a:stretch>
                  </pic:blipFill>
                  <pic:spPr>
                    <a:xfrm>
                      <a:off x="0" y="0"/>
                      <a:ext cx="5580380" cy="7324090"/>
                    </a:xfrm>
                    <a:prstGeom prst="rect">
                      <a:avLst/>
                    </a:prstGeom>
                  </pic:spPr>
                </pic:pic>
              </a:graphicData>
            </a:graphic>
          </wp:inline>
        </w:drawing>
      </w:r>
    </w:p>
    <w:p w:rsidR="00EB04D5" w:rsidRDefault="00EB04D5" w:rsidP="00EB04D5">
      <w:pPr>
        <w:jc w:val="both"/>
      </w:pPr>
    </w:p>
    <w:p w:rsidR="00EB04D5" w:rsidRDefault="00EB04D5" w:rsidP="00EB04D5">
      <w:pPr>
        <w:pStyle w:val="Caption"/>
        <w:jc w:val="center"/>
        <w:rPr>
          <w:color w:val="0000FF"/>
        </w:rPr>
      </w:pPr>
      <w:bookmarkStart w:id="41" w:name="_Toc263163135"/>
      <w:r w:rsidRPr="006D3AEA">
        <w:rPr>
          <w:color w:val="0000FF"/>
        </w:rPr>
        <w:t xml:space="preserve">Figure </w:t>
      </w:r>
      <w:r w:rsidR="00433EA0" w:rsidRPr="006D3AEA">
        <w:rPr>
          <w:color w:val="0000FF"/>
        </w:rPr>
        <w:fldChar w:fldCharType="begin"/>
      </w:r>
      <w:r w:rsidRPr="006D3AEA">
        <w:rPr>
          <w:color w:val="0000FF"/>
        </w:rPr>
        <w:instrText xml:space="preserve"> SEQ Figure \* ARABIC </w:instrText>
      </w:r>
      <w:r w:rsidR="00433EA0" w:rsidRPr="006D3AEA">
        <w:rPr>
          <w:color w:val="0000FF"/>
        </w:rPr>
        <w:fldChar w:fldCharType="separate"/>
      </w:r>
      <w:r w:rsidR="00B528B1">
        <w:rPr>
          <w:noProof/>
          <w:color w:val="0000FF"/>
        </w:rPr>
        <w:t>4</w:t>
      </w:r>
      <w:r w:rsidR="00433EA0" w:rsidRPr="006D3AEA">
        <w:rPr>
          <w:color w:val="0000FF"/>
        </w:rPr>
        <w:fldChar w:fldCharType="end"/>
      </w:r>
      <w:r w:rsidRPr="006D3AEA">
        <w:rPr>
          <w:color w:val="0000FF"/>
        </w:rPr>
        <w:t xml:space="preserve"> : Australian plague locust distribution: </w:t>
      </w:r>
      <w:r w:rsidRPr="000F12A3">
        <w:rPr>
          <w:color w:val="0000FF"/>
        </w:rPr>
        <w:t>March 20</w:t>
      </w:r>
      <w:bookmarkEnd w:id="41"/>
      <w:r>
        <w:rPr>
          <w:color w:val="0000FF"/>
        </w:rPr>
        <w:t>10</w:t>
      </w:r>
    </w:p>
    <w:p w:rsidR="00EB04D5" w:rsidRPr="00CE6735" w:rsidRDefault="00EB04D5" w:rsidP="00EB04D5"/>
    <w:p w:rsidR="00EB04D5" w:rsidRPr="009E1C15" w:rsidRDefault="00EB04D5" w:rsidP="00EB04D5"/>
    <w:p w:rsidR="00EB04D5" w:rsidRDefault="00EB04D5" w:rsidP="00EB04D5">
      <w:pPr>
        <w:tabs>
          <w:tab w:val="right" w:pos="9072"/>
          <w:tab w:val="right" w:pos="9180"/>
        </w:tabs>
        <w:ind w:right="-765"/>
        <w:jc w:val="both"/>
        <w:rPr>
          <w:b/>
          <w:color w:val="FF0000"/>
        </w:rPr>
      </w:pPr>
    </w:p>
    <w:p w:rsidR="00EB04D5" w:rsidRDefault="00EB04D5" w:rsidP="00EB04D5">
      <w:pPr>
        <w:tabs>
          <w:tab w:val="right" w:pos="9072"/>
          <w:tab w:val="right" w:pos="9180"/>
        </w:tabs>
        <w:ind w:right="-765"/>
        <w:jc w:val="both"/>
        <w:rPr>
          <w:b/>
          <w:color w:val="0000FF"/>
        </w:rPr>
      </w:pPr>
    </w:p>
    <w:p w:rsidR="00EB04D5" w:rsidRDefault="00EB04D5" w:rsidP="00EB04D5">
      <w:pPr>
        <w:tabs>
          <w:tab w:val="right" w:pos="9072"/>
          <w:tab w:val="right" w:pos="9180"/>
        </w:tabs>
        <w:ind w:right="-765"/>
        <w:jc w:val="both"/>
        <w:rPr>
          <w:b/>
          <w:color w:val="0000FF"/>
        </w:rPr>
      </w:pPr>
    </w:p>
    <w:p w:rsidR="00EB04D5" w:rsidRDefault="00EB04D5" w:rsidP="00EB04D5">
      <w:pPr>
        <w:tabs>
          <w:tab w:val="right" w:pos="9072"/>
          <w:tab w:val="right" w:pos="9180"/>
        </w:tabs>
        <w:ind w:right="-765"/>
        <w:jc w:val="both"/>
        <w:rPr>
          <w:b/>
          <w:color w:val="0000FF"/>
        </w:rPr>
      </w:pPr>
    </w:p>
    <w:p w:rsidR="00EB04D5" w:rsidRDefault="00EB04D5" w:rsidP="00EB04D5">
      <w:pPr>
        <w:tabs>
          <w:tab w:val="right" w:pos="9072"/>
          <w:tab w:val="right" w:pos="9180"/>
        </w:tabs>
        <w:ind w:right="-765"/>
        <w:jc w:val="both"/>
        <w:rPr>
          <w:b/>
          <w:color w:val="0000FF"/>
        </w:rPr>
      </w:pPr>
    </w:p>
    <w:p w:rsidR="00EB04D5" w:rsidRDefault="00EB04D5" w:rsidP="00EB04D5">
      <w:pPr>
        <w:jc w:val="both"/>
      </w:pPr>
      <w:r>
        <w:rPr>
          <w:noProof/>
          <w:lang w:eastAsia="en-AU"/>
        </w:rPr>
        <w:lastRenderedPageBreak/>
        <w:drawing>
          <wp:inline distT="0" distB="0" distL="0" distR="0">
            <wp:extent cx="5580380" cy="7324805"/>
            <wp:effectExtent l="0" t="0" r="0" b="0"/>
            <wp:docPr id="10" name="Picture 9" descr="Figure 5 shows the distribution of Australian plague locust across eastern Australia in Apri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april2010"/>
                    <pic:cNvPicPr>
                      <a:picLocks noChangeAspect="1" noChangeArrowheads="1"/>
                    </pic:cNvPicPr>
                  </pic:nvPicPr>
                  <pic:blipFill>
                    <a:blip r:embed="rId18" cstate="print"/>
                    <a:srcRect/>
                    <a:stretch>
                      <a:fillRect/>
                    </a:stretch>
                  </pic:blipFill>
                  <pic:spPr bwMode="auto">
                    <a:xfrm>
                      <a:off x="0" y="0"/>
                      <a:ext cx="5580380" cy="7324805"/>
                    </a:xfrm>
                    <a:prstGeom prst="rect">
                      <a:avLst/>
                    </a:prstGeom>
                    <a:noFill/>
                    <a:ln w="9525">
                      <a:noFill/>
                      <a:miter lim="800000"/>
                      <a:headEnd/>
                      <a:tailEnd/>
                    </a:ln>
                  </pic:spPr>
                </pic:pic>
              </a:graphicData>
            </a:graphic>
          </wp:inline>
        </w:drawing>
      </w:r>
    </w:p>
    <w:p w:rsidR="00EB04D5" w:rsidRDefault="00EB04D5" w:rsidP="00EB04D5">
      <w:pPr>
        <w:jc w:val="both"/>
      </w:pPr>
    </w:p>
    <w:p w:rsidR="00EB04D5" w:rsidRPr="00894C49" w:rsidRDefault="00EB04D5" w:rsidP="00EB04D5">
      <w:pPr>
        <w:pStyle w:val="Caption"/>
        <w:jc w:val="center"/>
        <w:rPr>
          <w:color w:val="0000FF"/>
        </w:rPr>
      </w:pPr>
      <w:r w:rsidRPr="006D3AEA">
        <w:rPr>
          <w:color w:val="0000FF"/>
        </w:rPr>
        <w:t xml:space="preserve">Figure </w:t>
      </w:r>
      <w:r w:rsidR="00433EA0" w:rsidRPr="006D3AEA">
        <w:rPr>
          <w:color w:val="0000FF"/>
        </w:rPr>
        <w:fldChar w:fldCharType="begin"/>
      </w:r>
      <w:r w:rsidRPr="006D3AEA">
        <w:rPr>
          <w:color w:val="0000FF"/>
        </w:rPr>
        <w:instrText xml:space="preserve"> SEQ Figure \* ARABIC </w:instrText>
      </w:r>
      <w:r w:rsidR="00433EA0" w:rsidRPr="006D3AEA">
        <w:rPr>
          <w:color w:val="0000FF"/>
        </w:rPr>
        <w:fldChar w:fldCharType="separate"/>
      </w:r>
      <w:r w:rsidR="00B528B1">
        <w:rPr>
          <w:noProof/>
          <w:color w:val="0000FF"/>
        </w:rPr>
        <w:t>5</w:t>
      </w:r>
      <w:r w:rsidR="00433EA0" w:rsidRPr="006D3AEA">
        <w:rPr>
          <w:color w:val="0000FF"/>
        </w:rPr>
        <w:fldChar w:fldCharType="end"/>
      </w:r>
      <w:r w:rsidRPr="006D3AEA">
        <w:rPr>
          <w:color w:val="0000FF"/>
        </w:rPr>
        <w:t xml:space="preserve"> : Australian plague locust distribution: </w:t>
      </w:r>
      <w:r>
        <w:rPr>
          <w:color w:val="0000FF"/>
        </w:rPr>
        <w:t>April</w:t>
      </w:r>
      <w:r w:rsidRPr="000F12A3">
        <w:rPr>
          <w:color w:val="0000FF"/>
        </w:rPr>
        <w:t xml:space="preserve"> 20</w:t>
      </w:r>
      <w:r>
        <w:rPr>
          <w:color w:val="0000FF"/>
        </w:rPr>
        <w:t>10</w:t>
      </w:r>
    </w:p>
    <w:p w:rsidR="00EB04D5" w:rsidRDefault="00EB04D5" w:rsidP="00EB04D5">
      <w:r>
        <w:br w:type="page"/>
      </w:r>
    </w:p>
    <w:p w:rsidR="00EB04D5" w:rsidRDefault="00EB04D5" w:rsidP="00EB04D5">
      <w:pPr>
        <w:jc w:val="both"/>
      </w:pPr>
    </w:p>
    <w:p w:rsidR="00EB04D5" w:rsidRPr="009032BB" w:rsidRDefault="00EB04D5" w:rsidP="009032BB"/>
    <w:p w:rsidR="00EB04D5" w:rsidRPr="0043520E" w:rsidRDefault="00EB04D5" w:rsidP="00EB04D5">
      <w:pPr>
        <w:pStyle w:val="Heading2"/>
        <w:ind w:right="-96"/>
        <w:jc w:val="both"/>
        <w:rPr>
          <w:bCs/>
          <w:color w:val="0000FF"/>
          <w:sz w:val="28"/>
          <w:szCs w:val="28"/>
          <w:u w:val="single"/>
        </w:rPr>
      </w:pPr>
      <w:bookmarkStart w:id="42" w:name="_Toc209580093"/>
      <w:bookmarkStart w:id="43" w:name="_Toc209580361"/>
      <w:bookmarkStart w:id="44" w:name="_Toc209580503"/>
      <w:bookmarkStart w:id="45" w:name="_Toc209580770"/>
      <w:bookmarkStart w:id="46" w:name="_Toc263163112"/>
      <w:r w:rsidRPr="0043520E">
        <w:rPr>
          <w:bCs/>
          <w:color w:val="0000FF"/>
          <w:sz w:val="28"/>
          <w:szCs w:val="28"/>
          <w:u w:val="single"/>
        </w:rPr>
        <w:t>Spur-throated locust</w:t>
      </w:r>
      <w:bookmarkEnd w:id="42"/>
      <w:bookmarkEnd w:id="43"/>
      <w:bookmarkEnd w:id="44"/>
      <w:bookmarkEnd w:id="45"/>
      <w:bookmarkEnd w:id="46"/>
    </w:p>
    <w:p w:rsidR="00EB04D5" w:rsidRPr="004661BA" w:rsidRDefault="00EB04D5" w:rsidP="00EB04D5">
      <w:pPr>
        <w:jc w:val="both"/>
        <w:rPr>
          <w:b/>
          <w:color w:val="0000FF"/>
        </w:rPr>
      </w:pPr>
    </w:p>
    <w:p w:rsidR="00EB04D5" w:rsidRDefault="00EB04D5" w:rsidP="00EB04D5">
      <w:pPr>
        <w:jc w:val="both"/>
      </w:pPr>
    </w:p>
    <w:p w:rsidR="00EB04D5" w:rsidRDefault="00EB04D5" w:rsidP="00EB04D5">
      <w:r>
        <w:t xml:space="preserve">The population level of this </w:t>
      </w:r>
      <w:proofErr w:type="spellStart"/>
      <w:r>
        <w:t>univoltine</w:t>
      </w:r>
      <w:proofErr w:type="spellEnd"/>
      <w:r>
        <w:t>, largely tropical species increased significantly during 2009-2010, as a result of widespread successful breeding in inland regions of Queensland throughout the summer. In autumn swarms of young adults developed in Northwest, Central West and Southwest Queensland, and migrations increased adult densities in the Far West, Northwest Plains and Central West regions of New South Wales.</w:t>
      </w:r>
    </w:p>
    <w:p w:rsidR="00EB04D5" w:rsidRDefault="00EB04D5" w:rsidP="00EB04D5"/>
    <w:p w:rsidR="00EB04D5" w:rsidRPr="00AC579A" w:rsidRDefault="00EB04D5" w:rsidP="00EB04D5">
      <w:r w:rsidRPr="00AC579A">
        <w:t xml:space="preserve">There </w:t>
      </w:r>
      <w:r>
        <w:t>were</w:t>
      </w:r>
      <w:r w:rsidRPr="00AC579A">
        <w:t xml:space="preserve"> </w:t>
      </w:r>
      <w:r>
        <w:t>several reports of</w:t>
      </w:r>
      <w:r w:rsidRPr="00AC579A">
        <w:t xml:space="preserve"> swarms</w:t>
      </w:r>
      <w:r>
        <w:t xml:space="preserve"> in Northwest Queensland</w:t>
      </w:r>
      <w:r w:rsidR="007D48CD">
        <w:t>,</w:t>
      </w:r>
      <w:r>
        <w:t xml:space="preserve"> north of Winton and around Dajarra, Richmond and Julia Creek during winter and further reports from Mt Isa and Cloncurry in October and November. The Julia Creek light trap recorded high numbers during August and September, but catches declined in October and November. Spring s</w:t>
      </w:r>
      <w:r w:rsidRPr="00AC579A">
        <w:t xml:space="preserve">urveys identified a widespread </w:t>
      </w:r>
      <w:r>
        <w:t>medium</w:t>
      </w:r>
      <w:r w:rsidRPr="00AC579A">
        <w:t xml:space="preserve"> density adult population </w:t>
      </w:r>
      <w:r>
        <w:t>in Central West Queensland</w:t>
      </w:r>
      <w:r w:rsidRPr="00AC579A">
        <w:t xml:space="preserve">, </w:t>
      </w:r>
      <w:r>
        <w:t xml:space="preserve">with low density adults in the </w:t>
      </w:r>
      <w:r w:rsidRPr="00AC579A">
        <w:t xml:space="preserve">Central Highlands and </w:t>
      </w:r>
      <w:r>
        <w:t>South Central Queensland, and</w:t>
      </w:r>
      <w:r w:rsidRPr="00AC579A">
        <w:t xml:space="preserve"> the Northwest Plains of New South Wales.</w:t>
      </w:r>
    </w:p>
    <w:p w:rsidR="00EB04D5" w:rsidRDefault="00EB04D5" w:rsidP="00EB04D5"/>
    <w:p w:rsidR="00EB04D5" w:rsidRDefault="00EB04D5" w:rsidP="00EB04D5">
      <w:r>
        <w:t xml:space="preserve">Light traps at Julia Creek and Longreach </w:t>
      </w:r>
      <w:r w:rsidR="007D48CD">
        <w:t xml:space="preserve">recorded </w:t>
      </w:r>
      <w:r>
        <w:t>high number</w:t>
      </w:r>
      <w:r w:rsidR="007D48CD">
        <w:t>s</w:t>
      </w:r>
      <w:r>
        <w:t xml:space="preserve"> during December and January, reflecting migratory activity at the commencement of the breeding season. Consistent medium density adults, up to high density in some locations, were identified in the Longreach–Winton–Boulia area and widespread low density adult</w:t>
      </w:r>
      <w:r w:rsidR="007D48CD">
        <w:t>s</w:t>
      </w:r>
      <w:r>
        <w:t xml:space="preserve"> </w:t>
      </w:r>
      <w:r w:rsidR="00142087">
        <w:t xml:space="preserve">were recorded </w:t>
      </w:r>
      <w:r>
        <w:t>throughout Southwest and South Central Queensland, Far North South Australia</w:t>
      </w:r>
      <w:r w:rsidRPr="00AC579A">
        <w:t xml:space="preserve"> </w:t>
      </w:r>
      <w:r>
        <w:t xml:space="preserve">and </w:t>
      </w:r>
      <w:r w:rsidRPr="00AC579A">
        <w:t>the Northwest Plains of New South Wales.</w:t>
      </w:r>
      <w:r>
        <w:t xml:space="preserve"> The population level in Northwest and Central West Queensland was higher than was recorded in early summer for several years.</w:t>
      </w:r>
    </w:p>
    <w:p w:rsidR="00EB04D5" w:rsidRDefault="00EB04D5" w:rsidP="00EB04D5"/>
    <w:p w:rsidR="00EB04D5" w:rsidRDefault="00EB04D5" w:rsidP="00EB04D5">
      <w:r>
        <w:t xml:space="preserve">Nymphs were detected in Southwest and Central West Queensland in January, indicating that egg </w:t>
      </w:r>
      <w:proofErr w:type="gramStart"/>
      <w:r>
        <w:t>laying</w:t>
      </w:r>
      <w:proofErr w:type="gramEnd"/>
      <w:r>
        <w:t xml:space="preserve"> commenced in early December after the onset of summer rainfall in late November. The continued heavy rains throughout western Queensland in January and February allowed further breeding and the survival of nymphs already hatched. In New South Wales there were consistent low density adults in the Bourke and Brewarrina districts, and occasional adults in other districts of the Far West and Northwest Plains.</w:t>
      </w:r>
    </w:p>
    <w:p w:rsidR="00EB04D5" w:rsidRDefault="00EB04D5" w:rsidP="00EB04D5"/>
    <w:p w:rsidR="00EB04D5" w:rsidRDefault="00EB04D5" w:rsidP="00EB04D5">
      <w:r>
        <w:t xml:space="preserve">Nymphs at several development stages were widespread in inland Queensland during February. </w:t>
      </w:r>
      <w:r w:rsidR="007D48CD">
        <w:t xml:space="preserve">Low </w:t>
      </w:r>
      <w:r>
        <w:t>density nymphs were identified in Southwest, Northwest and Central West Queensland and reported from the South Central and Central Highlands regions. There were medium density nymphs in parts of Barcoo, Diamantina, Boulia and Winton Shires, and reports of higher density nymphs from near Winton and Georgetown.</w:t>
      </w:r>
    </w:p>
    <w:p w:rsidR="00EB04D5" w:rsidRDefault="00EB04D5" w:rsidP="00EB04D5"/>
    <w:p w:rsidR="00EB04D5" w:rsidRDefault="00EB04D5" w:rsidP="00EB04D5">
      <w:r>
        <w:t>Fledging of early hatched nymphs from early summer breeding commenced in February. During March and April late instar nymphs and recently fledged adults were identified in most regions inland Queensland. High density nymphs were reported from near Longreach and Winton, from the Alice Springs area in the Northern Territory and from Clayton in Far North South Australia. In late March, high densities and swarms of young adults were reported from near Nockatunga, Longreach and Augathella in western Queensland (Fig. 6).</w:t>
      </w:r>
    </w:p>
    <w:p w:rsidR="00EB04D5" w:rsidRDefault="00EB04D5" w:rsidP="00EB04D5"/>
    <w:p w:rsidR="00EB04D5" w:rsidRDefault="00EB04D5" w:rsidP="00EB04D5">
      <w:r>
        <w:t xml:space="preserve">Surveys in mid-April by APLC and Biosecurity Queensland identified consistent medium and some swarm density adults, along with late instar nymphs, in the Longreach, Barcaldine and Blackall-Tambo Regional Council areas, and in Bulloo Shire. Swarms moved into Longreach </w:t>
      </w:r>
      <w:r>
        <w:lastRenderedPageBreak/>
        <w:t xml:space="preserve">in early April, but densities in the township declined again two weeks later. Swarm reports were also received from Thargomindah, Blackall, Muttaburra, Tambo, Augathella, Charleville and Dirranbandi. Only </w:t>
      </w:r>
      <w:r w:rsidR="007D48CD">
        <w:t>low</w:t>
      </w:r>
      <w:r>
        <w:t xml:space="preserve"> density adults and very few nymphs were detected in the Central Highlands and the Roma Regional Council area</w:t>
      </w:r>
      <w:r w:rsidR="007D48CD">
        <w:t>s</w:t>
      </w:r>
      <w:r>
        <w:t xml:space="preserve">. In Far West New South Wales high density fledglings and young adults were identified in the Brewarrina–Goodooga and Tibooburra areas, and were likely to have been </w:t>
      </w:r>
      <w:r w:rsidR="00BF5784">
        <w:t>more widespread in</w:t>
      </w:r>
      <w:r>
        <w:t xml:space="preserve"> the region. In the Northwest Plains and Central West regions there were consistent medium density adults.</w:t>
      </w:r>
    </w:p>
    <w:p w:rsidR="00EB04D5" w:rsidRDefault="00EB04D5" w:rsidP="00EB04D5"/>
    <w:p w:rsidR="00EB04D5" w:rsidRDefault="00EB04D5" w:rsidP="00EB04D5">
      <w:r>
        <w:t xml:space="preserve">Light traps at </w:t>
      </w:r>
      <w:proofErr w:type="spellStart"/>
      <w:r>
        <w:t>Nooyeah</w:t>
      </w:r>
      <w:proofErr w:type="spellEnd"/>
      <w:r>
        <w:t xml:space="preserve"> Downs and Julia Creek caught high numbers during April, while at </w:t>
      </w:r>
      <w:proofErr w:type="spellStart"/>
      <w:r>
        <w:t>Dulkaninna</w:t>
      </w:r>
      <w:proofErr w:type="spellEnd"/>
      <w:r>
        <w:t xml:space="preserve"> and Fowlers Gap low numbers were caught during 17–20 April. At </w:t>
      </w:r>
      <w:proofErr w:type="spellStart"/>
      <w:r>
        <w:t>Nooyeah</w:t>
      </w:r>
      <w:proofErr w:type="spellEnd"/>
      <w:r>
        <w:t xml:space="preserve"> Downs, peak numbers of several hundred each night were caught during 5–12 and 16–22 April, also associated with migratory activity in </w:t>
      </w:r>
      <w:r w:rsidRPr="000F17F4">
        <w:rPr>
          <w:i/>
        </w:rPr>
        <w:t>Chortoicetes</w:t>
      </w:r>
      <w:r>
        <w:t xml:space="preserve">. At </w:t>
      </w:r>
      <w:proofErr w:type="spellStart"/>
      <w:r>
        <w:t>Nooyeah</w:t>
      </w:r>
      <w:proofErr w:type="spellEnd"/>
      <w:r>
        <w:t xml:space="preserve"> Downs over </w:t>
      </w:r>
      <w:smartTag w:uri="urn:schemas-microsoft-com:office:smarttags" w:element="PersonName">
        <w:r>
          <w:t>1</w:t>
        </w:r>
      </w:smartTag>
      <w:r>
        <w:t xml:space="preserve">000 locusts were caught on 4 May, indicating the size of the population still in that area. At Oodnadatta in </w:t>
      </w:r>
      <w:smartTag w:uri="urn:schemas-microsoft-com:office:smarttags" w:element="State">
        <w:smartTag w:uri="urn:schemas-microsoft-com:office:smarttags" w:element="place">
          <w:r>
            <w:t>South Australia</w:t>
          </w:r>
        </w:smartTag>
      </w:smartTag>
      <w:r>
        <w:t>, there were moderate trap catches during 9–</w:t>
      </w:r>
      <w:smartTag w:uri="urn:schemas-microsoft-com:office:smarttags" w:element="PersonName">
        <w:r>
          <w:t>1</w:t>
        </w:r>
      </w:smartTag>
      <w:r>
        <w:t>2 April.</w:t>
      </w:r>
    </w:p>
    <w:p w:rsidR="00EB04D5" w:rsidRDefault="00EB04D5" w:rsidP="00EB04D5"/>
    <w:p w:rsidR="00EB04D5" w:rsidRDefault="00EB04D5" w:rsidP="00EB04D5">
      <w:pPr>
        <w:jc w:val="both"/>
      </w:pPr>
      <w:r>
        <w:t>The increase in adult numbers and formation of swarms of young adults in late autumn is usual for this species. Migratory activity of immature adults during autumn resulted in regional population redistribution</w:t>
      </w:r>
      <w:r w:rsidR="00BF5784">
        <w:t>s</w:t>
      </w:r>
      <w:r>
        <w:t>. Adults form largely sedentary swarms during winter. The increase in population during 2009-2010 resulted from the high early season population of breeding adults and widespread repeated heavy summer rains in inland areas</w:t>
      </w:r>
      <w:r w:rsidR="00BF5784">
        <w:t>,</w:t>
      </w:r>
      <w:r>
        <w:t xml:space="preserve"> providing suitable conditions for repeated egg laying and nymph survival. However, no significant population increase was identified in the Central Highlands and South Central Queensland.</w:t>
      </w:r>
    </w:p>
    <w:p w:rsidR="00EB04D5" w:rsidRDefault="00EB04D5" w:rsidP="00EB04D5">
      <w:pPr>
        <w:jc w:val="both"/>
      </w:pPr>
    </w:p>
    <w:p w:rsidR="00EB04D5" w:rsidRPr="008A7EEC" w:rsidRDefault="00EB04D5" w:rsidP="00EB04D5">
      <w:pPr>
        <w:jc w:val="both"/>
      </w:pPr>
    </w:p>
    <w:p w:rsidR="00EB04D5" w:rsidRPr="00D46967" w:rsidRDefault="00EB04D5" w:rsidP="00EB04D5">
      <w:pPr>
        <w:jc w:val="both"/>
        <w:rPr>
          <w:b/>
          <w:szCs w:val="24"/>
        </w:rPr>
      </w:pPr>
    </w:p>
    <w:p w:rsidR="00EB04D5" w:rsidRPr="0043520E" w:rsidRDefault="00EB04D5" w:rsidP="00EB04D5">
      <w:pPr>
        <w:pStyle w:val="Heading2"/>
        <w:ind w:right="-96"/>
        <w:jc w:val="both"/>
        <w:rPr>
          <w:bCs/>
          <w:color w:val="0000FF"/>
          <w:sz w:val="28"/>
          <w:szCs w:val="28"/>
          <w:u w:val="single"/>
        </w:rPr>
      </w:pPr>
      <w:bookmarkStart w:id="47" w:name="_Toc209580094"/>
      <w:bookmarkStart w:id="48" w:name="_Toc209580362"/>
      <w:bookmarkStart w:id="49" w:name="_Toc209580504"/>
      <w:bookmarkStart w:id="50" w:name="_Toc209580771"/>
      <w:bookmarkStart w:id="51" w:name="_Toc263163113"/>
      <w:r w:rsidRPr="0043520E">
        <w:rPr>
          <w:bCs/>
          <w:color w:val="0000FF"/>
          <w:sz w:val="28"/>
          <w:szCs w:val="28"/>
          <w:u w:val="single"/>
        </w:rPr>
        <w:t>Migratory locust</w:t>
      </w:r>
      <w:bookmarkEnd w:id="47"/>
      <w:bookmarkEnd w:id="48"/>
      <w:bookmarkEnd w:id="49"/>
      <w:bookmarkEnd w:id="50"/>
      <w:bookmarkEnd w:id="51"/>
    </w:p>
    <w:p w:rsidR="00EB04D5" w:rsidRDefault="00EB04D5" w:rsidP="00EB04D5">
      <w:pPr>
        <w:jc w:val="both"/>
        <w:rPr>
          <w:b/>
          <w:color w:val="0000FF"/>
        </w:rPr>
      </w:pPr>
    </w:p>
    <w:p w:rsidR="00EB04D5" w:rsidRDefault="00EB04D5" w:rsidP="00EB04D5">
      <w:r>
        <w:t>Population levels of this species remained low throughout 2009</w:t>
      </w:r>
      <w:r w:rsidR="00BF5784">
        <w:t>–</w:t>
      </w:r>
      <w:r>
        <w:t xml:space="preserve">2010 in the regions where it </w:t>
      </w:r>
      <w:r w:rsidR="00BF5784">
        <w:t xml:space="preserve">commonly </w:t>
      </w:r>
      <w:r>
        <w:t>occurs. Early spring surveys</w:t>
      </w:r>
      <w:r w:rsidRPr="00AC579A">
        <w:t xml:space="preserve"> identified only occasional adults near Goodooga in the NSW Northwest </w:t>
      </w:r>
      <w:r>
        <w:t xml:space="preserve">Plains and </w:t>
      </w:r>
      <w:r w:rsidR="00BF5784">
        <w:t>near</w:t>
      </w:r>
      <w:r>
        <w:t xml:space="preserve"> Capella in </w:t>
      </w:r>
      <w:r w:rsidR="00BF5784">
        <w:t xml:space="preserve">the </w:t>
      </w:r>
      <w:r>
        <w:t xml:space="preserve">Queensland Central Highlands. </w:t>
      </w:r>
      <w:r w:rsidRPr="00AC579A">
        <w:t xml:space="preserve"> </w:t>
      </w:r>
      <w:r>
        <w:t>APLC and Biosecurity Queensland surveys during January identified low density adults in the Emerald–Capella and Springsure areas.</w:t>
      </w:r>
    </w:p>
    <w:p w:rsidR="00EB04D5" w:rsidRDefault="00EB04D5" w:rsidP="00EB04D5"/>
    <w:p w:rsidR="00EB04D5" w:rsidRDefault="00EB04D5" w:rsidP="00611BC2">
      <w:r>
        <w:t>The Longreach light trap recorded low numbers during February and</w:t>
      </w:r>
      <w:r w:rsidR="00611BC2">
        <w:t xml:space="preserve"> s</w:t>
      </w:r>
      <w:r>
        <w:t>urveys identified occasional adults north of Augathella. Further low numbers of adults were detected near Capella and Jericho during April. The Julia Creek light trap caught low numbers of this species on several nights during April</w:t>
      </w:r>
      <w:r w:rsidR="00611BC2">
        <w:t>.</w:t>
      </w:r>
    </w:p>
    <w:p w:rsidR="00EB04D5" w:rsidRPr="00FC5608" w:rsidRDefault="00EB04D5" w:rsidP="00EB04D5">
      <w:pPr>
        <w:jc w:val="both"/>
        <w:rPr>
          <w:szCs w:val="24"/>
        </w:rPr>
      </w:pPr>
    </w:p>
    <w:p w:rsidR="00EB04D5" w:rsidRPr="00B05018" w:rsidRDefault="00EB04D5" w:rsidP="00EB04D5">
      <w:pPr>
        <w:jc w:val="both"/>
        <w:rPr>
          <w:b/>
          <w:color w:val="0000FF"/>
        </w:rPr>
      </w:pPr>
    </w:p>
    <w:p w:rsidR="00EB04D5" w:rsidRDefault="00EB04D5" w:rsidP="00EB04D5">
      <w:pPr>
        <w:jc w:val="both"/>
        <w:rPr>
          <w:rFonts w:ascii="Times" w:hAnsi="Times"/>
        </w:rPr>
      </w:pPr>
    </w:p>
    <w:p w:rsidR="00EB04D5" w:rsidRDefault="00EB04D5" w:rsidP="00EB04D5">
      <w:pPr>
        <w:pStyle w:val="Heading1"/>
      </w:pPr>
    </w:p>
    <w:p w:rsidR="00EB04D5" w:rsidRDefault="00EB04D5" w:rsidP="00EB04D5">
      <w:pPr>
        <w:rPr>
          <w:rFonts w:ascii="Times" w:hAnsi="Times"/>
          <w:sz w:val="36"/>
        </w:rPr>
      </w:pPr>
      <w:r>
        <w:br w:type="page"/>
      </w:r>
    </w:p>
    <w:p w:rsidR="00EB04D5" w:rsidRDefault="00EB04D5" w:rsidP="00EB04D5">
      <w:pPr>
        <w:pStyle w:val="Heading1"/>
      </w:pPr>
    </w:p>
    <w:p w:rsidR="00EB04D5" w:rsidRDefault="00EB04D5" w:rsidP="00EB04D5">
      <w:pPr>
        <w:pStyle w:val="Heading1"/>
      </w:pPr>
      <w:r>
        <w:rPr>
          <w:noProof/>
          <w:lang w:eastAsia="en-AU"/>
        </w:rPr>
        <w:drawing>
          <wp:inline distT="0" distB="0" distL="0" distR="0">
            <wp:extent cx="5580380" cy="7324805"/>
            <wp:effectExtent l="0" t="0" r="0" b="0"/>
            <wp:docPr id="24" name="Picture 24" descr="Figure 6 shows the distribution of spur-throated locust across eastern Australia in Apri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g-april2010"/>
                    <pic:cNvPicPr>
                      <a:picLocks noChangeAspect="1" noChangeArrowheads="1"/>
                    </pic:cNvPicPr>
                  </pic:nvPicPr>
                  <pic:blipFill>
                    <a:blip r:embed="rId19" cstate="print"/>
                    <a:srcRect/>
                    <a:stretch>
                      <a:fillRect/>
                    </a:stretch>
                  </pic:blipFill>
                  <pic:spPr bwMode="auto">
                    <a:xfrm>
                      <a:off x="0" y="0"/>
                      <a:ext cx="5580380" cy="7324805"/>
                    </a:xfrm>
                    <a:prstGeom prst="rect">
                      <a:avLst/>
                    </a:prstGeom>
                    <a:noFill/>
                    <a:ln w="9525">
                      <a:noFill/>
                      <a:miter lim="800000"/>
                      <a:headEnd/>
                      <a:tailEnd/>
                    </a:ln>
                  </pic:spPr>
                </pic:pic>
              </a:graphicData>
            </a:graphic>
          </wp:inline>
        </w:drawing>
      </w:r>
    </w:p>
    <w:p w:rsidR="00EB04D5" w:rsidRDefault="00EB04D5" w:rsidP="00EB04D5">
      <w:pPr>
        <w:pStyle w:val="Heading1"/>
      </w:pPr>
    </w:p>
    <w:p w:rsidR="00EB04D5" w:rsidRPr="00D45DC4" w:rsidRDefault="00EB04D5" w:rsidP="00EB04D5">
      <w:pPr>
        <w:pStyle w:val="Heading1"/>
        <w:rPr>
          <w:rFonts w:ascii="Times New Roman" w:hAnsi="Times New Roman"/>
          <w:sz w:val="24"/>
          <w:szCs w:val="24"/>
        </w:rPr>
      </w:pPr>
      <w:r w:rsidRPr="00D45DC4">
        <w:rPr>
          <w:rFonts w:ascii="Times New Roman" w:hAnsi="Times New Roman"/>
          <w:color w:val="0000FF"/>
          <w:sz w:val="24"/>
          <w:szCs w:val="24"/>
        </w:rPr>
        <w:t xml:space="preserve">Figure </w:t>
      </w:r>
      <w:proofErr w:type="gramStart"/>
      <w:r w:rsidR="009032BB">
        <w:rPr>
          <w:rFonts w:ascii="Times New Roman" w:hAnsi="Times New Roman"/>
          <w:color w:val="0000FF"/>
          <w:sz w:val="24"/>
          <w:szCs w:val="24"/>
        </w:rPr>
        <w:t>6</w:t>
      </w:r>
      <w:r w:rsidRPr="00D45DC4">
        <w:rPr>
          <w:rFonts w:ascii="Times New Roman" w:hAnsi="Times New Roman"/>
          <w:color w:val="0000FF"/>
          <w:sz w:val="24"/>
          <w:szCs w:val="24"/>
        </w:rPr>
        <w:t xml:space="preserve"> :</w:t>
      </w:r>
      <w:proofErr w:type="gramEnd"/>
      <w:r w:rsidRPr="00D45DC4">
        <w:rPr>
          <w:rFonts w:ascii="Times New Roman" w:hAnsi="Times New Roman"/>
          <w:color w:val="0000FF"/>
          <w:sz w:val="24"/>
          <w:szCs w:val="24"/>
        </w:rPr>
        <w:t xml:space="preserve"> Map of APLC </w:t>
      </w:r>
      <w:r>
        <w:rPr>
          <w:rFonts w:ascii="Times New Roman" w:hAnsi="Times New Roman"/>
          <w:color w:val="0000FF"/>
          <w:sz w:val="24"/>
          <w:szCs w:val="24"/>
        </w:rPr>
        <w:t xml:space="preserve">spur-throated locust distribution: </w:t>
      </w:r>
      <w:r w:rsidR="00A55E35">
        <w:rPr>
          <w:rFonts w:ascii="Times New Roman" w:hAnsi="Times New Roman"/>
          <w:color w:val="0000FF"/>
          <w:sz w:val="24"/>
          <w:szCs w:val="24"/>
        </w:rPr>
        <w:t>April</w:t>
      </w:r>
      <w:r>
        <w:rPr>
          <w:rFonts w:ascii="Times New Roman" w:hAnsi="Times New Roman"/>
          <w:color w:val="0000FF"/>
          <w:sz w:val="24"/>
          <w:szCs w:val="24"/>
        </w:rPr>
        <w:t xml:space="preserve"> 2010</w:t>
      </w:r>
    </w:p>
    <w:p w:rsidR="003B0180" w:rsidRDefault="003B0180" w:rsidP="008A7EEC">
      <w:pPr>
        <w:jc w:val="both"/>
        <w:rPr>
          <w:rFonts w:ascii="Times" w:hAnsi="Times"/>
        </w:rPr>
      </w:pPr>
    </w:p>
    <w:p w:rsidR="00EF5214" w:rsidRPr="0043520E" w:rsidRDefault="00EF5214" w:rsidP="0043520E">
      <w:pPr>
        <w:pStyle w:val="Heading1"/>
        <w:rPr>
          <w:rFonts w:ascii="Times New Roman" w:hAnsi="Times New Roman"/>
          <w:bCs/>
          <w:color w:val="0000FF"/>
        </w:rPr>
      </w:pPr>
      <w:r>
        <w:br w:type="page"/>
      </w:r>
      <w:bookmarkStart w:id="52" w:name="_Toc209579945"/>
      <w:bookmarkStart w:id="53" w:name="_Toc209580096"/>
      <w:bookmarkStart w:id="54" w:name="_Toc209580364"/>
      <w:bookmarkStart w:id="55" w:name="_Toc209580506"/>
      <w:bookmarkStart w:id="56" w:name="_Toc209580773"/>
      <w:bookmarkStart w:id="57" w:name="_Toc263163114"/>
      <w:r w:rsidRPr="0043520E">
        <w:rPr>
          <w:rFonts w:ascii="Times New Roman" w:hAnsi="Times New Roman"/>
          <w:bCs/>
          <w:color w:val="0000FF"/>
        </w:rPr>
        <w:lastRenderedPageBreak/>
        <w:t>Operations</w:t>
      </w:r>
      <w:bookmarkEnd w:id="37"/>
      <w:bookmarkEnd w:id="52"/>
      <w:bookmarkEnd w:id="53"/>
      <w:bookmarkEnd w:id="54"/>
      <w:bookmarkEnd w:id="55"/>
      <w:bookmarkEnd w:id="56"/>
      <w:bookmarkEnd w:id="57"/>
    </w:p>
    <w:p w:rsidR="00EF5214" w:rsidRDefault="00EF5214" w:rsidP="008A7EEC">
      <w:pPr>
        <w:jc w:val="both"/>
      </w:pPr>
    </w:p>
    <w:p w:rsidR="008A7EEC" w:rsidRDefault="008A7EEC" w:rsidP="008A7EEC">
      <w:pPr>
        <w:jc w:val="both"/>
      </w:pPr>
    </w:p>
    <w:p w:rsidR="00EF5214" w:rsidRPr="0043520E" w:rsidRDefault="00D30519" w:rsidP="0043520E">
      <w:pPr>
        <w:pStyle w:val="Heading2"/>
        <w:ind w:right="-96"/>
        <w:jc w:val="both"/>
        <w:rPr>
          <w:bCs/>
          <w:i/>
          <w:color w:val="0000FF"/>
          <w:sz w:val="28"/>
          <w:szCs w:val="28"/>
          <w:u w:val="single"/>
        </w:rPr>
      </w:pPr>
      <w:bookmarkStart w:id="58" w:name="_Toc209580097"/>
      <w:bookmarkStart w:id="59" w:name="_Toc209580365"/>
      <w:bookmarkStart w:id="60" w:name="_Toc209580507"/>
      <w:bookmarkStart w:id="61" w:name="_Toc209580774"/>
      <w:bookmarkStart w:id="62" w:name="_Toc263163115"/>
      <w:r>
        <w:rPr>
          <w:bCs/>
          <w:color w:val="0000FF"/>
          <w:sz w:val="28"/>
          <w:szCs w:val="28"/>
          <w:u w:val="single"/>
        </w:rPr>
        <w:t>Forecasting, information and s</w:t>
      </w:r>
      <w:r w:rsidR="00EF5214" w:rsidRPr="0043520E">
        <w:rPr>
          <w:bCs/>
          <w:color w:val="0000FF"/>
          <w:sz w:val="28"/>
          <w:szCs w:val="28"/>
          <w:u w:val="single"/>
        </w:rPr>
        <w:t>urvey</w:t>
      </w:r>
      <w:bookmarkEnd w:id="58"/>
      <w:bookmarkEnd w:id="59"/>
      <w:bookmarkEnd w:id="60"/>
      <w:bookmarkEnd w:id="61"/>
      <w:bookmarkEnd w:id="62"/>
      <w:r w:rsidR="00D73AB4">
        <w:rPr>
          <w:bCs/>
          <w:color w:val="0000FF"/>
          <w:sz w:val="28"/>
          <w:szCs w:val="28"/>
          <w:u w:val="single"/>
        </w:rPr>
        <w:t xml:space="preserve"> </w:t>
      </w:r>
    </w:p>
    <w:p w:rsidR="00EF5214" w:rsidRDefault="00EF5214" w:rsidP="008A7EEC">
      <w:pPr>
        <w:jc w:val="both"/>
        <w:rPr>
          <w:color w:val="FF0000"/>
        </w:rPr>
      </w:pPr>
    </w:p>
    <w:p w:rsidR="00E71D5D" w:rsidRPr="00E71D5D" w:rsidRDefault="00E71D5D" w:rsidP="008A7EEC">
      <w:pPr>
        <w:jc w:val="both"/>
        <w:rPr>
          <w:b/>
          <w:u w:val="single"/>
        </w:rPr>
      </w:pPr>
      <w:r>
        <w:rPr>
          <w:b/>
          <w:u w:val="single"/>
        </w:rPr>
        <w:t>Forecasting and Advice</w:t>
      </w:r>
    </w:p>
    <w:p w:rsidR="00CD7E4E" w:rsidRDefault="00F21754" w:rsidP="008A7EEC">
      <w:pPr>
        <w:jc w:val="both"/>
      </w:pPr>
      <w:r>
        <w:t>Nine Locust Bulletins were prepared and released during the period September 2009 through until May 2010. The advanced hatching of over-wintering eggs in some regions in August 2009 combined with developing population intensities in early spring warranted the release of a September Bulletin.</w:t>
      </w:r>
    </w:p>
    <w:p w:rsidR="00F21754" w:rsidRDefault="00F21754" w:rsidP="008A7EEC">
      <w:pPr>
        <w:jc w:val="both"/>
      </w:pPr>
      <w:r>
        <w:t>All Bulletins were simultaneously released via the APLC website and through direct delivery (electronic and printed copy) to stakeholders.</w:t>
      </w:r>
    </w:p>
    <w:p w:rsidR="00F21754" w:rsidRDefault="00F21754" w:rsidP="008A7EEC">
      <w:pPr>
        <w:jc w:val="both"/>
      </w:pPr>
    </w:p>
    <w:p w:rsidR="00E71D5D" w:rsidRPr="00E71D5D" w:rsidRDefault="00E71D5D" w:rsidP="008A7EEC">
      <w:pPr>
        <w:jc w:val="both"/>
        <w:rPr>
          <w:b/>
          <w:u w:val="single"/>
        </w:rPr>
      </w:pPr>
      <w:r>
        <w:rPr>
          <w:b/>
          <w:u w:val="single"/>
        </w:rPr>
        <w:t>Survey</w:t>
      </w:r>
    </w:p>
    <w:p w:rsidR="00F21754" w:rsidRDefault="001F645E" w:rsidP="008A7EEC">
      <w:pPr>
        <w:jc w:val="both"/>
      </w:pPr>
      <w:r>
        <w:t>Extensive and repeated surveys were conducted across locust habitat areas of eastern Australia throughout 2009-10. This surveillance was targeted by location and time, informed by the intelligence developed through hatching and life stage forecasts, satellite and ground vegetation condition mapping, rainfall and other climatic information, light trap and insect monitoring radar data, and the observations and reports from APLC field staff, counterpart agencies, landholders and others.</w:t>
      </w:r>
    </w:p>
    <w:p w:rsidR="001F645E" w:rsidRDefault="001F645E" w:rsidP="008A7EEC">
      <w:pPr>
        <w:jc w:val="both"/>
      </w:pPr>
    </w:p>
    <w:p w:rsidR="001F645E" w:rsidRDefault="001F645E" w:rsidP="008A7EEC">
      <w:pPr>
        <w:jc w:val="both"/>
      </w:pPr>
      <w:r>
        <w:t xml:space="preserve">Locust surveys by APLC commenced in the northern part of the habitat range in August in view of the known locations of overwintering egg beds and the forecast hatching times of these egg beds. APLC surveys continued throughout the 2009-10 season as locust population levels developed across the three seasonal generations and in response to widespread improvements in habitat conditions. Ground surveys were supplemented by aerial surveys dependent upon observed population densities, with these aerial surveys also used to identify and refine targets for subsequent locust control campaigns. </w:t>
      </w:r>
      <w:r w:rsidR="003D1BA1">
        <w:t>It was necessary to balance the</w:t>
      </w:r>
      <w:r>
        <w:t xml:space="preserve"> ongoing demand for comprehensive ground surveys by APLC staff</w:t>
      </w:r>
      <w:r w:rsidR="003D1BA1">
        <w:t xml:space="preserve"> with the implementation of control campaigns, especially in March 2010 when a large control campaign was implemented in the southwest Queensland – northwest NSW region. Linkages with state agency staff, landholders and others at such times w</w:t>
      </w:r>
      <w:r w:rsidR="00A55E35">
        <w:t>ere</w:t>
      </w:r>
      <w:r w:rsidR="003D1BA1">
        <w:t xml:space="preserve"> critical to maintain current knowledge of the locust situation while APLC </w:t>
      </w:r>
      <w:proofErr w:type="gramStart"/>
      <w:r w:rsidR="003D1BA1">
        <w:t>staff were</w:t>
      </w:r>
      <w:proofErr w:type="gramEnd"/>
      <w:r w:rsidR="003D1BA1">
        <w:t xml:space="preserve"> fully engaged in control activities.</w:t>
      </w:r>
    </w:p>
    <w:p w:rsidR="00F21754" w:rsidRDefault="00F21754" w:rsidP="008A7EEC">
      <w:pPr>
        <w:jc w:val="both"/>
      </w:pPr>
    </w:p>
    <w:p w:rsidR="003D1BA1" w:rsidRPr="00E71D5D" w:rsidRDefault="003D1BA1" w:rsidP="00F21754">
      <w:pPr>
        <w:jc w:val="both"/>
        <w:rPr>
          <w:b/>
          <w:u w:val="single"/>
        </w:rPr>
      </w:pPr>
      <w:r w:rsidRPr="00E71D5D">
        <w:rPr>
          <w:b/>
          <w:u w:val="single"/>
        </w:rPr>
        <w:t>Insect Monitoring Radar</w:t>
      </w:r>
    </w:p>
    <w:p w:rsidR="00F21754" w:rsidRPr="00F21754" w:rsidRDefault="00F21754" w:rsidP="00F21754">
      <w:pPr>
        <w:jc w:val="both"/>
      </w:pPr>
      <w:r w:rsidRPr="007421B6">
        <w:t>The U</w:t>
      </w:r>
      <w:r w:rsidR="00BF5784">
        <w:t xml:space="preserve">niversity </w:t>
      </w:r>
      <w:proofErr w:type="gramStart"/>
      <w:r w:rsidR="00BF5784">
        <w:t>of</w:t>
      </w:r>
      <w:proofErr w:type="gramEnd"/>
      <w:r w:rsidR="00BF5784">
        <w:t xml:space="preserve"> </w:t>
      </w:r>
      <w:r w:rsidRPr="007421B6">
        <w:t xml:space="preserve">NSW Insect Monitoring Radar (IMR) at the Bourke airport was </w:t>
      </w:r>
      <w:r w:rsidR="00BF5784">
        <w:t>repaired</w:t>
      </w:r>
      <w:r w:rsidRPr="007421B6">
        <w:t xml:space="preserve"> in early January 2010</w:t>
      </w:r>
      <w:r w:rsidR="00FC150A">
        <w:t xml:space="preserve"> </w:t>
      </w:r>
      <w:r w:rsidR="00BF5784">
        <w:t xml:space="preserve">and operated </w:t>
      </w:r>
      <w:r w:rsidR="00FC150A">
        <w:t>for the remainder of the season (except for 12 days in mid-February)</w:t>
      </w:r>
      <w:r w:rsidR="00BF5784">
        <w:t>.</w:t>
      </w:r>
      <w:r w:rsidRPr="007421B6">
        <w:t xml:space="preserve"> </w:t>
      </w:r>
      <w:r w:rsidR="00BF5784">
        <w:t>T</w:t>
      </w:r>
      <w:r w:rsidRPr="007421B6">
        <w:t xml:space="preserve">he </w:t>
      </w:r>
      <w:r w:rsidR="00FC150A">
        <w:t>IMR</w:t>
      </w:r>
      <w:r w:rsidRPr="007421B6">
        <w:t xml:space="preserve"> at Thargomindah airport was still offline during the season.</w:t>
      </w:r>
    </w:p>
    <w:p w:rsidR="00F21754" w:rsidRPr="00F21754" w:rsidRDefault="00F21754" w:rsidP="00F21754">
      <w:pPr>
        <w:jc w:val="both"/>
      </w:pPr>
    </w:p>
    <w:p w:rsidR="00F21754" w:rsidRPr="00F21754" w:rsidRDefault="00F21754" w:rsidP="00F21754">
      <w:pPr>
        <w:jc w:val="both"/>
      </w:pPr>
      <w:r w:rsidRPr="00F21754">
        <w:t xml:space="preserve">The IMR </w:t>
      </w:r>
      <w:r w:rsidR="00BF5784">
        <w:t>at</w:t>
      </w:r>
      <w:r w:rsidR="00BF5784" w:rsidRPr="00F21754">
        <w:t xml:space="preserve"> </w:t>
      </w:r>
      <w:r w:rsidRPr="00F21754">
        <w:t xml:space="preserve">Bourke detected frequent movements </w:t>
      </w:r>
      <w:r w:rsidR="002119A7">
        <w:t xml:space="preserve">(104 nights) </w:t>
      </w:r>
      <w:r w:rsidRPr="00F21754">
        <w:t xml:space="preserve">of </w:t>
      </w:r>
      <w:r w:rsidR="00BF5784">
        <w:t xml:space="preserve">insects with the characteristics of </w:t>
      </w:r>
      <w:r w:rsidRPr="00F21754">
        <w:t>locust</w:t>
      </w:r>
      <w:r w:rsidR="00BF5784">
        <w:t>s</w:t>
      </w:r>
      <w:r w:rsidRPr="00F21754">
        <w:t xml:space="preserve"> during January</w:t>
      </w:r>
      <w:r w:rsidR="00BF5784">
        <w:t>–</w:t>
      </w:r>
      <w:r w:rsidRPr="00F21754">
        <w:t xml:space="preserve">April, and </w:t>
      </w:r>
      <w:r w:rsidR="00BF5784">
        <w:t>on a</w:t>
      </w:r>
      <w:r w:rsidRPr="00F21754">
        <w:t xml:space="preserve"> few nights in May 2010 (</w:t>
      </w:r>
      <w:r w:rsidR="0036318C">
        <w:t>Fig. 7)</w:t>
      </w:r>
      <w:r w:rsidRPr="00F21754">
        <w:t>.</w:t>
      </w:r>
      <w:r w:rsidR="00BF5784">
        <w:t xml:space="preserve"> T</w:t>
      </w:r>
      <w:r w:rsidRPr="00F21754">
        <w:t xml:space="preserve">he seasonal movement </w:t>
      </w:r>
      <w:r w:rsidR="00BF5784">
        <w:t xml:space="preserve">directions </w:t>
      </w:r>
      <w:r w:rsidRPr="00F21754">
        <w:t xml:space="preserve">over Bourke </w:t>
      </w:r>
      <w:r w:rsidR="00BF5784">
        <w:t>were</w:t>
      </w:r>
      <w:r w:rsidR="00BF5784" w:rsidRPr="00F21754">
        <w:t xml:space="preserve"> </w:t>
      </w:r>
      <w:r w:rsidRPr="00F21754">
        <w:t>not random (</w:t>
      </w:r>
      <w:proofErr w:type="spellStart"/>
      <w:r w:rsidRPr="00F21754">
        <w:t>Kuiper</w:t>
      </w:r>
      <w:proofErr w:type="spellEnd"/>
      <w:r w:rsidRPr="00F21754">
        <w:t xml:space="preserve"> test value 3.24 at P &lt;0.001)</w:t>
      </w:r>
      <w:proofErr w:type="gramStart"/>
      <w:r w:rsidRPr="00F21754">
        <w:t>,</w:t>
      </w:r>
      <w:r w:rsidR="00D52565">
        <w:t>or</w:t>
      </w:r>
      <w:proofErr w:type="gramEnd"/>
      <w:r w:rsidRPr="00F21754">
        <w:t xml:space="preserve"> concentrated </w:t>
      </w:r>
      <w:r w:rsidR="00D52565">
        <w:t>around</w:t>
      </w:r>
      <w:r w:rsidR="00D52565" w:rsidRPr="00F21754">
        <w:t xml:space="preserve"> </w:t>
      </w:r>
      <w:r w:rsidRPr="00F21754">
        <w:t xml:space="preserve">the mean (273°) or  median (277°). The general westward movement </w:t>
      </w:r>
      <w:r w:rsidR="0089660D">
        <w:t>conformed to</w:t>
      </w:r>
      <w:r w:rsidRPr="00F21754">
        <w:t xml:space="preserve"> the background synoptic patterns.</w:t>
      </w:r>
    </w:p>
    <w:p w:rsidR="00F21754" w:rsidRPr="00F21754" w:rsidRDefault="00F21754" w:rsidP="00F21754">
      <w:pPr>
        <w:jc w:val="both"/>
      </w:pPr>
    </w:p>
    <w:p w:rsidR="00E71D5D" w:rsidRDefault="00E71D5D">
      <w:r>
        <w:br w:type="page"/>
      </w:r>
    </w:p>
    <w:p w:rsidR="00F21754" w:rsidRPr="00F21754" w:rsidRDefault="00F21754" w:rsidP="00F21754">
      <w:pPr>
        <w:jc w:val="center"/>
      </w:pPr>
      <w:r w:rsidRPr="00F21754">
        <w:rPr>
          <w:noProof/>
          <w:lang w:eastAsia="en-AU"/>
        </w:rPr>
        <w:lastRenderedPageBreak/>
        <w:drawing>
          <wp:inline distT="0" distB="0" distL="0" distR="0">
            <wp:extent cx="3514725" cy="3859429"/>
            <wp:effectExtent l="0" t="0" r="0" b="0"/>
            <wp:docPr id="14" name="Picture 10" descr="Figure 7 is a graphical representation of nightly directional displacements of insects over the Bourke Insect Monitoring Rad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9972" t="14998" r="14979" b="14998"/>
                    <a:stretch>
                      <a:fillRect/>
                    </a:stretch>
                  </pic:blipFill>
                  <pic:spPr bwMode="auto">
                    <a:xfrm>
                      <a:off x="0" y="0"/>
                      <a:ext cx="3514725" cy="3859429"/>
                    </a:xfrm>
                    <a:prstGeom prst="rect">
                      <a:avLst/>
                    </a:prstGeom>
                    <a:noFill/>
                    <a:ln w="9525">
                      <a:noFill/>
                      <a:miter lim="800000"/>
                      <a:headEnd/>
                      <a:tailEnd/>
                    </a:ln>
                  </pic:spPr>
                </pic:pic>
              </a:graphicData>
            </a:graphic>
          </wp:inline>
        </w:drawing>
      </w:r>
    </w:p>
    <w:p w:rsidR="00E71D5D" w:rsidRDefault="00F21754" w:rsidP="0043520E">
      <w:pPr>
        <w:pStyle w:val="Heading2"/>
        <w:rPr>
          <w:bCs/>
          <w:color w:val="0000FF"/>
          <w:sz w:val="28"/>
          <w:u w:val="single"/>
        </w:rPr>
      </w:pPr>
      <w:bookmarkStart w:id="63" w:name="_Ref359851998"/>
      <w:bookmarkStart w:id="64" w:name="_Toc359921657"/>
      <w:r w:rsidRPr="00FC150A">
        <w:rPr>
          <w:rFonts w:ascii="Times New Roman" w:hAnsi="Times New Roman"/>
          <w:color w:val="0000FF"/>
          <w:szCs w:val="24"/>
        </w:rPr>
        <w:t xml:space="preserve">Figure </w:t>
      </w:r>
      <w:bookmarkEnd w:id="63"/>
      <w:r w:rsidRPr="00FC150A">
        <w:rPr>
          <w:rFonts w:ascii="Times New Roman" w:hAnsi="Times New Roman"/>
          <w:color w:val="0000FF"/>
          <w:szCs w:val="24"/>
        </w:rPr>
        <w:t>7: Nightly Displacement of Chortoicetes terminifera over Bourke IMR</w:t>
      </w:r>
      <w:bookmarkEnd w:id="64"/>
      <w:r w:rsidRPr="0043520E">
        <w:rPr>
          <w:bCs/>
          <w:color w:val="0000FF"/>
          <w:sz w:val="28"/>
          <w:u w:val="single"/>
        </w:rPr>
        <w:t xml:space="preserve"> </w:t>
      </w:r>
    </w:p>
    <w:p w:rsidR="00E71D5D" w:rsidRDefault="00E71D5D" w:rsidP="0043520E">
      <w:pPr>
        <w:pStyle w:val="Heading2"/>
        <w:rPr>
          <w:bCs/>
          <w:color w:val="0000FF"/>
          <w:sz w:val="28"/>
          <w:u w:val="single"/>
        </w:rPr>
      </w:pPr>
    </w:p>
    <w:p w:rsidR="00E71D5D" w:rsidRDefault="00E71D5D" w:rsidP="0043520E">
      <w:pPr>
        <w:pStyle w:val="Heading2"/>
        <w:rPr>
          <w:bCs/>
          <w:color w:val="0000FF"/>
          <w:sz w:val="28"/>
          <w:u w:val="single"/>
        </w:rPr>
      </w:pPr>
    </w:p>
    <w:p w:rsidR="00E71D5D" w:rsidRPr="00E71D5D" w:rsidRDefault="00E71D5D" w:rsidP="00E71D5D">
      <w:pPr>
        <w:jc w:val="both"/>
        <w:rPr>
          <w:b/>
          <w:u w:val="single"/>
        </w:rPr>
      </w:pPr>
      <w:r>
        <w:rPr>
          <w:b/>
          <w:u w:val="single"/>
        </w:rPr>
        <w:t>Information management</w:t>
      </w:r>
    </w:p>
    <w:p w:rsidR="00E71D5D" w:rsidRDefault="00E71D5D" w:rsidP="00E71D5D">
      <w:pPr>
        <w:jc w:val="both"/>
      </w:pPr>
      <w:r>
        <w:t xml:space="preserve">A Sun Ultra-45 workstation was purchased for application development. Software packages were installed for migrating APLC’s routine tasks and developing new applications. Python was chosen for developing a wind trajectory model with the access interface to </w:t>
      </w:r>
      <w:proofErr w:type="spellStart"/>
      <w:r>
        <w:t>NetCDF</w:t>
      </w:r>
      <w:proofErr w:type="spellEnd"/>
      <w:r>
        <w:t xml:space="preserve"> grid files.</w:t>
      </w:r>
    </w:p>
    <w:p w:rsidR="00E71D5D" w:rsidRDefault="00E71D5D" w:rsidP="00E71D5D">
      <w:pPr>
        <w:jc w:val="both"/>
      </w:pPr>
    </w:p>
    <w:p w:rsidR="00E71D5D" w:rsidRDefault="00E71D5D" w:rsidP="00E71D5D">
      <w:pPr>
        <w:jc w:val="both"/>
      </w:pPr>
      <w:r>
        <w:t xml:space="preserve">The software for APLC’s field survey and locust control was repacked with all necessary database supports and graphics plug-ins for easy installation </w:t>
      </w:r>
      <w:proofErr w:type="spellStart"/>
      <w:r>
        <w:t>onHP</w:t>
      </w:r>
      <w:proofErr w:type="spellEnd"/>
      <w:r>
        <w:t xml:space="preserve"> </w:t>
      </w:r>
      <w:proofErr w:type="spellStart"/>
      <w:r>
        <w:t>iPAQ</w:t>
      </w:r>
      <w:proofErr w:type="spellEnd"/>
      <w:r>
        <w:t xml:space="preserve"> 212 devices. The AEMS </w:t>
      </w:r>
      <w:proofErr w:type="spellStart"/>
      <w:r>
        <w:t>OpsManager</w:t>
      </w:r>
      <w:proofErr w:type="spellEnd"/>
      <w:r>
        <w:t xml:space="preserve"> v3.01 control management software was repacked in an installer to ensure that required database and graphics support was available on field laptop computers.  User guides were modified to help field staff to maintain these applications on their PDA and PC.</w:t>
      </w:r>
    </w:p>
    <w:p w:rsidR="00EF5214" w:rsidRPr="0043520E" w:rsidRDefault="008A7EEC" w:rsidP="0043520E">
      <w:pPr>
        <w:pStyle w:val="Heading2"/>
        <w:rPr>
          <w:bCs/>
          <w:color w:val="0000FF"/>
          <w:sz w:val="28"/>
          <w:u w:val="single"/>
        </w:rPr>
      </w:pPr>
      <w:r w:rsidRPr="0043520E">
        <w:rPr>
          <w:bCs/>
          <w:color w:val="0000FF"/>
          <w:sz w:val="28"/>
          <w:u w:val="single"/>
        </w:rPr>
        <w:br w:type="page"/>
      </w:r>
      <w:bookmarkStart w:id="65" w:name="_Toc209580098"/>
      <w:bookmarkStart w:id="66" w:name="_Toc209580366"/>
      <w:bookmarkStart w:id="67" w:name="_Toc209580508"/>
      <w:bookmarkStart w:id="68" w:name="_Toc209580775"/>
      <w:bookmarkStart w:id="69" w:name="_Toc263163116"/>
      <w:r w:rsidR="00EF5214" w:rsidRPr="006F6888">
        <w:rPr>
          <w:bCs/>
          <w:color w:val="0000FF"/>
          <w:sz w:val="28"/>
          <w:u w:val="single"/>
        </w:rPr>
        <w:lastRenderedPageBreak/>
        <w:t xml:space="preserve">Pesticide </w:t>
      </w:r>
      <w:r w:rsidR="0006758E" w:rsidRPr="006F6888">
        <w:rPr>
          <w:bCs/>
          <w:color w:val="0000FF"/>
          <w:sz w:val="28"/>
          <w:u w:val="single"/>
        </w:rPr>
        <w:t>evaluation</w:t>
      </w:r>
      <w:r w:rsidR="00EF5214" w:rsidRPr="006F6888">
        <w:rPr>
          <w:bCs/>
          <w:color w:val="0000FF"/>
          <w:sz w:val="28"/>
          <w:u w:val="single"/>
        </w:rPr>
        <w:t xml:space="preserve"> and </w:t>
      </w:r>
      <w:bookmarkEnd w:id="65"/>
      <w:bookmarkEnd w:id="66"/>
      <w:bookmarkEnd w:id="67"/>
      <w:bookmarkEnd w:id="68"/>
      <w:r w:rsidR="00D30519">
        <w:rPr>
          <w:bCs/>
          <w:color w:val="0000FF"/>
          <w:sz w:val="28"/>
          <w:u w:val="single"/>
        </w:rPr>
        <w:t>a</w:t>
      </w:r>
      <w:r w:rsidR="00063DB6" w:rsidRPr="006F6888">
        <w:rPr>
          <w:bCs/>
          <w:color w:val="0000FF"/>
          <w:sz w:val="28"/>
          <w:u w:val="single"/>
        </w:rPr>
        <w:t>pplication management</w:t>
      </w:r>
      <w:bookmarkEnd w:id="69"/>
      <w:r w:rsidR="00D73AB4">
        <w:rPr>
          <w:bCs/>
          <w:color w:val="0000FF"/>
          <w:sz w:val="28"/>
          <w:u w:val="single"/>
        </w:rPr>
        <w:t xml:space="preserve"> </w:t>
      </w:r>
    </w:p>
    <w:p w:rsidR="002C36D2" w:rsidRDefault="002C36D2" w:rsidP="008A7EEC">
      <w:pPr>
        <w:jc w:val="both"/>
      </w:pPr>
    </w:p>
    <w:p w:rsidR="00CD7E4E" w:rsidRDefault="00400334" w:rsidP="008A7EEC">
      <w:pPr>
        <w:jc w:val="both"/>
      </w:pPr>
      <w:r w:rsidRPr="00400334">
        <w:t xml:space="preserve">Extensive use was made of the </w:t>
      </w:r>
      <w:r w:rsidR="00D4670A">
        <w:t>‘</w:t>
      </w:r>
      <w:r w:rsidRPr="00400334">
        <w:t>barrier application</w:t>
      </w:r>
      <w:r w:rsidR="00D4670A">
        <w:t>’</w:t>
      </w:r>
      <w:r w:rsidRPr="00400334">
        <w:t xml:space="preserve"> technique </w:t>
      </w:r>
      <w:r>
        <w:t>during the March 2010 locust control</w:t>
      </w:r>
      <w:r w:rsidR="00E71D5D">
        <w:t xml:space="preserve"> operations </w:t>
      </w:r>
      <w:r>
        <w:t xml:space="preserve">in </w:t>
      </w:r>
      <w:r w:rsidR="00D4670A">
        <w:t>S</w:t>
      </w:r>
      <w:r>
        <w:t xml:space="preserve">outhwest Queensland and </w:t>
      </w:r>
      <w:r w:rsidR="00D4670A">
        <w:t xml:space="preserve">Far West </w:t>
      </w:r>
      <w:r>
        <w:t>NSW. This was the first time that this application technique, which involve</w:t>
      </w:r>
      <w:r w:rsidR="00E71D5D">
        <w:t>s</w:t>
      </w:r>
      <w:r>
        <w:t xml:space="preserve"> discreet </w:t>
      </w:r>
      <w:r w:rsidR="00C75554">
        <w:t>aerial</w:t>
      </w:r>
      <w:r w:rsidR="00E71D5D">
        <w:t xml:space="preserve"> </w:t>
      </w:r>
      <w:r>
        <w:t xml:space="preserve">spray runs of fipronil pesticide with (in this case) 300 metres between runs, </w:t>
      </w:r>
      <w:r w:rsidR="00C75554">
        <w:t>was used</w:t>
      </w:r>
      <w:r>
        <w:t xml:space="preserve"> as part of a large-scale campaign. Post-treatment evaluation of numerous targets where this technique was used indicated </w:t>
      </w:r>
      <w:r w:rsidR="00C75554">
        <w:t>that</w:t>
      </w:r>
      <w:r>
        <w:t xml:space="preserve"> mortalities </w:t>
      </w:r>
      <w:r w:rsidR="00C75554">
        <w:t xml:space="preserve">were </w:t>
      </w:r>
      <w:r>
        <w:t>at least as good as standard blanket treatment with fenitrothion.</w:t>
      </w:r>
    </w:p>
    <w:p w:rsidR="00400334" w:rsidRDefault="00400334" w:rsidP="008A7EEC">
      <w:pPr>
        <w:jc w:val="both"/>
      </w:pPr>
    </w:p>
    <w:p w:rsidR="00400334" w:rsidRPr="00400334" w:rsidRDefault="00400334" w:rsidP="008A7EEC">
      <w:pPr>
        <w:jc w:val="both"/>
      </w:pPr>
      <w:r>
        <w:t xml:space="preserve">Following engagement by the APLC Director with the USDA National Rangeland Grasshopper Management program and with various technical specialists, a renewed effort to </w:t>
      </w:r>
      <w:r w:rsidR="00C75554">
        <w:t xml:space="preserve">evaluate </w:t>
      </w:r>
      <w:r>
        <w:t xml:space="preserve">insect growth regulant (IGR) products as </w:t>
      </w:r>
      <w:r w:rsidR="00F845D1">
        <w:t>potential</w:t>
      </w:r>
      <w:r>
        <w:t xml:space="preserve"> control agent</w:t>
      </w:r>
      <w:r w:rsidR="00C75554">
        <w:t>s was commenced.</w:t>
      </w:r>
      <w:r>
        <w:t xml:space="preserve"> Information gathered from US specialists has addressed previous concerns regarding livestock residues, while discussions commenced with the Australian distributor of the most commonly-applied IGR </w:t>
      </w:r>
      <w:r w:rsidR="006F611B">
        <w:t xml:space="preserve">regarding </w:t>
      </w:r>
      <w:r>
        <w:t xml:space="preserve">a </w:t>
      </w:r>
      <w:r w:rsidR="006F611B">
        <w:t xml:space="preserve">possible </w:t>
      </w:r>
      <w:r>
        <w:t>development schedule.</w:t>
      </w:r>
    </w:p>
    <w:p w:rsidR="00CD7E4E" w:rsidRDefault="00CD7E4E" w:rsidP="008A7EEC">
      <w:pPr>
        <w:jc w:val="both"/>
      </w:pPr>
    </w:p>
    <w:p w:rsidR="00D30519" w:rsidRDefault="00D30519" w:rsidP="008A7EEC">
      <w:pPr>
        <w:jc w:val="both"/>
      </w:pPr>
    </w:p>
    <w:p w:rsidR="00EF5214" w:rsidRPr="0043520E" w:rsidRDefault="00D30519" w:rsidP="0043520E">
      <w:pPr>
        <w:pStyle w:val="Heading2"/>
        <w:rPr>
          <w:bCs/>
          <w:color w:val="0000FF"/>
          <w:sz w:val="28"/>
          <w:u w:val="single"/>
        </w:rPr>
      </w:pPr>
      <w:bookmarkStart w:id="70" w:name="_Toc209580099"/>
      <w:bookmarkStart w:id="71" w:name="_Toc209580367"/>
      <w:bookmarkStart w:id="72" w:name="_Toc209580509"/>
      <w:bookmarkStart w:id="73" w:name="_Toc209580776"/>
      <w:bookmarkStart w:id="74" w:name="_Toc263163117"/>
      <w:r>
        <w:rPr>
          <w:bCs/>
          <w:color w:val="0000FF"/>
          <w:sz w:val="28"/>
          <w:u w:val="single"/>
        </w:rPr>
        <w:t>Control operations and pesticide u</w:t>
      </w:r>
      <w:r w:rsidR="00EF5214" w:rsidRPr="0043520E">
        <w:rPr>
          <w:bCs/>
          <w:color w:val="0000FF"/>
          <w:sz w:val="28"/>
          <w:u w:val="single"/>
        </w:rPr>
        <w:t>se</w:t>
      </w:r>
      <w:bookmarkEnd w:id="70"/>
      <w:bookmarkEnd w:id="71"/>
      <w:bookmarkEnd w:id="72"/>
      <w:bookmarkEnd w:id="73"/>
      <w:bookmarkEnd w:id="74"/>
      <w:r w:rsidR="00D73AB4">
        <w:rPr>
          <w:bCs/>
          <w:color w:val="0000FF"/>
          <w:sz w:val="28"/>
          <w:u w:val="single"/>
        </w:rPr>
        <w:t xml:space="preserve"> </w:t>
      </w:r>
    </w:p>
    <w:p w:rsidR="003F2905" w:rsidRPr="006633C4" w:rsidRDefault="003F2905" w:rsidP="003F2905">
      <w:pPr>
        <w:jc w:val="both"/>
        <w:rPr>
          <w:color w:val="00B050"/>
        </w:rPr>
      </w:pPr>
    </w:p>
    <w:p w:rsidR="003F2905" w:rsidRDefault="00C75554" w:rsidP="0077248E">
      <w:r>
        <w:t xml:space="preserve">The </w:t>
      </w:r>
      <w:r w:rsidR="000F0B7D">
        <w:t xml:space="preserve">spring </w:t>
      </w:r>
      <w:r>
        <w:t>nymph</w:t>
      </w:r>
      <w:r w:rsidR="006F611B">
        <w:t>al</w:t>
      </w:r>
      <w:r>
        <w:t xml:space="preserve"> infestation in Central West NSW</w:t>
      </w:r>
      <w:r w:rsidR="000F0B7D">
        <w:t xml:space="preserve"> </w:t>
      </w:r>
      <w:r w:rsidR="00BB4537">
        <w:t xml:space="preserve">had </w:t>
      </w:r>
      <w:r w:rsidR="000F0B7D">
        <w:t>produced a</w:t>
      </w:r>
      <w:r>
        <w:t xml:space="preserve"> </w:t>
      </w:r>
      <w:r w:rsidR="0077248E" w:rsidRPr="0077248E">
        <w:t xml:space="preserve">large number of bands in the Coonamble </w:t>
      </w:r>
      <w:r w:rsidR="0077248E">
        <w:t xml:space="preserve">area by late September 2009. </w:t>
      </w:r>
      <w:r w:rsidR="00CD6670">
        <w:t>Numerous potential</w:t>
      </w:r>
      <w:r w:rsidR="0077248E">
        <w:t xml:space="preserve"> control targets w</w:t>
      </w:r>
      <w:r w:rsidR="00CD6670">
        <w:t>ere</w:t>
      </w:r>
      <w:r w:rsidR="0077248E">
        <w:t xml:space="preserve"> identified </w:t>
      </w:r>
      <w:r w:rsidR="00CD6670">
        <w:t xml:space="preserve">by </w:t>
      </w:r>
      <w:r w:rsidR="0077248E">
        <w:t xml:space="preserve">ground and aerial surveys, </w:t>
      </w:r>
      <w:r w:rsidR="00CD6670">
        <w:t>and</w:t>
      </w:r>
      <w:r w:rsidR="0077248E">
        <w:t xml:space="preserve"> control </w:t>
      </w:r>
      <w:r w:rsidR="00CD6670">
        <w:t>commenced</w:t>
      </w:r>
      <w:r w:rsidR="00AC2A85">
        <w:t xml:space="preserve"> </w:t>
      </w:r>
      <w:r w:rsidR="0077248E">
        <w:t>on 6 October. Over the following 12 days, fenitrothion</w:t>
      </w:r>
      <w:r w:rsidR="00CD6670">
        <w:t xml:space="preserve"> insecticide was applied</w:t>
      </w:r>
      <w:r w:rsidR="0077248E">
        <w:t xml:space="preserve"> to 17 individual areas w</w:t>
      </w:r>
      <w:r w:rsidR="00CD6670">
        <w:t>ith a total area of</w:t>
      </w:r>
      <w:r w:rsidR="0077248E">
        <w:t xml:space="preserve"> 51.35 square kilometres (Fig. </w:t>
      </w:r>
      <w:r w:rsidR="0036318C">
        <w:t>8</w:t>
      </w:r>
      <w:r w:rsidR="0077248E">
        <w:t>).</w:t>
      </w:r>
    </w:p>
    <w:p w:rsidR="0077248E" w:rsidRDefault="0077248E" w:rsidP="0077248E"/>
    <w:p w:rsidR="0077248E" w:rsidRPr="00DC463B" w:rsidRDefault="007B2590" w:rsidP="0077248E">
      <w:r>
        <w:t>The widespread</w:t>
      </w:r>
      <w:r w:rsidR="00F75C81">
        <w:t xml:space="preserve"> early autumn nymph</w:t>
      </w:r>
      <w:r w:rsidR="006F611B">
        <w:t>al</w:t>
      </w:r>
      <w:r w:rsidR="00F75C81">
        <w:t xml:space="preserve"> infestation</w:t>
      </w:r>
      <w:r>
        <w:t>s</w:t>
      </w:r>
      <w:r w:rsidR="00F75C81">
        <w:t xml:space="preserve"> </w:t>
      </w:r>
      <w:r>
        <w:t xml:space="preserve">and favourable habitat conditions </w:t>
      </w:r>
      <w:r w:rsidR="00142229">
        <w:t>produced</w:t>
      </w:r>
      <w:r w:rsidR="00F75C81">
        <w:t xml:space="preserve"> </w:t>
      </w:r>
      <w:r w:rsidR="00142229">
        <w:t>the</w:t>
      </w:r>
      <w:r w:rsidR="00F75C81">
        <w:t xml:space="preserve"> potential </w:t>
      </w:r>
      <w:r w:rsidR="00136758">
        <w:t>for</w:t>
      </w:r>
      <w:r w:rsidR="00142229">
        <w:t xml:space="preserve"> a </w:t>
      </w:r>
      <w:r w:rsidR="00F75C81">
        <w:t xml:space="preserve">plague situation </w:t>
      </w:r>
      <w:r>
        <w:t>affecting</w:t>
      </w:r>
      <w:r w:rsidR="00F75C81">
        <w:t xml:space="preserve"> several states</w:t>
      </w:r>
      <w:r>
        <w:t>. APLC control operations w</w:t>
      </w:r>
      <w:r w:rsidR="00215A45">
        <w:t>ere carried out in the area</w:t>
      </w:r>
      <w:r>
        <w:t xml:space="preserve"> of most intense infestation</w:t>
      </w:r>
      <w:r w:rsidR="00215A45">
        <w:t xml:space="preserve">s and </w:t>
      </w:r>
      <w:r w:rsidR="006F611B">
        <w:t xml:space="preserve">which presented </w:t>
      </w:r>
      <w:r w:rsidR="00215A45">
        <w:t>the highest risk of subsequent interstate migrations.</w:t>
      </w:r>
      <w:r w:rsidR="00F75C81">
        <w:t xml:space="preserve"> </w:t>
      </w:r>
      <w:r w:rsidR="00DC463B">
        <w:t>A control campaign</w:t>
      </w:r>
      <w:r w:rsidR="00090244">
        <w:t xml:space="preserve"> involving all APLC staff</w:t>
      </w:r>
      <w:r w:rsidR="00DC463B">
        <w:t xml:space="preserve"> was launched on 14 March 2010</w:t>
      </w:r>
      <w:r w:rsidR="00C706E7">
        <w:t>, based at Tibooburra NSW</w:t>
      </w:r>
      <w:r w:rsidR="00DC463B">
        <w:t>. Over the following 11 days, a total of 73 targets covering 2,044 square kilometres (1,700 km</w:t>
      </w:r>
      <w:r w:rsidR="00DC463B">
        <w:rPr>
          <w:vertAlign w:val="superscript"/>
        </w:rPr>
        <w:t>2</w:t>
      </w:r>
      <w:r w:rsidR="00DC463B">
        <w:t xml:space="preserve"> in NSW plus 344 km</w:t>
      </w:r>
      <w:r w:rsidR="00DC463B">
        <w:rPr>
          <w:vertAlign w:val="superscript"/>
        </w:rPr>
        <w:t>2</w:t>
      </w:r>
      <w:r w:rsidR="00DC463B">
        <w:t xml:space="preserve"> in Queensland) were treated (Fig. </w:t>
      </w:r>
      <w:r w:rsidR="0036318C">
        <w:t>9</w:t>
      </w:r>
      <w:r w:rsidR="00DC463B">
        <w:t xml:space="preserve">). The </w:t>
      </w:r>
      <w:r w:rsidR="00C706E7">
        <w:t>large total area of control was achieved</w:t>
      </w:r>
      <w:r w:rsidR="00DC463B">
        <w:t xml:space="preserve"> by the extensive use of fipronil barrier spraying techniques, account</w:t>
      </w:r>
      <w:r w:rsidR="00C706E7">
        <w:t>ing</w:t>
      </w:r>
      <w:r w:rsidR="00DC463B">
        <w:t xml:space="preserve"> for some 7</w:t>
      </w:r>
      <w:r w:rsidR="006F611B">
        <w:t>0</w:t>
      </w:r>
      <w:r w:rsidR="00DC463B">
        <w:t xml:space="preserve">% of the total area covered. </w:t>
      </w:r>
      <w:r w:rsidR="00DC463B">
        <w:rPr>
          <w:i/>
        </w:rPr>
        <w:t>Metarhizium</w:t>
      </w:r>
      <w:r w:rsidR="00DC463B">
        <w:t xml:space="preserve"> (Green Guard®) was </w:t>
      </w:r>
      <w:r w:rsidR="00C706E7">
        <w:t>used in</w:t>
      </w:r>
      <w:r w:rsidR="00DC463B">
        <w:t xml:space="preserve"> areas </w:t>
      </w:r>
      <w:r w:rsidR="00C706E7">
        <w:t xml:space="preserve">within and near </w:t>
      </w:r>
      <w:r w:rsidR="00DC463B">
        <w:t xml:space="preserve">National </w:t>
      </w:r>
      <w:r w:rsidR="00596A78">
        <w:t>P</w:t>
      </w:r>
      <w:r w:rsidR="00DC463B">
        <w:t>ark</w:t>
      </w:r>
      <w:r w:rsidR="00C706E7">
        <w:t>, conservation reserve</w:t>
      </w:r>
      <w:r w:rsidR="00DC463B">
        <w:t xml:space="preserve"> and organic production </w:t>
      </w:r>
      <w:r w:rsidR="00C706E7">
        <w:t>properties</w:t>
      </w:r>
      <w:r w:rsidR="006F611B">
        <w:t xml:space="preserve"> (Table 2)</w:t>
      </w:r>
      <w:r w:rsidR="00DC463B">
        <w:t>.</w:t>
      </w:r>
    </w:p>
    <w:p w:rsidR="00874A9C" w:rsidRPr="0077248E" w:rsidRDefault="00874A9C" w:rsidP="0077248E"/>
    <w:p w:rsidR="00400334" w:rsidRDefault="00400334">
      <w:pPr>
        <w:rPr>
          <w:b/>
          <w:bCs/>
          <w:color w:val="0000FF"/>
        </w:rPr>
      </w:pPr>
      <w:r>
        <w:rPr>
          <w:b/>
          <w:bCs/>
          <w:color w:val="0000FF"/>
        </w:rPr>
        <w:br w:type="page"/>
      </w:r>
    </w:p>
    <w:p w:rsidR="003F2905" w:rsidRDefault="003F2905" w:rsidP="003F2905">
      <w:pPr>
        <w:pStyle w:val="Caption"/>
        <w:keepNext/>
      </w:pPr>
      <w:r w:rsidRPr="004822CE">
        <w:lastRenderedPageBreak/>
        <w:t xml:space="preserve">Table 1: </w:t>
      </w:r>
      <w:r w:rsidRPr="004822CE">
        <w:rPr>
          <w:noProof/>
        </w:rPr>
        <w:t xml:space="preserve"> Control operations </w:t>
      </w:r>
      <w:r w:rsidRPr="004822CE">
        <w:t>2009-10</w:t>
      </w:r>
    </w:p>
    <w:p w:rsidR="006F611B" w:rsidRPr="006F611B" w:rsidRDefault="006F611B" w:rsidP="006F611B"/>
    <w:tbl>
      <w:tblPr>
        <w:tblStyle w:val="TableClassic1"/>
        <w:tblW w:w="0" w:type="auto"/>
        <w:tblLayout w:type="fixed"/>
        <w:tblLook w:val="00E0"/>
      </w:tblPr>
      <w:tblGrid>
        <w:gridCol w:w="2145"/>
        <w:gridCol w:w="1417"/>
        <w:gridCol w:w="1843"/>
        <w:gridCol w:w="1276"/>
        <w:gridCol w:w="1842"/>
      </w:tblGrid>
      <w:tr w:rsidR="003F2905" w:rsidRPr="004822CE" w:rsidTr="009032BB">
        <w:trPr>
          <w:cnfStyle w:val="100000000000"/>
          <w:trHeight w:val="62"/>
        </w:trPr>
        <w:tc>
          <w:tcPr>
            <w:cnfStyle w:val="001000000000"/>
            <w:tcW w:w="2145" w:type="dxa"/>
            <w:noWrap/>
            <w:tcMar>
              <w:top w:w="57" w:type="dxa"/>
              <w:bottom w:w="57" w:type="dxa"/>
            </w:tcMar>
          </w:tcPr>
          <w:p w:rsidR="003F2905" w:rsidRPr="004822CE" w:rsidRDefault="003F2905" w:rsidP="009032BB">
            <w:pPr>
              <w:pStyle w:val="BodyPara"/>
              <w:spacing w:after="0"/>
              <w:jc w:val="center"/>
              <w:rPr>
                <w:rFonts w:ascii="Times New Roman" w:hAnsi="Times New Roman"/>
                <w:b/>
                <w:sz w:val="22"/>
                <w:szCs w:val="22"/>
              </w:rPr>
            </w:pPr>
            <w:r w:rsidRPr="004822CE">
              <w:rPr>
                <w:rFonts w:ascii="Times New Roman" w:hAnsi="Times New Roman"/>
                <w:b/>
                <w:sz w:val="22"/>
                <w:szCs w:val="22"/>
              </w:rPr>
              <w:t>Control Base</w:t>
            </w:r>
          </w:p>
          <w:p w:rsidR="003F2905" w:rsidRPr="004822CE" w:rsidRDefault="003F2905" w:rsidP="009032BB">
            <w:pPr>
              <w:pStyle w:val="BodyPara"/>
              <w:spacing w:after="0"/>
              <w:jc w:val="center"/>
              <w:rPr>
                <w:rFonts w:ascii="Times New Roman" w:eastAsia="Arial Unicode MS" w:hAnsi="Times New Roman"/>
                <w:b/>
                <w:sz w:val="22"/>
                <w:szCs w:val="22"/>
              </w:rPr>
            </w:pPr>
          </w:p>
        </w:tc>
        <w:tc>
          <w:tcPr>
            <w:tcW w:w="1417" w:type="dxa"/>
            <w:tcMar>
              <w:top w:w="57" w:type="dxa"/>
              <w:bottom w:w="57" w:type="dxa"/>
            </w:tcMar>
          </w:tcPr>
          <w:p w:rsidR="003F2905" w:rsidRPr="004822CE" w:rsidRDefault="003F2905" w:rsidP="009032BB">
            <w:pPr>
              <w:pStyle w:val="BodyPara"/>
              <w:spacing w:after="0"/>
              <w:jc w:val="center"/>
              <w:cnfStyle w:val="100000000000"/>
              <w:rPr>
                <w:rFonts w:ascii="Times New Roman" w:eastAsia="Arial Unicode MS" w:hAnsi="Times New Roman"/>
                <w:b/>
                <w:sz w:val="22"/>
                <w:szCs w:val="22"/>
              </w:rPr>
            </w:pPr>
            <w:r w:rsidRPr="004822CE">
              <w:rPr>
                <w:rFonts w:ascii="Times New Roman" w:eastAsia="Arial Unicode MS" w:hAnsi="Times New Roman"/>
                <w:b/>
                <w:sz w:val="22"/>
                <w:szCs w:val="22"/>
              </w:rPr>
              <w:t>Type</w:t>
            </w:r>
          </w:p>
        </w:tc>
        <w:tc>
          <w:tcPr>
            <w:tcW w:w="1843" w:type="dxa"/>
            <w:noWrap/>
            <w:tcMar>
              <w:top w:w="57" w:type="dxa"/>
              <w:bottom w:w="57" w:type="dxa"/>
            </w:tcMar>
          </w:tcPr>
          <w:p w:rsidR="003F2905" w:rsidRPr="004822CE" w:rsidRDefault="003F2905" w:rsidP="009032BB">
            <w:pPr>
              <w:pStyle w:val="BodyPara"/>
              <w:spacing w:after="0"/>
              <w:jc w:val="center"/>
              <w:cnfStyle w:val="100000000000"/>
              <w:rPr>
                <w:rFonts w:ascii="Times New Roman" w:eastAsia="Arial Unicode MS" w:hAnsi="Times New Roman"/>
                <w:b/>
                <w:sz w:val="22"/>
                <w:szCs w:val="22"/>
              </w:rPr>
            </w:pPr>
            <w:r w:rsidRPr="004822CE">
              <w:rPr>
                <w:rFonts w:ascii="Times New Roman" w:eastAsia="Arial Unicode MS" w:hAnsi="Times New Roman"/>
                <w:b/>
                <w:sz w:val="22"/>
                <w:szCs w:val="22"/>
              </w:rPr>
              <w:t>Period</w:t>
            </w:r>
          </w:p>
          <w:p w:rsidR="003F2905" w:rsidRPr="004822CE" w:rsidRDefault="003F2905" w:rsidP="009032BB">
            <w:pPr>
              <w:pStyle w:val="BodyPara"/>
              <w:spacing w:after="0"/>
              <w:jc w:val="center"/>
              <w:cnfStyle w:val="100000000000"/>
              <w:rPr>
                <w:rFonts w:ascii="Times New Roman" w:eastAsia="Arial Unicode MS" w:hAnsi="Times New Roman"/>
                <w:b/>
                <w:sz w:val="22"/>
                <w:szCs w:val="22"/>
              </w:rPr>
            </w:pPr>
          </w:p>
        </w:tc>
        <w:tc>
          <w:tcPr>
            <w:tcW w:w="1276" w:type="dxa"/>
            <w:tcMar>
              <w:top w:w="57" w:type="dxa"/>
              <w:bottom w:w="57" w:type="dxa"/>
            </w:tcMar>
          </w:tcPr>
          <w:p w:rsidR="003F2905" w:rsidRPr="004822CE" w:rsidRDefault="003F2905" w:rsidP="009032BB">
            <w:pPr>
              <w:pStyle w:val="BodyPara"/>
              <w:spacing w:after="0"/>
              <w:jc w:val="center"/>
              <w:cnfStyle w:val="100000000000"/>
              <w:rPr>
                <w:rFonts w:ascii="Times New Roman" w:hAnsi="Times New Roman"/>
                <w:b/>
                <w:sz w:val="22"/>
                <w:szCs w:val="22"/>
              </w:rPr>
            </w:pPr>
            <w:r w:rsidRPr="004822CE">
              <w:rPr>
                <w:rFonts w:ascii="Times New Roman" w:hAnsi="Times New Roman"/>
                <w:b/>
                <w:sz w:val="22"/>
                <w:szCs w:val="22"/>
              </w:rPr>
              <w:t>Number</w:t>
            </w:r>
          </w:p>
          <w:p w:rsidR="003F2905" w:rsidRPr="004822CE" w:rsidRDefault="003F2905" w:rsidP="009032BB">
            <w:pPr>
              <w:pStyle w:val="BodyPara"/>
              <w:spacing w:after="0"/>
              <w:jc w:val="center"/>
              <w:cnfStyle w:val="100000000000"/>
              <w:rPr>
                <w:rFonts w:ascii="Times New Roman" w:hAnsi="Times New Roman"/>
                <w:b/>
                <w:sz w:val="22"/>
                <w:szCs w:val="22"/>
              </w:rPr>
            </w:pPr>
            <w:r w:rsidRPr="004822CE">
              <w:rPr>
                <w:rFonts w:ascii="Times New Roman" w:hAnsi="Times New Roman"/>
                <w:b/>
                <w:sz w:val="22"/>
                <w:szCs w:val="22"/>
              </w:rPr>
              <w:t>of targets</w:t>
            </w:r>
          </w:p>
        </w:tc>
        <w:tc>
          <w:tcPr>
            <w:tcW w:w="1842" w:type="dxa"/>
            <w:noWrap/>
            <w:tcMar>
              <w:top w:w="57" w:type="dxa"/>
              <w:bottom w:w="57" w:type="dxa"/>
            </w:tcMar>
          </w:tcPr>
          <w:p w:rsidR="003F2905" w:rsidRPr="004822CE" w:rsidRDefault="003F2905" w:rsidP="009032BB">
            <w:pPr>
              <w:pStyle w:val="BodyPara"/>
              <w:spacing w:after="0"/>
              <w:jc w:val="center"/>
              <w:cnfStyle w:val="100000000000"/>
              <w:rPr>
                <w:rFonts w:ascii="Times New Roman" w:eastAsia="Arial Unicode MS" w:hAnsi="Times New Roman"/>
                <w:b/>
                <w:sz w:val="22"/>
                <w:szCs w:val="22"/>
              </w:rPr>
            </w:pPr>
            <w:r w:rsidRPr="004822CE">
              <w:rPr>
                <w:rFonts w:ascii="Times New Roman" w:eastAsia="Arial Unicode MS" w:hAnsi="Times New Roman"/>
                <w:b/>
                <w:sz w:val="22"/>
                <w:szCs w:val="22"/>
              </w:rPr>
              <w:t>Area Treated</w:t>
            </w:r>
          </w:p>
          <w:p w:rsidR="003F2905" w:rsidRPr="004822CE" w:rsidRDefault="003F2905" w:rsidP="009032BB">
            <w:pPr>
              <w:pStyle w:val="BodyPara"/>
              <w:spacing w:after="0"/>
              <w:jc w:val="center"/>
              <w:cnfStyle w:val="100000000000"/>
              <w:rPr>
                <w:rFonts w:ascii="Times New Roman" w:eastAsia="Arial Unicode MS" w:hAnsi="Times New Roman"/>
                <w:b/>
                <w:sz w:val="22"/>
                <w:szCs w:val="22"/>
              </w:rPr>
            </w:pPr>
            <w:r w:rsidRPr="004822CE">
              <w:rPr>
                <w:rFonts w:ascii="Times New Roman" w:eastAsia="Arial Unicode MS" w:hAnsi="Times New Roman"/>
                <w:b/>
                <w:sz w:val="22"/>
                <w:szCs w:val="22"/>
              </w:rPr>
              <w:t>(km</w:t>
            </w:r>
            <w:r w:rsidRPr="004822CE">
              <w:rPr>
                <w:rFonts w:ascii="Times New Roman" w:eastAsia="Arial Unicode MS" w:hAnsi="Times New Roman"/>
                <w:b/>
                <w:sz w:val="22"/>
                <w:szCs w:val="22"/>
                <w:vertAlign w:val="superscript"/>
              </w:rPr>
              <w:t>2</w:t>
            </w:r>
            <w:r w:rsidRPr="004822CE">
              <w:rPr>
                <w:rFonts w:ascii="Times New Roman" w:eastAsia="Arial Unicode MS" w:hAnsi="Times New Roman"/>
                <w:b/>
                <w:sz w:val="22"/>
                <w:szCs w:val="22"/>
              </w:rPr>
              <w:t>)</w:t>
            </w:r>
          </w:p>
        </w:tc>
      </w:tr>
      <w:tr w:rsidR="003F2905" w:rsidRPr="004822CE" w:rsidTr="009032BB">
        <w:trPr>
          <w:trHeight w:val="255"/>
        </w:trPr>
        <w:tc>
          <w:tcPr>
            <w:cnfStyle w:val="001000000000"/>
            <w:tcW w:w="2145" w:type="dxa"/>
            <w:noWrap/>
          </w:tcPr>
          <w:p w:rsidR="003F2905" w:rsidRPr="004822CE" w:rsidRDefault="003F2905" w:rsidP="009032BB">
            <w:pPr>
              <w:pStyle w:val="BodyPara"/>
              <w:spacing w:before="120"/>
              <w:rPr>
                <w:rFonts w:ascii="Times New Roman" w:eastAsia="Arial Unicode MS" w:hAnsi="Times New Roman"/>
                <w:sz w:val="22"/>
                <w:szCs w:val="22"/>
              </w:rPr>
            </w:pPr>
            <w:r w:rsidRPr="004822CE">
              <w:rPr>
                <w:rFonts w:ascii="Times New Roman" w:eastAsia="Arial Unicode MS" w:hAnsi="Times New Roman"/>
                <w:sz w:val="22"/>
                <w:szCs w:val="22"/>
              </w:rPr>
              <w:t>Coonamble, NSW</w:t>
            </w:r>
          </w:p>
        </w:tc>
        <w:tc>
          <w:tcPr>
            <w:tcW w:w="1417" w:type="dxa"/>
          </w:tcPr>
          <w:p w:rsidR="003F2905" w:rsidRPr="004822CE" w:rsidRDefault="003F2905" w:rsidP="009032BB">
            <w:pPr>
              <w:pStyle w:val="BodyPara"/>
              <w:spacing w:before="120"/>
              <w:jc w:val="center"/>
              <w:cnfStyle w:val="000000000000"/>
              <w:rPr>
                <w:rFonts w:ascii="Times New Roman" w:eastAsia="Arial Unicode MS" w:hAnsi="Times New Roman"/>
                <w:sz w:val="22"/>
                <w:szCs w:val="22"/>
              </w:rPr>
            </w:pPr>
            <w:r w:rsidRPr="004822CE">
              <w:rPr>
                <w:rFonts w:ascii="Times New Roman" w:eastAsia="Arial Unicode MS" w:hAnsi="Times New Roman"/>
                <w:sz w:val="22"/>
                <w:szCs w:val="22"/>
              </w:rPr>
              <w:t>Band</w:t>
            </w:r>
          </w:p>
        </w:tc>
        <w:tc>
          <w:tcPr>
            <w:tcW w:w="1843" w:type="dxa"/>
            <w:noWrap/>
          </w:tcPr>
          <w:p w:rsidR="003F2905" w:rsidRPr="004822CE" w:rsidRDefault="003F2905" w:rsidP="009032BB">
            <w:pPr>
              <w:pStyle w:val="BodyPara"/>
              <w:spacing w:before="120"/>
              <w:jc w:val="center"/>
              <w:cnfStyle w:val="000000000000"/>
              <w:rPr>
                <w:rFonts w:ascii="Times New Roman" w:eastAsia="Arial Unicode MS" w:hAnsi="Times New Roman"/>
                <w:sz w:val="22"/>
                <w:szCs w:val="22"/>
              </w:rPr>
            </w:pPr>
            <w:r w:rsidRPr="004822CE">
              <w:rPr>
                <w:rFonts w:ascii="Times New Roman" w:eastAsia="Arial Unicode MS" w:hAnsi="Times New Roman"/>
                <w:sz w:val="22"/>
                <w:szCs w:val="22"/>
              </w:rPr>
              <w:t>6 – 18/10/2009</w:t>
            </w:r>
          </w:p>
        </w:tc>
        <w:tc>
          <w:tcPr>
            <w:tcW w:w="1276" w:type="dxa"/>
          </w:tcPr>
          <w:p w:rsidR="003F2905" w:rsidRPr="004822CE" w:rsidRDefault="003F2905" w:rsidP="009032BB">
            <w:pPr>
              <w:pStyle w:val="BodyPara"/>
              <w:spacing w:before="120"/>
              <w:jc w:val="center"/>
              <w:cnfStyle w:val="000000000000"/>
              <w:rPr>
                <w:rFonts w:ascii="Times New Roman" w:hAnsi="Times New Roman"/>
                <w:sz w:val="22"/>
                <w:szCs w:val="22"/>
              </w:rPr>
            </w:pPr>
            <w:r w:rsidRPr="004822CE">
              <w:rPr>
                <w:rFonts w:ascii="Times New Roman" w:hAnsi="Times New Roman"/>
                <w:sz w:val="22"/>
                <w:szCs w:val="22"/>
              </w:rPr>
              <w:t>17</w:t>
            </w:r>
          </w:p>
        </w:tc>
        <w:tc>
          <w:tcPr>
            <w:tcW w:w="1842" w:type="dxa"/>
            <w:noWrap/>
          </w:tcPr>
          <w:p w:rsidR="003F2905" w:rsidRPr="004822CE" w:rsidRDefault="003F2905" w:rsidP="009032BB">
            <w:pPr>
              <w:pStyle w:val="BodyPara"/>
              <w:spacing w:before="120"/>
              <w:jc w:val="center"/>
              <w:cnfStyle w:val="000000000000"/>
              <w:rPr>
                <w:rFonts w:ascii="Times New Roman" w:eastAsia="Arial Unicode MS" w:hAnsi="Times New Roman"/>
                <w:sz w:val="22"/>
                <w:szCs w:val="22"/>
              </w:rPr>
            </w:pPr>
            <w:r w:rsidRPr="004822CE">
              <w:rPr>
                <w:rFonts w:ascii="Times New Roman" w:eastAsia="Arial Unicode MS" w:hAnsi="Times New Roman"/>
                <w:sz w:val="22"/>
                <w:szCs w:val="22"/>
              </w:rPr>
              <w:t>51.35</w:t>
            </w:r>
          </w:p>
        </w:tc>
      </w:tr>
      <w:tr w:rsidR="003F2905" w:rsidRPr="004822CE" w:rsidTr="009032BB">
        <w:trPr>
          <w:trHeight w:val="255"/>
        </w:trPr>
        <w:tc>
          <w:tcPr>
            <w:cnfStyle w:val="001000000000"/>
            <w:tcW w:w="2145" w:type="dxa"/>
            <w:noWrap/>
          </w:tcPr>
          <w:p w:rsidR="003F2905" w:rsidRPr="004822CE" w:rsidRDefault="003F2905" w:rsidP="009032BB">
            <w:pPr>
              <w:pStyle w:val="BodyPara"/>
              <w:spacing w:before="120"/>
              <w:rPr>
                <w:rFonts w:ascii="Times New Roman" w:eastAsia="Arial Unicode MS" w:hAnsi="Times New Roman"/>
                <w:sz w:val="22"/>
                <w:szCs w:val="22"/>
              </w:rPr>
            </w:pPr>
            <w:r w:rsidRPr="004822CE">
              <w:rPr>
                <w:rFonts w:ascii="Times New Roman" w:eastAsia="Arial Unicode MS" w:hAnsi="Times New Roman"/>
                <w:sz w:val="22"/>
                <w:szCs w:val="22"/>
              </w:rPr>
              <w:t>Tibooburra, NSW</w:t>
            </w:r>
          </w:p>
        </w:tc>
        <w:tc>
          <w:tcPr>
            <w:tcW w:w="1417" w:type="dxa"/>
          </w:tcPr>
          <w:p w:rsidR="003F2905" w:rsidRPr="004822CE" w:rsidRDefault="003F2905" w:rsidP="009032BB">
            <w:pPr>
              <w:pStyle w:val="BodyPara"/>
              <w:spacing w:before="120"/>
              <w:jc w:val="center"/>
              <w:cnfStyle w:val="000000000000"/>
              <w:rPr>
                <w:rFonts w:ascii="Times New Roman" w:eastAsia="Arial Unicode MS" w:hAnsi="Times New Roman"/>
                <w:sz w:val="22"/>
                <w:szCs w:val="22"/>
              </w:rPr>
            </w:pPr>
            <w:r w:rsidRPr="004822CE">
              <w:rPr>
                <w:rFonts w:ascii="Times New Roman" w:eastAsia="Arial Unicode MS" w:hAnsi="Times New Roman"/>
                <w:sz w:val="22"/>
                <w:szCs w:val="22"/>
              </w:rPr>
              <w:t>Band</w:t>
            </w:r>
          </w:p>
        </w:tc>
        <w:tc>
          <w:tcPr>
            <w:tcW w:w="1843" w:type="dxa"/>
            <w:noWrap/>
          </w:tcPr>
          <w:p w:rsidR="003F2905" w:rsidRPr="004822CE" w:rsidRDefault="003F2905" w:rsidP="009032BB">
            <w:pPr>
              <w:pStyle w:val="BodyPara"/>
              <w:spacing w:before="120"/>
              <w:jc w:val="center"/>
              <w:cnfStyle w:val="000000000000"/>
              <w:rPr>
                <w:rFonts w:ascii="Times New Roman" w:eastAsia="Arial Unicode MS" w:hAnsi="Times New Roman"/>
                <w:sz w:val="22"/>
                <w:szCs w:val="22"/>
              </w:rPr>
            </w:pPr>
            <w:r w:rsidRPr="004822CE">
              <w:rPr>
                <w:rFonts w:ascii="Times New Roman" w:eastAsia="Arial Unicode MS" w:hAnsi="Times New Roman"/>
                <w:sz w:val="22"/>
                <w:szCs w:val="22"/>
              </w:rPr>
              <w:t>14 – 25/</w:t>
            </w:r>
            <w:r>
              <w:rPr>
                <w:rFonts w:ascii="Times New Roman" w:eastAsia="Arial Unicode MS" w:hAnsi="Times New Roman"/>
                <w:sz w:val="22"/>
                <w:szCs w:val="22"/>
              </w:rPr>
              <w:t>03/</w:t>
            </w:r>
            <w:r w:rsidRPr="004822CE">
              <w:rPr>
                <w:rFonts w:ascii="Times New Roman" w:eastAsia="Arial Unicode MS" w:hAnsi="Times New Roman"/>
                <w:sz w:val="22"/>
                <w:szCs w:val="22"/>
              </w:rPr>
              <w:t>2010</w:t>
            </w:r>
          </w:p>
        </w:tc>
        <w:tc>
          <w:tcPr>
            <w:tcW w:w="1276" w:type="dxa"/>
          </w:tcPr>
          <w:p w:rsidR="003F2905" w:rsidRPr="004822CE" w:rsidRDefault="003F2905" w:rsidP="009032BB">
            <w:pPr>
              <w:pStyle w:val="BodyPara"/>
              <w:spacing w:before="120"/>
              <w:jc w:val="center"/>
              <w:cnfStyle w:val="000000000000"/>
              <w:rPr>
                <w:rFonts w:ascii="Times New Roman" w:hAnsi="Times New Roman"/>
                <w:sz w:val="22"/>
                <w:szCs w:val="22"/>
              </w:rPr>
            </w:pPr>
            <w:r w:rsidRPr="004822CE">
              <w:rPr>
                <w:rFonts w:ascii="Times New Roman" w:hAnsi="Times New Roman"/>
                <w:sz w:val="22"/>
                <w:szCs w:val="22"/>
              </w:rPr>
              <w:t>73</w:t>
            </w:r>
          </w:p>
        </w:tc>
        <w:tc>
          <w:tcPr>
            <w:tcW w:w="1842" w:type="dxa"/>
            <w:noWrap/>
          </w:tcPr>
          <w:p w:rsidR="003F2905" w:rsidRPr="004822CE" w:rsidRDefault="003F2905" w:rsidP="009032BB">
            <w:pPr>
              <w:pStyle w:val="BodyPara"/>
              <w:spacing w:before="120"/>
              <w:jc w:val="center"/>
              <w:cnfStyle w:val="000000000000"/>
              <w:rPr>
                <w:rFonts w:ascii="Times New Roman" w:eastAsia="Arial Unicode MS" w:hAnsi="Times New Roman"/>
                <w:sz w:val="22"/>
                <w:szCs w:val="22"/>
              </w:rPr>
            </w:pPr>
            <w:r w:rsidRPr="004822CE">
              <w:rPr>
                <w:rFonts w:ascii="Times New Roman" w:eastAsia="Arial Unicode MS" w:hAnsi="Times New Roman"/>
                <w:sz w:val="22"/>
                <w:szCs w:val="22"/>
              </w:rPr>
              <w:t>2,044.04</w:t>
            </w:r>
          </w:p>
        </w:tc>
      </w:tr>
      <w:tr w:rsidR="003F2905" w:rsidRPr="004822CE" w:rsidTr="009032BB">
        <w:trPr>
          <w:cnfStyle w:val="010000000000"/>
          <w:trHeight w:val="255"/>
        </w:trPr>
        <w:tc>
          <w:tcPr>
            <w:cnfStyle w:val="001000000001"/>
            <w:tcW w:w="2145" w:type="dxa"/>
            <w:noWrap/>
          </w:tcPr>
          <w:p w:rsidR="003F2905" w:rsidRPr="004822CE" w:rsidRDefault="003F2905" w:rsidP="009032BB">
            <w:pPr>
              <w:pStyle w:val="BodyPara"/>
              <w:spacing w:before="120"/>
              <w:rPr>
                <w:rFonts w:ascii="Times New Roman" w:eastAsia="Arial Unicode MS" w:hAnsi="Times New Roman"/>
                <w:sz w:val="22"/>
                <w:szCs w:val="22"/>
              </w:rPr>
            </w:pPr>
            <w:r w:rsidRPr="004822CE">
              <w:rPr>
                <w:rFonts w:ascii="Times New Roman" w:hAnsi="Times New Roman"/>
                <w:sz w:val="22"/>
                <w:szCs w:val="22"/>
              </w:rPr>
              <w:t>Total 2009-10</w:t>
            </w:r>
          </w:p>
        </w:tc>
        <w:tc>
          <w:tcPr>
            <w:tcW w:w="1417" w:type="dxa"/>
          </w:tcPr>
          <w:p w:rsidR="003F2905" w:rsidRPr="004822CE" w:rsidRDefault="003F2905" w:rsidP="009032BB">
            <w:pPr>
              <w:pStyle w:val="BodyPara"/>
              <w:spacing w:before="120"/>
              <w:jc w:val="center"/>
              <w:cnfStyle w:val="010000000000"/>
              <w:rPr>
                <w:rFonts w:ascii="Times New Roman" w:eastAsia="Arial Unicode MS" w:hAnsi="Times New Roman"/>
                <w:b/>
                <w:sz w:val="22"/>
                <w:szCs w:val="22"/>
              </w:rPr>
            </w:pPr>
          </w:p>
        </w:tc>
        <w:tc>
          <w:tcPr>
            <w:tcW w:w="1843" w:type="dxa"/>
            <w:noWrap/>
          </w:tcPr>
          <w:p w:rsidR="003F2905" w:rsidRPr="004822CE" w:rsidRDefault="003F2905" w:rsidP="009032BB">
            <w:pPr>
              <w:pStyle w:val="BodyPara"/>
              <w:spacing w:before="120"/>
              <w:jc w:val="center"/>
              <w:cnfStyle w:val="010000000000"/>
              <w:rPr>
                <w:rFonts w:ascii="Times New Roman" w:eastAsia="Arial Unicode MS" w:hAnsi="Times New Roman"/>
                <w:b/>
                <w:sz w:val="22"/>
                <w:szCs w:val="22"/>
              </w:rPr>
            </w:pPr>
          </w:p>
        </w:tc>
        <w:tc>
          <w:tcPr>
            <w:tcW w:w="1276" w:type="dxa"/>
          </w:tcPr>
          <w:p w:rsidR="003F2905" w:rsidRPr="004822CE" w:rsidRDefault="003F2905" w:rsidP="009032BB">
            <w:pPr>
              <w:pStyle w:val="BodyPara"/>
              <w:spacing w:before="120"/>
              <w:jc w:val="center"/>
              <w:cnfStyle w:val="010000000000"/>
              <w:rPr>
                <w:rFonts w:ascii="Times New Roman" w:hAnsi="Times New Roman"/>
                <w:b/>
              </w:rPr>
            </w:pPr>
            <w:r w:rsidRPr="004822CE">
              <w:rPr>
                <w:rFonts w:ascii="Times New Roman" w:hAnsi="Times New Roman"/>
                <w:b/>
              </w:rPr>
              <w:t>90</w:t>
            </w:r>
          </w:p>
        </w:tc>
        <w:tc>
          <w:tcPr>
            <w:tcW w:w="1842" w:type="dxa"/>
            <w:noWrap/>
          </w:tcPr>
          <w:p w:rsidR="003F2905" w:rsidRPr="004822CE" w:rsidRDefault="00433EA0" w:rsidP="009032BB">
            <w:pPr>
              <w:pStyle w:val="BodyPara"/>
              <w:spacing w:before="120"/>
              <w:jc w:val="center"/>
              <w:cnfStyle w:val="010000000000"/>
              <w:rPr>
                <w:rFonts w:ascii="Times New Roman" w:eastAsia="Arial Unicode MS" w:hAnsi="Times New Roman"/>
                <w:b/>
                <w:sz w:val="22"/>
                <w:szCs w:val="22"/>
              </w:rPr>
            </w:pPr>
            <w:r w:rsidRPr="004822CE">
              <w:rPr>
                <w:rFonts w:ascii="Times New Roman" w:eastAsia="Arial Unicode MS" w:hAnsi="Times New Roman"/>
                <w:b/>
                <w:sz w:val="22"/>
                <w:szCs w:val="22"/>
              </w:rPr>
              <w:fldChar w:fldCharType="begin"/>
            </w:r>
            <w:r w:rsidR="003F2905" w:rsidRPr="004822CE">
              <w:rPr>
                <w:rFonts w:ascii="Times New Roman" w:eastAsia="Arial Unicode MS" w:hAnsi="Times New Roman"/>
                <w:b/>
                <w:sz w:val="22"/>
                <w:szCs w:val="22"/>
              </w:rPr>
              <w:instrText xml:space="preserve"> =SUM(ABOVE) </w:instrText>
            </w:r>
            <w:r w:rsidRPr="004822CE">
              <w:rPr>
                <w:rFonts w:ascii="Times New Roman" w:eastAsia="Arial Unicode MS" w:hAnsi="Times New Roman"/>
                <w:b/>
                <w:sz w:val="22"/>
                <w:szCs w:val="22"/>
              </w:rPr>
              <w:fldChar w:fldCharType="end"/>
            </w:r>
            <w:r w:rsidR="003F2905" w:rsidRPr="004822CE">
              <w:rPr>
                <w:rFonts w:ascii="Times New Roman" w:eastAsia="Arial Unicode MS" w:hAnsi="Times New Roman"/>
                <w:b/>
                <w:sz w:val="22"/>
                <w:szCs w:val="22"/>
              </w:rPr>
              <w:t>2,095.39</w:t>
            </w:r>
          </w:p>
        </w:tc>
      </w:tr>
    </w:tbl>
    <w:p w:rsidR="003F2905" w:rsidRDefault="003F2905" w:rsidP="003F2905">
      <w:pPr>
        <w:pStyle w:val="BodyPara"/>
        <w:rPr>
          <w:rFonts w:ascii="Times New Roman" w:hAnsi="Times New Roman"/>
          <w:b/>
        </w:rPr>
      </w:pPr>
    </w:p>
    <w:p w:rsidR="00385436" w:rsidRDefault="00385436" w:rsidP="003F2905">
      <w:pPr>
        <w:pStyle w:val="BodyPara"/>
        <w:rPr>
          <w:rFonts w:ascii="Times New Roman" w:hAnsi="Times New Roman"/>
          <w:b/>
        </w:rPr>
      </w:pPr>
    </w:p>
    <w:p w:rsidR="00385436" w:rsidRDefault="00385436" w:rsidP="003F2905">
      <w:pPr>
        <w:pStyle w:val="BodyPara"/>
        <w:rPr>
          <w:rFonts w:ascii="Times New Roman" w:hAnsi="Times New Roman"/>
          <w:b/>
        </w:rPr>
      </w:pPr>
    </w:p>
    <w:p w:rsidR="003F2905" w:rsidRDefault="003F2905" w:rsidP="003F2905">
      <w:pPr>
        <w:pStyle w:val="Caption"/>
        <w:keepNext/>
      </w:pPr>
      <w:r w:rsidRPr="004822CE">
        <w:t>Table 2:  Area treated (km</w:t>
      </w:r>
      <w:r w:rsidRPr="004822CE">
        <w:rPr>
          <w:szCs w:val="24"/>
          <w:vertAlign w:val="superscript"/>
        </w:rPr>
        <w:t>2</w:t>
      </w:r>
      <w:r w:rsidRPr="004822CE">
        <w:t>) by pesticide type 2009-10</w:t>
      </w:r>
    </w:p>
    <w:p w:rsidR="006F611B" w:rsidRPr="006F611B" w:rsidRDefault="006F611B" w:rsidP="006F611B"/>
    <w:tbl>
      <w:tblPr>
        <w:tblStyle w:val="TableClassic1"/>
        <w:tblW w:w="0" w:type="auto"/>
        <w:tblBorders>
          <w:insideH w:val="single" w:sz="6" w:space="0" w:color="000000"/>
          <w:insideV w:val="single" w:sz="6" w:space="0" w:color="000000"/>
        </w:tblBorders>
        <w:tblLook w:val="01E0"/>
      </w:tblPr>
      <w:tblGrid>
        <w:gridCol w:w="2861"/>
        <w:gridCol w:w="2970"/>
        <w:gridCol w:w="2674"/>
      </w:tblGrid>
      <w:tr w:rsidR="003F2905" w:rsidRPr="004822CE" w:rsidTr="009032BB">
        <w:trPr>
          <w:cnfStyle w:val="100000000000"/>
        </w:trPr>
        <w:tc>
          <w:tcPr>
            <w:cnfStyle w:val="001000000000"/>
            <w:tcW w:w="2861" w:type="dxa"/>
            <w:tcBorders>
              <w:bottom w:val="none" w:sz="0" w:space="0" w:color="auto"/>
              <w:right w:val="none" w:sz="0" w:space="0" w:color="auto"/>
            </w:tcBorders>
          </w:tcPr>
          <w:p w:rsidR="003F2905" w:rsidRPr="004822CE" w:rsidRDefault="003F2905" w:rsidP="009032BB">
            <w:pPr>
              <w:pStyle w:val="BodyPara"/>
              <w:spacing w:before="120"/>
              <w:jc w:val="center"/>
              <w:rPr>
                <w:rFonts w:ascii="Times New Roman" w:hAnsi="Times New Roman"/>
                <w:b/>
                <w:sz w:val="22"/>
                <w:szCs w:val="22"/>
              </w:rPr>
            </w:pPr>
            <w:r w:rsidRPr="004822CE">
              <w:rPr>
                <w:rFonts w:ascii="Times New Roman" w:hAnsi="Times New Roman"/>
                <w:b/>
                <w:sz w:val="22"/>
                <w:szCs w:val="22"/>
              </w:rPr>
              <w:t>Fenitrothion</w:t>
            </w:r>
          </w:p>
        </w:tc>
        <w:tc>
          <w:tcPr>
            <w:tcW w:w="2970" w:type="dxa"/>
            <w:tcBorders>
              <w:bottom w:val="none" w:sz="0" w:space="0" w:color="auto"/>
            </w:tcBorders>
          </w:tcPr>
          <w:p w:rsidR="003F2905" w:rsidRPr="004822CE" w:rsidRDefault="003F2905" w:rsidP="009032BB">
            <w:pPr>
              <w:pStyle w:val="BodyPara"/>
              <w:spacing w:before="120"/>
              <w:jc w:val="center"/>
              <w:cnfStyle w:val="100000000000"/>
              <w:rPr>
                <w:rFonts w:ascii="Times New Roman" w:hAnsi="Times New Roman"/>
                <w:b/>
                <w:sz w:val="22"/>
                <w:szCs w:val="22"/>
              </w:rPr>
            </w:pPr>
            <w:r w:rsidRPr="004822CE">
              <w:rPr>
                <w:rFonts w:ascii="Times New Roman" w:hAnsi="Times New Roman"/>
                <w:b/>
                <w:sz w:val="22"/>
                <w:szCs w:val="22"/>
              </w:rPr>
              <w:t>Fipronil</w:t>
            </w:r>
          </w:p>
        </w:tc>
        <w:tc>
          <w:tcPr>
            <w:cnfStyle w:val="000000001000"/>
            <w:tcW w:w="2674" w:type="dxa"/>
            <w:tcBorders>
              <w:bottom w:val="none" w:sz="0" w:space="0" w:color="auto"/>
            </w:tcBorders>
          </w:tcPr>
          <w:p w:rsidR="003F2905" w:rsidRPr="004822CE" w:rsidRDefault="003F2905" w:rsidP="009032BB">
            <w:pPr>
              <w:pStyle w:val="BodyPara"/>
              <w:spacing w:before="120"/>
              <w:jc w:val="center"/>
              <w:rPr>
                <w:rFonts w:ascii="Times New Roman" w:hAnsi="Times New Roman"/>
                <w:b w:val="0"/>
                <w:sz w:val="22"/>
                <w:szCs w:val="22"/>
              </w:rPr>
            </w:pPr>
            <w:r w:rsidRPr="004822CE">
              <w:rPr>
                <w:rFonts w:ascii="Times New Roman" w:hAnsi="Times New Roman"/>
                <w:sz w:val="22"/>
                <w:szCs w:val="22"/>
              </w:rPr>
              <w:t>Green Guard</w:t>
            </w:r>
          </w:p>
        </w:tc>
      </w:tr>
      <w:tr w:rsidR="003F2905" w:rsidRPr="004822CE" w:rsidTr="009032BB">
        <w:tc>
          <w:tcPr>
            <w:cnfStyle w:val="001000000000"/>
            <w:tcW w:w="2861" w:type="dxa"/>
            <w:tcBorders>
              <w:right w:val="none" w:sz="0" w:space="0" w:color="auto"/>
            </w:tcBorders>
          </w:tcPr>
          <w:p w:rsidR="003F2905" w:rsidRPr="004822CE" w:rsidRDefault="003F2905" w:rsidP="009032BB">
            <w:pPr>
              <w:pStyle w:val="BodyPara"/>
              <w:spacing w:before="120"/>
              <w:jc w:val="center"/>
              <w:rPr>
                <w:rFonts w:ascii="Times New Roman" w:hAnsi="Times New Roman"/>
                <w:sz w:val="22"/>
                <w:szCs w:val="22"/>
              </w:rPr>
            </w:pPr>
            <w:r w:rsidRPr="004822CE">
              <w:rPr>
                <w:rFonts w:ascii="Times New Roman" w:hAnsi="Times New Roman"/>
                <w:sz w:val="22"/>
                <w:szCs w:val="22"/>
              </w:rPr>
              <w:t>521.38 km</w:t>
            </w:r>
            <w:r w:rsidRPr="004822CE">
              <w:rPr>
                <w:rFonts w:ascii="Times New Roman" w:hAnsi="Times New Roman"/>
                <w:sz w:val="22"/>
                <w:szCs w:val="22"/>
                <w:vertAlign w:val="superscript"/>
              </w:rPr>
              <w:t>2</w:t>
            </w:r>
          </w:p>
        </w:tc>
        <w:tc>
          <w:tcPr>
            <w:tcW w:w="2970" w:type="dxa"/>
          </w:tcPr>
          <w:p w:rsidR="003F2905" w:rsidRPr="004822CE" w:rsidRDefault="003F2905" w:rsidP="009032BB">
            <w:pPr>
              <w:pStyle w:val="BodyPara"/>
              <w:spacing w:before="120"/>
              <w:jc w:val="center"/>
              <w:cnfStyle w:val="000000000000"/>
              <w:rPr>
                <w:rFonts w:ascii="Times New Roman" w:hAnsi="Times New Roman"/>
                <w:sz w:val="22"/>
                <w:szCs w:val="22"/>
              </w:rPr>
            </w:pPr>
            <w:r w:rsidRPr="004822CE">
              <w:rPr>
                <w:rFonts w:ascii="Times New Roman" w:hAnsi="Times New Roman"/>
                <w:sz w:val="22"/>
                <w:szCs w:val="22"/>
              </w:rPr>
              <w:t>1,476.31 km</w:t>
            </w:r>
            <w:r w:rsidRPr="004822CE">
              <w:rPr>
                <w:rFonts w:ascii="Times New Roman" w:hAnsi="Times New Roman"/>
                <w:sz w:val="22"/>
                <w:szCs w:val="22"/>
                <w:vertAlign w:val="superscript"/>
              </w:rPr>
              <w:t>2</w:t>
            </w:r>
          </w:p>
        </w:tc>
        <w:tc>
          <w:tcPr>
            <w:tcW w:w="2674" w:type="dxa"/>
          </w:tcPr>
          <w:p w:rsidR="003F2905" w:rsidRPr="004822CE" w:rsidRDefault="003F2905" w:rsidP="009032BB">
            <w:pPr>
              <w:pStyle w:val="BodyPara"/>
              <w:spacing w:before="120"/>
              <w:jc w:val="center"/>
              <w:cnfStyle w:val="000000000000"/>
              <w:rPr>
                <w:rFonts w:ascii="Times New Roman" w:hAnsi="Times New Roman"/>
                <w:sz w:val="22"/>
                <w:szCs w:val="22"/>
              </w:rPr>
            </w:pPr>
            <w:r w:rsidRPr="004822CE">
              <w:rPr>
                <w:rFonts w:ascii="Times New Roman" w:hAnsi="Times New Roman"/>
                <w:sz w:val="22"/>
                <w:szCs w:val="22"/>
              </w:rPr>
              <w:t>97.7 km</w:t>
            </w:r>
            <w:r w:rsidRPr="004822CE">
              <w:rPr>
                <w:rFonts w:ascii="Times New Roman" w:hAnsi="Times New Roman"/>
                <w:sz w:val="22"/>
                <w:szCs w:val="22"/>
                <w:vertAlign w:val="superscript"/>
              </w:rPr>
              <w:t>2</w:t>
            </w:r>
          </w:p>
        </w:tc>
      </w:tr>
      <w:tr w:rsidR="003F2905" w:rsidRPr="004822CE" w:rsidTr="009032BB">
        <w:trPr>
          <w:cnfStyle w:val="010000000000"/>
        </w:trPr>
        <w:tc>
          <w:tcPr>
            <w:cnfStyle w:val="001000000001"/>
            <w:tcW w:w="2861" w:type="dxa"/>
            <w:tcBorders>
              <w:top w:val="none" w:sz="0" w:space="0" w:color="auto"/>
              <w:right w:val="none" w:sz="0" w:space="0" w:color="auto"/>
            </w:tcBorders>
          </w:tcPr>
          <w:p w:rsidR="003F2905" w:rsidRPr="004822CE" w:rsidRDefault="003F2905" w:rsidP="009032BB">
            <w:pPr>
              <w:pStyle w:val="BodyPara"/>
              <w:spacing w:before="120"/>
              <w:jc w:val="center"/>
              <w:rPr>
                <w:rFonts w:ascii="Times New Roman" w:hAnsi="Times New Roman"/>
                <w:b w:val="0"/>
                <w:sz w:val="22"/>
                <w:szCs w:val="22"/>
              </w:rPr>
            </w:pPr>
            <w:r w:rsidRPr="004822CE">
              <w:rPr>
                <w:rFonts w:ascii="Times New Roman" w:hAnsi="Times New Roman"/>
                <w:b w:val="0"/>
                <w:sz w:val="22"/>
                <w:szCs w:val="22"/>
              </w:rPr>
              <w:t>(24.9 %)</w:t>
            </w:r>
          </w:p>
        </w:tc>
        <w:tc>
          <w:tcPr>
            <w:tcW w:w="2970" w:type="dxa"/>
            <w:tcBorders>
              <w:top w:val="none" w:sz="0" w:space="0" w:color="auto"/>
            </w:tcBorders>
          </w:tcPr>
          <w:p w:rsidR="003F2905" w:rsidRPr="004822CE" w:rsidRDefault="003F2905" w:rsidP="009032BB">
            <w:pPr>
              <w:pStyle w:val="BodyPara"/>
              <w:spacing w:before="120"/>
              <w:jc w:val="center"/>
              <w:cnfStyle w:val="010000000000"/>
              <w:rPr>
                <w:rFonts w:ascii="Times New Roman" w:hAnsi="Times New Roman"/>
                <w:sz w:val="22"/>
                <w:szCs w:val="22"/>
              </w:rPr>
            </w:pPr>
            <w:r w:rsidRPr="004822CE">
              <w:rPr>
                <w:rFonts w:ascii="Times New Roman" w:hAnsi="Times New Roman"/>
                <w:sz w:val="22"/>
                <w:szCs w:val="22"/>
              </w:rPr>
              <w:t>(70.5 %)</w:t>
            </w:r>
          </w:p>
        </w:tc>
        <w:tc>
          <w:tcPr>
            <w:tcW w:w="2674" w:type="dxa"/>
            <w:tcBorders>
              <w:top w:val="none" w:sz="0" w:space="0" w:color="auto"/>
            </w:tcBorders>
          </w:tcPr>
          <w:p w:rsidR="003F2905" w:rsidRPr="004822CE" w:rsidRDefault="003F2905" w:rsidP="009032BB">
            <w:pPr>
              <w:pStyle w:val="BodyPara"/>
              <w:spacing w:before="120"/>
              <w:jc w:val="center"/>
              <w:cnfStyle w:val="010000000000"/>
              <w:rPr>
                <w:rFonts w:ascii="Times New Roman" w:hAnsi="Times New Roman"/>
                <w:sz w:val="22"/>
                <w:szCs w:val="22"/>
              </w:rPr>
            </w:pPr>
            <w:r w:rsidRPr="004822CE">
              <w:rPr>
                <w:rFonts w:ascii="Times New Roman" w:hAnsi="Times New Roman"/>
                <w:sz w:val="22"/>
                <w:szCs w:val="22"/>
              </w:rPr>
              <w:t>(4.7 %)</w:t>
            </w:r>
          </w:p>
        </w:tc>
      </w:tr>
    </w:tbl>
    <w:p w:rsidR="003F2905" w:rsidRPr="004822CE" w:rsidRDefault="003F2905" w:rsidP="003F2905">
      <w:pPr>
        <w:tabs>
          <w:tab w:val="left" w:pos="1985"/>
        </w:tabs>
        <w:ind w:right="-96"/>
        <w:jc w:val="both"/>
        <w:rPr>
          <w:b/>
          <w:bCs/>
        </w:rPr>
      </w:pPr>
    </w:p>
    <w:p w:rsidR="002350BA" w:rsidRDefault="002350BA" w:rsidP="003F2905">
      <w:pPr>
        <w:pStyle w:val="Caption"/>
        <w:rPr>
          <w:u w:val="single"/>
        </w:rPr>
      </w:pPr>
    </w:p>
    <w:p w:rsidR="00385436" w:rsidRDefault="00385436">
      <w:pPr>
        <w:rPr>
          <w:b/>
          <w:bCs/>
          <w:u w:val="single"/>
        </w:rPr>
      </w:pPr>
      <w:r>
        <w:rPr>
          <w:u w:val="single"/>
        </w:rPr>
        <w:br w:type="page"/>
      </w:r>
    </w:p>
    <w:p w:rsidR="002350BA" w:rsidRDefault="00385436">
      <w:pPr>
        <w:rPr>
          <w:b/>
          <w:bCs/>
          <w:u w:val="single"/>
        </w:rPr>
      </w:pPr>
      <w:r>
        <w:rPr>
          <w:noProof/>
          <w:lang w:eastAsia="en-AU"/>
        </w:rPr>
        <w:lastRenderedPageBreak/>
        <w:drawing>
          <wp:inline distT="0" distB="0" distL="0" distR="0">
            <wp:extent cx="5534025" cy="3143250"/>
            <wp:effectExtent l="0" t="0" r="0" b="0"/>
            <wp:docPr id="3" name="Picture 3" descr="Figure 8 is a map showing the extent of APLC locust control operations conducted in Central West region of New South Wales in Octo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ol-bulletin1109"/>
                    <pic:cNvPicPr>
                      <a:picLocks noChangeAspect="1" noChangeArrowheads="1"/>
                    </pic:cNvPicPr>
                  </pic:nvPicPr>
                  <pic:blipFill>
                    <a:blip r:embed="rId21" cstate="print"/>
                    <a:srcRect l="9526" t="9995" r="10326" b="58403"/>
                    <a:stretch>
                      <a:fillRect/>
                    </a:stretch>
                  </pic:blipFill>
                  <pic:spPr bwMode="auto">
                    <a:xfrm>
                      <a:off x="0" y="0"/>
                      <a:ext cx="5534025" cy="3143250"/>
                    </a:xfrm>
                    <a:prstGeom prst="rect">
                      <a:avLst/>
                    </a:prstGeom>
                    <a:noFill/>
                    <a:ln w="9525">
                      <a:noFill/>
                      <a:miter lim="800000"/>
                      <a:headEnd/>
                      <a:tailEnd/>
                    </a:ln>
                  </pic:spPr>
                </pic:pic>
              </a:graphicData>
            </a:graphic>
          </wp:inline>
        </w:drawing>
      </w:r>
    </w:p>
    <w:p w:rsidR="00385436" w:rsidRDefault="00385436" w:rsidP="00385436">
      <w:pPr>
        <w:pStyle w:val="Caption"/>
        <w:rPr>
          <w:color w:val="0000FF"/>
          <w:szCs w:val="24"/>
        </w:rPr>
      </w:pPr>
    </w:p>
    <w:p w:rsidR="00385436" w:rsidRDefault="00385436" w:rsidP="00385436">
      <w:pPr>
        <w:pStyle w:val="Caption"/>
        <w:rPr>
          <w:color w:val="0000FF"/>
          <w:szCs w:val="24"/>
        </w:rPr>
      </w:pPr>
    </w:p>
    <w:p w:rsidR="00385436" w:rsidRDefault="00385436" w:rsidP="00385436">
      <w:pPr>
        <w:pStyle w:val="Caption"/>
        <w:rPr>
          <w:u w:val="single"/>
        </w:rPr>
      </w:pPr>
      <w:r>
        <w:rPr>
          <w:color w:val="0000FF"/>
          <w:szCs w:val="24"/>
        </w:rPr>
        <w:tab/>
      </w:r>
      <w:r w:rsidRPr="00D45DC4">
        <w:rPr>
          <w:color w:val="0000FF"/>
          <w:szCs w:val="24"/>
        </w:rPr>
        <w:t xml:space="preserve">Figure </w:t>
      </w:r>
      <w:proofErr w:type="gramStart"/>
      <w:r>
        <w:rPr>
          <w:color w:val="0000FF"/>
          <w:szCs w:val="24"/>
        </w:rPr>
        <w:t>8</w:t>
      </w:r>
      <w:r w:rsidRPr="00D45DC4">
        <w:rPr>
          <w:color w:val="0000FF"/>
          <w:szCs w:val="24"/>
        </w:rPr>
        <w:t xml:space="preserve"> :</w:t>
      </w:r>
      <w:proofErr w:type="gramEnd"/>
      <w:r w:rsidRPr="00D45DC4">
        <w:rPr>
          <w:color w:val="0000FF"/>
          <w:szCs w:val="24"/>
        </w:rPr>
        <w:t xml:space="preserve"> Map of APLC </w:t>
      </w:r>
      <w:r>
        <w:rPr>
          <w:color w:val="0000FF"/>
          <w:szCs w:val="24"/>
        </w:rPr>
        <w:t>locust control operations: October 2009</w:t>
      </w:r>
    </w:p>
    <w:p w:rsidR="002350BA" w:rsidRDefault="002350BA">
      <w:pPr>
        <w:rPr>
          <w:u w:val="single"/>
        </w:rPr>
      </w:pPr>
    </w:p>
    <w:p w:rsidR="002350BA" w:rsidRDefault="002350BA">
      <w:pPr>
        <w:rPr>
          <w:u w:val="single"/>
        </w:rPr>
      </w:pPr>
    </w:p>
    <w:p w:rsidR="002350BA" w:rsidRDefault="002350BA">
      <w:pPr>
        <w:rPr>
          <w:u w:val="single"/>
        </w:rPr>
      </w:pPr>
    </w:p>
    <w:p w:rsidR="002E69AE" w:rsidRDefault="00385436">
      <w:pPr>
        <w:rPr>
          <w:u w:val="single"/>
        </w:rPr>
      </w:pPr>
      <w:r>
        <w:rPr>
          <w:noProof/>
          <w:lang w:eastAsia="en-AU"/>
        </w:rPr>
        <w:drawing>
          <wp:inline distT="0" distB="0" distL="0" distR="0">
            <wp:extent cx="5580380" cy="4200861"/>
            <wp:effectExtent l="0" t="0" r="0" b="0"/>
            <wp:docPr id="2" name="Picture 1" descr="Figure 9 is a map showing the extent of APLC locust control operations conducted in the north-west of New South Wales and south-west of Queensland in March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bcontrol-mar2010"/>
                    <pic:cNvPicPr>
                      <a:picLocks noChangeAspect="1" noChangeArrowheads="1"/>
                    </pic:cNvPicPr>
                  </pic:nvPicPr>
                  <pic:blipFill>
                    <a:blip r:embed="rId22" cstate="print"/>
                    <a:srcRect t="47691"/>
                    <a:stretch>
                      <a:fillRect/>
                    </a:stretch>
                  </pic:blipFill>
                  <pic:spPr bwMode="auto">
                    <a:xfrm>
                      <a:off x="0" y="0"/>
                      <a:ext cx="5580380" cy="4200861"/>
                    </a:xfrm>
                    <a:prstGeom prst="rect">
                      <a:avLst/>
                    </a:prstGeom>
                    <a:noFill/>
                    <a:ln w="9525">
                      <a:noFill/>
                      <a:miter lim="800000"/>
                      <a:headEnd/>
                      <a:tailEnd/>
                    </a:ln>
                  </pic:spPr>
                </pic:pic>
              </a:graphicData>
            </a:graphic>
          </wp:inline>
        </w:drawing>
      </w:r>
    </w:p>
    <w:p w:rsidR="00B06FC3" w:rsidRDefault="00B06FC3">
      <w:pPr>
        <w:rPr>
          <w:u w:val="single"/>
        </w:rPr>
      </w:pPr>
    </w:p>
    <w:p w:rsidR="002350BA" w:rsidRDefault="00385436" w:rsidP="002350BA">
      <w:pPr>
        <w:pStyle w:val="Caption"/>
        <w:rPr>
          <w:u w:val="single"/>
        </w:rPr>
      </w:pPr>
      <w:r>
        <w:rPr>
          <w:color w:val="0000FF"/>
          <w:szCs w:val="24"/>
        </w:rPr>
        <w:tab/>
      </w:r>
      <w:r w:rsidR="002350BA" w:rsidRPr="00D45DC4">
        <w:rPr>
          <w:color w:val="0000FF"/>
          <w:szCs w:val="24"/>
        </w:rPr>
        <w:t xml:space="preserve">Figure </w:t>
      </w:r>
      <w:r w:rsidR="003D1BA1">
        <w:rPr>
          <w:color w:val="0000FF"/>
          <w:szCs w:val="24"/>
        </w:rPr>
        <w:t>9</w:t>
      </w:r>
      <w:r w:rsidR="002350BA" w:rsidRPr="00D45DC4">
        <w:rPr>
          <w:color w:val="0000FF"/>
          <w:szCs w:val="24"/>
        </w:rPr>
        <w:t xml:space="preserve">: Map of APLC </w:t>
      </w:r>
      <w:r w:rsidR="002350BA">
        <w:rPr>
          <w:color w:val="0000FF"/>
          <w:szCs w:val="24"/>
        </w:rPr>
        <w:t>locust control operations: March 2010</w:t>
      </w:r>
    </w:p>
    <w:p w:rsidR="002350BA" w:rsidRDefault="002350BA">
      <w:pPr>
        <w:rPr>
          <w:b/>
          <w:bCs/>
          <w:u w:val="single"/>
        </w:rPr>
      </w:pPr>
      <w:r>
        <w:rPr>
          <w:u w:val="single"/>
        </w:rPr>
        <w:br w:type="page"/>
      </w:r>
    </w:p>
    <w:p w:rsidR="003F2905" w:rsidRPr="004822CE" w:rsidRDefault="003F2905" w:rsidP="00A01B34">
      <w:pPr>
        <w:pStyle w:val="Heading2"/>
        <w:rPr>
          <w:u w:val="single"/>
        </w:rPr>
      </w:pPr>
      <w:r w:rsidRPr="00A01B34">
        <w:rPr>
          <w:bCs/>
          <w:color w:val="0000FF"/>
          <w:sz w:val="28"/>
          <w:u w:val="single"/>
        </w:rPr>
        <w:lastRenderedPageBreak/>
        <w:t>Locust control agent stocks</w:t>
      </w:r>
      <w:r w:rsidRPr="004822CE">
        <w:rPr>
          <w:u w:val="single"/>
        </w:rPr>
        <w:t xml:space="preserve"> </w:t>
      </w:r>
    </w:p>
    <w:p w:rsidR="003F2905" w:rsidRDefault="003F2905" w:rsidP="003F2905"/>
    <w:p w:rsidR="002350BA" w:rsidRDefault="002350BA" w:rsidP="003F2905">
      <w:r>
        <w:t xml:space="preserve">As a consequence of the two </w:t>
      </w:r>
      <w:proofErr w:type="gramStart"/>
      <w:r>
        <w:t>locust</w:t>
      </w:r>
      <w:proofErr w:type="gramEnd"/>
      <w:r>
        <w:t xml:space="preserve"> control campaigns undertaken in 2009-10 (in particular, the large campaign of March 2010), control agent stocks were </w:t>
      </w:r>
      <w:r w:rsidR="00E46868">
        <w:t xml:space="preserve">depleted </w:t>
      </w:r>
      <w:r>
        <w:t xml:space="preserve">during the year. While some stocks were purchased in 2009-10 to replenish the Commission’s holdings, </w:t>
      </w:r>
      <w:r w:rsidR="00D20D03">
        <w:t>restocking will be required in early 2010-11 to ensure that sufficient stocks of all locust control agents are on hand to meet anticipated demand in 2010-11.</w:t>
      </w:r>
    </w:p>
    <w:p w:rsidR="00A01B34" w:rsidRDefault="00A01B34" w:rsidP="003F2905"/>
    <w:p w:rsidR="002350BA" w:rsidRPr="004822CE" w:rsidRDefault="002350BA" w:rsidP="003F2905"/>
    <w:p w:rsidR="003F2905" w:rsidRPr="004822CE" w:rsidRDefault="00A01B34" w:rsidP="003F2905">
      <w:pPr>
        <w:ind w:left="540" w:right="-765"/>
        <w:jc w:val="both"/>
        <w:rPr>
          <w:rFonts w:ascii="Arial" w:hAnsi="Arial" w:cs="Arial"/>
          <w:bCs/>
          <w:sz w:val="18"/>
          <w:szCs w:val="18"/>
          <w:vertAlign w:val="superscript"/>
        </w:rPr>
      </w:pPr>
      <w:r>
        <w:rPr>
          <w:b/>
          <w:bCs/>
        </w:rPr>
        <w:t>Table 3</w:t>
      </w:r>
      <w:r w:rsidRPr="00A01B34">
        <w:rPr>
          <w:b/>
          <w:bCs/>
        </w:rPr>
        <w:t xml:space="preserve">:  </w:t>
      </w:r>
      <w:r>
        <w:rPr>
          <w:b/>
          <w:bCs/>
        </w:rPr>
        <w:t>Locust control agent stock position for 2009-10</w:t>
      </w:r>
      <w:r w:rsidR="003F2905" w:rsidRPr="004822CE">
        <w:rPr>
          <w:rFonts w:ascii="Arial" w:hAnsi="Arial" w:cs="Arial"/>
          <w:bCs/>
          <w:sz w:val="18"/>
          <w:szCs w:val="18"/>
          <w:vertAlign w:val="superscript"/>
        </w:rPr>
        <w:tab/>
      </w:r>
      <w:r w:rsidR="003F2905" w:rsidRPr="004822CE">
        <w:rPr>
          <w:rFonts w:ascii="Arial" w:hAnsi="Arial" w:cs="Arial"/>
          <w:bCs/>
          <w:sz w:val="18"/>
          <w:szCs w:val="18"/>
          <w:vertAlign w:val="superscript"/>
        </w:rPr>
        <w:tab/>
      </w:r>
      <w:r w:rsidR="003F2905" w:rsidRPr="004822CE">
        <w:rPr>
          <w:rFonts w:ascii="Arial" w:hAnsi="Arial" w:cs="Arial"/>
          <w:bCs/>
          <w:sz w:val="18"/>
          <w:szCs w:val="18"/>
          <w:vertAlign w:val="superscript"/>
        </w:rPr>
        <w:tab/>
      </w:r>
      <w:r w:rsidR="003F2905" w:rsidRPr="004822CE">
        <w:rPr>
          <w:rFonts w:ascii="Arial" w:hAnsi="Arial" w:cs="Arial"/>
          <w:bCs/>
          <w:sz w:val="18"/>
          <w:szCs w:val="18"/>
          <w:vertAlign w:val="superscript"/>
        </w:rPr>
        <w:tab/>
      </w:r>
      <w:r w:rsidR="003F2905" w:rsidRPr="004822CE">
        <w:rPr>
          <w:rFonts w:ascii="Arial" w:hAnsi="Arial" w:cs="Arial"/>
          <w:bCs/>
          <w:sz w:val="18"/>
          <w:szCs w:val="18"/>
          <w:vertAlign w:val="superscript"/>
        </w:rPr>
        <w:tab/>
      </w:r>
      <w:r w:rsidR="003F2905" w:rsidRPr="004822CE">
        <w:rPr>
          <w:rFonts w:ascii="Arial" w:hAnsi="Arial" w:cs="Arial"/>
          <w:bCs/>
          <w:sz w:val="18"/>
          <w:szCs w:val="18"/>
          <w:vertAlign w:val="superscript"/>
        </w:rPr>
        <w:tab/>
      </w:r>
    </w:p>
    <w:tbl>
      <w:tblPr>
        <w:tblW w:w="9189" w:type="dxa"/>
        <w:jc w:val="center"/>
        <w:tblBorders>
          <w:top w:val="single" w:sz="12" w:space="0" w:color="000000"/>
          <w:insideV w:val="single" w:sz="4" w:space="0" w:color="auto"/>
        </w:tblBorders>
        <w:tblLook w:val="00E0"/>
      </w:tblPr>
      <w:tblGrid>
        <w:gridCol w:w="3358"/>
        <w:gridCol w:w="1501"/>
        <w:gridCol w:w="1341"/>
        <w:gridCol w:w="1713"/>
        <w:gridCol w:w="1276"/>
      </w:tblGrid>
      <w:tr w:rsidR="003F2905" w:rsidRPr="004822CE" w:rsidTr="009032BB">
        <w:trPr>
          <w:jc w:val="center"/>
        </w:trPr>
        <w:tc>
          <w:tcPr>
            <w:tcW w:w="3358" w:type="dxa"/>
            <w:tcBorders>
              <w:top w:val="single" w:sz="12" w:space="0" w:color="000000"/>
              <w:bottom w:val="single" w:sz="4" w:space="0" w:color="auto"/>
              <w:right w:val="single" w:sz="6" w:space="0" w:color="000000"/>
            </w:tcBorders>
            <w:shd w:val="clear" w:color="auto" w:fill="auto"/>
            <w:tcMar>
              <w:top w:w="57" w:type="dxa"/>
              <w:bottom w:w="57" w:type="dxa"/>
            </w:tcMar>
          </w:tcPr>
          <w:p w:rsidR="003F2905" w:rsidRPr="004822CE" w:rsidRDefault="003F2905" w:rsidP="009032BB">
            <w:pPr>
              <w:jc w:val="both"/>
              <w:rPr>
                <w:rFonts w:ascii="Arial" w:hAnsi="Arial" w:cs="Arial"/>
                <w:bCs/>
                <w:i/>
                <w:iCs/>
                <w:sz w:val="18"/>
                <w:szCs w:val="18"/>
              </w:rPr>
            </w:pPr>
          </w:p>
        </w:tc>
        <w:tc>
          <w:tcPr>
            <w:tcW w:w="1501" w:type="dxa"/>
            <w:tcBorders>
              <w:top w:val="single" w:sz="12" w:space="0" w:color="000000"/>
              <w:bottom w:val="single" w:sz="4" w:space="0" w:color="auto"/>
            </w:tcBorders>
            <w:shd w:val="clear" w:color="auto" w:fill="auto"/>
            <w:tcMar>
              <w:top w:w="57" w:type="dxa"/>
              <w:bottom w:w="57" w:type="dxa"/>
            </w:tcMar>
          </w:tcPr>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Fenitrothion</w:t>
            </w:r>
          </w:p>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w:t>
            </w:r>
            <w:proofErr w:type="spellStart"/>
            <w:r w:rsidRPr="004822CE">
              <w:rPr>
                <w:rFonts w:ascii="Arial" w:hAnsi="Arial" w:cs="Arial"/>
                <w:b/>
                <w:bCs/>
                <w:i/>
                <w:iCs/>
                <w:sz w:val="18"/>
                <w:szCs w:val="18"/>
              </w:rPr>
              <w:t>Sumithion</w:t>
            </w:r>
            <w:proofErr w:type="spellEnd"/>
            <w:r w:rsidRPr="004822CE">
              <w:rPr>
                <w:rFonts w:ascii="Arial" w:hAnsi="Arial" w:cs="Arial"/>
                <w:b/>
                <w:bCs/>
                <w:i/>
                <w:iCs/>
                <w:sz w:val="18"/>
                <w:szCs w:val="18"/>
              </w:rPr>
              <w:t>® ]</w:t>
            </w:r>
          </w:p>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(tonnes)</w:t>
            </w:r>
          </w:p>
        </w:tc>
        <w:tc>
          <w:tcPr>
            <w:tcW w:w="0" w:type="auto"/>
            <w:tcBorders>
              <w:top w:val="single" w:sz="12" w:space="0" w:color="000000"/>
              <w:bottom w:val="single" w:sz="4" w:space="0" w:color="auto"/>
            </w:tcBorders>
            <w:shd w:val="clear" w:color="auto" w:fill="auto"/>
            <w:tcMar>
              <w:top w:w="57" w:type="dxa"/>
              <w:bottom w:w="57" w:type="dxa"/>
            </w:tcMar>
          </w:tcPr>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Fipronil</w:t>
            </w:r>
          </w:p>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[Adonis 3®]</w:t>
            </w:r>
          </w:p>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(litres)</w:t>
            </w:r>
          </w:p>
        </w:tc>
        <w:tc>
          <w:tcPr>
            <w:tcW w:w="0" w:type="auto"/>
            <w:tcBorders>
              <w:top w:val="single" w:sz="12" w:space="0" w:color="000000"/>
              <w:bottom w:val="single" w:sz="4" w:space="0" w:color="auto"/>
            </w:tcBorders>
            <w:shd w:val="clear" w:color="auto" w:fill="auto"/>
          </w:tcPr>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Metarhizium</w:t>
            </w:r>
          </w:p>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[Green Guard®]</w:t>
            </w:r>
          </w:p>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(containers)</w:t>
            </w:r>
          </w:p>
        </w:tc>
        <w:tc>
          <w:tcPr>
            <w:tcW w:w="0" w:type="auto"/>
            <w:tcBorders>
              <w:top w:val="single" w:sz="12" w:space="0" w:color="000000"/>
              <w:bottom w:val="single" w:sz="4" w:space="0" w:color="auto"/>
            </w:tcBorders>
            <w:shd w:val="clear" w:color="auto" w:fill="auto"/>
          </w:tcPr>
          <w:p w:rsidR="003F2905" w:rsidRPr="004822CE" w:rsidRDefault="003F2905" w:rsidP="009032BB">
            <w:pPr>
              <w:jc w:val="center"/>
              <w:rPr>
                <w:rFonts w:ascii="Arial" w:hAnsi="Arial" w:cs="Arial"/>
                <w:b/>
                <w:bCs/>
                <w:i/>
                <w:iCs/>
                <w:sz w:val="18"/>
                <w:szCs w:val="18"/>
              </w:rPr>
            </w:pPr>
            <w:proofErr w:type="spellStart"/>
            <w:r w:rsidRPr="004822CE">
              <w:rPr>
                <w:rFonts w:ascii="Arial" w:hAnsi="Arial" w:cs="Arial"/>
                <w:b/>
                <w:bCs/>
                <w:i/>
                <w:iCs/>
                <w:sz w:val="18"/>
                <w:szCs w:val="18"/>
              </w:rPr>
              <w:t>Malathion</w:t>
            </w:r>
            <w:proofErr w:type="spellEnd"/>
          </w:p>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w:t>
            </w:r>
            <w:proofErr w:type="spellStart"/>
            <w:r w:rsidRPr="004822CE">
              <w:rPr>
                <w:rFonts w:ascii="Arial" w:hAnsi="Arial" w:cs="Arial"/>
                <w:b/>
                <w:bCs/>
                <w:i/>
                <w:iCs/>
                <w:sz w:val="18"/>
                <w:szCs w:val="18"/>
              </w:rPr>
              <w:t>Fyfanon</w:t>
            </w:r>
            <w:proofErr w:type="spellEnd"/>
            <w:r w:rsidRPr="004822CE">
              <w:rPr>
                <w:rFonts w:ascii="Arial" w:hAnsi="Arial" w:cs="Arial"/>
                <w:b/>
                <w:bCs/>
                <w:i/>
                <w:iCs/>
                <w:sz w:val="18"/>
                <w:szCs w:val="18"/>
              </w:rPr>
              <w:t>®]</w:t>
            </w:r>
          </w:p>
          <w:p w:rsidR="003F2905" w:rsidRPr="004822CE" w:rsidRDefault="003F2905" w:rsidP="009032BB">
            <w:pPr>
              <w:jc w:val="center"/>
              <w:rPr>
                <w:rFonts w:ascii="Arial" w:hAnsi="Arial" w:cs="Arial"/>
                <w:b/>
                <w:bCs/>
                <w:i/>
                <w:iCs/>
                <w:sz w:val="18"/>
                <w:szCs w:val="18"/>
              </w:rPr>
            </w:pPr>
            <w:r w:rsidRPr="004822CE">
              <w:rPr>
                <w:rFonts w:ascii="Arial" w:hAnsi="Arial" w:cs="Arial"/>
                <w:b/>
                <w:bCs/>
                <w:i/>
                <w:iCs/>
                <w:sz w:val="18"/>
                <w:szCs w:val="18"/>
              </w:rPr>
              <w:t>(litres)</w:t>
            </w:r>
          </w:p>
        </w:tc>
      </w:tr>
      <w:tr w:rsidR="003F2905" w:rsidRPr="004822CE" w:rsidTr="009032BB">
        <w:trPr>
          <w:trHeight w:val="430"/>
          <w:jc w:val="center"/>
        </w:trPr>
        <w:tc>
          <w:tcPr>
            <w:tcW w:w="3358" w:type="dxa"/>
            <w:tcBorders>
              <w:top w:val="single" w:sz="4" w:space="0" w:color="auto"/>
              <w:right w:val="single" w:sz="6" w:space="0" w:color="000000"/>
            </w:tcBorders>
            <w:shd w:val="clear" w:color="auto" w:fill="auto"/>
            <w:vAlign w:val="center"/>
          </w:tcPr>
          <w:p w:rsidR="003F2905" w:rsidRPr="004822CE" w:rsidRDefault="003F2905" w:rsidP="009032BB">
            <w:pPr>
              <w:spacing w:before="120" w:after="120"/>
              <w:rPr>
                <w:rFonts w:ascii="Arial" w:hAnsi="Arial" w:cs="Arial"/>
                <w:bCs/>
                <w:sz w:val="18"/>
                <w:szCs w:val="18"/>
              </w:rPr>
            </w:pPr>
            <w:r w:rsidRPr="004822CE">
              <w:rPr>
                <w:rFonts w:ascii="Arial" w:hAnsi="Arial" w:cs="Arial"/>
                <w:bCs/>
                <w:sz w:val="18"/>
                <w:szCs w:val="18"/>
              </w:rPr>
              <w:t>On Hand 1 July 2009</w:t>
            </w:r>
          </w:p>
        </w:tc>
        <w:tc>
          <w:tcPr>
            <w:tcW w:w="1501" w:type="dxa"/>
            <w:tcBorders>
              <w:top w:val="single" w:sz="4" w:space="0" w:color="auto"/>
            </w:tcBorders>
            <w:shd w:val="clear" w:color="auto" w:fill="auto"/>
            <w:tcMar>
              <w:right w:w="1134" w:type="dxa"/>
            </w:tcMar>
            <w:vAlign w:val="center"/>
          </w:tcPr>
          <w:p w:rsidR="003F2905" w:rsidRPr="004822CE" w:rsidRDefault="003F2905" w:rsidP="009032BB">
            <w:pPr>
              <w:spacing w:before="120" w:after="120"/>
              <w:ind w:right="-1143"/>
              <w:jc w:val="center"/>
              <w:rPr>
                <w:rFonts w:ascii="Arial" w:hAnsi="Arial" w:cs="Arial"/>
                <w:bCs/>
                <w:sz w:val="18"/>
                <w:szCs w:val="18"/>
              </w:rPr>
            </w:pPr>
            <w:r w:rsidRPr="004822CE">
              <w:rPr>
                <w:rFonts w:ascii="Arial" w:hAnsi="Arial" w:cs="Arial"/>
                <w:bCs/>
                <w:sz w:val="18"/>
                <w:szCs w:val="18"/>
              </w:rPr>
              <w:t>42.1</w:t>
            </w:r>
          </w:p>
        </w:tc>
        <w:tc>
          <w:tcPr>
            <w:tcW w:w="0" w:type="auto"/>
            <w:tcBorders>
              <w:top w:val="single" w:sz="4" w:space="0" w:color="auto"/>
            </w:tcBorders>
            <w:shd w:val="clear" w:color="auto" w:fill="auto"/>
            <w:tcMar>
              <w:right w:w="851" w:type="dxa"/>
            </w:tcMar>
            <w:vAlign w:val="center"/>
          </w:tcPr>
          <w:p w:rsidR="003F2905" w:rsidRPr="004822CE" w:rsidRDefault="003F2905" w:rsidP="009032BB">
            <w:pPr>
              <w:tabs>
                <w:tab w:val="left" w:pos="1521"/>
              </w:tabs>
              <w:spacing w:before="120" w:after="120"/>
              <w:ind w:right="-770"/>
              <w:jc w:val="center"/>
              <w:rPr>
                <w:rFonts w:ascii="Arial" w:hAnsi="Arial" w:cs="Arial"/>
                <w:bCs/>
                <w:sz w:val="18"/>
                <w:szCs w:val="18"/>
              </w:rPr>
            </w:pPr>
            <w:r w:rsidRPr="004822CE">
              <w:rPr>
                <w:rFonts w:ascii="Arial" w:hAnsi="Arial" w:cs="Arial"/>
                <w:bCs/>
                <w:sz w:val="18"/>
                <w:szCs w:val="18"/>
              </w:rPr>
              <w:t>14,200</w:t>
            </w:r>
          </w:p>
        </w:tc>
        <w:tc>
          <w:tcPr>
            <w:tcW w:w="0" w:type="auto"/>
            <w:tcBorders>
              <w:top w:val="single" w:sz="4" w:space="0" w:color="auto"/>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93</w:t>
            </w:r>
          </w:p>
        </w:tc>
        <w:tc>
          <w:tcPr>
            <w:tcW w:w="0" w:type="auto"/>
            <w:tcBorders>
              <w:top w:val="single" w:sz="4" w:space="0" w:color="auto"/>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800</w:t>
            </w:r>
          </w:p>
        </w:tc>
      </w:tr>
      <w:tr w:rsidR="003F2905" w:rsidRPr="004822CE" w:rsidTr="009032BB">
        <w:trPr>
          <w:trHeight w:val="423"/>
          <w:jc w:val="center"/>
        </w:trPr>
        <w:tc>
          <w:tcPr>
            <w:tcW w:w="3358" w:type="dxa"/>
            <w:tcBorders>
              <w:bottom w:val="nil"/>
              <w:right w:val="single" w:sz="6" w:space="0" w:color="000000"/>
            </w:tcBorders>
            <w:shd w:val="clear" w:color="auto" w:fill="auto"/>
            <w:vAlign w:val="center"/>
          </w:tcPr>
          <w:p w:rsidR="003F2905" w:rsidRPr="004822CE" w:rsidRDefault="003F2905" w:rsidP="009032BB">
            <w:pPr>
              <w:spacing w:before="120" w:after="120"/>
              <w:rPr>
                <w:rFonts w:ascii="Arial" w:hAnsi="Arial" w:cs="Arial"/>
                <w:bCs/>
                <w:sz w:val="18"/>
                <w:szCs w:val="18"/>
              </w:rPr>
            </w:pPr>
            <w:r w:rsidRPr="004822CE">
              <w:rPr>
                <w:rFonts w:ascii="Arial" w:hAnsi="Arial" w:cs="Arial"/>
                <w:bCs/>
                <w:sz w:val="18"/>
                <w:szCs w:val="18"/>
              </w:rPr>
              <w:t>Purchased 2009-2010</w:t>
            </w:r>
          </w:p>
        </w:tc>
        <w:tc>
          <w:tcPr>
            <w:tcW w:w="1501" w:type="dxa"/>
            <w:tcBorders>
              <w:bottom w:val="nil"/>
            </w:tcBorders>
            <w:shd w:val="clear" w:color="auto" w:fill="auto"/>
            <w:tcMar>
              <w:right w:w="1134" w:type="dxa"/>
            </w:tcMar>
            <w:vAlign w:val="center"/>
          </w:tcPr>
          <w:p w:rsidR="003F2905" w:rsidRPr="004822CE" w:rsidRDefault="003F2905" w:rsidP="009032BB">
            <w:pPr>
              <w:tabs>
                <w:tab w:val="left" w:pos="520"/>
              </w:tabs>
              <w:spacing w:before="120" w:after="120"/>
              <w:ind w:left="20" w:right="-1143"/>
              <w:jc w:val="center"/>
              <w:rPr>
                <w:rFonts w:ascii="Arial" w:hAnsi="Arial" w:cs="Arial"/>
                <w:sz w:val="18"/>
                <w:szCs w:val="18"/>
              </w:rPr>
            </w:pPr>
            <w:r w:rsidRPr="004822CE">
              <w:rPr>
                <w:rFonts w:ascii="Arial" w:hAnsi="Arial" w:cs="Arial"/>
                <w:bCs/>
                <w:sz w:val="18"/>
                <w:szCs w:val="18"/>
              </w:rPr>
              <w:t>20.0</w:t>
            </w:r>
          </w:p>
        </w:tc>
        <w:tc>
          <w:tcPr>
            <w:tcW w:w="0" w:type="auto"/>
            <w:tcBorders>
              <w:bottom w:val="nil"/>
            </w:tcBorders>
            <w:shd w:val="clear" w:color="auto" w:fill="auto"/>
            <w:tcMar>
              <w:right w:w="851" w:type="dxa"/>
            </w:tcMar>
            <w:vAlign w:val="center"/>
          </w:tcPr>
          <w:p w:rsidR="003F2905" w:rsidRPr="004822CE" w:rsidRDefault="003F2905" w:rsidP="009032BB">
            <w:pPr>
              <w:tabs>
                <w:tab w:val="left" w:pos="520"/>
                <w:tab w:val="left" w:pos="1521"/>
              </w:tabs>
              <w:spacing w:before="120" w:after="120"/>
              <w:ind w:left="20" w:right="-770"/>
              <w:jc w:val="center"/>
              <w:rPr>
                <w:rFonts w:ascii="Arial" w:hAnsi="Arial" w:cs="Arial"/>
                <w:bCs/>
                <w:sz w:val="18"/>
                <w:szCs w:val="18"/>
              </w:rPr>
            </w:pPr>
            <w:r w:rsidRPr="004822CE">
              <w:rPr>
                <w:rFonts w:ascii="Arial" w:hAnsi="Arial" w:cs="Arial"/>
                <w:bCs/>
                <w:sz w:val="18"/>
                <w:szCs w:val="18"/>
              </w:rPr>
              <w:t>3,200</w:t>
            </w:r>
          </w:p>
        </w:tc>
        <w:tc>
          <w:tcPr>
            <w:tcW w:w="0" w:type="auto"/>
            <w:tcBorders>
              <w:bottom w:val="nil"/>
            </w:tcBorders>
            <w:shd w:val="clear" w:color="auto" w:fill="auto"/>
            <w:vAlign w:val="center"/>
          </w:tcPr>
          <w:p w:rsidR="003F2905" w:rsidRPr="004822CE" w:rsidRDefault="003F2905" w:rsidP="0014316B">
            <w:pPr>
              <w:spacing w:before="120" w:after="120"/>
              <w:jc w:val="center"/>
              <w:rPr>
                <w:rFonts w:ascii="Arial" w:hAnsi="Arial" w:cs="Arial"/>
                <w:bCs/>
                <w:sz w:val="18"/>
                <w:szCs w:val="18"/>
              </w:rPr>
            </w:pPr>
            <w:r w:rsidRPr="004822CE">
              <w:rPr>
                <w:rFonts w:ascii="Arial" w:hAnsi="Arial" w:cs="Arial"/>
                <w:bCs/>
                <w:sz w:val="18"/>
                <w:szCs w:val="18"/>
              </w:rPr>
              <w:t>31</w:t>
            </w:r>
          </w:p>
        </w:tc>
        <w:tc>
          <w:tcPr>
            <w:tcW w:w="0" w:type="auto"/>
            <w:tcBorders>
              <w:bottom w:val="nil"/>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Nil</w:t>
            </w:r>
          </w:p>
        </w:tc>
      </w:tr>
      <w:tr w:rsidR="003F2905" w:rsidRPr="004822CE" w:rsidTr="009032BB">
        <w:trPr>
          <w:trHeight w:val="396"/>
          <w:jc w:val="center"/>
        </w:trPr>
        <w:tc>
          <w:tcPr>
            <w:tcW w:w="3358" w:type="dxa"/>
            <w:tcBorders>
              <w:top w:val="nil"/>
              <w:bottom w:val="single" w:sz="4" w:space="0" w:color="auto"/>
              <w:right w:val="single" w:sz="6" w:space="0" w:color="000000"/>
            </w:tcBorders>
            <w:shd w:val="clear" w:color="auto" w:fill="auto"/>
            <w:vAlign w:val="center"/>
          </w:tcPr>
          <w:p w:rsidR="003F2905" w:rsidRPr="004822CE" w:rsidRDefault="003F2905" w:rsidP="009032BB">
            <w:pPr>
              <w:spacing w:before="120" w:after="120"/>
              <w:rPr>
                <w:rFonts w:ascii="Arial" w:hAnsi="Arial" w:cs="Arial"/>
                <w:bCs/>
                <w:sz w:val="18"/>
                <w:szCs w:val="18"/>
              </w:rPr>
            </w:pPr>
            <w:r w:rsidRPr="004822CE">
              <w:rPr>
                <w:rFonts w:ascii="Arial" w:hAnsi="Arial" w:cs="Arial"/>
                <w:bCs/>
                <w:sz w:val="18"/>
                <w:szCs w:val="18"/>
              </w:rPr>
              <w:t xml:space="preserve">Used 2009-2010 </w:t>
            </w:r>
          </w:p>
        </w:tc>
        <w:tc>
          <w:tcPr>
            <w:tcW w:w="1501" w:type="dxa"/>
            <w:tcBorders>
              <w:top w:val="nil"/>
              <w:bottom w:val="single" w:sz="4" w:space="0" w:color="auto"/>
            </w:tcBorders>
            <w:shd w:val="clear" w:color="auto" w:fill="auto"/>
            <w:tcMar>
              <w:right w:w="1134" w:type="dxa"/>
            </w:tcMar>
            <w:vAlign w:val="center"/>
          </w:tcPr>
          <w:p w:rsidR="003F2905" w:rsidRPr="004822CE" w:rsidRDefault="003F2905" w:rsidP="009032BB">
            <w:pPr>
              <w:spacing w:before="120" w:after="120"/>
              <w:ind w:right="-1143"/>
              <w:jc w:val="center"/>
              <w:rPr>
                <w:rFonts w:ascii="Arial" w:hAnsi="Arial" w:cs="Arial"/>
                <w:bCs/>
                <w:sz w:val="18"/>
                <w:szCs w:val="18"/>
              </w:rPr>
            </w:pPr>
            <w:r w:rsidRPr="004822CE">
              <w:rPr>
                <w:rFonts w:ascii="Arial" w:hAnsi="Arial" w:cs="Arial"/>
                <w:bCs/>
                <w:sz w:val="18"/>
                <w:szCs w:val="18"/>
              </w:rPr>
              <w:t>-15.0</w:t>
            </w:r>
          </w:p>
        </w:tc>
        <w:tc>
          <w:tcPr>
            <w:tcW w:w="0" w:type="auto"/>
            <w:tcBorders>
              <w:top w:val="nil"/>
              <w:bottom w:val="single" w:sz="4" w:space="0" w:color="auto"/>
            </w:tcBorders>
            <w:shd w:val="clear" w:color="auto" w:fill="auto"/>
            <w:tcMar>
              <w:right w:w="851" w:type="dxa"/>
            </w:tcMar>
            <w:vAlign w:val="center"/>
          </w:tcPr>
          <w:p w:rsidR="003F2905" w:rsidRPr="004822CE" w:rsidRDefault="003F2905" w:rsidP="009032BB">
            <w:pPr>
              <w:spacing w:before="120" w:after="120"/>
              <w:ind w:right="-770"/>
              <w:jc w:val="center"/>
              <w:rPr>
                <w:rFonts w:ascii="Arial" w:hAnsi="Arial" w:cs="Arial"/>
                <w:bCs/>
                <w:sz w:val="18"/>
                <w:szCs w:val="18"/>
              </w:rPr>
            </w:pPr>
            <w:r w:rsidRPr="004822CE">
              <w:rPr>
                <w:rFonts w:ascii="Arial" w:hAnsi="Arial" w:cs="Arial"/>
                <w:bCs/>
                <w:sz w:val="18"/>
                <w:szCs w:val="18"/>
              </w:rPr>
              <w:t>-17,000</w:t>
            </w:r>
          </w:p>
        </w:tc>
        <w:tc>
          <w:tcPr>
            <w:tcW w:w="0" w:type="auto"/>
            <w:tcBorders>
              <w:top w:val="nil"/>
              <w:bottom w:val="single" w:sz="4" w:space="0" w:color="auto"/>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-81</w:t>
            </w:r>
          </w:p>
        </w:tc>
        <w:tc>
          <w:tcPr>
            <w:tcW w:w="0" w:type="auto"/>
            <w:tcBorders>
              <w:top w:val="nil"/>
              <w:bottom w:val="single" w:sz="4" w:space="0" w:color="auto"/>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Nil</w:t>
            </w:r>
          </w:p>
        </w:tc>
      </w:tr>
      <w:tr w:rsidR="003F2905" w:rsidRPr="004822CE" w:rsidTr="009032BB">
        <w:trPr>
          <w:trHeight w:val="355"/>
          <w:jc w:val="center"/>
        </w:trPr>
        <w:tc>
          <w:tcPr>
            <w:tcW w:w="3358" w:type="dxa"/>
            <w:tcBorders>
              <w:top w:val="single" w:sz="4" w:space="0" w:color="auto"/>
              <w:bottom w:val="nil"/>
              <w:right w:val="single" w:sz="6" w:space="0" w:color="000000"/>
            </w:tcBorders>
            <w:shd w:val="clear" w:color="auto" w:fill="auto"/>
            <w:vAlign w:val="center"/>
          </w:tcPr>
          <w:p w:rsidR="003F2905" w:rsidRPr="004822CE" w:rsidRDefault="003F2905" w:rsidP="009032BB">
            <w:pPr>
              <w:spacing w:before="120" w:after="120"/>
              <w:rPr>
                <w:rFonts w:ascii="Arial" w:hAnsi="Arial" w:cs="Arial"/>
                <w:bCs/>
                <w:sz w:val="18"/>
                <w:szCs w:val="18"/>
              </w:rPr>
            </w:pPr>
            <w:r w:rsidRPr="004822CE">
              <w:rPr>
                <w:rFonts w:ascii="Arial" w:hAnsi="Arial" w:cs="Arial"/>
                <w:bCs/>
                <w:sz w:val="18"/>
                <w:szCs w:val="18"/>
              </w:rPr>
              <w:t>Inventory @ 30 June 2010</w:t>
            </w:r>
          </w:p>
        </w:tc>
        <w:tc>
          <w:tcPr>
            <w:tcW w:w="1501" w:type="dxa"/>
            <w:tcBorders>
              <w:top w:val="single" w:sz="4" w:space="0" w:color="auto"/>
              <w:bottom w:val="nil"/>
            </w:tcBorders>
            <w:shd w:val="clear" w:color="auto" w:fill="auto"/>
            <w:tcMar>
              <w:right w:w="1134" w:type="dxa"/>
            </w:tcMar>
            <w:vAlign w:val="center"/>
          </w:tcPr>
          <w:p w:rsidR="003F2905" w:rsidRPr="004822CE" w:rsidRDefault="003F2905" w:rsidP="009032BB">
            <w:pPr>
              <w:spacing w:before="120" w:after="120"/>
              <w:ind w:right="-1143"/>
              <w:jc w:val="center"/>
              <w:rPr>
                <w:rFonts w:ascii="Arial" w:hAnsi="Arial" w:cs="Arial"/>
                <w:bCs/>
                <w:sz w:val="18"/>
                <w:szCs w:val="18"/>
              </w:rPr>
            </w:pPr>
            <w:r w:rsidRPr="004822CE">
              <w:rPr>
                <w:rFonts w:ascii="Arial" w:hAnsi="Arial" w:cs="Arial"/>
                <w:bCs/>
                <w:sz w:val="18"/>
                <w:szCs w:val="18"/>
              </w:rPr>
              <w:t>47.1</w:t>
            </w:r>
          </w:p>
        </w:tc>
        <w:tc>
          <w:tcPr>
            <w:tcW w:w="0" w:type="auto"/>
            <w:tcBorders>
              <w:top w:val="single" w:sz="4" w:space="0" w:color="auto"/>
              <w:bottom w:val="nil"/>
            </w:tcBorders>
            <w:shd w:val="clear" w:color="auto" w:fill="auto"/>
            <w:tcMar>
              <w:right w:w="851" w:type="dxa"/>
            </w:tcMar>
            <w:vAlign w:val="center"/>
          </w:tcPr>
          <w:p w:rsidR="003F2905" w:rsidRPr="004822CE" w:rsidRDefault="003F2905" w:rsidP="009032BB">
            <w:pPr>
              <w:spacing w:before="120" w:after="120"/>
              <w:ind w:right="-770"/>
              <w:jc w:val="center"/>
              <w:rPr>
                <w:rFonts w:ascii="Arial" w:hAnsi="Arial" w:cs="Arial"/>
                <w:bCs/>
                <w:sz w:val="18"/>
                <w:szCs w:val="18"/>
              </w:rPr>
            </w:pPr>
            <w:r w:rsidRPr="004822CE">
              <w:rPr>
                <w:rFonts w:ascii="Arial" w:hAnsi="Arial" w:cs="Arial"/>
                <w:bCs/>
                <w:sz w:val="18"/>
                <w:szCs w:val="18"/>
              </w:rPr>
              <w:t>400</w:t>
            </w:r>
          </w:p>
        </w:tc>
        <w:tc>
          <w:tcPr>
            <w:tcW w:w="0" w:type="auto"/>
            <w:tcBorders>
              <w:top w:val="single" w:sz="4" w:space="0" w:color="auto"/>
              <w:bottom w:val="nil"/>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43</w:t>
            </w:r>
          </w:p>
        </w:tc>
        <w:tc>
          <w:tcPr>
            <w:tcW w:w="0" w:type="auto"/>
            <w:tcBorders>
              <w:top w:val="single" w:sz="4" w:space="0" w:color="auto"/>
              <w:bottom w:val="nil"/>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800</w:t>
            </w:r>
          </w:p>
        </w:tc>
      </w:tr>
      <w:tr w:rsidR="003F2905" w:rsidRPr="004822CE" w:rsidTr="009032BB">
        <w:trPr>
          <w:trHeight w:val="355"/>
          <w:jc w:val="center"/>
        </w:trPr>
        <w:tc>
          <w:tcPr>
            <w:tcW w:w="3358" w:type="dxa"/>
            <w:tcBorders>
              <w:top w:val="nil"/>
              <w:bottom w:val="single" w:sz="12" w:space="0" w:color="auto"/>
              <w:right w:val="single" w:sz="6" w:space="0" w:color="000000"/>
            </w:tcBorders>
            <w:shd w:val="clear" w:color="auto" w:fill="auto"/>
            <w:vAlign w:val="center"/>
          </w:tcPr>
          <w:p w:rsidR="003F2905" w:rsidRPr="004822CE" w:rsidRDefault="003F2905" w:rsidP="009032BB">
            <w:pPr>
              <w:spacing w:before="120" w:after="120"/>
              <w:rPr>
                <w:rFonts w:ascii="Arial" w:hAnsi="Arial" w:cs="Arial"/>
                <w:bCs/>
                <w:sz w:val="18"/>
                <w:szCs w:val="18"/>
              </w:rPr>
            </w:pPr>
            <w:r w:rsidRPr="004822CE">
              <w:rPr>
                <w:rFonts w:ascii="Arial" w:hAnsi="Arial" w:cs="Arial"/>
                <w:bCs/>
                <w:sz w:val="18"/>
                <w:szCs w:val="18"/>
              </w:rPr>
              <w:t>Approx. equivalent area (hectares)</w:t>
            </w:r>
          </w:p>
        </w:tc>
        <w:tc>
          <w:tcPr>
            <w:tcW w:w="1501" w:type="dxa"/>
            <w:tcBorders>
              <w:top w:val="nil"/>
              <w:bottom w:val="single" w:sz="12" w:space="0" w:color="auto"/>
            </w:tcBorders>
            <w:shd w:val="clear" w:color="auto" w:fill="auto"/>
            <w:tcMar>
              <w:right w:w="1134" w:type="dxa"/>
            </w:tcMar>
            <w:vAlign w:val="center"/>
          </w:tcPr>
          <w:p w:rsidR="003F2905" w:rsidRPr="004822CE" w:rsidRDefault="003F2905" w:rsidP="009032BB">
            <w:pPr>
              <w:spacing w:before="120" w:after="120"/>
              <w:ind w:right="-1143"/>
              <w:jc w:val="center"/>
              <w:rPr>
                <w:rFonts w:ascii="Arial" w:hAnsi="Arial" w:cs="Arial"/>
                <w:bCs/>
                <w:sz w:val="18"/>
                <w:szCs w:val="18"/>
              </w:rPr>
            </w:pPr>
            <w:r w:rsidRPr="004822CE">
              <w:rPr>
                <w:rFonts w:ascii="Arial" w:hAnsi="Arial" w:cs="Arial"/>
                <w:bCs/>
                <w:sz w:val="18"/>
                <w:szCs w:val="18"/>
              </w:rPr>
              <w:t>168,214</w:t>
            </w:r>
          </w:p>
        </w:tc>
        <w:tc>
          <w:tcPr>
            <w:tcW w:w="0" w:type="auto"/>
            <w:tcBorders>
              <w:top w:val="nil"/>
              <w:bottom w:val="single" w:sz="12" w:space="0" w:color="auto"/>
            </w:tcBorders>
            <w:shd w:val="clear" w:color="auto" w:fill="auto"/>
            <w:tcMar>
              <w:right w:w="851" w:type="dxa"/>
            </w:tcMar>
            <w:vAlign w:val="center"/>
          </w:tcPr>
          <w:p w:rsidR="003F2905" w:rsidRPr="004822CE" w:rsidRDefault="003F2905" w:rsidP="009032BB">
            <w:pPr>
              <w:spacing w:before="120" w:after="120"/>
              <w:ind w:right="-768"/>
              <w:jc w:val="center"/>
              <w:rPr>
                <w:rFonts w:ascii="Arial" w:hAnsi="Arial" w:cs="Arial"/>
                <w:bCs/>
                <w:sz w:val="18"/>
                <w:szCs w:val="18"/>
              </w:rPr>
            </w:pPr>
            <w:r w:rsidRPr="004822CE">
              <w:rPr>
                <w:rFonts w:ascii="Arial" w:hAnsi="Arial" w:cs="Arial"/>
                <w:bCs/>
                <w:sz w:val="18"/>
                <w:szCs w:val="18"/>
              </w:rPr>
              <w:t>3,636</w:t>
            </w:r>
          </w:p>
        </w:tc>
        <w:tc>
          <w:tcPr>
            <w:tcW w:w="0" w:type="auto"/>
            <w:tcBorders>
              <w:top w:val="nil"/>
              <w:bottom w:val="single" w:sz="12" w:space="0" w:color="auto"/>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5,058</w:t>
            </w:r>
          </w:p>
        </w:tc>
        <w:tc>
          <w:tcPr>
            <w:tcW w:w="0" w:type="auto"/>
            <w:tcBorders>
              <w:top w:val="nil"/>
              <w:bottom w:val="single" w:sz="12" w:space="0" w:color="auto"/>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1,143</w:t>
            </w:r>
          </w:p>
        </w:tc>
      </w:tr>
      <w:tr w:rsidR="003F2905" w:rsidRPr="004822CE" w:rsidTr="009032BB">
        <w:trPr>
          <w:trHeight w:val="355"/>
          <w:jc w:val="center"/>
        </w:trPr>
        <w:tc>
          <w:tcPr>
            <w:tcW w:w="3358" w:type="dxa"/>
            <w:tcBorders>
              <w:top w:val="nil"/>
              <w:bottom w:val="single" w:sz="12" w:space="0" w:color="auto"/>
              <w:right w:val="single" w:sz="6" w:space="0" w:color="000000"/>
            </w:tcBorders>
            <w:shd w:val="clear" w:color="auto" w:fill="auto"/>
            <w:vAlign w:val="center"/>
          </w:tcPr>
          <w:p w:rsidR="003F2905" w:rsidRPr="004822CE" w:rsidRDefault="003F2905" w:rsidP="009032BB">
            <w:pPr>
              <w:spacing w:before="120" w:after="120"/>
              <w:rPr>
                <w:rFonts w:ascii="Arial" w:hAnsi="Arial" w:cs="Arial"/>
                <w:bCs/>
                <w:sz w:val="18"/>
                <w:szCs w:val="18"/>
              </w:rPr>
            </w:pPr>
            <w:r w:rsidRPr="004822CE">
              <w:rPr>
                <w:rFonts w:ascii="Arial" w:hAnsi="Arial" w:cs="Arial"/>
                <w:bCs/>
                <w:sz w:val="18"/>
                <w:szCs w:val="18"/>
              </w:rPr>
              <w:t>Inventory Value 30 June 2010</w:t>
            </w:r>
          </w:p>
        </w:tc>
        <w:tc>
          <w:tcPr>
            <w:tcW w:w="1501" w:type="dxa"/>
            <w:tcBorders>
              <w:top w:val="nil"/>
              <w:bottom w:val="single" w:sz="12" w:space="0" w:color="auto"/>
            </w:tcBorders>
            <w:shd w:val="clear" w:color="auto" w:fill="auto"/>
            <w:tcMar>
              <w:right w:w="1134" w:type="dxa"/>
            </w:tcMar>
            <w:vAlign w:val="center"/>
          </w:tcPr>
          <w:p w:rsidR="003F2905" w:rsidRPr="004822CE" w:rsidRDefault="003F2905" w:rsidP="009032BB">
            <w:pPr>
              <w:spacing w:before="120" w:after="120"/>
              <w:ind w:right="-1143"/>
              <w:jc w:val="center"/>
              <w:rPr>
                <w:rFonts w:ascii="Arial" w:hAnsi="Arial" w:cs="Arial"/>
                <w:bCs/>
                <w:sz w:val="18"/>
                <w:szCs w:val="18"/>
              </w:rPr>
            </w:pPr>
            <w:r w:rsidRPr="004822CE">
              <w:rPr>
                <w:rFonts w:ascii="Arial" w:hAnsi="Arial" w:cs="Arial"/>
                <w:bCs/>
                <w:sz w:val="18"/>
                <w:szCs w:val="18"/>
              </w:rPr>
              <w:t>$664,581</w:t>
            </w:r>
          </w:p>
        </w:tc>
        <w:tc>
          <w:tcPr>
            <w:tcW w:w="0" w:type="auto"/>
            <w:tcBorders>
              <w:top w:val="nil"/>
              <w:bottom w:val="single" w:sz="12" w:space="0" w:color="auto"/>
            </w:tcBorders>
            <w:shd w:val="clear" w:color="auto" w:fill="auto"/>
            <w:tcMar>
              <w:right w:w="851" w:type="dxa"/>
            </w:tcMar>
            <w:vAlign w:val="center"/>
          </w:tcPr>
          <w:p w:rsidR="003F2905" w:rsidRPr="004822CE" w:rsidRDefault="003F2905" w:rsidP="009032BB">
            <w:pPr>
              <w:spacing w:before="120" w:after="120"/>
              <w:ind w:right="-768"/>
              <w:jc w:val="center"/>
              <w:rPr>
                <w:rFonts w:ascii="Arial" w:hAnsi="Arial" w:cs="Arial"/>
                <w:bCs/>
                <w:sz w:val="18"/>
                <w:szCs w:val="18"/>
              </w:rPr>
            </w:pPr>
            <w:r w:rsidRPr="004822CE">
              <w:rPr>
                <w:rFonts w:ascii="Arial" w:hAnsi="Arial" w:cs="Arial"/>
                <w:bCs/>
                <w:sz w:val="18"/>
                <w:szCs w:val="18"/>
              </w:rPr>
              <w:t>$6,716</w:t>
            </w:r>
          </w:p>
        </w:tc>
        <w:tc>
          <w:tcPr>
            <w:tcW w:w="0" w:type="auto"/>
            <w:tcBorders>
              <w:top w:val="nil"/>
              <w:bottom w:val="single" w:sz="12" w:space="0" w:color="auto"/>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$90,574.34</w:t>
            </w:r>
          </w:p>
        </w:tc>
        <w:tc>
          <w:tcPr>
            <w:tcW w:w="0" w:type="auto"/>
            <w:tcBorders>
              <w:top w:val="nil"/>
              <w:bottom w:val="single" w:sz="12" w:space="0" w:color="auto"/>
            </w:tcBorders>
            <w:shd w:val="clear" w:color="auto" w:fill="auto"/>
            <w:vAlign w:val="center"/>
          </w:tcPr>
          <w:p w:rsidR="003F2905" w:rsidRPr="004822CE" w:rsidRDefault="003F2905" w:rsidP="009032BB">
            <w:pPr>
              <w:spacing w:before="120" w:after="120"/>
              <w:jc w:val="center"/>
              <w:rPr>
                <w:rFonts w:ascii="Arial" w:hAnsi="Arial" w:cs="Arial"/>
                <w:bCs/>
                <w:sz w:val="18"/>
                <w:szCs w:val="18"/>
              </w:rPr>
            </w:pPr>
            <w:r w:rsidRPr="004822CE">
              <w:rPr>
                <w:rFonts w:ascii="Arial" w:hAnsi="Arial" w:cs="Arial"/>
                <w:bCs/>
                <w:sz w:val="18"/>
                <w:szCs w:val="18"/>
              </w:rPr>
              <w:t>$6,400</w:t>
            </w:r>
          </w:p>
        </w:tc>
      </w:tr>
    </w:tbl>
    <w:p w:rsidR="003F2905" w:rsidRPr="004822CE" w:rsidRDefault="003F2905" w:rsidP="003F2905">
      <w:pPr>
        <w:ind w:left="360" w:right="-765"/>
        <w:jc w:val="both"/>
        <w:rPr>
          <w:rFonts w:ascii="Arial" w:hAnsi="Arial" w:cs="Arial"/>
          <w:bCs/>
          <w:sz w:val="18"/>
          <w:szCs w:val="18"/>
        </w:rPr>
      </w:pPr>
    </w:p>
    <w:p w:rsidR="003F2905" w:rsidRPr="004822CE" w:rsidRDefault="003F2905" w:rsidP="003F2905">
      <w:pPr>
        <w:ind w:left="397"/>
        <w:rPr>
          <w:rFonts w:ascii="Arial" w:hAnsi="Arial" w:cs="Arial"/>
          <w:sz w:val="22"/>
          <w:szCs w:val="22"/>
        </w:rPr>
      </w:pPr>
    </w:p>
    <w:p w:rsidR="003F2905" w:rsidRPr="004822CE" w:rsidRDefault="003F2905" w:rsidP="003F2905">
      <w:pPr>
        <w:jc w:val="both"/>
        <w:rPr>
          <w:szCs w:val="24"/>
        </w:rPr>
      </w:pPr>
      <w:r w:rsidRPr="004822CE">
        <w:rPr>
          <w:szCs w:val="24"/>
        </w:rPr>
        <w:t xml:space="preserve">The total inventory value of the APLC pesticide stocks held at 30 June 2009 is approximately $0.79 million. The above figures </w:t>
      </w:r>
      <w:r w:rsidRPr="004822CE">
        <w:rPr>
          <w:szCs w:val="24"/>
          <w:u w:val="single"/>
        </w:rPr>
        <w:t>do not</w:t>
      </w:r>
      <w:r w:rsidRPr="004822CE">
        <w:rPr>
          <w:szCs w:val="24"/>
        </w:rPr>
        <w:t xml:space="preserve"> include 10 tonnes of fenitrothion held by APLC on behalf of Queensland.</w:t>
      </w:r>
    </w:p>
    <w:p w:rsidR="003F2905" w:rsidRPr="004822CE" w:rsidRDefault="003F2905" w:rsidP="003F2905">
      <w:pPr>
        <w:jc w:val="both"/>
        <w:rPr>
          <w:szCs w:val="24"/>
        </w:rPr>
      </w:pPr>
    </w:p>
    <w:p w:rsidR="003F2905" w:rsidRPr="004822CE" w:rsidRDefault="003F2905" w:rsidP="003F2905">
      <w:pPr>
        <w:jc w:val="both"/>
        <w:rPr>
          <w:szCs w:val="24"/>
        </w:rPr>
      </w:pPr>
      <w:r w:rsidRPr="004822CE">
        <w:rPr>
          <w:szCs w:val="24"/>
        </w:rPr>
        <w:t>Small quantities of pesticide are held at APLC field bases. The remainder (with the exception of the Green Guard stocks) is held in commercial premises in Dubbo, NSW.</w:t>
      </w:r>
    </w:p>
    <w:p w:rsidR="003F2905" w:rsidRPr="004822CE" w:rsidRDefault="003F2905" w:rsidP="003F2905">
      <w:pPr>
        <w:jc w:val="both"/>
        <w:rPr>
          <w:szCs w:val="24"/>
        </w:rPr>
      </w:pPr>
      <w:r w:rsidRPr="004822CE">
        <w:rPr>
          <w:szCs w:val="24"/>
        </w:rPr>
        <w:t xml:space="preserve">Some </w:t>
      </w:r>
      <w:r w:rsidRPr="003F2905">
        <w:rPr>
          <w:szCs w:val="24"/>
        </w:rPr>
        <w:t>7,200</w:t>
      </w:r>
      <w:r w:rsidRPr="004822CE">
        <w:rPr>
          <w:szCs w:val="24"/>
        </w:rPr>
        <w:t xml:space="preserve"> litres of the carrying agent for Green Guard (Summer Spray Oil) held in store are not included in the above figures.</w:t>
      </w:r>
    </w:p>
    <w:p w:rsidR="003F2905" w:rsidRPr="004822CE" w:rsidRDefault="003F2905" w:rsidP="003F2905">
      <w:pPr>
        <w:jc w:val="both"/>
        <w:rPr>
          <w:szCs w:val="24"/>
        </w:rPr>
      </w:pPr>
    </w:p>
    <w:p w:rsidR="003F2905" w:rsidRPr="004822CE" w:rsidRDefault="003F2905" w:rsidP="003F2905">
      <w:pPr>
        <w:jc w:val="both"/>
        <w:rPr>
          <w:szCs w:val="24"/>
        </w:rPr>
      </w:pPr>
      <w:r w:rsidRPr="004822CE">
        <w:rPr>
          <w:szCs w:val="24"/>
        </w:rPr>
        <w:t>Stocks of Green Guard include both formulated product and dry spore material. The quantities of Green Guard stock listed above are expressed in 14 litre container equivalents.</w:t>
      </w:r>
    </w:p>
    <w:p w:rsidR="003F2905" w:rsidRPr="004822CE" w:rsidRDefault="003F2905" w:rsidP="003F2905">
      <w:pPr>
        <w:jc w:val="both"/>
        <w:rPr>
          <w:szCs w:val="24"/>
        </w:rPr>
      </w:pPr>
    </w:p>
    <w:p w:rsidR="003F2905" w:rsidRPr="004822CE" w:rsidRDefault="003F2905" w:rsidP="003F2905">
      <w:pPr>
        <w:jc w:val="both"/>
        <w:rPr>
          <w:b/>
          <w:bCs/>
          <w:szCs w:val="24"/>
        </w:rPr>
      </w:pPr>
      <w:r w:rsidRPr="004822CE">
        <w:rPr>
          <w:szCs w:val="24"/>
        </w:rPr>
        <w:t>Green Guard stocks are held by the supplier, Becker Underwood. The shelf-life of Green Guard stored by the manufacturer [@ 4</w:t>
      </w:r>
      <w:r w:rsidRPr="004822CE">
        <w:rPr>
          <w:szCs w:val="24"/>
          <w:vertAlign w:val="superscript"/>
        </w:rPr>
        <w:t>o</w:t>
      </w:r>
      <w:r w:rsidRPr="004822CE">
        <w:rPr>
          <w:szCs w:val="24"/>
        </w:rPr>
        <w:t>C] is guaranteed for 2 years but is only for approximately 6 months in the field [@ 25</w:t>
      </w:r>
      <w:r w:rsidRPr="004822CE">
        <w:rPr>
          <w:szCs w:val="24"/>
          <w:vertAlign w:val="superscript"/>
        </w:rPr>
        <w:t>o</w:t>
      </w:r>
      <w:r w:rsidRPr="004822CE">
        <w:rPr>
          <w:szCs w:val="24"/>
        </w:rPr>
        <w:t>C]. Stored inventory is turned over and replaced when practicable.</w:t>
      </w:r>
    </w:p>
    <w:p w:rsidR="002C36D2" w:rsidRDefault="002C36D2" w:rsidP="008A7EEC">
      <w:pPr>
        <w:jc w:val="both"/>
        <w:rPr>
          <w:rFonts w:ascii="Times" w:hAnsi="Times"/>
          <w:b/>
          <w:bCs/>
        </w:rPr>
      </w:pPr>
    </w:p>
    <w:p w:rsidR="00EF5214" w:rsidRPr="008A7EEC" w:rsidRDefault="00EF5214" w:rsidP="008A7EEC">
      <w:pPr>
        <w:jc w:val="both"/>
        <w:rPr>
          <w:b/>
          <w:bCs/>
          <w:szCs w:val="24"/>
        </w:rPr>
      </w:pPr>
    </w:p>
    <w:p w:rsidR="004329D5" w:rsidRDefault="004329D5" w:rsidP="00C81ED1">
      <w:pPr>
        <w:ind w:right="-765"/>
        <w:jc w:val="both"/>
        <w:rPr>
          <w:b/>
          <w:bCs/>
        </w:rPr>
      </w:pPr>
    </w:p>
    <w:p w:rsidR="004329D5" w:rsidRPr="00C81ED1" w:rsidRDefault="004329D5" w:rsidP="00C81ED1">
      <w:pPr>
        <w:ind w:right="-765"/>
        <w:jc w:val="both"/>
        <w:rPr>
          <w:b/>
          <w:bCs/>
        </w:rPr>
      </w:pPr>
    </w:p>
    <w:p w:rsidR="002350BA" w:rsidRDefault="002350BA">
      <w:pPr>
        <w:rPr>
          <w:rFonts w:ascii="Times" w:hAnsi="Times"/>
          <w:b/>
          <w:bCs/>
          <w:color w:val="0000FF"/>
          <w:sz w:val="28"/>
          <w:u w:val="single"/>
        </w:rPr>
      </w:pPr>
      <w:bookmarkStart w:id="75" w:name="_Toc209580100"/>
      <w:bookmarkStart w:id="76" w:name="_Toc209580368"/>
      <w:bookmarkStart w:id="77" w:name="_Toc209580510"/>
      <w:bookmarkStart w:id="78" w:name="_Toc209580777"/>
      <w:bookmarkStart w:id="79" w:name="_Toc263163118"/>
      <w:r>
        <w:rPr>
          <w:bCs/>
          <w:color w:val="0000FF"/>
          <w:sz w:val="28"/>
          <w:u w:val="single"/>
        </w:rPr>
        <w:br w:type="page"/>
      </w:r>
    </w:p>
    <w:p w:rsidR="00EF5214" w:rsidRPr="0043520E" w:rsidRDefault="00EF5214" w:rsidP="0043520E">
      <w:pPr>
        <w:pStyle w:val="Heading2"/>
        <w:rPr>
          <w:bCs/>
          <w:color w:val="0000FF"/>
          <w:sz w:val="28"/>
          <w:u w:val="single"/>
        </w:rPr>
      </w:pPr>
      <w:r w:rsidRPr="0043520E">
        <w:rPr>
          <w:bCs/>
          <w:color w:val="0000FF"/>
          <w:sz w:val="28"/>
          <w:u w:val="single"/>
        </w:rPr>
        <w:lastRenderedPageBreak/>
        <w:t>Environmental Management System</w:t>
      </w:r>
      <w:bookmarkEnd w:id="75"/>
      <w:bookmarkEnd w:id="76"/>
      <w:bookmarkEnd w:id="77"/>
      <w:bookmarkEnd w:id="78"/>
      <w:bookmarkEnd w:id="79"/>
      <w:r w:rsidR="00D73AB4">
        <w:rPr>
          <w:bCs/>
          <w:color w:val="0000FF"/>
          <w:sz w:val="28"/>
          <w:u w:val="single"/>
        </w:rPr>
        <w:t xml:space="preserve"> </w:t>
      </w:r>
    </w:p>
    <w:p w:rsidR="00A95341" w:rsidRPr="00A95341" w:rsidRDefault="00A95341" w:rsidP="00A95341"/>
    <w:p w:rsidR="00EF5214" w:rsidRPr="009057DF" w:rsidRDefault="00CE29B6" w:rsidP="009057DF">
      <w:pPr>
        <w:jc w:val="both"/>
        <w:rPr>
          <w:szCs w:val="24"/>
        </w:rPr>
      </w:pPr>
      <w:r w:rsidRPr="009057DF">
        <w:rPr>
          <w:szCs w:val="24"/>
        </w:rPr>
        <w:t xml:space="preserve">A report of the progress </w:t>
      </w:r>
      <w:r w:rsidR="00EF5214" w:rsidRPr="009057DF">
        <w:rPr>
          <w:szCs w:val="24"/>
        </w:rPr>
        <w:t>made by the APLC in meeting the objectives of its Environmental Management System (EMS)</w:t>
      </w:r>
      <w:r w:rsidRPr="009057DF">
        <w:rPr>
          <w:szCs w:val="24"/>
        </w:rPr>
        <w:t xml:space="preserve"> </w:t>
      </w:r>
      <w:r w:rsidR="00EF5214" w:rsidRPr="009057DF">
        <w:rPr>
          <w:szCs w:val="24"/>
        </w:rPr>
        <w:t xml:space="preserve">is provided at </w:t>
      </w:r>
      <w:r w:rsidR="00EF5214" w:rsidRPr="006A0BB3">
        <w:rPr>
          <w:szCs w:val="24"/>
        </w:rPr>
        <w:t>Annex 1</w:t>
      </w:r>
      <w:r w:rsidR="00EF5214" w:rsidRPr="009057DF">
        <w:rPr>
          <w:szCs w:val="24"/>
        </w:rPr>
        <w:t xml:space="preserve">. </w:t>
      </w:r>
    </w:p>
    <w:p w:rsidR="00CE29B6" w:rsidRPr="009057DF" w:rsidRDefault="00CE29B6" w:rsidP="009057DF">
      <w:pPr>
        <w:jc w:val="both"/>
        <w:rPr>
          <w:szCs w:val="24"/>
        </w:rPr>
      </w:pPr>
    </w:p>
    <w:p w:rsidR="004A64E1" w:rsidRDefault="004A64E1" w:rsidP="004A64E1">
      <w:pPr>
        <w:rPr>
          <w:szCs w:val="24"/>
        </w:rPr>
      </w:pPr>
      <w:r>
        <w:rPr>
          <w:szCs w:val="24"/>
        </w:rPr>
        <w:t xml:space="preserve">Research into the use of passive sampling devices (PSDs) for fenitrothion and fipronil in water, collaboratively undertaken by the APLC and the National Research Centre for Environmental Toxicology since 2001, culminated in an operational deployment of PDMS-filled PSDs during spray operations in the Coonamble area (NSW).  Fenitrothion was subsequently detected in all PSDs </w:t>
      </w:r>
      <w:r w:rsidR="006D41E5">
        <w:rPr>
          <w:szCs w:val="24"/>
        </w:rPr>
        <w:t xml:space="preserve">up </w:t>
      </w:r>
      <w:r>
        <w:rPr>
          <w:szCs w:val="24"/>
        </w:rPr>
        <w:t xml:space="preserve">to 3000 m downwind of spray operations.  </w:t>
      </w:r>
      <w:proofErr w:type="spellStart"/>
      <w:r>
        <w:rPr>
          <w:szCs w:val="24"/>
        </w:rPr>
        <w:t>Atrazine</w:t>
      </w:r>
      <w:proofErr w:type="spellEnd"/>
      <w:r>
        <w:rPr>
          <w:szCs w:val="24"/>
        </w:rPr>
        <w:t xml:space="preserve"> and </w:t>
      </w:r>
      <w:proofErr w:type="spellStart"/>
      <w:r>
        <w:rPr>
          <w:szCs w:val="24"/>
        </w:rPr>
        <w:t>polyaromatic</w:t>
      </w:r>
      <w:proofErr w:type="spellEnd"/>
      <w:r>
        <w:rPr>
          <w:szCs w:val="24"/>
        </w:rPr>
        <w:t xml:space="preserve"> hydrocarbons were also detected in the deployed PSDs.  A comparison was made with water and sediment samples collected using standard grab sampling techniques.  The time-integrated nature of PSDs enabled the cumulative detection of fenitrothion in PSD samples up to seven days post-exposure, whereas the decreased sensitivity of grab sampling yielded decreasing levels of fenitrothion in water and sediment samples over the same period.  The suitability of PDMS-filled PSDs for detecting fenitrothion in water </w:t>
      </w:r>
      <w:proofErr w:type="gramStart"/>
      <w:r>
        <w:rPr>
          <w:szCs w:val="24"/>
        </w:rPr>
        <w:t>have</w:t>
      </w:r>
      <w:proofErr w:type="gramEnd"/>
      <w:r>
        <w:rPr>
          <w:szCs w:val="24"/>
        </w:rPr>
        <w:t xml:space="preserve"> been confirmed by this work.    </w:t>
      </w:r>
    </w:p>
    <w:p w:rsidR="004A64E1" w:rsidRDefault="004A64E1" w:rsidP="004A64E1">
      <w:pPr>
        <w:rPr>
          <w:szCs w:val="24"/>
        </w:rPr>
      </w:pPr>
    </w:p>
    <w:p w:rsidR="004A64E1" w:rsidRPr="009057DF" w:rsidRDefault="004A64E1" w:rsidP="004A64E1">
      <w:pPr>
        <w:jc w:val="both"/>
        <w:rPr>
          <w:szCs w:val="24"/>
        </w:rPr>
      </w:pPr>
      <w:r>
        <w:rPr>
          <w:szCs w:val="24"/>
        </w:rPr>
        <w:t xml:space="preserve">Updates to the NSW National Parks plains wanderer habitat maps were received and </w:t>
      </w:r>
      <w:r w:rsidR="0014316B">
        <w:rPr>
          <w:szCs w:val="24"/>
        </w:rPr>
        <w:t>recorded</w:t>
      </w:r>
      <w:r>
        <w:rPr>
          <w:szCs w:val="24"/>
        </w:rPr>
        <w:t xml:space="preserve"> in the Commission’s GIS and </w:t>
      </w:r>
      <w:proofErr w:type="spellStart"/>
      <w:r>
        <w:rPr>
          <w:szCs w:val="24"/>
        </w:rPr>
        <w:t>OpsManager</w:t>
      </w:r>
      <w:proofErr w:type="spellEnd"/>
      <w:r>
        <w:rPr>
          <w:szCs w:val="24"/>
        </w:rPr>
        <w:t xml:space="preserve"> systems, ensuring that the most up-to-date restricted area maps </w:t>
      </w:r>
      <w:r w:rsidR="006D41E5">
        <w:rPr>
          <w:szCs w:val="24"/>
        </w:rPr>
        <w:t>for</w:t>
      </w:r>
      <w:r>
        <w:rPr>
          <w:szCs w:val="24"/>
        </w:rPr>
        <w:t xml:space="preserve"> this endangered species were available to APLC when planning locust control activities.</w:t>
      </w:r>
    </w:p>
    <w:p w:rsidR="004A64E1" w:rsidRPr="009057DF" w:rsidRDefault="004A64E1" w:rsidP="004A64E1">
      <w:pPr>
        <w:jc w:val="both"/>
        <w:rPr>
          <w:szCs w:val="24"/>
        </w:rPr>
      </w:pPr>
    </w:p>
    <w:p w:rsidR="004A64E1" w:rsidRDefault="004A64E1" w:rsidP="004A64E1">
      <w:pPr>
        <w:ind w:right="-96"/>
        <w:jc w:val="both"/>
        <w:rPr>
          <w:szCs w:val="24"/>
        </w:rPr>
      </w:pPr>
      <w:r>
        <w:rPr>
          <w:szCs w:val="24"/>
        </w:rPr>
        <w:t xml:space="preserve">Comprehensive treatment records were maintained for all </w:t>
      </w:r>
      <w:r w:rsidR="00080C13">
        <w:rPr>
          <w:szCs w:val="24"/>
        </w:rPr>
        <w:t>locust control</w:t>
      </w:r>
      <w:r>
        <w:rPr>
          <w:szCs w:val="24"/>
        </w:rPr>
        <w:t xml:space="preserve"> areas treated during </w:t>
      </w:r>
      <w:r w:rsidR="006D41E5">
        <w:rPr>
          <w:szCs w:val="24"/>
        </w:rPr>
        <w:t>control operations</w:t>
      </w:r>
      <w:r>
        <w:rPr>
          <w:szCs w:val="24"/>
        </w:rPr>
        <w:t xml:space="preserve">, </w:t>
      </w:r>
      <w:r w:rsidR="006D41E5">
        <w:rPr>
          <w:szCs w:val="24"/>
        </w:rPr>
        <w:t>and</w:t>
      </w:r>
      <w:r w:rsidR="0014316B">
        <w:rPr>
          <w:szCs w:val="24"/>
        </w:rPr>
        <w:t xml:space="preserve"> </w:t>
      </w:r>
      <w:r w:rsidR="006D41E5">
        <w:rPr>
          <w:szCs w:val="24"/>
        </w:rPr>
        <w:t>detailed maps were delivered to individual landholders</w:t>
      </w:r>
      <w:r>
        <w:rPr>
          <w:szCs w:val="24"/>
        </w:rPr>
        <w:t>.</w:t>
      </w:r>
    </w:p>
    <w:p w:rsidR="004A64E1" w:rsidRDefault="004A64E1" w:rsidP="004A64E1">
      <w:pPr>
        <w:ind w:right="-96"/>
        <w:jc w:val="both"/>
        <w:rPr>
          <w:szCs w:val="24"/>
        </w:rPr>
      </w:pPr>
    </w:p>
    <w:p w:rsidR="004A64E1" w:rsidRDefault="006D41E5" w:rsidP="004A64E1">
      <w:pPr>
        <w:ind w:right="-96"/>
        <w:jc w:val="both"/>
        <w:rPr>
          <w:szCs w:val="24"/>
        </w:rPr>
      </w:pPr>
      <w:r>
        <w:rPr>
          <w:szCs w:val="24"/>
        </w:rPr>
        <w:t xml:space="preserve">Post-control checks were carried out for </w:t>
      </w:r>
      <w:r w:rsidR="004A64E1">
        <w:rPr>
          <w:szCs w:val="24"/>
        </w:rPr>
        <w:t xml:space="preserve">6 of the 17 </w:t>
      </w:r>
      <w:r>
        <w:rPr>
          <w:szCs w:val="24"/>
        </w:rPr>
        <w:t xml:space="preserve">individual areas </w:t>
      </w:r>
      <w:r w:rsidR="004A64E1">
        <w:rPr>
          <w:szCs w:val="24"/>
        </w:rPr>
        <w:t xml:space="preserve">treated </w:t>
      </w:r>
      <w:r>
        <w:rPr>
          <w:szCs w:val="24"/>
        </w:rPr>
        <w:t>around</w:t>
      </w:r>
      <w:r w:rsidR="004A64E1">
        <w:rPr>
          <w:szCs w:val="24"/>
        </w:rPr>
        <w:t xml:space="preserve"> Coonamble (October 2009) and 12 of the 73 </w:t>
      </w:r>
      <w:r>
        <w:rPr>
          <w:szCs w:val="24"/>
        </w:rPr>
        <w:t xml:space="preserve">areas </w:t>
      </w:r>
      <w:r w:rsidR="004A64E1">
        <w:rPr>
          <w:szCs w:val="24"/>
        </w:rPr>
        <w:t xml:space="preserve">treated </w:t>
      </w:r>
      <w:r>
        <w:rPr>
          <w:szCs w:val="24"/>
        </w:rPr>
        <w:t>from</w:t>
      </w:r>
      <w:r w:rsidR="004A64E1">
        <w:rPr>
          <w:szCs w:val="24"/>
        </w:rPr>
        <w:t xml:space="preserve"> Tibooburra (March 2010). </w:t>
      </w:r>
      <w:r w:rsidR="004A64E1" w:rsidRPr="006F6D62">
        <w:rPr>
          <w:szCs w:val="24"/>
        </w:rPr>
        <w:t xml:space="preserve">No </w:t>
      </w:r>
      <w:r w:rsidR="004A64E1">
        <w:rPr>
          <w:szCs w:val="24"/>
        </w:rPr>
        <w:t xml:space="preserve">bird or mammal deaths were </w:t>
      </w:r>
      <w:r>
        <w:rPr>
          <w:szCs w:val="24"/>
        </w:rPr>
        <w:t>detected</w:t>
      </w:r>
      <w:r w:rsidR="004A64E1">
        <w:rPr>
          <w:szCs w:val="24"/>
        </w:rPr>
        <w:t xml:space="preserve">, </w:t>
      </w:r>
      <w:r>
        <w:rPr>
          <w:szCs w:val="24"/>
        </w:rPr>
        <w:t>and no</w:t>
      </w:r>
      <w:r w:rsidR="004A64E1">
        <w:rPr>
          <w:szCs w:val="24"/>
        </w:rPr>
        <w:t xml:space="preserve"> adverse effects </w:t>
      </w:r>
      <w:r>
        <w:rPr>
          <w:szCs w:val="24"/>
        </w:rPr>
        <w:t xml:space="preserve">were </w:t>
      </w:r>
      <w:r w:rsidR="004A64E1">
        <w:rPr>
          <w:szCs w:val="24"/>
        </w:rPr>
        <w:t xml:space="preserve">reported from </w:t>
      </w:r>
      <w:r w:rsidR="00E94F1F">
        <w:rPr>
          <w:szCs w:val="24"/>
        </w:rPr>
        <w:t xml:space="preserve">Sturt </w:t>
      </w:r>
      <w:r w:rsidR="004A64E1">
        <w:rPr>
          <w:szCs w:val="24"/>
        </w:rPr>
        <w:t xml:space="preserve">National </w:t>
      </w:r>
      <w:r>
        <w:rPr>
          <w:szCs w:val="24"/>
        </w:rPr>
        <w:t>P</w:t>
      </w:r>
      <w:r w:rsidR="004A64E1">
        <w:rPr>
          <w:szCs w:val="24"/>
        </w:rPr>
        <w:t>ark</w:t>
      </w:r>
      <w:r>
        <w:rPr>
          <w:szCs w:val="24"/>
        </w:rPr>
        <w:t>.</w:t>
      </w:r>
      <w:r w:rsidR="0014316B">
        <w:rPr>
          <w:szCs w:val="24"/>
        </w:rPr>
        <w:t xml:space="preserve"> </w:t>
      </w:r>
      <w:r w:rsidR="004A64E1">
        <w:rPr>
          <w:szCs w:val="24"/>
        </w:rPr>
        <w:t xml:space="preserve">Some 9,770 ha </w:t>
      </w:r>
      <w:r w:rsidR="00E94F1F">
        <w:rPr>
          <w:szCs w:val="24"/>
        </w:rPr>
        <w:t xml:space="preserve">were </w:t>
      </w:r>
      <w:r w:rsidR="004A64E1">
        <w:rPr>
          <w:szCs w:val="24"/>
        </w:rPr>
        <w:t xml:space="preserve">treated with the biopesticide </w:t>
      </w:r>
      <w:r w:rsidR="004A64E1">
        <w:rPr>
          <w:i/>
          <w:szCs w:val="24"/>
        </w:rPr>
        <w:t>Metarhizium</w:t>
      </w:r>
      <w:r w:rsidR="004A64E1">
        <w:rPr>
          <w:szCs w:val="24"/>
        </w:rPr>
        <w:t xml:space="preserve"> (Green Guard ®</w:t>
      </w:r>
      <w:r w:rsidR="00080CEA">
        <w:rPr>
          <w:szCs w:val="24"/>
        </w:rPr>
        <w:t xml:space="preserve">), principally where </w:t>
      </w:r>
      <w:r w:rsidR="00E94F1F">
        <w:rPr>
          <w:szCs w:val="24"/>
        </w:rPr>
        <w:t>high density nymphs were within</w:t>
      </w:r>
      <w:r w:rsidR="00080CEA">
        <w:rPr>
          <w:szCs w:val="24"/>
        </w:rPr>
        <w:t xml:space="preserve"> </w:t>
      </w:r>
      <w:r w:rsidR="00E94F1F">
        <w:rPr>
          <w:szCs w:val="24"/>
        </w:rPr>
        <w:t>conservation areas or</w:t>
      </w:r>
      <w:r w:rsidR="00080CEA">
        <w:rPr>
          <w:szCs w:val="24"/>
        </w:rPr>
        <w:t xml:space="preserve"> organic production properties.</w:t>
      </w:r>
    </w:p>
    <w:p w:rsidR="00080CEA" w:rsidRPr="004A64E1" w:rsidRDefault="00080CEA" w:rsidP="004A64E1">
      <w:pPr>
        <w:ind w:right="-96"/>
        <w:jc w:val="both"/>
        <w:rPr>
          <w:szCs w:val="24"/>
        </w:rPr>
      </w:pPr>
    </w:p>
    <w:p w:rsidR="004A64E1" w:rsidRDefault="00080CEA" w:rsidP="004A64E1">
      <w:pPr>
        <w:ind w:right="-96"/>
        <w:jc w:val="both"/>
        <w:rPr>
          <w:szCs w:val="24"/>
        </w:rPr>
      </w:pPr>
      <w:r>
        <w:rPr>
          <w:szCs w:val="24"/>
        </w:rPr>
        <w:t xml:space="preserve">A total of </w:t>
      </w:r>
      <w:r w:rsidR="004A64E1">
        <w:rPr>
          <w:szCs w:val="24"/>
        </w:rPr>
        <w:t xml:space="preserve">147,631 ha </w:t>
      </w:r>
      <w:r>
        <w:rPr>
          <w:szCs w:val="24"/>
        </w:rPr>
        <w:t>were treated with</w:t>
      </w:r>
      <w:r w:rsidR="004A64E1">
        <w:rPr>
          <w:szCs w:val="24"/>
        </w:rPr>
        <w:t xml:space="preserve"> </w:t>
      </w:r>
      <w:r>
        <w:rPr>
          <w:szCs w:val="24"/>
        </w:rPr>
        <w:t>fipronil using the barrier treatment application technique. Th</w:t>
      </w:r>
      <w:r w:rsidR="00F33E8A">
        <w:rPr>
          <w:szCs w:val="24"/>
        </w:rPr>
        <w:t>e</w:t>
      </w:r>
      <w:r>
        <w:rPr>
          <w:szCs w:val="24"/>
        </w:rPr>
        <w:t xml:space="preserve"> 300 </w:t>
      </w:r>
      <w:r w:rsidR="004A64E1">
        <w:rPr>
          <w:szCs w:val="24"/>
        </w:rPr>
        <w:t xml:space="preserve">m wide interval </w:t>
      </w:r>
      <w:r w:rsidR="00F33E8A">
        <w:rPr>
          <w:szCs w:val="24"/>
        </w:rPr>
        <w:t xml:space="preserve">spray </w:t>
      </w:r>
      <w:r w:rsidR="004A64E1">
        <w:rPr>
          <w:szCs w:val="24"/>
        </w:rPr>
        <w:t>track spacing</w:t>
      </w:r>
      <w:r>
        <w:rPr>
          <w:szCs w:val="24"/>
        </w:rPr>
        <w:t xml:space="preserve"> </w:t>
      </w:r>
      <w:r w:rsidR="00F33E8A">
        <w:rPr>
          <w:szCs w:val="24"/>
        </w:rPr>
        <w:t xml:space="preserve">leaves </w:t>
      </w:r>
      <w:r>
        <w:rPr>
          <w:szCs w:val="24"/>
        </w:rPr>
        <w:t>untreated areas as potential refuge</w:t>
      </w:r>
      <w:r w:rsidR="00F33E8A">
        <w:rPr>
          <w:szCs w:val="24"/>
        </w:rPr>
        <w:t>s</w:t>
      </w:r>
      <w:r>
        <w:rPr>
          <w:szCs w:val="24"/>
        </w:rPr>
        <w:t xml:space="preserve"> for non-target organisms. More intensive research on the immediate and long-term impacts of this application technique on non-target organisms remains a research priority for APLC. </w:t>
      </w:r>
    </w:p>
    <w:p w:rsidR="00080CEA" w:rsidRDefault="00080CEA" w:rsidP="004A64E1">
      <w:pPr>
        <w:ind w:right="-96"/>
        <w:jc w:val="both"/>
        <w:rPr>
          <w:szCs w:val="24"/>
        </w:rPr>
      </w:pPr>
    </w:p>
    <w:p w:rsidR="004A64E1" w:rsidRDefault="004A64E1" w:rsidP="004A64E1">
      <w:pPr>
        <w:ind w:right="-96"/>
        <w:jc w:val="both"/>
        <w:rPr>
          <w:szCs w:val="24"/>
        </w:rPr>
      </w:pPr>
    </w:p>
    <w:p w:rsidR="00EB4D3F" w:rsidRDefault="00EB4D3F" w:rsidP="00EF5214">
      <w:pPr>
        <w:ind w:right="-96"/>
        <w:jc w:val="both"/>
        <w:rPr>
          <w:b/>
          <w:bCs/>
          <w:color w:val="FF0000"/>
        </w:rPr>
      </w:pPr>
    </w:p>
    <w:p w:rsidR="00EB4D3F" w:rsidRPr="0043520E" w:rsidRDefault="00EB4D3F" w:rsidP="0043520E">
      <w:pPr>
        <w:pStyle w:val="Heading2"/>
        <w:rPr>
          <w:bCs/>
          <w:color w:val="0000FF"/>
          <w:sz w:val="28"/>
          <w:u w:val="single"/>
        </w:rPr>
      </w:pPr>
      <w:bookmarkStart w:id="80" w:name="_Toc209580101"/>
      <w:bookmarkStart w:id="81" w:name="_Toc209580369"/>
      <w:bookmarkStart w:id="82" w:name="_Toc209580511"/>
      <w:bookmarkStart w:id="83" w:name="_Toc209580778"/>
      <w:bookmarkStart w:id="84" w:name="_Toc263163119"/>
      <w:r w:rsidRPr="0043520E">
        <w:rPr>
          <w:bCs/>
          <w:color w:val="0000FF"/>
          <w:sz w:val="28"/>
          <w:u w:val="single"/>
        </w:rPr>
        <w:t>Occupational Health &amp; Safety</w:t>
      </w:r>
      <w:bookmarkEnd w:id="80"/>
      <w:bookmarkEnd w:id="81"/>
      <w:bookmarkEnd w:id="82"/>
      <w:bookmarkEnd w:id="83"/>
      <w:bookmarkEnd w:id="84"/>
      <w:r w:rsidR="00D73AB4">
        <w:rPr>
          <w:bCs/>
          <w:color w:val="0000FF"/>
          <w:sz w:val="28"/>
          <w:u w:val="single"/>
        </w:rPr>
        <w:t xml:space="preserve"> </w:t>
      </w:r>
    </w:p>
    <w:p w:rsidR="00EB4D3F" w:rsidRDefault="00D73AB4" w:rsidP="00EB4D3F">
      <w:pPr>
        <w:jc w:val="both"/>
        <w:rPr>
          <w:rFonts w:ascii="Arial" w:hAnsi="Arial" w:cs="Arial"/>
          <w:sz w:val="22"/>
          <w:szCs w:val="22"/>
        </w:rPr>
      </w:pPr>
      <w:r>
        <w:rPr>
          <w:rFonts w:ascii="Times" w:hAnsi="Times"/>
          <w:szCs w:val="24"/>
        </w:rPr>
        <w:t xml:space="preserve"> </w:t>
      </w:r>
    </w:p>
    <w:p w:rsidR="00C64C50" w:rsidRPr="009057DF" w:rsidRDefault="00C64C50" w:rsidP="00C64C50">
      <w:pPr>
        <w:jc w:val="both"/>
        <w:rPr>
          <w:szCs w:val="24"/>
        </w:rPr>
      </w:pPr>
      <w:r w:rsidRPr="009057DF">
        <w:rPr>
          <w:szCs w:val="24"/>
        </w:rPr>
        <w:t>No accidents involving APLC vehicles or staff occurred in 200</w:t>
      </w:r>
      <w:r>
        <w:rPr>
          <w:szCs w:val="24"/>
        </w:rPr>
        <w:t>9-10</w:t>
      </w:r>
      <w:r w:rsidRPr="009057DF">
        <w:rPr>
          <w:szCs w:val="24"/>
        </w:rPr>
        <w:t xml:space="preserve">. </w:t>
      </w:r>
      <w:r>
        <w:rPr>
          <w:szCs w:val="24"/>
        </w:rPr>
        <w:t>N</w:t>
      </w:r>
      <w:r w:rsidRPr="009057DF">
        <w:rPr>
          <w:szCs w:val="24"/>
        </w:rPr>
        <w:t xml:space="preserve">o aircraft safety incidents </w:t>
      </w:r>
      <w:r>
        <w:rPr>
          <w:szCs w:val="24"/>
        </w:rPr>
        <w:t xml:space="preserve">were </w:t>
      </w:r>
      <w:r w:rsidRPr="009057DF">
        <w:rPr>
          <w:szCs w:val="24"/>
        </w:rPr>
        <w:t>reported</w:t>
      </w:r>
      <w:r>
        <w:rPr>
          <w:szCs w:val="24"/>
        </w:rPr>
        <w:t xml:space="preserve"> despite the APLC treating 204,400 ha and conducting 390 flight hours during the Tibooburra campaign.</w:t>
      </w:r>
    </w:p>
    <w:p w:rsidR="00C64C50" w:rsidRPr="009057DF" w:rsidRDefault="00C64C50" w:rsidP="00C64C50">
      <w:pPr>
        <w:jc w:val="both"/>
        <w:rPr>
          <w:szCs w:val="24"/>
        </w:rPr>
      </w:pPr>
    </w:p>
    <w:p w:rsidR="00C64C50" w:rsidRDefault="00F33E8A" w:rsidP="00C64C50">
      <w:pPr>
        <w:pStyle w:val="Default"/>
        <w:jc w:val="both"/>
        <w:rPr>
          <w:sz w:val="23"/>
          <w:szCs w:val="23"/>
        </w:rPr>
      </w:pPr>
      <w:r>
        <w:rPr>
          <w:sz w:val="23"/>
          <w:szCs w:val="23"/>
        </w:rPr>
        <w:t xml:space="preserve">The policies of the </w:t>
      </w:r>
      <w:r w:rsidR="0014316B">
        <w:rPr>
          <w:sz w:val="23"/>
          <w:szCs w:val="23"/>
        </w:rPr>
        <w:t xml:space="preserve">revised </w:t>
      </w:r>
      <w:r w:rsidR="00C64C50">
        <w:rPr>
          <w:sz w:val="23"/>
          <w:szCs w:val="23"/>
        </w:rPr>
        <w:t xml:space="preserve">APLC Aviation Procedures Manual </w:t>
      </w:r>
      <w:r>
        <w:rPr>
          <w:sz w:val="23"/>
          <w:szCs w:val="23"/>
        </w:rPr>
        <w:t xml:space="preserve">were implemented </w:t>
      </w:r>
      <w:r w:rsidR="00C64C50">
        <w:rPr>
          <w:sz w:val="23"/>
          <w:szCs w:val="23"/>
        </w:rPr>
        <w:t xml:space="preserve">during both the Coonamble and Tibooburra </w:t>
      </w:r>
      <w:r>
        <w:rPr>
          <w:sz w:val="23"/>
          <w:szCs w:val="23"/>
        </w:rPr>
        <w:t>control operations</w:t>
      </w:r>
      <w:r w:rsidR="00C64C50">
        <w:rPr>
          <w:sz w:val="23"/>
          <w:szCs w:val="23"/>
        </w:rPr>
        <w:t xml:space="preserve">. Training which reflected these new documented procedures was provided to all operational staff. </w:t>
      </w:r>
    </w:p>
    <w:p w:rsidR="00C64C50" w:rsidRDefault="00C64C50" w:rsidP="00C64C50">
      <w:pPr>
        <w:pStyle w:val="Default"/>
        <w:jc w:val="both"/>
        <w:rPr>
          <w:sz w:val="23"/>
          <w:szCs w:val="23"/>
        </w:rPr>
      </w:pPr>
    </w:p>
    <w:p w:rsidR="00C64C50" w:rsidRDefault="00F33E8A" w:rsidP="00C64C50">
      <w:pPr>
        <w:pStyle w:val="Default"/>
        <w:jc w:val="both"/>
        <w:rPr>
          <w:sz w:val="23"/>
          <w:szCs w:val="23"/>
        </w:rPr>
      </w:pPr>
      <w:r>
        <w:rPr>
          <w:sz w:val="23"/>
          <w:szCs w:val="23"/>
        </w:rPr>
        <w:t xml:space="preserve">A </w:t>
      </w:r>
      <w:r w:rsidR="00C64C50">
        <w:rPr>
          <w:sz w:val="23"/>
          <w:szCs w:val="23"/>
        </w:rPr>
        <w:t>revision of the APLC’s OH&amp;S Manual was completed.</w:t>
      </w:r>
    </w:p>
    <w:p w:rsidR="00EB4D3F" w:rsidRDefault="00EB4D3F" w:rsidP="00EF5214">
      <w:pPr>
        <w:ind w:right="-96"/>
        <w:jc w:val="both"/>
        <w:rPr>
          <w:b/>
          <w:bCs/>
          <w:color w:val="FF0000"/>
        </w:rPr>
      </w:pPr>
    </w:p>
    <w:p w:rsidR="00EF5214" w:rsidRPr="0043520E" w:rsidRDefault="00EF5214" w:rsidP="0043520E">
      <w:pPr>
        <w:pStyle w:val="Heading2"/>
        <w:rPr>
          <w:bCs/>
          <w:color w:val="0000FF"/>
          <w:sz w:val="28"/>
          <w:u w:val="single"/>
        </w:rPr>
      </w:pPr>
      <w:bookmarkStart w:id="85" w:name="_Toc209580102"/>
      <w:bookmarkStart w:id="86" w:name="_Toc209580370"/>
      <w:bookmarkStart w:id="87" w:name="_Toc209580512"/>
      <w:bookmarkStart w:id="88" w:name="_Toc209580779"/>
      <w:bookmarkStart w:id="89" w:name="_Toc263163120"/>
      <w:r w:rsidRPr="0043520E">
        <w:rPr>
          <w:bCs/>
          <w:color w:val="0000FF"/>
          <w:sz w:val="28"/>
          <w:u w:val="single"/>
        </w:rPr>
        <w:lastRenderedPageBreak/>
        <w:t xml:space="preserve">Competency </w:t>
      </w:r>
      <w:r w:rsidR="00945C74">
        <w:rPr>
          <w:bCs/>
          <w:color w:val="0000FF"/>
          <w:sz w:val="28"/>
          <w:u w:val="single"/>
        </w:rPr>
        <w:t>b</w:t>
      </w:r>
      <w:r w:rsidRPr="0043520E">
        <w:rPr>
          <w:bCs/>
          <w:color w:val="0000FF"/>
          <w:sz w:val="28"/>
          <w:u w:val="single"/>
        </w:rPr>
        <w:t xml:space="preserve">ased </w:t>
      </w:r>
      <w:r w:rsidR="00945C74">
        <w:rPr>
          <w:bCs/>
          <w:color w:val="0000FF"/>
          <w:sz w:val="28"/>
          <w:u w:val="single"/>
        </w:rPr>
        <w:t>t</w:t>
      </w:r>
      <w:r w:rsidRPr="0043520E">
        <w:rPr>
          <w:bCs/>
          <w:color w:val="0000FF"/>
          <w:sz w:val="28"/>
          <w:u w:val="single"/>
        </w:rPr>
        <w:t xml:space="preserve">raining and </w:t>
      </w:r>
      <w:r w:rsidR="00945C74">
        <w:rPr>
          <w:bCs/>
          <w:color w:val="0000FF"/>
          <w:sz w:val="28"/>
          <w:u w:val="single"/>
        </w:rPr>
        <w:t>a</w:t>
      </w:r>
      <w:r w:rsidRPr="0043520E">
        <w:rPr>
          <w:bCs/>
          <w:color w:val="0000FF"/>
          <w:sz w:val="28"/>
          <w:u w:val="single"/>
        </w:rPr>
        <w:t>ssessment</w:t>
      </w:r>
      <w:bookmarkEnd w:id="85"/>
      <w:bookmarkEnd w:id="86"/>
      <w:bookmarkEnd w:id="87"/>
      <w:bookmarkEnd w:id="88"/>
      <w:bookmarkEnd w:id="89"/>
      <w:r w:rsidR="00D73AB4">
        <w:rPr>
          <w:bCs/>
          <w:color w:val="0000FF"/>
          <w:sz w:val="28"/>
          <w:u w:val="single"/>
        </w:rPr>
        <w:t xml:space="preserve"> </w:t>
      </w:r>
    </w:p>
    <w:p w:rsidR="00024262" w:rsidRPr="00024262" w:rsidRDefault="00024262" w:rsidP="00024262">
      <w:pPr>
        <w:ind w:right="-96"/>
        <w:jc w:val="both"/>
        <w:rPr>
          <w:rFonts w:ascii="Times" w:hAnsi="Times"/>
        </w:rPr>
      </w:pPr>
    </w:p>
    <w:p w:rsidR="00C64C50" w:rsidRDefault="00C64C50" w:rsidP="00C64C50">
      <w:pPr>
        <w:ind w:right="-96"/>
        <w:jc w:val="both"/>
        <w:rPr>
          <w:sz w:val="23"/>
          <w:szCs w:val="23"/>
        </w:rPr>
      </w:pPr>
      <w:r>
        <w:rPr>
          <w:sz w:val="23"/>
          <w:szCs w:val="23"/>
        </w:rPr>
        <w:t xml:space="preserve">In-operation training and assessment was </w:t>
      </w:r>
      <w:r w:rsidR="0014316B">
        <w:rPr>
          <w:sz w:val="23"/>
          <w:szCs w:val="23"/>
        </w:rPr>
        <w:t>provided for</w:t>
      </w:r>
      <w:r>
        <w:rPr>
          <w:sz w:val="23"/>
          <w:szCs w:val="23"/>
        </w:rPr>
        <w:t xml:space="preserve"> APLC field staff Laurie Sanchez, Clare Mulcahy and Scott Mander as part of the Coonamble control </w:t>
      </w:r>
      <w:r w:rsidR="00F33E8A">
        <w:rPr>
          <w:sz w:val="23"/>
          <w:szCs w:val="23"/>
        </w:rPr>
        <w:t xml:space="preserve">operations </w:t>
      </w:r>
      <w:r>
        <w:rPr>
          <w:sz w:val="23"/>
          <w:szCs w:val="23"/>
        </w:rPr>
        <w:t>in October 2009.</w:t>
      </w:r>
    </w:p>
    <w:p w:rsidR="00C64C50" w:rsidRDefault="00C64C50" w:rsidP="00C64C50">
      <w:pPr>
        <w:ind w:right="-96"/>
        <w:jc w:val="both"/>
        <w:rPr>
          <w:sz w:val="23"/>
          <w:szCs w:val="23"/>
        </w:rPr>
      </w:pPr>
      <w:r>
        <w:rPr>
          <w:sz w:val="23"/>
          <w:szCs w:val="23"/>
        </w:rPr>
        <w:t xml:space="preserve">Further in-operation training and assessment involving field staff Laurie Sanchez, Clare Mulcahy, Heather Brooks, Ashley Johnston and Jason Ullrich was undertaken during the March 2010 Tibooburra control </w:t>
      </w:r>
      <w:r w:rsidR="00F33E8A">
        <w:rPr>
          <w:sz w:val="23"/>
          <w:szCs w:val="23"/>
        </w:rPr>
        <w:t>operations</w:t>
      </w:r>
      <w:r>
        <w:rPr>
          <w:sz w:val="23"/>
          <w:szCs w:val="23"/>
        </w:rPr>
        <w:t>.</w:t>
      </w:r>
    </w:p>
    <w:p w:rsidR="00C64C50" w:rsidRDefault="00C64C50" w:rsidP="00C64C50">
      <w:pPr>
        <w:ind w:right="-96"/>
        <w:jc w:val="both"/>
        <w:rPr>
          <w:sz w:val="23"/>
          <w:szCs w:val="23"/>
        </w:rPr>
      </w:pPr>
    </w:p>
    <w:p w:rsidR="00C64C50" w:rsidRPr="00514503" w:rsidRDefault="00C64C50" w:rsidP="00C64C50">
      <w:pPr>
        <w:ind w:right="-96"/>
        <w:jc w:val="both"/>
        <w:rPr>
          <w:rFonts w:ascii="Times" w:hAnsi="Times"/>
          <w:color w:val="FF0000"/>
        </w:rPr>
      </w:pPr>
      <w:r>
        <w:rPr>
          <w:sz w:val="23"/>
          <w:szCs w:val="23"/>
        </w:rPr>
        <w:t xml:space="preserve">Two new field staff Heather Brooks and Ashley Johnston were employed and progressed through the initial year of their training. Jason Ullrich applied for reappointment in a field officer position posted </w:t>
      </w:r>
      <w:r w:rsidR="0061349E">
        <w:rPr>
          <w:sz w:val="23"/>
          <w:szCs w:val="23"/>
        </w:rPr>
        <w:t>at</w:t>
      </w:r>
      <w:r>
        <w:rPr>
          <w:sz w:val="23"/>
          <w:szCs w:val="23"/>
        </w:rPr>
        <w:t xml:space="preserve"> Broken Hill</w:t>
      </w:r>
      <w:r w:rsidR="0061349E">
        <w:rPr>
          <w:sz w:val="23"/>
          <w:szCs w:val="23"/>
        </w:rPr>
        <w:t>,</w:t>
      </w:r>
      <w:r>
        <w:rPr>
          <w:sz w:val="23"/>
          <w:szCs w:val="23"/>
        </w:rPr>
        <w:t xml:space="preserve"> and continued into a</w:t>
      </w:r>
      <w:r w:rsidR="00F33E8A">
        <w:rPr>
          <w:sz w:val="23"/>
          <w:szCs w:val="23"/>
        </w:rPr>
        <w:t xml:space="preserve"> second</w:t>
      </w:r>
      <w:r>
        <w:rPr>
          <w:sz w:val="23"/>
          <w:szCs w:val="23"/>
        </w:rPr>
        <w:t xml:space="preserve"> year of training. </w:t>
      </w:r>
    </w:p>
    <w:p w:rsidR="00C64C50" w:rsidRDefault="00C64C50" w:rsidP="00C64C50">
      <w:pPr>
        <w:ind w:right="-96"/>
        <w:jc w:val="both"/>
        <w:rPr>
          <w:sz w:val="23"/>
          <w:szCs w:val="23"/>
        </w:rPr>
      </w:pPr>
    </w:p>
    <w:p w:rsidR="00C64C50" w:rsidRDefault="00C64C50" w:rsidP="00C64C50">
      <w:pPr>
        <w:ind w:right="-96"/>
        <w:jc w:val="both"/>
        <w:rPr>
          <w:sz w:val="23"/>
          <w:szCs w:val="23"/>
        </w:rPr>
      </w:pPr>
      <w:r>
        <w:rPr>
          <w:sz w:val="23"/>
          <w:szCs w:val="23"/>
        </w:rPr>
        <w:t>Three APLC field staff (Scott Mander, Clare Mulcahy and Laurie Sanchez) continued to progress through their</w:t>
      </w:r>
      <w:r w:rsidR="00F33E8A">
        <w:rPr>
          <w:sz w:val="23"/>
          <w:szCs w:val="23"/>
        </w:rPr>
        <w:t xml:space="preserve"> second</w:t>
      </w:r>
      <w:r>
        <w:rPr>
          <w:sz w:val="23"/>
          <w:szCs w:val="23"/>
        </w:rPr>
        <w:t xml:space="preserve"> year competency training programs. There was further opportunity during the 2009-10 </w:t>
      </w:r>
      <w:proofErr w:type="gramStart"/>
      <w:r>
        <w:rPr>
          <w:sz w:val="23"/>
          <w:szCs w:val="23"/>
        </w:rPr>
        <w:t>season</w:t>
      </w:r>
      <w:proofErr w:type="gramEnd"/>
      <w:r>
        <w:rPr>
          <w:sz w:val="23"/>
          <w:szCs w:val="23"/>
        </w:rPr>
        <w:t xml:space="preserve"> to conduct competency training in fixed wing aerial spotting, control and campaign management during the Coonamble and Tibooburra control campaigns. All four</w:t>
      </w:r>
      <w:r w:rsidR="0061349E">
        <w:rPr>
          <w:sz w:val="23"/>
          <w:szCs w:val="23"/>
        </w:rPr>
        <w:t xml:space="preserve"> staff </w:t>
      </w:r>
      <w:proofErr w:type="gramStart"/>
      <w:r w:rsidR="0061349E">
        <w:rPr>
          <w:sz w:val="23"/>
          <w:szCs w:val="23"/>
        </w:rPr>
        <w:t>who</w:t>
      </w:r>
      <w:proofErr w:type="gramEnd"/>
      <w:r w:rsidR="0061349E">
        <w:rPr>
          <w:sz w:val="23"/>
          <w:szCs w:val="23"/>
        </w:rPr>
        <w:t xml:space="preserve"> had completed their</w:t>
      </w:r>
      <w:r w:rsidR="00F33E8A">
        <w:rPr>
          <w:sz w:val="23"/>
          <w:szCs w:val="23"/>
        </w:rPr>
        <w:t xml:space="preserve"> second</w:t>
      </w:r>
      <w:r w:rsidR="0056445F">
        <w:rPr>
          <w:sz w:val="23"/>
          <w:szCs w:val="23"/>
        </w:rPr>
        <w:t xml:space="preserve"> </w:t>
      </w:r>
      <w:r>
        <w:rPr>
          <w:sz w:val="23"/>
          <w:szCs w:val="23"/>
        </w:rPr>
        <w:t xml:space="preserve">year </w:t>
      </w:r>
      <w:r w:rsidR="0061349E">
        <w:rPr>
          <w:sz w:val="23"/>
          <w:szCs w:val="23"/>
        </w:rPr>
        <w:t xml:space="preserve">of </w:t>
      </w:r>
      <w:r>
        <w:rPr>
          <w:sz w:val="23"/>
          <w:szCs w:val="23"/>
        </w:rPr>
        <w:t xml:space="preserve">competency </w:t>
      </w:r>
      <w:r w:rsidR="0061349E">
        <w:rPr>
          <w:sz w:val="23"/>
          <w:szCs w:val="23"/>
        </w:rPr>
        <w:t>training</w:t>
      </w:r>
      <w:r>
        <w:rPr>
          <w:sz w:val="23"/>
          <w:szCs w:val="23"/>
        </w:rPr>
        <w:t xml:space="preserve"> were </w:t>
      </w:r>
      <w:r w:rsidR="0061349E">
        <w:rPr>
          <w:sz w:val="23"/>
          <w:szCs w:val="23"/>
        </w:rPr>
        <w:t>assessed as</w:t>
      </w:r>
      <w:r>
        <w:rPr>
          <w:sz w:val="23"/>
          <w:szCs w:val="23"/>
        </w:rPr>
        <w:t xml:space="preserve"> competent in fixed wing aerial band spotting and control</w:t>
      </w:r>
      <w:r w:rsidR="0061349E">
        <w:rPr>
          <w:sz w:val="23"/>
          <w:szCs w:val="23"/>
        </w:rPr>
        <w:t>. T</w:t>
      </w:r>
      <w:r>
        <w:rPr>
          <w:sz w:val="23"/>
          <w:szCs w:val="23"/>
        </w:rPr>
        <w:t xml:space="preserve">he two new field staff </w:t>
      </w:r>
      <w:r w:rsidR="0061349E">
        <w:rPr>
          <w:sz w:val="23"/>
          <w:szCs w:val="23"/>
        </w:rPr>
        <w:t>(</w:t>
      </w:r>
      <w:r>
        <w:rPr>
          <w:sz w:val="23"/>
          <w:szCs w:val="23"/>
        </w:rPr>
        <w:t>Heather Brooks and Ashley Johnston</w:t>
      </w:r>
      <w:r w:rsidR="0061349E">
        <w:rPr>
          <w:sz w:val="23"/>
          <w:szCs w:val="23"/>
        </w:rPr>
        <w:t>)</w:t>
      </w:r>
      <w:r>
        <w:rPr>
          <w:sz w:val="23"/>
          <w:szCs w:val="23"/>
        </w:rPr>
        <w:t xml:space="preserve"> obtained training in fixed wing survey and control during the Tibooburra campaign.</w:t>
      </w:r>
    </w:p>
    <w:p w:rsidR="00C64C50" w:rsidRDefault="00C64C50" w:rsidP="00C64C50">
      <w:pPr>
        <w:ind w:right="-96"/>
        <w:jc w:val="both"/>
        <w:rPr>
          <w:sz w:val="23"/>
          <w:szCs w:val="23"/>
        </w:rPr>
      </w:pPr>
    </w:p>
    <w:p w:rsidR="00D54B74" w:rsidRPr="00514503" w:rsidRDefault="00C64C50" w:rsidP="00C64C50">
      <w:pPr>
        <w:ind w:right="-96"/>
        <w:jc w:val="both"/>
        <w:rPr>
          <w:rFonts w:ascii="Times" w:hAnsi="Times"/>
          <w:color w:val="FF0000"/>
        </w:rPr>
      </w:pPr>
      <w:r>
        <w:rPr>
          <w:sz w:val="23"/>
          <w:szCs w:val="23"/>
        </w:rPr>
        <w:t>No swarm control or helicopter operations were conducted during 2009-10</w:t>
      </w:r>
      <w:r w:rsidR="0061349E">
        <w:rPr>
          <w:sz w:val="23"/>
          <w:szCs w:val="23"/>
        </w:rPr>
        <w:t xml:space="preserve"> due to outstanding low-level operation risks which had yet to be resolved with all Member agencies.</w:t>
      </w:r>
    </w:p>
    <w:p w:rsidR="00D54B74" w:rsidRDefault="00D54B74" w:rsidP="00D54B74">
      <w:pPr>
        <w:ind w:right="-765"/>
        <w:jc w:val="both"/>
        <w:rPr>
          <w:b/>
          <w:bCs/>
          <w:color w:val="FF0000"/>
        </w:rPr>
      </w:pPr>
    </w:p>
    <w:p w:rsidR="009057DF" w:rsidRDefault="009057DF" w:rsidP="00A15448">
      <w:pPr>
        <w:pStyle w:val="Heading2"/>
        <w:rPr>
          <w:b w:val="0"/>
          <w:bCs/>
          <w:color w:val="FF0000"/>
        </w:rPr>
      </w:pPr>
    </w:p>
    <w:p w:rsidR="00D54B74" w:rsidRPr="00514503" w:rsidRDefault="00D54B74" w:rsidP="00EF5214">
      <w:pPr>
        <w:ind w:right="-765"/>
        <w:jc w:val="both"/>
        <w:rPr>
          <w:b/>
          <w:bCs/>
          <w:color w:val="FF0000"/>
        </w:rPr>
      </w:pPr>
    </w:p>
    <w:p w:rsidR="00EF5214" w:rsidRPr="0043520E" w:rsidRDefault="00EF5214" w:rsidP="0043520E">
      <w:pPr>
        <w:pStyle w:val="Heading2"/>
        <w:rPr>
          <w:bCs/>
          <w:color w:val="0000FF"/>
          <w:sz w:val="28"/>
          <w:u w:val="single"/>
        </w:rPr>
      </w:pPr>
      <w:bookmarkStart w:id="90" w:name="_Toc209580103"/>
      <w:bookmarkStart w:id="91" w:name="_Toc209580371"/>
      <w:bookmarkStart w:id="92" w:name="_Toc209580513"/>
      <w:bookmarkStart w:id="93" w:name="_Toc209580780"/>
      <w:bookmarkStart w:id="94" w:name="_Toc263163121"/>
      <w:r w:rsidRPr="0043520E">
        <w:rPr>
          <w:bCs/>
          <w:color w:val="0000FF"/>
          <w:sz w:val="28"/>
          <w:u w:val="single"/>
        </w:rPr>
        <w:t>International linkages</w:t>
      </w:r>
      <w:bookmarkEnd w:id="90"/>
      <w:bookmarkEnd w:id="91"/>
      <w:bookmarkEnd w:id="92"/>
      <w:bookmarkEnd w:id="93"/>
      <w:bookmarkEnd w:id="94"/>
      <w:r w:rsidR="00D73AB4">
        <w:rPr>
          <w:bCs/>
          <w:color w:val="0000FF"/>
          <w:sz w:val="28"/>
          <w:u w:val="single"/>
        </w:rPr>
        <w:t xml:space="preserve"> </w:t>
      </w:r>
    </w:p>
    <w:p w:rsidR="001008FF" w:rsidRDefault="001008FF" w:rsidP="00EF5214">
      <w:pPr>
        <w:jc w:val="both"/>
        <w:rPr>
          <w:rFonts w:ascii="Arial" w:hAnsi="Arial" w:cs="Arial"/>
          <w:sz w:val="22"/>
          <w:szCs w:val="22"/>
        </w:rPr>
      </w:pPr>
    </w:p>
    <w:p w:rsidR="00134ED0" w:rsidRDefault="0061349E" w:rsidP="00134ED0">
      <w:pPr>
        <w:jc w:val="both"/>
        <w:rPr>
          <w:sz w:val="23"/>
          <w:szCs w:val="23"/>
        </w:rPr>
      </w:pPr>
      <w:r>
        <w:rPr>
          <w:sz w:val="23"/>
          <w:szCs w:val="23"/>
        </w:rPr>
        <w:t xml:space="preserve">APLC hosted two Timor </w:t>
      </w:r>
      <w:proofErr w:type="spellStart"/>
      <w:r>
        <w:rPr>
          <w:sz w:val="23"/>
          <w:szCs w:val="23"/>
        </w:rPr>
        <w:t>Leste</w:t>
      </w:r>
      <w:proofErr w:type="spellEnd"/>
      <w:r>
        <w:rPr>
          <w:sz w:val="23"/>
          <w:szCs w:val="23"/>
        </w:rPr>
        <w:t xml:space="preserve"> Ministry of Agriculture staff for two weeks during the Coonamble control operations in October 2009. This follows on from the UN-FAO and </w:t>
      </w:r>
      <w:proofErr w:type="spellStart"/>
      <w:r>
        <w:rPr>
          <w:sz w:val="23"/>
          <w:szCs w:val="23"/>
        </w:rPr>
        <w:t>AusAid</w:t>
      </w:r>
      <w:proofErr w:type="spellEnd"/>
      <w:r>
        <w:rPr>
          <w:sz w:val="23"/>
          <w:szCs w:val="23"/>
        </w:rPr>
        <w:t xml:space="preserve"> funded migratory locust control campaign </w:t>
      </w:r>
      <w:r w:rsidR="00961C26">
        <w:rPr>
          <w:sz w:val="23"/>
          <w:szCs w:val="23"/>
        </w:rPr>
        <w:t xml:space="preserve">undertaken in Timor </w:t>
      </w:r>
      <w:proofErr w:type="spellStart"/>
      <w:r w:rsidR="00961C26">
        <w:rPr>
          <w:sz w:val="23"/>
          <w:szCs w:val="23"/>
        </w:rPr>
        <w:t>Leste</w:t>
      </w:r>
      <w:proofErr w:type="spellEnd"/>
      <w:r w:rsidR="00961C26">
        <w:rPr>
          <w:sz w:val="23"/>
          <w:szCs w:val="23"/>
        </w:rPr>
        <w:t xml:space="preserve"> </w:t>
      </w:r>
      <w:r>
        <w:rPr>
          <w:sz w:val="23"/>
          <w:szCs w:val="23"/>
        </w:rPr>
        <w:t>by APLC officers in 2007-08. These two staff received further valuable exposure to and experience in the planning, implementation and review of locust control campaigns.</w:t>
      </w:r>
    </w:p>
    <w:p w:rsidR="0061349E" w:rsidRDefault="0061349E" w:rsidP="00134ED0">
      <w:pPr>
        <w:jc w:val="both"/>
        <w:rPr>
          <w:sz w:val="23"/>
          <w:szCs w:val="23"/>
        </w:rPr>
      </w:pPr>
    </w:p>
    <w:p w:rsidR="002220FD" w:rsidRDefault="00A33CF8" w:rsidP="009057DF">
      <w:pPr>
        <w:jc w:val="both"/>
      </w:pPr>
      <w:r>
        <w:t xml:space="preserve">APLC Director Chris Adriaansen undertook a two week engagement with the USDA National Rangeland Grasshopper Management Board and various technical specialists in January 2010. As considerable planning effort was underway across several US states for what was expected to be a significant rangeland grasshopper control season in the upcoming northern hemisphere summer, </w:t>
      </w:r>
      <w:r w:rsidR="003C3B61">
        <w:t>engagement between the US and Australian national program managers was regarded as very useful to both parties. Time spent with several technical specialists in the USDA program, particularly those involved in refining the US usage of insect growth regulator (IGR) compounds for grasshopper control, will also assist in APLC’s plans to evaluate and develop IGR usage for Australian locust control.</w:t>
      </w:r>
    </w:p>
    <w:p w:rsidR="00EF5214" w:rsidRPr="0043520E" w:rsidRDefault="009057DF" w:rsidP="0043520E">
      <w:pPr>
        <w:pStyle w:val="Heading1"/>
        <w:rPr>
          <w:bCs/>
          <w:color w:val="0000FF"/>
        </w:rPr>
      </w:pPr>
      <w:bookmarkStart w:id="95" w:name="_Toc488115492"/>
      <w:r>
        <w:br w:type="page"/>
      </w:r>
      <w:bookmarkStart w:id="96" w:name="_Toc209579946"/>
      <w:bookmarkStart w:id="97" w:name="_Toc209580104"/>
      <w:bookmarkStart w:id="98" w:name="_Toc209580372"/>
      <w:bookmarkStart w:id="99" w:name="_Toc209580514"/>
      <w:bookmarkStart w:id="100" w:name="_Toc209580781"/>
      <w:bookmarkStart w:id="101" w:name="_Toc263163122"/>
      <w:r w:rsidR="00EF5214" w:rsidRPr="0043520E">
        <w:rPr>
          <w:bCs/>
          <w:color w:val="0000FF"/>
        </w:rPr>
        <w:lastRenderedPageBreak/>
        <w:t>Administration</w:t>
      </w:r>
      <w:bookmarkEnd w:id="95"/>
      <w:bookmarkEnd w:id="96"/>
      <w:bookmarkEnd w:id="97"/>
      <w:bookmarkEnd w:id="98"/>
      <w:bookmarkEnd w:id="99"/>
      <w:bookmarkEnd w:id="100"/>
      <w:bookmarkEnd w:id="101"/>
    </w:p>
    <w:p w:rsidR="00E52DF3" w:rsidRPr="00E52DF3" w:rsidRDefault="00E52DF3" w:rsidP="00E52DF3"/>
    <w:p w:rsidR="008A78EB" w:rsidRPr="008A78EB" w:rsidRDefault="008A78EB" w:rsidP="008A78EB">
      <w:pPr>
        <w:pStyle w:val="Heading2"/>
        <w:rPr>
          <w:bCs/>
          <w:color w:val="0000FF"/>
          <w:sz w:val="28"/>
          <w:u w:val="single"/>
        </w:rPr>
      </w:pPr>
      <w:r w:rsidRPr="008A78EB">
        <w:rPr>
          <w:bCs/>
          <w:color w:val="0000FF"/>
          <w:sz w:val="28"/>
          <w:u w:val="single"/>
        </w:rPr>
        <w:t>Governance</w:t>
      </w:r>
    </w:p>
    <w:p w:rsidR="008A78EB" w:rsidRDefault="008A78EB" w:rsidP="00DF02A0">
      <w:pPr>
        <w:ind w:right="-127"/>
        <w:jc w:val="both"/>
        <w:rPr>
          <w:szCs w:val="24"/>
        </w:rPr>
      </w:pPr>
    </w:p>
    <w:p w:rsidR="00620974" w:rsidRDefault="00EF5214" w:rsidP="00DF02A0">
      <w:pPr>
        <w:ind w:right="-127"/>
        <w:jc w:val="both"/>
        <w:rPr>
          <w:szCs w:val="24"/>
        </w:rPr>
      </w:pPr>
      <w:r w:rsidRPr="009057DF">
        <w:rPr>
          <w:szCs w:val="24"/>
        </w:rPr>
        <w:t xml:space="preserve">APLC Commissioners’ </w:t>
      </w:r>
      <w:r w:rsidR="00A85397" w:rsidRPr="009057DF">
        <w:rPr>
          <w:szCs w:val="24"/>
        </w:rPr>
        <w:t xml:space="preserve">meetings </w:t>
      </w:r>
      <w:r w:rsidRPr="009057DF">
        <w:rPr>
          <w:szCs w:val="24"/>
        </w:rPr>
        <w:t xml:space="preserve">were held </w:t>
      </w:r>
      <w:r w:rsidR="00965B2A" w:rsidRPr="009057DF">
        <w:rPr>
          <w:szCs w:val="24"/>
        </w:rPr>
        <w:t>o</w:t>
      </w:r>
      <w:r w:rsidR="001008FF" w:rsidRPr="009057DF">
        <w:rPr>
          <w:szCs w:val="24"/>
        </w:rPr>
        <w:t xml:space="preserve">n </w:t>
      </w:r>
      <w:r w:rsidR="008A78EB">
        <w:rPr>
          <w:szCs w:val="24"/>
        </w:rPr>
        <w:t xml:space="preserve">2 </w:t>
      </w:r>
      <w:r w:rsidR="00D57511">
        <w:rPr>
          <w:szCs w:val="24"/>
        </w:rPr>
        <w:t>November 200</w:t>
      </w:r>
      <w:r w:rsidR="008A78EB">
        <w:rPr>
          <w:szCs w:val="24"/>
        </w:rPr>
        <w:t>9</w:t>
      </w:r>
      <w:r w:rsidR="00965B2A" w:rsidRPr="009057DF">
        <w:rPr>
          <w:szCs w:val="24"/>
        </w:rPr>
        <w:t xml:space="preserve"> (</w:t>
      </w:r>
      <w:r w:rsidR="008A78EB">
        <w:rPr>
          <w:szCs w:val="24"/>
        </w:rPr>
        <w:t>65</w:t>
      </w:r>
      <w:r w:rsidR="008A78EB" w:rsidRPr="008A78EB">
        <w:rPr>
          <w:szCs w:val="24"/>
          <w:vertAlign w:val="superscript"/>
        </w:rPr>
        <w:t>th</w:t>
      </w:r>
      <w:r w:rsidR="008A78EB">
        <w:rPr>
          <w:szCs w:val="24"/>
        </w:rPr>
        <w:t xml:space="preserve"> </w:t>
      </w:r>
      <w:r w:rsidR="009057DF">
        <w:rPr>
          <w:szCs w:val="24"/>
        </w:rPr>
        <w:t xml:space="preserve">APLC </w:t>
      </w:r>
      <w:r w:rsidR="008A78EB">
        <w:rPr>
          <w:szCs w:val="24"/>
        </w:rPr>
        <w:t xml:space="preserve">Commissioners </w:t>
      </w:r>
      <w:r w:rsidR="00965B2A" w:rsidRPr="009057DF">
        <w:rPr>
          <w:szCs w:val="24"/>
        </w:rPr>
        <w:t>meeting)</w:t>
      </w:r>
      <w:r w:rsidR="001008FF" w:rsidRPr="009057DF">
        <w:rPr>
          <w:szCs w:val="24"/>
        </w:rPr>
        <w:t xml:space="preserve"> and </w:t>
      </w:r>
      <w:r w:rsidR="008A78EB">
        <w:rPr>
          <w:szCs w:val="24"/>
        </w:rPr>
        <w:t xml:space="preserve">6 May 2010 </w:t>
      </w:r>
      <w:r w:rsidR="00965B2A" w:rsidRPr="009057DF">
        <w:rPr>
          <w:szCs w:val="24"/>
        </w:rPr>
        <w:t>(</w:t>
      </w:r>
      <w:r w:rsidR="00D57511">
        <w:rPr>
          <w:szCs w:val="24"/>
        </w:rPr>
        <w:t>6</w:t>
      </w:r>
      <w:r w:rsidR="008A78EB">
        <w:rPr>
          <w:szCs w:val="24"/>
        </w:rPr>
        <w:t>6</w:t>
      </w:r>
      <w:r w:rsidR="00D57511" w:rsidRPr="00D57511">
        <w:rPr>
          <w:szCs w:val="24"/>
          <w:vertAlign w:val="superscript"/>
        </w:rPr>
        <w:t>th</w:t>
      </w:r>
      <w:r w:rsidR="00D57511">
        <w:rPr>
          <w:szCs w:val="24"/>
        </w:rPr>
        <w:t xml:space="preserve"> </w:t>
      </w:r>
      <w:r w:rsidR="009057DF">
        <w:rPr>
          <w:szCs w:val="24"/>
        </w:rPr>
        <w:t>APLC</w:t>
      </w:r>
      <w:r w:rsidR="008A78EB">
        <w:rPr>
          <w:szCs w:val="24"/>
        </w:rPr>
        <w:t xml:space="preserve"> Commissioners</w:t>
      </w:r>
      <w:r w:rsidR="009057DF">
        <w:rPr>
          <w:szCs w:val="24"/>
        </w:rPr>
        <w:t xml:space="preserve"> </w:t>
      </w:r>
      <w:r w:rsidR="00965B2A" w:rsidRPr="009057DF">
        <w:rPr>
          <w:szCs w:val="24"/>
        </w:rPr>
        <w:t>meeting)</w:t>
      </w:r>
      <w:r w:rsidR="001008FF" w:rsidRPr="009057DF">
        <w:rPr>
          <w:szCs w:val="24"/>
        </w:rPr>
        <w:t xml:space="preserve">. In accordance with the APLC Memorandum of Understanding, the </w:t>
      </w:r>
      <w:r w:rsidR="008A78EB">
        <w:rPr>
          <w:szCs w:val="24"/>
        </w:rPr>
        <w:t>2009-10</w:t>
      </w:r>
      <w:r w:rsidR="001008FF" w:rsidRPr="009057DF">
        <w:rPr>
          <w:szCs w:val="24"/>
        </w:rPr>
        <w:t xml:space="preserve"> APLC Operational Plan was the main focus of the November meeting, while the </w:t>
      </w:r>
      <w:r w:rsidR="008A78EB">
        <w:rPr>
          <w:szCs w:val="24"/>
        </w:rPr>
        <w:t>2010-11</w:t>
      </w:r>
      <w:r w:rsidR="001008FF" w:rsidRPr="009057DF">
        <w:rPr>
          <w:szCs w:val="24"/>
        </w:rPr>
        <w:t xml:space="preserve"> </w:t>
      </w:r>
      <w:proofErr w:type="gramStart"/>
      <w:r w:rsidR="007E67C3">
        <w:rPr>
          <w:szCs w:val="24"/>
        </w:rPr>
        <w:t>b</w:t>
      </w:r>
      <w:r w:rsidR="001008FF" w:rsidRPr="009057DF">
        <w:rPr>
          <w:szCs w:val="24"/>
        </w:rPr>
        <w:t>udget</w:t>
      </w:r>
      <w:proofErr w:type="gramEnd"/>
      <w:r w:rsidR="001008FF" w:rsidRPr="009057DF">
        <w:rPr>
          <w:szCs w:val="24"/>
        </w:rPr>
        <w:t xml:space="preserve"> and </w:t>
      </w:r>
      <w:r w:rsidR="008A78EB">
        <w:rPr>
          <w:szCs w:val="24"/>
        </w:rPr>
        <w:t>2009-10</w:t>
      </w:r>
      <w:r w:rsidR="001008FF" w:rsidRPr="009057DF">
        <w:rPr>
          <w:szCs w:val="24"/>
        </w:rPr>
        <w:t xml:space="preserve"> </w:t>
      </w:r>
      <w:r w:rsidR="007E67C3">
        <w:rPr>
          <w:szCs w:val="24"/>
        </w:rPr>
        <w:t>f</w:t>
      </w:r>
      <w:r w:rsidR="001008FF" w:rsidRPr="009057DF">
        <w:rPr>
          <w:szCs w:val="24"/>
        </w:rPr>
        <w:t xml:space="preserve">inancial performance were key topics for the </w:t>
      </w:r>
      <w:r w:rsidR="008A78EB">
        <w:rPr>
          <w:szCs w:val="24"/>
        </w:rPr>
        <w:t>May</w:t>
      </w:r>
      <w:r w:rsidR="001008FF" w:rsidRPr="009057DF">
        <w:rPr>
          <w:szCs w:val="24"/>
        </w:rPr>
        <w:t xml:space="preserve"> meeting.</w:t>
      </w:r>
      <w:r w:rsidR="008A78EB">
        <w:rPr>
          <w:szCs w:val="24"/>
        </w:rPr>
        <w:t xml:space="preserve"> The planned Strategic Review of APLC was also considered in detail at the May 2010 meeting</w:t>
      </w:r>
      <w:r w:rsidR="001008FF" w:rsidRPr="009057DF">
        <w:rPr>
          <w:szCs w:val="24"/>
        </w:rPr>
        <w:t>.</w:t>
      </w:r>
    </w:p>
    <w:p w:rsidR="008A78EB" w:rsidRDefault="008A78EB" w:rsidP="00DF02A0">
      <w:pPr>
        <w:ind w:right="-127"/>
        <w:jc w:val="both"/>
        <w:rPr>
          <w:szCs w:val="24"/>
        </w:rPr>
      </w:pPr>
    </w:p>
    <w:p w:rsidR="008A78EB" w:rsidRDefault="008A78EB" w:rsidP="00DF02A0">
      <w:pPr>
        <w:ind w:right="-127"/>
        <w:jc w:val="both"/>
        <w:rPr>
          <w:szCs w:val="24"/>
        </w:rPr>
      </w:pPr>
      <w:r>
        <w:rPr>
          <w:szCs w:val="24"/>
        </w:rPr>
        <w:t xml:space="preserve">Full records of the Commissioners meetings and all decisions taken are archived with APLC and held by all Member jurisdictions. An overview of the 2008-09 performance and outcomes of the Commission was contained in the 2008-09 APLC Annual </w:t>
      </w:r>
      <w:r w:rsidR="007E67C3">
        <w:rPr>
          <w:szCs w:val="24"/>
        </w:rPr>
        <w:t xml:space="preserve">Activity </w:t>
      </w:r>
      <w:r w:rsidR="00417C7E">
        <w:rPr>
          <w:szCs w:val="24"/>
        </w:rPr>
        <w:t>Report</w:t>
      </w:r>
      <w:r>
        <w:rPr>
          <w:szCs w:val="24"/>
        </w:rPr>
        <w:t>, released to Commissioners, stakeholders and the general public (via website posting) in November 2009.</w:t>
      </w:r>
    </w:p>
    <w:p w:rsidR="008A78EB" w:rsidRDefault="008A78EB" w:rsidP="00DF02A0">
      <w:pPr>
        <w:ind w:right="-127"/>
        <w:jc w:val="both"/>
        <w:rPr>
          <w:szCs w:val="24"/>
        </w:rPr>
      </w:pPr>
    </w:p>
    <w:p w:rsidR="008A78EB" w:rsidRDefault="00A01B34" w:rsidP="00DF02A0">
      <w:pPr>
        <w:ind w:right="-127"/>
        <w:jc w:val="both"/>
        <w:rPr>
          <w:szCs w:val="24"/>
        </w:rPr>
      </w:pPr>
      <w:r>
        <w:rPr>
          <w:szCs w:val="24"/>
        </w:rPr>
        <w:t>Key governance issues covered by Commissioners and the APLC Director during 2009-10 included the revision and complete documentation of legislative coverage for APLC officers and activities under each of the Member states’ operative legislation, securing an independent consultant to review and advise on the risks and mitigation measures associated with low-level helicopter use, and establishment of a comprehensive framework and timetable for collaborative planning between the Commission and all Member states in preparation for the anticipated major locust plague in 2010-11.</w:t>
      </w:r>
    </w:p>
    <w:p w:rsidR="008A78EB" w:rsidRPr="009057DF" w:rsidRDefault="008A78EB" w:rsidP="00DF02A0">
      <w:pPr>
        <w:ind w:right="-127"/>
        <w:jc w:val="both"/>
        <w:rPr>
          <w:szCs w:val="24"/>
        </w:rPr>
      </w:pPr>
    </w:p>
    <w:p w:rsidR="00511286" w:rsidRPr="00E52DF3" w:rsidRDefault="00511286" w:rsidP="00DF02A0">
      <w:pPr>
        <w:ind w:right="-307"/>
        <w:jc w:val="both"/>
        <w:rPr>
          <w:rFonts w:ascii="Arial" w:hAnsi="Arial" w:cs="Arial"/>
          <w:sz w:val="22"/>
          <w:szCs w:val="22"/>
        </w:rPr>
      </w:pPr>
    </w:p>
    <w:p w:rsidR="00EF5214" w:rsidRPr="0043520E" w:rsidRDefault="00EF5214" w:rsidP="0043520E">
      <w:pPr>
        <w:pStyle w:val="Heading2"/>
        <w:rPr>
          <w:bCs/>
          <w:color w:val="0000FF"/>
          <w:sz w:val="28"/>
          <w:u w:val="single"/>
        </w:rPr>
      </w:pPr>
      <w:bookmarkStart w:id="102" w:name="_Toc209580105"/>
      <w:bookmarkStart w:id="103" w:name="_Toc209580373"/>
      <w:bookmarkStart w:id="104" w:name="_Toc209580515"/>
      <w:bookmarkStart w:id="105" w:name="_Toc209580782"/>
      <w:bookmarkStart w:id="106" w:name="_Toc263163123"/>
      <w:r w:rsidRPr="0043520E">
        <w:rPr>
          <w:bCs/>
          <w:color w:val="0000FF"/>
          <w:sz w:val="28"/>
          <w:u w:val="single"/>
        </w:rPr>
        <w:t>Staffing</w:t>
      </w:r>
      <w:bookmarkEnd w:id="102"/>
      <w:bookmarkEnd w:id="103"/>
      <w:bookmarkEnd w:id="104"/>
      <w:bookmarkEnd w:id="105"/>
      <w:bookmarkEnd w:id="106"/>
    </w:p>
    <w:p w:rsidR="00075134" w:rsidRDefault="00075134" w:rsidP="00EF5214">
      <w:pPr>
        <w:ind w:right="-765"/>
        <w:jc w:val="both"/>
        <w:rPr>
          <w:b/>
          <w:bCs/>
        </w:rPr>
      </w:pPr>
    </w:p>
    <w:p w:rsidR="007E2B85" w:rsidRDefault="007E2B85" w:rsidP="009057DF">
      <w:pPr>
        <w:jc w:val="both"/>
        <w:rPr>
          <w:bCs/>
          <w:szCs w:val="24"/>
        </w:rPr>
      </w:pPr>
      <w:r>
        <w:rPr>
          <w:bCs/>
          <w:szCs w:val="24"/>
        </w:rPr>
        <w:t>Some movement within, additions to and departures from APLC were experienced during 2009-10.</w:t>
      </w:r>
    </w:p>
    <w:p w:rsidR="007E2B85" w:rsidRDefault="007E2B85" w:rsidP="009057DF">
      <w:pPr>
        <w:jc w:val="both"/>
        <w:rPr>
          <w:bCs/>
          <w:szCs w:val="24"/>
        </w:rPr>
      </w:pPr>
    </w:p>
    <w:p w:rsidR="000468B4" w:rsidRDefault="007E2B85" w:rsidP="009057DF">
      <w:pPr>
        <w:jc w:val="both"/>
        <w:rPr>
          <w:bCs/>
          <w:szCs w:val="24"/>
        </w:rPr>
      </w:pPr>
      <w:r>
        <w:rPr>
          <w:bCs/>
          <w:szCs w:val="24"/>
        </w:rPr>
        <w:t>Mr Ian Wright, who had been with APLC for</w:t>
      </w:r>
      <w:r w:rsidR="00364158">
        <w:rPr>
          <w:bCs/>
          <w:szCs w:val="24"/>
        </w:rPr>
        <w:t xml:space="preserve"> in excess of 30 years in various capacities, retired in October 2009 from the Canberra-based position of Administration Officer. Ian had provided sterling service to APLC in both field base and HQ roles, having trained and mentored a multitude of new and ongoing staff during that time (including several APLC Directors!). Ian’s in-depth knowledge of the workings of the Commission and his understanding of the challenges faced by field staff established him as one of the Commission’s major assets</w:t>
      </w:r>
      <w:r w:rsidR="007E67C3">
        <w:rPr>
          <w:bCs/>
          <w:szCs w:val="24"/>
        </w:rPr>
        <w:t>.</w:t>
      </w:r>
      <w:r w:rsidR="00364158">
        <w:rPr>
          <w:bCs/>
          <w:szCs w:val="24"/>
        </w:rPr>
        <w:t xml:space="preserve"> </w:t>
      </w:r>
      <w:r w:rsidR="007E67C3">
        <w:rPr>
          <w:bCs/>
          <w:szCs w:val="24"/>
        </w:rPr>
        <w:t>H</w:t>
      </w:r>
      <w:r w:rsidR="00364158">
        <w:rPr>
          <w:bCs/>
          <w:szCs w:val="24"/>
        </w:rPr>
        <w:t>is knowledge and expertise will be sorely missed.</w:t>
      </w:r>
    </w:p>
    <w:p w:rsidR="00364158" w:rsidRDefault="00364158" w:rsidP="009057DF">
      <w:pPr>
        <w:jc w:val="both"/>
        <w:rPr>
          <w:bCs/>
          <w:szCs w:val="24"/>
        </w:rPr>
      </w:pPr>
    </w:p>
    <w:p w:rsidR="00364158" w:rsidRDefault="00364158" w:rsidP="009057DF">
      <w:pPr>
        <w:jc w:val="both"/>
        <w:rPr>
          <w:bCs/>
          <w:szCs w:val="24"/>
        </w:rPr>
      </w:pPr>
      <w:r>
        <w:rPr>
          <w:bCs/>
          <w:szCs w:val="24"/>
        </w:rPr>
        <w:t>Three additional field staff joined APLC in October–November 2009. Heather Brooks and Ashley Johnson commenced as field officers at Narromine under the tutelage of John Nolan, while Jason Ullrich returned to a field officer role in Broken Hill, a position he had previously occupied before an absence of several years.</w:t>
      </w:r>
    </w:p>
    <w:p w:rsidR="00364158" w:rsidRDefault="00364158" w:rsidP="009057DF">
      <w:pPr>
        <w:jc w:val="both"/>
        <w:rPr>
          <w:bCs/>
          <w:szCs w:val="24"/>
        </w:rPr>
      </w:pPr>
    </w:p>
    <w:p w:rsidR="00364158" w:rsidRPr="009057DF" w:rsidRDefault="00364158" w:rsidP="009057DF">
      <w:pPr>
        <w:jc w:val="both"/>
        <w:rPr>
          <w:bCs/>
          <w:szCs w:val="24"/>
        </w:rPr>
      </w:pPr>
      <w:r>
        <w:rPr>
          <w:bCs/>
          <w:szCs w:val="24"/>
        </w:rPr>
        <w:t xml:space="preserve">The vacant field officer position at Longreach was filled through the transfer of Clare Mulcahy from Narromine in late August 2009. Clare joins OIC Andrew Coleman to maintain an effective field presence covering </w:t>
      </w:r>
      <w:r w:rsidR="007E67C3">
        <w:rPr>
          <w:bCs/>
          <w:szCs w:val="24"/>
        </w:rPr>
        <w:t>western</w:t>
      </w:r>
      <w:r>
        <w:rPr>
          <w:bCs/>
          <w:szCs w:val="24"/>
        </w:rPr>
        <w:t xml:space="preserve"> Queensland.</w:t>
      </w:r>
    </w:p>
    <w:p w:rsidR="00075134" w:rsidRPr="00075134" w:rsidRDefault="00075134" w:rsidP="00075134">
      <w:pPr>
        <w:ind w:right="-177"/>
        <w:jc w:val="both"/>
        <w:rPr>
          <w:rFonts w:ascii="Arial" w:hAnsi="Arial" w:cs="Arial"/>
          <w:bCs/>
          <w:sz w:val="22"/>
          <w:szCs w:val="22"/>
        </w:rPr>
      </w:pPr>
    </w:p>
    <w:p w:rsidR="00075134" w:rsidRDefault="00075134" w:rsidP="00EF5214">
      <w:pPr>
        <w:ind w:right="-765"/>
        <w:jc w:val="both"/>
        <w:rPr>
          <w:b/>
          <w:bCs/>
        </w:rPr>
      </w:pPr>
    </w:p>
    <w:p w:rsidR="007459C9" w:rsidRDefault="007459C9">
      <w:pPr>
        <w:rPr>
          <w:b/>
          <w:color w:val="000000"/>
          <w:u w:val="single"/>
        </w:rPr>
      </w:pPr>
      <w:bookmarkStart w:id="107" w:name="_Toc209581996"/>
      <w:r>
        <w:rPr>
          <w:b/>
          <w:color w:val="000000"/>
          <w:u w:val="single"/>
        </w:rPr>
        <w:br w:type="page"/>
      </w:r>
    </w:p>
    <w:p w:rsidR="000468B4" w:rsidRPr="005E79DA" w:rsidRDefault="000468B4" w:rsidP="000468B4">
      <w:pPr>
        <w:ind w:right="-765"/>
        <w:jc w:val="both"/>
        <w:rPr>
          <w:rFonts w:ascii="Arial" w:hAnsi="Arial" w:cs="Arial"/>
          <w:b/>
          <w:bCs/>
          <w:color w:val="000000"/>
          <w:sz w:val="22"/>
          <w:szCs w:val="22"/>
          <w:u w:val="single"/>
        </w:rPr>
      </w:pPr>
      <w:r w:rsidRPr="005E79DA">
        <w:rPr>
          <w:b/>
          <w:color w:val="000000"/>
          <w:u w:val="single"/>
        </w:rPr>
        <w:lastRenderedPageBreak/>
        <w:t xml:space="preserve">Table </w:t>
      </w:r>
      <w:proofErr w:type="gramStart"/>
      <w:r w:rsidR="00FE3181">
        <w:rPr>
          <w:b/>
          <w:color w:val="000000"/>
          <w:u w:val="single"/>
        </w:rPr>
        <w:t>4</w:t>
      </w:r>
      <w:r w:rsidRPr="005E79DA">
        <w:rPr>
          <w:b/>
          <w:color w:val="000000"/>
          <w:u w:val="single"/>
        </w:rPr>
        <w:t xml:space="preserve"> :</w:t>
      </w:r>
      <w:proofErr w:type="gramEnd"/>
      <w:r w:rsidRPr="005E79DA">
        <w:rPr>
          <w:rFonts w:ascii="Arial" w:hAnsi="Arial" w:cs="Arial"/>
          <w:b/>
          <w:bCs/>
          <w:color w:val="000000"/>
          <w:sz w:val="22"/>
          <w:szCs w:val="22"/>
          <w:u w:val="single"/>
        </w:rPr>
        <w:t xml:space="preserve"> </w:t>
      </w:r>
      <w:r w:rsidR="002E6CA9" w:rsidRPr="002E6CA9">
        <w:rPr>
          <w:b/>
          <w:color w:val="000000"/>
          <w:u w:val="single"/>
        </w:rPr>
        <w:t>APLC</w:t>
      </w:r>
      <w:r w:rsidR="002E6CA9">
        <w:rPr>
          <w:rFonts w:ascii="Arial" w:hAnsi="Arial" w:cs="Arial"/>
          <w:b/>
          <w:bCs/>
          <w:color w:val="000000"/>
          <w:sz w:val="22"/>
          <w:szCs w:val="22"/>
          <w:u w:val="single"/>
        </w:rPr>
        <w:t xml:space="preserve"> </w:t>
      </w:r>
      <w:r w:rsidRPr="00364158">
        <w:rPr>
          <w:b/>
          <w:color w:val="000000"/>
          <w:u w:val="single"/>
        </w:rPr>
        <w:t xml:space="preserve">Staffing position </w:t>
      </w:r>
      <w:r w:rsidR="00364158">
        <w:rPr>
          <w:b/>
          <w:color w:val="000000"/>
          <w:u w:val="single"/>
        </w:rPr>
        <w:t>during</w:t>
      </w:r>
      <w:r w:rsidRPr="00364158">
        <w:rPr>
          <w:b/>
          <w:color w:val="000000"/>
          <w:u w:val="single"/>
        </w:rPr>
        <w:t xml:space="preserve"> 200</w:t>
      </w:r>
      <w:bookmarkEnd w:id="107"/>
      <w:r w:rsidR="00364158">
        <w:rPr>
          <w:b/>
          <w:color w:val="000000"/>
          <w:u w:val="single"/>
        </w:rPr>
        <w:t>9</w:t>
      </w:r>
      <w:r w:rsidRPr="00364158">
        <w:rPr>
          <w:b/>
          <w:color w:val="000000"/>
          <w:u w:val="single"/>
        </w:rPr>
        <w:t>-</w:t>
      </w:r>
      <w:r w:rsidR="00364158">
        <w:rPr>
          <w:b/>
          <w:color w:val="000000"/>
          <w:u w:val="single"/>
        </w:rPr>
        <w:t>1</w:t>
      </w:r>
      <w:r w:rsidRPr="00364158">
        <w:rPr>
          <w:b/>
          <w:color w:val="000000"/>
          <w:u w:val="single"/>
        </w:rPr>
        <w:t>0</w:t>
      </w:r>
    </w:p>
    <w:p w:rsidR="000468B4" w:rsidRPr="005E79DA" w:rsidRDefault="000468B4" w:rsidP="000468B4">
      <w:pPr>
        <w:ind w:right="-765"/>
        <w:jc w:val="both"/>
        <w:rPr>
          <w:b/>
          <w:bCs/>
          <w:color w:val="000000"/>
        </w:rPr>
      </w:pPr>
    </w:p>
    <w:tbl>
      <w:tblPr>
        <w:tblW w:w="8330" w:type="dxa"/>
        <w:tblBorders>
          <w:top w:val="single" w:sz="12" w:space="0" w:color="000000"/>
          <w:bottom w:val="single" w:sz="12" w:space="0" w:color="000000"/>
        </w:tblBorders>
        <w:tblLook w:val="00A0"/>
      </w:tblPr>
      <w:tblGrid>
        <w:gridCol w:w="1548"/>
        <w:gridCol w:w="2638"/>
        <w:gridCol w:w="2301"/>
        <w:gridCol w:w="1843"/>
      </w:tblGrid>
      <w:tr w:rsidR="008A78EB" w:rsidRPr="00EF1EA2" w:rsidTr="007459C9">
        <w:trPr>
          <w:trHeight w:val="480"/>
          <w:tblHeader/>
        </w:trPr>
        <w:tc>
          <w:tcPr>
            <w:tcW w:w="1548" w:type="dxa"/>
            <w:tcBorders>
              <w:top w:val="single" w:sz="4" w:space="0" w:color="auto"/>
              <w:left w:val="single" w:sz="4" w:space="0" w:color="auto"/>
              <w:bottom w:val="single" w:sz="6" w:space="0" w:color="000000"/>
              <w:right w:val="single" w:sz="6" w:space="0" w:color="000000"/>
            </w:tcBorders>
            <w:shd w:val="clear" w:color="auto" w:fill="auto"/>
          </w:tcPr>
          <w:p w:rsidR="008A78EB" w:rsidRPr="00EF1EA2" w:rsidRDefault="008A78EB" w:rsidP="00EF1EA2">
            <w:pPr>
              <w:jc w:val="center"/>
              <w:rPr>
                <w:rFonts w:ascii="Palatino Linotype" w:hAnsi="Palatino Linotype"/>
                <w:b/>
                <w:bCs/>
                <w:i/>
                <w:iCs/>
                <w:color w:val="000000"/>
                <w:sz w:val="20"/>
                <w:lang w:eastAsia="en-AU"/>
              </w:rPr>
            </w:pPr>
            <w:r w:rsidRPr="00EF1EA2">
              <w:rPr>
                <w:rFonts w:ascii="Palatino Linotype" w:hAnsi="Palatino Linotype"/>
                <w:b/>
                <w:bCs/>
                <w:i/>
                <w:iCs/>
                <w:color w:val="000000"/>
                <w:sz w:val="20"/>
                <w:lang w:eastAsia="en-AU"/>
              </w:rPr>
              <w:t>Officer</w:t>
            </w:r>
          </w:p>
        </w:tc>
        <w:tc>
          <w:tcPr>
            <w:tcW w:w="2638" w:type="dxa"/>
            <w:tcBorders>
              <w:top w:val="single" w:sz="4" w:space="0" w:color="auto"/>
              <w:bottom w:val="single" w:sz="6" w:space="0" w:color="000000"/>
              <w:right w:val="single" w:sz="4" w:space="0" w:color="auto"/>
            </w:tcBorders>
            <w:shd w:val="clear" w:color="auto" w:fill="auto"/>
          </w:tcPr>
          <w:p w:rsidR="008A78EB" w:rsidRPr="00EF1EA2" w:rsidRDefault="008A78EB" w:rsidP="00EF1EA2">
            <w:pPr>
              <w:jc w:val="center"/>
              <w:rPr>
                <w:rFonts w:ascii="Palatino Linotype" w:hAnsi="Palatino Linotype"/>
                <w:b/>
                <w:bCs/>
                <w:i/>
                <w:iCs/>
                <w:color w:val="000000"/>
                <w:sz w:val="20"/>
                <w:lang w:eastAsia="en-AU"/>
              </w:rPr>
            </w:pPr>
            <w:r w:rsidRPr="00EF1EA2">
              <w:rPr>
                <w:rFonts w:ascii="Palatino Linotype" w:hAnsi="Palatino Linotype"/>
                <w:b/>
                <w:bCs/>
                <w:i/>
                <w:iCs/>
                <w:color w:val="000000"/>
                <w:sz w:val="20"/>
                <w:lang w:eastAsia="en-AU"/>
              </w:rPr>
              <w:t>Position</w:t>
            </w:r>
          </w:p>
        </w:tc>
        <w:tc>
          <w:tcPr>
            <w:tcW w:w="2301" w:type="dxa"/>
            <w:tcBorders>
              <w:top w:val="single" w:sz="4" w:space="0" w:color="auto"/>
              <w:left w:val="single" w:sz="4" w:space="0" w:color="auto"/>
              <w:bottom w:val="single" w:sz="6" w:space="0" w:color="000000"/>
              <w:right w:val="single" w:sz="4" w:space="0" w:color="auto"/>
            </w:tcBorders>
          </w:tcPr>
          <w:p w:rsidR="008A78EB" w:rsidRPr="00EF1EA2" w:rsidRDefault="008A78EB" w:rsidP="00EF1EA2">
            <w:pPr>
              <w:ind w:right="-88"/>
              <w:jc w:val="center"/>
              <w:rPr>
                <w:rFonts w:ascii="Palatino Linotype" w:hAnsi="Palatino Linotype"/>
                <w:b/>
                <w:bCs/>
                <w:i/>
                <w:iCs/>
                <w:color w:val="000000"/>
                <w:sz w:val="20"/>
                <w:lang w:eastAsia="en-AU"/>
              </w:rPr>
            </w:pPr>
            <w:r>
              <w:rPr>
                <w:rFonts w:ascii="Palatino Linotype" w:hAnsi="Palatino Linotype"/>
                <w:b/>
                <w:bCs/>
                <w:i/>
                <w:iCs/>
                <w:color w:val="000000"/>
                <w:sz w:val="20"/>
                <w:lang w:eastAsia="en-AU"/>
              </w:rPr>
              <w:t>Location</w:t>
            </w:r>
          </w:p>
        </w:tc>
        <w:tc>
          <w:tcPr>
            <w:tcW w:w="1843" w:type="dxa"/>
            <w:tcBorders>
              <w:top w:val="single" w:sz="4" w:space="0" w:color="auto"/>
              <w:left w:val="single" w:sz="4" w:space="0" w:color="auto"/>
              <w:bottom w:val="single" w:sz="6" w:space="0" w:color="000000"/>
              <w:right w:val="single" w:sz="4" w:space="0" w:color="auto"/>
            </w:tcBorders>
            <w:shd w:val="clear" w:color="auto" w:fill="auto"/>
          </w:tcPr>
          <w:p w:rsidR="008A78EB" w:rsidRPr="00EF1EA2" w:rsidRDefault="008A78EB" w:rsidP="00EF1EA2">
            <w:pPr>
              <w:ind w:right="-88"/>
              <w:jc w:val="center"/>
              <w:rPr>
                <w:rFonts w:ascii="Palatino Linotype" w:hAnsi="Palatino Linotype"/>
                <w:b/>
                <w:bCs/>
                <w:i/>
                <w:iCs/>
                <w:color w:val="000000"/>
                <w:sz w:val="20"/>
                <w:lang w:eastAsia="en-AU"/>
              </w:rPr>
            </w:pPr>
            <w:r w:rsidRPr="00EF1EA2">
              <w:rPr>
                <w:rFonts w:ascii="Palatino Linotype" w:hAnsi="Palatino Linotype"/>
                <w:b/>
                <w:bCs/>
                <w:i/>
                <w:iCs/>
                <w:color w:val="000000"/>
                <w:sz w:val="20"/>
                <w:lang w:eastAsia="en-AU"/>
              </w:rPr>
              <w:t>Period Employed</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C. Adriaansen</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Director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W. Spratt</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Deputy Director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E. Deveson</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Forecasting &amp; Information Officer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P. Spurgin</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Control Officer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P. Story</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Environmental Officer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944241" w:rsidRPr="00EF1EA2" w:rsidTr="007459C9">
        <w:trPr>
          <w:trHeight w:val="255"/>
        </w:trPr>
        <w:tc>
          <w:tcPr>
            <w:tcW w:w="1548" w:type="dxa"/>
            <w:tcBorders>
              <w:left w:val="single" w:sz="4" w:space="0" w:color="auto"/>
              <w:right w:val="single" w:sz="6" w:space="0" w:color="000000"/>
            </w:tcBorders>
            <w:shd w:val="clear" w:color="auto" w:fill="auto"/>
            <w:noWrap/>
          </w:tcPr>
          <w:p w:rsidR="00944241" w:rsidRPr="00EF1EA2" w:rsidRDefault="00944241" w:rsidP="00EF1EA2">
            <w:pPr>
              <w:spacing w:before="120" w:after="120"/>
              <w:rPr>
                <w:rFonts w:ascii="Palatino Linotype" w:hAnsi="Palatino Linotype"/>
                <w:color w:val="000000"/>
                <w:sz w:val="20"/>
                <w:lang w:eastAsia="en-AU"/>
              </w:rPr>
            </w:pPr>
            <w:r>
              <w:rPr>
                <w:rFonts w:ascii="Palatino Linotype" w:hAnsi="Palatino Linotype"/>
                <w:color w:val="000000"/>
                <w:sz w:val="20"/>
                <w:lang w:eastAsia="en-AU"/>
              </w:rPr>
              <w:t>J. Woodman</w:t>
            </w:r>
          </w:p>
        </w:tc>
        <w:tc>
          <w:tcPr>
            <w:tcW w:w="2638" w:type="dxa"/>
            <w:tcBorders>
              <w:right w:val="single" w:sz="4" w:space="0" w:color="auto"/>
            </w:tcBorders>
            <w:shd w:val="clear" w:color="auto" w:fill="auto"/>
            <w:noWrap/>
          </w:tcPr>
          <w:p w:rsidR="00944241" w:rsidRPr="00EF1EA2" w:rsidRDefault="00944241" w:rsidP="00EF1EA2">
            <w:pPr>
              <w:spacing w:before="120" w:after="120"/>
              <w:rPr>
                <w:rFonts w:ascii="Palatino Linotype" w:hAnsi="Palatino Linotype"/>
                <w:color w:val="000000"/>
                <w:sz w:val="20"/>
                <w:lang w:eastAsia="en-AU"/>
              </w:rPr>
            </w:pPr>
            <w:r>
              <w:rPr>
                <w:rFonts w:ascii="Palatino Linotype" w:hAnsi="Palatino Linotype"/>
                <w:color w:val="000000"/>
                <w:sz w:val="20"/>
                <w:lang w:eastAsia="en-AU"/>
              </w:rPr>
              <w:t>Entomologist</w:t>
            </w:r>
          </w:p>
        </w:tc>
        <w:tc>
          <w:tcPr>
            <w:tcW w:w="2301" w:type="dxa"/>
            <w:tcBorders>
              <w:left w:val="single" w:sz="4" w:space="0" w:color="auto"/>
              <w:right w:val="single" w:sz="4" w:space="0" w:color="auto"/>
            </w:tcBorders>
          </w:tcPr>
          <w:p w:rsidR="00944241"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944241" w:rsidRPr="00EF1EA2" w:rsidRDefault="00944241"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H. Wang</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GIS Officer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H. McRae</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OH&amp;S/Training Officer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I. Wright</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Administration Officer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Until 23/10/09</w:t>
            </w:r>
          </w:p>
        </w:tc>
      </w:tr>
      <w:tr w:rsidR="00944241" w:rsidRPr="00EF1EA2" w:rsidTr="007459C9">
        <w:trPr>
          <w:trHeight w:val="255"/>
        </w:trPr>
        <w:tc>
          <w:tcPr>
            <w:tcW w:w="1548" w:type="dxa"/>
            <w:tcBorders>
              <w:left w:val="single" w:sz="4" w:space="0" w:color="auto"/>
              <w:right w:val="single" w:sz="6" w:space="0" w:color="000000"/>
            </w:tcBorders>
            <w:shd w:val="clear" w:color="auto" w:fill="auto"/>
            <w:noWrap/>
          </w:tcPr>
          <w:p w:rsidR="00944241" w:rsidRPr="00EF1EA2" w:rsidRDefault="00944241" w:rsidP="00EF1EA2">
            <w:pPr>
              <w:spacing w:before="120" w:after="120"/>
              <w:rPr>
                <w:rFonts w:ascii="Palatino Linotype" w:hAnsi="Palatino Linotype"/>
                <w:color w:val="000000"/>
                <w:sz w:val="20"/>
                <w:lang w:eastAsia="en-AU"/>
              </w:rPr>
            </w:pPr>
            <w:r>
              <w:rPr>
                <w:rFonts w:ascii="Palatino Linotype" w:hAnsi="Palatino Linotype"/>
                <w:color w:val="000000"/>
                <w:sz w:val="20"/>
                <w:lang w:eastAsia="en-AU"/>
              </w:rPr>
              <w:t>P Slattery</w:t>
            </w:r>
          </w:p>
        </w:tc>
        <w:tc>
          <w:tcPr>
            <w:tcW w:w="2638" w:type="dxa"/>
            <w:tcBorders>
              <w:right w:val="single" w:sz="4" w:space="0" w:color="auto"/>
            </w:tcBorders>
            <w:shd w:val="clear" w:color="auto" w:fill="auto"/>
            <w:noWrap/>
          </w:tcPr>
          <w:p w:rsidR="00944241" w:rsidRPr="00EF1EA2" w:rsidRDefault="00FF2D6C"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Administration Officer</w:t>
            </w:r>
          </w:p>
        </w:tc>
        <w:tc>
          <w:tcPr>
            <w:tcW w:w="2301" w:type="dxa"/>
            <w:tcBorders>
              <w:left w:val="single" w:sz="4" w:space="0" w:color="auto"/>
              <w:right w:val="single" w:sz="4" w:space="0" w:color="auto"/>
            </w:tcBorders>
          </w:tcPr>
          <w:p w:rsidR="00944241"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944241" w:rsidRPr="00EF1EA2" w:rsidRDefault="00944241"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From 01/11/09</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R. Graham</w:t>
            </w:r>
          </w:p>
        </w:tc>
        <w:tc>
          <w:tcPr>
            <w:tcW w:w="2638" w:type="dxa"/>
            <w:tcBorders>
              <w:right w:val="single" w:sz="4" w:space="0" w:color="auto"/>
            </w:tcBorders>
            <w:shd w:val="clear" w:color="auto" w:fill="auto"/>
            <w:noWrap/>
          </w:tcPr>
          <w:p w:rsidR="008A78EB" w:rsidRPr="00EF1EA2" w:rsidRDefault="00FF2D6C" w:rsidP="00FF2D6C">
            <w:pPr>
              <w:spacing w:before="120" w:after="120"/>
              <w:rPr>
                <w:rFonts w:ascii="Palatino Linotype" w:hAnsi="Palatino Linotype"/>
                <w:color w:val="000000"/>
                <w:sz w:val="20"/>
                <w:lang w:eastAsia="en-AU"/>
              </w:rPr>
            </w:pPr>
            <w:r>
              <w:rPr>
                <w:rFonts w:ascii="Palatino Linotype" w:hAnsi="Palatino Linotype"/>
                <w:color w:val="000000"/>
                <w:sz w:val="20"/>
                <w:lang w:eastAsia="en-AU"/>
              </w:rPr>
              <w:t>Officer in Charge</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Broken Hill</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FF2D6C" w:rsidRPr="00EF1EA2" w:rsidTr="007459C9">
        <w:trPr>
          <w:trHeight w:val="255"/>
        </w:trPr>
        <w:tc>
          <w:tcPr>
            <w:tcW w:w="1548" w:type="dxa"/>
            <w:tcBorders>
              <w:left w:val="single" w:sz="4" w:space="0" w:color="auto"/>
              <w:right w:val="single" w:sz="6" w:space="0" w:color="000000"/>
            </w:tcBorders>
            <w:shd w:val="clear" w:color="auto" w:fill="auto"/>
            <w:noWrap/>
          </w:tcPr>
          <w:p w:rsidR="00FF2D6C" w:rsidRPr="00EF1EA2" w:rsidRDefault="00FF2D6C" w:rsidP="00FF2D6C">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L. Sanchez</w:t>
            </w:r>
          </w:p>
        </w:tc>
        <w:tc>
          <w:tcPr>
            <w:tcW w:w="2638" w:type="dxa"/>
            <w:tcBorders>
              <w:right w:val="single" w:sz="4" w:space="0" w:color="auto"/>
            </w:tcBorders>
            <w:shd w:val="clear" w:color="auto" w:fill="auto"/>
            <w:noWrap/>
          </w:tcPr>
          <w:p w:rsidR="00FF2D6C" w:rsidRPr="00EF1EA2" w:rsidRDefault="00FF2D6C" w:rsidP="00FF2D6C">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FF2D6C" w:rsidRPr="00EF1EA2" w:rsidRDefault="00FF2D6C" w:rsidP="00FF2D6C">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Broken Hill</w:t>
            </w:r>
          </w:p>
        </w:tc>
        <w:tc>
          <w:tcPr>
            <w:tcW w:w="1843" w:type="dxa"/>
            <w:tcBorders>
              <w:left w:val="single" w:sz="4" w:space="0" w:color="auto"/>
              <w:right w:val="single" w:sz="4" w:space="0" w:color="auto"/>
            </w:tcBorders>
            <w:shd w:val="clear" w:color="auto" w:fill="auto"/>
            <w:noWrap/>
          </w:tcPr>
          <w:p w:rsidR="00FF2D6C" w:rsidRPr="00EF1EA2" w:rsidRDefault="00FF2D6C" w:rsidP="00FF2D6C">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FF2D6C" w:rsidRPr="00EF1EA2" w:rsidTr="007459C9">
        <w:trPr>
          <w:trHeight w:val="255"/>
        </w:trPr>
        <w:tc>
          <w:tcPr>
            <w:tcW w:w="1548" w:type="dxa"/>
            <w:tcBorders>
              <w:left w:val="single" w:sz="4" w:space="0" w:color="auto"/>
              <w:right w:val="single" w:sz="6" w:space="0" w:color="000000"/>
            </w:tcBorders>
            <w:shd w:val="clear" w:color="auto" w:fill="auto"/>
            <w:noWrap/>
          </w:tcPr>
          <w:p w:rsidR="00FF2D6C" w:rsidRPr="00EF1EA2" w:rsidRDefault="00FF2D6C" w:rsidP="00FF2D6C">
            <w:pPr>
              <w:spacing w:before="120" w:after="120"/>
              <w:rPr>
                <w:rFonts w:ascii="Palatino Linotype" w:hAnsi="Palatino Linotype"/>
                <w:color w:val="000000"/>
                <w:sz w:val="20"/>
                <w:lang w:eastAsia="en-AU"/>
              </w:rPr>
            </w:pPr>
            <w:r>
              <w:rPr>
                <w:rFonts w:ascii="Palatino Linotype" w:hAnsi="Palatino Linotype"/>
                <w:color w:val="000000"/>
                <w:sz w:val="20"/>
                <w:lang w:eastAsia="en-AU"/>
              </w:rPr>
              <w:t>J. Ullrich</w:t>
            </w:r>
          </w:p>
        </w:tc>
        <w:tc>
          <w:tcPr>
            <w:tcW w:w="2638" w:type="dxa"/>
            <w:tcBorders>
              <w:right w:val="single" w:sz="4" w:space="0" w:color="auto"/>
            </w:tcBorders>
            <w:shd w:val="clear" w:color="auto" w:fill="auto"/>
            <w:noWrap/>
          </w:tcPr>
          <w:p w:rsidR="00FF2D6C" w:rsidRPr="00EF1EA2" w:rsidRDefault="00FF2D6C" w:rsidP="00FF2D6C">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FF2D6C" w:rsidRPr="00EF1EA2" w:rsidRDefault="00FF2D6C" w:rsidP="00FF2D6C">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Broken Hill</w:t>
            </w:r>
          </w:p>
        </w:tc>
        <w:tc>
          <w:tcPr>
            <w:tcW w:w="1843" w:type="dxa"/>
            <w:tcBorders>
              <w:left w:val="single" w:sz="4" w:space="0" w:color="auto"/>
              <w:right w:val="single" w:sz="4" w:space="0" w:color="auto"/>
            </w:tcBorders>
            <w:shd w:val="clear" w:color="auto" w:fill="auto"/>
            <w:noWrap/>
          </w:tcPr>
          <w:p w:rsidR="00FF2D6C" w:rsidRPr="00EF1EA2" w:rsidRDefault="00FF2D6C" w:rsidP="00FF2D6C">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From 26/10/09</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J. Nolan</w:t>
            </w:r>
          </w:p>
        </w:tc>
        <w:tc>
          <w:tcPr>
            <w:tcW w:w="2638" w:type="dxa"/>
            <w:tcBorders>
              <w:right w:val="single" w:sz="4" w:space="0" w:color="auto"/>
            </w:tcBorders>
            <w:shd w:val="clear" w:color="auto" w:fill="auto"/>
            <w:noWrap/>
          </w:tcPr>
          <w:p w:rsidR="008A78EB" w:rsidRPr="00EF1EA2" w:rsidRDefault="00FF2D6C" w:rsidP="00EF1EA2">
            <w:pPr>
              <w:spacing w:before="120" w:after="120"/>
              <w:rPr>
                <w:rFonts w:ascii="Palatino Linotype" w:hAnsi="Palatino Linotype"/>
                <w:color w:val="000000"/>
                <w:sz w:val="20"/>
                <w:lang w:eastAsia="en-AU"/>
              </w:rPr>
            </w:pPr>
            <w:r>
              <w:rPr>
                <w:rFonts w:ascii="Palatino Linotype" w:hAnsi="Palatino Linotype"/>
                <w:color w:val="000000"/>
                <w:sz w:val="20"/>
                <w:lang w:eastAsia="en-AU"/>
              </w:rPr>
              <w:t>Officer in Charge</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Narromine</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FF2D6C" w:rsidRPr="00EF1EA2" w:rsidTr="007459C9">
        <w:trPr>
          <w:trHeight w:val="255"/>
        </w:trPr>
        <w:tc>
          <w:tcPr>
            <w:tcW w:w="1548" w:type="dxa"/>
            <w:tcBorders>
              <w:left w:val="single" w:sz="4" w:space="0" w:color="auto"/>
              <w:right w:val="single" w:sz="6" w:space="0" w:color="000000"/>
            </w:tcBorders>
            <w:shd w:val="clear" w:color="auto" w:fill="auto"/>
            <w:noWrap/>
          </w:tcPr>
          <w:p w:rsidR="00FF2D6C" w:rsidRPr="00EF1EA2" w:rsidRDefault="00FF2D6C" w:rsidP="00FF2D6C">
            <w:pPr>
              <w:spacing w:before="120" w:after="120"/>
              <w:rPr>
                <w:rFonts w:ascii="Palatino Linotype" w:hAnsi="Palatino Linotype"/>
                <w:color w:val="000000"/>
                <w:sz w:val="20"/>
                <w:lang w:eastAsia="en-AU"/>
              </w:rPr>
            </w:pPr>
            <w:r>
              <w:rPr>
                <w:rFonts w:ascii="Palatino Linotype" w:hAnsi="Palatino Linotype"/>
                <w:color w:val="000000"/>
                <w:sz w:val="20"/>
                <w:lang w:eastAsia="en-AU"/>
              </w:rPr>
              <w:t>H. Brooks</w:t>
            </w:r>
          </w:p>
        </w:tc>
        <w:tc>
          <w:tcPr>
            <w:tcW w:w="2638" w:type="dxa"/>
            <w:tcBorders>
              <w:right w:val="single" w:sz="4" w:space="0" w:color="auto"/>
            </w:tcBorders>
            <w:shd w:val="clear" w:color="auto" w:fill="auto"/>
            <w:noWrap/>
          </w:tcPr>
          <w:p w:rsidR="00FF2D6C" w:rsidRPr="00EF1EA2" w:rsidRDefault="00FF2D6C" w:rsidP="00FF2D6C">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FF2D6C" w:rsidRPr="00EF1EA2" w:rsidRDefault="00FF2D6C" w:rsidP="00FF2D6C">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Narromine</w:t>
            </w:r>
          </w:p>
        </w:tc>
        <w:tc>
          <w:tcPr>
            <w:tcW w:w="1843" w:type="dxa"/>
            <w:tcBorders>
              <w:left w:val="single" w:sz="4" w:space="0" w:color="auto"/>
              <w:right w:val="single" w:sz="4" w:space="0" w:color="auto"/>
            </w:tcBorders>
            <w:shd w:val="clear" w:color="auto" w:fill="auto"/>
            <w:noWrap/>
          </w:tcPr>
          <w:p w:rsidR="00FF2D6C" w:rsidRPr="00EF1EA2" w:rsidRDefault="00FF2D6C" w:rsidP="00FF2D6C">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From 02/11/09</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FF2D6C" w:rsidP="00EF1EA2">
            <w:pPr>
              <w:spacing w:before="120" w:after="120"/>
              <w:rPr>
                <w:rFonts w:ascii="Palatino Linotype" w:hAnsi="Palatino Linotype"/>
                <w:color w:val="000000"/>
                <w:sz w:val="20"/>
                <w:lang w:eastAsia="en-AU"/>
              </w:rPr>
            </w:pPr>
            <w:r>
              <w:rPr>
                <w:rFonts w:ascii="Palatino Linotype" w:hAnsi="Palatino Linotype"/>
                <w:color w:val="000000"/>
                <w:sz w:val="20"/>
                <w:lang w:eastAsia="en-AU"/>
              </w:rPr>
              <w:t>A. Johnson</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Narromine</w:t>
            </w:r>
          </w:p>
        </w:tc>
        <w:tc>
          <w:tcPr>
            <w:tcW w:w="1843" w:type="dxa"/>
            <w:tcBorders>
              <w:left w:val="single" w:sz="4" w:space="0" w:color="auto"/>
              <w:right w:val="single" w:sz="4" w:space="0" w:color="auto"/>
            </w:tcBorders>
            <w:shd w:val="clear" w:color="auto" w:fill="auto"/>
            <w:noWrap/>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From 02/11/09</w:t>
            </w:r>
          </w:p>
        </w:tc>
      </w:tr>
      <w:tr w:rsidR="00FF2D6C" w:rsidRPr="00EF1EA2" w:rsidTr="007459C9">
        <w:trPr>
          <w:trHeight w:val="255"/>
        </w:trPr>
        <w:tc>
          <w:tcPr>
            <w:tcW w:w="1548" w:type="dxa"/>
            <w:tcBorders>
              <w:left w:val="single" w:sz="4" w:space="0" w:color="auto"/>
              <w:right w:val="single" w:sz="6" w:space="0" w:color="000000"/>
            </w:tcBorders>
            <w:shd w:val="clear" w:color="auto" w:fill="auto"/>
            <w:noWrap/>
          </w:tcPr>
          <w:p w:rsidR="00FF2D6C" w:rsidRPr="00EF1EA2" w:rsidRDefault="00FF2D6C" w:rsidP="00FF2D6C">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A. Coleman</w:t>
            </w:r>
          </w:p>
        </w:tc>
        <w:tc>
          <w:tcPr>
            <w:tcW w:w="2638" w:type="dxa"/>
            <w:tcBorders>
              <w:right w:val="single" w:sz="4" w:space="0" w:color="auto"/>
            </w:tcBorders>
            <w:shd w:val="clear" w:color="auto" w:fill="auto"/>
            <w:noWrap/>
          </w:tcPr>
          <w:p w:rsidR="00FF2D6C" w:rsidRPr="00EF1EA2" w:rsidRDefault="00FF2D6C" w:rsidP="00FF2D6C">
            <w:pPr>
              <w:spacing w:before="120" w:after="120"/>
              <w:rPr>
                <w:rFonts w:ascii="Palatino Linotype" w:hAnsi="Palatino Linotype"/>
                <w:color w:val="000000"/>
                <w:sz w:val="20"/>
                <w:lang w:eastAsia="en-AU"/>
              </w:rPr>
            </w:pPr>
            <w:r>
              <w:rPr>
                <w:rFonts w:ascii="Palatino Linotype" w:hAnsi="Palatino Linotype"/>
                <w:color w:val="000000"/>
                <w:sz w:val="20"/>
                <w:lang w:eastAsia="en-AU"/>
              </w:rPr>
              <w:t>Officer in Charge</w:t>
            </w:r>
          </w:p>
        </w:tc>
        <w:tc>
          <w:tcPr>
            <w:tcW w:w="2301" w:type="dxa"/>
            <w:tcBorders>
              <w:left w:val="single" w:sz="4" w:space="0" w:color="auto"/>
              <w:right w:val="single" w:sz="4" w:space="0" w:color="auto"/>
            </w:tcBorders>
          </w:tcPr>
          <w:p w:rsidR="00FF2D6C" w:rsidRPr="00EF1EA2" w:rsidRDefault="00FF2D6C" w:rsidP="00FF2D6C">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Longreach</w:t>
            </w:r>
          </w:p>
        </w:tc>
        <w:tc>
          <w:tcPr>
            <w:tcW w:w="1843" w:type="dxa"/>
            <w:tcBorders>
              <w:left w:val="single" w:sz="4" w:space="0" w:color="auto"/>
              <w:right w:val="single" w:sz="4" w:space="0" w:color="auto"/>
            </w:tcBorders>
            <w:shd w:val="clear" w:color="auto" w:fill="auto"/>
            <w:noWrap/>
          </w:tcPr>
          <w:p w:rsidR="00FF2D6C" w:rsidRPr="00EF1EA2" w:rsidRDefault="00FF2D6C" w:rsidP="00FF2D6C">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C. Mulcahy</w:t>
            </w:r>
          </w:p>
        </w:tc>
        <w:tc>
          <w:tcPr>
            <w:tcW w:w="2638" w:type="dxa"/>
            <w:tcBorders>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8A78EB" w:rsidRPr="00EF1EA2" w:rsidRDefault="00FF2D6C" w:rsidP="00EF1EA2">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Narromine &amp; Longreach</w:t>
            </w:r>
          </w:p>
        </w:tc>
        <w:tc>
          <w:tcPr>
            <w:tcW w:w="1843" w:type="dxa"/>
            <w:tcBorders>
              <w:left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8A78EB" w:rsidRPr="00EF1EA2" w:rsidTr="007459C9">
        <w:trPr>
          <w:trHeight w:val="255"/>
        </w:trPr>
        <w:tc>
          <w:tcPr>
            <w:tcW w:w="1548" w:type="dxa"/>
            <w:tcBorders>
              <w:left w:val="single" w:sz="4" w:space="0" w:color="auto"/>
              <w:bottom w:val="single" w:sz="4" w:space="0" w:color="auto"/>
              <w:right w:val="single" w:sz="6" w:space="0" w:color="000000"/>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p>
        </w:tc>
        <w:tc>
          <w:tcPr>
            <w:tcW w:w="2638" w:type="dxa"/>
            <w:tcBorders>
              <w:bottom w:val="single" w:sz="4" w:space="0" w:color="auto"/>
              <w:right w:val="single" w:sz="4" w:space="0" w:color="auto"/>
            </w:tcBorders>
            <w:shd w:val="clear" w:color="auto" w:fill="auto"/>
            <w:noWrap/>
          </w:tcPr>
          <w:p w:rsidR="008A78EB" w:rsidRPr="00EF1EA2" w:rsidRDefault="008A78EB" w:rsidP="00EF1EA2">
            <w:pPr>
              <w:spacing w:before="120" w:after="120"/>
              <w:rPr>
                <w:rFonts w:ascii="Palatino Linotype" w:hAnsi="Palatino Linotype"/>
                <w:color w:val="000000"/>
                <w:sz w:val="20"/>
                <w:lang w:eastAsia="en-AU"/>
              </w:rPr>
            </w:pPr>
          </w:p>
        </w:tc>
        <w:tc>
          <w:tcPr>
            <w:tcW w:w="2301" w:type="dxa"/>
            <w:tcBorders>
              <w:left w:val="single" w:sz="4" w:space="0" w:color="auto"/>
              <w:bottom w:val="single" w:sz="4" w:space="0" w:color="auto"/>
              <w:right w:val="single" w:sz="4" w:space="0" w:color="auto"/>
            </w:tcBorders>
          </w:tcPr>
          <w:p w:rsidR="008A78EB" w:rsidRPr="00EF1EA2" w:rsidRDefault="008A78EB" w:rsidP="00EF1EA2">
            <w:pPr>
              <w:spacing w:before="120" w:after="120"/>
              <w:ind w:right="-88"/>
              <w:rPr>
                <w:rFonts w:ascii="Palatino Linotype" w:hAnsi="Palatino Linotype"/>
                <w:color w:val="000000"/>
                <w:sz w:val="20"/>
                <w:lang w:eastAsia="en-AU"/>
              </w:rPr>
            </w:pPr>
          </w:p>
        </w:tc>
        <w:tc>
          <w:tcPr>
            <w:tcW w:w="1843" w:type="dxa"/>
            <w:tcBorders>
              <w:left w:val="single" w:sz="4" w:space="0" w:color="auto"/>
              <w:bottom w:val="single" w:sz="4" w:space="0" w:color="auto"/>
              <w:right w:val="single" w:sz="4" w:space="0" w:color="auto"/>
            </w:tcBorders>
            <w:shd w:val="clear" w:color="auto" w:fill="auto"/>
            <w:noWrap/>
          </w:tcPr>
          <w:p w:rsidR="008A78EB" w:rsidRPr="00EF1EA2" w:rsidRDefault="008A78EB" w:rsidP="00EF1EA2">
            <w:pPr>
              <w:spacing w:before="120" w:after="120"/>
              <w:ind w:right="-88"/>
              <w:rPr>
                <w:rFonts w:ascii="Palatino Linotype" w:hAnsi="Palatino Linotype"/>
                <w:color w:val="000000"/>
                <w:sz w:val="20"/>
                <w:lang w:eastAsia="en-AU"/>
              </w:rPr>
            </w:pPr>
          </w:p>
        </w:tc>
      </w:tr>
    </w:tbl>
    <w:p w:rsidR="000468B4" w:rsidRDefault="000468B4" w:rsidP="000468B4">
      <w:pPr>
        <w:jc w:val="both"/>
        <w:rPr>
          <w:color w:val="000000"/>
          <w:szCs w:val="24"/>
        </w:rPr>
      </w:pPr>
    </w:p>
    <w:p w:rsidR="00EA028D" w:rsidRPr="005E79DA" w:rsidRDefault="00EA028D" w:rsidP="000468B4">
      <w:pPr>
        <w:jc w:val="both"/>
        <w:rPr>
          <w:color w:val="000000"/>
          <w:szCs w:val="24"/>
        </w:rPr>
      </w:pPr>
      <w:r>
        <w:rPr>
          <w:color w:val="000000"/>
          <w:szCs w:val="24"/>
        </w:rPr>
        <w:t xml:space="preserve">* Note that these figures do not include </w:t>
      </w:r>
      <w:r w:rsidR="007459C9">
        <w:rPr>
          <w:color w:val="000000"/>
          <w:szCs w:val="24"/>
        </w:rPr>
        <w:t>part-</w:t>
      </w:r>
      <w:r>
        <w:rPr>
          <w:color w:val="000000"/>
          <w:szCs w:val="24"/>
        </w:rPr>
        <w:t xml:space="preserve">time </w:t>
      </w:r>
      <w:r w:rsidR="007459C9">
        <w:rPr>
          <w:color w:val="000000"/>
          <w:szCs w:val="24"/>
        </w:rPr>
        <w:t>staff employed to operate the APLC light trap network</w:t>
      </w:r>
      <w:r>
        <w:rPr>
          <w:color w:val="000000"/>
          <w:szCs w:val="24"/>
        </w:rPr>
        <w:t>.</w:t>
      </w:r>
    </w:p>
    <w:p w:rsidR="00EF6988" w:rsidRDefault="00EF6988" w:rsidP="000468B4">
      <w:pPr>
        <w:ind w:right="-765"/>
        <w:jc w:val="both"/>
        <w:rPr>
          <w:b/>
          <w:bCs/>
        </w:rPr>
      </w:pPr>
    </w:p>
    <w:p w:rsidR="00EF6988" w:rsidRPr="00FD1D15" w:rsidRDefault="00EF6988" w:rsidP="00EF5214">
      <w:pPr>
        <w:ind w:right="-765"/>
        <w:jc w:val="both"/>
        <w:rPr>
          <w:b/>
          <w:bCs/>
        </w:rPr>
      </w:pPr>
    </w:p>
    <w:p w:rsidR="00EF5214" w:rsidRPr="00F11EB0" w:rsidRDefault="00EF5214" w:rsidP="00EF5214">
      <w:pPr>
        <w:ind w:right="-96"/>
        <w:jc w:val="both"/>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p>
    <w:p w:rsidR="00EF5214" w:rsidRPr="0043520E" w:rsidRDefault="00EA028D" w:rsidP="0043520E">
      <w:pPr>
        <w:pStyle w:val="Heading1"/>
        <w:rPr>
          <w:rFonts w:ascii="Times New Roman" w:hAnsi="Times New Roman"/>
          <w:bCs/>
          <w:color w:val="0000FF"/>
        </w:rPr>
      </w:pPr>
      <w:bookmarkStart w:id="108" w:name="_Toc488115493"/>
      <w:bookmarkStart w:id="109" w:name="_Toc209579947"/>
      <w:bookmarkStart w:id="110" w:name="_Toc209580106"/>
      <w:bookmarkStart w:id="111" w:name="_Toc209580374"/>
      <w:bookmarkStart w:id="112" w:name="_Toc209580516"/>
      <w:bookmarkStart w:id="113" w:name="_Toc209580783"/>
      <w:r>
        <w:rPr>
          <w:rFonts w:ascii="Times New Roman" w:hAnsi="Times New Roman"/>
          <w:bCs/>
          <w:color w:val="0000FF"/>
        </w:rPr>
        <w:br w:type="page"/>
      </w:r>
      <w:bookmarkStart w:id="114" w:name="_Toc263163124"/>
      <w:r w:rsidR="00EF5214" w:rsidRPr="0043520E">
        <w:rPr>
          <w:rFonts w:ascii="Times New Roman" w:hAnsi="Times New Roman"/>
          <w:bCs/>
          <w:color w:val="0000FF"/>
        </w:rPr>
        <w:lastRenderedPageBreak/>
        <w:t>Finance</w:t>
      </w:r>
      <w:bookmarkEnd w:id="108"/>
      <w:bookmarkEnd w:id="109"/>
      <w:bookmarkEnd w:id="110"/>
      <w:bookmarkEnd w:id="111"/>
      <w:bookmarkEnd w:id="112"/>
      <w:bookmarkEnd w:id="113"/>
      <w:bookmarkEnd w:id="114"/>
    </w:p>
    <w:p w:rsidR="00A95341" w:rsidRPr="00A95341" w:rsidRDefault="00A95341" w:rsidP="00A95341"/>
    <w:p w:rsidR="00AA46C2" w:rsidRDefault="00EF5214" w:rsidP="00620974">
      <w:pPr>
        <w:ind w:right="-238"/>
        <w:jc w:val="both"/>
        <w:rPr>
          <w:rFonts w:ascii="Times" w:hAnsi="Times"/>
        </w:rPr>
      </w:pPr>
      <w:r w:rsidRPr="0080009A">
        <w:t xml:space="preserve">Total revenue </w:t>
      </w:r>
      <w:r w:rsidR="00EC4B63">
        <w:t xml:space="preserve">from all Member jurisdictions </w:t>
      </w:r>
      <w:r w:rsidRPr="0080009A">
        <w:t>in</w:t>
      </w:r>
      <w:r w:rsidR="003527F8" w:rsidRPr="0080009A">
        <w:t xml:space="preserve"> </w:t>
      </w:r>
      <w:r w:rsidR="000C69D7">
        <w:t>200</w:t>
      </w:r>
      <w:r w:rsidR="00EC4B63">
        <w:t>9</w:t>
      </w:r>
      <w:r w:rsidR="000C69D7">
        <w:t>-</w:t>
      </w:r>
      <w:r w:rsidR="00EC4B63">
        <w:t>1</w:t>
      </w:r>
      <w:r w:rsidR="000C69D7">
        <w:t>0</w:t>
      </w:r>
      <w:r w:rsidRPr="0080009A">
        <w:t xml:space="preserve"> amounted to </w:t>
      </w:r>
      <w:r w:rsidR="00EC4B63">
        <w:t xml:space="preserve">some </w:t>
      </w:r>
      <w:r w:rsidRPr="0080009A">
        <w:t>$</w:t>
      </w:r>
      <w:r w:rsidR="00AA46C2">
        <w:t>4.</w:t>
      </w:r>
      <w:r w:rsidR="00EC4B63">
        <w:t>612</w:t>
      </w:r>
      <w:r w:rsidR="00B41972">
        <w:t xml:space="preserve"> </w:t>
      </w:r>
      <w:r w:rsidRPr="0080009A">
        <w:t>million</w:t>
      </w:r>
      <w:bookmarkStart w:id="115" w:name="_Toc488115494"/>
      <w:r w:rsidR="00620974">
        <w:t xml:space="preserve">. </w:t>
      </w:r>
      <w:r w:rsidRPr="0080009A">
        <w:rPr>
          <w:rFonts w:ascii="Times" w:hAnsi="Times"/>
        </w:rPr>
        <w:t xml:space="preserve">Expenses </w:t>
      </w:r>
      <w:r w:rsidR="00B41972">
        <w:rPr>
          <w:rFonts w:ascii="Times" w:hAnsi="Times"/>
        </w:rPr>
        <w:t xml:space="preserve">recorded in the </w:t>
      </w:r>
      <w:r w:rsidR="000C69D7">
        <w:rPr>
          <w:rFonts w:ascii="Times" w:hAnsi="Times"/>
        </w:rPr>
        <w:t>200</w:t>
      </w:r>
      <w:r w:rsidR="00EC4B63">
        <w:rPr>
          <w:rFonts w:ascii="Times" w:hAnsi="Times"/>
        </w:rPr>
        <w:t>9</w:t>
      </w:r>
      <w:r w:rsidR="000C69D7">
        <w:rPr>
          <w:rFonts w:ascii="Times" w:hAnsi="Times"/>
        </w:rPr>
        <w:t>-</w:t>
      </w:r>
      <w:r w:rsidR="00EC4B63">
        <w:rPr>
          <w:rFonts w:ascii="Times" w:hAnsi="Times"/>
        </w:rPr>
        <w:t>1</w:t>
      </w:r>
      <w:r w:rsidR="000C69D7">
        <w:rPr>
          <w:rFonts w:ascii="Times" w:hAnsi="Times"/>
        </w:rPr>
        <w:t>0</w:t>
      </w:r>
      <w:r w:rsidRPr="0080009A">
        <w:rPr>
          <w:rFonts w:ascii="Times" w:hAnsi="Times"/>
        </w:rPr>
        <w:t xml:space="preserve"> amounted to $</w:t>
      </w:r>
      <w:r w:rsidR="00EC4B63">
        <w:rPr>
          <w:rFonts w:ascii="Times" w:hAnsi="Times"/>
        </w:rPr>
        <w:t>4</w:t>
      </w:r>
      <w:r w:rsidR="00AA46C2">
        <w:rPr>
          <w:rFonts w:ascii="Times" w:hAnsi="Times"/>
        </w:rPr>
        <w:t>.</w:t>
      </w:r>
      <w:r w:rsidR="00EC4B63">
        <w:rPr>
          <w:rFonts w:ascii="Times" w:hAnsi="Times"/>
        </w:rPr>
        <w:t>323</w:t>
      </w:r>
      <w:r w:rsidR="00B41972">
        <w:rPr>
          <w:rFonts w:ascii="Times" w:hAnsi="Times"/>
        </w:rPr>
        <w:t xml:space="preserve"> </w:t>
      </w:r>
      <w:r w:rsidRPr="0080009A">
        <w:rPr>
          <w:rFonts w:ascii="Times" w:hAnsi="Times"/>
        </w:rPr>
        <w:t>millio</w:t>
      </w:r>
      <w:r w:rsidR="00EB4D3F">
        <w:rPr>
          <w:rFonts w:ascii="Times" w:hAnsi="Times"/>
        </w:rPr>
        <w:t>n resulting in a net operating</w:t>
      </w:r>
      <w:r w:rsidRPr="0080009A">
        <w:rPr>
          <w:rFonts w:ascii="Times" w:hAnsi="Times"/>
        </w:rPr>
        <w:t xml:space="preserve"> surplus of</w:t>
      </w:r>
      <w:r w:rsidR="003527F8" w:rsidRPr="0080009A">
        <w:rPr>
          <w:rFonts w:ascii="Times" w:hAnsi="Times"/>
        </w:rPr>
        <w:t xml:space="preserve"> $</w:t>
      </w:r>
      <w:r w:rsidR="00EB4D3F">
        <w:rPr>
          <w:rFonts w:ascii="Times" w:hAnsi="Times"/>
        </w:rPr>
        <w:t>0.</w:t>
      </w:r>
      <w:r w:rsidR="00EC4B63">
        <w:rPr>
          <w:rFonts w:ascii="Times" w:hAnsi="Times"/>
        </w:rPr>
        <w:t>28</w:t>
      </w:r>
      <w:r w:rsidR="00AA46C2">
        <w:rPr>
          <w:rFonts w:ascii="Times" w:hAnsi="Times"/>
        </w:rPr>
        <w:t>8</w:t>
      </w:r>
      <w:r w:rsidR="00EB4D3F">
        <w:rPr>
          <w:rFonts w:ascii="Times" w:hAnsi="Times"/>
        </w:rPr>
        <w:t xml:space="preserve"> million</w:t>
      </w:r>
      <w:r w:rsidRPr="0080009A">
        <w:rPr>
          <w:rFonts w:ascii="Times" w:hAnsi="Times"/>
        </w:rPr>
        <w:t xml:space="preserve">. The surplus was carried over </w:t>
      </w:r>
      <w:r w:rsidR="00620974" w:rsidRPr="0080009A">
        <w:rPr>
          <w:rFonts w:ascii="Times" w:hAnsi="Times"/>
        </w:rPr>
        <w:t xml:space="preserve">to </w:t>
      </w:r>
      <w:r w:rsidR="00620974">
        <w:rPr>
          <w:rFonts w:ascii="Times" w:hAnsi="Times"/>
        </w:rPr>
        <w:t xml:space="preserve">the </w:t>
      </w:r>
      <w:r w:rsidR="00620974" w:rsidRPr="0080009A">
        <w:rPr>
          <w:rFonts w:ascii="Times" w:hAnsi="Times"/>
        </w:rPr>
        <w:t>20</w:t>
      </w:r>
      <w:r w:rsidR="00EC4B63">
        <w:rPr>
          <w:rFonts w:ascii="Times" w:hAnsi="Times"/>
        </w:rPr>
        <w:t>1</w:t>
      </w:r>
      <w:r w:rsidR="00620974" w:rsidRPr="0080009A">
        <w:rPr>
          <w:rFonts w:ascii="Times" w:hAnsi="Times"/>
        </w:rPr>
        <w:t>0-</w:t>
      </w:r>
      <w:r w:rsidR="00AA46C2">
        <w:rPr>
          <w:rFonts w:ascii="Times" w:hAnsi="Times"/>
        </w:rPr>
        <w:t>1</w:t>
      </w:r>
      <w:r w:rsidR="00EC4B63">
        <w:rPr>
          <w:rFonts w:ascii="Times" w:hAnsi="Times"/>
        </w:rPr>
        <w:t>1</w:t>
      </w:r>
      <w:r w:rsidR="00620974" w:rsidRPr="0080009A">
        <w:rPr>
          <w:rFonts w:ascii="Times" w:hAnsi="Times"/>
        </w:rPr>
        <w:t xml:space="preserve"> </w:t>
      </w:r>
      <w:r w:rsidR="00620974">
        <w:rPr>
          <w:rFonts w:ascii="Times" w:hAnsi="Times"/>
        </w:rPr>
        <w:t xml:space="preserve">financial year </w:t>
      </w:r>
      <w:r w:rsidR="0080009A" w:rsidRPr="0080009A">
        <w:rPr>
          <w:rFonts w:ascii="Times" w:hAnsi="Times"/>
        </w:rPr>
        <w:t xml:space="preserve">as </w:t>
      </w:r>
      <w:r w:rsidR="001D7D03">
        <w:rPr>
          <w:rFonts w:ascii="Times" w:hAnsi="Times"/>
        </w:rPr>
        <w:t>part of the</w:t>
      </w:r>
      <w:r w:rsidR="0080009A" w:rsidRPr="0080009A">
        <w:rPr>
          <w:rFonts w:ascii="Times" w:hAnsi="Times"/>
        </w:rPr>
        <w:t xml:space="preserve"> accumulated </w:t>
      </w:r>
      <w:r w:rsidR="001D7D03">
        <w:rPr>
          <w:rFonts w:ascii="Times" w:hAnsi="Times"/>
        </w:rPr>
        <w:t>reserve</w:t>
      </w:r>
      <w:r w:rsidR="00B41972">
        <w:rPr>
          <w:rFonts w:ascii="Times" w:hAnsi="Times"/>
        </w:rPr>
        <w:t xml:space="preserve">, as </w:t>
      </w:r>
      <w:r w:rsidR="001D7D03">
        <w:rPr>
          <w:rFonts w:ascii="Times" w:hAnsi="Times"/>
        </w:rPr>
        <w:t>shown</w:t>
      </w:r>
      <w:r w:rsidR="00B41972">
        <w:rPr>
          <w:rFonts w:ascii="Times" w:hAnsi="Times"/>
        </w:rPr>
        <w:t xml:space="preserve"> in the </w:t>
      </w:r>
      <w:r w:rsidR="00EC4B63">
        <w:rPr>
          <w:rFonts w:ascii="Times" w:hAnsi="Times"/>
        </w:rPr>
        <w:t xml:space="preserve">Reserve Fund reconciliation which appears on the 2009-10 Financial Performance Report </w:t>
      </w:r>
      <w:r w:rsidR="00EC4B63" w:rsidRPr="001C00D1">
        <w:rPr>
          <w:rFonts w:ascii="Times" w:hAnsi="Times"/>
        </w:rPr>
        <w:t>(</w:t>
      </w:r>
      <w:r w:rsidR="00EC4B63" w:rsidRPr="006A0BB3">
        <w:rPr>
          <w:rFonts w:ascii="Times" w:hAnsi="Times"/>
        </w:rPr>
        <w:t xml:space="preserve">Annex </w:t>
      </w:r>
      <w:r w:rsidR="006E0E6F">
        <w:rPr>
          <w:rFonts w:ascii="Times" w:hAnsi="Times"/>
        </w:rPr>
        <w:t>2</w:t>
      </w:r>
      <w:r w:rsidR="00EC4B63" w:rsidRPr="001C00D1">
        <w:rPr>
          <w:rFonts w:ascii="Times" w:hAnsi="Times"/>
        </w:rPr>
        <w:t>)</w:t>
      </w:r>
      <w:r w:rsidRPr="001C00D1">
        <w:rPr>
          <w:rFonts w:ascii="Times" w:hAnsi="Times"/>
        </w:rPr>
        <w:t>.</w:t>
      </w:r>
      <w:r w:rsidRPr="0080009A">
        <w:rPr>
          <w:rFonts w:ascii="Times" w:hAnsi="Times"/>
        </w:rPr>
        <w:t xml:space="preserve"> </w:t>
      </w:r>
      <w:r w:rsidR="00965B2A">
        <w:rPr>
          <w:rFonts w:ascii="Times" w:hAnsi="Times"/>
        </w:rPr>
        <w:t xml:space="preserve">This accumulation of surplus into </w:t>
      </w:r>
      <w:r w:rsidR="00EC4B63">
        <w:rPr>
          <w:rFonts w:ascii="Times" w:hAnsi="Times"/>
        </w:rPr>
        <w:t>the</w:t>
      </w:r>
      <w:r w:rsidR="00965B2A">
        <w:rPr>
          <w:rFonts w:ascii="Times" w:hAnsi="Times"/>
        </w:rPr>
        <w:t xml:space="preserve"> </w:t>
      </w:r>
      <w:r w:rsidR="00EC4B63">
        <w:rPr>
          <w:rFonts w:ascii="Times" w:hAnsi="Times"/>
        </w:rPr>
        <w:t>Reserve F</w:t>
      </w:r>
      <w:r w:rsidR="00965B2A">
        <w:rPr>
          <w:rFonts w:ascii="Times" w:hAnsi="Times"/>
        </w:rPr>
        <w:t>und is in accordance with the Memorandum of Understanding, a position that was reconfirmed by decision of the 62</w:t>
      </w:r>
      <w:r w:rsidR="00965B2A" w:rsidRPr="00965B2A">
        <w:rPr>
          <w:rFonts w:ascii="Times" w:hAnsi="Times"/>
          <w:vertAlign w:val="superscript"/>
        </w:rPr>
        <w:t>nd</w:t>
      </w:r>
      <w:r w:rsidR="00965B2A">
        <w:rPr>
          <w:rFonts w:ascii="Times" w:hAnsi="Times"/>
        </w:rPr>
        <w:t xml:space="preserve"> Commissioners Meeting in April 2008.</w:t>
      </w:r>
      <w:r w:rsidR="00AA46C2">
        <w:rPr>
          <w:rFonts w:ascii="Times" w:hAnsi="Times"/>
        </w:rPr>
        <w:t xml:space="preserve"> </w:t>
      </w:r>
    </w:p>
    <w:p w:rsidR="00AA46C2" w:rsidRDefault="00AA46C2" w:rsidP="00620974">
      <w:pPr>
        <w:ind w:right="-238"/>
        <w:jc w:val="both"/>
        <w:rPr>
          <w:rFonts w:ascii="Times" w:hAnsi="Times"/>
        </w:rPr>
      </w:pPr>
    </w:p>
    <w:p w:rsidR="00EF5214" w:rsidRDefault="00AA46C2" w:rsidP="00620974">
      <w:pPr>
        <w:ind w:right="-238"/>
        <w:jc w:val="both"/>
        <w:rPr>
          <w:rFonts w:ascii="Times" w:hAnsi="Times"/>
        </w:rPr>
      </w:pPr>
      <w:r>
        <w:rPr>
          <w:rFonts w:ascii="Times" w:hAnsi="Times"/>
        </w:rPr>
        <w:t>The addition of this net operating surplus to that carried forward into 20</w:t>
      </w:r>
      <w:r w:rsidR="00EC4B63">
        <w:rPr>
          <w:rFonts w:ascii="Times" w:hAnsi="Times"/>
        </w:rPr>
        <w:t>1</w:t>
      </w:r>
      <w:r>
        <w:rPr>
          <w:rFonts w:ascii="Times" w:hAnsi="Times"/>
        </w:rPr>
        <w:t>0-</w:t>
      </w:r>
      <w:r w:rsidR="00EC4B63">
        <w:rPr>
          <w:rFonts w:ascii="Times" w:hAnsi="Times"/>
        </w:rPr>
        <w:t>11</w:t>
      </w:r>
      <w:r>
        <w:rPr>
          <w:rFonts w:ascii="Times" w:hAnsi="Times"/>
        </w:rPr>
        <w:t xml:space="preserve"> raises the level of total accumulated reserve to $</w:t>
      </w:r>
      <w:r w:rsidR="00EC4B63">
        <w:rPr>
          <w:rFonts w:ascii="Times" w:hAnsi="Times"/>
        </w:rPr>
        <w:t>2.186</w:t>
      </w:r>
      <w:r>
        <w:rPr>
          <w:rFonts w:ascii="Times" w:hAnsi="Times"/>
        </w:rPr>
        <w:t xml:space="preserve"> million</w:t>
      </w:r>
      <w:r w:rsidR="007C4803">
        <w:rPr>
          <w:rFonts w:ascii="Times" w:hAnsi="Times"/>
        </w:rPr>
        <w:t xml:space="preserve"> as at 30 June 20</w:t>
      </w:r>
      <w:r w:rsidR="00EC4B63">
        <w:rPr>
          <w:rFonts w:ascii="Times" w:hAnsi="Times"/>
        </w:rPr>
        <w:t>1</w:t>
      </w:r>
      <w:r w:rsidR="007C4803">
        <w:rPr>
          <w:rFonts w:ascii="Times" w:hAnsi="Times"/>
        </w:rPr>
        <w:t>0</w:t>
      </w:r>
      <w:r>
        <w:rPr>
          <w:rFonts w:ascii="Times" w:hAnsi="Times"/>
        </w:rPr>
        <w:t xml:space="preserve">. This fund would be drawn upon should the cost of control activities in any year exceed the annual allocation for control activities. </w:t>
      </w:r>
    </w:p>
    <w:p w:rsidR="00965B2A" w:rsidRDefault="00965B2A" w:rsidP="00620974">
      <w:pPr>
        <w:ind w:right="-238"/>
        <w:jc w:val="both"/>
        <w:rPr>
          <w:rFonts w:ascii="Times" w:hAnsi="Times"/>
        </w:rPr>
      </w:pPr>
    </w:p>
    <w:p w:rsidR="00965B2A" w:rsidRPr="00620974" w:rsidRDefault="00965B2A" w:rsidP="00620974">
      <w:pPr>
        <w:ind w:right="-238"/>
        <w:jc w:val="both"/>
      </w:pPr>
      <w:r>
        <w:rPr>
          <w:rFonts w:ascii="Times" w:hAnsi="Times"/>
        </w:rPr>
        <w:t>The surplus of income over expenditure for 200</w:t>
      </w:r>
      <w:r w:rsidR="00EC4B63">
        <w:rPr>
          <w:rFonts w:ascii="Times" w:hAnsi="Times"/>
        </w:rPr>
        <w:t>9</w:t>
      </w:r>
      <w:r>
        <w:rPr>
          <w:rFonts w:ascii="Times" w:hAnsi="Times"/>
        </w:rPr>
        <w:t>-</w:t>
      </w:r>
      <w:r w:rsidR="00EC4B63">
        <w:rPr>
          <w:rFonts w:ascii="Times" w:hAnsi="Times"/>
        </w:rPr>
        <w:t>1</w:t>
      </w:r>
      <w:r>
        <w:rPr>
          <w:rFonts w:ascii="Times" w:hAnsi="Times"/>
        </w:rPr>
        <w:t xml:space="preserve">0 was delivered principally as a consequence of </w:t>
      </w:r>
      <w:r w:rsidR="00EC4B63">
        <w:rPr>
          <w:rFonts w:ascii="Times" w:hAnsi="Times"/>
        </w:rPr>
        <w:t>short-term</w:t>
      </w:r>
      <w:r>
        <w:rPr>
          <w:rFonts w:ascii="Times" w:hAnsi="Times"/>
        </w:rPr>
        <w:t xml:space="preserve"> vacancies </w:t>
      </w:r>
      <w:r w:rsidR="00EC4B63">
        <w:rPr>
          <w:rFonts w:ascii="Times" w:hAnsi="Times"/>
        </w:rPr>
        <w:t>in several field staff positions at the start of the financial year</w:t>
      </w:r>
      <w:r>
        <w:rPr>
          <w:rFonts w:ascii="Times" w:hAnsi="Times"/>
        </w:rPr>
        <w:t>.</w:t>
      </w:r>
      <w:r w:rsidR="00EC4B63">
        <w:rPr>
          <w:rFonts w:ascii="Times" w:hAnsi="Times"/>
        </w:rPr>
        <w:t xml:space="preserve"> Control operations expenditure (locust control agents, aircraft charter and associated costs totalling some $1.421 million) exceed</w:t>
      </w:r>
      <w:r w:rsidR="00961C26">
        <w:rPr>
          <w:rFonts w:ascii="Times" w:hAnsi="Times"/>
        </w:rPr>
        <w:t>ed</w:t>
      </w:r>
      <w:r w:rsidR="00EC4B63">
        <w:rPr>
          <w:rFonts w:ascii="Times" w:hAnsi="Times"/>
        </w:rPr>
        <w:t xml:space="preserve"> the allocated amount by some $331,000 as a consequence of the large control campaign undertaken in March 2010. This overspend was, however, more than offset by savings of some $350,000 in other operating and supplier expenses.</w:t>
      </w:r>
    </w:p>
    <w:p w:rsidR="00EF5214" w:rsidRDefault="00EF5214" w:rsidP="00EF5214">
      <w:pPr>
        <w:pStyle w:val="Heading1"/>
        <w:rPr>
          <w:color w:val="0000FF"/>
          <w:sz w:val="28"/>
        </w:rPr>
      </w:pPr>
    </w:p>
    <w:p w:rsidR="00EF5214" w:rsidRPr="0043520E" w:rsidRDefault="00B41972" w:rsidP="0043520E">
      <w:pPr>
        <w:pStyle w:val="Heading1"/>
        <w:rPr>
          <w:rFonts w:ascii="Times New Roman" w:hAnsi="Times New Roman"/>
          <w:bCs/>
          <w:color w:val="0000FF"/>
        </w:rPr>
      </w:pPr>
      <w:r>
        <w:br w:type="page"/>
      </w:r>
      <w:bookmarkStart w:id="116" w:name="_Toc209579948"/>
      <w:bookmarkStart w:id="117" w:name="_Toc209580107"/>
      <w:bookmarkStart w:id="118" w:name="_Toc209580375"/>
      <w:bookmarkStart w:id="119" w:name="_Toc209580517"/>
      <w:bookmarkStart w:id="120" w:name="_Toc209580784"/>
      <w:bookmarkStart w:id="121" w:name="_Toc263163125"/>
      <w:r w:rsidR="00EF5214" w:rsidRPr="0043520E">
        <w:rPr>
          <w:rFonts w:ascii="Times New Roman" w:hAnsi="Times New Roman"/>
          <w:bCs/>
          <w:color w:val="0000FF"/>
        </w:rPr>
        <w:lastRenderedPageBreak/>
        <w:t>Key Performance Indicators</w:t>
      </w:r>
      <w:bookmarkEnd w:id="116"/>
      <w:bookmarkEnd w:id="117"/>
      <w:bookmarkEnd w:id="118"/>
      <w:bookmarkEnd w:id="119"/>
      <w:bookmarkEnd w:id="120"/>
      <w:bookmarkEnd w:id="121"/>
      <w:r w:rsidR="0034038A" w:rsidRPr="0043520E">
        <w:rPr>
          <w:rFonts w:ascii="Times New Roman" w:hAnsi="Times New Roman"/>
          <w:bCs/>
          <w:color w:val="0000FF"/>
        </w:rPr>
        <w:t xml:space="preserve"> </w:t>
      </w:r>
    </w:p>
    <w:p w:rsidR="00A95341" w:rsidRPr="0034038A" w:rsidRDefault="00A95341" w:rsidP="00EF5214">
      <w:pPr>
        <w:rPr>
          <w:b/>
          <w:i/>
          <w:color w:val="FF0000"/>
          <w:sz w:val="36"/>
          <w:szCs w:val="36"/>
        </w:rPr>
      </w:pPr>
    </w:p>
    <w:p w:rsidR="004F4200" w:rsidRDefault="00EF5214" w:rsidP="00E531BB">
      <w:pPr>
        <w:ind w:right="-307"/>
        <w:jc w:val="both"/>
        <w:rPr>
          <w:szCs w:val="24"/>
        </w:rPr>
      </w:pPr>
      <w:r w:rsidRPr="00351891">
        <w:rPr>
          <w:szCs w:val="24"/>
        </w:rPr>
        <w:t xml:space="preserve">The 2005 external review of the APLC suggested a number of Key Performance Indicators (KPIs) against which the future performance of the APLC could be measured. These KPIs have been adopted, with some modifications to provide additional semi quantitative measures, for reporting on an annual basis. Details of the KPIs and performance measures together with an assessment of the APLC’s performance in </w:t>
      </w:r>
      <w:r w:rsidR="000C69D7" w:rsidRPr="00351891">
        <w:rPr>
          <w:szCs w:val="24"/>
        </w:rPr>
        <w:t>200</w:t>
      </w:r>
      <w:r w:rsidR="0036318C">
        <w:rPr>
          <w:szCs w:val="24"/>
        </w:rPr>
        <w:t>9</w:t>
      </w:r>
      <w:r w:rsidR="00D57511">
        <w:rPr>
          <w:szCs w:val="24"/>
        </w:rPr>
        <w:t>-</w:t>
      </w:r>
      <w:r w:rsidR="0036318C">
        <w:rPr>
          <w:szCs w:val="24"/>
        </w:rPr>
        <w:t>1</w:t>
      </w:r>
      <w:r w:rsidR="00D57511">
        <w:rPr>
          <w:szCs w:val="24"/>
        </w:rPr>
        <w:t>0</w:t>
      </w:r>
      <w:r w:rsidRPr="00351891">
        <w:rPr>
          <w:szCs w:val="24"/>
        </w:rPr>
        <w:t xml:space="preserve"> </w:t>
      </w:r>
      <w:r w:rsidR="00D2019B">
        <w:rPr>
          <w:szCs w:val="24"/>
        </w:rPr>
        <w:t xml:space="preserve">against these are summarised in </w:t>
      </w:r>
      <w:r w:rsidR="00FE3181" w:rsidRPr="00FE3181">
        <w:rPr>
          <w:szCs w:val="24"/>
        </w:rPr>
        <w:t>Table</w:t>
      </w:r>
      <w:r w:rsidR="006A0BB3">
        <w:rPr>
          <w:szCs w:val="24"/>
        </w:rPr>
        <w:t> </w:t>
      </w:r>
      <w:r w:rsidR="00FE3181" w:rsidRPr="00FE3181">
        <w:rPr>
          <w:szCs w:val="24"/>
        </w:rPr>
        <w:t>5</w:t>
      </w:r>
      <w:r w:rsidR="00D2019B" w:rsidRPr="00FE3181">
        <w:rPr>
          <w:szCs w:val="24"/>
        </w:rPr>
        <w:t>.</w:t>
      </w:r>
      <w:r w:rsidR="00D2019B">
        <w:rPr>
          <w:szCs w:val="24"/>
        </w:rPr>
        <w:t xml:space="preserve"> </w:t>
      </w:r>
    </w:p>
    <w:p w:rsidR="00E531BB" w:rsidRDefault="00E531BB" w:rsidP="00E531BB">
      <w:pPr>
        <w:ind w:right="-307"/>
        <w:jc w:val="both"/>
        <w:rPr>
          <w:szCs w:val="24"/>
        </w:rPr>
      </w:pPr>
    </w:p>
    <w:p w:rsidR="00AD43B8" w:rsidRDefault="00AD43B8" w:rsidP="00E531BB">
      <w:pPr>
        <w:ind w:right="-307"/>
        <w:jc w:val="both"/>
        <w:rPr>
          <w:szCs w:val="24"/>
        </w:rPr>
      </w:pPr>
    </w:p>
    <w:p w:rsidR="00AD43B8" w:rsidRDefault="00AD43B8" w:rsidP="00E531BB">
      <w:pPr>
        <w:ind w:right="-307"/>
        <w:jc w:val="both"/>
        <w:rPr>
          <w:szCs w:val="24"/>
        </w:rPr>
      </w:pPr>
    </w:p>
    <w:p w:rsidR="004F4200" w:rsidRDefault="006D3AEA" w:rsidP="006D3AEA">
      <w:pPr>
        <w:pStyle w:val="Caption"/>
        <w:rPr>
          <w:u w:val="single"/>
        </w:rPr>
      </w:pPr>
      <w:bookmarkStart w:id="122" w:name="_Toc209581997"/>
      <w:r w:rsidRPr="006D3AEA">
        <w:rPr>
          <w:u w:val="single"/>
        </w:rPr>
        <w:t xml:space="preserve">Table </w:t>
      </w:r>
      <w:proofErr w:type="gramStart"/>
      <w:r w:rsidR="00FE3181">
        <w:rPr>
          <w:u w:val="single"/>
        </w:rPr>
        <w:t>5</w:t>
      </w:r>
      <w:r w:rsidRPr="006D3AEA">
        <w:rPr>
          <w:u w:val="single"/>
        </w:rPr>
        <w:t xml:space="preserve"> :</w:t>
      </w:r>
      <w:proofErr w:type="gramEnd"/>
      <w:r w:rsidRPr="006D3AEA">
        <w:rPr>
          <w:u w:val="single"/>
        </w:rPr>
        <w:t xml:space="preserve"> APLC 200</w:t>
      </w:r>
      <w:r w:rsidR="0036318C">
        <w:rPr>
          <w:u w:val="single"/>
        </w:rPr>
        <w:t>9</w:t>
      </w:r>
      <w:r w:rsidRPr="006D3AEA">
        <w:rPr>
          <w:u w:val="single"/>
        </w:rPr>
        <w:t>-</w:t>
      </w:r>
      <w:r w:rsidR="0036318C">
        <w:rPr>
          <w:u w:val="single"/>
        </w:rPr>
        <w:t>1</w:t>
      </w:r>
      <w:r w:rsidRPr="006D3AEA">
        <w:rPr>
          <w:u w:val="single"/>
        </w:rPr>
        <w:t>0 Performance against KPI measures</w:t>
      </w:r>
      <w:bookmarkEnd w:id="122"/>
    </w:p>
    <w:p w:rsidR="00D2019B" w:rsidRDefault="00D2019B" w:rsidP="00EF5214"/>
    <w:p w:rsidR="00504263" w:rsidRDefault="00504263" w:rsidP="00EF5214"/>
    <w:tbl>
      <w:tblPr>
        <w:tblW w:w="9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973"/>
        <w:gridCol w:w="3452"/>
      </w:tblGrid>
      <w:tr w:rsidR="00EF5214" w:rsidTr="00EF1EA2">
        <w:trPr>
          <w:tblHeader/>
        </w:trPr>
        <w:tc>
          <w:tcPr>
            <w:tcW w:w="2700" w:type="dxa"/>
          </w:tcPr>
          <w:p w:rsidR="00EF5214" w:rsidRPr="00EF1EA2" w:rsidRDefault="00EF5214" w:rsidP="001525E5">
            <w:pPr>
              <w:rPr>
                <w:b/>
                <w:sz w:val="20"/>
              </w:rPr>
            </w:pPr>
            <w:r w:rsidRPr="00EF1EA2">
              <w:rPr>
                <w:b/>
                <w:sz w:val="20"/>
              </w:rPr>
              <w:t>Key Performance I</w:t>
            </w:r>
            <w:r w:rsidR="00D2019B" w:rsidRPr="00EF1EA2">
              <w:rPr>
                <w:b/>
                <w:sz w:val="20"/>
              </w:rPr>
              <w:t xml:space="preserve">ndicator </w:t>
            </w:r>
          </w:p>
        </w:tc>
        <w:tc>
          <w:tcPr>
            <w:tcW w:w="2973" w:type="dxa"/>
          </w:tcPr>
          <w:p w:rsidR="00EF5214" w:rsidRPr="00EF1EA2" w:rsidRDefault="00EF5214" w:rsidP="001525E5">
            <w:pPr>
              <w:rPr>
                <w:b/>
                <w:sz w:val="20"/>
              </w:rPr>
            </w:pPr>
            <w:r w:rsidRPr="00EF1EA2">
              <w:rPr>
                <w:b/>
                <w:sz w:val="20"/>
              </w:rPr>
              <w:t>KPI Measures</w:t>
            </w:r>
          </w:p>
        </w:tc>
        <w:tc>
          <w:tcPr>
            <w:tcW w:w="3452" w:type="dxa"/>
          </w:tcPr>
          <w:p w:rsidR="00EF5214" w:rsidRPr="00EF1EA2" w:rsidRDefault="00EF5214" w:rsidP="00AD43B8">
            <w:pPr>
              <w:rPr>
                <w:b/>
                <w:sz w:val="20"/>
              </w:rPr>
            </w:pPr>
            <w:r w:rsidRPr="00EF1EA2">
              <w:rPr>
                <w:b/>
                <w:sz w:val="20"/>
              </w:rPr>
              <w:t>Assessment/comments (</w:t>
            </w:r>
            <w:r w:rsidR="000C69D7" w:rsidRPr="00EF1EA2">
              <w:rPr>
                <w:b/>
                <w:sz w:val="20"/>
              </w:rPr>
              <w:t>200</w:t>
            </w:r>
            <w:r w:rsidR="00AD43B8">
              <w:rPr>
                <w:b/>
                <w:sz w:val="20"/>
              </w:rPr>
              <w:t>9</w:t>
            </w:r>
            <w:r w:rsidR="000C69D7" w:rsidRPr="00EF1EA2">
              <w:rPr>
                <w:b/>
                <w:sz w:val="20"/>
              </w:rPr>
              <w:t>-</w:t>
            </w:r>
            <w:r w:rsidR="00AD43B8">
              <w:rPr>
                <w:b/>
                <w:sz w:val="20"/>
              </w:rPr>
              <w:t>10</w:t>
            </w:r>
            <w:r w:rsidRPr="00EF1EA2">
              <w:rPr>
                <w:b/>
                <w:sz w:val="20"/>
              </w:rPr>
              <w:t>)</w:t>
            </w:r>
          </w:p>
        </w:tc>
      </w:tr>
      <w:tr w:rsidR="00EF5214" w:rsidTr="00EF1EA2">
        <w:tc>
          <w:tcPr>
            <w:tcW w:w="2700" w:type="dxa"/>
          </w:tcPr>
          <w:p w:rsidR="009D5326" w:rsidRPr="00EF1EA2" w:rsidRDefault="009D5326" w:rsidP="001525E5">
            <w:pPr>
              <w:rPr>
                <w:sz w:val="20"/>
              </w:rPr>
            </w:pPr>
          </w:p>
          <w:p w:rsidR="00EF5214" w:rsidRPr="00EF1EA2" w:rsidRDefault="00EF5214" w:rsidP="001525E5">
            <w:pPr>
              <w:rPr>
                <w:sz w:val="20"/>
              </w:rPr>
            </w:pPr>
            <w:r w:rsidRPr="00EF1EA2">
              <w:rPr>
                <w:sz w:val="20"/>
              </w:rPr>
              <w:t>Effectiveness of monitoring, prediction and control of locust populations</w:t>
            </w:r>
          </w:p>
        </w:tc>
        <w:tc>
          <w:tcPr>
            <w:tcW w:w="2973"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 </w:t>
            </w:r>
            <w:r w:rsidR="00EF5214" w:rsidRPr="00EF1EA2">
              <w:rPr>
                <w:sz w:val="20"/>
              </w:rPr>
              <w:t>Significant populations detected at early-mid instar stage</w:t>
            </w:r>
          </w:p>
          <w:p w:rsidR="00EF5214" w:rsidRDefault="0034038A" w:rsidP="001525E5">
            <w:pPr>
              <w:rPr>
                <w:sz w:val="20"/>
              </w:rPr>
            </w:pPr>
            <w:r w:rsidRPr="00EF1EA2">
              <w:rPr>
                <w:sz w:val="20"/>
              </w:rPr>
              <w:t xml:space="preserve">- </w:t>
            </w:r>
            <w:r w:rsidR="00EF5214" w:rsidRPr="00EF1EA2">
              <w:rPr>
                <w:sz w:val="20"/>
              </w:rPr>
              <w:t>Accuracy of forecasts of population scale, timing and location</w:t>
            </w:r>
          </w:p>
          <w:p w:rsidR="001C5BD1" w:rsidRDefault="001C5BD1" w:rsidP="001525E5">
            <w:pPr>
              <w:rPr>
                <w:sz w:val="20"/>
              </w:rPr>
            </w:pPr>
          </w:p>
          <w:p w:rsidR="001C5BD1" w:rsidRDefault="001C5BD1" w:rsidP="001525E5">
            <w:pPr>
              <w:rPr>
                <w:sz w:val="20"/>
              </w:rPr>
            </w:pPr>
          </w:p>
          <w:p w:rsidR="00EF5214" w:rsidRDefault="0034038A" w:rsidP="001525E5">
            <w:pPr>
              <w:rPr>
                <w:sz w:val="20"/>
              </w:rPr>
            </w:pPr>
            <w:r w:rsidRPr="00EF1EA2">
              <w:rPr>
                <w:sz w:val="20"/>
              </w:rPr>
              <w:t xml:space="preserve">- </w:t>
            </w:r>
            <w:r w:rsidR="00EF5214" w:rsidRPr="00EF1EA2">
              <w:rPr>
                <w:sz w:val="20"/>
              </w:rPr>
              <w:t xml:space="preserve">Majority of control measures against nymphal stage </w:t>
            </w:r>
          </w:p>
          <w:p w:rsidR="001C5BD1" w:rsidRDefault="001C5BD1" w:rsidP="001525E5">
            <w:pPr>
              <w:rPr>
                <w:sz w:val="20"/>
              </w:rPr>
            </w:pPr>
          </w:p>
          <w:p w:rsidR="001C5BD1" w:rsidRPr="00EF1EA2" w:rsidRDefault="001C5BD1" w:rsidP="001525E5">
            <w:pPr>
              <w:rPr>
                <w:sz w:val="20"/>
              </w:rPr>
            </w:pPr>
          </w:p>
          <w:p w:rsidR="00EF5214" w:rsidRPr="00EF1EA2" w:rsidRDefault="0034038A" w:rsidP="001525E5">
            <w:pPr>
              <w:rPr>
                <w:sz w:val="20"/>
              </w:rPr>
            </w:pPr>
            <w:r w:rsidRPr="00EF1EA2">
              <w:rPr>
                <w:sz w:val="20"/>
              </w:rPr>
              <w:t xml:space="preserve">- </w:t>
            </w:r>
            <w:r w:rsidR="00EF5214" w:rsidRPr="00EF1EA2">
              <w:rPr>
                <w:sz w:val="20"/>
              </w:rPr>
              <w:t>No adverse aerial spraying incidents</w:t>
            </w:r>
          </w:p>
          <w:p w:rsidR="00590312" w:rsidRPr="00EF1EA2" w:rsidRDefault="00590312" w:rsidP="001525E5">
            <w:pPr>
              <w:rPr>
                <w:sz w:val="20"/>
              </w:rPr>
            </w:pPr>
          </w:p>
        </w:tc>
        <w:tc>
          <w:tcPr>
            <w:tcW w:w="3452"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Significant </w:t>
            </w:r>
            <w:r w:rsidR="00945C74">
              <w:rPr>
                <w:sz w:val="20"/>
              </w:rPr>
              <w:t>p</w:t>
            </w:r>
            <w:r w:rsidRPr="00EF1EA2">
              <w:rPr>
                <w:sz w:val="20"/>
              </w:rPr>
              <w:t xml:space="preserve">lague locust populations </w:t>
            </w:r>
            <w:r w:rsidR="008811B9" w:rsidRPr="00EF1EA2">
              <w:rPr>
                <w:sz w:val="20"/>
              </w:rPr>
              <w:t>in several New South Wales</w:t>
            </w:r>
            <w:r w:rsidR="00AD43B8">
              <w:rPr>
                <w:sz w:val="20"/>
              </w:rPr>
              <w:t xml:space="preserve"> and </w:t>
            </w:r>
            <w:proofErr w:type="gramStart"/>
            <w:r w:rsidR="00AD43B8">
              <w:rPr>
                <w:sz w:val="20"/>
              </w:rPr>
              <w:t xml:space="preserve">Queensland </w:t>
            </w:r>
            <w:r w:rsidR="008811B9" w:rsidRPr="00EF1EA2">
              <w:rPr>
                <w:sz w:val="20"/>
              </w:rPr>
              <w:t xml:space="preserve"> locations</w:t>
            </w:r>
            <w:proofErr w:type="gramEnd"/>
            <w:r w:rsidR="008811B9" w:rsidRPr="00EF1EA2">
              <w:rPr>
                <w:sz w:val="20"/>
              </w:rPr>
              <w:t xml:space="preserve"> were </w:t>
            </w:r>
            <w:r w:rsidRPr="00EF1EA2">
              <w:rPr>
                <w:sz w:val="20"/>
              </w:rPr>
              <w:t>detected at early life stage</w:t>
            </w:r>
            <w:r w:rsidR="001C5BD1">
              <w:rPr>
                <w:sz w:val="20"/>
              </w:rPr>
              <w:t xml:space="preserve"> through targeted ground and aerial surveillance, which utilised forecasts prepared for each generation</w:t>
            </w:r>
            <w:r w:rsidRPr="00EF1EA2">
              <w:rPr>
                <w:sz w:val="20"/>
              </w:rPr>
              <w:t>.</w:t>
            </w:r>
          </w:p>
          <w:p w:rsidR="0034038A" w:rsidRPr="00EF1EA2" w:rsidRDefault="0034038A" w:rsidP="001525E5">
            <w:pPr>
              <w:rPr>
                <w:sz w:val="20"/>
              </w:rPr>
            </w:pPr>
          </w:p>
          <w:p w:rsidR="0034038A" w:rsidRDefault="002E6CA9" w:rsidP="001525E5">
            <w:pPr>
              <w:rPr>
                <w:sz w:val="20"/>
              </w:rPr>
            </w:pPr>
            <w:r>
              <w:rPr>
                <w:sz w:val="20"/>
              </w:rPr>
              <w:t>100</w:t>
            </w:r>
            <w:r w:rsidR="00EA028D">
              <w:rPr>
                <w:sz w:val="20"/>
              </w:rPr>
              <w:t>% of area subjected to</w:t>
            </w:r>
            <w:r w:rsidR="0034038A" w:rsidRPr="00EF1EA2">
              <w:rPr>
                <w:sz w:val="20"/>
              </w:rPr>
              <w:t xml:space="preserve"> control activities undertaken in 200</w:t>
            </w:r>
            <w:r>
              <w:rPr>
                <w:sz w:val="20"/>
              </w:rPr>
              <w:t>9</w:t>
            </w:r>
            <w:r w:rsidR="0034038A" w:rsidRPr="00EF1EA2">
              <w:rPr>
                <w:sz w:val="20"/>
              </w:rPr>
              <w:t>-</w:t>
            </w:r>
            <w:r>
              <w:rPr>
                <w:sz w:val="20"/>
              </w:rPr>
              <w:t>10</w:t>
            </w:r>
            <w:r w:rsidR="001C5BD1">
              <w:rPr>
                <w:sz w:val="20"/>
              </w:rPr>
              <w:t xml:space="preserve"> </w:t>
            </w:r>
            <w:r w:rsidR="00EA028D">
              <w:rPr>
                <w:sz w:val="20"/>
              </w:rPr>
              <w:t>was</w:t>
            </w:r>
            <w:r w:rsidR="001C5BD1">
              <w:rPr>
                <w:sz w:val="20"/>
              </w:rPr>
              <w:t xml:space="preserve"> completed during the nymphal stage.</w:t>
            </w:r>
          </w:p>
          <w:p w:rsidR="001C5BD1" w:rsidRPr="00EF1EA2" w:rsidRDefault="001C5BD1" w:rsidP="001525E5">
            <w:pPr>
              <w:rPr>
                <w:sz w:val="20"/>
              </w:rPr>
            </w:pPr>
          </w:p>
          <w:p w:rsidR="0034038A" w:rsidRPr="00EF1EA2" w:rsidRDefault="0034038A" w:rsidP="001525E5">
            <w:pPr>
              <w:rPr>
                <w:sz w:val="20"/>
              </w:rPr>
            </w:pPr>
            <w:r w:rsidRPr="00EF1EA2">
              <w:rPr>
                <w:sz w:val="20"/>
              </w:rPr>
              <w:t xml:space="preserve">No adverse incidents </w:t>
            </w:r>
            <w:r w:rsidR="001C5BD1">
              <w:rPr>
                <w:sz w:val="20"/>
              </w:rPr>
              <w:t xml:space="preserve">were </w:t>
            </w:r>
            <w:r w:rsidRPr="00EF1EA2">
              <w:rPr>
                <w:sz w:val="20"/>
              </w:rPr>
              <w:t>reported</w:t>
            </w:r>
            <w:r w:rsidR="001C5BD1">
              <w:rPr>
                <w:sz w:val="20"/>
              </w:rPr>
              <w:t xml:space="preserve"> or were known to have occurred</w:t>
            </w:r>
            <w:r w:rsidRPr="00EF1EA2">
              <w:rPr>
                <w:sz w:val="20"/>
              </w:rPr>
              <w:t>.</w:t>
            </w:r>
          </w:p>
        </w:tc>
      </w:tr>
      <w:tr w:rsidR="00EF5214" w:rsidTr="00EF1EA2">
        <w:tc>
          <w:tcPr>
            <w:tcW w:w="2700" w:type="dxa"/>
          </w:tcPr>
          <w:p w:rsidR="009D5326" w:rsidRPr="00EF1EA2" w:rsidRDefault="009D5326" w:rsidP="001525E5">
            <w:pPr>
              <w:rPr>
                <w:sz w:val="20"/>
              </w:rPr>
            </w:pPr>
          </w:p>
          <w:p w:rsidR="00EF5214" w:rsidRPr="00EF1EA2" w:rsidRDefault="00EF5214" w:rsidP="001525E5">
            <w:pPr>
              <w:rPr>
                <w:sz w:val="20"/>
              </w:rPr>
            </w:pPr>
            <w:r w:rsidRPr="00EF1EA2">
              <w:rPr>
                <w:sz w:val="20"/>
              </w:rPr>
              <w:t>Availability and effectiveness of control agents</w:t>
            </w:r>
          </w:p>
        </w:tc>
        <w:tc>
          <w:tcPr>
            <w:tcW w:w="2973" w:type="dxa"/>
          </w:tcPr>
          <w:p w:rsidR="009D5326" w:rsidRPr="00EF1EA2" w:rsidRDefault="009D5326" w:rsidP="001525E5">
            <w:pPr>
              <w:rPr>
                <w:sz w:val="20"/>
              </w:rPr>
            </w:pPr>
          </w:p>
          <w:p w:rsidR="00EF5214" w:rsidRDefault="0034038A" w:rsidP="001525E5">
            <w:pPr>
              <w:rPr>
                <w:sz w:val="20"/>
              </w:rPr>
            </w:pPr>
            <w:r w:rsidRPr="00EF1EA2">
              <w:rPr>
                <w:sz w:val="20"/>
              </w:rPr>
              <w:t xml:space="preserve">- </w:t>
            </w:r>
            <w:r w:rsidR="00EF5214" w:rsidRPr="00EF1EA2">
              <w:rPr>
                <w:sz w:val="20"/>
              </w:rPr>
              <w:t>Availability of existing agents</w:t>
            </w:r>
          </w:p>
          <w:p w:rsidR="001C5BD1" w:rsidRDefault="001C5BD1" w:rsidP="001525E5">
            <w:pPr>
              <w:rPr>
                <w:sz w:val="20"/>
              </w:rPr>
            </w:pPr>
          </w:p>
          <w:p w:rsidR="001C5BD1" w:rsidRDefault="001C5BD1" w:rsidP="001525E5">
            <w:pPr>
              <w:rPr>
                <w:sz w:val="20"/>
              </w:rPr>
            </w:pPr>
          </w:p>
          <w:p w:rsidR="00134712" w:rsidRDefault="00134712" w:rsidP="001525E5">
            <w:pPr>
              <w:rPr>
                <w:sz w:val="20"/>
              </w:rPr>
            </w:pPr>
          </w:p>
          <w:p w:rsidR="00134712" w:rsidRDefault="00134712" w:rsidP="001525E5">
            <w:pPr>
              <w:rPr>
                <w:sz w:val="20"/>
              </w:rPr>
            </w:pPr>
          </w:p>
          <w:p w:rsidR="00134712" w:rsidRDefault="00134712" w:rsidP="001525E5">
            <w:pPr>
              <w:rPr>
                <w:sz w:val="20"/>
              </w:rPr>
            </w:pPr>
          </w:p>
          <w:p w:rsidR="00134712" w:rsidRPr="00EF1EA2" w:rsidRDefault="00134712" w:rsidP="001525E5">
            <w:pPr>
              <w:rPr>
                <w:sz w:val="20"/>
              </w:rPr>
            </w:pPr>
          </w:p>
          <w:p w:rsidR="00EA028D" w:rsidRDefault="00EA028D" w:rsidP="001525E5">
            <w:pPr>
              <w:rPr>
                <w:sz w:val="20"/>
              </w:rPr>
            </w:pPr>
          </w:p>
          <w:p w:rsidR="00EA028D" w:rsidRDefault="00EA028D" w:rsidP="001525E5">
            <w:pPr>
              <w:rPr>
                <w:sz w:val="20"/>
              </w:rPr>
            </w:pPr>
          </w:p>
          <w:p w:rsidR="00EA028D" w:rsidRDefault="00EA028D" w:rsidP="001525E5">
            <w:pPr>
              <w:rPr>
                <w:sz w:val="20"/>
              </w:rPr>
            </w:pPr>
          </w:p>
          <w:p w:rsidR="002E6CA9" w:rsidRDefault="002E6CA9" w:rsidP="001525E5">
            <w:pPr>
              <w:rPr>
                <w:sz w:val="20"/>
              </w:rPr>
            </w:pPr>
          </w:p>
          <w:p w:rsidR="00EF5214" w:rsidRPr="00EF1EA2" w:rsidRDefault="0034038A" w:rsidP="001525E5">
            <w:pPr>
              <w:rPr>
                <w:sz w:val="20"/>
              </w:rPr>
            </w:pPr>
            <w:r w:rsidRPr="00EF1EA2">
              <w:rPr>
                <w:sz w:val="20"/>
              </w:rPr>
              <w:t xml:space="preserve">- </w:t>
            </w:r>
            <w:r w:rsidR="00EF5214" w:rsidRPr="00EF1EA2">
              <w:rPr>
                <w:sz w:val="20"/>
              </w:rPr>
              <w:t>Replacement agents identified and application rates/techniques verified</w:t>
            </w:r>
          </w:p>
        </w:tc>
        <w:tc>
          <w:tcPr>
            <w:tcW w:w="3452" w:type="dxa"/>
          </w:tcPr>
          <w:p w:rsidR="009D5326" w:rsidRPr="00EF1EA2" w:rsidRDefault="009D5326" w:rsidP="001525E5">
            <w:pPr>
              <w:rPr>
                <w:sz w:val="20"/>
              </w:rPr>
            </w:pPr>
          </w:p>
          <w:p w:rsidR="001C5BD1" w:rsidRDefault="0034038A" w:rsidP="001525E5">
            <w:pPr>
              <w:rPr>
                <w:sz w:val="20"/>
              </w:rPr>
            </w:pPr>
            <w:r w:rsidRPr="00EF1EA2">
              <w:rPr>
                <w:sz w:val="20"/>
              </w:rPr>
              <w:t>No change to availability of current control agents</w:t>
            </w:r>
            <w:r w:rsidR="00416650" w:rsidRPr="00EF1EA2">
              <w:rPr>
                <w:sz w:val="20"/>
              </w:rPr>
              <w:t>.</w:t>
            </w:r>
            <w:r w:rsidR="001C5BD1">
              <w:rPr>
                <w:sz w:val="20"/>
              </w:rPr>
              <w:t xml:space="preserve"> </w:t>
            </w:r>
          </w:p>
          <w:p w:rsidR="00134712" w:rsidRDefault="00134712" w:rsidP="001525E5">
            <w:pPr>
              <w:rPr>
                <w:sz w:val="20"/>
              </w:rPr>
            </w:pPr>
            <w:r>
              <w:rPr>
                <w:sz w:val="20"/>
              </w:rPr>
              <w:t>Issues raised in APVMA fenitrothion review were identified and responses prepared to address impacts upon APLC patterns of use.</w:t>
            </w:r>
            <w:r w:rsidR="00EA028D">
              <w:rPr>
                <w:sz w:val="20"/>
              </w:rPr>
              <w:t xml:space="preserve"> Further investigations to address drift buffer issues raised in </w:t>
            </w:r>
            <w:r w:rsidR="002E6CA9">
              <w:rPr>
                <w:sz w:val="20"/>
              </w:rPr>
              <w:t xml:space="preserve">APVMA </w:t>
            </w:r>
            <w:r w:rsidR="00EA028D">
              <w:rPr>
                <w:sz w:val="20"/>
              </w:rPr>
              <w:t>review</w:t>
            </w:r>
            <w:r w:rsidR="002E6CA9">
              <w:rPr>
                <w:sz w:val="20"/>
              </w:rPr>
              <w:t xml:space="preserve"> have been planned and will be undertaken in 2010-11</w:t>
            </w:r>
            <w:r w:rsidR="00EA028D">
              <w:rPr>
                <w:sz w:val="20"/>
              </w:rPr>
              <w:t>.</w:t>
            </w:r>
          </w:p>
          <w:p w:rsidR="001C5BD1" w:rsidRDefault="001C5BD1" w:rsidP="001525E5">
            <w:pPr>
              <w:rPr>
                <w:sz w:val="20"/>
              </w:rPr>
            </w:pPr>
          </w:p>
          <w:p w:rsidR="00416650" w:rsidRDefault="002E6CA9" w:rsidP="002E6CA9">
            <w:pPr>
              <w:rPr>
                <w:sz w:val="20"/>
              </w:rPr>
            </w:pPr>
            <w:r>
              <w:rPr>
                <w:sz w:val="20"/>
              </w:rPr>
              <w:t>Post-control monitoring was undertaken across numerous targets which were subjected to locust control activities in 2009-10. Of particular interest was demonstrating the efficacy of the wide-spaced barrier treatments with fipronil, applied as part of the March 2010 control campaign. This treatment was very effective and efficient</w:t>
            </w:r>
            <w:r w:rsidR="00AD43B8">
              <w:rPr>
                <w:sz w:val="20"/>
              </w:rPr>
              <w:t>.</w:t>
            </w:r>
          </w:p>
          <w:p w:rsidR="00AD43B8" w:rsidRPr="00EF1EA2" w:rsidRDefault="00AD43B8" w:rsidP="002E6CA9">
            <w:pPr>
              <w:rPr>
                <w:sz w:val="20"/>
              </w:rPr>
            </w:pPr>
          </w:p>
        </w:tc>
      </w:tr>
      <w:tr w:rsidR="00EF5214" w:rsidTr="00EF1EA2">
        <w:tc>
          <w:tcPr>
            <w:tcW w:w="2700" w:type="dxa"/>
          </w:tcPr>
          <w:p w:rsidR="009D5326" w:rsidRDefault="009D5326" w:rsidP="001525E5">
            <w:pPr>
              <w:rPr>
                <w:sz w:val="20"/>
              </w:rPr>
            </w:pPr>
          </w:p>
          <w:p w:rsidR="00EE19F2" w:rsidRPr="00EF1EA2" w:rsidRDefault="00EE19F2" w:rsidP="001525E5">
            <w:pPr>
              <w:rPr>
                <w:sz w:val="20"/>
              </w:rPr>
            </w:pPr>
          </w:p>
          <w:p w:rsidR="00EF5214" w:rsidRPr="00EF1EA2" w:rsidRDefault="00EF5214" w:rsidP="001525E5">
            <w:pPr>
              <w:rPr>
                <w:sz w:val="20"/>
              </w:rPr>
            </w:pPr>
            <w:r w:rsidRPr="00EF1EA2">
              <w:rPr>
                <w:sz w:val="20"/>
              </w:rPr>
              <w:t xml:space="preserve">Environmental impact of control </w:t>
            </w:r>
          </w:p>
        </w:tc>
        <w:tc>
          <w:tcPr>
            <w:tcW w:w="2973" w:type="dxa"/>
          </w:tcPr>
          <w:p w:rsidR="009D5326" w:rsidRDefault="009D5326" w:rsidP="00590312">
            <w:pPr>
              <w:rPr>
                <w:sz w:val="20"/>
              </w:rPr>
            </w:pPr>
          </w:p>
          <w:p w:rsidR="00EE19F2" w:rsidRPr="00EF1EA2" w:rsidRDefault="00EE19F2" w:rsidP="00590312">
            <w:pPr>
              <w:rPr>
                <w:sz w:val="20"/>
              </w:rPr>
            </w:pPr>
          </w:p>
          <w:p w:rsidR="00EF5214" w:rsidRPr="00EF1EA2" w:rsidRDefault="00590312" w:rsidP="00590312">
            <w:pPr>
              <w:rPr>
                <w:sz w:val="20"/>
              </w:rPr>
            </w:pPr>
            <w:r w:rsidRPr="00EF1EA2">
              <w:rPr>
                <w:sz w:val="20"/>
              </w:rPr>
              <w:t xml:space="preserve">- </w:t>
            </w:r>
            <w:r w:rsidR="00EF5214" w:rsidRPr="00EF1EA2">
              <w:rPr>
                <w:sz w:val="20"/>
              </w:rPr>
              <w:t>No reported/observed significant adverse impacts</w:t>
            </w:r>
          </w:p>
          <w:p w:rsidR="00590312" w:rsidRPr="00EF1EA2" w:rsidRDefault="00590312" w:rsidP="00590312">
            <w:pPr>
              <w:rPr>
                <w:sz w:val="20"/>
              </w:rPr>
            </w:pPr>
          </w:p>
        </w:tc>
        <w:tc>
          <w:tcPr>
            <w:tcW w:w="3452" w:type="dxa"/>
          </w:tcPr>
          <w:p w:rsidR="009D5326" w:rsidRDefault="009D5326" w:rsidP="001525E5">
            <w:pPr>
              <w:rPr>
                <w:sz w:val="20"/>
              </w:rPr>
            </w:pPr>
          </w:p>
          <w:p w:rsidR="00EE19F2" w:rsidRPr="00EF1EA2" w:rsidRDefault="00EE19F2" w:rsidP="001525E5">
            <w:pPr>
              <w:rPr>
                <w:sz w:val="20"/>
              </w:rPr>
            </w:pPr>
          </w:p>
          <w:p w:rsidR="00EF5214" w:rsidRPr="00EF1EA2" w:rsidRDefault="00DB00CA" w:rsidP="001525E5">
            <w:pPr>
              <w:rPr>
                <w:sz w:val="20"/>
              </w:rPr>
            </w:pPr>
            <w:r w:rsidRPr="00EF1EA2">
              <w:rPr>
                <w:sz w:val="20"/>
              </w:rPr>
              <w:t xml:space="preserve">No adverse impacts observed or reported </w:t>
            </w:r>
            <w:r w:rsidR="003A78AC">
              <w:rPr>
                <w:sz w:val="20"/>
              </w:rPr>
              <w:t>consequent to APLC</w:t>
            </w:r>
            <w:r w:rsidRPr="00EF1EA2">
              <w:rPr>
                <w:sz w:val="20"/>
              </w:rPr>
              <w:t xml:space="preserve"> control activities in 200</w:t>
            </w:r>
            <w:r w:rsidR="00AD43B8">
              <w:rPr>
                <w:sz w:val="20"/>
              </w:rPr>
              <w:t>9</w:t>
            </w:r>
            <w:r w:rsidRPr="00EF1EA2">
              <w:rPr>
                <w:sz w:val="20"/>
              </w:rPr>
              <w:t>-</w:t>
            </w:r>
            <w:r w:rsidR="00AD43B8">
              <w:rPr>
                <w:sz w:val="20"/>
              </w:rPr>
              <w:t>10</w:t>
            </w:r>
            <w:r w:rsidRPr="00EF1EA2">
              <w:rPr>
                <w:sz w:val="20"/>
              </w:rPr>
              <w:t>.</w:t>
            </w:r>
          </w:p>
          <w:p w:rsidR="009D5326" w:rsidRPr="00EF1EA2" w:rsidRDefault="009D5326" w:rsidP="001525E5">
            <w:pPr>
              <w:rPr>
                <w:sz w:val="20"/>
              </w:rPr>
            </w:pPr>
          </w:p>
        </w:tc>
      </w:tr>
      <w:tr w:rsidR="00EF5214" w:rsidTr="00EF1EA2">
        <w:tc>
          <w:tcPr>
            <w:tcW w:w="2700" w:type="dxa"/>
          </w:tcPr>
          <w:p w:rsidR="009D5326" w:rsidRPr="00EF1EA2" w:rsidRDefault="009D5326" w:rsidP="001525E5">
            <w:pPr>
              <w:rPr>
                <w:sz w:val="20"/>
              </w:rPr>
            </w:pPr>
          </w:p>
          <w:p w:rsidR="00EF5214" w:rsidRPr="00EF1EA2" w:rsidRDefault="00EF5214" w:rsidP="001525E5">
            <w:pPr>
              <w:rPr>
                <w:sz w:val="20"/>
              </w:rPr>
            </w:pPr>
            <w:r w:rsidRPr="00EF1EA2">
              <w:rPr>
                <w:sz w:val="20"/>
              </w:rPr>
              <w:t>Trade risks minimised</w:t>
            </w:r>
          </w:p>
        </w:tc>
        <w:tc>
          <w:tcPr>
            <w:tcW w:w="2973"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 </w:t>
            </w:r>
            <w:r w:rsidR="00EF5214" w:rsidRPr="00EF1EA2">
              <w:rPr>
                <w:sz w:val="20"/>
              </w:rPr>
              <w:t xml:space="preserve">No adverse trade (residue) impacts </w:t>
            </w:r>
          </w:p>
        </w:tc>
        <w:tc>
          <w:tcPr>
            <w:tcW w:w="3452" w:type="dxa"/>
          </w:tcPr>
          <w:p w:rsidR="009D5326" w:rsidRPr="00EF1EA2" w:rsidRDefault="009D5326" w:rsidP="001525E5">
            <w:pPr>
              <w:rPr>
                <w:sz w:val="20"/>
              </w:rPr>
            </w:pPr>
          </w:p>
          <w:p w:rsidR="00EF5214" w:rsidRPr="00EF1EA2" w:rsidRDefault="00DB00CA" w:rsidP="001525E5">
            <w:pPr>
              <w:rPr>
                <w:sz w:val="20"/>
              </w:rPr>
            </w:pPr>
            <w:r w:rsidRPr="00EF1EA2">
              <w:rPr>
                <w:sz w:val="20"/>
              </w:rPr>
              <w:t xml:space="preserve">No adverse trade impacts </w:t>
            </w:r>
            <w:r w:rsidR="003A78AC">
              <w:rPr>
                <w:sz w:val="20"/>
              </w:rPr>
              <w:t xml:space="preserve">resulted </w:t>
            </w:r>
            <w:r w:rsidRPr="00EF1EA2">
              <w:rPr>
                <w:sz w:val="20"/>
              </w:rPr>
              <w:t xml:space="preserve">from APLC operations. </w:t>
            </w:r>
            <w:r w:rsidR="003A78AC">
              <w:rPr>
                <w:sz w:val="20"/>
              </w:rPr>
              <w:t>Comprehensive advice was provided to state and local agencies to minimise the residue and trade risk of their locust control activities.</w:t>
            </w:r>
          </w:p>
          <w:p w:rsidR="00590312" w:rsidRPr="00EF1EA2" w:rsidRDefault="00590312" w:rsidP="001525E5">
            <w:pPr>
              <w:rPr>
                <w:sz w:val="20"/>
              </w:rPr>
            </w:pPr>
          </w:p>
        </w:tc>
      </w:tr>
      <w:tr w:rsidR="00EF5214" w:rsidTr="00EF1EA2">
        <w:tc>
          <w:tcPr>
            <w:tcW w:w="2700" w:type="dxa"/>
          </w:tcPr>
          <w:p w:rsidR="009D5326" w:rsidRPr="00EF1EA2" w:rsidRDefault="009D5326" w:rsidP="001525E5">
            <w:pPr>
              <w:rPr>
                <w:sz w:val="20"/>
              </w:rPr>
            </w:pPr>
          </w:p>
          <w:p w:rsidR="00EF5214" w:rsidRPr="00EF1EA2" w:rsidRDefault="00EF5214" w:rsidP="001525E5">
            <w:pPr>
              <w:rPr>
                <w:sz w:val="20"/>
              </w:rPr>
            </w:pPr>
            <w:r w:rsidRPr="00EF1EA2">
              <w:rPr>
                <w:sz w:val="20"/>
              </w:rPr>
              <w:t>Cooperation with environmental, OH&amp;S and other relevant agencies in developing and implementing plans for control programs</w:t>
            </w:r>
          </w:p>
          <w:p w:rsidR="00EF5214" w:rsidRPr="00EF1EA2" w:rsidRDefault="00EF5214" w:rsidP="001525E5">
            <w:pPr>
              <w:rPr>
                <w:sz w:val="20"/>
              </w:rPr>
            </w:pPr>
          </w:p>
        </w:tc>
        <w:tc>
          <w:tcPr>
            <w:tcW w:w="2973"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 </w:t>
            </w:r>
            <w:r w:rsidR="00EF5214" w:rsidRPr="00EF1EA2">
              <w:rPr>
                <w:sz w:val="20"/>
              </w:rPr>
              <w:t>Plans developed and agreed and reviewed on regular basis.</w:t>
            </w:r>
          </w:p>
        </w:tc>
        <w:tc>
          <w:tcPr>
            <w:tcW w:w="3452"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Current policy on locust control in habitat areas of endangered species and in other environmentally restricted areas </w:t>
            </w:r>
            <w:r w:rsidR="003A78AC">
              <w:rPr>
                <w:sz w:val="20"/>
              </w:rPr>
              <w:t>was applied where appropriate</w:t>
            </w:r>
            <w:r w:rsidRPr="00EF1EA2">
              <w:rPr>
                <w:sz w:val="20"/>
              </w:rPr>
              <w:t xml:space="preserve">. </w:t>
            </w:r>
          </w:p>
          <w:p w:rsidR="00DB00CA" w:rsidRDefault="00DB00CA" w:rsidP="001525E5">
            <w:pPr>
              <w:rPr>
                <w:sz w:val="20"/>
              </w:rPr>
            </w:pPr>
            <w:r w:rsidRPr="00EF1EA2">
              <w:rPr>
                <w:sz w:val="20"/>
              </w:rPr>
              <w:t xml:space="preserve">Facilitated and collaborated with member state agencies in </w:t>
            </w:r>
            <w:r w:rsidR="003A78AC">
              <w:rPr>
                <w:sz w:val="20"/>
              </w:rPr>
              <w:t xml:space="preserve">the </w:t>
            </w:r>
            <w:r w:rsidRPr="00EF1EA2">
              <w:rPr>
                <w:sz w:val="20"/>
              </w:rPr>
              <w:t>preparation of state locust response plans for 200</w:t>
            </w:r>
            <w:r w:rsidR="00AD43B8">
              <w:rPr>
                <w:sz w:val="20"/>
              </w:rPr>
              <w:t>9</w:t>
            </w:r>
            <w:r w:rsidRPr="00EF1EA2">
              <w:rPr>
                <w:sz w:val="20"/>
              </w:rPr>
              <w:t>-</w:t>
            </w:r>
            <w:r w:rsidR="00AD43B8">
              <w:rPr>
                <w:sz w:val="20"/>
              </w:rPr>
              <w:t>1</w:t>
            </w:r>
            <w:r w:rsidRPr="00EF1EA2">
              <w:rPr>
                <w:sz w:val="20"/>
              </w:rPr>
              <w:t>0</w:t>
            </w:r>
            <w:r w:rsidR="003A78AC">
              <w:rPr>
                <w:sz w:val="20"/>
              </w:rPr>
              <w:t>, and the post-season review of these plans as the initial phase of planning for the 20</w:t>
            </w:r>
            <w:r w:rsidR="00AD43B8">
              <w:rPr>
                <w:sz w:val="20"/>
              </w:rPr>
              <w:t>1</w:t>
            </w:r>
            <w:r w:rsidR="003A78AC">
              <w:rPr>
                <w:sz w:val="20"/>
              </w:rPr>
              <w:t>0-1</w:t>
            </w:r>
            <w:r w:rsidR="00AD43B8">
              <w:rPr>
                <w:sz w:val="20"/>
              </w:rPr>
              <w:t>1</w:t>
            </w:r>
            <w:r w:rsidR="003A78AC">
              <w:rPr>
                <w:sz w:val="20"/>
              </w:rPr>
              <w:t xml:space="preserve"> season</w:t>
            </w:r>
            <w:r w:rsidRPr="00EF1EA2">
              <w:rPr>
                <w:sz w:val="20"/>
              </w:rPr>
              <w:t>.</w:t>
            </w:r>
          </w:p>
          <w:p w:rsidR="00590312" w:rsidRPr="00EF1EA2" w:rsidRDefault="00590312" w:rsidP="00EE19F2">
            <w:pPr>
              <w:rPr>
                <w:sz w:val="20"/>
              </w:rPr>
            </w:pPr>
          </w:p>
        </w:tc>
      </w:tr>
      <w:tr w:rsidR="00EF5214" w:rsidTr="00EF1EA2">
        <w:tc>
          <w:tcPr>
            <w:tcW w:w="2700" w:type="dxa"/>
          </w:tcPr>
          <w:p w:rsidR="009D5326" w:rsidRPr="00EF1EA2" w:rsidRDefault="009D5326" w:rsidP="001525E5">
            <w:pPr>
              <w:rPr>
                <w:sz w:val="20"/>
              </w:rPr>
            </w:pPr>
          </w:p>
          <w:p w:rsidR="00EF5214" w:rsidRPr="00EF1EA2" w:rsidRDefault="00EF5214" w:rsidP="001525E5">
            <w:pPr>
              <w:rPr>
                <w:sz w:val="20"/>
              </w:rPr>
            </w:pPr>
            <w:r w:rsidRPr="00EF1EA2">
              <w:rPr>
                <w:sz w:val="20"/>
              </w:rPr>
              <w:t>Ensuring OH&amp;S of APLC staff, including aerial safety</w:t>
            </w:r>
          </w:p>
          <w:p w:rsidR="00590312" w:rsidRPr="00EF1EA2" w:rsidRDefault="00590312" w:rsidP="001525E5">
            <w:pPr>
              <w:rPr>
                <w:sz w:val="20"/>
              </w:rPr>
            </w:pPr>
          </w:p>
        </w:tc>
        <w:tc>
          <w:tcPr>
            <w:tcW w:w="2973"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 </w:t>
            </w:r>
            <w:r w:rsidR="00EF5214" w:rsidRPr="00EF1EA2">
              <w:rPr>
                <w:sz w:val="20"/>
              </w:rPr>
              <w:t>No significant OH&amp;S incidents</w:t>
            </w:r>
          </w:p>
        </w:tc>
        <w:tc>
          <w:tcPr>
            <w:tcW w:w="3452" w:type="dxa"/>
          </w:tcPr>
          <w:p w:rsidR="009D5326" w:rsidRPr="00EF1EA2" w:rsidRDefault="009D5326" w:rsidP="001525E5">
            <w:pPr>
              <w:rPr>
                <w:sz w:val="20"/>
              </w:rPr>
            </w:pPr>
          </w:p>
          <w:p w:rsidR="00EF5214" w:rsidRPr="00EF1EA2" w:rsidRDefault="00DB00CA" w:rsidP="001525E5">
            <w:pPr>
              <w:rPr>
                <w:sz w:val="20"/>
              </w:rPr>
            </w:pPr>
            <w:r w:rsidRPr="00EF1EA2">
              <w:rPr>
                <w:sz w:val="20"/>
              </w:rPr>
              <w:t>No safety incidents reported in 200</w:t>
            </w:r>
            <w:r w:rsidR="00AD43B8">
              <w:rPr>
                <w:sz w:val="20"/>
              </w:rPr>
              <w:t>9</w:t>
            </w:r>
            <w:r w:rsidRPr="00EF1EA2">
              <w:rPr>
                <w:sz w:val="20"/>
              </w:rPr>
              <w:t>-</w:t>
            </w:r>
            <w:r w:rsidR="00AD43B8">
              <w:rPr>
                <w:sz w:val="20"/>
              </w:rPr>
              <w:t>1</w:t>
            </w:r>
            <w:r w:rsidRPr="00EF1EA2">
              <w:rPr>
                <w:sz w:val="20"/>
              </w:rPr>
              <w:t>0.</w:t>
            </w:r>
          </w:p>
          <w:p w:rsidR="00AD43B8" w:rsidRDefault="00416650" w:rsidP="001525E5">
            <w:pPr>
              <w:rPr>
                <w:sz w:val="20"/>
              </w:rPr>
            </w:pPr>
            <w:r w:rsidRPr="00EF1EA2">
              <w:rPr>
                <w:sz w:val="20"/>
              </w:rPr>
              <w:t>Revis</w:t>
            </w:r>
            <w:r w:rsidR="003A78AC">
              <w:rPr>
                <w:sz w:val="20"/>
              </w:rPr>
              <w:t>ed</w:t>
            </w:r>
            <w:r w:rsidRPr="00EF1EA2">
              <w:rPr>
                <w:sz w:val="20"/>
              </w:rPr>
              <w:t xml:space="preserve"> Aerial Operations Safety Manual </w:t>
            </w:r>
            <w:r w:rsidR="00EE19F2">
              <w:rPr>
                <w:sz w:val="20"/>
              </w:rPr>
              <w:t>implemented</w:t>
            </w:r>
            <w:r w:rsidR="00AD43B8">
              <w:rPr>
                <w:sz w:val="20"/>
              </w:rPr>
              <w:t>.</w:t>
            </w:r>
          </w:p>
          <w:p w:rsidR="00416650" w:rsidRDefault="00AD43B8" w:rsidP="001525E5">
            <w:pPr>
              <w:rPr>
                <w:sz w:val="20"/>
              </w:rPr>
            </w:pPr>
            <w:r>
              <w:rPr>
                <w:sz w:val="20"/>
              </w:rPr>
              <w:t>All</w:t>
            </w:r>
            <w:r w:rsidR="00EE19F2">
              <w:rPr>
                <w:sz w:val="20"/>
              </w:rPr>
              <w:t xml:space="preserve"> aircraft operators engaged</w:t>
            </w:r>
            <w:r>
              <w:rPr>
                <w:sz w:val="20"/>
              </w:rPr>
              <w:t xml:space="preserve"> for surveillance and control activities were engaged against the </w:t>
            </w:r>
            <w:r w:rsidR="00EE19F2">
              <w:rPr>
                <w:sz w:val="20"/>
              </w:rPr>
              <w:t xml:space="preserve">specifications </w:t>
            </w:r>
            <w:r>
              <w:rPr>
                <w:sz w:val="20"/>
              </w:rPr>
              <w:t xml:space="preserve">contained in the </w:t>
            </w:r>
            <w:r w:rsidR="00EE19F2">
              <w:rPr>
                <w:sz w:val="20"/>
              </w:rPr>
              <w:t>revised Manual</w:t>
            </w:r>
            <w:r w:rsidR="00416650" w:rsidRPr="00EF1EA2">
              <w:rPr>
                <w:sz w:val="20"/>
              </w:rPr>
              <w:t>.</w:t>
            </w:r>
          </w:p>
          <w:p w:rsidR="00EE19F2" w:rsidRDefault="00EE19F2" w:rsidP="001525E5">
            <w:pPr>
              <w:rPr>
                <w:sz w:val="20"/>
              </w:rPr>
            </w:pPr>
            <w:r>
              <w:rPr>
                <w:sz w:val="20"/>
              </w:rPr>
              <w:t xml:space="preserve">Review of OH&amp;S Manual </w:t>
            </w:r>
            <w:r w:rsidR="00AD43B8">
              <w:rPr>
                <w:sz w:val="20"/>
              </w:rPr>
              <w:t>completed</w:t>
            </w:r>
            <w:r>
              <w:rPr>
                <w:sz w:val="20"/>
              </w:rPr>
              <w:t xml:space="preserve"> to reflect outcomes of external review.</w:t>
            </w:r>
          </w:p>
          <w:p w:rsidR="00EE19F2" w:rsidRDefault="00EE19F2" w:rsidP="001525E5">
            <w:pPr>
              <w:rPr>
                <w:sz w:val="20"/>
              </w:rPr>
            </w:pPr>
          </w:p>
          <w:p w:rsidR="00416650" w:rsidRPr="00EF1EA2" w:rsidRDefault="00416650" w:rsidP="001525E5">
            <w:pPr>
              <w:rPr>
                <w:sz w:val="20"/>
              </w:rPr>
            </w:pPr>
          </w:p>
        </w:tc>
      </w:tr>
      <w:tr w:rsidR="00EF5214" w:rsidTr="00EF1EA2">
        <w:tc>
          <w:tcPr>
            <w:tcW w:w="2700" w:type="dxa"/>
          </w:tcPr>
          <w:p w:rsidR="009D5326" w:rsidRPr="00EF1EA2" w:rsidRDefault="009D5326" w:rsidP="001525E5">
            <w:pPr>
              <w:rPr>
                <w:sz w:val="20"/>
              </w:rPr>
            </w:pPr>
          </w:p>
          <w:p w:rsidR="00EF5214" w:rsidRPr="00EF1EA2" w:rsidRDefault="00EF5214" w:rsidP="001525E5">
            <w:pPr>
              <w:rPr>
                <w:sz w:val="20"/>
              </w:rPr>
            </w:pPr>
            <w:r w:rsidRPr="00EF1EA2">
              <w:rPr>
                <w:sz w:val="20"/>
              </w:rPr>
              <w:t>Improved management practices developed through a targeted research program</w:t>
            </w:r>
          </w:p>
          <w:p w:rsidR="00EF5214" w:rsidRPr="00EF1EA2" w:rsidRDefault="00EF5214" w:rsidP="001525E5">
            <w:pPr>
              <w:rPr>
                <w:sz w:val="20"/>
              </w:rPr>
            </w:pPr>
          </w:p>
        </w:tc>
        <w:tc>
          <w:tcPr>
            <w:tcW w:w="2973"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 </w:t>
            </w:r>
            <w:r w:rsidR="00EF5214" w:rsidRPr="00EF1EA2">
              <w:rPr>
                <w:sz w:val="20"/>
              </w:rPr>
              <w:t>Research findings incorporated into APLC control strategy and operations</w:t>
            </w:r>
          </w:p>
        </w:tc>
        <w:tc>
          <w:tcPr>
            <w:tcW w:w="3452" w:type="dxa"/>
          </w:tcPr>
          <w:p w:rsidR="009D5326" w:rsidRPr="00EF1EA2" w:rsidRDefault="009D5326" w:rsidP="009755AF">
            <w:pPr>
              <w:rPr>
                <w:sz w:val="20"/>
              </w:rPr>
            </w:pPr>
          </w:p>
          <w:p w:rsidR="00416650" w:rsidRDefault="005B7FF4" w:rsidP="001525E5">
            <w:pPr>
              <w:rPr>
                <w:sz w:val="20"/>
              </w:rPr>
            </w:pPr>
            <w:r>
              <w:rPr>
                <w:sz w:val="20"/>
              </w:rPr>
              <w:t>Intelligence developed as part of previous investigations and development of application techniques regarding barrier application of fipronil were implemented through extensive and effective use of this technique during locust control operations in March 2010. In addition to improving operational efficiency and allowing coverage of larger areas at the optimum time, this technique is also considered to reduce environmental impact as it exposes only a portion of the target area to pesticide application.</w:t>
            </w:r>
          </w:p>
          <w:p w:rsidR="00EE19F2" w:rsidRDefault="00EE19F2" w:rsidP="001525E5">
            <w:pPr>
              <w:rPr>
                <w:sz w:val="20"/>
              </w:rPr>
            </w:pPr>
          </w:p>
          <w:p w:rsidR="00EE19F2" w:rsidRPr="00EF1EA2" w:rsidRDefault="00EE19F2" w:rsidP="001525E5">
            <w:pPr>
              <w:rPr>
                <w:sz w:val="20"/>
              </w:rPr>
            </w:pPr>
          </w:p>
        </w:tc>
      </w:tr>
      <w:tr w:rsidR="00EF5214" w:rsidTr="00EF1EA2">
        <w:tc>
          <w:tcPr>
            <w:tcW w:w="2700" w:type="dxa"/>
          </w:tcPr>
          <w:p w:rsidR="009D5326" w:rsidRPr="00EF1EA2" w:rsidRDefault="009D5326" w:rsidP="001525E5">
            <w:pPr>
              <w:rPr>
                <w:sz w:val="20"/>
              </w:rPr>
            </w:pPr>
          </w:p>
          <w:p w:rsidR="00EF5214" w:rsidRPr="00EF1EA2" w:rsidRDefault="00EF5214" w:rsidP="001525E5">
            <w:pPr>
              <w:rPr>
                <w:sz w:val="20"/>
              </w:rPr>
            </w:pPr>
            <w:r w:rsidRPr="00EF1EA2">
              <w:rPr>
                <w:sz w:val="20"/>
              </w:rPr>
              <w:t>APLC staff participation in national and international programs/scientific conferences</w:t>
            </w:r>
          </w:p>
          <w:p w:rsidR="00EF5214" w:rsidRPr="00EF1EA2" w:rsidRDefault="00EF5214" w:rsidP="001525E5">
            <w:pPr>
              <w:rPr>
                <w:sz w:val="20"/>
              </w:rPr>
            </w:pPr>
          </w:p>
        </w:tc>
        <w:tc>
          <w:tcPr>
            <w:tcW w:w="2973"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 </w:t>
            </w:r>
            <w:r w:rsidR="00EF5214" w:rsidRPr="00EF1EA2">
              <w:rPr>
                <w:sz w:val="20"/>
              </w:rPr>
              <w:t xml:space="preserve">APLC staff invited to participate in </w:t>
            </w:r>
            <w:r w:rsidR="00EE19F2">
              <w:rPr>
                <w:sz w:val="20"/>
              </w:rPr>
              <w:t xml:space="preserve">appropriate </w:t>
            </w:r>
            <w:r w:rsidR="00EF5214" w:rsidRPr="00EF1EA2">
              <w:rPr>
                <w:sz w:val="20"/>
              </w:rPr>
              <w:t>programs and conferences</w:t>
            </w:r>
          </w:p>
        </w:tc>
        <w:tc>
          <w:tcPr>
            <w:tcW w:w="3452" w:type="dxa"/>
          </w:tcPr>
          <w:p w:rsidR="009D5326" w:rsidRPr="00EF1EA2" w:rsidRDefault="009D5326" w:rsidP="001525E5">
            <w:pPr>
              <w:rPr>
                <w:sz w:val="20"/>
              </w:rPr>
            </w:pPr>
          </w:p>
          <w:p w:rsidR="009755AF" w:rsidRDefault="00EE19F2" w:rsidP="001525E5">
            <w:pPr>
              <w:rPr>
                <w:sz w:val="20"/>
              </w:rPr>
            </w:pPr>
            <w:r>
              <w:rPr>
                <w:sz w:val="20"/>
              </w:rPr>
              <w:t>National and international scientific and technical conferences and meetings were attended and addressed.</w:t>
            </w:r>
          </w:p>
          <w:p w:rsidR="00EE19F2" w:rsidRPr="00EF1EA2" w:rsidRDefault="00EE19F2" w:rsidP="001525E5">
            <w:pPr>
              <w:rPr>
                <w:sz w:val="20"/>
              </w:rPr>
            </w:pPr>
            <w:r>
              <w:rPr>
                <w:sz w:val="20"/>
              </w:rPr>
              <w:t xml:space="preserve">APLC </w:t>
            </w:r>
            <w:proofErr w:type="gramStart"/>
            <w:r>
              <w:rPr>
                <w:sz w:val="20"/>
              </w:rPr>
              <w:t>staff were</w:t>
            </w:r>
            <w:proofErr w:type="gramEnd"/>
            <w:r>
              <w:rPr>
                <w:sz w:val="20"/>
              </w:rPr>
              <w:t xml:space="preserve"> invited to participate in </w:t>
            </w:r>
            <w:r w:rsidR="00AD43B8">
              <w:rPr>
                <w:sz w:val="20"/>
              </w:rPr>
              <w:t>various international</w:t>
            </w:r>
            <w:r>
              <w:rPr>
                <w:sz w:val="20"/>
              </w:rPr>
              <w:t xml:space="preserve"> activities, including the </w:t>
            </w:r>
            <w:r w:rsidR="00AD43B8">
              <w:rPr>
                <w:sz w:val="20"/>
              </w:rPr>
              <w:t>USDA National Rangeland Grasshopper Management Board</w:t>
            </w:r>
            <w:r>
              <w:rPr>
                <w:sz w:val="20"/>
              </w:rPr>
              <w:t xml:space="preserve"> and </w:t>
            </w:r>
            <w:r w:rsidR="00AD43B8">
              <w:rPr>
                <w:sz w:val="20"/>
              </w:rPr>
              <w:t>FAO-sponsored locust control campaigns in Tanzania (Africa)</w:t>
            </w:r>
            <w:r>
              <w:rPr>
                <w:sz w:val="20"/>
              </w:rPr>
              <w:t>.</w:t>
            </w:r>
          </w:p>
          <w:p w:rsidR="009D5326" w:rsidRPr="00EF1EA2" w:rsidRDefault="009D5326" w:rsidP="001525E5">
            <w:pPr>
              <w:rPr>
                <w:sz w:val="20"/>
              </w:rPr>
            </w:pPr>
          </w:p>
        </w:tc>
      </w:tr>
      <w:tr w:rsidR="00EF5214" w:rsidTr="00EF1EA2">
        <w:tc>
          <w:tcPr>
            <w:tcW w:w="2700" w:type="dxa"/>
          </w:tcPr>
          <w:p w:rsidR="009D5326" w:rsidRPr="00EF1EA2" w:rsidRDefault="009D5326" w:rsidP="001525E5">
            <w:pPr>
              <w:rPr>
                <w:sz w:val="20"/>
              </w:rPr>
            </w:pPr>
          </w:p>
          <w:p w:rsidR="00EF5214" w:rsidRPr="00EF1EA2" w:rsidRDefault="00EF5214" w:rsidP="001525E5">
            <w:pPr>
              <w:rPr>
                <w:sz w:val="20"/>
              </w:rPr>
            </w:pPr>
            <w:r w:rsidRPr="00EF1EA2">
              <w:rPr>
                <w:sz w:val="20"/>
              </w:rPr>
              <w:t>Development of effective strategic, operational and communication plans</w:t>
            </w:r>
          </w:p>
          <w:p w:rsidR="00EF5214" w:rsidRPr="00EF1EA2" w:rsidRDefault="00EF5214" w:rsidP="001525E5">
            <w:pPr>
              <w:rPr>
                <w:sz w:val="20"/>
              </w:rPr>
            </w:pPr>
          </w:p>
        </w:tc>
        <w:tc>
          <w:tcPr>
            <w:tcW w:w="2973" w:type="dxa"/>
          </w:tcPr>
          <w:p w:rsidR="009D5326" w:rsidRPr="00EF1EA2" w:rsidRDefault="009D5326" w:rsidP="001525E5">
            <w:pPr>
              <w:rPr>
                <w:sz w:val="20"/>
              </w:rPr>
            </w:pPr>
          </w:p>
          <w:p w:rsidR="00EF5214" w:rsidRPr="00EF1EA2" w:rsidRDefault="0034038A" w:rsidP="001525E5">
            <w:pPr>
              <w:rPr>
                <w:sz w:val="20"/>
              </w:rPr>
            </w:pPr>
            <w:r w:rsidRPr="00EF1EA2">
              <w:rPr>
                <w:sz w:val="20"/>
              </w:rPr>
              <w:t xml:space="preserve">- </w:t>
            </w:r>
            <w:r w:rsidR="00EF5214" w:rsidRPr="00EF1EA2">
              <w:rPr>
                <w:sz w:val="20"/>
              </w:rPr>
              <w:t>Plans developed, endorsed and implemented</w:t>
            </w:r>
          </w:p>
          <w:p w:rsidR="00EF5214" w:rsidRPr="00EF1EA2" w:rsidRDefault="00EF5214" w:rsidP="001525E5">
            <w:pPr>
              <w:rPr>
                <w:sz w:val="20"/>
              </w:rPr>
            </w:pPr>
          </w:p>
          <w:p w:rsidR="00EF5214" w:rsidRPr="00EF1EA2" w:rsidRDefault="00EF5214" w:rsidP="001525E5">
            <w:pPr>
              <w:rPr>
                <w:sz w:val="20"/>
              </w:rPr>
            </w:pPr>
          </w:p>
        </w:tc>
        <w:tc>
          <w:tcPr>
            <w:tcW w:w="3452" w:type="dxa"/>
          </w:tcPr>
          <w:p w:rsidR="009D5326" w:rsidRPr="00EF1EA2" w:rsidRDefault="009D5326" w:rsidP="001525E5">
            <w:pPr>
              <w:rPr>
                <w:sz w:val="20"/>
              </w:rPr>
            </w:pPr>
          </w:p>
          <w:p w:rsidR="00EF5214" w:rsidRPr="00EF1EA2" w:rsidRDefault="00EE19F2" w:rsidP="001525E5">
            <w:pPr>
              <w:rPr>
                <w:sz w:val="20"/>
              </w:rPr>
            </w:pPr>
            <w:r>
              <w:rPr>
                <w:sz w:val="20"/>
              </w:rPr>
              <w:t>APLC Business Cycle presented to and endorsed by Commissioners, establishing an ongoing process for planning and review at all levels.</w:t>
            </w:r>
          </w:p>
          <w:p w:rsidR="00687300" w:rsidRPr="00EF1EA2" w:rsidRDefault="00687300" w:rsidP="001525E5">
            <w:pPr>
              <w:rPr>
                <w:sz w:val="20"/>
              </w:rPr>
            </w:pPr>
          </w:p>
          <w:p w:rsidR="009D5326" w:rsidRPr="00EF1EA2" w:rsidRDefault="009D5326" w:rsidP="001525E5">
            <w:pPr>
              <w:rPr>
                <w:sz w:val="20"/>
              </w:rPr>
            </w:pPr>
          </w:p>
        </w:tc>
      </w:tr>
    </w:tbl>
    <w:p w:rsidR="00EF5214" w:rsidRDefault="00EF5214" w:rsidP="00EF5214"/>
    <w:p w:rsidR="00EF5214" w:rsidRPr="007C74BF" w:rsidRDefault="00EF5214" w:rsidP="00EF5214"/>
    <w:p w:rsidR="00EF5214" w:rsidRPr="00A15448" w:rsidRDefault="00590312" w:rsidP="00A15448">
      <w:pPr>
        <w:pStyle w:val="Heading1"/>
      </w:pPr>
      <w:r>
        <w:br w:type="page"/>
      </w:r>
      <w:bookmarkStart w:id="123" w:name="_Toc209579949"/>
      <w:bookmarkStart w:id="124" w:name="_Toc209580108"/>
      <w:bookmarkStart w:id="125" w:name="_Toc209580376"/>
      <w:bookmarkStart w:id="126" w:name="_Toc209580518"/>
      <w:bookmarkStart w:id="127" w:name="_Toc209580785"/>
      <w:bookmarkStart w:id="128" w:name="_Toc263163126"/>
      <w:r w:rsidR="00EF5214" w:rsidRPr="00A15448">
        <w:rPr>
          <w:bCs/>
          <w:color w:val="0000FF"/>
        </w:rPr>
        <w:lastRenderedPageBreak/>
        <w:t>Research</w:t>
      </w:r>
      <w:bookmarkEnd w:id="115"/>
      <w:bookmarkEnd w:id="123"/>
      <w:bookmarkEnd w:id="124"/>
      <w:bookmarkEnd w:id="125"/>
      <w:bookmarkEnd w:id="126"/>
      <w:bookmarkEnd w:id="127"/>
      <w:bookmarkEnd w:id="128"/>
    </w:p>
    <w:p w:rsidR="00BE4B17" w:rsidRPr="00BE4B17" w:rsidRDefault="00BE4B17" w:rsidP="00BE4B17"/>
    <w:p w:rsidR="00BA0604" w:rsidRPr="00A15448" w:rsidRDefault="00BA0604" w:rsidP="00A15448">
      <w:pPr>
        <w:pStyle w:val="Heading2"/>
        <w:rPr>
          <w:bCs/>
          <w:color w:val="0000FF"/>
          <w:sz w:val="28"/>
          <w:u w:val="single"/>
        </w:rPr>
      </w:pPr>
      <w:bookmarkStart w:id="129" w:name="_Toc359921643"/>
      <w:r w:rsidRPr="00A15448">
        <w:rPr>
          <w:bCs/>
          <w:color w:val="0000FF"/>
          <w:sz w:val="28"/>
          <w:u w:val="single"/>
        </w:rPr>
        <w:t>Purpose and research areas</w:t>
      </w:r>
      <w:bookmarkEnd w:id="129"/>
    </w:p>
    <w:p w:rsidR="00BA0604" w:rsidRDefault="00BA0604" w:rsidP="00BA0604"/>
    <w:p w:rsidR="00BA0604" w:rsidRDefault="00BA0604" w:rsidP="00BA0604"/>
    <w:p w:rsidR="00BA0604" w:rsidRDefault="00BA0604" w:rsidP="00BA0604">
      <w:pPr>
        <w:jc w:val="both"/>
      </w:pPr>
      <w:r>
        <w:t>In carrying out its charter, the APLC identifies and undertakes applied and targeted research to plan for, and be responsive to, issues relating to its activities. These include, but are not limited to, the efficient monitoring and accurate forecasting of locust populations, the potential environmental and trade impacts of its control programs, the cost and efficacy of control agents, and the decision-making of locust control. An ongoing research program is essential to addressing these issues now and into the future. The three research areas are:</w:t>
      </w:r>
    </w:p>
    <w:p w:rsidR="00BA0604" w:rsidRDefault="00BA0604" w:rsidP="00BA0604">
      <w:pPr>
        <w:jc w:val="both"/>
      </w:pPr>
    </w:p>
    <w:p w:rsidR="00BA0604" w:rsidRDefault="00BA0604" w:rsidP="00BA0604">
      <w:pPr>
        <w:numPr>
          <w:ilvl w:val="0"/>
          <w:numId w:val="19"/>
        </w:numPr>
        <w:jc w:val="both"/>
      </w:pPr>
      <w:r>
        <w:t xml:space="preserve">Improvement in efficacy and reduction of risks associated with </w:t>
      </w:r>
      <w:r w:rsidRPr="003F3FC8">
        <w:rPr>
          <w:b/>
        </w:rPr>
        <w:t xml:space="preserve">control </w:t>
      </w:r>
      <w:r>
        <w:rPr>
          <w:b/>
        </w:rPr>
        <w:t>agents and application technology</w:t>
      </w:r>
      <w:r>
        <w:t xml:space="preserve"> addressing both immediate and future issues. </w:t>
      </w:r>
    </w:p>
    <w:p w:rsidR="00BA0604" w:rsidRDefault="00BA0604" w:rsidP="00BA0604">
      <w:pPr>
        <w:numPr>
          <w:ilvl w:val="0"/>
          <w:numId w:val="19"/>
        </w:numPr>
        <w:jc w:val="both"/>
      </w:pPr>
      <w:r>
        <w:t xml:space="preserve">Identification and measurement of </w:t>
      </w:r>
      <w:r w:rsidRPr="00441642">
        <w:rPr>
          <w:b/>
        </w:rPr>
        <w:t xml:space="preserve">environmental </w:t>
      </w:r>
      <w:r w:rsidRPr="000B1255">
        <w:t>and trade (residue)</w:t>
      </w:r>
      <w:r>
        <w:t xml:space="preserve"> risks potentially resulting from the APLC’s operations and integration of research results into the agencies’ core business.</w:t>
      </w:r>
    </w:p>
    <w:p w:rsidR="00BA0604" w:rsidRDefault="00BA0604" w:rsidP="00BA0604">
      <w:pPr>
        <w:numPr>
          <w:ilvl w:val="0"/>
          <w:numId w:val="19"/>
        </w:numPr>
        <w:jc w:val="both"/>
      </w:pPr>
      <w:r>
        <w:t xml:space="preserve">Improved understanding of the </w:t>
      </w:r>
      <w:r w:rsidRPr="00263603">
        <w:rPr>
          <w:b/>
        </w:rPr>
        <w:t xml:space="preserve">population </w:t>
      </w:r>
      <w:r w:rsidRPr="000B1255">
        <w:rPr>
          <w:b/>
        </w:rPr>
        <w:t>ecology</w:t>
      </w:r>
      <w:r>
        <w:t xml:space="preserve"> of locusts to improve the performance and effectiveness of existing surveillance </w:t>
      </w:r>
      <w:r w:rsidRPr="002F5CC0">
        <w:t>and forecasting</w:t>
      </w:r>
      <w:r>
        <w:t xml:space="preserve"> systems as well as improving early intervention strategies.</w:t>
      </w:r>
      <w:r w:rsidDel="007C1E8B">
        <w:t xml:space="preserve"> </w:t>
      </w:r>
    </w:p>
    <w:p w:rsidR="00BA0604" w:rsidRPr="00BE4B17" w:rsidRDefault="00BA0604" w:rsidP="00BA0604"/>
    <w:p w:rsidR="00BA0604" w:rsidRDefault="00BA0604" w:rsidP="00BA0604">
      <w:pPr>
        <w:pStyle w:val="Heading2"/>
        <w:rPr>
          <w:bCs/>
          <w:color w:val="0000FF"/>
          <w:sz w:val="28"/>
          <w:u w:val="single"/>
        </w:rPr>
      </w:pPr>
      <w:bookmarkStart w:id="130" w:name="_Toc209580109"/>
      <w:bookmarkStart w:id="131" w:name="_Toc209580377"/>
      <w:bookmarkStart w:id="132" w:name="_Toc209580519"/>
      <w:bookmarkStart w:id="133" w:name="_Toc209580786"/>
      <w:bookmarkStart w:id="134" w:name="_Toc359921644"/>
    </w:p>
    <w:p w:rsidR="00BA0604" w:rsidRPr="00A15448" w:rsidRDefault="00BA0604" w:rsidP="00A15448">
      <w:pPr>
        <w:pStyle w:val="Heading2"/>
        <w:rPr>
          <w:bCs/>
          <w:color w:val="0000FF"/>
          <w:sz w:val="28"/>
          <w:u w:val="single"/>
        </w:rPr>
      </w:pPr>
      <w:r w:rsidRPr="00A15448">
        <w:rPr>
          <w:bCs/>
          <w:color w:val="0000FF"/>
          <w:sz w:val="28"/>
          <w:u w:val="single"/>
        </w:rPr>
        <w:t>Research Review Committee</w:t>
      </w:r>
      <w:bookmarkEnd w:id="130"/>
      <w:bookmarkEnd w:id="131"/>
      <w:bookmarkEnd w:id="132"/>
      <w:bookmarkEnd w:id="133"/>
      <w:bookmarkEnd w:id="134"/>
    </w:p>
    <w:p w:rsidR="00BA0604" w:rsidRPr="00A15448" w:rsidRDefault="00BA0604" w:rsidP="00A15448">
      <w:pPr>
        <w:pStyle w:val="Heading2"/>
        <w:rPr>
          <w:bCs/>
          <w:color w:val="0000FF"/>
          <w:sz w:val="28"/>
          <w:u w:val="single"/>
        </w:rPr>
      </w:pPr>
    </w:p>
    <w:p w:rsidR="00BA0604" w:rsidRPr="00EB3935" w:rsidRDefault="00BA0604" w:rsidP="00BA0604">
      <w:pPr>
        <w:ind w:right="188"/>
        <w:jc w:val="both"/>
        <w:rPr>
          <w:szCs w:val="28"/>
          <w:lang w:eastAsia="en-AU"/>
        </w:rPr>
      </w:pPr>
      <w:r>
        <w:rPr>
          <w:szCs w:val="28"/>
          <w:lang w:eastAsia="en-AU"/>
        </w:rPr>
        <w:t>The Research Review Committee did not convene during the 2009-10 period.</w:t>
      </w:r>
    </w:p>
    <w:p w:rsidR="00BA0604" w:rsidRDefault="00BA0604" w:rsidP="00BA0604">
      <w:pPr>
        <w:pStyle w:val="BodyText2"/>
        <w:ind w:right="3"/>
      </w:pPr>
    </w:p>
    <w:p w:rsidR="00BA0604" w:rsidRDefault="00BA0604" w:rsidP="00BA0604">
      <w:pPr>
        <w:pStyle w:val="BodyText2"/>
        <w:ind w:right="3"/>
      </w:pPr>
    </w:p>
    <w:p w:rsidR="00BA0604" w:rsidRDefault="00BA0604" w:rsidP="00BA0604">
      <w:pPr>
        <w:pStyle w:val="BodyText2"/>
        <w:ind w:right="3"/>
      </w:pPr>
    </w:p>
    <w:p w:rsidR="00BA0604" w:rsidRPr="00A15448" w:rsidRDefault="00BA0604" w:rsidP="00A15448">
      <w:pPr>
        <w:pStyle w:val="Heading2"/>
        <w:rPr>
          <w:bCs/>
          <w:color w:val="0000FF"/>
          <w:sz w:val="28"/>
          <w:u w:val="single"/>
        </w:rPr>
      </w:pPr>
      <w:bookmarkStart w:id="135" w:name="_Toc209580111"/>
      <w:bookmarkStart w:id="136" w:name="_Toc209580379"/>
      <w:bookmarkStart w:id="137" w:name="_Toc209580521"/>
      <w:bookmarkStart w:id="138" w:name="_Toc209580788"/>
      <w:bookmarkStart w:id="139" w:name="_Toc359921646"/>
      <w:r w:rsidRPr="00A15448">
        <w:rPr>
          <w:bCs/>
          <w:color w:val="0000FF"/>
          <w:sz w:val="28"/>
          <w:u w:val="single"/>
        </w:rPr>
        <w:t>Summaries of research in progress</w:t>
      </w:r>
      <w:bookmarkEnd w:id="135"/>
      <w:bookmarkEnd w:id="136"/>
      <w:bookmarkEnd w:id="137"/>
      <w:bookmarkEnd w:id="138"/>
      <w:bookmarkEnd w:id="139"/>
      <w:r w:rsidRPr="00A15448">
        <w:rPr>
          <w:bCs/>
          <w:color w:val="0000FF"/>
          <w:sz w:val="28"/>
          <w:u w:val="single"/>
        </w:rPr>
        <w:t xml:space="preserve"> </w:t>
      </w:r>
    </w:p>
    <w:p w:rsidR="00BA0604" w:rsidRPr="00A15448" w:rsidRDefault="00BA0604" w:rsidP="00A15448">
      <w:pPr>
        <w:pStyle w:val="Heading2"/>
        <w:rPr>
          <w:bCs/>
          <w:color w:val="0000FF"/>
          <w:sz w:val="28"/>
          <w:u w:val="single"/>
        </w:rPr>
      </w:pPr>
    </w:p>
    <w:p w:rsidR="00BA0604" w:rsidRDefault="00BA0604" w:rsidP="00BA0604">
      <w:pPr>
        <w:pStyle w:val="BodyText3"/>
        <w:ind w:right="53"/>
        <w:rPr>
          <w:b w:val="0"/>
          <w:bCs/>
          <w:i/>
          <w:iCs/>
        </w:rPr>
      </w:pPr>
      <w:r>
        <w:rPr>
          <w:b w:val="0"/>
          <w:bCs/>
          <w:i/>
          <w:iCs/>
        </w:rPr>
        <w:t>The following research summaries provide an overview of current research activities being undertaken by the Australian Plague Locust Commission. The research summaries are not considered to constitute publication as the investigations are often incomplete and any results presented tentative.</w:t>
      </w:r>
    </w:p>
    <w:p w:rsidR="00BA0604" w:rsidRDefault="00BA0604" w:rsidP="00BA0604">
      <w:pPr>
        <w:ind w:right="70"/>
        <w:jc w:val="both"/>
        <w:rPr>
          <w:szCs w:val="24"/>
        </w:rPr>
      </w:pPr>
    </w:p>
    <w:p w:rsidR="00BA0604" w:rsidRPr="00F423B5" w:rsidRDefault="00BA0604" w:rsidP="00BA0604">
      <w:pPr>
        <w:pStyle w:val="BodyText3"/>
        <w:ind w:right="70"/>
        <w:rPr>
          <w:b w:val="0"/>
        </w:rPr>
      </w:pPr>
    </w:p>
    <w:p w:rsidR="00BA0604" w:rsidRDefault="00BA0604" w:rsidP="00BA0604">
      <w:pPr>
        <w:jc w:val="both"/>
        <w:rPr>
          <w:b/>
          <w:u w:val="single"/>
        </w:rPr>
      </w:pPr>
      <w:r w:rsidRPr="00D42538">
        <w:rPr>
          <w:b/>
          <w:u w:val="single"/>
        </w:rPr>
        <w:t>1. Control agents and application tec</w:t>
      </w:r>
      <w:r>
        <w:rPr>
          <w:b/>
          <w:u w:val="single"/>
        </w:rPr>
        <w:t>h</w:t>
      </w:r>
      <w:r w:rsidRPr="00D42538">
        <w:rPr>
          <w:b/>
          <w:u w:val="single"/>
        </w:rPr>
        <w:t>nology</w:t>
      </w:r>
    </w:p>
    <w:p w:rsidR="00BA0604" w:rsidRDefault="00BA0604" w:rsidP="00BA0604">
      <w:pPr>
        <w:jc w:val="both"/>
        <w:rPr>
          <w:b/>
          <w:u w:val="single"/>
        </w:rPr>
      </w:pPr>
    </w:p>
    <w:p w:rsidR="00BA0604" w:rsidRDefault="00BA0604" w:rsidP="00BA0604">
      <w:pPr>
        <w:pStyle w:val="Heading4"/>
      </w:pPr>
      <w:r>
        <w:t>1.1: Simulation of Metarhizium development</w:t>
      </w:r>
      <w:r w:rsidRPr="00E17C9A">
        <w:t xml:space="preserve"> </w:t>
      </w:r>
      <w:r>
        <w:t>with locust body temperature variation</w:t>
      </w:r>
    </w:p>
    <w:p w:rsidR="00BA0604" w:rsidRDefault="00BA0604" w:rsidP="00BA0604">
      <w:pPr>
        <w:rPr>
          <w:rFonts w:eastAsia="Calibri"/>
        </w:rPr>
      </w:pPr>
    </w:p>
    <w:p w:rsidR="00BA0604" w:rsidRDefault="00BA0604" w:rsidP="00BA0604">
      <w:pPr>
        <w:autoSpaceDE w:val="0"/>
        <w:autoSpaceDN w:val="0"/>
        <w:jc w:val="both"/>
        <w:rPr>
          <w:rFonts w:ascii="Times" w:hAnsi="Times" w:cs="Times"/>
        </w:rPr>
      </w:pPr>
      <w:r>
        <w:rPr>
          <w:rFonts w:ascii="Times" w:hAnsi="Times" w:cs="Times"/>
        </w:rPr>
        <w:t xml:space="preserve">In order to evaluate the </w:t>
      </w:r>
      <w:r w:rsidR="00EF64B2">
        <w:rPr>
          <w:rFonts w:ascii="Times" w:hAnsi="Times" w:cs="Times"/>
        </w:rPr>
        <w:t>effectiveness of Green Guard® during</w:t>
      </w:r>
      <w:r>
        <w:rPr>
          <w:rFonts w:ascii="Times" w:hAnsi="Times" w:cs="Times"/>
        </w:rPr>
        <w:t xml:space="preserve"> locust control, a simulation model was reconstructed fr</w:t>
      </w:r>
      <w:r w:rsidR="00EF64B2">
        <w:rPr>
          <w:rFonts w:ascii="Times" w:hAnsi="Times" w:cs="Times"/>
        </w:rPr>
        <w:t>om published data</w:t>
      </w:r>
      <w:r>
        <w:rPr>
          <w:rFonts w:ascii="Times" w:hAnsi="Times" w:cs="Times"/>
        </w:rPr>
        <w:t xml:space="preserve"> for estim</w:t>
      </w:r>
      <w:r w:rsidR="00EF64B2">
        <w:rPr>
          <w:rFonts w:ascii="Times" w:hAnsi="Times" w:cs="Times"/>
        </w:rPr>
        <w:t>ating locust body temperature</w:t>
      </w:r>
      <w:r>
        <w:rPr>
          <w:rFonts w:ascii="Times" w:hAnsi="Times" w:cs="Times"/>
        </w:rPr>
        <w:t xml:space="preserve"> </w:t>
      </w:r>
      <w:r w:rsidR="00EF64B2">
        <w:rPr>
          <w:rFonts w:ascii="Times" w:hAnsi="Times" w:cs="Times"/>
        </w:rPr>
        <w:t>from</w:t>
      </w:r>
      <w:r>
        <w:rPr>
          <w:rFonts w:ascii="Times" w:hAnsi="Times" w:cs="Times"/>
        </w:rPr>
        <w:t xml:space="preserve"> air temperature</w:t>
      </w:r>
      <w:r w:rsidR="00EF64B2">
        <w:rPr>
          <w:rFonts w:ascii="Times" w:hAnsi="Times" w:cs="Times"/>
        </w:rPr>
        <w:t>s</w:t>
      </w:r>
      <w:r>
        <w:rPr>
          <w:rFonts w:ascii="Times" w:hAnsi="Times" w:cs="Times"/>
        </w:rPr>
        <w:t xml:space="preserve"> and </w:t>
      </w:r>
      <w:r w:rsidR="00EF64B2">
        <w:rPr>
          <w:rFonts w:ascii="Times" w:hAnsi="Times" w:cs="Times"/>
        </w:rPr>
        <w:t>for</w:t>
      </w:r>
      <w:r>
        <w:rPr>
          <w:rFonts w:ascii="Times" w:hAnsi="Times" w:cs="Times"/>
        </w:rPr>
        <w:t xml:space="preserve"> </w:t>
      </w:r>
      <w:r w:rsidR="007F7705" w:rsidRPr="007F7705">
        <w:rPr>
          <w:rFonts w:ascii="Times" w:hAnsi="Times" w:cs="Times"/>
          <w:i/>
        </w:rPr>
        <w:t>Metarhizium</w:t>
      </w:r>
      <w:r>
        <w:rPr>
          <w:rFonts w:ascii="Times" w:hAnsi="Times" w:cs="Times"/>
        </w:rPr>
        <w:t xml:space="preserve"> fungus development in the locust body. </w:t>
      </w:r>
      <w:r w:rsidR="007E67C3">
        <w:rPr>
          <w:rFonts w:ascii="Times" w:hAnsi="Times" w:cs="Times"/>
        </w:rPr>
        <w:t>I</w:t>
      </w:r>
      <w:r>
        <w:rPr>
          <w:rFonts w:ascii="Times" w:hAnsi="Times" w:cs="Times"/>
        </w:rPr>
        <w:t xml:space="preserve">nitial evaluation </w:t>
      </w:r>
      <w:r w:rsidR="007E67C3">
        <w:rPr>
          <w:rFonts w:ascii="Times" w:hAnsi="Times" w:cs="Times"/>
        </w:rPr>
        <w:t>of the model</w:t>
      </w:r>
      <w:r>
        <w:rPr>
          <w:rFonts w:ascii="Times" w:hAnsi="Times" w:cs="Times"/>
        </w:rPr>
        <w:t xml:space="preserve"> during late March</w:t>
      </w:r>
      <w:r w:rsidR="007E67C3">
        <w:rPr>
          <w:rFonts w:ascii="Times" w:hAnsi="Times" w:cs="Times"/>
        </w:rPr>
        <w:t>–</w:t>
      </w:r>
      <w:r>
        <w:rPr>
          <w:rFonts w:ascii="Times" w:hAnsi="Times" w:cs="Times"/>
        </w:rPr>
        <w:t xml:space="preserve">April 2009 in </w:t>
      </w:r>
      <w:r w:rsidR="007E67C3">
        <w:rPr>
          <w:rFonts w:ascii="Times" w:hAnsi="Times" w:cs="Times"/>
        </w:rPr>
        <w:t>the</w:t>
      </w:r>
      <w:r>
        <w:rPr>
          <w:rFonts w:ascii="Times" w:hAnsi="Times" w:cs="Times"/>
        </w:rPr>
        <w:t xml:space="preserve"> Coonamble </w:t>
      </w:r>
      <w:r w:rsidR="007E67C3">
        <w:rPr>
          <w:rFonts w:ascii="Times" w:hAnsi="Times" w:cs="Times"/>
        </w:rPr>
        <w:t xml:space="preserve">area indicated </w:t>
      </w:r>
      <w:r w:rsidR="00EF64B2">
        <w:rPr>
          <w:rFonts w:ascii="Times" w:hAnsi="Times" w:cs="Times"/>
        </w:rPr>
        <w:t>that</w:t>
      </w:r>
      <w:r>
        <w:rPr>
          <w:rFonts w:ascii="Times" w:hAnsi="Times" w:cs="Times"/>
        </w:rPr>
        <w:t xml:space="preserve"> </w:t>
      </w:r>
      <w:r w:rsidR="007F7705" w:rsidRPr="007F7705">
        <w:rPr>
          <w:rFonts w:ascii="Times" w:hAnsi="Times" w:cs="Times"/>
          <w:i/>
        </w:rPr>
        <w:t>Metarhizium</w:t>
      </w:r>
      <w:r>
        <w:rPr>
          <w:rFonts w:ascii="Times" w:hAnsi="Times" w:cs="Times"/>
        </w:rPr>
        <w:t xml:space="preserve"> is effective at moderate temperatures</w:t>
      </w:r>
      <w:r w:rsidR="007E67C3">
        <w:rPr>
          <w:rFonts w:ascii="Times" w:hAnsi="Times" w:cs="Times"/>
        </w:rPr>
        <w:t>,</w:t>
      </w:r>
      <w:r w:rsidR="00EF64B2">
        <w:rPr>
          <w:rFonts w:ascii="Times" w:hAnsi="Times" w:cs="Times"/>
        </w:rPr>
        <w:t xml:space="preserve"> </w:t>
      </w:r>
      <w:r w:rsidR="007E67C3">
        <w:rPr>
          <w:rFonts w:ascii="Times" w:hAnsi="Times" w:cs="Times"/>
        </w:rPr>
        <w:t>but</w:t>
      </w:r>
      <w:r>
        <w:rPr>
          <w:rFonts w:ascii="Times" w:hAnsi="Times" w:cs="Times"/>
        </w:rPr>
        <w:t xml:space="preserve"> </w:t>
      </w:r>
      <w:r w:rsidR="00EF64B2">
        <w:rPr>
          <w:rFonts w:ascii="Times" w:hAnsi="Times" w:cs="Times"/>
        </w:rPr>
        <w:t xml:space="preserve">that </w:t>
      </w:r>
      <w:r>
        <w:rPr>
          <w:rFonts w:ascii="Times" w:hAnsi="Times" w:cs="Times"/>
        </w:rPr>
        <w:t xml:space="preserve">the duration from </w:t>
      </w:r>
      <w:r w:rsidR="007E67C3">
        <w:rPr>
          <w:rFonts w:ascii="Times" w:hAnsi="Times" w:cs="Times"/>
        </w:rPr>
        <w:t xml:space="preserve">infection </w:t>
      </w:r>
      <w:r>
        <w:rPr>
          <w:rFonts w:ascii="Times" w:hAnsi="Times" w:cs="Times"/>
        </w:rPr>
        <w:t xml:space="preserve">to </w:t>
      </w:r>
      <w:r w:rsidR="007E67C3">
        <w:rPr>
          <w:rFonts w:ascii="Times" w:hAnsi="Times" w:cs="Times"/>
        </w:rPr>
        <w:t xml:space="preserve">death </w:t>
      </w:r>
      <w:r>
        <w:rPr>
          <w:rFonts w:ascii="Times" w:hAnsi="Times" w:cs="Times"/>
        </w:rPr>
        <w:t>was longer than expected.</w:t>
      </w:r>
    </w:p>
    <w:p w:rsidR="00BA0604" w:rsidRDefault="00BA0604" w:rsidP="00BA0604">
      <w:pPr>
        <w:autoSpaceDE w:val="0"/>
        <w:autoSpaceDN w:val="0"/>
        <w:jc w:val="both"/>
        <w:rPr>
          <w:rFonts w:ascii="Times" w:hAnsi="Times" w:cs="Times"/>
        </w:rPr>
      </w:pPr>
    </w:p>
    <w:p w:rsidR="00BA0604" w:rsidRDefault="00BA0604" w:rsidP="00BA0604">
      <w:pPr>
        <w:autoSpaceDE w:val="0"/>
        <w:autoSpaceDN w:val="0"/>
        <w:jc w:val="both"/>
        <w:rPr>
          <w:rFonts w:ascii="Times" w:hAnsi="Times" w:cs="Times"/>
        </w:rPr>
      </w:pPr>
      <w:r>
        <w:rPr>
          <w:rFonts w:ascii="Times" w:hAnsi="Times" w:cs="Times"/>
        </w:rPr>
        <w:t xml:space="preserve">The program was developed under the freeware R environment. Geographic location (latitude and longitude) is used to calculate day length (sun rise and sun set time), which is then used to </w:t>
      </w:r>
      <w:r>
        <w:rPr>
          <w:rFonts w:ascii="Times" w:hAnsi="Times" w:cs="Times"/>
        </w:rPr>
        <w:lastRenderedPageBreak/>
        <w:t>estimate the daily temperature variation regime (assuming the daily temperature minimum occurs right before sun rise). Daily temperature maxima and minima are used to simul</w:t>
      </w:r>
      <w:r w:rsidR="007E67C3">
        <w:rPr>
          <w:rFonts w:ascii="Times" w:hAnsi="Times" w:cs="Times"/>
        </w:rPr>
        <w:t>ate</w:t>
      </w:r>
      <w:r>
        <w:rPr>
          <w:rFonts w:ascii="Times" w:hAnsi="Times" w:cs="Times"/>
        </w:rPr>
        <w:t xml:space="preserve"> hourly temperature variation in</w:t>
      </w:r>
      <w:r w:rsidR="007E67C3">
        <w:rPr>
          <w:rFonts w:ascii="Times" w:hAnsi="Times" w:cs="Times"/>
        </w:rPr>
        <w:t xml:space="preserve"> a</w:t>
      </w:r>
      <w:r>
        <w:rPr>
          <w:rFonts w:ascii="Times" w:hAnsi="Times" w:cs="Times"/>
        </w:rPr>
        <w:t xml:space="preserve"> 24-hr period with non-symmetric sine wave. </w:t>
      </w:r>
      <w:r w:rsidR="007E67C3">
        <w:rPr>
          <w:rFonts w:ascii="Times" w:hAnsi="Times" w:cs="Times"/>
        </w:rPr>
        <w:t>L</w:t>
      </w:r>
      <w:r>
        <w:rPr>
          <w:rFonts w:ascii="Times" w:hAnsi="Times" w:cs="Times"/>
        </w:rPr>
        <w:t xml:space="preserve">ocust body temperature is estimated from the simulated ambient temperature with a nonlinear sigmoid model, with consideration of behavioural fever generated by the locust after infection. </w:t>
      </w:r>
      <w:r w:rsidR="00331387">
        <w:rPr>
          <w:rFonts w:ascii="Times" w:hAnsi="Times" w:cs="Times"/>
        </w:rPr>
        <w:t>A</w:t>
      </w:r>
      <w:r>
        <w:rPr>
          <w:rFonts w:ascii="Times" w:hAnsi="Times" w:cs="Times"/>
        </w:rPr>
        <w:t xml:space="preserve"> biophysical model was fitted to calculate the temperature-dependent development rate of </w:t>
      </w:r>
      <w:r w:rsidR="007F7705" w:rsidRPr="007F7705">
        <w:rPr>
          <w:rFonts w:ascii="Times" w:hAnsi="Times" w:cs="Times"/>
          <w:i/>
        </w:rPr>
        <w:t>Metarhizium</w:t>
      </w:r>
      <w:r>
        <w:rPr>
          <w:rFonts w:ascii="Times" w:hAnsi="Times" w:cs="Times"/>
        </w:rPr>
        <w:t xml:space="preserve">. </w:t>
      </w:r>
      <w:r w:rsidR="00331387">
        <w:rPr>
          <w:rFonts w:ascii="Times" w:hAnsi="Times" w:cs="Times"/>
        </w:rPr>
        <w:t>T</w:t>
      </w:r>
      <w:r>
        <w:rPr>
          <w:rFonts w:ascii="Times" w:hAnsi="Times" w:cs="Times"/>
        </w:rPr>
        <w:t xml:space="preserve">he number of spores deposited onto a single locust is introduced into the calculation of the duration </w:t>
      </w:r>
      <w:r w:rsidR="00331387">
        <w:rPr>
          <w:rFonts w:ascii="Times" w:hAnsi="Times" w:cs="Times"/>
        </w:rPr>
        <w:t xml:space="preserve">to </w:t>
      </w:r>
      <w:r>
        <w:rPr>
          <w:rFonts w:ascii="Times" w:hAnsi="Times" w:cs="Times"/>
        </w:rPr>
        <w:t>50% and 90% mortality.</w:t>
      </w:r>
    </w:p>
    <w:p w:rsidR="00BA0604" w:rsidRDefault="00BA0604" w:rsidP="00BA0604">
      <w:pPr>
        <w:autoSpaceDE w:val="0"/>
        <w:autoSpaceDN w:val="0"/>
        <w:jc w:val="both"/>
        <w:rPr>
          <w:rFonts w:ascii="Times" w:hAnsi="Times" w:cs="Times"/>
          <w:u w:val="single"/>
        </w:rPr>
      </w:pPr>
    </w:p>
    <w:p w:rsidR="00BA0604" w:rsidRPr="00962A0C" w:rsidRDefault="00BA0604" w:rsidP="00BA0604">
      <w:pPr>
        <w:jc w:val="both"/>
      </w:pPr>
      <w:r>
        <w:t xml:space="preserve">This model was first validated with observations from Coonamble and the results </w:t>
      </w:r>
      <w:r w:rsidR="00331387">
        <w:t xml:space="preserve">suggested </w:t>
      </w:r>
      <w:r>
        <w:t xml:space="preserve">the behavioural fever generated by the infected locusts </w:t>
      </w:r>
      <w:r w:rsidR="00331387">
        <w:t>may</w:t>
      </w:r>
      <w:r>
        <w:t xml:space="preserve"> slow down fungus development during daytime at moderate temperatures</w:t>
      </w:r>
      <w:r w:rsidR="00331387">
        <w:t>.</w:t>
      </w:r>
      <w:r>
        <w:t xml:space="preserve"> </w:t>
      </w:r>
      <w:r w:rsidR="00331387">
        <w:t>T</w:t>
      </w:r>
      <w:r>
        <w:t>he dosage used (35 g/ha) is sufficient to kill more than 50% population within two weeks of application. The model also indicated the number of spores captured by individual locust nymph was about 2000 - 5000 with vegetation under 50</w:t>
      </w:r>
      <w:r w:rsidR="00331387">
        <w:t xml:space="preserve"> </w:t>
      </w:r>
      <w:r>
        <w:t>cm height.</w:t>
      </w:r>
      <w:r w:rsidR="00331387">
        <w:t xml:space="preserve"> The model was tested during the band control in the Tibooburra area March 2010. Using the historic averages of daily temperature maxima and minima, and much higher spore deposition, the infected locust nymphs could be killed in 2 – 3 weeks.</w:t>
      </w:r>
      <w:r>
        <w:t xml:space="preserve"> The model was also tested during the Red locust, </w:t>
      </w:r>
      <w:proofErr w:type="spellStart"/>
      <w:r w:rsidRPr="009227AC">
        <w:rPr>
          <w:i/>
        </w:rPr>
        <w:t>Nomadacris</w:t>
      </w:r>
      <w:proofErr w:type="spellEnd"/>
      <w:r w:rsidRPr="009227AC">
        <w:rPr>
          <w:i/>
        </w:rPr>
        <w:t xml:space="preserve"> </w:t>
      </w:r>
      <w:proofErr w:type="spellStart"/>
      <w:r w:rsidRPr="009227AC">
        <w:rPr>
          <w:i/>
        </w:rPr>
        <w:t>septemfa</w:t>
      </w:r>
      <w:r w:rsidR="00EF64B2">
        <w:rPr>
          <w:i/>
        </w:rPr>
        <w:t>sciat</w:t>
      </w:r>
      <w:r w:rsidRPr="009227AC">
        <w:rPr>
          <w:i/>
        </w:rPr>
        <w:t>a</w:t>
      </w:r>
      <w:proofErr w:type="spellEnd"/>
      <w:r>
        <w:t xml:space="preserve">, </w:t>
      </w:r>
      <w:proofErr w:type="gramStart"/>
      <w:r>
        <w:t>control program in Tanzania (</w:t>
      </w:r>
      <w:r w:rsidR="00433EA0">
        <w:fldChar w:fldCharType="begin"/>
      </w:r>
      <w:r>
        <w:instrText xml:space="preserve"> REF _Ref359921014 \h </w:instrText>
      </w:r>
      <w:r w:rsidR="00433EA0">
        <w:fldChar w:fldCharType="separate"/>
      </w:r>
      <w:r w:rsidR="00B528B1" w:rsidRPr="00D1724E">
        <w:rPr>
          <w:sz w:val="22"/>
        </w:rPr>
        <w:t xml:space="preserve">Figure </w:t>
      </w:r>
      <w:r w:rsidR="00B528B1">
        <w:rPr>
          <w:sz w:val="22"/>
        </w:rPr>
        <w:t>10</w:t>
      </w:r>
      <w:r w:rsidR="00433EA0">
        <w:fldChar w:fldCharType="end"/>
      </w:r>
      <w:proofErr w:type="gramEnd"/>
      <w:r>
        <w:t>). With the much higher and denser vegetation (about 2</w:t>
      </w:r>
      <w:r w:rsidR="00331387">
        <w:t xml:space="preserve"> </w:t>
      </w:r>
      <w:r>
        <w:t xml:space="preserve">m) encountered there, the number of fungal spores of Green Muscle® deposited onto individual locust bodies was significantly less (estimated at ca. 600) than </w:t>
      </w:r>
      <w:r w:rsidR="00EF64B2">
        <w:t>at</w:t>
      </w:r>
      <w:r>
        <w:t xml:space="preserve"> Coonamble. However, even at that low dosage, </w:t>
      </w:r>
      <w:r w:rsidR="00331387">
        <w:t>most locusts</w:t>
      </w:r>
      <w:r>
        <w:t xml:space="preserve"> showed infection after about 50 days. </w:t>
      </w:r>
    </w:p>
    <w:p w:rsidR="00BA0604" w:rsidRDefault="00BA0604" w:rsidP="00BA0604">
      <w:pPr>
        <w:keepNext/>
        <w:jc w:val="both"/>
      </w:pPr>
      <w:r>
        <w:rPr>
          <w:noProof/>
          <w:lang w:eastAsia="en-AU"/>
        </w:rPr>
        <w:drawing>
          <wp:inline distT="0" distB="0" distL="0" distR="0">
            <wp:extent cx="5579978" cy="4714875"/>
            <wp:effectExtent l="0" t="0" r="0" b="0"/>
            <wp:docPr id="15" name="Picture 4" descr="Figure 10 is a graph of estimated killing rates of Nomadacris septemfasciata by Metarhri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WorkSpace\KigomaTZ2009-05-23Metarhizium@625.emf"/>
                    <pic:cNvPicPr>
                      <a:picLocks noChangeAspect="1" noChangeArrowheads="1"/>
                    </pic:cNvPicPr>
                  </pic:nvPicPr>
                  <pic:blipFill>
                    <a:blip r:embed="rId23" cstate="print"/>
                    <a:srcRect/>
                    <a:stretch>
                      <a:fillRect/>
                    </a:stretch>
                  </pic:blipFill>
                  <pic:spPr bwMode="auto">
                    <a:xfrm>
                      <a:off x="0" y="0"/>
                      <a:ext cx="5579978" cy="4714875"/>
                    </a:xfrm>
                    <a:prstGeom prst="rect">
                      <a:avLst/>
                    </a:prstGeom>
                    <a:noFill/>
                    <a:ln w="9525">
                      <a:noFill/>
                      <a:miter lim="800000"/>
                      <a:headEnd/>
                      <a:tailEnd/>
                    </a:ln>
                  </pic:spPr>
                </pic:pic>
              </a:graphicData>
            </a:graphic>
          </wp:inline>
        </w:drawing>
      </w:r>
    </w:p>
    <w:p w:rsidR="00BA0604" w:rsidRPr="00D1724E" w:rsidRDefault="00BA0604" w:rsidP="00BA0604">
      <w:pPr>
        <w:pStyle w:val="Caption"/>
        <w:jc w:val="center"/>
        <w:rPr>
          <w:sz w:val="22"/>
        </w:rPr>
      </w:pPr>
      <w:bookmarkStart w:id="140" w:name="_Ref359921014"/>
      <w:bookmarkStart w:id="141" w:name="_Toc359921658"/>
      <w:r w:rsidRPr="00D1724E">
        <w:rPr>
          <w:sz w:val="22"/>
        </w:rPr>
        <w:t xml:space="preserve">Figure </w:t>
      </w:r>
      <w:r w:rsidR="00A15448">
        <w:rPr>
          <w:sz w:val="22"/>
        </w:rPr>
        <w:t>10</w:t>
      </w:r>
      <w:bookmarkEnd w:id="140"/>
      <w:r w:rsidR="00504263">
        <w:rPr>
          <w:sz w:val="22"/>
        </w:rPr>
        <w:t>:</w:t>
      </w:r>
      <w:r w:rsidRPr="00D1724E">
        <w:rPr>
          <w:sz w:val="22"/>
        </w:rPr>
        <w:t xml:space="preserve"> Estimates of </w:t>
      </w:r>
      <w:proofErr w:type="spellStart"/>
      <w:r w:rsidRPr="00D1724E">
        <w:rPr>
          <w:i/>
          <w:sz w:val="22"/>
        </w:rPr>
        <w:t>Nomadacris</w:t>
      </w:r>
      <w:proofErr w:type="spellEnd"/>
      <w:r w:rsidRPr="00D1724E">
        <w:rPr>
          <w:i/>
          <w:sz w:val="22"/>
        </w:rPr>
        <w:t xml:space="preserve"> </w:t>
      </w:r>
      <w:proofErr w:type="spellStart"/>
      <w:r w:rsidRPr="00D1724E">
        <w:rPr>
          <w:i/>
          <w:sz w:val="22"/>
        </w:rPr>
        <w:t>septemfa</w:t>
      </w:r>
      <w:r w:rsidR="00EF64B2">
        <w:rPr>
          <w:i/>
          <w:sz w:val="22"/>
        </w:rPr>
        <w:t>sciat</w:t>
      </w:r>
      <w:r w:rsidRPr="00D1724E">
        <w:rPr>
          <w:i/>
          <w:sz w:val="22"/>
        </w:rPr>
        <w:t>a</w:t>
      </w:r>
      <w:proofErr w:type="spellEnd"/>
      <w:r w:rsidRPr="00D1724E">
        <w:rPr>
          <w:sz w:val="22"/>
        </w:rPr>
        <w:t xml:space="preserve"> </w:t>
      </w:r>
      <w:r w:rsidR="00504263">
        <w:rPr>
          <w:sz w:val="22"/>
        </w:rPr>
        <w:t>k</w:t>
      </w:r>
      <w:r w:rsidRPr="00D1724E">
        <w:rPr>
          <w:sz w:val="22"/>
        </w:rPr>
        <w:t xml:space="preserve">illing </w:t>
      </w:r>
      <w:r w:rsidR="00504263">
        <w:rPr>
          <w:sz w:val="22"/>
        </w:rPr>
        <w:t>r</w:t>
      </w:r>
      <w:r w:rsidRPr="00D1724E">
        <w:rPr>
          <w:sz w:val="22"/>
        </w:rPr>
        <w:t xml:space="preserve">ates by </w:t>
      </w:r>
      <w:proofErr w:type="spellStart"/>
      <w:r w:rsidRPr="00504263">
        <w:rPr>
          <w:i/>
          <w:sz w:val="22"/>
        </w:rPr>
        <w:t>Metarhrizium</w:t>
      </w:r>
      <w:bookmarkEnd w:id="141"/>
      <w:proofErr w:type="spellEnd"/>
    </w:p>
    <w:p w:rsidR="00BA0604" w:rsidRDefault="00BA0604" w:rsidP="00BA0604">
      <w:pPr>
        <w:jc w:val="both"/>
      </w:pPr>
    </w:p>
    <w:p w:rsidR="00BA0604" w:rsidRDefault="00BA0604" w:rsidP="00BA0604">
      <w:pPr>
        <w:jc w:val="both"/>
      </w:pPr>
    </w:p>
    <w:p w:rsidR="00BA0604" w:rsidRDefault="00BA0604" w:rsidP="00BA0604">
      <w:pPr>
        <w:keepNext/>
        <w:jc w:val="both"/>
      </w:pPr>
      <w:r>
        <w:rPr>
          <w:noProof/>
          <w:lang w:eastAsia="en-AU"/>
        </w:rPr>
        <w:drawing>
          <wp:inline distT="0" distB="0" distL="0" distR="0">
            <wp:extent cx="5572125" cy="4048125"/>
            <wp:effectExtent l="19050" t="0" r="0" b="0"/>
            <wp:docPr id="16" name="Picture 5" descr="Figure 11 is a graph of estimated time to achieve 50% and 90% mortality in Chortoicetes terminifera treated with Metarhri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WorkSpace\Tibooburra2010-03-22Metarhizium@4000.wmf"/>
                    <pic:cNvPicPr>
                      <a:picLocks noChangeAspect="1" noChangeArrowheads="1"/>
                    </pic:cNvPicPr>
                  </pic:nvPicPr>
                  <pic:blipFill>
                    <a:blip r:embed="rId24" cstate="print"/>
                    <a:srcRect/>
                    <a:stretch>
                      <a:fillRect/>
                    </a:stretch>
                  </pic:blipFill>
                  <pic:spPr bwMode="auto">
                    <a:xfrm>
                      <a:off x="0" y="0"/>
                      <a:ext cx="5572125" cy="4048125"/>
                    </a:xfrm>
                    <a:prstGeom prst="rect">
                      <a:avLst/>
                    </a:prstGeom>
                    <a:noFill/>
                    <a:ln w="9525">
                      <a:noFill/>
                      <a:miter lim="800000"/>
                      <a:headEnd/>
                      <a:tailEnd/>
                    </a:ln>
                  </pic:spPr>
                </pic:pic>
              </a:graphicData>
            </a:graphic>
          </wp:inline>
        </w:drawing>
      </w:r>
    </w:p>
    <w:p w:rsidR="00BA0604" w:rsidRPr="00D1724E" w:rsidRDefault="00BA0604" w:rsidP="00BA0604">
      <w:pPr>
        <w:pStyle w:val="Caption"/>
        <w:jc w:val="center"/>
        <w:rPr>
          <w:sz w:val="22"/>
        </w:rPr>
      </w:pPr>
      <w:bookmarkStart w:id="142" w:name="_Toc359921659"/>
      <w:r w:rsidRPr="00D1724E">
        <w:rPr>
          <w:sz w:val="22"/>
        </w:rPr>
        <w:t xml:space="preserve">Figure </w:t>
      </w:r>
      <w:r w:rsidR="0026658C">
        <w:rPr>
          <w:sz w:val="22"/>
        </w:rPr>
        <w:t>11</w:t>
      </w:r>
      <w:r w:rsidR="00504263">
        <w:rPr>
          <w:sz w:val="22"/>
        </w:rPr>
        <w:t>:</w:t>
      </w:r>
      <w:r w:rsidRPr="00D1724E">
        <w:rPr>
          <w:sz w:val="22"/>
        </w:rPr>
        <w:t xml:space="preserve"> Estimates of </w:t>
      </w:r>
      <w:r w:rsidRPr="00D1724E">
        <w:rPr>
          <w:i/>
          <w:sz w:val="22"/>
        </w:rPr>
        <w:t>Chortoicetes terminifera</w:t>
      </w:r>
      <w:r w:rsidRPr="00D1724E">
        <w:rPr>
          <w:sz w:val="22"/>
        </w:rPr>
        <w:t xml:space="preserve"> </w:t>
      </w:r>
      <w:r w:rsidR="00504263">
        <w:rPr>
          <w:sz w:val="22"/>
        </w:rPr>
        <w:t>killing r</w:t>
      </w:r>
      <w:r w:rsidRPr="00D1724E">
        <w:rPr>
          <w:sz w:val="22"/>
        </w:rPr>
        <w:t xml:space="preserve">ates by </w:t>
      </w:r>
      <w:proofErr w:type="spellStart"/>
      <w:r w:rsidRPr="00504263">
        <w:rPr>
          <w:i/>
          <w:sz w:val="22"/>
        </w:rPr>
        <w:t>Metarhrizium</w:t>
      </w:r>
      <w:bookmarkEnd w:id="142"/>
      <w:proofErr w:type="spellEnd"/>
    </w:p>
    <w:p w:rsidR="00BA0604" w:rsidRDefault="00BA0604" w:rsidP="00BA0604"/>
    <w:p w:rsidR="00D1724E" w:rsidRDefault="00D1724E" w:rsidP="00D1724E">
      <w:pPr>
        <w:pStyle w:val="Heading4"/>
      </w:pPr>
    </w:p>
    <w:p w:rsidR="00D1724E" w:rsidRDefault="00D1724E" w:rsidP="00D1724E">
      <w:pPr>
        <w:pStyle w:val="Heading4"/>
      </w:pPr>
    </w:p>
    <w:p w:rsidR="00BA0604" w:rsidRPr="00962A0C" w:rsidRDefault="00BA0604" w:rsidP="00D1724E">
      <w:pPr>
        <w:pStyle w:val="Heading4"/>
      </w:pPr>
      <w:r w:rsidRPr="00656E6C">
        <w:t xml:space="preserve">1.2: Use of </w:t>
      </w:r>
      <w:r w:rsidRPr="00146344">
        <w:t>Fipronil</w:t>
      </w:r>
      <w:r w:rsidRPr="00656E6C">
        <w:t xml:space="preserve"> (Adonis 3UL) with wide interval aerial application technique</w:t>
      </w:r>
    </w:p>
    <w:p w:rsidR="00BA0604" w:rsidRPr="00962A0C" w:rsidRDefault="00BA0604" w:rsidP="00BA0604">
      <w:pPr>
        <w:jc w:val="both"/>
      </w:pPr>
    </w:p>
    <w:p w:rsidR="00BA0604" w:rsidRDefault="00BA0604" w:rsidP="00BA0604">
      <w:pPr>
        <w:pStyle w:val="Heading4"/>
        <w:ind w:right="-1"/>
        <w:jc w:val="both"/>
        <w:rPr>
          <w:b w:val="0"/>
        </w:rPr>
      </w:pPr>
      <w:r w:rsidRPr="00656E6C">
        <w:rPr>
          <w:b w:val="0"/>
        </w:rPr>
        <w:t xml:space="preserve">During the 2010 autumn control operation in </w:t>
      </w:r>
      <w:r w:rsidR="001E7226">
        <w:rPr>
          <w:b w:val="0"/>
        </w:rPr>
        <w:t>Far West</w:t>
      </w:r>
      <w:r w:rsidR="001E7226" w:rsidRPr="00656E6C">
        <w:rPr>
          <w:b w:val="0"/>
        </w:rPr>
        <w:t xml:space="preserve"> </w:t>
      </w:r>
      <w:r w:rsidRPr="00656E6C">
        <w:rPr>
          <w:b w:val="0"/>
        </w:rPr>
        <w:t xml:space="preserve">New South Wales, a widespread population of nymphs in bands was treated with </w:t>
      </w:r>
      <w:r w:rsidR="00EF64B2">
        <w:rPr>
          <w:b w:val="0"/>
        </w:rPr>
        <w:t>f</w:t>
      </w:r>
      <w:r w:rsidRPr="00146344">
        <w:rPr>
          <w:b w:val="0"/>
        </w:rPr>
        <w:t>ipronil</w:t>
      </w:r>
      <w:r w:rsidRPr="00656E6C">
        <w:rPr>
          <w:b w:val="0"/>
        </w:rPr>
        <w:t xml:space="preserve"> (Adonis 3UL)</w:t>
      </w:r>
      <w:r w:rsidR="001E7226">
        <w:rPr>
          <w:b w:val="0"/>
        </w:rPr>
        <w:t>,</w:t>
      </w:r>
      <w:r w:rsidRPr="00656E6C">
        <w:rPr>
          <w:b w:val="0"/>
        </w:rPr>
        <w:t xml:space="preserve"> applied using a wide interval application technique (300 m interval between aircraft spray runs with a mean dose of 0.003 g </w:t>
      </w:r>
      <w:proofErr w:type="spellStart"/>
      <w:r w:rsidRPr="00656E6C">
        <w:rPr>
          <w:b w:val="0"/>
        </w:rPr>
        <w:t>a.i</w:t>
      </w:r>
      <w:proofErr w:type="spellEnd"/>
      <w:r w:rsidRPr="00656E6C">
        <w:rPr>
          <w:b w:val="0"/>
        </w:rPr>
        <w:t xml:space="preserve">./ha). This allowed the rapid treatment of 37 blocks with an area of approximately 147,630 ha (average size of block of 3,990 ha) over a 10 day period. Post treatment monitoring of sprayed areas </w:t>
      </w:r>
      <w:r w:rsidR="001E7226">
        <w:rPr>
          <w:b w:val="0"/>
        </w:rPr>
        <w:t>estimated</w:t>
      </w:r>
      <w:r w:rsidR="001E7226" w:rsidRPr="00656E6C">
        <w:rPr>
          <w:b w:val="0"/>
        </w:rPr>
        <w:t xml:space="preserve"> </w:t>
      </w:r>
      <w:r w:rsidRPr="00656E6C">
        <w:rPr>
          <w:b w:val="0"/>
        </w:rPr>
        <w:t>that mortality of nymphs was extremely high (&gt;95% kill) and observations indicated that the pesticide remained active for at least 7 days following spraying.</w:t>
      </w:r>
    </w:p>
    <w:p w:rsidR="00BA0604" w:rsidRDefault="00BA0604" w:rsidP="0043520E">
      <w:pPr>
        <w:pStyle w:val="Heading3"/>
        <w:rPr>
          <w:bCs/>
          <w:u w:val="single"/>
        </w:rPr>
      </w:pPr>
    </w:p>
    <w:p w:rsidR="00BA0604" w:rsidRDefault="00BA0604" w:rsidP="0043520E">
      <w:pPr>
        <w:pStyle w:val="Heading3"/>
        <w:rPr>
          <w:bCs/>
          <w:u w:val="single"/>
        </w:rPr>
      </w:pPr>
    </w:p>
    <w:p w:rsidR="00BA0604" w:rsidRDefault="00BA0604" w:rsidP="0043520E">
      <w:pPr>
        <w:pStyle w:val="Heading3"/>
        <w:rPr>
          <w:bCs/>
          <w:u w:val="single"/>
        </w:rPr>
      </w:pPr>
    </w:p>
    <w:p w:rsidR="00D1724E" w:rsidRDefault="00D1724E">
      <w:pPr>
        <w:rPr>
          <w:rFonts w:ascii="Times" w:hAnsi="Times"/>
          <w:b/>
          <w:bCs/>
          <w:u w:val="single"/>
        </w:rPr>
      </w:pPr>
      <w:r>
        <w:rPr>
          <w:bCs/>
          <w:u w:val="single"/>
        </w:rPr>
        <w:br w:type="page"/>
      </w:r>
    </w:p>
    <w:p w:rsidR="0012632F" w:rsidRPr="0043520E" w:rsidRDefault="0012632F" w:rsidP="0043520E">
      <w:pPr>
        <w:pStyle w:val="Heading3"/>
        <w:rPr>
          <w:rFonts w:cs="Arial"/>
          <w:bCs/>
          <w:u w:val="single"/>
        </w:rPr>
      </w:pPr>
      <w:r w:rsidRPr="0043520E">
        <w:rPr>
          <w:bCs/>
          <w:u w:val="single"/>
        </w:rPr>
        <w:lastRenderedPageBreak/>
        <w:t>2. Environmental impact</w:t>
      </w:r>
    </w:p>
    <w:p w:rsidR="0012632F" w:rsidRDefault="0012632F" w:rsidP="00126DC5">
      <w:pPr>
        <w:pStyle w:val="BodyText3"/>
        <w:ind w:right="70"/>
        <w:rPr>
          <w:rFonts w:ascii="Arial" w:hAnsi="Arial" w:cs="Arial"/>
          <w:b w:val="0"/>
          <w:bCs/>
          <w:sz w:val="20"/>
        </w:rPr>
      </w:pPr>
    </w:p>
    <w:p w:rsidR="001F549E" w:rsidRDefault="001F549E" w:rsidP="001F549E">
      <w:pPr>
        <w:pStyle w:val="BodyText3"/>
        <w:ind w:right="70"/>
        <w:rPr>
          <w:rFonts w:ascii="Times New Roman" w:hAnsi="Times New Roman"/>
          <w:b w:val="0"/>
          <w:bCs/>
          <w:szCs w:val="24"/>
        </w:rPr>
      </w:pPr>
    </w:p>
    <w:p w:rsidR="001F549E" w:rsidRDefault="001F549E" w:rsidP="0043520E">
      <w:pPr>
        <w:pStyle w:val="Heading4"/>
      </w:pPr>
      <w:r>
        <w:t>2.1 Quantifying the effects of pesticides used for locust control on Australian native vertebrates.</w:t>
      </w:r>
    </w:p>
    <w:p w:rsidR="001F549E" w:rsidRDefault="001F549E" w:rsidP="001F549E">
      <w:pPr>
        <w:autoSpaceDE w:val="0"/>
        <w:autoSpaceDN w:val="0"/>
        <w:adjustRightInd w:val="0"/>
        <w:rPr>
          <w:rFonts w:ascii="Times" w:hAnsi="Times"/>
          <w:u w:val="single"/>
        </w:rPr>
      </w:pPr>
    </w:p>
    <w:p w:rsidR="00CC7278" w:rsidRPr="00EC1997" w:rsidRDefault="00CC7278" w:rsidP="00CC7278">
      <w:pPr>
        <w:autoSpaceDE w:val="0"/>
        <w:autoSpaceDN w:val="0"/>
        <w:adjustRightInd w:val="0"/>
        <w:rPr>
          <w:rFonts w:ascii="Times" w:hAnsi="Times"/>
        </w:rPr>
      </w:pPr>
      <w:r w:rsidRPr="00EC1997">
        <w:rPr>
          <w:rFonts w:ascii="Times" w:hAnsi="Times"/>
        </w:rPr>
        <w:t xml:space="preserve">With the completion of previous collaborative research between the APLC, </w:t>
      </w:r>
      <w:smartTag w:uri="urn:schemas-microsoft-com:office:smarttags" w:element="place">
        <w:smartTag w:uri="urn:schemas-microsoft-com:office:smarttags" w:element="City">
          <w:r w:rsidRPr="00EC1997">
            <w:rPr>
              <w:rFonts w:ascii="Times" w:hAnsi="Times"/>
            </w:rPr>
            <w:t>University of Wollongong</w:t>
          </w:r>
        </w:smartTag>
        <w:r w:rsidRPr="00EC1997">
          <w:rPr>
            <w:rFonts w:ascii="Times" w:hAnsi="Times"/>
          </w:rPr>
          <w:t xml:space="preserve">, </w:t>
        </w:r>
        <w:smartTag w:uri="urn:schemas-microsoft-com:office:smarttags" w:element="State">
          <w:r w:rsidRPr="00EC1997">
            <w:rPr>
              <w:rFonts w:ascii="Times" w:hAnsi="Times"/>
            </w:rPr>
            <w:t>Texas</w:t>
          </w:r>
        </w:smartTag>
      </w:smartTag>
      <w:r w:rsidRPr="00EC1997">
        <w:rPr>
          <w:rFonts w:ascii="Times" w:hAnsi="Times"/>
        </w:rPr>
        <w:t xml:space="preserve"> Tech University and the National Research Centre for Environmental Toxicology (see APLC Annual Activity Statement 2007-2008) research effort has been focussed on the submission of manuscripts stemming from this research effort for publication to various peer-reviewed journals.  Lab-b</w:t>
      </w:r>
      <w:r w:rsidR="003A78AC">
        <w:rPr>
          <w:rFonts w:ascii="Times" w:hAnsi="Times"/>
        </w:rPr>
        <w:t>a</w:t>
      </w:r>
      <w:r w:rsidRPr="00EC1997">
        <w:rPr>
          <w:rFonts w:ascii="Times" w:hAnsi="Times"/>
        </w:rPr>
        <w:t xml:space="preserve">sed research outlined in the APLC's previous Annual </w:t>
      </w:r>
      <w:r w:rsidR="003A78AC" w:rsidRPr="00EC1997">
        <w:rPr>
          <w:rFonts w:ascii="Times" w:hAnsi="Times"/>
        </w:rPr>
        <w:t>Activity</w:t>
      </w:r>
      <w:r w:rsidRPr="00EC1997">
        <w:rPr>
          <w:rFonts w:ascii="Times" w:hAnsi="Times"/>
        </w:rPr>
        <w:t xml:space="preserve"> Statement (2007-2008) will now be developed further to incorporate field-based effects.  To this end, additional funding applications are being prepared for submission in early 2009 to evaluate the ecological impacts of pesticides used for locust control in arid and semi-arid ecosystems.  </w:t>
      </w:r>
    </w:p>
    <w:p w:rsidR="00CC7278" w:rsidRDefault="00CC7278" w:rsidP="00CC7278">
      <w:pPr>
        <w:autoSpaceDE w:val="0"/>
        <w:autoSpaceDN w:val="0"/>
        <w:adjustRightInd w:val="0"/>
        <w:rPr>
          <w:rFonts w:ascii="Times" w:hAnsi="Times"/>
          <w:u w:val="single"/>
        </w:rPr>
      </w:pPr>
    </w:p>
    <w:p w:rsidR="00091A06" w:rsidRDefault="00091A06" w:rsidP="00CC7278">
      <w:pPr>
        <w:autoSpaceDE w:val="0"/>
        <w:autoSpaceDN w:val="0"/>
        <w:adjustRightInd w:val="0"/>
        <w:rPr>
          <w:rFonts w:ascii="Times" w:hAnsi="Times"/>
          <w:u w:val="single"/>
        </w:rPr>
      </w:pPr>
    </w:p>
    <w:p w:rsidR="00CC7278" w:rsidRPr="00091A06" w:rsidRDefault="00CC7278" w:rsidP="00091A06">
      <w:pPr>
        <w:pStyle w:val="Heading4"/>
      </w:pPr>
      <w:r w:rsidRPr="00091A06">
        <w:t>2.2 Comparative risk assessments of pesticide used for locust control throughout the world.</w:t>
      </w:r>
    </w:p>
    <w:p w:rsidR="00CC7278" w:rsidRPr="0083736B" w:rsidRDefault="00CC7278" w:rsidP="00CC7278">
      <w:pPr>
        <w:autoSpaceDE w:val="0"/>
        <w:autoSpaceDN w:val="0"/>
        <w:adjustRightInd w:val="0"/>
        <w:rPr>
          <w:rFonts w:ascii="Times" w:hAnsi="Times"/>
          <w:i/>
          <w:u w:val="single"/>
        </w:rPr>
      </w:pPr>
    </w:p>
    <w:p w:rsidR="00091A06" w:rsidRPr="00091A06" w:rsidRDefault="00091A06" w:rsidP="00091A06">
      <w:pPr>
        <w:autoSpaceDE w:val="0"/>
        <w:autoSpaceDN w:val="0"/>
        <w:adjustRightInd w:val="0"/>
        <w:rPr>
          <w:rFonts w:ascii="Times" w:hAnsi="Times"/>
        </w:rPr>
      </w:pPr>
      <w:r w:rsidRPr="00091A06">
        <w:rPr>
          <w:rFonts w:ascii="Times" w:hAnsi="Times"/>
        </w:rPr>
        <w:t xml:space="preserve">Several methods exist for building species sensitivity distributions (SSDs) using data relevant to several toxicity end points allowing the estimation of the probability of lethality as a result of pesticide exposure.  The APLC's Environmental Officer, Mr Paul Story, is currently working with Dr Pierre </w:t>
      </w:r>
      <w:proofErr w:type="spellStart"/>
      <w:r w:rsidRPr="00091A06">
        <w:rPr>
          <w:rFonts w:ascii="Times" w:hAnsi="Times"/>
        </w:rPr>
        <w:t>Mineau</w:t>
      </w:r>
      <w:proofErr w:type="spellEnd"/>
      <w:r w:rsidRPr="00091A06">
        <w:rPr>
          <w:rFonts w:ascii="Times" w:hAnsi="Times"/>
        </w:rPr>
        <w:t xml:space="preserve"> (Research Scientist and Program Leader, Pesticides Section, Environment Canada and Adjunct Professor at </w:t>
      </w:r>
      <w:smartTag w:uri="urn:schemas-microsoft-com:office:smarttags" w:element="place">
        <w:smartTag w:uri="urn:schemas-microsoft-com:office:smarttags" w:element="PlaceName">
          <w:r w:rsidRPr="00091A06">
            <w:rPr>
              <w:rFonts w:ascii="Times" w:hAnsi="Times"/>
            </w:rPr>
            <w:t>Carleton</w:t>
          </w:r>
        </w:smartTag>
        <w:r w:rsidRPr="00091A06">
          <w:rPr>
            <w:rFonts w:ascii="Times" w:hAnsi="Times"/>
          </w:rPr>
          <w:t xml:space="preserve"> </w:t>
        </w:r>
        <w:smartTag w:uri="urn:schemas-microsoft-com:office:smarttags" w:element="PlaceType">
          <w:r w:rsidRPr="00091A06">
            <w:rPr>
              <w:rFonts w:ascii="Times" w:hAnsi="Times"/>
            </w:rPr>
            <w:t>University</w:t>
          </w:r>
        </w:smartTag>
      </w:smartTag>
      <w:r w:rsidRPr="00091A06">
        <w:rPr>
          <w:rFonts w:ascii="Times" w:hAnsi="Times"/>
        </w:rPr>
        <w:t>) on the development of comparative risk assessments for pesticides used throughout the world for locust control.  Pesticides registered in Australia, USA, Canada, European Union as well as those on the World Food and Agriculture Groups (FAO) approved list will be evaluated. </w:t>
      </w:r>
    </w:p>
    <w:p w:rsidR="00091A06" w:rsidRPr="00091A06" w:rsidRDefault="00091A06" w:rsidP="00091A06">
      <w:pPr>
        <w:autoSpaceDE w:val="0"/>
        <w:autoSpaceDN w:val="0"/>
        <w:adjustRightInd w:val="0"/>
        <w:rPr>
          <w:rFonts w:ascii="Times" w:hAnsi="Times"/>
        </w:rPr>
      </w:pPr>
      <w:r w:rsidRPr="00091A06">
        <w:rPr>
          <w:rFonts w:ascii="Times" w:hAnsi="Times"/>
        </w:rPr>
        <w:t>An appeal for new and updated research data, specifically as it relates to pesticide residue values on either insects or vegetation, has been extended to the world-wide scientific community through various key researchers and research agencies.  It is envisaged that the incorporation of this data with new, more probabilistic risk assessment methods, will enable risk assessments for insecticides currently used for locust control to be updated and compared.  Risk assessments derived within this research project will potentially be more protective because we will first look for the influence of body-weight scaling on toxicity and use that as covariate before developing pesticide specific species sensitivity distributions.  Benefits to locust control agencies, such as the APLC, will flow from these improved comparative risk assessments, enabling improvements in their environmental performance through the selection of "environmentally softer" pesticides for spray operations. </w:t>
      </w:r>
    </w:p>
    <w:p w:rsidR="00CC7278" w:rsidRPr="00091A06" w:rsidRDefault="00CC7278" w:rsidP="00CC7278">
      <w:pPr>
        <w:autoSpaceDE w:val="0"/>
        <w:autoSpaceDN w:val="0"/>
        <w:adjustRightInd w:val="0"/>
        <w:rPr>
          <w:rFonts w:ascii="Times" w:hAnsi="Times"/>
        </w:rPr>
      </w:pPr>
      <w:r w:rsidRPr="00091A06">
        <w:rPr>
          <w:rFonts w:ascii="Times" w:hAnsi="Times"/>
        </w:rPr>
        <w:t xml:space="preserve">  </w:t>
      </w:r>
    </w:p>
    <w:p w:rsidR="00D73AB4" w:rsidRDefault="00D73AB4" w:rsidP="00D73AB4">
      <w:pPr>
        <w:autoSpaceDE w:val="0"/>
        <w:autoSpaceDN w:val="0"/>
        <w:adjustRightInd w:val="0"/>
        <w:jc w:val="both"/>
        <w:rPr>
          <w:rFonts w:ascii="Times" w:hAnsi="Times"/>
          <w:u w:val="single"/>
        </w:rPr>
      </w:pPr>
    </w:p>
    <w:p w:rsidR="00561ADC" w:rsidRPr="001F549E" w:rsidRDefault="008062EA" w:rsidP="00561ADC">
      <w:pPr>
        <w:pStyle w:val="Heading4"/>
        <w:ind w:right="26"/>
        <w:jc w:val="both"/>
        <w:rPr>
          <w:rFonts w:cs="Times-Italic"/>
          <w:i/>
          <w:iCs/>
          <w:szCs w:val="24"/>
          <w:lang w:eastAsia="en-AU"/>
        </w:rPr>
      </w:pPr>
      <w:r>
        <w:t>2.3</w:t>
      </w:r>
      <w:r w:rsidR="00561ADC" w:rsidRPr="001F549E">
        <w:t>:</w:t>
      </w:r>
      <w:r w:rsidR="00561ADC">
        <w:t xml:space="preserve"> The impact of f</w:t>
      </w:r>
      <w:r w:rsidR="00561ADC" w:rsidRPr="001F549E">
        <w:t>ipronil</w:t>
      </w:r>
      <w:r w:rsidR="00561ADC">
        <w:t xml:space="preserve"> on ants and termites</w:t>
      </w:r>
    </w:p>
    <w:p w:rsidR="00561ADC" w:rsidRPr="001F549E" w:rsidRDefault="00561ADC" w:rsidP="00561ADC">
      <w:pPr>
        <w:autoSpaceDE w:val="0"/>
        <w:autoSpaceDN w:val="0"/>
        <w:adjustRightInd w:val="0"/>
        <w:ind w:right="26"/>
        <w:jc w:val="both"/>
        <w:rPr>
          <w:rFonts w:ascii="Times" w:hAnsi="Times"/>
        </w:rPr>
      </w:pPr>
    </w:p>
    <w:p w:rsidR="00561ADC" w:rsidRDefault="00561ADC" w:rsidP="00561ADC">
      <w:pPr>
        <w:autoSpaceDE w:val="0"/>
        <w:autoSpaceDN w:val="0"/>
        <w:adjustRightInd w:val="0"/>
        <w:jc w:val="both"/>
        <w:rPr>
          <w:rFonts w:ascii="Times" w:hAnsi="Times"/>
        </w:rPr>
      </w:pPr>
      <w:r>
        <w:rPr>
          <w:rFonts w:ascii="Times" w:hAnsi="Times"/>
        </w:rPr>
        <w:t xml:space="preserve">This collaborative project was led by former APLC entomologist, </w:t>
      </w:r>
      <w:r w:rsidR="008062EA">
        <w:rPr>
          <w:rFonts w:ascii="Times" w:hAnsi="Times"/>
        </w:rPr>
        <w:t xml:space="preserve">Dr </w:t>
      </w:r>
      <w:r>
        <w:rPr>
          <w:rFonts w:ascii="Times" w:hAnsi="Times"/>
        </w:rPr>
        <w:t xml:space="preserve">Martin Steinbauer. Data collection was concluded in November 2008 by APLC field staff and subsequent analysis and interpretation was led by </w:t>
      </w:r>
      <w:smartTag w:uri="urn:schemas-microsoft-com:office:smarttags" w:element="PersonName">
        <w:r>
          <w:rPr>
            <w:rFonts w:ascii="Times" w:hAnsi="Times"/>
          </w:rPr>
          <w:t xml:space="preserve">James Woodman </w:t>
        </w:r>
      </w:smartTag>
      <w:r>
        <w:rPr>
          <w:rFonts w:ascii="Times" w:hAnsi="Times"/>
        </w:rPr>
        <w:t>in collaboration with Martin and statisticians at BRS. This work targeted a</w:t>
      </w:r>
      <w:r w:rsidRPr="001F549E">
        <w:rPr>
          <w:rFonts w:ascii="Times" w:hAnsi="Times"/>
        </w:rPr>
        <w:t xml:space="preserve">nts and termites </w:t>
      </w:r>
      <w:r>
        <w:rPr>
          <w:rFonts w:ascii="Times" w:hAnsi="Times"/>
        </w:rPr>
        <w:t>due to</w:t>
      </w:r>
      <w:r w:rsidRPr="001F549E">
        <w:rPr>
          <w:rFonts w:ascii="Times" w:hAnsi="Times"/>
        </w:rPr>
        <w:t xml:space="preserve"> Fipronil </w:t>
      </w:r>
      <w:r>
        <w:rPr>
          <w:rFonts w:ascii="Times" w:hAnsi="Times"/>
        </w:rPr>
        <w:t xml:space="preserve">being a marketed </w:t>
      </w:r>
      <w:proofErr w:type="spellStart"/>
      <w:r>
        <w:rPr>
          <w:rFonts w:ascii="Times" w:hAnsi="Times"/>
        </w:rPr>
        <w:t>term</w:t>
      </w:r>
      <w:r w:rsidR="003A78AC">
        <w:rPr>
          <w:rFonts w:ascii="Times" w:hAnsi="Times"/>
        </w:rPr>
        <w:t>i</w:t>
      </w:r>
      <w:r>
        <w:rPr>
          <w:rFonts w:ascii="Times" w:hAnsi="Times"/>
        </w:rPr>
        <w:t>ticide</w:t>
      </w:r>
      <w:proofErr w:type="spellEnd"/>
      <w:r>
        <w:rPr>
          <w:rFonts w:ascii="Times" w:hAnsi="Times"/>
        </w:rPr>
        <w:t xml:space="preserve"> that has previously shown</w:t>
      </w:r>
      <w:r w:rsidRPr="001F549E">
        <w:rPr>
          <w:rFonts w:ascii="Times" w:hAnsi="Times"/>
        </w:rPr>
        <w:t xml:space="preserve"> </w:t>
      </w:r>
      <w:r>
        <w:rPr>
          <w:rFonts w:ascii="Times" w:hAnsi="Times"/>
        </w:rPr>
        <w:t>severe, long-lasting impacts on termites from high dosage applications</w:t>
      </w:r>
      <w:r w:rsidRPr="001F549E">
        <w:rPr>
          <w:rFonts w:ascii="Times" w:hAnsi="Times"/>
        </w:rPr>
        <w:t xml:space="preserve"> in </w:t>
      </w:r>
      <w:smartTag w:uri="urn:schemas-microsoft-com:office:smarttags" w:element="place">
        <w:smartTag w:uri="urn:schemas-microsoft-com:office:smarttags" w:element="country-region">
          <w:r w:rsidRPr="001F549E">
            <w:rPr>
              <w:rFonts w:ascii="Times" w:hAnsi="Times"/>
            </w:rPr>
            <w:t>Madagascar</w:t>
          </w:r>
        </w:smartTag>
      </w:smartTag>
      <w:r w:rsidRPr="001F549E">
        <w:rPr>
          <w:rFonts w:ascii="Times" w:hAnsi="Times"/>
        </w:rPr>
        <w:t>.</w:t>
      </w:r>
    </w:p>
    <w:p w:rsidR="00561ADC" w:rsidRDefault="00561ADC" w:rsidP="00561ADC">
      <w:pPr>
        <w:autoSpaceDE w:val="0"/>
        <w:autoSpaceDN w:val="0"/>
        <w:adjustRightInd w:val="0"/>
        <w:jc w:val="both"/>
        <w:rPr>
          <w:rFonts w:ascii="Times" w:hAnsi="Times"/>
        </w:rPr>
      </w:pPr>
    </w:p>
    <w:p w:rsidR="00561ADC" w:rsidRDefault="00561ADC" w:rsidP="00561ADC">
      <w:pPr>
        <w:autoSpaceDE w:val="0"/>
        <w:autoSpaceDN w:val="0"/>
        <w:adjustRightInd w:val="0"/>
        <w:jc w:val="both"/>
        <w:rPr>
          <w:rFonts w:ascii="Times" w:hAnsi="Times"/>
        </w:rPr>
      </w:pPr>
      <w:r>
        <w:rPr>
          <w:rFonts w:ascii="Times" w:hAnsi="Times"/>
        </w:rPr>
        <w:t xml:space="preserve">The results of this work are currently being evaluated in light of experimental design limitations identified during analysis and interpretation. As such, this work is presently being used to inform the planning of a </w:t>
      </w:r>
      <w:r w:rsidR="008062EA">
        <w:rPr>
          <w:rFonts w:ascii="Times" w:hAnsi="Times"/>
        </w:rPr>
        <w:t>successive</w:t>
      </w:r>
      <w:r>
        <w:rPr>
          <w:rFonts w:ascii="Times" w:hAnsi="Times"/>
        </w:rPr>
        <w:t xml:space="preserve"> research project. This work will quantify the off-</w:t>
      </w:r>
      <w:r>
        <w:rPr>
          <w:rFonts w:ascii="Times" w:hAnsi="Times"/>
        </w:rPr>
        <w:lastRenderedPageBreak/>
        <w:t>target impacts of fipronil applied using current APLC application rates and barrier intervals (as opposed to blanket applications which have not been used since 2002</w:t>
      </w:r>
      <w:r w:rsidR="003A78AC">
        <w:rPr>
          <w:rFonts w:ascii="Times" w:hAnsi="Times"/>
        </w:rPr>
        <w:noBreakHyphen/>
      </w:r>
      <w:r>
        <w:rPr>
          <w:rFonts w:ascii="Times" w:hAnsi="Times"/>
        </w:rPr>
        <w:t>03) for a greater number of invertebrate study species. This new study will also have a greater focus on the functional significance of these species to arid Australian ecology.</w:t>
      </w:r>
    </w:p>
    <w:p w:rsidR="00561ADC" w:rsidRDefault="00561ADC" w:rsidP="00561ADC">
      <w:pPr>
        <w:autoSpaceDE w:val="0"/>
        <w:autoSpaceDN w:val="0"/>
        <w:adjustRightInd w:val="0"/>
        <w:rPr>
          <w:rFonts w:ascii="Times" w:hAnsi="Times"/>
        </w:rPr>
      </w:pPr>
    </w:p>
    <w:p w:rsidR="00EA028D" w:rsidRDefault="00EA028D" w:rsidP="00561ADC">
      <w:pPr>
        <w:pStyle w:val="Heading3"/>
        <w:rPr>
          <w:bCs/>
          <w:u w:val="single"/>
        </w:rPr>
      </w:pPr>
    </w:p>
    <w:p w:rsidR="00504263" w:rsidRPr="00504263" w:rsidRDefault="00504263" w:rsidP="00504263"/>
    <w:p w:rsidR="00EA028D" w:rsidRDefault="00EA028D" w:rsidP="00561ADC">
      <w:pPr>
        <w:pStyle w:val="Heading3"/>
        <w:rPr>
          <w:bCs/>
          <w:u w:val="single"/>
        </w:rPr>
      </w:pPr>
    </w:p>
    <w:p w:rsidR="00561ADC" w:rsidRPr="0043520E" w:rsidRDefault="00561ADC" w:rsidP="00561ADC">
      <w:pPr>
        <w:pStyle w:val="Heading3"/>
        <w:rPr>
          <w:bCs/>
          <w:u w:val="single"/>
        </w:rPr>
      </w:pPr>
      <w:r w:rsidRPr="0043520E">
        <w:rPr>
          <w:bCs/>
          <w:u w:val="single"/>
        </w:rPr>
        <w:t>3. Population Ecology and Dynamics</w:t>
      </w:r>
    </w:p>
    <w:p w:rsidR="00561ADC" w:rsidRPr="006A74C3" w:rsidRDefault="00561ADC" w:rsidP="00561ADC">
      <w:pPr>
        <w:ind w:right="70"/>
        <w:jc w:val="both"/>
        <w:rPr>
          <w:b/>
          <w:szCs w:val="24"/>
        </w:rPr>
      </w:pPr>
    </w:p>
    <w:p w:rsidR="00D1724E" w:rsidRDefault="00D1724E" w:rsidP="00D1724E">
      <w:pPr>
        <w:pStyle w:val="Heading4"/>
      </w:pPr>
      <w:r>
        <w:t>3.1: Cold tolerance of first-instar Australian plague locust nymphs</w:t>
      </w:r>
    </w:p>
    <w:p w:rsidR="00D1724E" w:rsidRDefault="00D1724E" w:rsidP="00D1724E">
      <w:pPr>
        <w:jc w:val="both"/>
        <w:rPr>
          <w:rFonts w:ascii="Times" w:hAnsi="Times"/>
          <w:u w:val="single"/>
        </w:rPr>
      </w:pPr>
    </w:p>
    <w:p w:rsidR="00D1724E" w:rsidRDefault="00D1724E" w:rsidP="00D1724E">
      <w:pPr>
        <w:jc w:val="both"/>
        <w:rPr>
          <w:rFonts w:ascii="Times" w:hAnsi="Times"/>
          <w:u w:val="single"/>
        </w:rPr>
      </w:pPr>
    </w:p>
    <w:p w:rsidR="00D1724E" w:rsidRPr="00EB3935" w:rsidRDefault="00D1724E" w:rsidP="00D1724E">
      <w:pPr>
        <w:jc w:val="both"/>
        <w:rPr>
          <w:szCs w:val="24"/>
        </w:rPr>
      </w:pPr>
      <w:r w:rsidRPr="00EB3935">
        <w:rPr>
          <w:szCs w:val="24"/>
        </w:rPr>
        <w:t xml:space="preserve">Whether sub-zero temperatures and frost can cause mortality in first instar </w:t>
      </w:r>
      <w:r w:rsidRPr="00EB3935">
        <w:rPr>
          <w:i/>
          <w:szCs w:val="24"/>
        </w:rPr>
        <w:t>C. terminifera</w:t>
      </w:r>
      <w:r w:rsidRPr="00EB3935">
        <w:rPr>
          <w:szCs w:val="24"/>
        </w:rPr>
        <w:t xml:space="preserve"> nymphs has been a long standing question for locust monitoring and forecasting in Australia, as well as among concerned agricultural landholders. This is not surprising given that large variation in first instar nymphal survival is relatively poorly understood and yet undoubtedly important to the extent of aggregated band formation and likely crop and pasture losses. This work </w:t>
      </w:r>
      <w:r>
        <w:rPr>
          <w:szCs w:val="24"/>
        </w:rPr>
        <w:t>attempted</w:t>
      </w:r>
      <w:r w:rsidRPr="00EB3935">
        <w:rPr>
          <w:szCs w:val="24"/>
        </w:rPr>
        <w:t xml:space="preserve"> to answer this question by evaluating the extent to which cold and frosty nights may contribute to nymphal mortality in the field. Nymph body fluids freeze at -13°C with only a slight difference between starved and fed individuals (total range across all individuals: -9.3 to -14.6). However, mortality at higher temperatures is possible relative to the rate of temperature decrease and the period of exposure. For example, if temperature rapidly falls to -3°C or below and persists for 3 hours (i.e. the typical period of stable minimum temperature at night) up to 50% mortality may be observed. Conversely, slower night temperature declines that are more common in the field allow nymphs to physiologically ‘harden’ and survive. In summary, high mortality from cold, frosty conditions is very unlikely.</w:t>
      </w:r>
      <w:r>
        <w:rPr>
          <w:szCs w:val="24"/>
        </w:rPr>
        <w:t xml:space="preserve"> This work has now been published in the peer-reviewed literature.</w:t>
      </w:r>
    </w:p>
    <w:p w:rsidR="00D1724E" w:rsidRDefault="00D1724E" w:rsidP="00D1724E">
      <w:pPr>
        <w:pStyle w:val="Heading4"/>
      </w:pPr>
    </w:p>
    <w:p w:rsidR="00D1724E" w:rsidRDefault="00D1724E" w:rsidP="00D1724E"/>
    <w:p w:rsidR="00504263" w:rsidRDefault="00504263" w:rsidP="00D1724E"/>
    <w:p w:rsidR="00504263" w:rsidRPr="004A1072" w:rsidRDefault="00504263" w:rsidP="00D1724E"/>
    <w:p w:rsidR="00D1724E" w:rsidRDefault="00D1724E" w:rsidP="00D1724E">
      <w:pPr>
        <w:pStyle w:val="Heading4"/>
        <w:ind w:right="-1"/>
      </w:pPr>
      <w:r w:rsidRPr="000A3B6A">
        <w:t>3.2:</w:t>
      </w:r>
      <w:r>
        <w:t xml:space="preserve"> High-temperature survival relative to food availability in first-instar Australian plague locust nymphs</w:t>
      </w:r>
    </w:p>
    <w:p w:rsidR="00D1724E" w:rsidRDefault="00D1724E" w:rsidP="00D1724E">
      <w:pPr>
        <w:autoSpaceDE w:val="0"/>
        <w:autoSpaceDN w:val="0"/>
        <w:adjustRightInd w:val="0"/>
        <w:rPr>
          <w:rFonts w:ascii="Times" w:hAnsi="Times"/>
          <w:u w:val="single"/>
        </w:rPr>
      </w:pPr>
    </w:p>
    <w:p w:rsidR="00D1724E" w:rsidRPr="006A74C3" w:rsidRDefault="00D1724E" w:rsidP="00D1724E">
      <w:pPr>
        <w:autoSpaceDE w:val="0"/>
        <w:autoSpaceDN w:val="0"/>
        <w:adjustRightInd w:val="0"/>
        <w:rPr>
          <w:rFonts w:ascii="Times" w:hAnsi="Times"/>
          <w:u w:val="single"/>
        </w:rPr>
      </w:pPr>
    </w:p>
    <w:p w:rsidR="00D1724E" w:rsidRPr="00EB3935" w:rsidRDefault="00D1724E" w:rsidP="00D1724E">
      <w:pPr>
        <w:jc w:val="both"/>
        <w:rPr>
          <w:szCs w:val="24"/>
        </w:rPr>
      </w:pPr>
      <w:r>
        <w:rPr>
          <w:szCs w:val="24"/>
        </w:rPr>
        <w:t>Thresholds for high temperatures and limited food availability causing</w:t>
      </w:r>
      <w:r w:rsidRPr="00EB3935">
        <w:rPr>
          <w:szCs w:val="24"/>
        </w:rPr>
        <w:t xml:space="preserve"> mortality in first instar </w:t>
      </w:r>
      <w:r w:rsidRPr="00EB3935">
        <w:rPr>
          <w:i/>
          <w:szCs w:val="24"/>
        </w:rPr>
        <w:t>C. terminifera</w:t>
      </w:r>
      <w:r>
        <w:rPr>
          <w:szCs w:val="24"/>
        </w:rPr>
        <w:t xml:space="preserve"> nymphs have been long standing knowledge gaps</w:t>
      </w:r>
      <w:r w:rsidRPr="00EB3935">
        <w:rPr>
          <w:szCs w:val="24"/>
        </w:rPr>
        <w:t xml:space="preserve"> for locust monitoring and forecasting in Austr</w:t>
      </w:r>
      <w:r>
        <w:rPr>
          <w:szCs w:val="24"/>
        </w:rPr>
        <w:t>alia</w:t>
      </w:r>
      <w:r w:rsidRPr="00EB3935">
        <w:rPr>
          <w:szCs w:val="24"/>
        </w:rPr>
        <w:t xml:space="preserve">. This work </w:t>
      </w:r>
      <w:r>
        <w:rPr>
          <w:szCs w:val="24"/>
        </w:rPr>
        <w:t>attempted</w:t>
      </w:r>
      <w:r w:rsidRPr="00EB3935">
        <w:rPr>
          <w:szCs w:val="24"/>
        </w:rPr>
        <w:t xml:space="preserve"> to answer this question by evaluating the extent</w:t>
      </w:r>
      <w:r>
        <w:rPr>
          <w:szCs w:val="24"/>
        </w:rPr>
        <w:t xml:space="preserve"> to which hot and dry food limited conditions</w:t>
      </w:r>
      <w:r w:rsidRPr="00EB3935">
        <w:rPr>
          <w:szCs w:val="24"/>
        </w:rPr>
        <w:t xml:space="preserve"> may contribute to nymphal mortality in the field.</w:t>
      </w:r>
      <w:r>
        <w:rPr>
          <w:szCs w:val="24"/>
        </w:rPr>
        <w:t xml:space="preserve"> </w:t>
      </w:r>
      <w:r w:rsidRPr="00EB3935">
        <w:rPr>
          <w:szCs w:val="24"/>
        </w:rPr>
        <w:t>The critical upper limit for fed nymphs is very high at 53.3 ± 1.0°C, with death preceded by a progression of changes in behaviour, gas exchange, water loss and excretion. At more ecologically relevant temperatures, mortality from desiccation is dependent on food availability relative to exposure duration and maximum temperature as well as the rate of warming. While very high mortality occurs at temperatures of ≥45°C maintained for 6 h, a highly exposed and very poorly vegetated summer environment would be required for local population failures from current high temperatures and low humidity alone.</w:t>
      </w:r>
      <w:r>
        <w:rPr>
          <w:szCs w:val="24"/>
        </w:rPr>
        <w:t xml:space="preserve"> This work is in preparation for publication in the peer-reviewed literature.</w:t>
      </w:r>
    </w:p>
    <w:p w:rsidR="00D1724E" w:rsidRPr="00630B10" w:rsidRDefault="00D1724E" w:rsidP="00D1724E">
      <w:pPr>
        <w:autoSpaceDE w:val="0"/>
        <w:autoSpaceDN w:val="0"/>
        <w:adjustRightInd w:val="0"/>
        <w:jc w:val="both"/>
        <w:rPr>
          <w:szCs w:val="24"/>
        </w:rPr>
      </w:pPr>
    </w:p>
    <w:p w:rsidR="00D1724E" w:rsidRDefault="00D1724E" w:rsidP="00D1724E">
      <w:pPr>
        <w:autoSpaceDE w:val="0"/>
        <w:autoSpaceDN w:val="0"/>
        <w:adjustRightInd w:val="0"/>
        <w:jc w:val="both"/>
        <w:rPr>
          <w:b/>
          <w:szCs w:val="24"/>
        </w:rPr>
      </w:pPr>
    </w:p>
    <w:p w:rsidR="00D1724E" w:rsidRPr="00A84B5C" w:rsidRDefault="00D1724E" w:rsidP="00D1724E">
      <w:pPr>
        <w:jc w:val="both"/>
        <w:rPr>
          <w:b/>
          <w:szCs w:val="24"/>
        </w:rPr>
      </w:pPr>
      <w:r w:rsidRPr="00A84B5C">
        <w:rPr>
          <w:b/>
          <w:szCs w:val="24"/>
        </w:rPr>
        <w:lastRenderedPageBreak/>
        <w:t xml:space="preserve">3.3: Temporal change in diapause propensity and incidence of parasitism in </w:t>
      </w:r>
      <w:r w:rsidRPr="00A84B5C">
        <w:rPr>
          <w:b/>
          <w:i/>
          <w:szCs w:val="24"/>
        </w:rPr>
        <w:t>C. terminifera</w:t>
      </w:r>
      <w:r w:rsidRPr="00A84B5C">
        <w:rPr>
          <w:b/>
          <w:szCs w:val="24"/>
        </w:rPr>
        <w:t xml:space="preserve"> eggs</w:t>
      </w:r>
    </w:p>
    <w:p w:rsidR="00D1724E" w:rsidRPr="00630B10" w:rsidRDefault="00D1724E" w:rsidP="00D1724E">
      <w:pPr>
        <w:autoSpaceDE w:val="0"/>
        <w:autoSpaceDN w:val="0"/>
        <w:adjustRightInd w:val="0"/>
        <w:jc w:val="both"/>
        <w:rPr>
          <w:b/>
          <w:szCs w:val="24"/>
        </w:rPr>
      </w:pPr>
    </w:p>
    <w:p w:rsidR="00D1724E" w:rsidRPr="00630B10" w:rsidRDefault="00D1724E" w:rsidP="00D1724E">
      <w:pPr>
        <w:autoSpaceDE w:val="0"/>
        <w:autoSpaceDN w:val="0"/>
        <w:adjustRightInd w:val="0"/>
        <w:jc w:val="both"/>
        <w:rPr>
          <w:b/>
          <w:szCs w:val="24"/>
        </w:rPr>
      </w:pPr>
    </w:p>
    <w:p w:rsidR="00D1724E" w:rsidRPr="00A84B5C" w:rsidRDefault="00D1724E" w:rsidP="00D1724E">
      <w:pPr>
        <w:jc w:val="both"/>
        <w:rPr>
          <w:szCs w:val="24"/>
        </w:rPr>
      </w:pPr>
      <w:r w:rsidRPr="00A84B5C">
        <w:rPr>
          <w:szCs w:val="24"/>
        </w:rPr>
        <w:t xml:space="preserve">Eggs have been collected from 12 sites in the Riverina, NSW laid at approximately fortnightly intervals from mid February to mid May 2010 to assess the variation in the proportion of eggs entering diapause and the level of </w:t>
      </w:r>
      <w:proofErr w:type="spellStart"/>
      <w:r w:rsidRPr="00A84B5C">
        <w:rPr>
          <w:i/>
          <w:szCs w:val="24"/>
        </w:rPr>
        <w:t>Scelio</w:t>
      </w:r>
      <w:proofErr w:type="spellEnd"/>
      <w:r w:rsidRPr="00A84B5C">
        <w:rPr>
          <w:szCs w:val="24"/>
        </w:rPr>
        <w:t xml:space="preserve"> parasitism. The purpose was to examine the reliability of the development model that APLC uses to forecast hatching in spring. Results to date show that all eggs laid from mid March to mid April entered diapause. Diapause proportion declined for eggs laid after this period and all eggs laid in May directly developed. Parasitism by </w:t>
      </w:r>
      <w:proofErr w:type="spellStart"/>
      <w:r w:rsidRPr="00A84B5C">
        <w:rPr>
          <w:i/>
          <w:szCs w:val="24"/>
        </w:rPr>
        <w:t>Scelio</w:t>
      </w:r>
      <w:proofErr w:type="spellEnd"/>
      <w:r w:rsidRPr="00A84B5C">
        <w:rPr>
          <w:szCs w:val="24"/>
        </w:rPr>
        <w:t xml:space="preserve"> varied from 15 – 80% among sites.</w:t>
      </w:r>
    </w:p>
    <w:p w:rsidR="00D1724E" w:rsidRDefault="00D1724E" w:rsidP="00D1724E">
      <w:pPr>
        <w:autoSpaceDE w:val="0"/>
        <w:autoSpaceDN w:val="0"/>
        <w:adjustRightInd w:val="0"/>
        <w:rPr>
          <w:rFonts w:ascii="Times" w:hAnsi="Times"/>
        </w:rPr>
      </w:pPr>
    </w:p>
    <w:p w:rsidR="00D1724E" w:rsidRDefault="00D1724E" w:rsidP="00D1724E">
      <w:pPr>
        <w:autoSpaceDE w:val="0"/>
        <w:autoSpaceDN w:val="0"/>
        <w:adjustRightInd w:val="0"/>
        <w:rPr>
          <w:rFonts w:ascii="Times" w:hAnsi="Times"/>
        </w:rPr>
      </w:pPr>
    </w:p>
    <w:p w:rsidR="00D1724E" w:rsidRDefault="00D1724E" w:rsidP="00D1724E">
      <w:pPr>
        <w:pStyle w:val="Heading4"/>
      </w:pPr>
      <w:r w:rsidRPr="00327F7C">
        <w:t>3</w:t>
      </w:r>
      <w:r>
        <w:t xml:space="preserve">.4: </w:t>
      </w:r>
      <w:r w:rsidRPr="00327F7C">
        <w:t>Genetic diversity</w:t>
      </w:r>
      <w:r>
        <w:t xml:space="preserve"> in the Australian plague locust</w:t>
      </w:r>
      <w:r w:rsidRPr="00327F7C">
        <w:t xml:space="preserve"> at the continental scale</w:t>
      </w:r>
    </w:p>
    <w:p w:rsidR="00D1724E" w:rsidRDefault="00D1724E" w:rsidP="00D1724E">
      <w:pPr>
        <w:autoSpaceDE w:val="0"/>
        <w:autoSpaceDN w:val="0"/>
        <w:adjustRightInd w:val="0"/>
        <w:jc w:val="both"/>
        <w:rPr>
          <w:rFonts w:ascii="Times" w:hAnsi="Times"/>
        </w:rPr>
      </w:pPr>
    </w:p>
    <w:p w:rsidR="00D1724E" w:rsidRPr="00327F7C" w:rsidRDefault="00D1724E" w:rsidP="00D1724E">
      <w:pPr>
        <w:autoSpaceDE w:val="0"/>
        <w:autoSpaceDN w:val="0"/>
        <w:adjustRightInd w:val="0"/>
        <w:jc w:val="both"/>
        <w:rPr>
          <w:rFonts w:ascii="Times" w:hAnsi="Times"/>
        </w:rPr>
      </w:pPr>
    </w:p>
    <w:p w:rsidR="00D1724E" w:rsidRDefault="00D1724E" w:rsidP="00D1724E">
      <w:pPr>
        <w:autoSpaceDE w:val="0"/>
        <w:autoSpaceDN w:val="0"/>
        <w:adjustRightInd w:val="0"/>
        <w:jc w:val="both"/>
        <w:rPr>
          <w:rFonts w:ascii="Times" w:hAnsi="Times"/>
        </w:rPr>
      </w:pPr>
      <w:r w:rsidRPr="00327F7C">
        <w:rPr>
          <w:rFonts w:ascii="Times" w:hAnsi="Times"/>
        </w:rPr>
        <w:t>T</w:t>
      </w:r>
      <w:r>
        <w:rPr>
          <w:rFonts w:ascii="Times" w:hAnsi="Times"/>
        </w:rPr>
        <w:t>he population genetics program</w:t>
      </w:r>
      <w:r w:rsidRPr="00327F7C">
        <w:rPr>
          <w:rFonts w:ascii="Times" w:hAnsi="Times"/>
        </w:rPr>
        <w:t xml:space="preserve"> at the</w:t>
      </w:r>
      <w:r>
        <w:rPr>
          <w:rFonts w:ascii="Times" w:hAnsi="Times"/>
        </w:rPr>
        <w:t xml:space="preserve"> </w:t>
      </w:r>
      <w:smartTag w:uri="urn:schemas-microsoft-com:office:smarttags" w:element="place">
        <w:smartTag w:uri="urn:schemas-microsoft-com:office:smarttags" w:element="PlaceType">
          <w:r w:rsidRPr="00327F7C">
            <w:rPr>
              <w:rFonts w:ascii="Times" w:hAnsi="Times"/>
            </w:rPr>
            <w:t>University</w:t>
          </w:r>
        </w:smartTag>
        <w:r w:rsidRPr="00327F7C">
          <w:rPr>
            <w:rFonts w:ascii="Times" w:hAnsi="Times"/>
          </w:rPr>
          <w:t xml:space="preserve"> of </w:t>
        </w:r>
        <w:smartTag w:uri="urn:schemas-microsoft-com:office:smarttags" w:element="PlaceName">
          <w:r w:rsidRPr="00327F7C">
            <w:rPr>
              <w:rFonts w:ascii="Times" w:hAnsi="Times"/>
            </w:rPr>
            <w:t>Sydney</w:t>
          </w:r>
        </w:smartTag>
      </w:smartTag>
      <w:r w:rsidRPr="00327F7C">
        <w:rPr>
          <w:rFonts w:ascii="Times" w:hAnsi="Times"/>
        </w:rPr>
        <w:t xml:space="preserve"> has </w:t>
      </w:r>
      <w:r>
        <w:rPr>
          <w:rFonts w:ascii="Times" w:hAnsi="Times"/>
        </w:rPr>
        <w:t>finalised the</w:t>
      </w:r>
      <w:r w:rsidRPr="00327F7C">
        <w:rPr>
          <w:rFonts w:ascii="Times" w:hAnsi="Times"/>
        </w:rPr>
        <w:t xml:space="preserve"> process of</w:t>
      </w:r>
      <w:r>
        <w:rPr>
          <w:rFonts w:ascii="Times" w:hAnsi="Times"/>
        </w:rPr>
        <w:t xml:space="preserve"> </w:t>
      </w:r>
      <w:r w:rsidRPr="00327F7C">
        <w:rPr>
          <w:rFonts w:ascii="Times" w:hAnsi="Times"/>
        </w:rPr>
        <w:t xml:space="preserve">identifying genetic markers in </w:t>
      </w:r>
      <w:r w:rsidRPr="00327F7C">
        <w:rPr>
          <w:rFonts w:ascii="Times" w:hAnsi="Times"/>
          <w:i/>
        </w:rPr>
        <w:t>Chortoicetes terminifera</w:t>
      </w:r>
      <w:r w:rsidRPr="00327F7C">
        <w:rPr>
          <w:rFonts w:ascii="Times" w:hAnsi="Times"/>
        </w:rPr>
        <w:t xml:space="preserve"> and comparing populations collected</w:t>
      </w:r>
      <w:r>
        <w:rPr>
          <w:rFonts w:ascii="Times" w:hAnsi="Times"/>
        </w:rPr>
        <w:t xml:space="preserve"> </w:t>
      </w:r>
      <w:r w:rsidRPr="00327F7C">
        <w:rPr>
          <w:rFonts w:ascii="Times" w:hAnsi="Times"/>
        </w:rPr>
        <w:t>from</w:t>
      </w:r>
      <w:r>
        <w:rPr>
          <w:rFonts w:ascii="Times" w:hAnsi="Times"/>
        </w:rPr>
        <w:t xml:space="preserve"> 92 sites</w:t>
      </w:r>
      <w:r w:rsidRPr="00327F7C">
        <w:rPr>
          <w:rFonts w:ascii="Times" w:hAnsi="Times"/>
        </w:rPr>
        <w:t xml:space="preserve"> across the continent.</w:t>
      </w:r>
      <w:r>
        <w:rPr>
          <w:rFonts w:ascii="Times" w:hAnsi="Times"/>
        </w:rPr>
        <w:t xml:space="preserve"> </w:t>
      </w:r>
      <w:r w:rsidRPr="00327F7C">
        <w:rPr>
          <w:rFonts w:ascii="Times" w:hAnsi="Times"/>
        </w:rPr>
        <w:t>Statistical analysis indicates</w:t>
      </w:r>
      <w:r>
        <w:rPr>
          <w:rFonts w:ascii="Times" w:hAnsi="Times"/>
        </w:rPr>
        <w:t xml:space="preserve"> </w:t>
      </w:r>
      <w:r w:rsidRPr="00327F7C">
        <w:rPr>
          <w:rFonts w:ascii="Times" w:hAnsi="Times"/>
        </w:rPr>
        <w:t>that there is no significant genotypic differentiation</w:t>
      </w:r>
      <w:r>
        <w:rPr>
          <w:rFonts w:ascii="Times" w:hAnsi="Times"/>
        </w:rPr>
        <w:t xml:space="preserve"> </w:t>
      </w:r>
      <w:r w:rsidRPr="00327F7C">
        <w:rPr>
          <w:rFonts w:ascii="Times" w:hAnsi="Times"/>
        </w:rPr>
        <w:t>between the samples from different locations</w:t>
      </w:r>
      <w:r>
        <w:rPr>
          <w:rFonts w:ascii="Times" w:hAnsi="Times"/>
        </w:rPr>
        <w:t xml:space="preserve"> </w:t>
      </w:r>
      <w:r w:rsidRPr="00327F7C">
        <w:rPr>
          <w:rFonts w:ascii="Times" w:hAnsi="Times"/>
        </w:rPr>
        <w:t xml:space="preserve">suggesting that the distribution of the </w:t>
      </w:r>
      <w:r>
        <w:rPr>
          <w:rFonts w:ascii="Times" w:hAnsi="Times"/>
          <w:i/>
        </w:rPr>
        <w:t>C.</w:t>
      </w:r>
      <w:r w:rsidRPr="00327F7C">
        <w:rPr>
          <w:rFonts w:ascii="Times" w:hAnsi="Times"/>
          <w:i/>
        </w:rPr>
        <w:t xml:space="preserve"> terminifera</w:t>
      </w:r>
      <w:r>
        <w:rPr>
          <w:rFonts w:ascii="Times" w:hAnsi="Times"/>
        </w:rPr>
        <w:t xml:space="preserve"> is </w:t>
      </w:r>
      <w:proofErr w:type="spellStart"/>
      <w:r>
        <w:rPr>
          <w:rFonts w:ascii="Times" w:hAnsi="Times"/>
        </w:rPr>
        <w:t>panmictic</w:t>
      </w:r>
      <w:proofErr w:type="spellEnd"/>
      <w:r>
        <w:rPr>
          <w:rFonts w:ascii="Times" w:hAnsi="Times"/>
        </w:rPr>
        <w:t xml:space="preserve">. </w:t>
      </w:r>
      <w:r w:rsidRPr="00327F7C">
        <w:rPr>
          <w:rFonts w:ascii="Times" w:hAnsi="Times"/>
        </w:rPr>
        <w:t xml:space="preserve">A </w:t>
      </w:r>
      <w:proofErr w:type="spellStart"/>
      <w:r w:rsidRPr="00327F7C">
        <w:rPr>
          <w:rFonts w:ascii="Times" w:hAnsi="Times"/>
        </w:rPr>
        <w:t>panmictic</w:t>
      </w:r>
      <w:proofErr w:type="spellEnd"/>
      <w:r w:rsidRPr="00327F7C">
        <w:rPr>
          <w:rFonts w:ascii="Times" w:hAnsi="Times"/>
        </w:rPr>
        <w:t xml:space="preserve"> population</w:t>
      </w:r>
      <w:r>
        <w:rPr>
          <w:rFonts w:ascii="Times" w:hAnsi="Times"/>
        </w:rPr>
        <w:t xml:space="preserve"> </w:t>
      </w:r>
      <w:r w:rsidRPr="00327F7C">
        <w:rPr>
          <w:rFonts w:ascii="Times" w:hAnsi="Times"/>
        </w:rPr>
        <w:t xml:space="preserve">is one where all individuals are potential partners </w:t>
      </w:r>
      <w:r>
        <w:rPr>
          <w:rFonts w:ascii="Times" w:hAnsi="Times"/>
        </w:rPr>
        <w:t xml:space="preserve">– </w:t>
      </w:r>
      <w:r w:rsidRPr="00327F7C">
        <w:rPr>
          <w:rFonts w:ascii="Times" w:hAnsi="Times"/>
        </w:rPr>
        <w:t>i</w:t>
      </w:r>
      <w:r>
        <w:rPr>
          <w:rFonts w:ascii="Times" w:hAnsi="Times"/>
        </w:rPr>
        <w:t>.</w:t>
      </w:r>
      <w:r w:rsidRPr="00327F7C">
        <w:rPr>
          <w:rFonts w:ascii="Times" w:hAnsi="Times"/>
        </w:rPr>
        <w:t>e</w:t>
      </w:r>
      <w:r>
        <w:rPr>
          <w:rFonts w:ascii="Times" w:hAnsi="Times"/>
        </w:rPr>
        <w:t>.</w:t>
      </w:r>
      <w:r w:rsidRPr="00327F7C">
        <w:rPr>
          <w:rFonts w:ascii="Times" w:hAnsi="Times"/>
        </w:rPr>
        <w:t xml:space="preserve"> there are no mating restrictions on the</w:t>
      </w:r>
      <w:r>
        <w:rPr>
          <w:rFonts w:ascii="Times" w:hAnsi="Times"/>
        </w:rPr>
        <w:t xml:space="preserve"> </w:t>
      </w:r>
      <w:r w:rsidRPr="00327F7C">
        <w:rPr>
          <w:rFonts w:ascii="Times" w:hAnsi="Times"/>
        </w:rPr>
        <w:t>population and no</w:t>
      </w:r>
      <w:r>
        <w:rPr>
          <w:rFonts w:ascii="Times" w:hAnsi="Times"/>
        </w:rPr>
        <w:t xml:space="preserve"> localised geographic variation.</w:t>
      </w:r>
    </w:p>
    <w:p w:rsidR="00D1724E" w:rsidRPr="00327F7C" w:rsidRDefault="00D1724E" w:rsidP="00D1724E">
      <w:pPr>
        <w:autoSpaceDE w:val="0"/>
        <w:autoSpaceDN w:val="0"/>
        <w:adjustRightInd w:val="0"/>
        <w:jc w:val="both"/>
        <w:rPr>
          <w:rFonts w:ascii="Times" w:hAnsi="Times"/>
        </w:rPr>
      </w:pPr>
    </w:p>
    <w:p w:rsidR="00D1724E" w:rsidRDefault="00D1724E" w:rsidP="00D1724E">
      <w:pPr>
        <w:pStyle w:val="Heading4"/>
        <w:ind w:right="-1"/>
        <w:jc w:val="both"/>
        <w:rPr>
          <w:b w:val="0"/>
        </w:rPr>
      </w:pPr>
      <w:r w:rsidRPr="00656E6C">
        <w:rPr>
          <w:b w:val="0"/>
        </w:rPr>
        <w:t>While this does not prove that east-west and west-east migration is common, it does suggest that such migration has occurred recently. Continent wide migration may therefore be a contributing factor to the development of outbreaks. This work remains in preparation for publication in the peer-reviewed scientific literature.</w:t>
      </w:r>
    </w:p>
    <w:p w:rsidR="00D1724E" w:rsidRDefault="00D1724E" w:rsidP="00D1724E"/>
    <w:p w:rsidR="005654F5" w:rsidRPr="005654F5" w:rsidRDefault="005654F5" w:rsidP="009625E9"/>
    <w:p w:rsidR="00D1724E" w:rsidRDefault="00561ADC" w:rsidP="00D1724E">
      <w:pPr>
        <w:pStyle w:val="Heading4"/>
      </w:pPr>
      <w:r>
        <w:rPr>
          <w:rFonts w:ascii="Times New Roman" w:hAnsi="Times New Roman"/>
          <w:szCs w:val="24"/>
        </w:rPr>
        <w:t>3.5</w:t>
      </w:r>
      <w:r w:rsidRPr="00AC3F0F">
        <w:rPr>
          <w:rFonts w:ascii="Times New Roman" w:hAnsi="Times New Roman"/>
          <w:szCs w:val="24"/>
        </w:rPr>
        <w:t xml:space="preserve">: </w:t>
      </w:r>
      <w:r w:rsidR="00D1724E">
        <w:t>Development of 3D wind trajectory model based on the Bureau of Meteorology’s ACCESS data for simulation of locust migration</w:t>
      </w:r>
    </w:p>
    <w:p w:rsidR="00D1724E" w:rsidRPr="00D1724E" w:rsidRDefault="00D1724E" w:rsidP="00D1724E"/>
    <w:p w:rsidR="00D1724E" w:rsidRDefault="00D1724E" w:rsidP="00D1724E">
      <w:pPr>
        <w:pStyle w:val="Heading4"/>
        <w:ind w:right="-1"/>
        <w:jc w:val="both"/>
        <w:rPr>
          <w:b w:val="0"/>
        </w:rPr>
      </w:pPr>
      <w:r w:rsidRPr="00AC5FCE">
        <w:rPr>
          <w:b w:val="0"/>
        </w:rPr>
        <w:t xml:space="preserve">The Bureau of Meteorology announced its plan to change its </w:t>
      </w:r>
      <w:r w:rsidR="00D51D4D">
        <w:rPr>
          <w:b w:val="0"/>
        </w:rPr>
        <w:t>N</w:t>
      </w:r>
      <w:r w:rsidRPr="00AC5FCE">
        <w:rPr>
          <w:b w:val="0"/>
        </w:rPr>
        <w:t>umeric</w:t>
      </w:r>
      <w:r w:rsidR="001E7226">
        <w:rPr>
          <w:b w:val="0"/>
        </w:rPr>
        <w:t>al</w:t>
      </w:r>
      <w:r w:rsidRPr="00AC5FCE">
        <w:rPr>
          <w:b w:val="0"/>
        </w:rPr>
        <w:t xml:space="preserve"> </w:t>
      </w:r>
      <w:r w:rsidR="00D51D4D">
        <w:rPr>
          <w:b w:val="0"/>
        </w:rPr>
        <w:t>W</w:t>
      </w:r>
      <w:r w:rsidRPr="00AC5FCE">
        <w:rPr>
          <w:b w:val="0"/>
        </w:rPr>
        <w:t xml:space="preserve">eather </w:t>
      </w:r>
      <w:r w:rsidR="00D51D4D">
        <w:rPr>
          <w:b w:val="0"/>
        </w:rPr>
        <w:t>P</w:t>
      </w:r>
      <w:r w:rsidRPr="00AC5FCE">
        <w:rPr>
          <w:b w:val="0"/>
        </w:rPr>
        <w:t>roduct</w:t>
      </w:r>
      <w:r w:rsidR="00D51D4D">
        <w:rPr>
          <w:b w:val="0"/>
        </w:rPr>
        <w:t xml:space="preserve"> (NWP)</w:t>
      </w:r>
      <w:r w:rsidRPr="00AC5FCE">
        <w:rPr>
          <w:b w:val="0"/>
        </w:rPr>
        <w:t xml:space="preserve"> from LAPS</w:t>
      </w:r>
      <w:r>
        <w:rPr>
          <w:b w:val="0"/>
        </w:rPr>
        <w:t xml:space="preserve"> (Limited Area Prediction System)</w:t>
      </w:r>
      <w:r w:rsidRPr="00AC5FCE">
        <w:rPr>
          <w:b w:val="0"/>
        </w:rPr>
        <w:t xml:space="preserve"> to ACCES</w:t>
      </w:r>
      <w:r>
        <w:rPr>
          <w:b w:val="0"/>
        </w:rPr>
        <w:t>S (</w:t>
      </w:r>
      <w:r w:rsidRPr="00AC5FCE">
        <w:rPr>
          <w:b w:val="0"/>
        </w:rPr>
        <w:t>Australian Community Climate and Earth-System Simulator</w:t>
      </w:r>
      <w:r>
        <w:rPr>
          <w:b w:val="0"/>
        </w:rPr>
        <w:t>)</w:t>
      </w:r>
      <w:r w:rsidR="00EF64B2">
        <w:rPr>
          <w:b w:val="0"/>
        </w:rPr>
        <w:t xml:space="preserve"> in early 2010 and</w:t>
      </w:r>
      <w:r w:rsidRPr="00AC5FCE">
        <w:rPr>
          <w:b w:val="0"/>
        </w:rPr>
        <w:t xml:space="preserve"> sample grid files</w:t>
      </w:r>
      <w:r w:rsidR="001E7226">
        <w:rPr>
          <w:b w:val="0"/>
        </w:rPr>
        <w:t xml:space="preserve"> were made</w:t>
      </w:r>
      <w:r w:rsidRPr="00AC5FCE">
        <w:rPr>
          <w:b w:val="0"/>
        </w:rPr>
        <w:t xml:space="preserve"> available in later March 2010. The NWP was finalised in June 2010. </w:t>
      </w:r>
      <w:r w:rsidR="00D5243E">
        <w:rPr>
          <w:b w:val="0"/>
        </w:rPr>
        <w:t>Development of a</w:t>
      </w:r>
      <w:r w:rsidRPr="00AC5FCE">
        <w:rPr>
          <w:b w:val="0"/>
        </w:rPr>
        <w:t xml:space="preserve"> new </w:t>
      </w:r>
      <w:r w:rsidR="00D5243E">
        <w:rPr>
          <w:b w:val="0"/>
        </w:rPr>
        <w:t xml:space="preserve">method of generating </w:t>
      </w:r>
      <w:r w:rsidRPr="00AC5FCE">
        <w:rPr>
          <w:b w:val="0"/>
        </w:rPr>
        <w:t>wind trajector</w:t>
      </w:r>
      <w:r w:rsidR="00D5243E">
        <w:rPr>
          <w:b w:val="0"/>
        </w:rPr>
        <w:t>ies</w:t>
      </w:r>
      <w:r w:rsidRPr="00AC5FCE">
        <w:rPr>
          <w:b w:val="0"/>
        </w:rPr>
        <w:t xml:space="preserve"> </w:t>
      </w:r>
      <w:r w:rsidR="007B4A0D">
        <w:rPr>
          <w:b w:val="0"/>
        </w:rPr>
        <w:t>from</w:t>
      </w:r>
      <w:r w:rsidRPr="00AC5FCE">
        <w:rPr>
          <w:b w:val="0"/>
        </w:rPr>
        <w:t xml:space="preserve"> </w:t>
      </w:r>
      <w:proofErr w:type="spellStart"/>
      <w:r w:rsidRPr="00AC5FCE">
        <w:rPr>
          <w:b w:val="0"/>
        </w:rPr>
        <w:t>BoM</w:t>
      </w:r>
      <w:proofErr w:type="spellEnd"/>
      <w:r w:rsidRPr="00AC5FCE">
        <w:rPr>
          <w:b w:val="0"/>
        </w:rPr>
        <w:t xml:space="preserve"> ACCESS data</w:t>
      </w:r>
      <w:r w:rsidR="00EF64B2">
        <w:rPr>
          <w:b w:val="0"/>
        </w:rPr>
        <w:t xml:space="preserve"> </w:t>
      </w:r>
      <w:r w:rsidR="00D51D4D">
        <w:rPr>
          <w:b w:val="0"/>
        </w:rPr>
        <w:t>using the</w:t>
      </w:r>
      <w:r w:rsidRPr="00AC5FCE">
        <w:rPr>
          <w:b w:val="0"/>
        </w:rPr>
        <w:t xml:space="preserve"> R </w:t>
      </w:r>
      <w:r w:rsidR="00D51D4D">
        <w:rPr>
          <w:b w:val="0"/>
        </w:rPr>
        <w:t xml:space="preserve">statistical software </w:t>
      </w:r>
      <w:r w:rsidRPr="00AC5FCE">
        <w:rPr>
          <w:b w:val="0"/>
        </w:rPr>
        <w:t xml:space="preserve">and available interfaces </w:t>
      </w:r>
      <w:r w:rsidR="00EF64B2">
        <w:rPr>
          <w:b w:val="0"/>
        </w:rPr>
        <w:t>for</w:t>
      </w:r>
      <w:r w:rsidRPr="00AC5FCE">
        <w:rPr>
          <w:b w:val="0"/>
        </w:rPr>
        <w:t xml:space="preserve"> </w:t>
      </w:r>
      <w:proofErr w:type="spellStart"/>
      <w:r w:rsidRPr="00AC5FCE">
        <w:rPr>
          <w:b w:val="0"/>
        </w:rPr>
        <w:t>NetCDF</w:t>
      </w:r>
      <w:proofErr w:type="spellEnd"/>
      <w:r w:rsidRPr="00AC5FCE">
        <w:rPr>
          <w:b w:val="0"/>
        </w:rPr>
        <w:t xml:space="preserve"> </w:t>
      </w:r>
      <w:r w:rsidR="00EF64B2">
        <w:rPr>
          <w:b w:val="0"/>
        </w:rPr>
        <w:t xml:space="preserve">format files </w:t>
      </w:r>
      <w:r w:rsidR="00D51D4D">
        <w:rPr>
          <w:b w:val="0"/>
        </w:rPr>
        <w:t>was commenced</w:t>
      </w:r>
      <w:r w:rsidRPr="00AC5FCE">
        <w:rPr>
          <w:b w:val="0"/>
        </w:rPr>
        <w:t>.</w:t>
      </w:r>
    </w:p>
    <w:p w:rsidR="00D1724E" w:rsidRDefault="00D1724E" w:rsidP="00D1724E"/>
    <w:p w:rsidR="00D1724E" w:rsidRDefault="00AB5703" w:rsidP="00D1724E">
      <w:pPr>
        <w:pStyle w:val="Heading4"/>
        <w:ind w:right="-1"/>
        <w:jc w:val="both"/>
        <w:rPr>
          <w:b w:val="0"/>
        </w:rPr>
      </w:pPr>
      <w:r>
        <w:rPr>
          <w:b w:val="0"/>
        </w:rPr>
        <w:t>T</w:t>
      </w:r>
      <w:r w:rsidRPr="00AC5FCE">
        <w:rPr>
          <w:b w:val="0"/>
        </w:rPr>
        <w:t xml:space="preserve">he core part of the new model will be </w:t>
      </w:r>
      <w:r>
        <w:rPr>
          <w:b w:val="0"/>
        </w:rPr>
        <w:t>translated from</w:t>
      </w:r>
      <w:r w:rsidR="00D1724E" w:rsidRPr="00AC5FCE">
        <w:rPr>
          <w:b w:val="0"/>
        </w:rPr>
        <w:t xml:space="preserve"> </w:t>
      </w:r>
      <w:r>
        <w:rPr>
          <w:b w:val="0"/>
        </w:rPr>
        <w:t xml:space="preserve">the </w:t>
      </w:r>
      <w:r w:rsidR="00D1724E" w:rsidRPr="00AC5FCE">
        <w:rPr>
          <w:b w:val="0"/>
        </w:rPr>
        <w:t xml:space="preserve">previously developed wind trajectory algorithm implemented in Python. </w:t>
      </w:r>
      <w:r>
        <w:rPr>
          <w:b w:val="0"/>
        </w:rPr>
        <w:t>T</w:t>
      </w:r>
      <w:r w:rsidR="00D1724E" w:rsidRPr="00AC5FCE">
        <w:rPr>
          <w:b w:val="0"/>
        </w:rPr>
        <w:t xml:space="preserve">he new model will be implemented in two stages: </w:t>
      </w:r>
      <w:r w:rsidR="00B528B1">
        <w:rPr>
          <w:b w:val="0"/>
        </w:rPr>
        <w:t>(</w:t>
      </w:r>
      <w:r w:rsidR="00D1724E" w:rsidRPr="00AC5FCE">
        <w:rPr>
          <w:b w:val="0"/>
        </w:rPr>
        <w:t xml:space="preserve">1) 2D model for wind trajectories at equal-altitude levels with air temperature calculated – 3 months for programming and testing; </w:t>
      </w:r>
      <w:r w:rsidR="00B528B1">
        <w:rPr>
          <w:b w:val="0"/>
        </w:rPr>
        <w:t>(</w:t>
      </w:r>
      <w:r w:rsidR="00D1724E" w:rsidRPr="00AC5FCE">
        <w:rPr>
          <w:b w:val="0"/>
        </w:rPr>
        <w:t>2) 3D model for wind trajectories following best locust migration layer</w:t>
      </w:r>
      <w:r>
        <w:rPr>
          <w:b w:val="0"/>
        </w:rPr>
        <w:t>.</w:t>
      </w:r>
    </w:p>
    <w:p w:rsidR="00D1724E" w:rsidRDefault="00D1724E" w:rsidP="00D1724E"/>
    <w:p w:rsidR="00D1724E" w:rsidRDefault="00D1724E" w:rsidP="00D1724E">
      <w:pPr>
        <w:jc w:val="both"/>
      </w:pPr>
      <w:r>
        <w:t xml:space="preserve">Initial investigation revealed that the large dataset of ACCESS </w:t>
      </w:r>
      <w:proofErr w:type="spellStart"/>
      <w:r>
        <w:t>NetCDF</w:t>
      </w:r>
      <w:proofErr w:type="spellEnd"/>
      <w:r>
        <w:t xml:space="preserve"> (version 3 format) can be handled within R on both Windows and UNIX platforms, and an algorithm has been implemented to calculate the wind components of </w:t>
      </w:r>
      <w:r>
        <w:rPr>
          <w:i/>
        </w:rPr>
        <w:t>x, y, z</w:t>
      </w:r>
      <w:r>
        <w:t xml:space="preserve"> directions and the temperature at any geographic position (3 dimensions: longitude, latitude, and altitude) and any time (4D domain).</w:t>
      </w:r>
    </w:p>
    <w:p w:rsidR="00424A95" w:rsidRDefault="00424A95" w:rsidP="00D1724E">
      <w:pPr>
        <w:pStyle w:val="Heading4"/>
        <w:jc w:val="both"/>
      </w:pPr>
    </w:p>
    <w:p w:rsidR="00424A95" w:rsidRDefault="00424A95" w:rsidP="00424A95">
      <w:pPr>
        <w:autoSpaceDE w:val="0"/>
        <w:autoSpaceDN w:val="0"/>
        <w:adjustRightInd w:val="0"/>
        <w:rPr>
          <w:rFonts w:ascii="Times" w:hAnsi="Times"/>
        </w:rPr>
      </w:pPr>
    </w:p>
    <w:p w:rsidR="00561ADC" w:rsidRDefault="00561ADC" w:rsidP="00561ADC">
      <w:pPr>
        <w:autoSpaceDE w:val="0"/>
        <w:autoSpaceDN w:val="0"/>
        <w:adjustRightInd w:val="0"/>
        <w:rPr>
          <w:rFonts w:ascii="Times" w:hAnsi="Times"/>
        </w:rPr>
      </w:pPr>
    </w:p>
    <w:p w:rsidR="00D1724E" w:rsidRPr="004822CE" w:rsidRDefault="00D1724E" w:rsidP="00D1724E">
      <w:pPr>
        <w:pStyle w:val="Heading1"/>
        <w:rPr>
          <w:rFonts w:ascii="Times New Roman" w:hAnsi="Times New Roman"/>
          <w:bCs/>
        </w:rPr>
      </w:pPr>
      <w:bookmarkStart w:id="143" w:name="_Toc359921648"/>
      <w:r w:rsidRPr="00D1724E">
        <w:rPr>
          <w:rFonts w:ascii="Times New Roman" w:hAnsi="Times New Roman"/>
          <w:bCs/>
          <w:color w:val="0000FF"/>
        </w:rPr>
        <w:t>Publications</w:t>
      </w:r>
      <w:bookmarkEnd w:id="143"/>
    </w:p>
    <w:p w:rsidR="00D1724E" w:rsidRPr="00CD476F" w:rsidRDefault="00D1724E" w:rsidP="00D1724E">
      <w:pPr>
        <w:pStyle w:val="Heading1"/>
        <w:rPr>
          <w:rFonts w:ascii="Times New Roman" w:hAnsi="Times New Roman"/>
          <w:bCs/>
          <w:color w:val="00B050"/>
        </w:rPr>
      </w:pPr>
    </w:p>
    <w:p w:rsidR="00D1724E" w:rsidRDefault="00D1724E" w:rsidP="00D1724E">
      <w:pPr>
        <w:keepNext/>
        <w:keepLines/>
      </w:pPr>
      <w:r>
        <w:t xml:space="preserve">Berthier, K., </w:t>
      </w:r>
      <w:proofErr w:type="spellStart"/>
      <w:r>
        <w:t>Chapuis</w:t>
      </w:r>
      <w:proofErr w:type="spellEnd"/>
      <w:r>
        <w:t xml:space="preserve">, M-P., Simpson, S.J., </w:t>
      </w:r>
      <w:proofErr w:type="spellStart"/>
      <w:r>
        <w:t>Ferenz</w:t>
      </w:r>
      <w:proofErr w:type="spellEnd"/>
      <w:r>
        <w:t xml:space="preserve">, H-J., </w:t>
      </w:r>
      <w:proofErr w:type="spellStart"/>
      <w:r>
        <w:t>Habib</w:t>
      </w:r>
      <w:proofErr w:type="spellEnd"/>
      <w:r>
        <w:t xml:space="preserve"> Kane, C.M., Kang, L., Lange, A., </w:t>
      </w:r>
      <w:proofErr w:type="spellStart"/>
      <w:r>
        <w:t>Ott</w:t>
      </w:r>
      <w:proofErr w:type="spellEnd"/>
      <w:r>
        <w:t xml:space="preserve">, S.R., </w:t>
      </w:r>
      <w:proofErr w:type="spellStart"/>
      <w:r>
        <w:t>Babah</w:t>
      </w:r>
      <w:proofErr w:type="spellEnd"/>
      <w:r>
        <w:t xml:space="preserve"> </w:t>
      </w:r>
      <w:proofErr w:type="spellStart"/>
      <w:r>
        <w:t>Ebbe</w:t>
      </w:r>
      <w:proofErr w:type="spellEnd"/>
      <w:r>
        <w:t xml:space="preserve">, M.A.,  </w:t>
      </w:r>
      <w:proofErr w:type="spellStart"/>
      <w:r>
        <w:t>Rodenburg</w:t>
      </w:r>
      <w:proofErr w:type="spellEnd"/>
      <w:r>
        <w:t xml:space="preserve">, K.W., Rogers, S.M., </w:t>
      </w:r>
      <w:proofErr w:type="spellStart"/>
      <w:r>
        <w:t>Torto</w:t>
      </w:r>
      <w:proofErr w:type="spellEnd"/>
      <w:r>
        <w:t xml:space="preserve">, B., </w:t>
      </w:r>
      <w:proofErr w:type="spellStart"/>
      <w:r>
        <w:t>Vanden</w:t>
      </w:r>
      <w:proofErr w:type="spellEnd"/>
      <w:r>
        <w:t xml:space="preserve"> </w:t>
      </w:r>
      <w:proofErr w:type="spellStart"/>
      <w:r>
        <w:t>Broeck</w:t>
      </w:r>
      <w:proofErr w:type="spellEnd"/>
      <w:r>
        <w:t>, J., van Loon, J.J.A., Sword, G.A. 2010. Laboratory populations as a resource for understanding the relationship between genotypes and phenotypes: A global case study in locusts. Advances in Insect Physiology 39:1-37.</w:t>
      </w:r>
    </w:p>
    <w:p w:rsidR="00D1724E" w:rsidRPr="007814CC" w:rsidRDefault="00D1724E" w:rsidP="00D1724E">
      <w:pPr>
        <w:keepNext/>
        <w:keepLines/>
      </w:pPr>
    </w:p>
    <w:p w:rsidR="00D1724E" w:rsidRPr="00A84B5C" w:rsidRDefault="00D1724E" w:rsidP="00D1724E">
      <w:pPr>
        <w:jc w:val="both"/>
        <w:rPr>
          <w:szCs w:val="24"/>
        </w:rPr>
      </w:pPr>
      <w:proofErr w:type="gramStart"/>
      <w:r w:rsidRPr="00A84B5C">
        <w:rPr>
          <w:szCs w:val="24"/>
        </w:rPr>
        <w:t>Woodman, J.</w:t>
      </w:r>
      <w:r w:rsidR="00AB5703">
        <w:rPr>
          <w:szCs w:val="24"/>
        </w:rPr>
        <w:t>D.</w:t>
      </w:r>
      <w:r w:rsidRPr="00A84B5C">
        <w:rPr>
          <w:szCs w:val="24"/>
        </w:rPr>
        <w:t xml:space="preserve"> 2010.</w:t>
      </w:r>
      <w:proofErr w:type="gramEnd"/>
      <w:r w:rsidRPr="00A84B5C">
        <w:rPr>
          <w:szCs w:val="24"/>
        </w:rPr>
        <w:t xml:space="preserve"> </w:t>
      </w:r>
      <w:proofErr w:type="gramStart"/>
      <w:r w:rsidRPr="00A84B5C">
        <w:rPr>
          <w:szCs w:val="24"/>
        </w:rPr>
        <w:t xml:space="preserve">Cold tolerance of first-instar nymphs of the Australian plague locust, </w:t>
      </w:r>
      <w:r w:rsidRPr="00A84B5C">
        <w:rPr>
          <w:i/>
          <w:szCs w:val="24"/>
        </w:rPr>
        <w:t>Chortoicetes terminifera</w:t>
      </w:r>
      <w:r w:rsidRPr="00A84B5C">
        <w:rPr>
          <w:szCs w:val="24"/>
        </w:rPr>
        <w:t>.</w:t>
      </w:r>
      <w:proofErr w:type="gramEnd"/>
      <w:r w:rsidRPr="00A84B5C">
        <w:rPr>
          <w:szCs w:val="24"/>
        </w:rPr>
        <w:t xml:space="preserve"> Journal of Insect Physiology 56, 376-379. </w:t>
      </w:r>
    </w:p>
    <w:p w:rsidR="00D1724E" w:rsidRPr="00CD476F" w:rsidRDefault="00D1724E" w:rsidP="00D1724E">
      <w:pPr>
        <w:rPr>
          <w:color w:val="00B050"/>
        </w:rPr>
      </w:pPr>
    </w:p>
    <w:p w:rsidR="005654F5" w:rsidRDefault="005654F5" w:rsidP="00B45D49">
      <w:pPr>
        <w:pStyle w:val="Heading1"/>
        <w:rPr>
          <w:rFonts w:ascii="Times New Roman" w:hAnsi="Times New Roman"/>
          <w:bCs/>
          <w:color w:val="0000FF"/>
        </w:rPr>
      </w:pPr>
    </w:p>
    <w:p w:rsidR="00B45D49" w:rsidRPr="003B2ADE" w:rsidRDefault="006C0418" w:rsidP="00B45D49">
      <w:r>
        <w:br w:type="page"/>
      </w:r>
    </w:p>
    <w:p w:rsidR="00D1724E" w:rsidRPr="006D3AEA" w:rsidRDefault="00D1724E" w:rsidP="00D1724E">
      <w:pPr>
        <w:pStyle w:val="Annex"/>
      </w:pPr>
      <w:bookmarkStart w:id="144" w:name="_Toc209845121"/>
      <w:bookmarkStart w:id="145" w:name="Annex1"/>
      <w:bookmarkStart w:id="146" w:name="_Toc209845123"/>
      <w:bookmarkStart w:id="147" w:name="Annex3"/>
      <w:r w:rsidRPr="006D3AEA">
        <w:lastRenderedPageBreak/>
        <w:t xml:space="preserve">Annex </w:t>
      </w:r>
      <w:r w:rsidR="0036318C">
        <w:t>1</w:t>
      </w:r>
      <w:r w:rsidRPr="006D3AEA">
        <w:t>: Environmental Management System co</w:t>
      </w:r>
      <w:r>
        <w:t>nformance 2009-10</w:t>
      </w:r>
    </w:p>
    <w:p w:rsidR="00D1724E" w:rsidRDefault="00D1724E" w:rsidP="00D1724E"/>
    <w:tbl>
      <w:tblPr>
        <w:tblW w:w="5000" w:type="pct"/>
        <w:tblLook w:val="0000"/>
      </w:tblPr>
      <w:tblGrid>
        <w:gridCol w:w="2132"/>
        <w:gridCol w:w="2042"/>
        <w:gridCol w:w="5227"/>
      </w:tblGrid>
      <w:tr w:rsidR="00D1724E" w:rsidRPr="00B63EF4" w:rsidTr="00A15448">
        <w:trPr>
          <w:trHeight w:val="270"/>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rsidR="00D1724E" w:rsidRPr="00B63EF4" w:rsidRDefault="00D1724E" w:rsidP="00A15448">
            <w:pPr>
              <w:rPr>
                <w:b/>
                <w:bCs/>
                <w:sz w:val="20"/>
                <w:lang w:eastAsia="en-AU"/>
              </w:rPr>
            </w:pPr>
            <w:r>
              <w:rPr>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rsidR="00D1724E" w:rsidRPr="00B63EF4" w:rsidRDefault="00D1724E" w:rsidP="00A15448">
            <w:pPr>
              <w:rPr>
                <w:b/>
                <w:bCs/>
                <w:sz w:val="20"/>
                <w:lang w:eastAsia="en-AU"/>
              </w:rPr>
            </w:pPr>
            <w:r w:rsidRPr="00B63EF4">
              <w:rPr>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rsidR="00D1724E" w:rsidRPr="00B63EF4" w:rsidRDefault="00D1724E" w:rsidP="00A15448">
            <w:pPr>
              <w:rPr>
                <w:b/>
                <w:bCs/>
                <w:sz w:val="20"/>
                <w:lang w:eastAsia="en-AU"/>
              </w:rPr>
            </w:pPr>
            <w:r>
              <w:rPr>
                <w:b/>
                <w:bCs/>
                <w:sz w:val="20"/>
                <w:lang w:eastAsia="en-AU"/>
              </w:rPr>
              <w:t>Progress (2009-10</w:t>
            </w:r>
            <w:r w:rsidRPr="00B63EF4">
              <w:rPr>
                <w:b/>
                <w:bCs/>
                <w:sz w:val="20"/>
                <w:lang w:eastAsia="en-AU"/>
              </w:rPr>
              <w:t>)</w:t>
            </w:r>
          </w:p>
        </w:tc>
      </w:tr>
      <w:tr w:rsidR="00D1724E" w:rsidRPr="00B63EF4" w:rsidTr="00A15448">
        <w:trPr>
          <w:trHeight w:val="570"/>
        </w:trPr>
        <w:tc>
          <w:tcPr>
            <w:tcW w:w="1134" w:type="pct"/>
            <w:vMerge w:val="restart"/>
            <w:tcBorders>
              <w:top w:val="nil"/>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1. Excellence in all operational areas</w:t>
            </w:r>
          </w:p>
        </w:tc>
        <w:tc>
          <w:tcPr>
            <w:tcW w:w="1086" w:type="pct"/>
            <w:tcBorders>
              <w:top w:val="nil"/>
              <w:left w:val="nil"/>
              <w:bottom w:val="single" w:sz="4" w:space="0" w:color="auto"/>
              <w:right w:val="single" w:sz="4" w:space="0" w:color="auto"/>
            </w:tcBorders>
            <w:shd w:val="clear" w:color="auto" w:fill="auto"/>
          </w:tcPr>
          <w:p w:rsidR="00D1724E" w:rsidRPr="00B63EF4" w:rsidRDefault="00D1724E" w:rsidP="00A15448">
            <w:pPr>
              <w:spacing w:after="240"/>
              <w:rPr>
                <w:sz w:val="20"/>
                <w:lang w:eastAsia="en-AU"/>
              </w:rPr>
            </w:pPr>
            <w:r w:rsidRPr="00B63EF4">
              <w:rPr>
                <w:sz w:val="20"/>
                <w:lang w:eastAsia="en-AU"/>
              </w:rPr>
              <w:t>Staff trained to full field competence</w:t>
            </w:r>
          </w:p>
        </w:tc>
        <w:tc>
          <w:tcPr>
            <w:tcW w:w="2780" w:type="pct"/>
            <w:tcBorders>
              <w:top w:val="nil"/>
              <w:left w:val="nil"/>
              <w:bottom w:val="single" w:sz="4" w:space="0" w:color="auto"/>
              <w:right w:val="single" w:sz="4" w:space="0" w:color="auto"/>
            </w:tcBorders>
            <w:shd w:val="clear" w:color="auto" w:fill="auto"/>
          </w:tcPr>
          <w:p w:rsidR="00D1724E" w:rsidRPr="00B63EF4" w:rsidRDefault="00D1724E" w:rsidP="00A15448">
            <w:pPr>
              <w:rPr>
                <w:i/>
                <w:sz w:val="20"/>
                <w:lang w:eastAsia="en-AU"/>
              </w:rPr>
            </w:pPr>
            <w:r>
              <w:rPr>
                <w:i/>
                <w:sz w:val="20"/>
                <w:lang w:eastAsia="en-AU"/>
              </w:rPr>
              <w:t xml:space="preserve">New and second year staff progressed through their seasonal training requirements, with good opportunities </w:t>
            </w:r>
            <w:proofErr w:type="gramStart"/>
            <w:r>
              <w:rPr>
                <w:i/>
                <w:sz w:val="20"/>
                <w:lang w:eastAsia="en-AU"/>
              </w:rPr>
              <w:t>arising  during</w:t>
            </w:r>
            <w:proofErr w:type="gramEnd"/>
            <w:r>
              <w:rPr>
                <w:i/>
                <w:sz w:val="20"/>
                <w:lang w:eastAsia="en-AU"/>
              </w:rPr>
              <w:t xml:space="preserve"> two band control campaigns. New aviation and operational safety requirements under the Aviation Procedures Manual were included in the competency training program.</w:t>
            </w:r>
          </w:p>
        </w:tc>
      </w:tr>
      <w:tr w:rsidR="00D1724E" w:rsidRPr="00B63EF4" w:rsidTr="00A15448">
        <w:trPr>
          <w:trHeight w:val="315"/>
        </w:trPr>
        <w:tc>
          <w:tcPr>
            <w:tcW w:w="1134" w:type="pct"/>
            <w:vMerge/>
            <w:tcBorders>
              <w:top w:val="nil"/>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DGPS used in all aircraft</w:t>
            </w:r>
          </w:p>
        </w:tc>
        <w:tc>
          <w:tcPr>
            <w:tcW w:w="2780" w:type="pct"/>
            <w:tcBorders>
              <w:top w:val="single" w:sz="4" w:space="0" w:color="auto"/>
              <w:left w:val="nil"/>
              <w:bottom w:val="single" w:sz="4" w:space="0" w:color="auto"/>
              <w:right w:val="single" w:sz="4" w:space="0" w:color="auto"/>
            </w:tcBorders>
            <w:shd w:val="clear" w:color="auto" w:fill="auto"/>
          </w:tcPr>
          <w:p w:rsidR="00D1724E" w:rsidRPr="00B63EF4" w:rsidRDefault="00D1724E" w:rsidP="00A15448">
            <w:pPr>
              <w:rPr>
                <w:i/>
                <w:sz w:val="20"/>
                <w:lang w:eastAsia="en-AU"/>
              </w:rPr>
            </w:pPr>
            <w:proofErr w:type="spellStart"/>
            <w:proofErr w:type="gramStart"/>
            <w:r w:rsidRPr="00B63EF4">
              <w:rPr>
                <w:i/>
                <w:sz w:val="20"/>
                <w:lang w:eastAsia="en-AU"/>
              </w:rPr>
              <w:t>dGPS</w:t>
            </w:r>
            <w:proofErr w:type="spellEnd"/>
            <w:proofErr w:type="gramEnd"/>
            <w:r w:rsidRPr="00B63EF4">
              <w:rPr>
                <w:i/>
                <w:sz w:val="20"/>
                <w:lang w:eastAsia="en-AU"/>
              </w:rPr>
              <w:t xml:space="preserve"> </w:t>
            </w:r>
            <w:r>
              <w:rPr>
                <w:i/>
                <w:sz w:val="20"/>
                <w:lang w:eastAsia="en-AU"/>
              </w:rPr>
              <w:t>continued to be used</w:t>
            </w:r>
            <w:r w:rsidRPr="00B63EF4">
              <w:rPr>
                <w:i/>
                <w:sz w:val="20"/>
                <w:lang w:eastAsia="en-AU"/>
              </w:rPr>
              <w:t xml:space="preserve"> in</w:t>
            </w:r>
            <w:r>
              <w:rPr>
                <w:i/>
                <w:sz w:val="20"/>
                <w:lang w:eastAsia="en-AU"/>
              </w:rPr>
              <w:t xml:space="preserve"> all </w:t>
            </w:r>
            <w:r w:rsidRPr="00B63EF4">
              <w:rPr>
                <w:i/>
                <w:sz w:val="20"/>
                <w:lang w:eastAsia="en-AU"/>
              </w:rPr>
              <w:t xml:space="preserve"> spray aircraft to provide </w:t>
            </w:r>
            <w:r>
              <w:rPr>
                <w:i/>
                <w:sz w:val="20"/>
                <w:lang w:eastAsia="en-AU"/>
              </w:rPr>
              <w:t>accurate location of pesticide applications.</w:t>
            </w:r>
          </w:p>
        </w:tc>
      </w:tr>
      <w:tr w:rsidR="00D1724E" w:rsidRPr="00B63EF4" w:rsidTr="00A15448">
        <w:trPr>
          <w:trHeight w:val="527"/>
        </w:trPr>
        <w:tc>
          <w:tcPr>
            <w:tcW w:w="1134" w:type="pct"/>
            <w:vMerge/>
            <w:tcBorders>
              <w:top w:val="nil"/>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 xml:space="preserve">Improved control efficiency </w:t>
            </w:r>
          </w:p>
        </w:tc>
        <w:tc>
          <w:tcPr>
            <w:tcW w:w="2780" w:type="pct"/>
            <w:tcBorders>
              <w:top w:val="single" w:sz="4" w:space="0" w:color="auto"/>
              <w:left w:val="nil"/>
              <w:bottom w:val="single" w:sz="4" w:space="0" w:color="auto"/>
              <w:right w:val="single" w:sz="4" w:space="0" w:color="auto"/>
            </w:tcBorders>
            <w:shd w:val="clear" w:color="auto" w:fill="auto"/>
          </w:tcPr>
          <w:p w:rsidR="00D1724E" w:rsidRPr="00B63EF4" w:rsidRDefault="00D1724E" w:rsidP="00A15448">
            <w:pPr>
              <w:rPr>
                <w:i/>
                <w:sz w:val="20"/>
                <w:lang w:eastAsia="en-AU"/>
              </w:rPr>
            </w:pPr>
            <w:r>
              <w:rPr>
                <w:i/>
                <w:sz w:val="20"/>
                <w:lang w:eastAsia="en-AU"/>
              </w:rPr>
              <w:t>APLC made efficient use of the three primary control agents, especially during the Tibooburra campaign where 204,403 ha were treated over 10 days due to the ability to use wide interval track spraying with fipronil.</w:t>
            </w:r>
          </w:p>
        </w:tc>
      </w:tr>
      <w:tr w:rsidR="00D1724E" w:rsidRPr="00B63EF4" w:rsidTr="00A15448">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2. All waste managed appropriately</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Waste management contract</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i/>
                <w:sz w:val="20"/>
                <w:lang w:eastAsia="en-AU"/>
              </w:rPr>
            </w:pPr>
            <w:r>
              <w:rPr>
                <w:i/>
                <w:sz w:val="20"/>
                <w:lang w:eastAsia="en-AU"/>
              </w:rPr>
              <w:t>No contract was in use this year and APLC negotiated appropriate disposal of waste through NSW I&amp;I’s waste disposal.</w:t>
            </w:r>
          </w:p>
        </w:tc>
      </w:tr>
      <w:tr w:rsidR="00D1724E" w:rsidRPr="00B63EF4" w:rsidTr="00A15448">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i/>
                <w:sz w:val="20"/>
                <w:lang w:eastAsia="en-AU"/>
              </w:rPr>
            </w:pPr>
          </w:p>
        </w:tc>
      </w:tr>
      <w:tr w:rsidR="00D1724E" w:rsidRPr="00605093" w:rsidTr="00A15448">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3. Minimise the intensity, extent and duration of disturbance to native flora and fauna</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Incidents effectively managed</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605093" w:rsidRDefault="00D1724E" w:rsidP="00A15448">
            <w:pPr>
              <w:rPr>
                <w:i/>
                <w:sz w:val="20"/>
                <w:highlight w:val="yellow"/>
                <w:lang w:eastAsia="en-AU"/>
              </w:rPr>
            </w:pPr>
            <w:r>
              <w:rPr>
                <w:i/>
                <w:sz w:val="20"/>
                <w:lang w:eastAsia="en-AU"/>
              </w:rPr>
              <w:t>No environmental incidents or reports were received during the season. The ability to conduct post spray assessments varied between campaigns with 43% undertaken at Coonamble and only 16% at Tibooburra due to lack of staff and ground access difficulties due to remoteness of most targets.</w:t>
            </w:r>
          </w:p>
        </w:tc>
      </w:tr>
      <w:tr w:rsidR="00D1724E" w:rsidRPr="00B63EF4" w:rsidTr="00A15448">
        <w:trPr>
          <w:trHeight w:val="285"/>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i/>
                <w:sz w:val="20"/>
                <w:lang w:eastAsia="en-AU"/>
              </w:rPr>
            </w:pPr>
          </w:p>
        </w:tc>
      </w:tr>
      <w:tr w:rsidR="00D1724E" w:rsidRPr="00B63EF4" w:rsidTr="00A15448">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Reduce the proportional use of fenitrothion in control ops</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504263">
            <w:pPr>
              <w:rPr>
                <w:i/>
                <w:sz w:val="20"/>
                <w:lang w:eastAsia="en-AU"/>
              </w:rPr>
            </w:pPr>
            <w:r>
              <w:rPr>
                <w:i/>
                <w:sz w:val="20"/>
                <w:lang w:eastAsia="en-AU"/>
              </w:rPr>
              <w:t xml:space="preserve">44% of the area treated in 2009-10 was with fenitrothion, 47% with Fipronil and 9% with Metarhizium. This is still </w:t>
            </w:r>
            <w:r w:rsidR="00504263">
              <w:rPr>
                <w:i/>
                <w:sz w:val="20"/>
                <w:lang w:eastAsia="en-AU"/>
              </w:rPr>
              <w:t xml:space="preserve">a </w:t>
            </w:r>
            <w:r>
              <w:rPr>
                <w:i/>
                <w:sz w:val="20"/>
                <w:lang w:eastAsia="en-AU"/>
              </w:rPr>
              <w:t xml:space="preserve">significant decrease over the long-term </w:t>
            </w:r>
            <w:proofErr w:type="gramStart"/>
            <w:r>
              <w:rPr>
                <w:i/>
                <w:sz w:val="20"/>
                <w:lang w:eastAsia="en-AU"/>
              </w:rPr>
              <w:t>average  use</w:t>
            </w:r>
            <w:proofErr w:type="gramEnd"/>
            <w:r>
              <w:rPr>
                <w:i/>
                <w:sz w:val="20"/>
                <w:lang w:eastAsia="en-AU"/>
              </w:rPr>
              <w:t xml:space="preserve"> of fenitrothion, and </w:t>
            </w:r>
            <w:r w:rsidR="00504263">
              <w:rPr>
                <w:i/>
                <w:sz w:val="20"/>
                <w:lang w:eastAsia="en-AU"/>
              </w:rPr>
              <w:t xml:space="preserve">is linked with the </w:t>
            </w:r>
            <w:r>
              <w:rPr>
                <w:i/>
                <w:sz w:val="20"/>
                <w:lang w:eastAsia="en-AU"/>
              </w:rPr>
              <w:t xml:space="preserve"> stated objective to </w:t>
            </w:r>
            <w:r w:rsidR="00504263">
              <w:rPr>
                <w:i/>
                <w:sz w:val="20"/>
                <w:lang w:eastAsia="en-AU"/>
              </w:rPr>
              <w:t>increase</w:t>
            </w:r>
            <w:r>
              <w:rPr>
                <w:i/>
                <w:sz w:val="20"/>
                <w:lang w:eastAsia="en-AU"/>
              </w:rPr>
              <w:t xml:space="preserve"> APLC use of Metarhizium. The lower percentage use of Metarhizium this season is a reflection of the overall size of the Tibooburra campaign and the use of Fipronil wide interval spraying.</w:t>
            </w:r>
          </w:p>
        </w:tc>
      </w:tr>
      <w:tr w:rsidR="00D1724E" w:rsidRPr="00B63EF4" w:rsidTr="00A15448">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i/>
                <w:sz w:val="20"/>
                <w:lang w:eastAsia="en-AU"/>
              </w:rPr>
            </w:pPr>
          </w:p>
        </w:tc>
      </w:tr>
      <w:tr w:rsidR="00D1724E" w:rsidRPr="00B63EF4" w:rsidTr="00A15448">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Increased successful use of fipronil and larger track spacing</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i/>
                <w:sz w:val="20"/>
                <w:lang w:eastAsia="en-AU"/>
              </w:rPr>
            </w:pPr>
            <w:r>
              <w:rPr>
                <w:i/>
                <w:sz w:val="20"/>
                <w:lang w:eastAsia="en-AU"/>
              </w:rPr>
              <w:t xml:space="preserve">147,500 ha were treated at 300m wide interval track spacing with Fipronil during the Tibooburra band campaign. This greatly reduced the total area that would have required blanket treatment with Fenitrothion in previous years. </w:t>
            </w:r>
          </w:p>
        </w:tc>
      </w:tr>
      <w:tr w:rsidR="00D1724E" w:rsidRPr="00B63EF4" w:rsidTr="00A15448">
        <w:trPr>
          <w:trHeight w:val="345"/>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i/>
                <w:sz w:val="20"/>
                <w:lang w:eastAsia="en-AU"/>
              </w:rPr>
            </w:pPr>
          </w:p>
        </w:tc>
      </w:tr>
      <w:tr w:rsidR="00D1724E" w:rsidRPr="00605093" w:rsidTr="00A15448">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4. Contribute to our understanding of natural and managed ecosystems</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Develop risk assessment process for APLC pesticides, based on outcomes of environmental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605093" w:rsidRDefault="00D1724E" w:rsidP="00A15448">
            <w:pPr>
              <w:rPr>
                <w:i/>
                <w:sz w:val="20"/>
                <w:highlight w:val="yellow"/>
                <w:lang w:eastAsia="en-AU"/>
              </w:rPr>
            </w:pPr>
            <w:r>
              <w:rPr>
                <w:i/>
                <w:sz w:val="20"/>
                <w:lang w:eastAsia="en-AU"/>
              </w:rPr>
              <w:t xml:space="preserve">Passive sampler devices were field tested during the Coonamble campaign to determine their </w:t>
            </w:r>
            <w:proofErr w:type="spellStart"/>
            <w:r>
              <w:rPr>
                <w:i/>
                <w:sz w:val="20"/>
                <w:lang w:eastAsia="en-AU"/>
              </w:rPr>
              <w:t>detectability</w:t>
            </w:r>
            <w:proofErr w:type="spellEnd"/>
            <w:r>
              <w:rPr>
                <w:i/>
                <w:sz w:val="20"/>
                <w:lang w:eastAsia="en-AU"/>
              </w:rPr>
              <w:t xml:space="preserve"> of fenitrothion in downwind </w:t>
            </w:r>
            <w:proofErr w:type="spellStart"/>
            <w:r>
              <w:rPr>
                <w:i/>
                <w:sz w:val="20"/>
                <w:lang w:eastAsia="en-AU"/>
              </w:rPr>
              <w:t>waterbodies</w:t>
            </w:r>
            <w:proofErr w:type="spellEnd"/>
            <w:r>
              <w:rPr>
                <w:i/>
                <w:sz w:val="20"/>
                <w:lang w:eastAsia="en-AU"/>
              </w:rPr>
              <w:t xml:space="preserve"> from sprayed areas.</w:t>
            </w:r>
          </w:p>
        </w:tc>
      </w:tr>
      <w:tr w:rsidR="00D1724E" w:rsidRPr="00B63EF4" w:rsidTr="00A15448">
        <w:trPr>
          <w:trHeight w:val="855"/>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i/>
                <w:sz w:val="20"/>
                <w:lang w:eastAsia="en-AU"/>
              </w:rPr>
            </w:pPr>
          </w:p>
        </w:tc>
      </w:tr>
      <w:tr w:rsidR="00D1724E" w:rsidRPr="00605093" w:rsidTr="00A15448">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Develop field protocols based on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605093" w:rsidRDefault="00D1724E" w:rsidP="00A15448">
            <w:pPr>
              <w:rPr>
                <w:i/>
                <w:sz w:val="20"/>
                <w:highlight w:val="yellow"/>
                <w:lang w:eastAsia="en-AU"/>
              </w:rPr>
            </w:pPr>
            <w:r>
              <w:rPr>
                <w:i/>
                <w:sz w:val="20"/>
                <w:lang w:eastAsia="en-AU"/>
              </w:rPr>
              <w:t>Relevant research results still pending.</w:t>
            </w:r>
          </w:p>
        </w:tc>
      </w:tr>
      <w:tr w:rsidR="00D1724E" w:rsidRPr="00B63EF4" w:rsidTr="00A15448">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i/>
                <w:sz w:val="20"/>
                <w:lang w:eastAsia="en-AU"/>
              </w:rPr>
            </w:pPr>
          </w:p>
        </w:tc>
      </w:tr>
      <w:tr w:rsidR="00D1724E" w:rsidRPr="00B63EF4" w:rsidTr="00A15448">
        <w:trPr>
          <w:trHeight w:val="1145"/>
        </w:trPr>
        <w:tc>
          <w:tcPr>
            <w:tcW w:w="1134" w:type="pct"/>
            <w:vMerge w:val="restart"/>
            <w:tcBorders>
              <w:top w:val="single" w:sz="4" w:space="0" w:color="auto"/>
              <w:left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5. Avoid disturbance to protected sites/areas</w:t>
            </w:r>
          </w:p>
        </w:tc>
        <w:tc>
          <w:tcPr>
            <w:tcW w:w="1086" w:type="pc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t>Development of the GIS</w:t>
            </w:r>
            <w:r>
              <w:rPr>
                <w:sz w:val="20"/>
                <w:lang w:eastAsia="en-AU"/>
              </w:rPr>
              <w:t>,</w:t>
            </w:r>
            <w:r w:rsidRPr="00B63EF4">
              <w:rPr>
                <w:sz w:val="20"/>
                <w:lang w:eastAsia="en-AU"/>
              </w:rPr>
              <w:t xml:space="preserve"> </w:t>
            </w:r>
            <w:proofErr w:type="spellStart"/>
            <w:r w:rsidRPr="00B63EF4">
              <w:rPr>
                <w:sz w:val="20"/>
                <w:lang w:eastAsia="en-AU"/>
              </w:rPr>
              <w:t>OpsManager</w:t>
            </w:r>
            <w:proofErr w:type="spellEnd"/>
            <w:r w:rsidRPr="00B63EF4">
              <w:rPr>
                <w:sz w:val="20"/>
                <w:lang w:eastAsia="en-AU"/>
              </w:rPr>
              <w:t>®</w:t>
            </w:r>
            <w:r>
              <w:rPr>
                <w:sz w:val="20"/>
                <w:lang w:eastAsia="en-AU"/>
              </w:rPr>
              <w:t xml:space="preserve"> and PDA handhelds </w:t>
            </w:r>
            <w:r w:rsidRPr="00B63EF4">
              <w:rPr>
                <w:sz w:val="20"/>
                <w:lang w:eastAsia="en-AU"/>
              </w:rPr>
              <w:t xml:space="preserve">sensitive area </w:t>
            </w:r>
            <w:r>
              <w:rPr>
                <w:sz w:val="20"/>
                <w:lang w:eastAsia="en-AU"/>
              </w:rPr>
              <w:t xml:space="preserve">maps and </w:t>
            </w:r>
            <w:r w:rsidRPr="00B63EF4">
              <w:rPr>
                <w:sz w:val="20"/>
                <w:lang w:eastAsia="en-AU"/>
              </w:rPr>
              <w:t>database</w:t>
            </w:r>
          </w:p>
        </w:tc>
        <w:tc>
          <w:tcPr>
            <w:tcW w:w="2780" w:type="pc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i/>
                <w:sz w:val="20"/>
                <w:lang w:eastAsia="en-AU"/>
              </w:rPr>
            </w:pPr>
            <w:r>
              <w:rPr>
                <w:i/>
                <w:sz w:val="20"/>
                <w:lang w:eastAsia="en-AU"/>
              </w:rPr>
              <w:t>Updated Plain-wanderer habitat geo-spatial information was provided by NSW DEC and added to the APLC’s sensitive areas database. Mapping database of sensitive areas including National Park Boundaries was used operationally during both campaigns</w:t>
            </w:r>
          </w:p>
        </w:tc>
      </w:tr>
      <w:tr w:rsidR="00D1724E" w:rsidRPr="00B63EF4" w:rsidTr="00A15448">
        <w:trPr>
          <w:trHeight w:val="1150"/>
        </w:trPr>
        <w:tc>
          <w:tcPr>
            <w:tcW w:w="1134" w:type="pct"/>
            <w:vMerge/>
            <w:tcBorders>
              <w:left w:val="single" w:sz="4" w:space="0" w:color="auto"/>
              <w:bottom w:val="single" w:sz="4" w:space="0" w:color="auto"/>
              <w:right w:val="single" w:sz="4" w:space="0" w:color="auto"/>
            </w:tcBorders>
            <w:shd w:val="clear" w:color="auto" w:fill="auto"/>
            <w:vAlign w:val="center"/>
          </w:tcPr>
          <w:p w:rsidR="00D1724E" w:rsidRPr="00B63EF4" w:rsidRDefault="00D1724E" w:rsidP="00A15448">
            <w:pPr>
              <w:rPr>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r w:rsidRPr="00B63EF4">
              <w:rPr>
                <w:sz w:val="20"/>
                <w:lang w:eastAsia="en-AU"/>
              </w:rPr>
              <w:t>Procedures and buffers developed to avoid disturbance</w:t>
            </w:r>
          </w:p>
        </w:tc>
        <w:tc>
          <w:tcPr>
            <w:tcW w:w="2780" w:type="pct"/>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i/>
                <w:sz w:val="20"/>
                <w:lang w:eastAsia="en-AU"/>
              </w:rPr>
            </w:pPr>
            <w:r>
              <w:rPr>
                <w:i/>
                <w:sz w:val="20"/>
                <w:lang w:eastAsia="en-AU"/>
              </w:rPr>
              <w:t>There were no changes to aerial spray buffers during the season</w:t>
            </w:r>
          </w:p>
        </w:tc>
      </w:tr>
      <w:tr w:rsidR="00D1724E" w:rsidRPr="00B63EF4" w:rsidTr="00A15448">
        <w:trPr>
          <w:trHeight w:val="137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r w:rsidRPr="00B63EF4">
              <w:rPr>
                <w:sz w:val="20"/>
                <w:lang w:eastAsia="en-AU"/>
              </w:rPr>
              <w:lastRenderedPageBreak/>
              <w:t>6. Ensure stakeholders are aware of all environmental obligations and they assist APLC achieve these.</w:t>
            </w:r>
          </w:p>
        </w:tc>
        <w:tc>
          <w:tcPr>
            <w:tcW w:w="1086" w:type="pct"/>
            <w:tcBorders>
              <w:top w:val="single" w:sz="4" w:space="0" w:color="auto"/>
              <w:left w:val="single" w:sz="4" w:space="0" w:color="auto"/>
              <w:bottom w:val="single" w:sz="4" w:space="0" w:color="auto"/>
              <w:right w:val="single" w:sz="4" w:space="0" w:color="auto"/>
            </w:tcBorders>
          </w:tcPr>
          <w:p w:rsidR="00D1724E" w:rsidRPr="00B63EF4" w:rsidRDefault="00D1724E" w:rsidP="00A15448">
            <w:pPr>
              <w:rPr>
                <w:sz w:val="20"/>
                <w:lang w:eastAsia="en-AU"/>
              </w:rPr>
            </w:pPr>
            <w:r w:rsidRPr="00B63EF4">
              <w:rPr>
                <w:sz w:val="20"/>
                <w:lang w:eastAsia="en-AU"/>
              </w:rPr>
              <w:t>Develop environmental aspect into APLC stakeholder training course.</w:t>
            </w:r>
          </w:p>
        </w:tc>
        <w:tc>
          <w:tcPr>
            <w:tcW w:w="2780" w:type="pct"/>
            <w:tcBorders>
              <w:top w:val="single" w:sz="4" w:space="0" w:color="auto"/>
              <w:left w:val="single" w:sz="4" w:space="0" w:color="auto"/>
              <w:bottom w:val="single" w:sz="4" w:space="0" w:color="auto"/>
              <w:right w:val="single" w:sz="4" w:space="0" w:color="auto"/>
            </w:tcBorders>
          </w:tcPr>
          <w:p w:rsidR="00D1724E" w:rsidRPr="00B63EF4" w:rsidRDefault="00D1724E" w:rsidP="00A15448">
            <w:pPr>
              <w:rPr>
                <w:i/>
                <w:sz w:val="20"/>
                <w:lang w:eastAsia="en-AU"/>
              </w:rPr>
            </w:pPr>
            <w:r>
              <w:rPr>
                <w:i/>
                <w:sz w:val="20"/>
                <w:lang w:eastAsia="en-AU"/>
              </w:rPr>
              <w:t xml:space="preserve">Training was conducted with NSW DPI and RLPB staff in NSW through September and October. </w:t>
            </w:r>
          </w:p>
        </w:tc>
      </w:tr>
      <w:tr w:rsidR="00D1724E" w:rsidRPr="00B63EF4" w:rsidTr="00A15448">
        <w:trPr>
          <w:trHeight w:val="1150"/>
        </w:trPr>
        <w:tc>
          <w:tcPr>
            <w:tcW w:w="1134" w:type="pct"/>
            <w:vMerge/>
            <w:tcBorders>
              <w:left w:val="single" w:sz="4" w:space="0" w:color="auto"/>
              <w:bottom w:val="single" w:sz="4" w:space="0" w:color="auto"/>
              <w:right w:val="single" w:sz="4" w:space="0" w:color="auto"/>
            </w:tcBorders>
            <w:shd w:val="clear" w:color="auto" w:fill="auto"/>
          </w:tcPr>
          <w:p w:rsidR="00D1724E" w:rsidRPr="00B63EF4" w:rsidRDefault="00D1724E" w:rsidP="00A15448">
            <w:pPr>
              <w:rPr>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rsidR="00D1724E" w:rsidRPr="00B63EF4" w:rsidRDefault="00D1724E" w:rsidP="00A15448">
            <w:pPr>
              <w:rPr>
                <w:sz w:val="20"/>
                <w:lang w:eastAsia="en-AU"/>
              </w:rPr>
            </w:pPr>
            <w:r w:rsidRPr="00B63EF4">
              <w:rPr>
                <w:sz w:val="20"/>
                <w:lang w:eastAsia="en-AU"/>
              </w:rPr>
              <w:t>Landholder consultation prior to and after pesticide application</w:t>
            </w:r>
          </w:p>
        </w:tc>
        <w:tc>
          <w:tcPr>
            <w:tcW w:w="2780" w:type="pct"/>
            <w:tcBorders>
              <w:top w:val="single" w:sz="4" w:space="0" w:color="auto"/>
              <w:left w:val="single" w:sz="4" w:space="0" w:color="auto"/>
              <w:bottom w:val="single" w:sz="4" w:space="0" w:color="auto"/>
              <w:right w:val="single" w:sz="4" w:space="0" w:color="auto"/>
            </w:tcBorders>
            <w:vAlign w:val="center"/>
          </w:tcPr>
          <w:p w:rsidR="00D1724E" w:rsidRDefault="00D1724E" w:rsidP="00A15448">
            <w:pPr>
              <w:rPr>
                <w:i/>
                <w:sz w:val="20"/>
                <w:lang w:eastAsia="en-AU"/>
              </w:rPr>
            </w:pPr>
            <w:r>
              <w:rPr>
                <w:i/>
                <w:sz w:val="20"/>
                <w:lang w:eastAsia="en-AU"/>
              </w:rPr>
              <w:t xml:space="preserve">Extensive landholder consultation conducted during the two control campaigns. </w:t>
            </w:r>
          </w:p>
          <w:p w:rsidR="00D1724E" w:rsidRDefault="00D1724E" w:rsidP="00A15448">
            <w:pPr>
              <w:rPr>
                <w:i/>
                <w:sz w:val="20"/>
                <w:lang w:eastAsia="en-AU"/>
              </w:rPr>
            </w:pPr>
            <w:r>
              <w:rPr>
                <w:i/>
                <w:sz w:val="20"/>
                <w:lang w:eastAsia="en-AU"/>
              </w:rPr>
              <w:t>Pre campaign discussion were conducted with NSW National Park staff to ensure potential impacts on sensitive areas within campaign risk zones were assessed.</w:t>
            </w:r>
          </w:p>
          <w:p w:rsidR="00D1724E" w:rsidRPr="00B63EF4" w:rsidRDefault="00D1724E" w:rsidP="00A15448">
            <w:pPr>
              <w:rPr>
                <w:i/>
                <w:sz w:val="20"/>
                <w:lang w:eastAsia="en-AU"/>
              </w:rPr>
            </w:pPr>
            <w:r>
              <w:rPr>
                <w:i/>
                <w:sz w:val="20"/>
                <w:lang w:eastAsia="en-AU"/>
              </w:rPr>
              <w:t>Post control advice was issued within 2 weeks to all property owners.</w:t>
            </w:r>
          </w:p>
          <w:p w:rsidR="00D1724E" w:rsidRPr="00B63EF4" w:rsidRDefault="00D1724E" w:rsidP="00A15448">
            <w:pPr>
              <w:rPr>
                <w:i/>
                <w:sz w:val="20"/>
                <w:lang w:eastAsia="en-AU"/>
              </w:rPr>
            </w:pPr>
          </w:p>
        </w:tc>
      </w:tr>
    </w:tbl>
    <w:p w:rsidR="00D1724E" w:rsidRDefault="00D1724E" w:rsidP="00D1724E">
      <w:pPr>
        <w:pStyle w:val="Heading2"/>
        <w:rPr>
          <w:bCs/>
          <w:color w:val="0000FF"/>
          <w:sz w:val="28"/>
          <w:u w:val="single"/>
        </w:rPr>
      </w:pPr>
    </w:p>
    <w:bookmarkEnd w:id="144"/>
    <w:bookmarkEnd w:id="145"/>
    <w:p w:rsidR="00D1724E" w:rsidRDefault="00D1724E">
      <w:pPr>
        <w:rPr>
          <w:b/>
          <w:color w:val="0000FF"/>
          <w:sz w:val="28"/>
          <w:szCs w:val="28"/>
          <w:u w:val="single"/>
          <w:lang w:eastAsia="en-AU"/>
        </w:rPr>
      </w:pPr>
      <w:r>
        <w:br w:type="page"/>
      </w:r>
    </w:p>
    <w:p w:rsidR="000468B4" w:rsidRPr="005E79DA" w:rsidRDefault="000468B4" w:rsidP="000468B4">
      <w:pPr>
        <w:pStyle w:val="Annex"/>
        <w:rPr>
          <w:color w:val="000000"/>
        </w:rPr>
      </w:pPr>
      <w:r w:rsidRPr="000468B4">
        <w:lastRenderedPageBreak/>
        <w:t xml:space="preserve">Annex </w:t>
      </w:r>
      <w:r w:rsidR="0036318C">
        <w:t>2</w:t>
      </w:r>
      <w:r w:rsidRPr="000468B4">
        <w:t>: Financial Performance Report 200</w:t>
      </w:r>
      <w:bookmarkEnd w:id="146"/>
      <w:r w:rsidR="00694C9F">
        <w:t>9</w:t>
      </w:r>
      <w:r w:rsidRPr="000468B4">
        <w:t>-</w:t>
      </w:r>
      <w:r w:rsidR="00694C9F">
        <w:t>1</w:t>
      </w:r>
      <w:r w:rsidRPr="000468B4">
        <w:t>0</w:t>
      </w:r>
    </w:p>
    <w:bookmarkEnd w:id="147"/>
    <w:p w:rsidR="000468B4" w:rsidRPr="005E79DA" w:rsidRDefault="000468B4" w:rsidP="000468B4">
      <w:pPr>
        <w:rPr>
          <w:color w:val="000000"/>
        </w:rPr>
      </w:pPr>
    </w:p>
    <w:p w:rsidR="000468B4" w:rsidRPr="00BB6C6D" w:rsidRDefault="00477C8A" w:rsidP="000468B4">
      <w:pPr>
        <w:rPr>
          <w:color w:val="000000"/>
          <w:szCs w:val="24"/>
        </w:rPr>
      </w:pPr>
      <w:r w:rsidRPr="00B45B90">
        <w:rPr>
          <w:color w:val="000000"/>
          <w:szCs w:val="24"/>
        </w:rPr>
        <w:object w:dxaOrig="14407" w:dyaOrig="18053">
          <v:shape id="_x0000_i1026" type="#_x0000_t75" style="width:435pt;height:546pt" o:ole="">
            <v:imagedata r:id="rId25" o:title=""/>
          </v:shape>
          <o:OLEObject Type="Embed" ProgID="Excel.Sheet.8" ShapeID="_x0000_i1026" DrawAspect="Content" ObjectID="_1491718973" r:id="rId26"/>
        </w:object>
      </w:r>
    </w:p>
    <w:p w:rsidR="00981A5E" w:rsidRPr="00D1724E" w:rsidRDefault="00981A5E" w:rsidP="00D1724E">
      <w:pPr>
        <w:pStyle w:val="Annex"/>
        <w:rPr>
          <w:color w:val="000000"/>
          <w:szCs w:val="24"/>
        </w:rPr>
      </w:pPr>
    </w:p>
    <w:sectPr w:rsidR="00981A5E" w:rsidRPr="00D1724E" w:rsidSect="00387638">
      <w:footerReference w:type="even" r:id="rId27"/>
      <w:footerReference w:type="default" r:id="rId28"/>
      <w:headerReference w:type="first" r:id="rId29"/>
      <w:footerReference w:type="first" r:id="rId30"/>
      <w:type w:val="oddPage"/>
      <w:pgSz w:w="11907" w:h="16840" w:code="9"/>
      <w:pgMar w:top="1361" w:right="1021" w:bottom="1361" w:left="1701" w:header="720"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ADA" w:rsidRDefault="00AB7ADA">
      <w:r>
        <w:separator/>
      </w:r>
    </w:p>
  </w:endnote>
  <w:endnote w:type="continuationSeparator" w:id="0">
    <w:p w:rsidR="00AB7ADA" w:rsidRDefault="00AB7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entury Schoolbook">
    <w:altName w:val="Century"/>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ADA" w:rsidRDefault="00AB7ADA" w:rsidP="009C6A1C">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ADA" w:rsidRPr="0075651C" w:rsidRDefault="00AB7ADA" w:rsidP="0075651C">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ADA" w:rsidRDefault="00AB7ADA" w:rsidP="009C6A1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36340"/>
      <w:docPartObj>
        <w:docPartGallery w:val="Page Numbers (Bottom of Page)"/>
        <w:docPartUnique/>
      </w:docPartObj>
    </w:sdtPr>
    <w:sdtContent>
      <w:p w:rsidR="00AB7ADA" w:rsidRDefault="00AB7ADA">
        <w:pPr>
          <w:pStyle w:val="Footer"/>
          <w:jc w:val="center"/>
        </w:pPr>
        <w:fldSimple w:instr=" PAGE   \* MERGEFORMAT ">
          <w:r w:rsidR="007A61D4">
            <w:rPr>
              <w:noProof/>
            </w:rPr>
            <w:t>40</w:t>
          </w:r>
        </w:fldSimple>
      </w:p>
    </w:sdtContent>
  </w:sdt>
  <w:p w:rsidR="00AB7ADA" w:rsidRPr="00387638" w:rsidRDefault="00AB7ADA" w:rsidP="0038763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36341"/>
      <w:docPartObj>
        <w:docPartGallery w:val="Page Numbers (Bottom of Page)"/>
        <w:docPartUnique/>
      </w:docPartObj>
    </w:sdtPr>
    <w:sdtContent>
      <w:p w:rsidR="00AB7ADA" w:rsidRDefault="00AB7ADA">
        <w:pPr>
          <w:pStyle w:val="Footer"/>
        </w:pPr>
        <w:fldSimple w:instr=" PAGE   \* MERGEFORMAT ">
          <w:r>
            <w:rPr>
              <w:noProof/>
            </w:rPr>
            <w:t>1</w:t>
          </w:r>
        </w:fldSimple>
      </w:p>
    </w:sdtContent>
  </w:sdt>
  <w:p w:rsidR="00AB7ADA" w:rsidRDefault="00AB7AD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ADA" w:rsidRDefault="00AB7ADA">
      <w:r>
        <w:separator/>
      </w:r>
    </w:p>
  </w:footnote>
  <w:footnote w:type="continuationSeparator" w:id="0">
    <w:p w:rsidR="00AB7ADA" w:rsidRDefault="00AB7A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ADA" w:rsidRPr="00141173" w:rsidRDefault="00AB7ADA" w:rsidP="001411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6DC1"/>
    <w:multiLevelType w:val="hybridMultilevel"/>
    <w:tmpl w:val="5A3C03D0"/>
    <w:lvl w:ilvl="0" w:tplc="F724AE9E">
      <w:start w:val="2007"/>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52A5AFB"/>
    <w:multiLevelType w:val="hybridMultilevel"/>
    <w:tmpl w:val="5332092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7882657"/>
    <w:multiLevelType w:val="hybridMultilevel"/>
    <w:tmpl w:val="308CB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BFB4842"/>
    <w:multiLevelType w:val="hybridMultilevel"/>
    <w:tmpl w:val="9A9CE2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B6372A"/>
    <w:multiLevelType w:val="hybridMultilevel"/>
    <w:tmpl w:val="960AA3F0"/>
    <w:lvl w:ilvl="0" w:tplc="8BB40E94">
      <w:start w:val="5"/>
      <w:numFmt w:val="bullet"/>
      <w:lvlText w:val="-"/>
      <w:lvlJc w:val="left"/>
      <w:pPr>
        <w:tabs>
          <w:tab w:val="num" w:pos="720"/>
        </w:tabs>
        <w:ind w:left="720" w:hanging="360"/>
      </w:pPr>
      <w:rPr>
        <w:rFonts w:ascii="Times" w:eastAsia="Times New Roman" w:hAnsi="Times" w:cs="Time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B42D07"/>
    <w:multiLevelType w:val="hybridMultilevel"/>
    <w:tmpl w:val="68E23F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5E106FC"/>
    <w:multiLevelType w:val="hybridMultilevel"/>
    <w:tmpl w:val="705271AE"/>
    <w:lvl w:ilvl="0" w:tplc="2DD6E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4E7FC0"/>
    <w:multiLevelType w:val="hybridMultilevel"/>
    <w:tmpl w:val="59D246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1236DAA"/>
    <w:multiLevelType w:val="hybridMultilevel"/>
    <w:tmpl w:val="286E75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1282155"/>
    <w:multiLevelType w:val="hybridMultilevel"/>
    <w:tmpl w:val="C5F4C4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D653F4E"/>
    <w:multiLevelType w:val="hybridMultilevel"/>
    <w:tmpl w:val="8C4CAC5C"/>
    <w:lvl w:ilvl="0" w:tplc="6F9E8B96">
      <w:start w:val="1"/>
      <w:numFmt w:val="decimal"/>
      <w:lvlText w:val="(%1)"/>
      <w:lvlJc w:val="left"/>
      <w:pPr>
        <w:tabs>
          <w:tab w:val="num" w:pos="900"/>
        </w:tabs>
        <w:ind w:left="900" w:hanging="360"/>
      </w:pPr>
      <w:rPr>
        <w:rFonts w:hint="default"/>
        <w:sz w:val="24"/>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1">
    <w:nsid w:val="47BE788F"/>
    <w:multiLevelType w:val="hybridMultilevel"/>
    <w:tmpl w:val="57B8831A"/>
    <w:lvl w:ilvl="0" w:tplc="5942AEB6">
      <w:start w:val="1"/>
      <w:numFmt w:val="bullet"/>
      <w:lvlText w:val=""/>
      <w:lvlJc w:val="left"/>
      <w:pPr>
        <w:tabs>
          <w:tab w:val="num" w:pos="757"/>
        </w:tabs>
        <w:ind w:left="757" w:hanging="397"/>
      </w:pPr>
      <w:rPr>
        <w:rFonts w:ascii="Symbol" w:hAnsi="Symbo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F0712B0"/>
    <w:multiLevelType w:val="hybridMultilevel"/>
    <w:tmpl w:val="33C8D2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2961A85"/>
    <w:multiLevelType w:val="hybridMultilevel"/>
    <w:tmpl w:val="2438DF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1386E1E"/>
    <w:multiLevelType w:val="hybridMultilevel"/>
    <w:tmpl w:val="93CA2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C327EF6"/>
    <w:multiLevelType w:val="multilevel"/>
    <w:tmpl w:val="68E23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28B021D"/>
    <w:multiLevelType w:val="hybridMultilevel"/>
    <w:tmpl w:val="C1F66ED0"/>
    <w:lvl w:ilvl="0" w:tplc="951E0F0C">
      <w:start w:val="1"/>
      <w:numFmt w:val="bullet"/>
      <w:lvlText w:val=""/>
      <w:lvlJc w:val="left"/>
      <w:pPr>
        <w:tabs>
          <w:tab w:val="num" w:pos="757"/>
        </w:tabs>
        <w:ind w:left="757" w:hanging="397"/>
      </w:pPr>
      <w:rPr>
        <w:rFonts w:ascii="Symbol" w:hAnsi="Symbol" w:hint="default"/>
        <w:color w:val="auto"/>
        <w:sz w:val="20"/>
      </w:rPr>
    </w:lvl>
    <w:lvl w:ilvl="1" w:tplc="9FACFE86" w:tentative="1">
      <w:start w:val="1"/>
      <w:numFmt w:val="bullet"/>
      <w:lvlText w:val="o"/>
      <w:lvlJc w:val="left"/>
      <w:pPr>
        <w:tabs>
          <w:tab w:val="num" w:pos="1440"/>
        </w:tabs>
        <w:ind w:left="1440" w:hanging="360"/>
      </w:pPr>
      <w:rPr>
        <w:rFonts w:ascii="Courier New" w:hAnsi="Courier New" w:hint="default"/>
      </w:rPr>
    </w:lvl>
    <w:lvl w:ilvl="2" w:tplc="E8906A3E" w:tentative="1">
      <w:start w:val="1"/>
      <w:numFmt w:val="bullet"/>
      <w:lvlText w:val=""/>
      <w:lvlJc w:val="left"/>
      <w:pPr>
        <w:tabs>
          <w:tab w:val="num" w:pos="2160"/>
        </w:tabs>
        <w:ind w:left="2160" w:hanging="360"/>
      </w:pPr>
      <w:rPr>
        <w:rFonts w:ascii="Wingdings" w:hAnsi="Wingdings" w:hint="default"/>
      </w:rPr>
    </w:lvl>
    <w:lvl w:ilvl="3" w:tplc="30F6B7BE" w:tentative="1">
      <w:start w:val="1"/>
      <w:numFmt w:val="bullet"/>
      <w:lvlText w:val=""/>
      <w:lvlJc w:val="left"/>
      <w:pPr>
        <w:tabs>
          <w:tab w:val="num" w:pos="2880"/>
        </w:tabs>
        <w:ind w:left="2880" w:hanging="360"/>
      </w:pPr>
      <w:rPr>
        <w:rFonts w:ascii="Symbol" w:hAnsi="Symbol" w:hint="default"/>
      </w:rPr>
    </w:lvl>
    <w:lvl w:ilvl="4" w:tplc="682A6C76" w:tentative="1">
      <w:start w:val="1"/>
      <w:numFmt w:val="bullet"/>
      <w:lvlText w:val="o"/>
      <w:lvlJc w:val="left"/>
      <w:pPr>
        <w:tabs>
          <w:tab w:val="num" w:pos="3600"/>
        </w:tabs>
        <w:ind w:left="3600" w:hanging="360"/>
      </w:pPr>
      <w:rPr>
        <w:rFonts w:ascii="Courier New" w:hAnsi="Courier New" w:hint="default"/>
      </w:rPr>
    </w:lvl>
    <w:lvl w:ilvl="5" w:tplc="563CC98C" w:tentative="1">
      <w:start w:val="1"/>
      <w:numFmt w:val="bullet"/>
      <w:lvlText w:val=""/>
      <w:lvlJc w:val="left"/>
      <w:pPr>
        <w:tabs>
          <w:tab w:val="num" w:pos="4320"/>
        </w:tabs>
        <w:ind w:left="4320" w:hanging="360"/>
      </w:pPr>
      <w:rPr>
        <w:rFonts w:ascii="Wingdings" w:hAnsi="Wingdings" w:hint="default"/>
      </w:rPr>
    </w:lvl>
    <w:lvl w:ilvl="6" w:tplc="AD400EE8" w:tentative="1">
      <w:start w:val="1"/>
      <w:numFmt w:val="bullet"/>
      <w:lvlText w:val=""/>
      <w:lvlJc w:val="left"/>
      <w:pPr>
        <w:tabs>
          <w:tab w:val="num" w:pos="5040"/>
        </w:tabs>
        <w:ind w:left="5040" w:hanging="360"/>
      </w:pPr>
      <w:rPr>
        <w:rFonts w:ascii="Symbol" w:hAnsi="Symbol" w:hint="default"/>
      </w:rPr>
    </w:lvl>
    <w:lvl w:ilvl="7" w:tplc="39AE3CB8" w:tentative="1">
      <w:start w:val="1"/>
      <w:numFmt w:val="bullet"/>
      <w:lvlText w:val="o"/>
      <w:lvlJc w:val="left"/>
      <w:pPr>
        <w:tabs>
          <w:tab w:val="num" w:pos="5760"/>
        </w:tabs>
        <w:ind w:left="5760" w:hanging="360"/>
      </w:pPr>
      <w:rPr>
        <w:rFonts w:ascii="Courier New" w:hAnsi="Courier New" w:hint="default"/>
      </w:rPr>
    </w:lvl>
    <w:lvl w:ilvl="8" w:tplc="D5F84952" w:tentative="1">
      <w:start w:val="1"/>
      <w:numFmt w:val="bullet"/>
      <w:lvlText w:val=""/>
      <w:lvlJc w:val="left"/>
      <w:pPr>
        <w:tabs>
          <w:tab w:val="num" w:pos="6480"/>
        </w:tabs>
        <w:ind w:left="6480" w:hanging="360"/>
      </w:pPr>
      <w:rPr>
        <w:rFonts w:ascii="Wingdings" w:hAnsi="Wingdings" w:hint="default"/>
      </w:rPr>
    </w:lvl>
  </w:abstractNum>
  <w:abstractNum w:abstractNumId="17">
    <w:nsid w:val="742D4610"/>
    <w:multiLevelType w:val="hybridMultilevel"/>
    <w:tmpl w:val="4A421F1E"/>
    <w:lvl w:ilvl="0" w:tplc="847CEA1A">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B2221E3"/>
    <w:multiLevelType w:val="hybridMultilevel"/>
    <w:tmpl w:val="3446E418"/>
    <w:lvl w:ilvl="0" w:tplc="6A524E1E">
      <w:start w:val="7"/>
      <w:numFmt w:val="decimal"/>
      <w:lvlText w:val="%1."/>
      <w:lvlJc w:val="left"/>
      <w:pPr>
        <w:tabs>
          <w:tab w:val="num" w:pos="720"/>
        </w:tabs>
        <w:ind w:left="720" w:hanging="360"/>
      </w:pPr>
      <w:rPr>
        <w:rFonts w:hint="default"/>
      </w:rPr>
    </w:lvl>
    <w:lvl w:ilvl="1" w:tplc="32D0BFE6" w:tentative="1">
      <w:start w:val="1"/>
      <w:numFmt w:val="lowerLetter"/>
      <w:lvlText w:val="%2."/>
      <w:lvlJc w:val="left"/>
      <w:pPr>
        <w:tabs>
          <w:tab w:val="num" w:pos="1440"/>
        </w:tabs>
        <w:ind w:left="1440" w:hanging="360"/>
      </w:pPr>
    </w:lvl>
    <w:lvl w:ilvl="2" w:tplc="54FA9646" w:tentative="1">
      <w:start w:val="1"/>
      <w:numFmt w:val="lowerRoman"/>
      <w:lvlText w:val="%3."/>
      <w:lvlJc w:val="right"/>
      <w:pPr>
        <w:tabs>
          <w:tab w:val="num" w:pos="2160"/>
        </w:tabs>
        <w:ind w:left="2160" w:hanging="180"/>
      </w:pPr>
    </w:lvl>
    <w:lvl w:ilvl="3" w:tplc="9B4E7A2E" w:tentative="1">
      <w:start w:val="1"/>
      <w:numFmt w:val="decimal"/>
      <w:lvlText w:val="%4."/>
      <w:lvlJc w:val="left"/>
      <w:pPr>
        <w:tabs>
          <w:tab w:val="num" w:pos="2880"/>
        </w:tabs>
        <w:ind w:left="2880" w:hanging="360"/>
      </w:pPr>
    </w:lvl>
    <w:lvl w:ilvl="4" w:tplc="DB5635C8" w:tentative="1">
      <w:start w:val="1"/>
      <w:numFmt w:val="lowerLetter"/>
      <w:lvlText w:val="%5."/>
      <w:lvlJc w:val="left"/>
      <w:pPr>
        <w:tabs>
          <w:tab w:val="num" w:pos="3600"/>
        </w:tabs>
        <w:ind w:left="3600" w:hanging="360"/>
      </w:pPr>
    </w:lvl>
    <w:lvl w:ilvl="5" w:tplc="C8006132" w:tentative="1">
      <w:start w:val="1"/>
      <w:numFmt w:val="lowerRoman"/>
      <w:lvlText w:val="%6."/>
      <w:lvlJc w:val="right"/>
      <w:pPr>
        <w:tabs>
          <w:tab w:val="num" w:pos="4320"/>
        </w:tabs>
        <w:ind w:left="4320" w:hanging="180"/>
      </w:pPr>
    </w:lvl>
    <w:lvl w:ilvl="6" w:tplc="1B3423D8" w:tentative="1">
      <w:start w:val="1"/>
      <w:numFmt w:val="decimal"/>
      <w:lvlText w:val="%7."/>
      <w:lvlJc w:val="left"/>
      <w:pPr>
        <w:tabs>
          <w:tab w:val="num" w:pos="5040"/>
        </w:tabs>
        <w:ind w:left="5040" w:hanging="360"/>
      </w:pPr>
    </w:lvl>
    <w:lvl w:ilvl="7" w:tplc="652A966A" w:tentative="1">
      <w:start w:val="1"/>
      <w:numFmt w:val="lowerLetter"/>
      <w:lvlText w:val="%8."/>
      <w:lvlJc w:val="left"/>
      <w:pPr>
        <w:tabs>
          <w:tab w:val="num" w:pos="5760"/>
        </w:tabs>
        <w:ind w:left="5760" w:hanging="360"/>
      </w:pPr>
    </w:lvl>
    <w:lvl w:ilvl="8" w:tplc="09CAD966" w:tentative="1">
      <w:start w:val="1"/>
      <w:numFmt w:val="lowerRoman"/>
      <w:lvlText w:val="%9."/>
      <w:lvlJc w:val="right"/>
      <w:pPr>
        <w:tabs>
          <w:tab w:val="num" w:pos="6480"/>
        </w:tabs>
        <w:ind w:left="6480" w:hanging="180"/>
      </w:pPr>
    </w:lvl>
  </w:abstractNum>
  <w:num w:numId="1">
    <w:abstractNumId w:val="11"/>
  </w:num>
  <w:num w:numId="2">
    <w:abstractNumId w:val="16"/>
  </w:num>
  <w:num w:numId="3">
    <w:abstractNumId w:val="10"/>
  </w:num>
  <w:num w:numId="4">
    <w:abstractNumId w:val="18"/>
  </w:num>
  <w:num w:numId="5">
    <w:abstractNumId w:val="9"/>
  </w:num>
  <w:num w:numId="6">
    <w:abstractNumId w:val="14"/>
  </w:num>
  <w:num w:numId="7">
    <w:abstractNumId w:val="13"/>
  </w:num>
  <w:num w:numId="8">
    <w:abstractNumId w:val="7"/>
  </w:num>
  <w:num w:numId="9">
    <w:abstractNumId w:val="3"/>
  </w:num>
  <w:num w:numId="10">
    <w:abstractNumId w:val="4"/>
  </w:num>
  <w:num w:numId="11">
    <w:abstractNumId w:val="5"/>
  </w:num>
  <w:num w:numId="12">
    <w:abstractNumId w:val="15"/>
  </w:num>
  <w:num w:numId="13">
    <w:abstractNumId w:val="2"/>
  </w:num>
  <w:num w:numId="14">
    <w:abstractNumId w:val="0"/>
  </w:num>
  <w:num w:numId="15">
    <w:abstractNumId w:val="17"/>
  </w:num>
  <w:num w:numId="16">
    <w:abstractNumId w:val="6"/>
  </w:num>
  <w:num w:numId="17">
    <w:abstractNumId w:val="8"/>
  </w:num>
  <w:num w:numId="18">
    <w:abstractNumId w:val="12"/>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25601"/>
  </w:hdrShapeDefaults>
  <w:footnotePr>
    <w:footnote w:id="-1"/>
    <w:footnote w:id="0"/>
  </w:footnotePr>
  <w:endnotePr>
    <w:endnote w:id="-1"/>
    <w:endnote w:id="0"/>
  </w:endnotePr>
  <w:compat/>
  <w:rsids>
    <w:rsidRoot w:val="00EF5214"/>
    <w:rsid w:val="00005923"/>
    <w:rsid w:val="00012F6D"/>
    <w:rsid w:val="000217C8"/>
    <w:rsid w:val="0002313D"/>
    <w:rsid w:val="00024262"/>
    <w:rsid w:val="00025924"/>
    <w:rsid w:val="000341EE"/>
    <w:rsid w:val="00042D82"/>
    <w:rsid w:val="00043ACC"/>
    <w:rsid w:val="000468B4"/>
    <w:rsid w:val="00061423"/>
    <w:rsid w:val="00062389"/>
    <w:rsid w:val="00063DB6"/>
    <w:rsid w:val="00064F8D"/>
    <w:rsid w:val="0006758E"/>
    <w:rsid w:val="00067AFE"/>
    <w:rsid w:val="00075134"/>
    <w:rsid w:val="00080242"/>
    <w:rsid w:val="00080C13"/>
    <w:rsid w:val="00080CEA"/>
    <w:rsid w:val="000815FE"/>
    <w:rsid w:val="00081C34"/>
    <w:rsid w:val="00090244"/>
    <w:rsid w:val="00091A06"/>
    <w:rsid w:val="00092997"/>
    <w:rsid w:val="0009303B"/>
    <w:rsid w:val="000932DA"/>
    <w:rsid w:val="00093A1E"/>
    <w:rsid w:val="00095BFD"/>
    <w:rsid w:val="00096DDF"/>
    <w:rsid w:val="000A3B6A"/>
    <w:rsid w:val="000B299B"/>
    <w:rsid w:val="000C0DAC"/>
    <w:rsid w:val="000C4519"/>
    <w:rsid w:val="000C69D7"/>
    <w:rsid w:val="000E07FF"/>
    <w:rsid w:val="000E2C89"/>
    <w:rsid w:val="000E363D"/>
    <w:rsid w:val="000F0B7D"/>
    <w:rsid w:val="000F12A3"/>
    <w:rsid w:val="000F3EE4"/>
    <w:rsid w:val="001008FF"/>
    <w:rsid w:val="00104A92"/>
    <w:rsid w:val="001078FC"/>
    <w:rsid w:val="00112A2D"/>
    <w:rsid w:val="0012632F"/>
    <w:rsid w:val="00126DC5"/>
    <w:rsid w:val="00134712"/>
    <w:rsid w:val="00134ED0"/>
    <w:rsid w:val="00136758"/>
    <w:rsid w:val="00141173"/>
    <w:rsid w:val="00141943"/>
    <w:rsid w:val="00142087"/>
    <w:rsid w:val="00142229"/>
    <w:rsid w:val="0014316B"/>
    <w:rsid w:val="00147796"/>
    <w:rsid w:val="001525E5"/>
    <w:rsid w:val="0015396C"/>
    <w:rsid w:val="00155006"/>
    <w:rsid w:val="001705AB"/>
    <w:rsid w:val="00172085"/>
    <w:rsid w:val="00177F4D"/>
    <w:rsid w:val="001840E7"/>
    <w:rsid w:val="001867D9"/>
    <w:rsid w:val="001871D2"/>
    <w:rsid w:val="00191921"/>
    <w:rsid w:val="0019752D"/>
    <w:rsid w:val="001A6DA9"/>
    <w:rsid w:val="001C00D1"/>
    <w:rsid w:val="001C2F6E"/>
    <w:rsid w:val="001C35E5"/>
    <w:rsid w:val="001C4E79"/>
    <w:rsid w:val="001C5BD1"/>
    <w:rsid w:val="001D7D03"/>
    <w:rsid w:val="001E1F23"/>
    <w:rsid w:val="001E7226"/>
    <w:rsid w:val="001F549E"/>
    <w:rsid w:val="001F645E"/>
    <w:rsid w:val="002032FB"/>
    <w:rsid w:val="002102DB"/>
    <w:rsid w:val="00211149"/>
    <w:rsid w:val="002119A7"/>
    <w:rsid w:val="00215A45"/>
    <w:rsid w:val="002220FD"/>
    <w:rsid w:val="00230A61"/>
    <w:rsid w:val="00234ED6"/>
    <w:rsid w:val="002350BA"/>
    <w:rsid w:val="002438C7"/>
    <w:rsid w:val="00244D8E"/>
    <w:rsid w:val="00263A2B"/>
    <w:rsid w:val="0026658C"/>
    <w:rsid w:val="002763C1"/>
    <w:rsid w:val="002827CF"/>
    <w:rsid w:val="0028771D"/>
    <w:rsid w:val="00291006"/>
    <w:rsid w:val="0029607E"/>
    <w:rsid w:val="002B7F1B"/>
    <w:rsid w:val="002C36D2"/>
    <w:rsid w:val="002C37A2"/>
    <w:rsid w:val="002E69AE"/>
    <w:rsid w:val="002E6CA9"/>
    <w:rsid w:val="002F5095"/>
    <w:rsid w:val="002F78FB"/>
    <w:rsid w:val="00305DBE"/>
    <w:rsid w:val="00312D59"/>
    <w:rsid w:val="00317838"/>
    <w:rsid w:val="00327F7C"/>
    <w:rsid w:val="00330A41"/>
    <w:rsid w:val="00331387"/>
    <w:rsid w:val="0033624B"/>
    <w:rsid w:val="0034038A"/>
    <w:rsid w:val="00341B07"/>
    <w:rsid w:val="003420B8"/>
    <w:rsid w:val="00351891"/>
    <w:rsid w:val="003527F8"/>
    <w:rsid w:val="0035637A"/>
    <w:rsid w:val="0036318C"/>
    <w:rsid w:val="00364158"/>
    <w:rsid w:val="003655F2"/>
    <w:rsid w:val="0036673F"/>
    <w:rsid w:val="00385436"/>
    <w:rsid w:val="00387638"/>
    <w:rsid w:val="0039160C"/>
    <w:rsid w:val="00397C8C"/>
    <w:rsid w:val="003A78AC"/>
    <w:rsid w:val="003B0180"/>
    <w:rsid w:val="003B6B61"/>
    <w:rsid w:val="003C3B61"/>
    <w:rsid w:val="003C6439"/>
    <w:rsid w:val="003D1BA1"/>
    <w:rsid w:val="003D5D34"/>
    <w:rsid w:val="003F2905"/>
    <w:rsid w:val="003F420C"/>
    <w:rsid w:val="003F506E"/>
    <w:rsid w:val="003F5E9D"/>
    <w:rsid w:val="00400334"/>
    <w:rsid w:val="00400DDC"/>
    <w:rsid w:val="00410726"/>
    <w:rsid w:val="00414506"/>
    <w:rsid w:val="00416650"/>
    <w:rsid w:val="00417430"/>
    <w:rsid w:val="00417C7E"/>
    <w:rsid w:val="00424A95"/>
    <w:rsid w:val="00426F7C"/>
    <w:rsid w:val="004329D5"/>
    <w:rsid w:val="00433A51"/>
    <w:rsid w:val="00433EA0"/>
    <w:rsid w:val="0043520E"/>
    <w:rsid w:val="004409B4"/>
    <w:rsid w:val="0047031F"/>
    <w:rsid w:val="00471D34"/>
    <w:rsid w:val="00473D5D"/>
    <w:rsid w:val="00477554"/>
    <w:rsid w:val="00477C8A"/>
    <w:rsid w:val="00477EA7"/>
    <w:rsid w:val="0049038B"/>
    <w:rsid w:val="004A64E1"/>
    <w:rsid w:val="004B0552"/>
    <w:rsid w:val="004B095B"/>
    <w:rsid w:val="004C5C1C"/>
    <w:rsid w:val="004F4200"/>
    <w:rsid w:val="004F599F"/>
    <w:rsid w:val="005037A7"/>
    <w:rsid w:val="00504263"/>
    <w:rsid w:val="0050639D"/>
    <w:rsid w:val="0050700B"/>
    <w:rsid w:val="00511286"/>
    <w:rsid w:val="0051240E"/>
    <w:rsid w:val="00515B32"/>
    <w:rsid w:val="00516049"/>
    <w:rsid w:val="0052279A"/>
    <w:rsid w:val="005325D5"/>
    <w:rsid w:val="005448AB"/>
    <w:rsid w:val="00545ED4"/>
    <w:rsid w:val="00560DCF"/>
    <w:rsid w:val="00561ADC"/>
    <w:rsid w:val="0056445F"/>
    <w:rsid w:val="005654F5"/>
    <w:rsid w:val="00571A6E"/>
    <w:rsid w:val="00577B8A"/>
    <w:rsid w:val="00583040"/>
    <w:rsid w:val="00590312"/>
    <w:rsid w:val="00591502"/>
    <w:rsid w:val="0059224E"/>
    <w:rsid w:val="00596A78"/>
    <w:rsid w:val="005A0D97"/>
    <w:rsid w:val="005A6511"/>
    <w:rsid w:val="005A7374"/>
    <w:rsid w:val="005B43F4"/>
    <w:rsid w:val="005B6221"/>
    <w:rsid w:val="005B7FF4"/>
    <w:rsid w:val="005C481E"/>
    <w:rsid w:val="005C4FF0"/>
    <w:rsid w:val="005D27F2"/>
    <w:rsid w:val="005E181D"/>
    <w:rsid w:val="005E2453"/>
    <w:rsid w:val="005E265A"/>
    <w:rsid w:val="005F3A5D"/>
    <w:rsid w:val="00605093"/>
    <w:rsid w:val="0060625E"/>
    <w:rsid w:val="00611349"/>
    <w:rsid w:val="00611BC2"/>
    <w:rsid w:val="00613309"/>
    <w:rsid w:val="0061349E"/>
    <w:rsid w:val="00617075"/>
    <w:rsid w:val="00620974"/>
    <w:rsid w:val="00634A35"/>
    <w:rsid w:val="0065557C"/>
    <w:rsid w:val="00655A7B"/>
    <w:rsid w:val="00661DC6"/>
    <w:rsid w:val="006642FC"/>
    <w:rsid w:val="0067306B"/>
    <w:rsid w:val="0068510C"/>
    <w:rsid w:val="00686778"/>
    <w:rsid w:val="00687300"/>
    <w:rsid w:val="00694C9F"/>
    <w:rsid w:val="006959E2"/>
    <w:rsid w:val="006A0961"/>
    <w:rsid w:val="006A0BB3"/>
    <w:rsid w:val="006A74C3"/>
    <w:rsid w:val="006A77BB"/>
    <w:rsid w:val="006B67D0"/>
    <w:rsid w:val="006C0418"/>
    <w:rsid w:val="006C054E"/>
    <w:rsid w:val="006C7F60"/>
    <w:rsid w:val="006D3AEA"/>
    <w:rsid w:val="006D41E5"/>
    <w:rsid w:val="006D7AD7"/>
    <w:rsid w:val="006E0E6F"/>
    <w:rsid w:val="006E7045"/>
    <w:rsid w:val="006F0082"/>
    <w:rsid w:val="006F611B"/>
    <w:rsid w:val="006F6888"/>
    <w:rsid w:val="006F6A0E"/>
    <w:rsid w:val="006F6F52"/>
    <w:rsid w:val="00701FA5"/>
    <w:rsid w:val="007021C4"/>
    <w:rsid w:val="007027AF"/>
    <w:rsid w:val="00702EE7"/>
    <w:rsid w:val="00703047"/>
    <w:rsid w:val="007113B1"/>
    <w:rsid w:val="007126E1"/>
    <w:rsid w:val="0071526F"/>
    <w:rsid w:val="007203E3"/>
    <w:rsid w:val="00743075"/>
    <w:rsid w:val="007459C9"/>
    <w:rsid w:val="00746456"/>
    <w:rsid w:val="0075651C"/>
    <w:rsid w:val="007642EF"/>
    <w:rsid w:val="007678B2"/>
    <w:rsid w:val="0077159D"/>
    <w:rsid w:val="00772358"/>
    <w:rsid w:val="0077248E"/>
    <w:rsid w:val="0077455B"/>
    <w:rsid w:val="00774EE5"/>
    <w:rsid w:val="007830FA"/>
    <w:rsid w:val="00795A73"/>
    <w:rsid w:val="007A5117"/>
    <w:rsid w:val="007A61D4"/>
    <w:rsid w:val="007A76B5"/>
    <w:rsid w:val="007B2590"/>
    <w:rsid w:val="007B4A0D"/>
    <w:rsid w:val="007C0705"/>
    <w:rsid w:val="007C4803"/>
    <w:rsid w:val="007C720F"/>
    <w:rsid w:val="007D04F3"/>
    <w:rsid w:val="007D48CD"/>
    <w:rsid w:val="007E13EB"/>
    <w:rsid w:val="007E2B85"/>
    <w:rsid w:val="007E67C3"/>
    <w:rsid w:val="007F5AE1"/>
    <w:rsid w:val="007F6E2E"/>
    <w:rsid w:val="007F7705"/>
    <w:rsid w:val="0080009A"/>
    <w:rsid w:val="008062EA"/>
    <w:rsid w:val="0080703F"/>
    <w:rsid w:val="00821F7C"/>
    <w:rsid w:val="00837242"/>
    <w:rsid w:val="008406B8"/>
    <w:rsid w:val="00846FAB"/>
    <w:rsid w:val="00851960"/>
    <w:rsid w:val="00853CE4"/>
    <w:rsid w:val="0086776E"/>
    <w:rsid w:val="00874A9C"/>
    <w:rsid w:val="00874F48"/>
    <w:rsid w:val="008811B9"/>
    <w:rsid w:val="00892748"/>
    <w:rsid w:val="0089660D"/>
    <w:rsid w:val="008A675F"/>
    <w:rsid w:val="008A78EB"/>
    <w:rsid w:val="008A7EEC"/>
    <w:rsid w:val="008B1F88"/>
    <w:rsid w:val="008B6111"/>
    <w:rsid w:val="008C2CE6"/>
    <w:rsid w:val="008D488D"/>
    <w:rsid w:val="008D4DCB"/>
    <w:rsid w:val="008D535A"/>
    <w:rsid w:val="008D554B"/>
    <w:rsid w:val="009032BB"/>
    <w:rsid w:val="0090373C"/>
    <w:rsid w:val="009057DF"/>
    <w:rsid w:val="00912811"/>
    <w:rsid w:val="00926BF4"/>
    <w:rsid w:val="00932E69"/>
    <w:rsid w:val="00942307"/>
    <w:rsid w:val="00944241"/>
    <w:rsid w:val="00945C74"/>
    <w:rsid w:val="00947A19"/>
    <w:rsid w:val="00952782"/>
    <w:rsid w:val="00956688"/>
    <w:rsid w:val="00957A1B"/>
    <w:rsid w:val="00961C26"/>
    <w:rsid w:val="00961E1F"/>
    <w:rsid w:val="009625E9"/>
    <w:rsid w:val="00965B2A"/>
    <w:rsid w:val="00965C8C"/>
    <w:rsid w:val="00972C47"/>
    <w:rsid w:val="009755AF"/>
    <w:rsid w:val="00981A5E"/>
    <w:rsid w:val="00982DD5"/>
    <w:rsid w:val="00994788"/>
    <w:rsid w:val="009A1A16"/>
    <w:rsid w:val="009A2DD2"/>
    <w:rsid w:val="009A704F"/>
    <w:rsid w:val="009B07D2"/>
    <w:rsid w:val="009B1241"/>
    <w:rsid w:val="009B5167"/>
    <w:rsid w:val="009B76E7"/>
    <w:rsid w:val="009C6A1C"/>
    <w:rsid w:val="009C745C"/>
    <w:rsid w:val="009D5326"/>
    <w:rsid w:val="009E2986"/>
    <w:rsid w:val="009E4458"/>
    <w:rsid w:val="009F0F94"/>
    <w:rsid w:val="009F5BF2"/>
    <w:rsid w:val="00A01B34"/>
    <w:rsid w:val="00A118B6"/>
    <w:rsid w:val="00A15448"/>
    <w:rsid w:val="00A160FE"/>
    <w:rsid w:val="00A32C0B"/>
    <w:rsid w:val="00A33CF8"/>
    <w:rsid w:val="00A350CC"/>
    <w:rsid w:val="00A351DA"/>
    <w:rsid w:val="00A4263F"/>
    <w:rsid w:val="00A4346B"/>
    <w:rsid w:val="00A4444E"/>
    <w:rsid w:val="00A4737E"/>
    <w:rsid w:val="00A52626"/>
    <w:rsid w:val="00A55548"/>
    <w:rsid w:val="00A55E35"/>
    <w:rsid w:val="00A62F24"/>
    <w:rsid w:val="00A66A08"/>
    <w:rsid w:val="00A71915"/>
    <w:rsid w:val="00A77F25"/>
    <w:rsid w:val="00A85397"/>
    <w:rsid w:val="00A900F3"/>
    <w:rsid w:val="00A9296C"/>
    <w:rsid w:val="00A95341"/>
    <w:rsid w:val="00A96586"/>
    <w:rsid w:val="00AA46C2"/>
    <w:rsid w:val="00AA4A9A"/>
    <w:rsid w:val="00AB3739"/>
    <w:rsid w:val="00AB5703"/>
    <w:rsid w:val="00AB7ADA"/>
    <w:rsid w:val="00AC286B"/>
    <w:rsid w:val="00AC2A85"/>
    <w:rsid w:val="00AD43B8"/>
    <w:rsid w:val="00AD5D24"/>
    <w:rsid w:val="00AE0F1E"/>
    <w:rsid w:val="00B022D4"/>
    <w:rsid w:val="00B06FC3"/>
    <w:rsid w:val="00B112C5"/>
    <w:rsid w:val="00B16A92"/>
    <w:rsid w:val="00B264EB"/>
    <w:rsid w:val="00B37C35"/>
    <w:rsid w:val="00B407D9"/>
    <w:rsid w:val="00B40CDB"/>
    <w:rsid w:val="00B41972"/>
    <w:rsid w:val="00B43149"/>
    <w:rsid w:val="00B43DA9"/>
    <w:rsid w:val="00B44371"/>
    <w:rsid w:val="00B45B90"/>
    <w:rsid w:val="00B45D49"/>
    <w:rsid w:val="00B528B1"/>
    <w:rsid w:val="00B62E7E"/>
    <w:rsid w:val="00B630A1"/>
    <w:rsid w:val="00B634BF"/>
    <w:rsid w:val="00B63EF4"/>
    <w:rsid w:val="00B64021"/>
    <w:rsid w:val="00B8621E"/>
    <w:rsid w:val="00B920C6"/>
    <w:rsid w:val="00B92822"/>
    <w:rsid w:val="00BA0604"/>
    <w:rsid w:val="00BA1188"/>
    <w:rsid w:val="00BA2197"/>
    <w:rsid w:val="00BB4537"/>
    <w:rsid w:val="00BB6C6D"/>
    <w:rsid w:val="00BB7070"/>
    <w:rsid w:val="00BC110A"/>
    <w:rsid w:val="00BC19A4"/>
    <w:rsid w:val="00BD5F6C"/>
    <w:rsid w:val="00BE4B17"/>
    <w:rsid w:val="00BF292C"/>
    <w:rsid w:val="00BF3266"/>
    <w:rsid w:val="00BF36FE"/>
    <w:rsid w:val="00BF5784"/>
    <w:rsid w:val="00C00041"/>
    <w:rsid w:val="00C0243E"/>
    <w:rsid w:val="00C03204"/>
    <w:rsid w:val="00C04192"/>
    <w:rsid w:val="00C11265"/>
    <w:rsid w:val="00C12350"/>
    <w:rsid w:val="00C217B3"/>
    <w:rsid w:val="00C2193A"/>
    <w:rsid w:val="00C318A6"/>
    <w:rsid w:val="00C3222E"/>
    <w:rsid w:val="00C56DDE"/>
    <w:rsid w:val="00C5720D"/>
    <w:rsid w:val="00C63847"/>
    <w:rsid w:val="00C64C50"/>
    <w:rsid w:val="00C706E7"/>
    <w:rsid w:val="00C737C9"/>
    <w:rsid w:val="00C75554"/>
    <w:rsid w:val="00C81ED1"/>
    <w:rsid w:val="00CA1F30"/>
    <w:rsid w:val="00CA3CFA"/>
    <w:rsid w:val="00CB152E"/>
    <w:rsid w:val="00CB520F"/>
    <w:rsid w:val="00CC1BFF"/>
    <w:rsid w:val="00CC498D"/>
    <w:rsid w:val="00CC7278"/>
    <w:rsid w:val="00CD48BF"/>
    <w:rsid w:val="00CD6670"/>
    <w:rsid w:val="00CD7E4E"/>
    <w:rsid w:val="00CE29B6"/>
    <w:rsid w:val="00CE5C0B"/>
    <w:rsid w:val="00CF1E0C"/>
    <w:rsid w:val="00CF2D88"/>
    <w:rsid w:val="00D05E69"/>
    <w:rsid w:val="00D07410"/>
    <w:rsid w:val="00D1724E"/>
    <w:rsid w:val="00D2019B"/>
    <w:rsid w:val="00D20C0B"/>
    <w:rsid w:val="00D20CAC"/>
    <w:rsid w:val="00D20D03"/>
    <w:rsid w:val="00D30519"/>
    <w:rsid w:val="00D41AFE"/>
    <w:rsid w:val="00D4670A"/>
    <w:rsid w:val="00D46967"/>
    <w:rsid w:val="00D46A15"/>
    <w:rsid w:val="00D474D5"/>
    <w:rsid w:val="00D51D4D"/>
    <w:rsid w:val="00D5243E"/>
    <w:rsid w:val="00D52565"/>
    <w:rsid w:val="00D54B74"/>
    <w:rsid w:val="00D57511"/>
    <w:rsid w:val="00D615B7"/>
    <w:rsid w:val="00D73AB4"/>
    <w:rsid w:val="00D75228"/>
    <w:rsid w:val="00D87779"/>
    <w:rsid w:val="00D900D7"/>
    <w:rsid w:val="00DA59A9"/>
    <w:rsid w:val="00DB00CA"/>
    <w:rsid w:val="00DB2205"/>
    <w:rsid w:val="00DB4783"/>
    <w:rsid w:val="00DB47CC"/>
    <w:rsid w:val="00DB6BAC"/>
    <w:rsid w:val="00DC463B"/>
    <w:rsid w:val="00DD3C12"/>
    <w:rsid w:val="00DD7A39"/>
    <w:rsid w:val="00DE39D3"/>
    <w:rsid w:val="00DF02A0"/>
    <w:rsid w:val="00DF622E"/>
    <w:rsid w:val="00E05727"/>
    <w:rsid w:val="00E05D1B"/>
    <w:rsid w:val="00E05D51"/>
    <w:rsid w:val="00E120E5"/>
    <w:rsid w:val="00E15527"/>
    <w:rsid w:val="00E26D6B"/>
    <w:rsid w:val="00E32322"/>
    <w:rsid w:val="00E34AC8"/>
    <w:rsid w:val="00E4247E"/>
    <w:rsid w:val="00E45D7C"/>
    <w:rsid w:val="00E46868"/>
    <w:rsid w:val="00E50081"/>
    <w:rsid w:val="00E52DF3"/>
    <w:rsid w:val="00E531BB"/>
    <w:rsid w:val="00E539BE"/>
    <w:rsid w:val="00E545FE"/>
    <w:rsid w:val="00E60BA1"/>
    <w:rsid w:val="00E67369"/>
    <w:rsid w:val="00E71D5D"/>
    <w:rsid w:val="00E74387"/>
    <w:rsid w:val="00E911C0"/>
    <w:rsid w:val="00E934B6"/>
    <w:rsid w:val="00E936F0"/>
    <w:rsid w:val="00E94A89"/>
    <w:rsid w:val="00E94F1F"/>
    <w:rsid w:val="00E95FF5"/>
    <w:rsid w:val="00E97C0F"/>
    <w:rsid w:val="00EA028D"/>
    <w:rsid w:val="00EA1034"/>
    <w:rsid w:val="00EB04D5"/>
    <w:rsid w:val="00EB302C"/>
    <w:rsid w:val="00EB4D3F"/>
    <w:rsid w:val="00EC1997"/>
    <w:rsid w:val="00EC4B63"/>
    <w:rsid w:val="00ED01FF"/>
    <w:rsid w:val="00EE19F2"/>
    <w:rsid w:val="00EE1ACB"/>
    <w:rsid w:val="00EF0755"/>
    <w:rsid w:val="00EF1EA2"/>
    <w:rsid w:val="00EF3836"/>
    <w:rsid w:val="00EF5214"/>
    <w:rsid w:val="00EF64B2"/>
    <w:rsid w:val="00EF6988"/>
    <w:rsid w:val="00F04423"/>
    <w:rsid w:val="00F14E05"/>
    <w:rsid w:val="00F21042"/>
    <w:rsid w:val="00F21754"/>
    <w:rsid w:val="00F22C49"/>
    <w:rsid w:val="00F3308F"/>
    <w:rsid w:val="00F33E8A"/>
    <w:rsid w:val="00F35A87"/>
    <w:rsid w:val="00F35FE7"/>
    <w:rsid w:val="00F423B5"/>
    <w:rsid w:val="00F517C4"/>
    <w:rsid w:val="00F56C2C"/>
    <w:rsid w:val="00F57FFE"/>
    <w:rsid w:val="00F613D6"/>
    <w:rsid w:val="00F66137"/>
    <w:rsid w:val="00F7126C"/>
    <w:rsid w:val="00F75C81"/>
    <w:rsid w:val="00F76421"/>
    <w:rsid w:val="00F77CC0"/>
    <w:rsid w:val="00F808E2"/>
    <w:rsid w:val="00F845D1"/>
    <w:rsid w:val="00F84C65"/>
    <w:rsid w:val="00F871C0"/>
    <w:rsid w:val="00F9276C"/>
    <w:rsid w:val="00F9493D"/>
    <w:rsid w:val="00F9736F"/>
    <w:rsid w:val="00FB197A"/>
    <w:rsid w:val="00FB21A8"/>
    <w:rsid w:val="00FB2CA4"/>
    <w:rsid w:val="00FC150A"/>
    <w:rsid w:val="00FC155E"/>
    <w:rsid w:val="00FC5608"/>
    <w:rsid w:val="00FD6C2B"/>
    <w:rsid w:val="00FE3181"/>
    <w:rsid w:val="00FF01E4"/>
    <w:rsid w:val="00FF2D6C"/>
    <w:rsid w:val="00FF3CC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5214"/>
    <w:rPr>
      <w:sz w:val="24"/>
      <w:lang w:eastAsia="en-US"/>
    </w:rPr>
  </w:style>
  <w:style w:type="paragraph" w:styleId="Heading1">
    <w:name w:val="heading 1"/>
    <w:basedOn w:val="Normal"/>
    <w:next w:val="Normal"/>
    <w:link w:val="Heading1Char"/>
    <w:qFormat/>
    <w:rsid w:val="00EF5214"/>
    <w:pPr>
      <w:keepNext/>
      <w:ind w:right="-765"/>
      <w:jc w:val="both"/>
      <w:outlineLvl w:val="0"/>
    </w:pPr>
    <w:rPr>
      <w:rFonts w:ascii="Times" w:hAnsi="Times"/>
      <w:b/>
      <w:sz w:val="36"/>
    </w:rPr>
  </w:style>
  <w:style w:type="paragraph" w:styleId="Heading2">
    <w:name w:val="heading 2"/>
    <w:basedOn w:val="Normal"/>
    <w:next w:val="Normal"/>
    <w:link w:val="Heading2Char"/>
    <w:qFormat/>
    <w:rsid w:val="00EF5214"/>
    <w:pPr>
      <w:keepNext/>
      <w:outlineLvl w:val="1"/>
    </w:pPr>
    <w:rPr>
      <w:rFonts w:ascii="Times" w:hAnsi="Times"/>
      <w:b/>
    </w:rPr>
  </w:style>
  <w:style w:type="paragraph" w:styleId="Heading3">
    <w:name w:val="heading 3"/>
    <w:basedOn w:val="Normal"/>
    <w:next w:val="Normal"/>
    <w:qFormat/>
    <w:rsid w:val="00EF5214"/>
    <w:pPr>
      <w:keepNext/>
      <w:ind w:right="-765"/>
      <w:outlineLvl w:val="2"/>
    </w:pPr>
    <w:rPr>
      <w:rFonts w:ascii="Times" w:hAnsi="Times"/>
      <w:b/>
    </w:rPr>
  </w:style>
  <w:style w:type="paragraph" w:styleId="Heading4">
    <w:name w:val="heading 4"/>
    <w:basedOn w:val="Normal"/>
    <w:next w:val="Normal"/>
    <w:link w:val="Heading4Char"/>
    <w:qFormat/>
    <w:rsid w:val="00EF5214"/>
    <w:pPr>
      <w:keepNext/>
      <w:ind w:right="-765"/>
      <w:outlineLvl w:val="3"/>
    </w:pPr>
    <w:rPr>
      <w:rFonts w:ascii="Times" w:hAnsi="Times"/>
      <w:b/>
    </w:rPr>
  </w:style>
  <w:style w:type="paragraph" w:styleId="Heading5">
    <w:name w:val="heading 5"/>
    <w:basedOn w:val="Normal"/>
    <w:next w:val="Normal"/>
    <w:qFormat/>
    <w:rsid w:val="00EF5214"/>
    <w:pPr>
      <w:keepNext/>
      <w:ind w:right="-765"/>
      <w:jc w:val="right"/>
      <w:outlineLvl w:val="4"/>
    </w:pPr>
    <w:rPr>
      <w:rFonts w:ascii="Times" w:hAnsi="Times"/>
    </w:rPr>
  </w:style>
  <w:style w:type="paragraph" w:styleId="Heading6">
    <w:name w:val="heading 6"/>
    <w:basedOn w:val="Normal"/>
    <w:next w:val="Normal"/>
    <w:qFormat/>
    <w:rsid w:val="00EF5214"/>
    <w:pPr>
      <w:keepNext/>
      <w:jc w:val="right"/>
      <w:outlineLvl w:val="5"/>
    </w:pPr>
    <w:rPr>
      <w:i/>
    </w:rPr>
  </w:style>
  <w:style w:type="paragraph" w:styleId="Heading7">
    <w:name w:val="heading 7"/>
    <w:basedOn w:val="Normal"/>
    <w:next w:val="Normal"/>
    <w:qFormat/>
    <w:rsid w:val="00EF5214"/>
    <w:pPr>
      <w:keepNext/>
      <w:jc w:val="right"/>
      <w:outlineLvl w:val="6"/>
    </w:pPr>
    <w:rPr>
      <w:b/>
    </w:rPr>
  </w:style>
  <w:style w:type="paragraph" w:styleId="Heading8">
    <w:name w:val="heading 8"/>
    <w:basedOn w:val="Normal"/>
    <w:next w:val="Normal"/>
    <w:qFormat/>
    <w:rsid w:val="00EF5214"/>
    <w:pPr>
      <w:keepNext/>
      <w:spacing w:before="60" w:after="60"/>
      <w:ind w:right="-108"/>
      <w:outlineLvl w:val="7"/>
    </w:pPr>
    <w:rPr>
      <w:rFonts w:ascii="Times" w:hAnsi="Times"/>
      <w:b/>
    </w:rPr>
  </w:style>
  <w:style w:type="paragraph" w:styleId="Heading9">
    <w:name w:val="heading 9"/>
    <w:basedOn w:val="Normal"/>
    <w:next w:val="Normal"/>
    <w:qFormat/>
    <w:rsid w:val="00EF5214"/>
    <w:pPr>
      <w:keepNext/>
      <w:spacing w:before="60" w:after="60"/>
      <w:ind w:right="-108"/>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F5214"/>
    <w:rPr>
      <w:color w:val="0000FF"/>
      <w:u w:val="single"/>
    </w:rPr>
  </w:style>
  <w:style w:type="paragraph" w:styleId="BodyText">
    <w:name w:val="Body Text"/>
    <w:basedOn w:val="Normal"/>
    <w:rsid w:val="00EF5214"/>
    <w:rPr>
      <w:rFonts w:ascii="Century Schoolbook" w:hAnsi="Century Schoolbook"/>
    </w:rPr>
  </w:style>
  <w:style w:type="paragraph" w:styleId="BodyText2">
    <w:name w:val="Body Text 2"/>
    <w:basedOn w:val="Normal"/>
    <w:rsid w:val="00EF5214"/>
    <w:pPr>
      <w:ind w:right="-765"/>
      <w:jc w:val="both"/>
    </w:pPr>
    <w:rPr>
      <w:rFonts w:ascii="Times" w:hAnsi="Times"/>
    </w:rPr>
  </w:style>
  <w:style w:type="paragraph" w:styleId="BlockText">
    <w:name w:val="Block Text"/>
    <w:basedOn w:val="Normal"/>
    <w:rsid w:val="00EF5214"/>
    <w:pPr>
      <w:tabs>
        <w:tab w:val="left" w:pos="520"/>
      </w:tabs>
      <w:ind w:left="20" w:right="-765"/>
    </w:pPr>
    <w:rPr>
      <w:rFonts w:ascii="Times" w:hAnsi="Times"/>
    </w:rPr>
  </w:style>
  <w:style w:type="paragraph" w:styleId="BodyText3">
    <w:name w:val="Body Text 3"/>
    <w:basedOn w:val="Normal"/>
    <w:rsid w:val="00EF5214"/>
    <w:pPr>
      <w:ind w:right="-765"/>
      <w:jc w:val="both"/>
    </w:pPr>
    <w:rPr>
      <w:rFonts w:ascii="Times" w:hAnsi="Times"/>
      <w:b/>
    </w:rPr>
  </w:style>
  <w:style w:type="paragraph" w:styleId="Header">
    <w:name w:val="header"/>
    <w:basedOn w:val="Normal"/>
    <w:rsid w:val="00EF5214"/>
    <w:pPr>
      <w:tabs>
        <w:tab w:val="center" w:pos="4153"/>
        <w:tab w:val="right" w:pos="8306"/>
      </w:tabs>
    </w:pPr>
  </w:style>
  <w:style w:type="paragraph" w:styleId="Footer">
    <w:name w:val="footer"/>
    <w:basedOn w:val="Normal"/>
    <w:link w:val="FooterChar"/>
    <w:uiPriority w:val="99"/>
    <w:rsid w:val="00EF5214"/>
    <w:pPr>
      <w:tabs>
        <w:tab w:val="center" w:pos="4153"/>
        <w:tab w:val="right" w:pos="8306"/>
      </w:tabs>
    </w:pPr>
  </w:style>
  <w:style w:type="character" w:styleId="PageNumber">
    <w:name w:val="page number"/>
    <w:basedOn w:val="DefaultParagraphFont"/>
    <w:rsid w:val="00EF5214"/>
  </w:style>
  <w:style w:type="paragraph" w:styleId="TOC1">
    <w:name w:val="toc 1"/>
    <w:basedOn w:val="Normal"/>
    <w:next w:val="Normal"/>
    <w:autoRedefine/>
    <w:semiHidden/>
    <w:rsid w:val="009B5167"/>
    <w:pPr>
      <w:tabs>
        <w:tab w:val="right" w:leader="dot" w:pos="8778"/>
      </w:tabs>
      <w:spacing w:before="120" w:after="120"/>
    </w:pPr>
    <w:rPr>
      <w:b/>
      <w:bCs/>
      <w:caps/>
      <w:noProof/>
      <w:sz w:val="20"/>
    </w:rPr>
  </w:style>
  <w:style w:type="character" w:styleId="Emphasis">
    <w:name w:val="Emphasis"/>
    <w:basedOn w:val="DefaultParagraphFont"/>
    <w:qFormat/>
    <w:rsid w:val="00EF5214"/>
    <w:rPr>
      <w:i/>
    </w:rPr>
  </w:style>
  <w:style w:type="paragraph" w:styleId="Title">
    <w:name w:val="Title"/>
    <w:basedOn w:val="Normal"/>
    <w:qFormat/>
    <w:rsid w:val="00EF5214"/>
    <w:pPr>
      <w:spacing w:after="120"/>
      <w:jc w:val="center"/>
    </w:pPr>
    <w:rPr>
      <w:rFonts w:ascii="Palatino" w:hAnsi="Palatino"/>
      <w:b/>
      <w:sz w:val="32"/>
    </w:rPr>
  </w:style>
  <w:style w:type="paragraph" w:styleId="FootnoteText">
    <w:name w:val="footnote text"/>
    <w:basedOn w:val="Normal"/>
    <w:semiHidden/>
    <w:rsid w:val="00EF5214"/>
    <w:pPr>
      <w:spacing w:after="120"/>
    </w:pPr>
    <w:rPr>
      <w:rFonts w:ascii="Palatino" w:hAnsi="Palatino"/>
    </w:rPr>
  </w:style>
  <w:style w:type="paragraph" w:customStyle="1" w:styleId="body1">
    <w:name w:val="body 1"/>
    <w:basedOn w:val="BodyText"/>
    <w:rsid w:val="00EF5214"/>
    <w:pPr>
      <w:overflowPunct w:val="0"/>
      <w:autoSpaceDE w:val="0"/>
      <w:autoSpaceDN w:val="0"/>
      <w:adjustRightInd w:val="0"/>
      <w:textAlignment w:val="baseline"/>
    </w:pPr>
    <w:rPr>
      <w:rFonts w:ascii="Arial" w:hAnsi="Arial" w:cs="Arial"/>
      <w:sz w:val="20"/>
    </w:rPr>
  </w:style>
  <w:style w:type="paragraph" w:customStyle="1" w:styleId="xl25">
    <w:name w:val="xl25"/>
    <w:basedOn w:val="Normal"/>
    <w:rsid w:val="00EF521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b/>
      <w:bCs/>
      <w:szCs w:val="24"/>
    </w:rPr>
  </w:style>
  <w:style w:type="paragraph" w:customStyle="1" w:styleId="xl26">
    <w:name w:val="xl26"/>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customStyle="1" w:styleId="xl29">
    <w:name w:val="xl29"/>
    <w:basedOn w:val="Normal"/>
    <w:rsid w:val="00EF5214"/>
    <w:pPr>
      <w:pBdr>
        <w:top w:val="single" w:sz="4" w:space="0" w:color="auto"/>
        <w:left w:val="single" w:sz="4" w:space="0" w:color="auto"/>
        <w:bottom w:val="single" w:sz="4" w:space="0" w:color="auto"/>
      </w:pBdr>
      <w:spacing w:before="100" w:beforeAutospacing="1" w:after="100" w:afterAutospacing="1"/>
    </w:pPr>
    <w:rPr>
      <w:rFonts w:eastAsia="Arial Unicode MS"/>
      <w:szCs w:val="24"/>
    </w:rPr>
  </w:style>
  <w:style w:type="paragraph" w:styleId="BodyTextIndent3">
    <w:name w:val="Body Text Indent 3"/>
    <w:basedOn w:val="Normal"/>
    <w:rsid w:val="00EF5214"/>
    <w:pPr>
      <w:ind w:left="440" w:hanging="440"/>
      <w:jc w:val="both"/>
    </w:pPr>
    <w:rPr>
      <w:szCs w:val="14"/>
    </w:rPr>
  </w:style>
  <w:style w:type="paragraph" w:styleId="Subtitle">
    <w:name w:val="Subtitle"/>
    <w:basedOn w:val="Normal"/>
    <w:qFormat/>
    <w:rsid w:val="00EF5214"/>
    <w:pPr>
      <w:tabs>
        <w:tab w:val="left" w:pos="4980"/>
      </w:tabs>
      <w:ind w:right="-765"/>
    </w:pPr>
    <w:rPr>
      <w:rFonts w:ascii="Times" w:hAnsi="Times"/>
      <w:b/>
      <w:color w:val="0000FF"/>
      <w:sz w:val="28"/>
    </w:rPr>
  </w:style>
  <w:style w:type="table" w:styleId="TableGrid">
    <w:name w:val="Table Grid"/>
    <w:basedOn w:val="TableNormal"/>
    <w:rsid w:val="00EF5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EF5214"/>
    <w:pPr>
      <w:spacing w:after="120"/>
      <w:ind w:left="283"/>
    </w:pPr>
  </w:style>
  <w:style w:type="paragraph" w:customStyle="1" w:styleId="Default">
    <w:name w:val="Default"/>
    <w:rsid w:val="007C720F"/>
    <w:pPr>
      <w:autoSpaceDE w:val="0"/>
      <w:autoSpaceDN w:val="0"/>
      <w:adjustRightInd w:val="0"/>
    </w:pPr>
    <w:rPr>
      <w:color w:val="000000"/>
      <w:sz w:val="24"/>
      <w:szCs w:val="24"/>
    </w:rPr>
  </w:style>
  <w:style w:type="paragraph" w:styleId="NormalWeb">
    <w:name w:val="Normal (Web)"/>
    <w:basedOn w:val="Default"/>
    <w:next w:val="Default"/>
    <w:rsid w:val="007C720F"/>
    <w:rPr>
      <w:color w:val="auto"/>
    </w:rPr>
  </w:style>
  <w:style w:type="character" w:styleId="Strong">
    <w:name w:val="Strong"/>
    <w:qFormat/>
    <w:rsid w:val="007C720F"/>
    <w:rPr>
      <w:b/>
      <w:bCs/>
      <w:color w:val="000000"/>
    </w:rPr>
  </w:style>
  <w:style w:type="paragraph" w:styleId="Caption">
    <w:name w:val="caption"/>
    <w:basedOn w:val="Normal"/>
    <w:next w:val="Normal"/>
    <w:qFormat/>
    <w:rsid w:val="00126DC5"/>
    <w:pPr>
      <w:ind w:right="-765"/>
      <w:jc w:val="both"/>
    </w:pPr>
    <w:rPr>
      <w:b/>
      <w:bCs/>
    </w:rPr>
  </w:style>
  <w:style w:type="table" w:styleId="TableClassic1">
    <w:name w:val="Table Classic 1"/>
    <w:basedOn w:val="TableNormal"/>
    <w:rsid w:val="007830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semiHidden/>
    <w:rsid w:val="00EA1034"/>
    <w:rPr>
      <w:rFonts w:ascii="Tahoma" w:hAnsi="Tahoma" w:cs="Tahoma"/>
      <w:sz w:val="16"/>
      <w:szCs w:val="16"/>
    </w:rPr>
  </w:style>
  <w:style w:type="character" w:styleId="CommentReference">
    <w:name w:val="annotation reference"/>
    <w:basedOn w:val="DefaultParagraphFont"/>
    <w:semiHidden/>
    <w:rsid w:val="00EA1034"/>
    <w:rPr>
      <w:sz w:val="16"/>
      <w:szCs w:val="16"/>
    </w:rPr>
  </w:style>
  <w:style w:type="paragraph" w:styleId="CommentText">
    <w:name w:val="annotation text"/>
    <w:basedOn w:val="Normal"/>
    <w:semiHidden/>
    <w:rsid w:val="00EA1034"/>
    <w:rPr>
      <w:sz w:val="20"/>
    </w:rPr>
  </w:style>
  <w:style w:type="paragraph" w:styleId="CommentSubject">
    <w:name w:val="annotation subject"/>
    <w:basedOn w:val="CommentText"/>
    <w:next w:val="CommentText"/>
    <w:semiHidden/>
    <w:rsid w:val="00EA1034"/>
    <w:rPr>
      <w:b/>
      <w:bCs/>
    </w:rPr>
  </w:style>
  <w:style w:type="character" w:customStyle="1" w:styleId="Heading2Char">
    <w:name w:val="Heading 2 Char"/>
    <w:basedOn w:val="DefaultParagraphFont"/>
    <w:link w:val="Heading2"/>
    <w:rsid w:val="0060625E"/>
    <w:rPr>
      <w:rFonts w:ascii="Times" w:hAnsi="Times"/>
      <w:b/>
      <w:sz w:val="24"/>
      <w:lang w:val="en-AU" w:eastAsia="en-US" w:bidi="ar-SA"/>
    </w:rPr>
  </w:style>
  <w:style w:type="paragraph" w:styleId="TOC2">
    <w:name w:val="toc 2"/>
    <w:basedOn w:val="Normal"/>
    <w:next w:val="Normal"/>
    <w:autoRedefine/>
    <w:semiHidden/>
    <w:rsid w:val="00DD7A39"/>
    <w:pPr>
      <w:ind w:left="240"/>
    </w:pPr>
    <w:rPr>
      <w:smallCaps/>
      <w:sz w:val="20"/>
    </w:rPr>
  </w:style>
  <w:style w:type="paragraph" w:styleId="TOC3">
    <w:name w:val="toc 3"/>
    <w:basedOn w:val="Normal"/>
    <w:next w:val="Normal"/>
    <w:autoRedefine/>
    <w:semiHidden/>
    <w:rsid w:val="00A62F24"/>
    <w:pPr>
      <w:ind w:left="480"/>
    </w:pPr>
    <w:rPr>
      <w:i/>
      <w:iCs/>
      <w:sz w:val="20"/>
    </w:rPr>
  </w:style>
  <w:style w:type="paragraph" w:styleId="TOC4">
    <w:name w:val="toc 4"/>
    <w:basedOn w:val="Normal"/>
    <w:next w:val="Normal"/>
    <w:autoRedefine/>
    <w:semiHidden/>
    <w:rsid w:val="00A62F24"/>
    <w:pPr>
      <w:ind w:left="720"/>
    </w:pPr>
    <w:rPr>
      <w:sz w:val="18"/>
      <w:szCs w:val="18"/>
    </w:rPr>
  </w:style>
  <w:style w:type="paragraph" w:styleId="TOC5">
    <w:name w:val="toc 5"/>
    <w:basedOn w:val="Normal"/>
    <w:next w:val="Normal"/>
    <w:autoRedefine/>
    <w:semiHidden/>
    <w:rsid w:val="00A62F24"/>
    <w:pPr>
      <w:ind w:left="960"/>
    </w:pPr>
    <w:rPr>
      <w:sz w:val="18"/>
      <w:szCs w:val="18"/>
    </w:rPr>
  </w:style>
  <w:style w:type="paragraph" w:styleId="TOC6">
    <w:name w:val="toc 6"/>
    <w:basedOn w:val="Normal"/>
    <w:next w:val="Normal"/>
    <w:autoRedefine/>
    <w:semiHidden/>
    <w:rsid w:val="00A62F24"/>
    <w:pPr>
      <w:ind w:left="1200"/>
    </w:pPr>
    <w:rPr>
      <w:sz w:val="18"/>
      <w:szCs w:val="18"/>
    </w:rPr>
  </w:style>
  <w:style w:type="paragraph" w:styleId="TOC7">
    <w:name w:val="toc 7"/>
    <w:basedOn w:val="Normal"/>
    <w:next w:val="Normal"/>
    <w:autoRedefine/>
    <w:semiHidden/>
    <w:rsid w:val="00A62F24"/>
    <w:pPr>
      <w:ind w:left="1440"/>
    </w:pPr>
    <w:rPr>
      <w:sz w:val="18"/>
      <w:szCs w:val="18"/>
    </w:rPr>
  </w:style>
  <w:style w:type="paragraph" w:styleId="TOC8">
    <w:name w:val="toc 8"/>
    <w:basedOn w:val="Normal"/>
    <w:next w:val="Normal"/>
    <w:autoRedefine/>
    <w:semiHidden/>
    <w:rsid w:val="00A62F24"/>
    <w:pPr>
      <w:ind w:left="1680"/>
    </w:pPr>
    <w:rPr>
      <w:sz w:val="18"/>
      <w:szCs w:val="18"/>
    </w:rPr>
  </w:style>
  <w:style w:type="paragraph" w:styleId="TOC9">
    <w:name w:val="toc 9"/>
    <w:basedOn w:val="Normal"/>
    <w:next w:val="Normal"/>
    <w:autoRedefine/>
    <w:semiHidden/>
    <w:rsid w:val="00A62F24"/>
    <w:pPr>
      <w:ind w:left="1920"/>
    </w:pPr>
    <w:rPr>
      <w:sz w:val="18"/>
      <w:szCs w:val="18"/>
    </w:rPr>
  </w:style>
  <w:style w:type="character" w:customStyle="1" w:styleId="Heading1Char">
    <w:name w:val="Heading 1 Char"/>
    <w:basedOn w:val="DefaultParagraphFont"/>
    <w:link w:val="Heading1"/>
    <w:rsid w:val="007113B1"/>
    <w:rPr>
      <w:rFonts w:ascii="Times" w:hAnsi="Times"/>
      <w:b/>
      <w:sz w:val="36"/>
      <w:lang w:val="en-AU" w:eastAsia="en-US" w:bidi="ar-SA"/>
    </w:rPr>
  </w:style>
  <w:style w:type="paragraph" w:styleId="TableofFigures">
    <w:name w:val="table of figures"/>
    <w:basedOn w:val="Normal"/>
    <w:next w:val="Normal"/>
    <w:semiHidden/>
    <w:rsid w:val="0029607E"/>
  </w:style>
  <w:style w:type="paragraph" w:customStyle="1" w:styleId="Annex">
    <w:name w:val="Annex"/>
    <w:basedOn w:val="Normal"/>
    <w:next w:val="Normal"/>
    <w:rsid w:val="00D73AB4"/>
    <w:rPr>
      <w:b/>
      <w:color w:val="0000FF"/>
      <w:sz w:val="28"/>
      <w:szCs w:val="28"/>
      <w:u w:val="single"/>
      <w:lang w:eastAsia="en-AU"/>
    </w:rPr>
  </w:style>
  <w:style w:type="paragraph" w:customStyle="1" w:styleId="QTBContact">
    <w:name w:val="QTBContact"/>
    <w:basedOn w:val="Normal"/>
    <w:link w:val="QTBContactChar"/>
    <w:rsid w:val="00DE39D3"/>
    <w:rPr>
      <w:lang w:eastAsia="en-AU"/>
    </w:rPr>
  </w:style>
  <w:style w:type="character" w:customStyle="1" w:styleId="QTBContactChar">
    <w:name w:val="QTBContact Char"/>
    <w:basedOn w:val="DefaultParagraphFont"/>
    <w:link w:val="QTBContact"/>
    <w:locked/>
    <w:rsid w:val="00DE39D3"/>
    <w:rPr>
      <w:sz w:val="24"/>
      <w:lang w:val="en-AU" w:eastAsia="en-AU" w:bidi="ar-SA"/>
    </w:rPr>
  </w:style>
  <w:style w:type="paragraph" w:customStyle="1" w:styleId="BodyPara">
    <w:name w:val="BodyPara"/>
    <w:basedOn w:val="Normal"/>
    <w:rsid w:val="005F3A5D"/>
    <w:pPr>
      <w:spacing w:after="240"/>
      <w:jc w:val="both"/>
    </w:pPr>
    <w:rPr>
      <w:rFonts w:ascii="Times" w:hAnsi="Times"/>
    </w:rPr>
  </w:style>
  <w:style w:type="paragraph" w:styleId="BodyTextFirstIndent">
    <w:name w:val="Body Text First Indent"/>
    <w:basedOn w:val="BodyText"/>
    <w:rsid w:val="00981A5E"/>
    <w:pPr>
      <w:spacing w:after="120"/>
      <w:ind w:firstLine="210"/>
    </w:pPr>
    <w:rPr>
      <w:rFonts w:ascii="Times New Roman" w:hAnsi="Times New Roman"/>
    </w:rPr>
  </w:style>
  <w:style w:type="character" w:customStyle="1" w:styleId="Heading4Char">
    <w:name w:val="Heading 4 Char"/>
    <w:basedOn w:val="DefaultParagraphFont"/>
    <w:link w:val="Heading4"/>
    <w:rsid w:val="00BA0604"/>
    <w:rPr>
      <w:rFonts w:ascii="Times" w:hAnsi="Times"/>
      <w:b/>
      <w:sz w:val="24"/>
      <w:lang w:eastAsia="en-US"/>
    </w:rPr>
  </w:style>
  <w:style w:type="character" w:customStyle="1" w:styleId="FooterChar">
    <w:name w:val="Footer Char"/>
    <w:basedOn w:val="DefaultParagraphFont"/>
    <w:link w:val="Footer"/>
    <w:uiPriority w:val="99"/>
    <w:rsid w:val="006959E2"/>
    <w:rPr>
      <w:sz w:val="24"/>
      <w:lang w:eastAsia="en-US"/>
    </w:rPr>
  </w:style>
</w:styles>
</file>

<file path=word/webSettings.xml><?xml version="1.0" encoding="utf-8"?>
<w:webSettings xmlns:r="http://schemas.openxmlformats.org/officeDocument/2006/relationships" xmlns:w="http://schemas.openxmlformats.org/wordprocessingml/2006/main">
  <w:divs>
    <w:div w:id="96562894">
      <w:bodyDiv w:val="1"/>
      <w:marLeft w:val="0"/>
      <w:marRight w:val="0"/>
      <w:marTop w:val="0"/>
      <w:marBottom w:val="0"/>
      <w:divBdr>
        <w:top w:val="none" w:sz="0" w:space="0" w:color="auto"/>
        <w:left w:val="none" w:sz="0" w:space="0" w:color="auto"/>
        <w:bottom w:val="none" w:sz="0" w:space="0" w:color="auto"/>
        <w:right w:val="none" w:sz="0" w:space="0" w:color="auto"/>
      </w:divBdr>
    </w:div>
    <w:div w:id="792136809">
      <w:bodyDiv w:val="1"/>
      <w:marLeft w:val="0"/>
      <w:marRight w:val="0"/>
      <w:marTop w:val="0"/>
      <w:marBottom w:val="0"/>
      <w:divBdr>
        <w:top w:val="none" w:sz="0" w:space="0" w:color="auto"/>
        <w:left w:val="none" w:sz="0" w:space="0" w:color="auto"/>
        <w:bottom w:val="none" w:sz="0" w:space="0" w:color="auto"/>
        <w:right w:val="none" w:sz="0" w:space="0" w:color="auto"/>
      </w:divBdr>
    </w:div>
    <w:div w:id="992952502">
      <w:bodyDiv w:val="1"/>
      <w:marLeft w:val="0"/>
      <w:marRight w:val="0"/>
      <w:marTop w:val="0"/>
      <w:marBottom w:val="0"/>
      <w:divBdr>
        <w:top w:val="none" w:sz="0" w:space="0" w:color="auto"/>
        <w:left w:val="none" w:sz="0" w:space="0" w:color="auto"/>
        <w:bottom w:val="none" w:sz="0" w:space="0" w:color="auto"/>
        <w:right w:val="none" w:sz="0" w:space="0" w:color="auto"/>
      </w:divBdr>
    </w:div>
    <w:div w:id="1320115367">
      <w:bodyDiv w:val="1"/>
      <w:marLeft w:val="0"/>
      <w:marRight w:val="0"/>
      <w:marTop w:val="0"/>
      <w:marBottom w:val="0"/>
      <w:divBdr>
        <w:top w:val="none" w:sz="0" w:space="0" w:color="auto"/>
        <w:left w:val="none" w:sz="0" w:space="0" w:color="auto"/>
        <w:bottom w:val="none" w:sz="0" w:space="0" w:color="auto"/>
        <w:right w:val="none" w:sz="0" w:space="0" w:color="auto"/>
      </w:divBdr>
      <w:divsChild>
        <w:div w:id="548029130">
          <w:marLeft w:val="120"/>
          <w:marRight w:val="75"/>
          <w:marTop w:val="0"/>
          <w:marBottom w:val="0"/>
          <w:divBdr>
            <w:top w:val="none" w:sz="0" w:space="0" w:color="auto"/>
            <w:left w:val="none" w:sz="0" w:space="0" w:color="auto"/>
            <w:bottom w:val="none" w:sz="0" w:space="0" w:color="auto"/>
            <w:right w:val="none" w:sz="0" w:space="0" w:color="auto"/>
          </w:divBdr>
          <w:divsChild>
            <w:div w:id="104615542">
              <w:marLeft w:val="0"/>
              <w:marRight w:val="0"/>
              <w:marTop w:val="0"/>
              <w:marBottom w:val="0"/>
              <w:divBdr>
                <w:top w:val="none" w:sz="0" w:space="0" w:color="auto"/>
                <w:left w:val="none" w:sz="0" w:space="0" w:color="auto"/>
                <w:bottom w:val="none" w:sz="0" w:space="0" w:color="auto"/>
                <w:right w:val="none" w:sz="0" w:space="0" w:color="auto"/>
              </w:divBdr>
              <w:divsChild>
                <w:div w:id="4046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18">
      <w:bodyDiv w:val="1"/>
      <w:marLeft w:val="0"/>
      <w:marRight w:val="0"/>
      <w:marTop w:val="0"/>
      <w:marBottom w:val="0"/>
      <w:divBdr>
        <w:top w:val="none" w:sz="0" w:space="0" w:color="auto"/>
        <w:left w:val="none" w:sz="0" w:space="0" w:color="auto"/>
        <w:bottom w:val="none" w:sz="0" w:space="0" w:color="auto"/>
        <w:right w:val="none" w:sz="0" w:space="0" w:color="auto"/>
      </w:divBdr>
    </w:div>
    <w:div w:id="1437169726">
      <w:bodyDiv w:val="1"/>
      <w:marLeft w:val="0"/>
      <w:marRight w:val="0"/>
      <w:marTop w:val="0"/>
      <w:marBottom w:val="0"/>
      <w:divBdr>
        <w:top w:val="none" w:sz="0" w:space="0" w:color="auto"/>
        <w:left w:val="none" w:sz="0" w:space="0" w:color="auto"/>
        <w:bottom w:val="none" w:sz="0" w:space="0" w:color="auto"/>
        <w:right w:val="none" w:sz="0" w:space="0" w:color="auto"/>
      </w:divBdr>
    </w:div>
    <w:div w:id="1594121703">
      <w:bodyDiv w:val="1"/>
      <w:marLeft w:val="0"/>
      <w:marRight w:val="0"/>
      <w:marTop w:val="0"/>
      <w:marBottom w:val="0"/>
      <w:divBdr>
        <w:top w:val="none" w:sz="0" w:space="0" w:color="auto"/>
        <w:left w:val="none" w:sz="0" w:space="0" w:color="auto"/>
        <w:bottom w:val="none" w:sz="0" w:space="0" w:color="auto"/>
        <w:right w:val="none" w:sz="0" w:space="0" w:color="auto"/>
      </w:divBdr>
    </w:div>
    <w:div w:id="1624920529">
      <w:bodyDiv w:val="1"/>
      <w:marLeft w:val="0"/>
      <w:marRight w:val="0"/>
      <w:marTop w:val="0"/>
      <w:marBottom w:val="0"/>
      <w:divBdr>
        <w:top w:val="none" w:sz="0" w:space="0" w:color="auto"/>
        <w:left w:val="none" w:sz="0" w:space="0" w:color="auto"/>
        <w:bottom w:val="none" w:sz="0" w:space="0" w:color="auto"/>
        <w:right w:val="none" w:sz="0" w:space="0" w:color="auto"/>
      </w:divBdr>
    </w:div>
    <w:div w:id="208510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Microsoft_Office_Excel_97-2003_Worksheet1.xls"/><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customXml" Target="../customXml/item4.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D292C1-E694-49C8-8EEC-65D809959689}"/>
</file>

<file path=customXml/itemProps2.xml><?xml version="1.0" encoding="utf-8"?>
<ds:datastoreItem xmlns:ds="http://schemas.openxmlformats.org/officeDocument/2006/customXml" ds:itemID="{2F34CBE5-B8D6-4D7A-AA33-94C80E043615}"/>
</file>

<file path=customXml/itemProps3.xml><?xml version="1.0" encoding="utf-8"?>
<ds:datastoreItem xmlns:ds="http://schemas.openxmlformats.org/officeDocument/2006/customXml" ds:itemID="{A1B6C359-F767-4956-ADA0-F89875DB8EA1}"/>
</file>

<file path=customXml/itemProps4.xml><?xml version="1.0" encoding="utf-8"?>
<ds:datastoreItem xmlns:ds="http://schemas.openxmlformats.org/officeDocument/2006/customXml" ds:itemID="{AB74A5BB-FFD3-4808-987E-970A23420724}"/>
</file>

<file path=docProps/app.xml><?xml version="1.0" encoding="utf-8"?>
<Properties xmlns="http://schemas.openxmlformats.org/officeDocument/2006/extended-properties" xmlns:vt="http://schemas.openxmlformats.org/officeDocument/2006/docPropsVTypes">
  <Template>Normal.dotm</Template>
  <TotalTime>84</TotalTime>
  <Pages>44</Pages>
  <Words>10932</Words>
  <Characters>65179</Characters>
  <Application>Microsoft Office Word</Application>
  <DocSecurity>0</DocSecurity>
  <Lines>543</Lines>
  <Paragraphs>151</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75960</CharactersWithSpaces>
  <SharedDoc>false</SharedDoc>
  <HLinks>
    <vt:vector size="228" baseType="variant">
      <vt:variant>
        <vt:i4>4128822</vt:i4>
      </vt:variant>
      <vt:variant>
        <vt:i4>246</vt:i4>
      </vt:variant>
      <vt:variant>
        <vt:i4>0</vt:i4>
      </vt:variant>
      <vt:variant>
        <vt:i4>5</vt:i4>
      </vt:variant>
      <vt:variant>
        <vt:lpwstr>http://www.setac.org/tampa/</vt:lpwstr>
      </vt:variant>
      <vt:variant>
        <vt:lpwstr/>
      </vt:variant>
      <vt:variant>
        <vt:i4>1703994</vt:i4>
      </vt:variant>
      <vt:variant>
        <vt:i4>224</vt:i4>
      </vt:variant>
      <vt:variant>
        <vt:i4>0</vt:i4>
      </vt:variant>
      <vt:variant>
        <vt:i4>5</vt:i4>
      </vt:variant>
      <vt:variant>
        <vt:lpwstr/>
      </vt:variant>
      <vt:variant>
        <vt:lpwstr>_Toc209581998</vt:lpwstr>
      </vt:variant>
      <vt:variant>
        <vt:i4>1703994</vt:i4>
      </vt:variant>
      <vt:variant>
        <vt:i4>218</vt:i4>
      </vt:variant>
      <vt:variant>
        <vt:i4>0</vt:i4>
      </vt:variant>
      <vt:variant>
        <vt:i4>5</vt:i4>
      </vt:variant>
      <vt:variant>
        <vt:lpwstr/>
      </vt:variant>
      <vt:variant>
        <vt:lpwstr>_Toc209581997</vt:lpwstr>
      </vt:variant>
      <vt:variant>
        <vt:i4>1703994</vt:i4>
      </vt:variant>
      <vt:variant>
        <vt:i4>212</vt:i4>
      </vt:variant>
      <vt:variant>
        <vt:i4>0</vt:i4>
      </vt:variant>
      <vt:variant>
        <vt:i4>5</vt:i4>
      </vt:variant>
      <vt:variant>
        <vt:lpwstr/>
      </vt:variant>
      <vt:variant>
        <vt:lpwstr>_Toc209581996</vt:lpwstr>
      </vt:variant>
      <vt:variant>
        <vt:i4>1703994</vt:i4>
      </vt:variant>
      <vt:variant>
        <vt:i4>206</vt:i4>
      </vt:variant>
      <vt:variant>
        <vt:i4>0</vt:i4>
      </vt:variant>
      <vt:variant>
        <vt:i4>5</vt:i4>
      </vt:variant>
      <vt:variant>
        <vt:lpwstr/>
      </vt:variant>
      <vt:variant>
        <vt:lpwstr>_Toc209581995</vt:lpwstr>
      </vt:variant>
      <vt:variant>
        <vt:i4>1703994</vt:i4>
      </vt:variant>
      <vt:variant>
        <vt:i4>198</vt:i4>
      </vt:variant>
      <vt:variant>
        <vt:i4>0</vt:i4>
      </vt:variant>
      <vt:variant>
        <vt:i4>5</vt:i4>
      </vt:variant>
      <vt:variant>
        <vt:lpwstr/>
      </vt:variant>
      <vt:variant>
        <vt:lpwstr>_Toc209581995</vt:lpwstr>
      </vt:variant>
      <vt:variant>
        <vt:i4>1703994</vt:i4>
      </vt:variant>
      <vt:variant>
        <vt:i4>192</vt:i4>
      </vt:variant>
      <vt:variant>
        <vt:i4>0</vt:i4>
      </vt:variant>
      <vt:variant>
        <vt:i4>5</vt:i4>
      </vt:variant>
      <vt:variant>
        <vt:lpwstr/>
      </vt:variant>
      <vt:variant>
        <vt:lpwstr>_Toc209581995</vt:lpwstr>
      </vt:variant>
      <vt:variant>
        <vt:i4>1048630</vt:i4>
      </vt:variant>
      <vt:variant>
        <vt:i4>185</vt:i4>
      </vt:variant>
      <vt:variant>
        <vt:i4>0</vt:i4>
      </vt:variant>
      <vt:variant>
        <vt:i4>5</vt:i4>
      </vt:variant>
      <vt:variant>
        <vt:lpwstr/>
      </vt:variant>
      <vt:variant>
        <vt:lpwstr>_Toc263163135</vt:lpwstr>
      </vt:variant>
      <vt:variant>
        <vt:i4>1048630</vt:i4>
      </vt:variant>
      <vt:variant>
        <vt:i4>179</vt:i4>
      </vt:variant>
      <vt:variant>
        <vt:i4>0</vt:i4>
      </vt:variant>
      <vt:variant>
        <vt:i4>5</vt:i4>
      </vt:variant>
      <vt:variant>
        <vt:lpwstr/>
      </vt:variant>
      <vt:variant>
        <vt:lpwstr>_Toc263163134</vt:lpwstr>
      </vt:variant>
      <vt:variant>
        <vt:i4>1048630</vt:i4>
      </vt:variant>
      <vt:variant>
        <vt:i4>173</vt:i4>
      </vt:variant>
      <vt:variant>
        <vt:i4>0</vt:i4>
      </vt:variant>
      <vt:variant>
        <vt:i4>5</vt:i4>
      </vt:variant>
      <vt:variant>
        <vt:lpwstr/>
      </vt:variant>
      <vt:variant>
        <vt:lpwstr>_Toc263163133</vt:lpwstr>
      </vt:variant>
      <vt:variant>
        <vt:i4>1048630</vt:i4>
      </vt:variant>
      <vt:variant>
        <vt:i4>167</vt:i4>
      </vt:variant>
      <vt:variant>
        <vt:i4>0</vt:i4>
      </vt:variant>
      <vt:variant>
        <vt:i4>5</vt:i4>
      </vt:variant>
      <vt:variant>
        <vt:lpwstr/>
      </vt:variant>
      <vt:variant>
        <vt:lpwstr>_Toc263163132</vt:lpwstr>
      </vt:variant>
      <vt:variant>
        <vt:i4>1048630</vt:i4>
      </vt:variant>
      <vt:variant>
        <vt:i4>158</vt:i4>
      </vt:variant>
      <vt:variant>
        <vt:i4>0</vt:i4>
      </vt:variant>
      <vt:variant>
        <vt:i4>5</vt:i4>
      </vt:variant>
      <vt:variant>
        <vt:lpwstr/>
      </vt:variant>
      <vt:variant>
        <vt:lpwstr>_Toc263163131</vt:lpwstr>
      </vt:variant>
      <vt:variant>
        <vt:i4>1048630</vt:i4>
      </vt:variant>
      <vt:variant>
        <vt:i4>152</vt:i4>
      </vt:variant>
      <vt:variant>
        <vt:i4>0</vt:i4>
      </vt:variant>
      <vt:variant>
        <vt:i4>5</vt:i4>
      </vt:variant>
      <vt:variant>
        <vt:lpwstr/>
      </vt:variant>
      <vt:variant>
        <vt:lpwstr>_Toc263163130</vt:lpwstr>
      </vt:variant>
      <vt:variant>
        <vt:i4>1114166</vt:i4>
      </vt:variant>
      <vt:variant>
        <vt:i4>146</vt:i4>
      </vt:variant>
      <vt:variant>
        <vt:i4>0</vt:i4>
      </vt:variant>
      <vt:variant>
        <vt:i4>5</vt:i4>
      </vt:variant>
      <vt:variant>
        <vt:lpwstr/>
      </vt:variant>
      <vt:variant>
        <vt:lpwstr>_Toc263163129</vt:lpwstr>
      </vt:variant>
      <vt:variant>
        <vt:i4>1114166</vt:i4>
      </vt:variant>
      <vt:variant>
        <vt:i4>140</vt:i4>
      </vt:variant>
      <vt:variant>
        <vt:i4>0</vt:i4>
      </vt:variant>
      <vt:variant>
        <vt:i4>5</vt:i4>
      </vt:variant>
      <vt:variant>
        <vt:lpwstr/>
      </vt:variant>
      <vt:variant>
        <vt:lpwstr>_Toc263163128</vt:lpwstr>
      </vt:variant>
      <vt:variant>
        <vt:i4>1114166</vt:i4>
      </vt:variant>
      <vt:variant>
        <vt:i4>134</vt:i4>
      </vt:variant>
      <vt:variant>
        <vt:i4>0</vt:i4>
      </vt:variant>
      <vt:variant>
        <vt:i4>5</vt:i4>
      </vt:variant>
      <vt:variant>
        <vt:lpwstr/>
      </vt:variant>
      <vt:variant>
        <vt:lpwstr>_Toc263163127</vt:lpwstr>
      </vt:variant>
      <vt:variant>
        <vt:i4>1114166</vt:i4>
      </vt:variant>
      <vt:variant>
        <vt:i4>128</vt:i4>
      </vt:variant>
      <vt:variant>
        <vt:i4>0</vt:i4>
      </vt:variant>
      <vt:variant>
        <vt:i4>5</vt:i4>
      </vt:variant>
      <vt:variant>
        <vt:lpwstr/>
      </vt:variant>
      <vt:variant>
        <vt:lpwstr>_Toc263163126</vt:lpwstr>
      </vt:variant>
      <vt:variant>
        <vt:i4>1114166</vt:i4>
      </vt:variant>
      <vt:variant>
        <vt:i4>122</vt:i4>
      </vt:variant>
      <vt:variant>
        <vt:i4>0</vt:i4>
      </vt:variant>
      <vt:variant>
        <vt:i4>5</vt:i4>
      </vt:variant>
      <vt:variant>
        <vt:lpwstr/>
      </vt:variant>
      <vt:variant>
        <vt:lpwstr>_Toc263163125</vt:lpwstr>
      </vt:variant>
      <vt:variant>
        <vt:i4>1114166</vt:i4>
      </vt:variant>
      <vt:variant>
        <vt:i4>116</vt:i4>
      </vt:variant>
      <vt:variant>
        <vt:i4>0</vt:i4>
      </vt:variant>
      <vt:variant>
        <vt:i4>5</vt:i4>
      </vt:variant>
      <vt:variant>
        <vt:lpwstr/>
      </vt:variant>
      <vt:variant>
        <vt:lpwstr>_Toc263163124</vt:lpwstr>
      </vt:variant>
      <vt:variant>
        <vt:i4>1114166</vt:i4>
      </vt:variant>
      <vt:variant>
        <vt:i4>110</vt:i4>
      </vt:variant>
      <vt:variant>
        <vt:i4>0</vt:i4>
      </vt:variant>
      <vt:variant>
        <vt:i4>5</vt:i4>
      </vt:variant>
      <vt:variant>
        <vt:lpwstr/>
      </vt:variant>
      <vt:variant>
        <vt:lpwstr>_Toc263163123</vt:lpwstr>
      </vt:variant>
      <vt:variant>
        <vt:i4>1114166</vt:i4>
      </vt:variant>
      <vt:variant>
        <vt:i4>104</vt:i4>
      </vt:variant>
      <vt:variant>
        <vt:i4>0</vt:i4>
      </vt:variant>
      <vt:variant>
        <vt:i4>5</vt:i4>
      </vt:variant>
      <vt:variant>
        <vt:lpwstr/>
      </vt:variant>
      <vt:variant>
        <vt:lpwstr>_Toc263163122</vt:lpwstr>
      </vt:variant>
      <vt:variant>
        <vt:i4>1114166</vt:i4>
      </vt:variant>
      <vt:variant>
        <vt:i4>98</vt:i4>
      </vt:variant>
      <vt:variant>
        <vt:i4>0</vt:i4>
      </vt:variant>
      <vt:variant>
        <vt:i4>5</vt:i4>
      </vt:variant>
      <vt:variant>
        <vt:lpwstr/>
      </vt:variant>
      <vt:variant>
        <vt:lpwstr>_Toc263163121</vt:lpwstr>
      </vt:variant>
      <vt:variant>
        <vt:i4>1114166</vt:i4>
      </vt:variant>
      <vt:variant>
        <vt:i4>92</vt:i4>
      </vt:variant>
      <vt:variant>
        <vt:i4>0</vt:i4>
      </vt:variant>
      <vt:variant>
        <vt:i4>5</vt:i4>
      </vt:variant>
      <vt:variant>
        <vt:lpwstr/>
      </vt:variant>
      <vt:variant>
        <vt:lpwstr>_Toc263163120</vt:lpwstr>
      </vt:variant>
      <vt:variant>
        <vt:i4>1179702</vt:i4>
      </vt:variant>
      <vt:variant>
        <vt:i4>86</vt:i4>
      </vt:variant>
      <vt:variant>
        <vt:i4>0</vt:i4>
      </vt:variant>
      <vt:variant>
        <vt:i4>5</vt:i4>
      </vt:variant>
      <vt:variant>
        <vt:lpwstr/>
      </vt:variant>
      <vt:variant>
        <vt:lpwstr>_Toc263163119</vt:lpwstr>
      </vt:variant>
      <vt:variant>
        <vt:i4>1179702</vt:i4>
      </vt:variant>
      <vt:variant>
        <vt:i4>80</vt:i4>
      </vt:variant>
      <vt:variant>
        <vt:i4>0</vt:i4>
      </vt:variant>
      <vt:variant>
        <vt:i4>5</vt:i4>
      </vt:variant>
      <vt:variant>
        <vt:lpwstr/>
      </vt:variant>
      <vt:variant>
        <vt:lpwstr>_Toc263163118</vt:lpwstr>
      </vt:variant>
      <vt:variant>
        <vt:i4>1179702</vt:i4>
      </vt:variant>
      <vt:variant>
        <vt:i4>74</vt:i4>
      </vt:variant>
      <vt:variant>
        <vt:i4>0</vt:i4>
      </vt:variant>
      <vt:variant>
        <vt:i4>5</vt:i4>
      </vt:variant>
      <vt:variant>
        <vt:lpwstr/>
      </vt:variant>
      <vt:variant>
        <vt:lpwstr>_Toc263163117</vt:lpwstr>
      </vt:variant>
      <vt:variant>
        <vt:i4>1179702</vt:i4>
      </vt:variant>
      <vt:variant>
        <vt:i4>68</vt:i4>
      </vt:variant>
      <vt:variant>
        <vt:i4>0</vt:i4>
      </vt:variant>
      <vt:variant>
        <vt:i4>5</vt:i4>
      </vt:variant>
      <vt:variant>
        <vt:lpwstr/>
      </vt:variant>
      <vt:variant>
        <vt:lpwstr>_Toc263163116</vt:lpwstr>
      </vt:variant>
      <vt:variant>
        <vt:i4>1179702</vt:i4>
      </vt:variant>
      <vt:variant>
        <vt:i4>62</vt:i4>
      </vt:variant>
      <vt:variant>
        <vt:i4>0</vt:i4>
      </vt:variant>
      <vt:variant>
        <vt:i4>5</vt:i4>
      </vt:variant>
      <vt:variant>
        <vt:lpwstr/>
      </vt:variant>
      <vt:variant>
        <vt:lpwstr>_Toc263163115</vt:lpwstr>
      </vt:variant>
      <vt:variant>
        <vt:i4>1179702</vt:i4>
      </vt:variant>
      <vt:variant>
        <vt:i4>56</vt:i4>
      </vt:variant>
      <vt:variant>
        <vt:i4>0</vt:i4>
      </vt:variant>
      <vt:variant>
        <vt:i4>5</vt:i4>
      </vt:variant>
      <vt:variant>
        <vt:lpwstr/>
      </vt:variant>
      <vt:variant>
        <vt:lpwstr>_Toc263163114</vt:lpwstr>
      </vt:variant>
      <vt:variant>
        <vt:i4>1179702</vt:i4>
      </vt:variant>
      <vt:variant>
        <vt:i4>50</vt:i4>
      </vt:variant>
      <vt:variant>
        <vt:i4>0</vt:i4>
      </vt:variant>
      <vt:variant>
        <vt:i4>5</vt:i4>
      </vt:variant>
      <vt:variant>
        <vt:lpwstr/>
      </vt:variant>
      <vt:variant>
        <vt:lpwstr>_Toc263163113</vt:lpwstr>
      </vt:variant>
      <vt:variant>
        <vt:i4>1179702</vt:i4>
      </vt:variant>
      <vt:variant>
        <vt:i4>44</vt:i4>
      </vt:variant>
      <vt:variant>
        <vt:i4>0</vt:i4>
      </vt:variant>
      <vt:variant>
        <vt:i4>5</vt:i4>
      </vt:variant>
      <vt:variant>
        <vt:lpwstr/>
      </vt:variant>
      <vt:variant>
        <vt:lpwstr>_Toc263163112</vt:lpwstr>
      </vt:variant>
      <vt:variant>
        <vt:i4>1179702</vt:i4>
      </vt:variant>
      <vt:variant>
        <vt:i4>38</vt:i4>
      </vt:variant>
      <vt:variant>
        <vt:i4>0</vt:i4>
      </vt:variant>
      <vt:variant>
        <vt:i4>5</vt:i4>
      </vt:variant>
      <vt:variant>
        <vt:lpwstr/>
      </vt:variant>
      <vt:variant>
        <vt:lpwstr>_Toc263163111</vt:lpwstr>
      </vt:variant>
      <vt:variant>
        <vt:i4>1179702</vt:i4>
      </vt:variant>
      <vt:variant>
        <vt:i4>32</vt:i4>
      </vt:variant>
      <vt:variant>
        <vt:i4>0</vt:i4>
      </vt:variant>
      <vt:variant>
        <vt:i4>5</vt:i4>
      </vt:variant>
      <vt:variant>
        <vt:lpwstr/>
      </vt:variant>
      <vt:variant>
        <vt:lpwstr>_Toc263163110</vt:lpwstr>
      </vt:variant>
      <vt:variant>
        <vt:i4>1245238</vt:i4>
      </vt:variant>
      <vt:variant>
        <vt:i4>26</vt:i4>
      </vt:variant>
      <vt:variant>
        <vt:i4>0</vt:i4>
      </vt:variant>
      <vt:variant>
        <vt:i4>5</vt:i4>
      </vt:variant>
      <vt:variant>
        <vt:lpwstr/>
      </vt:variant>
      <vt:variant>
        <vt:lpwstr>_Toc263163109</vt:lpwstr>
      </vt:variant>
      <vt:variant>
        <vt:i4>1245238</vt:i4>
      </vt:variant>
      <vt:variant>
        <vt:i4>20</vt:i4>
      </vt:variant>
      <vt:variant>
        <vt:i4>0</vt:i4>
      </vt:variant>
      <vt:variant>
        <vt:i4>5</vt:i4>
      </vt:variant>
      <vt:variant>
        <vt:lpwstr/>
      </vt:variant>
      <vt:variant>
        <vt:lpwstr>_Toc263163108</vt:lpwstr>
      </vt:variant>
      <vt:variant>
        <vt:i4>1245238</vt:i4>
      </vt:variant>
      <vt:variant>
        <vt:i4>14</vt:i4>
      </vt:variant>
      <vt:variant>
        <vt:i4>0</vt:i4>
      </vt:variant>
      <vt:variant>
        <vt:i4>5</vt:i4>
      </vt:variant>
      <vt:variant>
        <vt:lpwstr/>
      </vt:variant>
      <vt:variant>
        <vt:lpwstr>_Toc263163107</vt:lpwstr>
      </vt:variant>
      <vt:variant>
        <vt:i4>1245238</vt:i4>
      </vt:variant>
      <vt:variant>
        <vt:i4>8</vt:i4>
      </vt:variant>
      <vt:variant>
        <vt:i4>0</vt:i4>
      </vt:variant>
      <vt:variant>
        <vt:i4>5</vt:i4>
      </vt:variant>
      <vt:variant>
        <vt:lpwstr/>
      </vt:variant>
      <vt:variant>
        <vt:lpwstr>_Toc263163106</vt:lpwstr>
      </vt:variant>
      <vt:variant>
        <vt:i4>1245238</vt:i4>
      </vt:variant>
      <vt:variant>
        <vt:i4>2</vt:i4>
      </vt:variant>
      <vt:variant>
        <vt:i4>0</vt:i4>
      </vt:variant>
      <vt:variant>
        <vt:i4>5</vt:i4>
      </vt:variant>
      <vt:variant>
        <vt:lpwstr/>
      </vt:variant>
      <vt:variant>
        <vt:lpwstr>_Toc263163105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McCulloch Laury</dc:creator>
  <cp:lastModifiedBy>Chris Adriaansen</cp:lastModifiedBy>
  <cp:revision>16</cp:revision>
  <cp:lastPrinted>2015-03-25T03:25:00Z</cp:lastPrinted>
  <dcterms:created xsi:type="dcterms:W3CDTF">2015-03-25T03:14:00Z</dcterms:created>
  <dcterms:modified xsi:type="dcterms:W3CDTF">2015-04-27T23:36:00Z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