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3AD9" w14:textId="77777777" w:rsidR="00F34D1C" w:rsidRDefault="00F34D1C" w:rsidP="00F34D1C">
      <w:pPr>
        <w:jc w:val="center"/>
        <w:rPr>
          <w:rFonts w:ascii="Calibri" w:hAnsi="Calibri"/>
          <w:b/>
          <w:sz w:val="28"/>
        </w:rPr>
      </w:pPr>
    </w:p>
    <w:p w14:paraId="797B9874" w14:textId="77777777" w:rsidR="00F34D1C" w:rsidRDefault="008B5AB6" w:rsidP="00422C00">
      <w:pPr>
        <w:jc w:val="center"/>
        <w:rPr>
          <w:rFonts w:ascii="Calibri" w:hAnsi="Calibri"/>
          <w:b/>
          <w:sz w:val="28"/>
        </w:rPr>
      </w:pPr>
      <w:r w:rsidRPr="00776932">
        <w:rPr>
          <w:rFonts w:ascii="Calibri" w:hAnsi="Calibri"/>
          <w:b/>
          <w:sz w:val="28"/>
        </w:rPr>
        <w:t xml:space="preserve">Memorandum of Understanding </w:t>
      </w:r>
    </w:p>
    <w:p w14:paraId="1594A3A3" w14:textId="77777777" w:rsidR="00F34D1C" w:rsidRDefault="00F34D1C" w:rsidP="00422C00">
      <w:pPr>
        <w:jc w:val="center"/>
        <w:rPr>
          <w:rFonts w:ascii="Calibri" w:hAnsi="Calibri"/>
          <w:b/>
          <w:sz w:val="28"/>
        </w:rPr>
      </w:pPr>
    </w:p>
    <w:p w14:paraId="025663AF" w14:textId="28A153C3" w:rsidR="008B5AB6" w:rsidRDefault="00776932" w:rsidP="00422C00">
      <w:pPr>
        <w:jc w:val="center"/>
        <w:rPr>
          <w:rFonts w:ascii="Calibri" w:hAnsi="Calibri"/>
          <w:b/>
          <w:sz w:val="28"/>
        </w:rPr>
      </w:pPr>
      <w:r w:rsidRPr="00776932">
        <w:rPr>
          <w:rFonts w:ascii="Calibri" w:hAnsi="Calibri"/>
          <w:b/>
          <w:sz w:val="28"/>
        </w:rPr>
        <w:t>Modernising Victoria’s Regional Forest Agreement</w:t>
      </w:r>
      <w:r w:rsidR="000E7B00">
        <w:rPr>
          <w:rFonts w:ascii="Calibri" w:hAnsi="Calibri"/>
          <w:b/>
          <w:sz w:val="28"/>
        </w:rPr>
        <w:t xml:space="preserve"> </w:t>
      </w:r>
      <w:r w:rsidR="000E7B00" w:rsidRPr="006778A7">
        <w:rPr>
          <w:rFonts w:ascii="Calibri" w:hAnsi="Calibri"/>
          <w:b/>
          <w:sz w:val="28"/>
        </w:rPr>
        <w:t>Framework</w:t>
      </w:r>
    </w:p>
    <w:p w14:paraId="473ADE48" w14:textId="77777777" w:rsidR="00F34D1C" w:rsidRPr="00776932" w:rsidRDefault="00F34D1C" w:rsidP="00422C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between </w:t>
      </w:r>
    </w:p>
    <w:p w14:paraId="386E425B" w14:textId="77777777" w:rsidR="00F34D1C" w:rsidRPr="00776932" w:rsidRDefault="00F34D1C" w:rsidP="00F34D1C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the </w:t>
      </w:r>
      <w:r w:rsidR="00F8737F">
        <w:rPr>
          <w:rFonts w:ascii="Calibri" w:hAnsi="Calibri"/>
          <w:b/>
          <w:sz w:val="28"/>
        </w:rPr>
        <w:t>Commonwealth of Australia</w:t>
      </w:r>
      <w:r w:rsidRPr="00776932">
        <w:rPr>
          <w:rFonts w:ascii="Calibri" w:hAnsi="Calibri"/>
          <w:b/>
          <w:sz w:val="28"/>
        </w:rPr>
        <w:t xml:space="preserve"> and </w:t>
      </w:r>
      <w:r w:rsidR="00DE6238">
        <w:rPr>
          <w:rFonts w:ascii="Calibri" w:hAnsi="Calibri"/>
          <w:b/>
          <w:sz w:val="28"/>
        </w:rPr>
        <w:t xml:space="preserve">the </w:t>
      </w:r>
      <w:r w:rsidR="00F8737F">
        <w:rPr>
          <w:rFonts w:ascii="Calibri" w:hAnsi="Calibri"/>
          <w:b/>
          <w:sz w:val="28"/>
        </w:rPr>
        <w:t>State of Victoria</w:t>
      </w:r>
    </w:p>
    <w:p w14:paraId="78F47180" w14:textId="77777777" w:rsidR="004B08E0" w:rsidRDefault="004B08E0" w:rsidP="00D24E71">
      <w:pPr>
        <w:rPr>
          <w:rFonts w:ascii="Calibri" w:hAnsi="Calibri"/>
          <w:b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10793602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B33089" w14:textId="77777777" w:rsidR="007935B0" w:rsidRDefault="007935B0">
          <w:pPr>
            <w:pStyle w:val="TOCHeading"/>
          </w:pPr>
          <w:r>
            <w:t>Contents</w:t>
          </w:r>
        </w:p>
        <w:p w14:paraId="173CE76A" w14:textId="7555D8B1" w:rsidR="004061AF" w:rsidRDefault="007935B0">
          <w:pPr>
            <w:pStyle w:val="TOC1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80104" w:history="1">
            <w:r w:rsidR="004061AF" w:rsidRPr="004A07AA">
              <w:rPr>
                <w:rStyle w:val="Hyperlink"/>
                <w:noProof/>
              </w:rPr>
              <w:t>Background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_Toc504980104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 w:rsidR="006778A7">
              <w:rPr>
                <w:noProof/>
                <w:webHidden/>
              </w:rPr>
              <w:t>2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168697C4" w14:textId="7966E21A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05" w:history="1">
            <w:r w:rsidR="004061AF" w:rsidRPr="004A07AA">
              <w:rPr>
                <w:rStyle w:val="Hyperlink"/>
                <w:noProof/>
              </w:rPr>
              <w:t>Objectives of Regional Forest Agreements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_Toc504980105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4478EDE7" w14:textId="7AFCFD8C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06" w:history="1">
            <w:r w:rsidR="004061AF" w:rsidRPr="004A07AA">
              <w:rPr>
                <w:rStyle w:val="Hyperlink"/>
                <w:noProof/>
              </w:rPr>
              <w:t>Purpose of the Memorandum of Understanding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_Toc504980106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6E4B9D7E" w14:textId="5697D8AC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07" w:history="1">
            <w:r w:rsidR="004061AF" w:rsidRPr="004A07AA">
              <w:rPr>
                <w:rStyle w:val="Hyperlink"/>
                <w:noProof/>
              </w:rPr>
              <w:t>Parties to the MOU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_Toc504980107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65E5DE29" w14:textId="1A601F38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08" w:history="1">
            <w:r w:rsidR="004061AF" w:rsidRPr="004A07AA">
              <w:rPr>
                <w:rStyle w:val="Hyperlink"/>
                <w:noProof/>
              </w:rPr>
              <w:t>Context of the MOU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_Toc504980108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3E88C09B" w14:textId="749A6DEC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09" w:history="1">
            <w:r w:rsidR="004061AF" w:rsidRPr="004A07AA">
              <w:rPr>
                <w:rStyle w:val="Hyperlink"/>
                <w:noProof/>
              </w:rPr>
              <w:t>Period of the MOU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_Toc504980109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1F51E1DD" w14:textId="6377FAFB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0" w:history="1">
            <w:r w:rsidR="004061AF" w:rsidRPr="004A07AA">
              <w:rPr>
                <w:rStyle w:val="Hyperlink"/>
                <w:noProof/>
              </w:rPr>
              <w:t>Regional Forest Agreements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_Toc504980110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23528FD0" w14:textId="0CE45FF4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1" w:history="1">
            <w:r w:rsidR="004061AF" w:rsidRPr="004A07AA">
              <w:rPr>
                <w:rStyle w:val="Hyperlink"/>
                <w:noProof/>
              </w:rPr>
              <w:t>Term of Regional Forest Agreements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_Toc504980111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3163DEB4" w14:textId="3041D547" w:rsidR="004061AF" w:rsidRDefault="006778A7">
          <w:pPr>
            <w:pStyle w:val="TOC1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2" w:history="1">
            <w:r w:rsidR="004061AF" w:rsidRPr="004A07AA">
              <w:rPr>
                <w:rStyle w:val="Hyperlink"/>
                <w:noProof/>
              </w:rPr>
              <w:t>Areas of focus for modernisation of Victoria’s five RFAs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_Toc504980112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5F636572" w14:textId="689FE320" w:rsidR="004061AF" w:rsidRDefault="006778A7">
          <w:pPr>
            <w:pStyle w:val="TOC1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3" w:history="1">
            <w:r w:rsidR="004061AF" w:rsidRPr="004A07AA">
              <w:rPr>
                <w:rStyle w:val="Hyperlink"/>
                <w:noProof/>
              </w:rPr>
              <w:t>Amendment process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_Toc504980113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0337C040" w14:textId="58D936C3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4" w:history="1">
            <w:r w:rsidR="004061AF" w:rsidRPr="004A07AA">
              <w:rPr>
                <w:rStyle w:val="Hyperlink"/>
                <w:noProof/>
              </w:rPr>
              <w:t>A timetable of milestones to be met by March 2020;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_Toc504980114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0CD71811" w14:textId="2016C583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5" w:history="1">
            <w:r w:rsidR="004061AF" w:rsidRPr="004A07AA">
              <w:rPr>
                <w:rStyle w:val="Hyperlink"/>
                <w:noProof/>
              </w:rPr>
              <w:t>Further assessments of matters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_Toc504980115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32C2FC3A" w14:textId="24A3F0EF" w:rsidR="004061AF" w:rsidRDefault="006778A7">
          <w:pPr>
            <w:pStyle w:val="TOC2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6" w:history="1">
            <w:r w:rsidR="004061AF" w:rsidRPr="004A07AA">
              <w:rPr>
                <w:rStyle w:val="Hyperlink"/>
                <w:noProof/>
              </w:rPr>
              <w:t>Community engagement - additional community consultation processes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_Toc504980116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7D530271" w14:textId="405EB918" w:rsidR="004061AF" w:rsidRDefault="006778A7">
          <w:pPr>
            <w:pStyle w:val="TOC1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7" w:history="1">
            <w:r w:rsidR="004061AF" w:rsidRPr="004A07AA">
              <w:rPr>
                <w:rStyle w:val="Hyperlink"/>
                <w:noProof/>
              </w:rPr>
              <w:t>Governance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_Toc504980117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7491A1A5" w14:textId="0CEFB75F" w:rsidR="004061AF" w:rsidRDefault="006778A7">
          <w:pPr>
            <w:pStyle w:val="TOC1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8" w:history="1">
            <w:r w:rsidR="004061AF" w:rsidRPr="004A07AA">
              <w:rPr>
                <w:rStyle w:val="Hyperlink"/>
                <w:noProof/>
              </w:rPr>
              <w:t>Resourcing needs and contributions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_Toc504980118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11F33174" w14:textId="635A6F55" w:rsidR="004061AF" w:rsidRDefault="006778A7">
          <w:pPr>
            <w:pStyle w:val="TOC1"/>
            <w:tabs>
              <w:tab w:val="right" w:leader="dot" w:pos="8290"/>
            </w:tabs>
            <w:rPr>
              <w:rFonts w:eastAsiaTheme="minorEastAsia"/>
              <w:noProof/>
              <w:lang w:eastAsia="en-AU"/>
            </w:rPr>
          </w:pPr>
          <w:hyperlink w:anchor="_Toc504980119" w:history="1">
            <w:r w:rsidR="004061AF" w:rsidRPr="004A07AA">
              <w:rPr>
                <w:rStyle w:val="Hyperlink"/>
                <w:noProof/>
              </w:rPr>
              <w:t>Signatory page</w:t>
            </w:r>
            <w:r w:rsidR="004061AF">
              <w:rPr>
                <w:noProof/>
                <w:webHidden/>
              </w:rPr>
              <w:tab/>
            </w:r>
            <w:r w:rsidR="004061AF">
              <w:rPr>
                <w:noProof/>
                <w:webHidden/>
              </w:rPr>
              <w:fldChar w:fldCharType="begin"/>
            </w:r>
            <w:r w:rsidR="004061AF">
              <w:rPr>
                <w:noProof/>
                <w:webHidden/>
              </w:rPr>
              <w:instrText xml:space="preserve"> PAGEREF _Toc504980119 \h </w:instrText>
            </w:r>
            <w:r w:rsidR="004061AF">
              <w:rPr>
                <w:noProof/>
                <w:webHidden/>
              </w:rPr>
            </w:r>
            <w:r w:rsidR="004061A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4061AF">
              <w:rPr>
                <w:noProof/>
                <w:webHidden/>
              </w:rPr>
              <w:fldChar w:fldCharType="end"/>
            </w:r>
          </w:hyperlink>
        </w:p>
        <w:p w14:paraId="6B14C5DE" w14:textId="7DECA948" w:rsidR="007935B0" w:rsidRDefault="007935B0">
          <w:r>
            <w:rPr>
              <w:b/>
              <w:bCs/>
              <w:noProof/>
            </w:rPr>
            <w:fldChar w:fldCharType="end"/>
          </w:r>
        </w:p>
      </w:sdtContent>
    </w:sdt>
    <w:p w14:paraId="16F7C4C5" w14:textId="77777777" w:rsidR="00835428" w:rsidRDefault="00835428" w:rsidP="00A57A0B">
      <w:pPr>
        <w:spacing w:after="0" w:line="240" w:lineRule="auto"/>
        <w:rPr>
          <w:rFonts w:ascii="Calibri" w:hAnsi="Calibri"/>
        </w:rPr>
      </w:pPr>
    </w:p>
    <w:p w14:paraId="3A447B6E" w14:textId="77777777" w:rsidR="00CF7AF0" w:rsidRPr="00A57A0B" w:rsidRDefault="00CF7AF0" w:rsidP="00A57A0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703FF7D6" w14:textId="77777777" w:rsidR="00C6085B" w:rsidRDefault="00776932" w:rsidP="00776932">
      <w:pPr>
        <w:pStyle w:val="Heading1"/>
      </w:pPr>
      <w:bookmarkStart w:id="0" w:name="_Toc503777689"/>
      <w:bookmarkStart w:id="1" w:name="_Toc504980104"/>
      <w:r>
        <w:lastRenderedPageBreak/>
        <w:t>Background</w:t>
      </w:r>
      <w:bookmarkEnd w:id="0"/>
      <w:bookmarkEnd w:id="1"/>
    </w:p>
    <w:p w14:paraId="6113B484" w14:textId="77777777" w:rsidR="000B4149" w:rsidRPr="003E0C93" w:rsidRDefault="000B4149" w:rsidP="000B4149">
      <w:pPr>
        <w:pStyle w:val="Heading2"/>
      </w:pPr>
      <w:bookmarkStart w:id="2" w:name="_Toc503777690"/>
      <w:bookmarkStart w:id="3" w:name="_Toc504980105"/>
      <w:r>
        <w:t>Object</w:t>
      </w:r>
      <w:r w:rsidR="00E2397F">
        <w:t>ives</w:t>
      </w:r>
      <w:r>
        <w:t xml:space="preserve"> of Regional Forest Agreements</w:t>
      </w:r>
      <w:bookmarkEnd w:id="2"/>
      <w:bookmarkEnd w:id="3"/>
    </w:p>
    <w:p w14:paraId="4C011BD2" w14:textId="77777777" w:rsidR="000B4149" w:rsidRDefault="000B4149" w:rsidP="000B4149">
      <w:pPr>
        <w:rPr>
          <w:rFonts w:ascii="Calibri" w:hAnsi="Calibri"/>
        </w:rPr>
      </w:pPr>
      <w:r>
        <w:rPr>
          <w:rFonts w:ascii="Calibri" w:hAnsi="Calibri"/>
        </w:rPr>
        <w:t>The Parties agree</w:t>
      </w:r>
      <w:r w:rsidR="00D5562E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objectives of Regional Forest Agreement</w:t>
      </w:r>
      <w:r w:rsidR="00D5562E">
        <w:rPr>
          <w:rFonts w:ascii="Calibri" w:hAnsi="Calibri"/>
        </w:rPr>
        <w:t>s (RFA</w:t>
      </w:r>
      <w:r w:rsidR="00A57A0B">
        <w:rPr>
          <w:rFonts w:ascii="Calibri" w:hAnsi="Calibri"/>
        </w:rPr>
        <w:t>s</w:t>
      </w:r>
      <w:r w:rsidR="00D5562E">
        <w:rPr>
          <w:rFonts w:ascii="Calibri" w:hAnsi="Calibri"/>
        </w:rPr>
        <w:t xml:space="preserve">) </w:t>
      </w:r>
      <w:r w:rsidR="00E95132">
        <w:rPr>
          <w:rFonts w:ascii="Calibri" w:hAnsi="Calibri"/>
        </w:rPr>
        <w:t>are</w:t>
      </w:r>
      <w:r>
        <w:rPr>
          <w:rFonts w:ascii="Calibri" w:hAnsi="Calibri"/>
        </w:rPr>
        <w:t xml:space="preserve"> to:</w:t>
      </w:r>
    </w:p>
    <w:p w14:paraId="61952865" w14:textId="77777777" w:rsidR="000B4149" w:rsidRDefault="000B4149" w:rsidP="000B4149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provide for a comprehensive, adequate and representative reserve system;</w:t>
      </w:r>
    </w:p>
    <w:p w14:paraId="323B941E" w14:textId="77777777" w:rsidR="000B4149" w:rsidRPr="00C47147" w:rsidRDefault="000B4149" w:rsidP="000B4149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C47147">
        <w:rPr>
          <w:rFonts w:ascii="Calibri" w:hAnsi="Calibri"/>
        </w:rPr>
        <w:t>provide for the ecologically sustainable management and use of forested areas in a region or regions; and</w:t>
      </w:r>
    </w:p>
    <w:p w14:paraId="32AE0C2E" w14:textId="77777777" w:rsidR="000B4149" w:rsidRPr="00286E25" w:rsidRDefault="000B4149" w:rsidP="000B4149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provide for the long-term stability of forests and forest industries.</w:t>
      </w:r>
    </w:p>
    <w:p w14:paraId="5A160CE9" w14:textId="77777777" w:rsidR="005E5B2D" w:rsidRDefault="005E5B2D" w:rsidP="005E5B2D">
      <w:pPr>
        <w:pStyle w:val="Heading2"/>
      </w:pPr>
      <w:bookmarkStart w:id="4" w:name="_Toc503777691"/>
      <w:bookmarkStart w:id="5" w:name="_Toc504980106"/>
      <w:r>
        <w:t xml:space="preserve">Purpose of </w:t>
      </w:r>
      <w:r w:rsidR="00DC3974">
        <w:t xml:space="preserve">the </w:t>
      </w:r>
      <w:r w:rsidR="004272AE">
        <w:t>Memorandum of Understanding</w:t>
      </w:r>
      <w:bookmarkEnd w:id="4"/>
      <w:bookmarkEnd w:id="5"/>
      <w:r w:rsidR="004272AE">
        <w:t xml:space="preserve"> </w:t>
      </w:r>
    </w:p>
    <w:p w14:paraId="1AFA3C6F" w14:textId="5C01A3D7" w:rsidR="007935B0" w:rsidRPr="00422C00" w:rsidRDefault="00BF0FDF" w:rsidP="00422C00">
      <w:pPr>
        <w:rPr>
          <w:rFonts w:ascii="Calibri" w:hAnsi="Calibri"/>
        </w:rPr>
      </w:pPr>
      <w:r w:rsidRPr="00422C00">
        <w:rPr>
          <w:rFonts w:ascii="Calibri" w:hAnsi="Calibri"/>
        </w:rPr>
        <w:t xml:space="preserve">The </w:t>
      </w:r>
      <w:r w:rsidR="007935B0" w:rsidRPr="00422C00">
        <w:rPr>
          <w:rFonts w:ascii="Calibri" w:hAnsi="Calibri"/>
        </w:rPr>
        <w:t xml:space="preserve">purpose </w:t>
      </w:r>
      <w:r w:rsidRPr="00422C00">
        <w:rPr>
          <w:rFonts w:ascii="Calibri" w:hAnsi="Calibri"/>
        </w:rPr>
        <w:t xml:space="preserve">of this </w:t>
      </w:r>
      <w:r w:rsidR="00A57A0B">
        <w:rPr>
          <w:rFonts w:ascii="Calibri" w:hAnsi="Calibri"/>
        </w:rPr>
        <w:t>Memorandum of Understanding (</w:t>
      </w:r>
      <w:r w:rsidRPr="00422C00">
        <w:rPr>
          <w:rFonts w:ascii="Calibri" w:hAnsi="Calibri"/>
        </w:rPr>
        <w:t>MOU</w:t>
      </w:r>
      <w:r w:rsidR="00A57A0B">
        <w:rPr>
          <w:rFonts w:ascii="Calibri" w:hAnsi="Calibri"/>
        </w:rPr>
        <w:t>)</w:t>
      </w:r>
      <w:r w:rsidRPr="00422C00">
        <w:rPr>
          <w:rFonts w:ascii="Calibri" w:hAnsi="Calibri"/>
        </w:rPr>
        <w:t xml:space="preserve"> is </w:t>
      </w:r>
      <w:r w:rsidR="0031681A">
        <w:rPr>
          <w:rFonts w:ascii="Calibri" w:hAnsi="Calibri"/>
        </w:rPr>
        <w:t>to</w:t>
      </w:r>
      <w:r w:rsidR="007935B0" w:rsidRPr="00422C00">
        <w:rPr>
          <w:rFonts w:ascii="Calibri" w:hAnsi="Calibri"/>
        </w:rPr>
        <w:t xml:space="preserve"> set out actions </w:t>
      </w:r>
      <w:r w:rsidR="0031681A" w:rsidRPr="00AF7BBF">
        <w:rPr>
          <w:rFonts w:ascii="Calibri" w:hAnsi="Calibri"/>
        </w:rPr>
        <w:t>to be undertaken</w:t>
      </w:r>
      <w:r w:rsidR="0031681A" w:rsidRPr="0031681A">
        <w:rPr>
          <w:rFonts w:ascii="Calibri" w:hAnsi="Calibri"/>
        </w:rPr>
        <w:t xml:space="preserve"> </w:t>
      </w:r>
      <w:r w:rsidR="00B0593C" w:rsidRPr="00422C00">
        <w:rPr>
          <w:rFonts w:ascii="Calibri" w:hAnsi="Calibri"/>
        </w:rPr>
        <w:t xml:space="preserve">by </w:t>
      </w:r>
      <w:r w:rsidRPr="00422C00">
        <w:rPr>
          <w:rFonts w:ascii="Calibri" w:hAnsi="Calibri"/>
        </w:rPr>
        <w:t>th</w:t>
      </w:r>
      <w:r w:rsidR="001679A0" w:rsidRPr="00422C00">
        <w:rPr>
          <w:rFonts w:ascii="Calibri" w:hAnsi="Calibri"/>
        </w:rPr>
        <w:t xml:space="preserve">e </w:t>
      </w:r>
      <w:r w:rsidR="007F311D">
        <w:rPr>
          <w:rFonts w:ascii="Calibri" w:hAnsi="Calibri"/>
        </w:rPr>
        <w:t>Australian</w:t>
      </w:r>
      <w:r w:rsidR="007F311D" w:rsidRPr="00422C00">
        <w:rPr>
          <w:rFonts w:ascii="Calibri" w:hAnsi="Calibri"/>
        </w:rPr>
        <w:t xml:space="preserve"> </w:t>
      </w:r>
      <w:r w:rsidR="001679A0" w:rsidRPr="00422C00">
        <w:rPr>
          <w:rFonts w:ascii="Calibri" w:hAnsi="Calibri"/>
        </w:rPr>
        <w:t>and Victoria</w:t>
      </w:r>
      <w:r w:rsidR="007F311D">
        <w:rPr>
          <w:rFonts w:ascii="Calibri" w:hAnsi="Calibri"/>
        </w:rPr>
        <w:t>n governments</w:t>
      </w:r>
      <w:r w:rsidR="007935B0" w:rsidRPr="00422C00">
        <w:rPr>
          <w:rFonts w:ascii="Calibri" w:hAnsi="Calibri"/>
        </w:rPr>
        <w:t xml:space="preserve"> </w:t>
      </w:r>
      <w:r w:rsidR="00B0593C" w:rsidRPr="00422C00">
        <w:rPr>
          <w:rFonts w:ascii="Calibri" w:hAnsi="Calibri"/>
        </w:rPr>
        <w:t xml:space="preserve">to ensure </w:t>
      </w:r>
      <w:r w:rsidR="006778A7">
        <w:rPr>
          <w:rFonts w:ascii="Calibri" w:hAnsi="Calibri"/>
        </w:rPr>
        <w:t xml:space="preserve">that </w:t>
      </w:r>
      <w:r w:rsidR="00F201A9">
        <w:rPr>
          <w:rFonts w:ascii="Calibri" w:hAnsi="Calibri"/>
        </w:rPr>
        <w:t>long term</w:t>
      </w:r>
      <w:r w:rsidR="0031681A">
        <w:rPr>
          <w:rFonts w:ascii="Calibri" w:hAnsi="Calibri"/>
        </w:rPr>
        <w:t xml:space="preserve"> </w:t>
      </w:r>
      <w:r w:rsidR="003B3BA0">
        <w:rPr>
          <w:rFonts w:ascii="Calibri" w:hAnsi="Calibri"/>
        </w:rPr>
        <w:t xml:space="preserve">extensions and updates to </w:t>
      </w:r>
      <w:r w:rsidR="003B3BA0" w:rsidRPr="006778A7">
        <w:rPr>
          <w:rFonts w:ascii="Calibri" w:hAnsi="Calibri"/>
        </w:rPr>
        <w:t xml:space="preserve">the Victorian </w:t>
      </w:r>
      <w:r w:rsidR="007935B0" w:rsidRPr="006778A7">
        <w:rPr>
          <w:rFonts w:ascii="Calibri" w:hAnsi="Calibri"/>
        </w:rPr>
        <w:t>RFA</w:t>
      </w:r>
      <w:r w:rsidR="000D2CB2" w:rsidRPr="006778A7">
        <w:rPr>
          <w:rFonts w:ascii="Calibri" w:hAnsi="Calibri"/>
        </w:rPr>
        <w:t xml:space="preserve"> </w:t>
      </w:r>
      <w:r w:rsidR="007935B0" w:rsidRPr="006778A7">
        <w:rPr>
          <w:rFonts w:ascii="Calibri" w:hAnsi="Calibri"/>
        </w:rPr>
        <w:t>framework can</w:t>
      </w:r>
      <w:r w:rsidR="007935B0" w:rsidRPr="00422C00">
        <w:rPr>
          <w:rFonts w:ascii="Calibri" w:hAnsi="Calibri"/>
        </w:rPr>
        <w:t xml:space="preserve"> be agreed by</w:t>
      </w:r>
      <w:r w:rsidR="001679A0" w:rsidRPr="00422C00">
        <w:rPr>
          <w:rFonts w:ascii="Calibri" w:hAnsi="Calibri"/>
        </w:rPr>
        <w:t xml:space="preserve"> </w:t>
      </w:r>
      <w:r w:rsidRPr="00422C00">
        <w:rPr>
          <w:rFonts w:ascii="Calibri" w:hAnsi="Calibri"/>
        </w:rPr>
        <w:t>3</w:t>
      </w:r>
      <w:r w:rsidR="006F075D">
        <w:rPr>
          <w:rFonts w:ascii="Calibri" w:hAnsi="Calibri"/>
        </w:rPr>
        <w:t>1</w:t>
      </w:r>
      <w:r w:rsidRPr="00422C00">
        <w:rPr>
          <w:rFonts w:ascii="Calibri" w:hAnsi="Calibri"/>
        </w:rPr>
        <w:t xml:space="preserve"> March 2020.</w:t>
      </w:r>
      <w:r w:rsidR="00026035" w:rsidRPr="00422C00">
        <w:rPr>
          <w:rFonts w:ascii="Calibri" w:hAnsi="Calibri"/>
        </w:rPr>
        <w:t xml:space="preserve"> </w:t>
      </w:r>
      <w:r w:rsidR="00981683">
        <w:rPr>
          <w:rFonts w:ascii="Calibri" w:hAnsi="Calibri"/>
        </w:rPr>
        <w:t xml:space="preserve"> </w:t>
      </w:r>
    </w:p>
    <w:p w14:paraId="0CED367C" w14:textId="39575371" w:rsidR="0021094A" w:rsidRDefault="00D677F5" w:rsidP="0021094A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21094A">
        <w:rPr>
          <w:rFonts w:ascii="Calibri" w:hAnsi="Calibri"/>
        </w:rPr>
        <w:t xml:space="preserve">Parties will work towards </w:t>
      </w:r>
      <w:r w:rsidR="0021094A" w:rsidRPr="006778A7">
        <w:rPr>
          <w:rFonts w:ascii="Calibri" w:hAnsi="Calibri"/>
        </w:rPr>
        <w:t>delivering a modernised and harmonised RFA framework</w:t>
      </w:r>
      <w:r w:rsidR="0010179F" w:rsidRPr="006778A7">
        <w:rPr>
          <w:rFonts w:ascii="Calibri" w:hAnsi="Calibri"/>
        </w:rPr>
        <w:t xml:space="preserve"> to meet the needs of communities, industry and the environment.</w:t>
      </w:r>
    </w:p>
    <w:p w14:paraId="034FE374" w14:textId="678BD78C" w:rsidR="00DB78FB" w:rsidRDefault="00DB78FB" w:rsidP="00DB78FB">
      <w:pPr>
        <w:rPr>
          <w:rFonts w:ascii="Calibri" w:hAnsi="Calibri"/>
        </w:rPr>
      </w:pPr>
      <w:r w:rsidRPr="006778A7">
        <w:rPr>
          <w:rFonts w:ascii="Calibri" w:hAnsi="Calibri"/>
        </w:rPr>
        <w:t xml:space="preserve">The Parties agree that </w:t>
      </w:r>
      <w:r w:rsidR="003B3BA0" w:rsidRPr="006778A7">
        <w:rPr>
          <w:rFonts w:ascii="Calibri" w:hAnsi="Calibri"/>
        </w:rPr>
        <w:t>Victoria’s</w:t>
      </w:r>
      <w:r w:rsidRPr="006778A7">
        <w:rPr>
          <w:rFonts w:ascii="Calibri" w:hAnsi="Calibri"/>
        </w:rPr>
        <w:t xml:space="preserve"> RFA framework will provide long-term certainty for </w:t>
      </w:r>
      <w:r w:rsidR="008662C8" w:rsidRPr="006778A7">
        <w:rPr>
          <w:rFonts w:ascii="Calibri" w:hAnsi="Calibri"/>
        </w:rPr>
        <w:t xml:space="preserve">ecologically sustainable </w:t>
      </w:r>
      <w:r w:rsidRPr="006778A7">
        <w:rPr>
          <w:rFonts w:ascii="Calibri" w:hAnsi="Calibri"/>
        </w:rPr>
        <w:t>forest management and forest-based industries</w:t>
      </w:r>
      <w:r w:rsidR="00127381" w:rsidRPr="006778A7">
        <w:rPr>
          <w:rFonts w:ascii="Calibri" w:hAnsi="Calibri"/>
        </w:rPr>
        <w:t xml:space="preserve"> and businesses</w:t>
      </w:r>
      <w:r w:rsidRPr="006778A7">
        <w:rPr>
          <w:rFonts w:ascii="Calibri" w:hAnsi="Calibri"/>
        </w:rPr>
        <w:t>.</w:t>
      </w:r>
    </w:p>
    <w:p w14:paraId="2AD599A8" w14:textId="52DDBD2F" w:rsidR="0021094A" w:rsidRDefault="0021094A" w:rsidP="0021094A">
      <w:pPr>
        <w:rPr>
          <w:rFonts w:ascii="Calibri" w:hAnsi="Calibri"/>
        </w:rPr>
      </w:pPr>
      <w:r>
        <w:rPr>
          <w:rFonts w:ascii="Calibri" w:hAnsi="Calibri"/>
        </w:rPr>
        <w:t xml:space="preserve">The Parties commit to the terms of Victoria’s </w:t>
      </w:r>
      <w:r w:rsidRPr="006B7890">
        <w:rPr>
          <w:rFonts w:ascii="Calibri" w:hAnsi="Calibri"/>
        </w:rPr>
        <w:t>existing</w:t>
      </w:r>
      <w:r>
        <w:rPr>
          <w:rFonts w:ascii="Calibri" w:hAnsi="Calibri"/>
        </w:rPr>
        <w:t xml:space="preserve"> RFAs</w:t>
      </w:r>
      <w:r w:rsidR="00FF73BB">
        <w:rPr>
          <w:rFonts w:ascii="Calibri" w:hAnsi="Calibri"/>
        </w:rPr>
        <w:t xml:space="preserve"> (including the short-term extensions to the East Gippsland, Central Highlands and North East Victoria RFAs)</w:t>
      </w:r>
      <w:r>
        <w:rPr>
          <w:rFonts w:ascii="Calibri" w:hAnsi="Calibri"/>
        </w:rPr>
        <w:t xml:space="preserve"> until they are </w:t>
      </w:r>
      <w:r w:rsidR="003B3BA0">
        <w:rPr>
          <w:rFonts w:ascii="Calibri" w:hAnsi="Calibri"/>
        </w:rPr>
        <w:t>extended and amended</w:t>
      </w:r>
      <w:r>
        <w:rPr>
          <w:rFonts w:ascii="Calibri" w:hAnsi="Calibri"/>
        </w:rPr>
        <w:t xml:space="preserve"> through this</w:t>
      </w:r>
      <w:r w:rsidR="00FF73BB">
        <w:rPr>
          <w:rFonts w:ascii="Calibri" w:hAnsi="Calibri"/>
        </w:rPr>
        <w:t xml:space="preserve"> </w:t>
      </w:r>
      <w:r>
        <w:rPr>
          <w:rFonts w:ascii="Calibri" w:hAnsi="Calibri"/>
        </w:rPr>
        <w:t>process.</w:t>
      </w:r>
    </w:p>
    <w:p w14:paraId="5F748491" w14:textId="51EFF920" w:rsidR="0021094A" w:rsidRPr="00B35130" w:rsidRDefault="00557717" w:rsidP="00606409">
      <w:pPr>
        <w:rPr>
          <w:rFonts w:ascii="Calibri" w:hAnsi="Calibri"/>
        </w:rPr>
      </w:pPr>
      <w:r>
        <w:rPr>
          <w:rFonts w:ascii="Calibri" w:hAnsi="Calibri"/>
        </w:rPr>
        <w:t xml:space="preserve">Going forward, </w:t>
      </w:r>
      <w:r w:rsidR="00502F88">
        <w:rPr>
          <w:rFonts w:ascii="Calibri" w:hAnsi="Calibri"/>
        </w:rPr>
        <w:t xml:space="preserve">Victoria’s </w:t>
      </w:r>
      <w:r w:rsidR="00D835FE">
        <w:rPr>
          <w:rFonts w:ascii="Calibri" w:hAnsi="Calibri"/>
        </w:rPr>
        <w:t>RFA</w:t>
      </w:r>
      <w:r w:rsidR="009E35A4">
        <w:rPr>
          <w:rFonts w:ascii="Calibri" w:hAnsi="Calibri"/>
        </w:rPr>
        <w:t>s</w:t>
      </w:r>
      <w:r w:rsidR="00D835FE">
        <w:rPr>
          <w:rFonts w:ascii="Calibri" w:hAnsi="Calibri"/>
        </w:rPr>
        <w:t xml:space="preserve"> </w:t>
      </w:r>
      <w:r w:rsidR="00545BBC">
        <w:rPr>
          <w:rFonts w:ascii="Calibri" w:hAnsi="Calibri"/>
        </w:rPr>
        <w:t>will</w:t>
      </w:r>
      <w:r w:rsidR="00502F88">
        <w:rPr>
          <w:rFonts w:ascii="Calibri" w:hAnsi="Calibri"/>
        </w:rPr>
        <w:t xml:space="preserve"> </w:t>
      </w:r>
      <w:r w:rsidR="00363AE8">
        <w:rPr>
          <w:rFonts w:ascii="Calibri" w:hAnsi="Calibri"/>
        </w:rPr>
        <w:t xml:space="preserve">be </w:t>
      </w:r>
      <w:r w:rsidR="00502F88">
        <w:rPr>
          <w:rFonts w:ascii="Calibri" w:hAnsi="Calibri"/>
        </w:rPr>
        <w:t xml:space="preserve">consistent with the National Forest Policy Statement </w:t>
      </w:r>
      <w:r w:rsidR="00545BBC">
        <w:rPr>
          <w:rFonts w:ascii="Calibri" w:hAnsi="Calibri"/>
        </w:rPr>
        <w:t xml:space="preserve">1992 </w:t>
      </w:r>
      <w:r w:rsidR="00502F88">
        <w:rPr>
          <w:rFonts w:ascii="Calibri" w:hAnsi="Calibri"/>
        </w:rPr>
        <w:t xml:space="preserve">and </w:t>
      </w:r>
      <w:r w:rsidR="00E369C1">
        <w:rPr>
          <w:rFonts w:ascii="Calibri" w:hAnsi="Calibri"/>
        </w:rPr>
        <w:t xml:space="preserve">the </w:t>
      </w:r>
      <w:r w:rsidR="008662C8">
        <w:rPr>
          <w:rFonts w:ascii="Calibri" w:hAnsi="Calibri"/>
          <w:i/>
        </w:rPr>
        <w:t>Regional Forest</w:t>
      </w:r>
      <w:r w:rsidR="00502F88" w:rsidRPr="0021094A">
        <w:rPr>
          <w:rFonts w:ascii="Calibri" w:hAnsi="Calibri"/>
          <w:i/>
        </w:rPr>
        <w:t xml:space="preserve"> Agreements Act 2002</w:t>
      </w:r>
      <w:r w:rsidR="00B7392D">
        <w:rPr>
          <w:rFonts w:ascii="Calibri" w:hAnsi="Calibri"/>
        </w:rPr>
        <w:t>.</w:t>
      </w:r>
    </w:p>
    <w:p w14:paraId="140EAAE9" w14:textId="77777777" w:rsidR="00FF73BB" w:rsidRPr="00FF73BB" w:rsidRDefault="00FF73BB" w:rsidP="00FF73BB">
      <w:pPr>
        <w:tabs>
          <w:tab w:val="left" w:pos="1140"/>
        </w:tabs>
        <w:rPr>
          <w:rFonts w:ascii="Calibri" w:hAnsi="Calibri"/>
        </w:rPr>
      </w:pPr>
      <w:r w:rsidRPr="00FF73BB">
        <w:rPr>
          <w:rFonts w:ascii="Calibri" w:hAnsi="Calibri"/>
        </w:rPr>
        <w:t>T</w:t>
      </w:r>
      <w:r w:rsidR="00BE7933">
        <w:rPr>
          <w:rFonts w:ascii="Calibri" w:hAnsi="Calibri"/>
        </w:rPr>
        <w:t xml:space="preserve">his </w:t>
      </w:r>
      <w:r w:rsidRPr="00FF73BB">
        <w:rPr>
          <w:rFonts w:ascii="Calibri" w:hAnsi="Calibri"/>
        </w:rPr>
        <w:t>MOU does not create contractual or other legal obligations betwee</w:t>
      </w:r>
      <w:r w:rsidR="00BE7933">
        <w:rPr>
          <w:rFonts w:ascii="Calibri" w:hAnsi="Calibri"/>
        </w:rPr>
        <w:t>n Parties and a breach of this MOU</w:t>
      </w:r>
      <w:r w:rsidRPr="00FF73BB">
        <w:rPr>
          <w:rFonts w:ascii="Calibri" w:hAnsi="Calibri"/>
        </w:rPr>
        <w:t xml:space="preserve"> will not give rise to any cause of action, or right to take legal proceedings.</w:t>
      </w:r>
    </w:p>
    <w:p w14:paraId="11BF6644" w14:textId="77777777" w:rsidR="00DC3974" w:rsidRPr="004824CE" w:rsidRDefault="00DC3974" w:rsidP="00DC3974">
      <w:pPr>
        <w:pStyle w:val="Heading2"/>
      </w:pPr>
      <w:bookmarkStart w:id="6" w:name="_Toc503777692"/>
      <w:bookmarkStart w:id="7" w:name="_Toc504980107"/>
      <w:r>
        <w:t>Parties to the MOU</w:t>
      </w:r>
      <w:bookmarkEnd w:id="6"/>
      <w:bookmarkEnd w:id="7"/>
    </w:p>
    <w:p w14:paraId="76C30C53" w14:textId="77777777" w:rsidR="00DC3974" w:rsidRDefault="00DC3974" w:rsidP="00DC3974">
      <w:pPr>
        <w:rPr>
          <w:rFonts w:ascii="Calibri" w:hAnsi="Calibri"/>
        </w:rPr>
      </w:pPr>
      <w:r>
        <w:rPr>
          <w:rFonts w:ascii="Calibri" w:hAnsi="Calibri"/>
        </w:rPr>
        <w:t>The Parties to this MOU are:</w:t>
      </w:r>
    </w:p>
    <w:p w14:paraId="33BCD340" w14:textId="77777777" w:rsidR="00DC3974" w:rsidRPr="00835428" w:rsidRDefault="00DC3974" w:rsidP="00DC3974">
      <w:pPr>
        <w:pStyle w:val="ListParagraph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835428">
        <w:rPr>
          <w:rFonts w:ascii="Calibri" w:hAnsi="Calibri"/>
        </w:rPr>
        <w:t>Commonwealth of Australia</w:t>
      </w:r>
      <w:r>
        <w:rPr>
          <w:rFonts w:ascii="Calibri" w:hAnsi="Calibri"/>
        </w:rPr>
        <w:t xml:space="preserve"> (the “Commonwealth”), and</w:t>
      </w:r>
    </w:p>
    <w:p w14:paraId="6E0104E8" w14:textId="77777777" w:rsidR="00DC3974" w:rsidRPr="00FF73BB" w:rsidRDefault="00DC3974" w:rsidP="00DC3974">
      <w:pPr>
        <w:pStyle w:val="ListParagraph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 State of </w:t>
      </w:r>
      <w:r w:rsidRPr="00835428">
        <w:rPr>
          <w:rFonts w:ascii="Calibri" w:hAnsi="Calibri"/>
        </w:rPr>
        <w:t>Victoria</w:t>
      </w:r>
      <w:r>
        <w:rPr>
          <w:rFonts w:ascii="Calibri" w:hAnsi="Calibri"/>
        </w:rPr>
        <w:t xml:space="preserve"> (“Victoria”).</w:t>
      </w:r>
    </w:p>
    <w:p w14:paraId="38261D23" w14:textId="77777777" w:rsidR="00A07BEF" w:rsidRDefault="00A07BEF" w:rsidP="00A07BEF">
      <w:pPr>
        <w:pStyle w:val="Heading2"/>
      </w:pPr>
      <w:bookmarkStart w:id="8" w:name="_Toc503777693"/>
      <w:bookmarkStart w:id="9" w:name="_Toc504980108"/>
      <w:r>
        <w:t>Context</w:t>
      </w:r>
      <w:r w:rsidR="00DC3974">
        <w:t xml:space="preserve"> of the MOU</w:t>
      </w:r>
      <w:bookmarkEnd w:id="8"/>
      <w:bookmarkEnd w:id="9"/>
    </w:p>
    <w:p w14:paraId="29388E13" w14:textId="773A3895" w:rsidR="00A07BEF" w:rsidRPr="00FF73BB" w:rsidRDefault="00A07BEF" w:rsidP="00FF73BB">
      <w:pPr>
        <w:rPr>
          <w:rFonts w:ascii="Calibri" w:hAnsi="Calibri"/>
        </w:rPr>
      </w:pPr>
      <w:r w:rsidRPr="00FF73BB">
        <w:rPr>
          <w:rFonts w:ascii="Calibri" w:hAnsi="Calibri"/>
        </w:rPr>
        <w:t>Between 1997 and 2001, Victoria and the Commonwealth entered into five RFAs (East Gippsland; Central Highlands; North East; Gippsland and West Victoria). All five RFAs</w:t>
      </w:r>
      <w:r w:rsidR="008927D1">
        <w:rPr>
          <w:rFonts w:ascii="Calibri" w:hAnsi="Calibri"/>
        </w:rPr>
        <w:t xml:space="preserve"> </w:t>
      </w:r>
      <w:r w:rsidR="00A935BA">
        <w:rPr>
          <w:rFonts w:ascii="Calibri" w:hAnsi="Calibri"/>
        </w:rPr>
        <w:t>are due to</w:t>
      </w:r>
      <w:r w:rsidR="00A935BA" w:rsidRPr="00FF73BB">
        <w:rPr>
          <w:rFonts w:ascii="Calibri" w:hAnsi="Calibri"/>
        </w:rPr>
        <w:t xml:space="preserve"> </w:t>
      </w:r>
      <w:r w:rsidRPr="00FF73BB">
        <w:rPr>
          <w:rFonts w:ascii="Calibri" w:hAnsi="Calibri"/>
        </w:rPr>
        <w:t xml:space="preserve">expire on </w:t>
      </w:r>
      <w:r w:rsidR="0010179F" w:rsidRPr="00FF73BB">
        <w:rPr>
          <w:rFonts w:ascii="Calibri" w:hAnsi="Calibri"/>
        </w:rPr>
        <w:t xml:space="preserve">31 </w:t>
      </w:r>
      <w:r w:rsidRPr="00FF73BB">
        <w:rPr>
          <w:rFonts w:ascii="Calibri" w:hAnsi="Calibri"/>
        </w:rPr>
        <w:t>March 2020.</w:t>
      </w:r>
    </w:p>
    <w:p w14:paraId="79AF37E1" w14:textId="77777777" w:rsidR="00DE30B2" w:rsidRDefault="00DC3974" w:rsidP="00DE30B2">
      <w:pPr>
        <w:pStyle w:val="Heading2"/>
      </w:pPr>
      <w:bookmarkStart w:id="10" w:name="_Toc503777694"/>
      <w:bookmarkStart w:id="11" w:name="_Toc504980109"/>
      <w:r>
        <w:t>P</w:t>
      </w:r>
      <w:r w:rsidR="00DE30B2">
        <w:t>eriod</w:t>
      </w:r>
      <w:r>
        <w:t xml:space="preserve"> of the MOU</w:t>
      </w:r>
      <w:bookmarkEnd w:id="10"/>
      <w:bookmarkEnd w:id="11"/>
    </w:p>
    <w:p w14:paraId="51FFAFCB" w14:textId="49E98FDB" w:rsidR="00DE30B2" w:rsidRPr="00DE30B2" w:rsidRDefault="00DE30B2" w:rsidP="00DE30B2">
      <w:pPr>
        <w:tabs>
          <w:tab w:val="left" w:pos="1140"/>
        </w:tabs>
        <w:rPr>
          <w:rFonts w:ascii="Calibri" w:hAnsi="Calibri"/>
        </w:rPr>
      </w:pPr>
      <w:r w:rsidRPr="00DE30B2">
        <w:rPr>
          <w:rFonts w:ascii="Calibri" w:hAnsi="Calibri"/>
        </w:rPr>
        <w:t>This</w:t>
      </w:r>
      <w:r>
        <w:rPr>
          <w:rFonts w:ascii="Calibri" w:hAnsi="Calibri"/>
        </w:rPr>
        <w:t xml:space="preserve"> MOU commences on the date </w:t>
      </w:r>
      <w:r w:rsidR="00AC77ED">
        <w:rPr>
          <w:rFonts w:ascii="Calibri" w:hAnsi="Calibri"/>
        </w:rPr>
        <w:t xml:space="preserve">that the MOU is signed by the </w:t>
      </w:r>
      <w:r w:rsidR="0041336A">
        <w:rPr>
          <w:rFonts w:ascii="Calibri" w:hAnsi="Calibri"/>
        </w:rPr>
        <w:t>Parties</w:t>
      </w:r>
      <w:r w:rsidR="00754755">
        <w:rPr>
          <w:rFonts w:ascii="Calibri" w:hAnsi="Calibri"/>
        </w:rPr>
        <w:t xml:space="preserve"> and will remain in operation until </w:t>
      </w:r>
      <w:r w:rsidR="00AD1597">
        <w:rPr>
          <w:rFonts w:ascii="Calibri" w:hAnsi="Calibri"/>
        </w:rPr>
        <w:t>31</w:t>
      </w:r>
      <w:r w:rsidR="00754755">
        <w:rPr>
          <w:rFonts w:ascii="Calibri" w:hAnsi="Calibri"/>
        </w:rPr>
        <w:t xml:space="preserve"> March 2020</w:t>
      </w:r>
      <w:r w:rsidR="001972B5">
        <w:rPr>
          <w:rFonts w:ascii="Calibri" w:hAnsi="Calibri"/>
        </w:rPr>
        <w:t>.</w:t>
      </w:r>
    </w:p>
    <w:p w14:paraId="5907DEBA" w14:textId="77777777" w:rsidR="00B75F7C" w:rsidRDefault="00B75F7C" w:rsidP="00B75F7C">
      <w:pPr>
        <w:pStyle w:val="Heading2"/>
      </w:pPr>
      <w:bookmarkStart w:id="12" w:name="_Toc503777695"/>
      <w:bookmarkStart w:id="13" w:name="_Toc504980110"/>
      <w:r>
        <w:lastRenderedPageBreak/>
        <w:t>Regional Forest Agreements</w:t>
      </w:r>
      <w:bookmarkEnd w:id="12"/>
      <w:bookmarkEnd w:id="13"/>
    </w:p>
    <w:p w14:paraId="605C43AE" w14:textId="2A1AF725" w:rsidR="00B75F7C" w:rsidRDefault="00B75F7C" w:rsidP="00F76421">
      <w:pPr>
        <w:rPr>
          <w:rFonts w:ascii="Calibri" w:hAnsi="Calibri"/>
        </w:rPr>
      </w:pPr>
      <w:r>
        <w:rPr>
          <w:rFonts w:ascii="Calibri" w:hAnsi="Calibri"/>
        </w:rPr>
        <w:t>This MOU applies to the</w:t>
      </w:r>
      <w:r w:rsidR="00F4358D">
        <w:rPr>
          <w:rFonts w:ascii="Calibri" w:hAnsi="Calibri"/>
        </w:rPr>
        <w:t xml:space="preserve"> Victorian RFA framework</w:t>
      </w:r>
      <w:r w:rsidR="009E35A4">
        <w:rPr>
          <w:rFonts w:ascii="Calibri" w:hAnsi="Calibri"/>
        </w:rPr>
        <w:t>,</w:t>
      </w:r>
      <w:r w:rsidR="00F4358D">
        <w:rPr>
          <w:rFonts w:ascii="Calibri" w:hAnsi="Calibri"/>
        </w:rPr>
        <w:t xml:space="preserve"> which comprises the</w:t>
      </w:r>
      <w:r>
        <w:rPr>
          <w:rFonts w:ascii="Calibri" w:hAnsi="Calibri"/>
        </w:rPr>
        <w:t xml:space="preserve"> foll</w:t>
      </w:r>
      <w:r w:rsidR="00FA1433">
        <w:rPr>
          <w:rFonts w:ascii="Calibri" w:hAnsi="Calibri"/>
        </w:rPr>
        <w:t xml:space="preserve">owing </w:t>
      </w:r>
      <w:r w:rsidR="009E35A4">
        <w:rPr>
          <w:rFonts w:ascii="Calibri" w:hAnsi="Calibri"/>
        </w:rPr>
        <w:t xml:space="preserve">five </w:t>
      </w:r>
      <w:r w:rsidR="00FA1433">
        <w:rPr>
          <w:rFonts w:ascii="Calibri" w:hAnsi="Calibri"/>
        </w:rPr>
        <w:t>Victorian RFAs</w:t>
      </w:r>
      <w:r w:rsidR="009E35A4">
        <w:rPr>
          <w:rFonts w:ascii="Calibri" w:hAnsi="Calibri"/>
        </w:rPr>
        <w:t xml:space="preserve">, and in accordance with the </w:t>
      </w:r>
      <w:r w:rsidR="009E35A4" w:rsidRPr="009E35A4">
        <w:rPr>
          <w:rFonts w:ascii="Calibri" w:hAnsi="Calibri"/>
          <w:i/>
        </w:rPr>
        <w:t>Regional Forest Agreements Act 2002</w:t>
      </w:r>
      <w:r>
        <w:rPr>
          <w:rFonts w:ascii="Calibri" w:hAnsi="Calibri"/>
        </w:rPr>
        <w:t>:</w:t>
      </w:r>
    </w:p>
    <w:p w14:paraId="4E9D5728" w14:textId="77777777" w:rsidR="00B75F7C" w:rsidRDefault="00B75F7C" w:rsidP="00B75F7C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East Gippsland;</w:t>
      </w:r>
    </w:p>
    <w:p w14:paraId="0525776C" w14:textId="77777777" w:rsidR="00B75F7C" w:rsidRDefault="00B75F7C" w:rsidP="00B75F7C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Central Highlands;</w:t>
      </w:r>
    </w:p>
    <w:p w14:paraId="09630E34" w14:textId="77777777" w:rsidR="00B75F7C" w:rsidRDefault="00B75F7C" w:rsidP="00B75F7C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North East;</w:t>
      </w:r>
    </w:p>
    <w:p w14:paraId="38249B8F" w14:textId="77777777" w:rsidR="00B75F7C" w:rsidRDefault="00B75F7C" w:rsidP="00B75F7C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Gippsland; and</w:t>
      </w:r>
    </w:p>
    <w:p w14:paraId="6F709F67" w14:textId="77777777" w:rsidR="00A64B66" w:rsidRPr="00B75F7C" w:rsidRDefault="00B75F7C" w:rsidP="00987C4D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West</w:t>
      </w:r>
      <w:r w:rsidR="00F537CA">
        <w:rPr>
          <w:rFonts w:ascii="Calibri" w:hAnsi="Calibri"/>
        </w:rPr>
        <w:t xml:space="preserve"> Victoria</w:t>
      </w:r>
      <w:r>
        <w:rPr>
          <w:rFonts w:ascii="Calibri" w:hAnsi="Calibri"/>
        </w:rPr>
        <w:t>.</w:t>
      </w:r>
    </w:p>
    <w:p w14:paraId="4EA0262E" w14:textId="77777777" w:rsidR="00CD6A1F" w:rsidRDefault="001972B5" w:rsidP="00422C00">
      <w:pPr>
        <w:pStyle w:val="Heading2"/>
      </w:pPr>
      <w:bookmarkStart w:id="14" w:name="_Toc503777696"/>
      <w:bookmarkStart w:id="15" w:name="_Toc504980111"/>
      <w:r>
        <w:t xml:space="preserve">Term </w:t>
      </w:r>
      <w:r w:rsidR="00EC3C08">
        <w:t>of Regional Forest Agreements</w:t>
      </w:r>
      <w:bookmarkEnd w:id="14"/>
      <w:bookmarkEnd w:id="15"/>
    </w:p>
    <w:p w14:paraId="600BE9BE" w14:textId="27D5F762" w:rsidR="009E35A4" w:rsidRDefault="009E35A4" w:rsidP="00987C4D">
      <w:pPr>
        <w:rPr>
          <w:rFonts w:ascii="Calibri" w:hAnsi="Calibri"/>
        </w:rPr>
      </w:pPr>
      <w:r w:rsidRPr="0076124C">
        <w:rPr>
          <w:rFonts w:ascii="Calibri" w:hAnsi="Calibri"/>
        </w:rPr>
        <w:t xml:space="preserve">The Parties commit to working towards 20-year extensions to Victoria’s RFAs to come into effect from March 2020 that have regard to the outcomes of the </w:t>
      </w:r>
      <w:r w:rsidR="006778A7">
        <w:rPr>
          <w:rFonts w:ascii="Calibri" w:hAnsi="Calibri"/>
        </w:rPr>
        <w:t xml:space="preserve">further </w:t>
      </w:r>
      <w:r w:rsidRPr="0076124C">
        <w:rPr>
          <w:rFonts w:ascii="Calibri" w:hAnsi="Calibri"/>
        </w:rPr>
        <w:t>assessments</w:t>
      </w:r>
      <w:r w:rsidR="006778A7">
        <w:rPr>
          <w:rFonts w:ascii="Calibri" w:hAnsi="Calibri"/>
        </w:rPr>
        <w:t xml:space="preserve"> -</w:t>
      </w:r>
      <w:r w:rsidRPr="0076124C">
        <w:rPr>
          <w:rFonts w:ascii="Calibri" w:hAnsi="Calibri"/>
        </w:rPr>
        <w:t xml:space="preserve"> consistent with the </w:t>
      </w:r>
      <w:r w:rsidRPr="0076124C">
        <w:rPr>
          <w:rFonts w:ascii="Calibri" w:hAnsi="Calibri"/>
          <w:i/>
        </w:rPr>
        <w:t>Regional Forest Agreements Act 2002</w:t>
      </w:r>
      <w:r w:rsidR="006778A7">
        <w:rPr>
          <w:rFonts w:ascii="Calibri" w:hAnsi="Calibri"/>
          <w:i/>
        </w:rPr>
        <w:t xml:space="preserve"> -</w:t>
      </w:r>
      <w:r w:rsidRPr="0076124C">
        <w:rPr>
          <w:rFonts w:ascii="Calibri" w:hAnsi="Calibri"/>
        </w:rPr>
        <w:t xml:space="preserve"> and the engagement processes set out in this MOU.</w:t>
      </w:r>
      <w:r>
        <w:rPr>
          <w:rFonts w:ascii="Calibri" w:hAnsi="Calibri"/>
        </w:rPr>
        <w:t xml:space="preserve"> </w:t>
      </w:r>
    </w:p>
    <w:p w14:paraId="34F6E4BC" w14:textId="77777777" w:rsidR="006F38DA" w:rsidRPr="006F38DA" w:rsidRDefault="006F38DA" w:rsidP="00606409">
      <w:pPr>
        <w:pStyle w:val="Heading1"/>
        <w:spacing w:before="0" w:line="240" w:lineRule="auto"/>
      </w:pPr>
      <w:bookmarkStart w:id="16" w:name="_Toc503777697"/>
      <w:bookmarkStart w:id="17" w:name="_Toc504980112"/>
      <w:r>
        <w:t>A</w:t>
      </w:r>
      <w:r w:rsidRPr="006F38DA">
        <w:t xml:space="preserve">reas of focus for modernisation </w:t>
      </w:r>
      <w:r w:rsidR="00E01208">
        <w:t xml:space="preserve">of </w:t>
      </w:r>
      <w:r>
        <w:t>Victoria’s</w:t>
      </w:r>
      <w:r w:rsidRPr="006F38DA">
        <w:t xml:space="preserve"> five RFAs</w:t>
      </w:r>
      <w:bookmarkEnd w:id="16"/>
      <w:bookmarkEnd w:id="17"/>
    </w:p>
    <w:p w14:paraId="7EB1D8EF" w14:textId="1781FE16" w:rsidR="0091266A" w:rsidRPr="006778A7" w:rsidRDefault="0091266A" w:rsidP="00222E72">
      <w:pPr>
        <w:rPr>
          <w:rFonts w:ascii="Calibri" w:hAnsi="Calibri"/>
        </w:rPr>
      </w:pPr>
      <w:r>
        <w:rPr>
          <w:rFonts w:ascii="Calibri" w:hAnsi="Calibri"/>
        </w:rPr>
        <w:t xml:space="preserve">The purpose and form of </w:t>
      </w:r>
      <w:r w:rsidR="009E35A4">
        <w:rPr>
          <w:rFonts w:ascii="Calibri" w:hAnsi="Calibri"/>
        </w:rPr>
        <w:t>the amendments to modernise the</w:t>
      </w:r>
      <w:r>
        <w:rPr>
          <w:rFonts w:ascii="Calibri" w:hAnsi="Calibri"/>
        </w:rPr>
        <w:t xml:space="preserve"> RFA</w:t>
      </w:r>
      <w:r w:rsidR="007A60B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framework will reflect extensive engagement with Victorian communities and a robust process to </w:t>
      </w:r>
      <w:r w:rsidR="00685487">
        <w:rPr>
          <w:rFonts w:ascii="Calibri" w:hAnsi="Calibri"/>
        </w:rPr>
        <w:t xml:space="preserve">prepare the </w:t>
      </w:r>
      <w:r w:rsidR="00A11C7C">
        <w:rPr>
          <w:rFonts w:ascii="Calibri" w:hAnsi="Calibri"/>
        </w:rPr>
        <w:t>P</w:t>
      </w:r>
      <w:r w:rsidR="00685487">
        <w:rPr>
          <w:rFonts w:ascii="Calibri" w:hAnsi="Calibri"/>
        </w:rPr>
        <w:t>arties’ further</w:t>
      </w:r>
      <w:r>
        <w:rPr>
          <w:rFonts w:ascii="Calibri" w:hAnsi="Calibri"/>
        </w:rPr>
        <w:t xml:space="preserve"> </w:t>
      </w:r>
      <w:r w:rsidRPr="00786DED">
        <w:rPr>
          <w:rFonts w:ascii="Calibri" w:hAnsi="Calibri"/>
        </w:rPr>
        <w:t>assessments</w:t>
      </w:r>
      <w:r>
        <w:rPr>
          <w:rFonts w:ascii="Calibri" w:hAnsi="Calibri"/>
        </w:rPr>
        <w:t xml:space="preserve"> </w:t>
      </w:r>
      <w:r w:rsidR="006846CB">
        <w:rPr>
          <w:rFonts w:ascii="Calibri" w:hAnsi="Calibri"/>
        </w:rPr>
        <w:t xml:space="preserve">of </w:t>
      </w:r>
      <w:r w:rsidR="00685487">
        <w:rPr>
          <w:rFonts w:ascii="Calibri" w:hAnsi="Calibri"/>
        </w:rPr>
        <w:t>matters listed under paragraph (a) of the definition of RFA in section 4 of</w:t>
      </w:r>
      <w:r w:rsidR="001219B0">
        <w:rPr>
          <w:rFonts w:ascii="Calibri" w:hAnsi="Calibri"/>
        </w:rPr>
        <w:t xml:space="preserve"> the </w:t>
      </w:r>
      <w:r w:rsidR="001219B0" w:rsidRPr="006778A7">
        <w:rPr>
          <w:rFonts w:ascii="Calibri" w:hAnsi="Calibri"/>
          <w:i/>
        </w:rPr>
        <w:t>Regional Forest Agreement</w:t>
      </w:r>
      <w:r w:rsidR="00880D77" w:rsidRPr="006778A7">
        <w:rPr>
          <w:rFonts w:ascii="Calibri" w:hAnsi="Calibri"/>
          <w:i/>
        </w:rPr>
        <w:t>s</w:t>
      </w:r>
      <w:r w:rsidR="001219B0" w:rsidRPr="006778A7">
        <w:rPr>
          <w:rFonts w:ascii="Calibri" w:hAnsi="Calibri"/>
          <w:i/>
        </w:rPr>
        <w:t xml:space="preserve"> Act 2002</w:t>
      </w:r>
      <w:r w:rsidR="00EF4A5A" w:rsidRPr="006778A7">
        <w:rPr>
          <w:rFonts w:ascii="Calibri" w:hAnsi="Calibri"/>
          <w:i/>
        </w:rPr>
        <w:t>.</w:t>
      </w:r>
      <w:r w:rsidR="004B7AC4" w:rsidRPr="006778A7">
        <w:rPr>
          <w:rFonts w:ascii="Calibri" w:hAnsi="Calibri"/>
          <w:i/>
        </w:rPr>
        <w:t xml:space="preserve"> </w:t>
      </w:r>
    </w:p>
    <w:p w14:paraId="07DC4476" w14:textId="0626D8E8" w:rsidR="00222E72" w:rsidRDefault="00222E72" w:rsidP="00222E72">
      <w:pPr>
        <w:rPr>
          <w:rFonts w:ascii="Calibri" w:hAnsi="Calibri"/>
        </w:rPr>
      </w:pPr>
      <w:r w:rsidRPr="006778A7">
        <w:rPr>
          <w:rFonts w:ascii="Calibri" w:hAnsi="Calibri"/>
        </w:rPr>
        <w:t>The RFAs</w:t>
      </w:r>
      <w:r w:rsidR="002F5298" w:rsidRPr="006778A7">
        <w:rPr>
          <w:rFonts w:ascii="Calibri" w:hAnsi="Calibri"/>
        </w:rPr>
        <w:t xml:space="preserve"> also</w:t>
      </w:r>
      <w:r w:rsidRPr="006778A7">
        <w:rPr>
          <w:rFonts w:ascii="Calibri" w:hAnsi="Calibri"/>
        </w:rPr>
        <w:t xml:space="preserve"> require </w:t>
      </w:r>
      <w:r w:rsidR="0076124C" w:rsidRPr="006778A7">
        <w:rPr>
          <w:rFonts w:ascii="Calibri" w:hAnsi="Calibri"/>
        </w:rPr>
        <w:t>amendments</w:t>
      </w:r>
      <w:r w:rsidR="006846CB" w:rsidRPr="006778A7">
        <w:rPr>
          <w:rFonts w:ascii="Calibri" w:hAnsi="Calibri"/>
        </w:rPr>
        <w:t xml:space="preserve"> </w:t>
      </w:r>
      <w:r w:rsidR="00881BED" w:rsidRPr="006778A7">
        <w:rPr>
          <w:rFonts w:ascii="Calibri" w:hAnsi="Calibri"/>
        </w:rPr>
        <w:t xml:space="preserve">and modernisation </w:t>
      </w:r>
      <w:r w:rsidRPr="006778A7">
        <w:rPr>
          <w:rFonts w:ascii="Calibri" w:hAnsi="Calibri"/>
        </w:rPr>
        <w:t xml:space="preserve">to reflect changes that have occurred </w:t>
      </w:r>
      <w:r w:rsidR="004E1BF5" w:rsidRPr="006778A7">
        <w:rPr>
          <w:rFonts w:ascii="Calibri" w:hAnsi="Calibri"/>
        </w:rPr>
        <w:t>in</w:t>
      </w:r>
      <w:r w:rsidR="009729C7" w:rsidRPr="006778A7">
        <w:rPr>
          <w:rFonts w:ascii="Calibri" w:hAnsi="Calibri"/>
        </w:rPr>
        <w:t xml:space="preserve"> the </w:t>
      </w:r>
      <w:r w:rsidR="0053080F" w:rsidRPr="006778A7">
        <w:rPr>
          <w:rFonts w:ascii="Calibri" w:hAnsi="Calibri"/>
        </w:rPr>
        <w:t xml:space="preserve">twenty years since they </w:t>
      </w:r>
      <w:r w:rsidR="00290F7B" w:rsidRPr="006778A7">
        <w:rPr>
          <w:rFonts w:ascii="Calibri" w:hAnsi="Calibri"/>
        </w:rPr>
        <w:t xml:space="preserve">commenced. </w:t>
      </w:r>
      <w:r w:rsidRPr="006778A7">
        <w:rPr>
          <w:rFonts w:ascii="Calibri" w:hAnsi="Calibri"/>
        </w:rPr>
        <w:t xml:space="preserve">The Parties acknowledge the impact of climate change, extreme weather events (including drought and bushfires), scientific and technological progress, advances </w:t>
      </w:r>
      <w:r w:rsidR="00E369C1" w:rsidRPr="006778A7">
        <w:rPr>
          <w:rFonts w:ascii="Calibri" w:hAnsi="Calibri"/>
        </w:rPr>
        <w:t xml:space="preserve">in </w:t>
      </w:r>
      <w:r w:rsidRPr="006778A7">
        <w:rPr>
          <w:rFonts w:ascii="Calibri" w:hAnsi="Calibri"/>
        </w:rPr>
        <w:t xml:space="preserve">our understanding of forests and ecosystems, the changing forest-based industries and opportunities, </w:t>
      </w:r>
      <w:r w:rsidR="00867C87" w:rsidRPr="006778A7">
        <w:rPr>
          <w:rFonts w:ascii="Calibri" w:hAnsi="Calibri"/>
        </w:rPr>
        <w:t>and the recognition of the rights of Victoria’s traditional owners</w:t>
      </w:r>
      <w:r w:rsidR="00DF7039" w:rsidRPr="006778A7">
        <w:rPr>
          <w:rFonts w:ascii="Calibri" w:hAnsi="Calibri"/>
        </w:rPr>
        <w:t xml:space="preserve"> to partner in land management and </w:t>
      </w:r>
      <w:r w:rsidR="00867C87" w:rsidRPr="006778A7">
        <w:rPr>
          <w:rFonts w:ascii="Calibri" w:hAnsi="Calibri"/>
        </w:rPr>
        <w:t xml:space="preserve">seek economic and </w:t>
      </w:r>
      <w:r w:rsidR="00FA1433" w:rsidRPr="006778A7">
        <w:rPr>
          <w:rFonts w:ascii="Calibri" w:hAnsi="Calibri"/>
        </w:rPr>
        <w:t>cultural</w:t>
      </w:r>
      <w:r w:rsidR="002D0D91" w:rsidRPr="006778A7">
        <w:rPr>
          <w:rFonts w:ascii="Calibri" w:hAnsi="Calibri"/>
        </w:rPr>
        <w:t xml:space="preserve"> opportunities.</w:t>
      </w:r>
      <w:r w:rsidR="00867C87">
        <w:rPr>
          <w:rFonts w:ascii="Calibri" w:hAnsi="Calibri"/>
        </w:rPr>
        <w:t xml:space="preserve"> </w:t>
      </w:r>
    </w:p>
    <w:p w14:paraId="283B0B41" w14:textId="494F15B6" w:rsidR="00FC537B" w:rsidRDefault="007A6223" w:rsidP="00FC537B">
      <w:pPr>
        <w:rPr>
          <w:rFonts w:ascii="Calibri" w:hAnsi="Calibri"/>
        </w:rPr>
      </w:pPr>
      <w:r>
        <w:rPr>
          <w:rFonts w:ascii="Calibri" w:hAnsi="Calibri"/>
        </w:rPr>
        <w:t>The</w:t>
      </w:r>
      <w:r w:rsidR="00222E72">
        <w:rPr>
          <w:rFonts w:ascii="Calibri" w:hAnsi="Calibri"/>
        </w:rPr>
        <w:t xml:space="preserve"> Parties will, having regard to</w:t>
      </w:r>
      <w:r w:rsidR="00AD1B4A">
        <w:rPr>
          <w:rFonts w:ascii="Calibri" w:hAnsi="Calibri"/>
        </w:rPr>
        <w:t xml:space="preserve"> the </w:t>
      </w:r>
      <w:r>
        <w:rPr>
          <w:rFonts w:ascii="Calibri" w:hAnsi="Calibri"/>
        </w:rPr>
        <w:t>further</w:t>
      </w:r>
      <w:r w:rsidR="00AD1B4A">
        <w:rPr>
          <w:rFonts w:ascii="Calibri" w:hAnsi="Calibri"/>
        </w:rPr>
        <w:t xml:space="preserve"> </w:t>
      </w:r>
      <w:r w:rsidR="00AD1B4A" w:rsidRPr="00786DED">
        <w:rPr>
          <w:rFonts w:ascii="Calibri" w:hAnsi="Calibri"/>
        </w:rPr>
        <w:t>assessments</w:t>
      </w:r>
      <w:r>
        <w:rPr>
          <w:rFonts w:ascii="Calibri" w:hAnsi="Calibri"/>
        </w:rPr>
        <w:t xml:space="preserve"> of matters</w:t>
      </w:r>
      <w:r w:rsidR="00FC537B">
        <w:rPr>
          <w:rFonts w:ascii="Calibri" w:hAnsi="Calibri"/>
        </w:rPr>
        <w:t xml:space="preserve">, </w:t>
      </w:r>
      <w:r w:rsidR="00E511DF">
        <w:rPr>
          <w:rFonts w:ascii="Calibri" w:hAnsi="Calibri"/>
        </w:rPr>
        <w:t xml:space="preserve">community engagement processes </w:t>
      </w:r>
      <w:r w:rsidR="00FC537B">
        <w:rPr>
          <w:rFonts w:ascii="Calibri" w:hAnsi="Calibri"/>
        </w:rPr>
        <w:t xml:space="preserve">and </w:t>
      </w:r>
      <w:r w:rsidR="00222E72">
        <w:rPr>
          <w:rFonts w:ascii="Calibri" w:hAnsi="Calibri"/>
        </w:rPr>
        <w:t>outcomes</w:t>
      </w:r>
      <w:r w:rsidR="00FC537B">
        <w:rPr>
          <w:rFonts w:ascii="Calibri" w:hAnsi="Calibri"/>
        </w:rPr>
        <w:t xml:space="preserve"> of the five yearly reviews of the Victorian RFA</w:t>
      </w:r>
      <w:r w:rsidR="0076124C">
        <w:rPr>
          <w:rFonts w:ascii="Calibri" w:hAnsi="Calibri"/>
        </w:rPr>
        <w:t xml:space="preserve"> framework</w:t>
      </w:r>
      <w:r w:rsidR="00222E72">
        <w:rPr>
          <w:rFonts w:ascii="Calibri" w:hAnsi="Calibri"/>
        </w:rPr>
        <w:t xml:space="preserve">, seek to modernise Victoria’s </w:t>
      </w:r>
      <w:r w:rsidR="00F214A4">
        <w:rPr>
          <w:rFonts w:ascii="Calibri" w:hAnsi="Calibri"/>
        </w:rPr>
        <w:t>RFA</w:t>
      </w:r>
      <w:r w:rsidR="007A60BE">
        <w:rPr>
          <w:rFonts w:ascii="Calibri" w:hAnsi="Calibri"/>
        </w:rPr>
        <w:t xml:space="preserve"> </w:t>
      </w:r>
      <w:r w:rsidR="00F214A4">
        <w:rPr>
          <w:rFonts w:ascii="Calibri" w:hAnsi="Calibri"/>
        </w:rPr>
        <w:t>framework</w:t>
      </w:r>
      <w:r w:rsidR="00FC537B">
        <w:rPr>
          <w:rFonts w:ascii="Calibri" w:hAnsi="Calibri"/>
        </w:rPr>
        <w:t>.</w:t>
      </w:r>
      <w:r w:rsidR="00966D3D">
        <w:rPr>
          <w:rFonts w:ascii="Calibri" w:hAnsi="Calibri"/>
        </w:rPr>
        <w:t xml:space="preserve"> P</w:t>
      </w:r>
      <w:r w:rsidR="00FC537B">
        <w:rPr>
          <w:rFonts w:ascii="Calibri" w:hAnsi="Calibri"/>
        </w:rPr>
        <w:t xml:space="preserve">ractical improvements to </w:t>
      </w:r>
      <w:r w:rsidR="006778A7">
        <w:rPr>
          <w:rFonts w:ascii="Calibri" w:hAnsi="Calibri"/>
        </w:rPr>
        <w:t>enhance</w:t>
      </w:r>
      <w:r w:rsidR="00966D3D">
        <w:rPr>
          <w:rFonts w:ascii="Calibri" w:hAnsi="Calibri"/>
        </w:rPr>
        <w:t xml:space="preserve"> the </w:t>
      </w:r>
      <w:r w:rsidR="006778A7">
        <w:rPr>
          <w:rFonts w:ascii="Calibri" w:hAnsi="Calibri"/>
        </w:rPr>
        <w:t xml:space="preserve">performance of the </w:t>
      </w:r>
      <w:r w:rsidR="0076124C">
        <w:rPr>
          <w:rFonts w:ascii="Calibri" w:hAnsi="Calibri"/>
        </w:rPr>
        <w:t xml:space="preserve">Victorian </w:t>
      </w:r>
      <w:r w:rsidR="00966D3D">
        <w:rPr>
          <w:rFonts w:ascii="Calibri" w:hAnsi="Calibri"/>
        </w:rPr>
        <w:t xml:space="preserve">RFA framework </w:t>
      </w:r>
      <w:r w:rsidR="006778A7">
        <w:rPr>
          <w:rFonts w:ascii="Calibri" w:hAnsi="Calibri"/>
        </w:rPr>
        <w:t xml:space="preserve">and to ensure it </w:t>
      </w:r>
      <w:r w:rsidR="00FC537B">
        <w:rPr>
          <w:rFonts w:ascii="Calibri" w:hAnsi="Calibri"/>
        </w:rPr>
        <w:t>remain</w:t>
      </w:r>
      <w:r w:rsidR="00966D3D">
        <w:rPr>
          <w:rFonts w:ascii="Calibri" w:hAnsi="Calibri"/>
        </w:rPr>
        <w:t>s</w:t>
      </w:r>
      <w:r w:rsidR="00FC537B">
        <w:rPr>
          <w:rFonts w:ascii="Calibri" w:hAnsi="Calibri"/>
        </w:rPr>
        <w:t xml:space="preserve"> effective and credible in the long term includ</w:t>
      </w:r>
      <w:r w:rsidR="00966D3D">
        <w:rPr>
          <w:rFonts w:ascii="Calibri" w:hAnsi="Calibri"/>
        </w:rPr>
        <w:t>e</w:t>
      </w:r>
      <w:r w:rsidR="00FC537B">
        <w:rPr>
          <w:rFonts w:ascii="Calibri" w:hAnsi="Calibri"/>
        </w:rPr>
        <w:t>:</w:t>
      </w:r>
    </w:p>
    <w:p w14:paraId="7C2B92C7" w14:textId="3F5998E5" w:rsidR="00FC537B" w:rsidRDefault="00FC537B" w:rsidP="00FC537B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9B3F6A">
        <w:rPr>
          <w:rFonts w:ascii="Calibri" w:hAnsi="Calibri"/>
          <w:b/>
        </w:rPr>
        <w:t xml:space="preserve">Reflect </w:t>
      </w:r>
      <w:r w:rsidR="001343AA" w:rsidRPr="00A16D56">
        <w:rPr>
          <w:rFonts w:ascii="Calibri" w:hAnsi="Calibri"/>
          <w:b/>
        </w:rPr>
        <w:t>contemporary</w:t>
      </w:r>
      <w:r w:rsidRPr="009B3F6A">
        <w:rPr>
          <w:rFonts w:ascii="Calibri" w:hAnsi="Calibri"/>
          <w:b/>
        </w:rPr>
        <w:t xml:space="preserve"> legislation, policy and institutional arrangements</w:t>
      </w:r>
      <w:r>
        <w:rPr>
          <w:rFonts w:ascii="Calibri" w:hAnsi="Calibri"/>
        </w:rPr>
        <w:t xml:space="preserve"> – where practicable, the Parties will update references to legislation, polic</w:t>
      </w:r>
      <w:r w:rsidR="00357382">
        <w:rPr>
          <w:rFonts w:ascii="Calibri" w:hAnsi="Calibri"/>
        </w:rPr>
        <w:t>ies</w:t>
      </w:r>
      <w:r>
        <w:rPr>
          <w:rFonts w:ascii="Calibri" w:hAnsi="Calibri"/>
        </w:rPr>
        <w:t xml:space="preserve"> and institutions</w:t>
      </w:r>
      <w:r w:rsidR="008433B8">
        <w:rPr>
          <w:rFonts w:ascii="Calibri" w:hAnsi="Calibri"/>
        </w:rPr>
        <w:t xml:space="preserve"> where these have been superseded</w:t>
      </w:r>
      <w:r>
        <w:rPr>
          <w:rFonts w:ascii="Calibri" w:hAnsi="Calibri"/>
        </w:rPr>
        <w:t xml:space="preserve">. </w:t>
      </w:r>
      <w:r w:rsidR="00463537">
        <w:rPr>
          <w:rFonts w:ascii="Calibri" w:hAnsi="Calibri"/>
        </w:rPr>
        <w:t>In particular, the</w:t>
      </w:r>
      <w:r w:rsidR="00463537">
        <w:rPr>
          <w:rFonts w:ascii="Calibri" w:eastAsiaTheme="minorEastAsia" w:hAnsi="Calibri" w:cs="Calibri"/>
          <w:color w:val="000000"/>
        </w:rPr>
        <w:t xml:space="preserve"> Parties will </w:t>
      </w:r>
      <w:r w:rsidR="0076124C">
        <w:rPr>
          <w:rFonts w:ascii="Calibri" w:eastAsiaTheme="minorEastAsia" w:hAnsi="Calibri" w:cs="Calibri"/>
          <w:color w:val="000000"/>
        </w:rPr>
        <w:t xml:space="preserve">amend and </w:t>
      </w:r>
      <w:r w:rsidR="00463537">
        <w:rPr>
          <w:rFonts w:ascii="Calibri" w:eastAsiaTheme="minorEastAsia" w:hAnsi="Calibri" w:cs="Calibri"/>
          <w:color w:val="000000"/>
        </w:rPr>
        <w:t xml:space="preserve">modernise the RFAs to clearly express </w:t>
      </w:r>
      <w:r w:rsidR="00463537" w:rsidRPr="00DC45B8">
        <w:rPr>
          <w:rFonts w:ascii="Calibri" w:hAnsi="Calibri"/>
        </w:rPr>
        <w:t xml:space="preserve">legislation, policy and institutional </w:t>
      </w:r>
      <w:r w:rsidR="000735D0">
        <w:rPr>
          <w:rFonts w:ascii="Calibri" w:hAnsi="Calibri"/>
        </w:rPr>
        <w:t>changes</w:t>
      </w:r>
      <w:r w:rsidR="00463537">
        <w:rPr>
          <w:rFonts w:ascii="Calibri" w:eastAsiaTheme="minorEastAsia" w:hAnsi="Calibri" w:cs="Calibri"/>
          <w:color w:val="000000"/>
        </w:rPr>
        <w:t xml:space="preserve"> </w:t>
      </w:r>
      <w:r w:rsidR="00D64DDC">
        <w:rPr>
          <w:rFonts w:ascii="Calibri" w:eastAsiaTheme="minorEastAsia" w:hAnsi="Calibri" w:cs="Calibri"/>
          <w:color w:val="000000"/>
        </w:rPr>
        <w:t>affecting</w:t>
      </w:r>
      <w:r w:rsidR="00463537">
        <w:rPr>
          <w:rFonts w:ascii="Calibri" w:eastAsiaTheme="minorEastAsia" w:hAnsi="Calibri" w:cs="Calibri"/>
          <w:color w:val="000000"/>
        </w:rPr>
        <w:t>: the</w:t>
      </w:r>
      <w:r w:rsidR="00463537" w:rsidRPr="00DC45B8">
        <w:rPr>
          <w:rFonts w:ascii="Calibri" w:eastAsiaTheme="minorEastAsia" w:hAnsi="Calibri" w:cs="Calibri"/>
          <w:color w:val="000000"/>
        </w:rPr>
        <w:t xml:space="preserve"> </w:t>
      </w:r>
      <w:r w:rsidR="00463537">
        <w:rPr>
          <w:rFonts w:ascii="Calibri" w:eastAsiaTheme="minorEastAsia" w:hAnsi="Calibri" w:cs="Calibri"/>
          <w:color w:val="000000"/>
        </w:rPr>
        <w:t xml:space="preserve">protection of Matters of National Environmental Significance; </w:t>
      </w:r>
      <w:r w:rsidR="00463537" w:rsidRPr="00DC45B8">
        <w:rPr>
          <w:rFonts w:ascii="Calibri" w:eastAsiaTheme="minorEastAsia" w:hAnsi="Calibri" w:cs="Calibri"/>
          <w:color w:val="000000"/>
        </w:rPr>
        <w:t>climate change mitigation and adaptation</w:t>
      </w:r>
      <w:r w:rsidR="00463537">
        <w:rPr>
          <w:rFonts w:ascii="Calibri" w:eastAsiaTheme="minorEastAsia" w:hAnsi="Calibri" w:cs="Calibri"/>
          <w:color w:val="000000"/>
        </w:rPr>
        <w:t>; the sustainability of forest based-industries</w:t>
      </w:r>
      <w:r w:rsidR="0053505B">
        <w:rPr>
          <w:rFonts w:ascii="Calibri" w:eastAsiaTheme="minorEastAsia" w:hAnsi="Calibri" w:cs="Calibri"/>
          <w:color w:val="000000"/>
        </w:rPr>
        <w:t xml:space="preserve"> and businesses</w:t>
      </w:r>
      <w:r w:rsidR="00A16D56">
        <w:rPr>
          <w:rFonts w:ascii="Calibri" w:eastAsiaTheme="minorEastAsia" w:hAnsi="Calibri" w:cs="Calibri"/>
          <w:color w:val="000000"/>
        </w:rPr>
        <w:t xml:space="preserve">; </w:t>
      </w:r>
      <w:r w:rsidR="00EF4A5A">
        <w:rPr>
          <w:rFonts w:ascii="Calibri" w:eastAsiaTheme="minorEastAsia" w:hAnsi="Calibri" w:cs="Calibri"/>
          <w:color w:val="000000"/>
        </w:rPr>
        <w:t>I</w:t>
      </w:r>
      <w:r w:rsidR="00463537">
        <w:rPr>
          <w:rFonts w:ascii="Calibri" w:eastAsiaTheme="minorEastAsia" w:hAnsi="Calibri" w:cs="Calibri"/>
          <w:color w:val="000000"/>
        </w:rPr>
        <w:t>ndigenous heritage;</w:t>
      </w:r>
      <w:r w:rsidR="0020194E">
        <w:rPr>
          <w:rFonts w:ascii="Calibri" w:eastAsiaTheme="minorEastAsia" w:hAnsi="Calibri" w:cs="Calibri"/>
          <w:color w:val="000000"/>
        </w:rPr>
        <w:t xml:space="preserve"> traditional owner values; </w:t>
      </w:r>
      <w:r w:rsidR="00463537">
        <w:rPr>
          <w:rFonts w:ascii="Calibri" w:eastAsiaTheme="minorEastAsia" w:hAnsi="Calibri" w:cs="Calibri"/>
          <w:color w:val="000000"/>
        </w:rPr>
        <w:t>and Victoria’s contemporary framework for ecologically sustainable forest management.</w:t>
      </w:r>
    </w:p>
    <w:p w14:paraId="2EAAD827" w14:textId="5C63B8D3" w:rsidR="00FC537B" w:rsidRDefault="00FC537B" w:rsidP="00FC537B">
      <w:pPr>
        <w:pStyle w:val="ListParagraph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Simplify and harmonise the </w:t>
      </w:r>
      <w:r w:rsidR="0076124C">
        <w:rPr>
          <w:rFonts w:ascii="Calibri" w:hAnsi="Calibri"/>
          <w:b/>
        </w:rPr>
        <w:t xml:space="preserve">Victorian </w:t>
      </w:r>
      <w:r>
        <w:rPr>
          <w:rFonts w:ascii="Calibri" w:hAnsi="Calibri"/>
          <w:b/>
        </w:rPr>
        <w:t>RFA</w:t>
      </w:r>
      <w:r w:rsidR="007A60B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framework </w:t>
      </w:r>
      <w:r>
        <w:rPr>
          <w:rFonts w:ascii="Calibri" w:hAnsi="Calibri"/>
        </w:rPr>
        <w:t xml:space="preserve">– where practicable, the Parties will </w:t>
      </w:r>
      <w:r w:rsidR="007A6223">
        <w:rPr>
          <w:rFonts w:ascii="Calibri" w:hAnsi="Calibri"/>
        </w:rPr>
        <w:t xml:space="preserve">make amendments to </w:t>
      </w:r>
      <w:r>
        <w:rPr>
          <w:rFonts w:ascii="Calibri" w:hAnsi="Calibri"/>
        </w:rPr>
        <w:t xml:space="preserve">simplify and synchronise the structure and provisions of Victoria’s five RFAs to ensure clarity and consistency. </w:t>
      </w:r>
    </w:p>
    <w:p w14:paraId="6B330D62" w14:textId="25B3D796" w:rsidR="00FC537B" w:rsidRDefault="00FC537B" w:rsidP="00FC537B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9C59C4">
        <w:rPr>
          <w:rFonts w:ascii="Calibri" w:hAnsi="Calibri"/>
          <w:b/>
        </w:rPr>
        <w:t>Increase the transparency and durability of forest management –</w:t>
      </w:r>
      <w:r>
        <w:rPr>
          <w:rFonts w:ascii="Calibri" w:hAnsi="Calibri"/>
        </w:rPr>
        <w:t xml:space="preserve"> the Parties will </w:t>
      </w:r>
      <w:r w:rsidR="00996F73">
        <w:rPr>
          <w:rFonts w:ascii="Calibri" w:hAnsi="Calibri"/>
        </w:rPr>
        <w:t>make</w:t>
      </w:r>
      <w:r w:rsidR="007A6223">
        <w:rPr>
          <w:rFonts w:ascii="Calibri" w:hAnsi="Calibri"/>
        </w:rPr>
        <w:t xml:space="preserve"> amendments to</w:t>
      </w:r>
      <w:r>
        <w:rPr>
          <w:rFonts w:ascii="Calibri" w:hAnsi="Calibri"/>
        </w:rPr>
        <w:t xml:space="preserve"> improve</w:t>
      </w:r>
      <w:r w:rsidR="00B45237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monitoring and reporting arrangements </w:t>
      </w:r>
      <w:r w:rsidR="007A6223">
        <w:rPr>
          <w:rFonts w:ascii="Calibri" w:hAnsi="Calibri"/>
        </w:rPr>
        <w:t xml:space="preserve">in the RFAs </w:t>
      </w:r>
      <w:r>
        <w:rPr>
          <w:rFonts w:ascii="Calibri" w:hAnsi="Calibri"/>
        </w:rPr>
        <w:t xml:space="preserve">to ensure </w:t>
      </w:r>
      <w:r w:rsidR="00B45237">
        <w:rPr>
          <w:rFonts w:ascii="Calibri" w:hAnsi="Calibri"/>
        </w:rPr>
        <w:t xml:space="preserve">that </w:t>
      </w:r>
      <w:r>
        <w:rPr>
          <w:rFonts w:ascii="Calibri" w:hAnsi="Calibri"/>
        </w:rPr>
        <w:t xml:space="preserve">they are robust, transparent and focused on outcomes of forest management. </w:t>
      </w:r>
    </w:p>
    <w:p w14:paraId="209551CE" w14:textId="2006F0C3" w:rsidR="00A409F3" w:rsidRPr="00606409" w:rsidRDefault="00FC537B" w:rsidP="00606409">
      <w:pPr>
        <w:pStyle w:val="ListParagraph"/>
        <w:numPr>
          <w:ilvl w:val="0"/>
          <w:numId w:val="30"/>
        </w:numPr>
        <w:rPr>
          <w:rFonts w:ascii="Calibri" w:hAnsi="Calibri"/>
          <w:b/>
        </w:rPr>
      </w:pPr>
      <w:r w:rsidRPr="00C563EC">
        <w:rPr>
          <w:rFonts w:ascii="Calibri" w:hAnsi="Calibri"/>
          <w:b/>
        </w:rPr>
        <w:t>Improve</w:t>
      </w:r>
      <w:r w:rsidR="00FA63D4" w:rsidRPr="00C563EC">
        <w:rPr>
          <w:rFonts w:ascii="Calibri" w:hAnsi="Calibri"/>
          <w:b/>
        </w:rPr>
        <w:t xml:space="preserve"> engagement and</w:t>
      </w:r>
      <w:r w:rsidRPr="00C563EC">
        <w:rPr>
          <w:rFonts w:ascii="Calibri" w:hAnsi="Calibri"/>
          <w:b/>
        </w:rPr>
        <w:t xml:space="preserve"> communication</w:t>
      </w:r>
      <w:r w:rsidR="00E369C1">
        <w:rPr>
          <w:rFonts w:ascii="Calibri" w:hAnsi="Calibri"/>
          <w:b/>
        </w:rPr>
        <w:t xml:space="preserve"> </w:t>
      </w:r>
      <w:r w:rsidRPr="00606409">
        <w:rPr>
          <w:rFonts w:ascii="Calibri" w:hAnsi="Calibri"/>
          <w:b/>
        </w:rPr>
        <w:t xml:space="preserve">– </w:t>
      </w:r>
      <w:r w:rsidR="000B1DF5" w:rsidRPr="00606409">
        <w:rPr>
          <w:rFonts w:ascii="Calibri" w:hAnsi="Calibri"/>
        </w:rPr>
        <w:t xml:space="preserve">The Parties recognise the importance of engagement in the </w:t>
      </w:r>
      <w:r w:rsidR="007A6223">
        <w:rPr>
          <w:rFonts w:ascii="Calibri" w:hAnsi="Calibri"/>
        </w:rPr>
        <w:t xml:space="preserve">amendment and </w:t>
      </w:r>
      <w:r w:rsidR="000B1DF5" w:rsidRPr="00606409">
        <w:rPr>
          <w:rFonts w:ascii="Calibri" w:hAnsi="Calibri"/>
        </w:rPr>
        <w:t xml:space="preserve">modernisation process and </w:t>
      </w:r>
      <w:r w:rsidR="009045B2" w:rsidRPr="00606409">
        <w:rPr>
          <w:rFonts w:ascii="Calibri" w:hAnsi="Calibri"/>
        </w:rPr>
        <w:t xml:space="preserve">will ensure </w:t>
      </w:r>
      <w:r w:rsidR="008C048C" w:rsidRPr="00606409">
        <w:rPr>
          <w:rFonts w:ascii="Calibri" w:hAnsi="Calibri"/>
        </w:rPr>
        <w:t xml:space="preserve">the </w:t>
      </w:r>
      <w:r w:rsidR="009045B2" w:rsidRPr="00606409">
        <w:rPr>
          <w:rFonts w:ascii="Calibri" w:hAnsi="Calibri"/>
        </w:rPr>
        <w:t xml:space="preserve">engagement </w:t>
      </w:r>
      <w:r w:rsidR="008C048C" w:rsidRPr="00606409">
        <w:rPr>
          <w:rFonts w:ascii="Calibri" w:hAnsi="Calibri"/>
        </w:rPr>
        <w:t xml:space="preserve">process </w:t>
      </w:r>
      <w:r w:rsidR="00C301B9" w:rsidRPr="00606409">
        <w:rPr>
          <w:rFonts w:ascii="Calibri" w:hAnsi="Calibri"/>
        </w:rPr>
        <w:t xml:space="preserve">is inclusive of a </w:t>
      </w:r>
      <w:r w:rsidR="00162F98" w:rsidRPr="00606409">
        <w:rPr>
          <w:rFonts w:ascii="Calibri" w:hAnsi="Calibri"/>
        </w:rPr>
        <w:t>b</w:t>
      </w:r>
      <w:r w:rsidR="00162F98">
        <w:rPr>
          <w:rFonts w:ascii="Calibri" w:hAnsi="Calibri"/>
        </w:rPr>
        <w:t>r</w:t>
      </w:r>
      <w:r w:rsidR="00162F98" w:rsidRPr="00606409">
        <w:rPr>
          <w:rFonts w:ascii="Calibri" w:hAnsi="Calibri"/>
        </w:rPr>
        <w:t>oad</w:t>
      </w:r>
      <w:r w:rsidR="00C301B9" w:rsidRPr="00606409">
        <w:rPr>
          <w:rFonts w:ascii="Calibri" w:hAnsi="Calibri"/>
        </w:rPr>
        <w:t xml:space="preserve"> range of Victorian communities. T</w:t>
      </w:r>
      <w:r w:rsidRPr="00606409">
        <w:rPr>
          <w:rFonts w:ascii="Calibri" w:hAnsi="Calibri"/>
        </w:rPr>
        <w:t>he Parties will</w:t>
      </w:r>
      <w:r w:rsidR="000B1DF5" w:rsidRPr="00606409">
        <w:rPr>
          <w:rFonts w:ascii="Calibri" w:hAnsi="Calibri"/>
        </w:rPr>
        <w:t xml:space="preserve"> also</w:t>
      </w:r>
      <w:r w:rsidRPr="00606409">
        <w:rPr>
          <w:rFonts w:ascii="Calibri" w:hAnsi="Calibri"/>
        </w:rPr>
        <w:t xml:space="preserve"> improve communication</w:t>
      </w:r>
      <w:r w:rsidR="00FA63D4" w:rsidRPr="00606409">
        <w:rPr>
          <w:rFonts w:ascii="Calibri" w:hAnsi="Calibri"/>
        </w:rPr>
        <w:t xml:space="preserve"> between the Parties</w:t>
      </w:r>
      <w:r w:rsidRPr="00606409">
        <w:rPr>
          <w:rFonts w:ascii="Calibri" w:hAnsi="Calibri"/>
        </w:rPr>
        <w:t xml:space="preserve"> on the implementation of RFAs</w:t>
      </w:r>
      <w:r w:rsidR="00150B1A">
        <w:rPr>
          <w:rFonts w:ascii="Calibri" w:hAnsi="Calibri"/>
        </w:rPr>
        <w:t>.</w:t>
      </w:r>
    </w:p>
    <w:p w14:paraId="1B700037" w14:textId="77D774E9" w:rsidR="0044290B" w:rsidRDefault="007A6223" w:rsidP="00606409">
      <w:pPr>
        <w:pStyle w:val="Heading1"/>
        <w:spacing w:before="0"/>
      </w:pPr>
      <w:bookmarkStart w:id="18" w:name="_Toc503777698"/>
      <w:bookmarkStart w:id="19" w:name="_Toc504980113"/>
      <w:r w:rsidRPr="006778A7">
        <w:t xml:space="preserve">Amendment </w:t>
      </w:r>
      <w:r w:rsidR="00031AAF" w:rsidRPr="006778A7">
        <w:t xml:space="preserve">and modernisation </w:t>
      </w:r>
      <w:r w:rsidR="00997019" w:rsidRPr="006778A7">
        <w:t>process</w:t>
      </w:r>
      <w:bookmarkEnd w:id="18"/>
      <w:bookmarkEnd w:id="19"/>
    </w:p>
    <w:p w14:paraId="32C4F02F" w14:textId="77777777" w:rsidR="00140E89" w:rsidRDefault="00140E89" w:rsidP="00140E89">
      <w:pPr>
        <w:pStyle w:val="Heading2"/>
      </w:pPr>
      <w:bookmarkStart w:id="20" w:name="_Toc503777699"/>
      <w:bookmarkStart w:id="21" w:name="_Toc504980114"/>
      <w:r>
        <w:t>A</w:t>
      </w:r>
      <w:r w:rsidRPr="00140E89">
        <w:t xml:space="preserve"> timetable of milestones </w:t>
      </w:r>
      <w:r>
        <w:t>to be met</w:t>
      </w:r>
      <w:r w:rsidRPr="00140E89">
        <w:t xml:space="preserve"> by March 2020;</w:t>
      </w:r>
      <w:bookmarkEnd w:id="20"/>
      <w:bookmarkEnd w:id="21"/>
    </w:p>
    <w:p w14:paraId="483F0960" w14:textId="16B705A0" w:rsidR="0044290B" w:rsidRDefault="0044290B" w:rsidP="0044290B">
      <w:p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t xml:space="preserve">Both Parties agree the key stages and timing of the </w:t>
      </w:r>
      <w:r w:rsidR="0076124C">
        <w:rPr>
          <w:rFonts w:ascii="Calibri" w:hAnsi="Calibri"/>
        </w:rPr>
        <w:t xml:space="preserve">amendment and </w:t>
      </w:r>
      <w:r w:rsidR="00997019">
        <w:rPr>
          <w:rFonts w:ascii="Calibri" w:hAnsi="Calibri"/>
        </w:rPr>
        <w:t xml:space="preserve">modernisation </w:t>
      </w:r>
      <w:r>
        <w:rPr>
          <w:rFonts w:ascii="Calibri" w:hAnsi="Calibri"/>
        </w:rPr>
        <w:t>process will include:</w:t>
      </w:r>
    </w:p>
    <w:p w14:paraId="35577A99" w14:textId="77777777" w:rsidR="0044290B" w:rsidRDefault="0044290B" w:rsidP="0044290B">
      <w:pPr>
        <w:pStyle w:val="ListParagraph"/>
        <w:numPr>
          <w:ilvl w:val="0"/>
          <w:numId w:val="11"/>
        </w:num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t xml:space="preserve">A project work plan by </w:t>
      </w:r>
      <w:r w:rsidR="00F874BC">
        <w:rPr>
          <w:rFonts w:ascii="Calibri" w:hAnsi="Calibri"/>
        </w:rPr>
        <w:t xml:space="preserve">June </w:t>
      </w:r>
      <w:r>
        <w:rPr>
          <w:rFonts w:ascii="Calibri" w:hAnsi="Calibri"/>
        </w:rPr>
        <w:t>2018</w:t>
      </w:r>
      <w:r w:rsidR="00C8765F">
        <w:rPr>
          <w:rFonts w:ascii="Calibri" w:hAnsi="Calibri"/>
        </w:rPr>
        <w:t>;</w:t>
      </w:r>
    </w:p>
    <w:p w14:paraId="7807076F" w14:textId="1AD09B00" w:rsidR="0044290B" w:rsidRDefault="0044290B" w:rsidP="0044290B">
      <w:pPr>
        <w:pStyle w:val="ListParagraph"/>
        <w:numPr>
          <w:ilvl w:val="0"/>
          <w:numId w:val="11"/>
        </w:num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t xml:space="preserve">Completion of </w:t>
      </w:r>
      <w:r w:rsidR="007A6223">
        <w:rPr>
          <w:rFonts w:ascii="Calibri" w:hAnsi="Calibri"/>
        </w:rPr>
        <w:t>further</w:t>
      </w:r>
      <w:r w:rsidR="006F2809">
        <w:rPr>
          <w:rFonts w:ascii="Calibri" w:hAnsi="Calibri"/>
        </w:rPr>
        <w:t xml:space="preserve"> </w:t>
      </w:r>
      <w:r>
        <w:rPr>
          <w:rFonts w:ascii="Calibri" w:hAnsi="Calibri"/>
        </w:rPr>
        <w:t>assessment</w:t>
      </w:r>
      <w:r w:rsidR="00EF4A5A">
        <w:rPr>
          <w:rFonts w:ascii="Calibri" w:hAnsi="Calibri"/>
        </w:rPr>
        <w:t>s</w:t>
      </w:r>
      <w:r w:rsidR="005645BA">
        <w:rPr>
          <w:rFonts w:ascii="Calibri" w:hAnsi="Calibri"/>
        </w:rPr>
        <w:t xml:space="preserve"> of </w:t>
      </w:r>
      <w:r w:rsidR="00B02289" w:rsidRPr="000B048F">
        <w:rPr>
          <w:rFonts w:ascii="Calibri" w:hAnsi="Calibri"/>
        </w:rPr>
        <w:t xml:space="preserve">environmental values, </w:t>
      </w:r>
      <w:r w:rsidR="00EF4A5A">
        <w:rPr>
          <w:rFonts w:ascii="Calibri" w:hAnsi="Calibri"/>
        </w:rPr>
        <w:t>I</w:t>
      </w:r>
      <w:r w:rsidR="00B02289" w:rsidRPr="000B048F">
        <w:rPr>
          <w:rFonts w:ascii="Calibri" w:hAnsi="Calibri"/>
        </w:rPr>
        <w:t xml:space="preserve">ndigenous heritage values, economic values of forested areas and forest </w:t>
      </w:r>
      <w:r w:rsidR="00B02289" w:rsidRPr="005645BA">
        <w:rPr>
          <w:rFonts w:ascii="Calibri" w:hAnsi="Calibri"/>
        </w:rPr>
        <w:t>industries</w:t>
      </w:r>
      <w:r w:rsidR="00B02289" w:rsidRPr="000B048F">
        <w:rPr>
          <w:rFonts w:ascii="Calibri" w:hAnsi="Calibri"/>
        </w:rPr>
        <w:t xml:space="preserve">, social values and the principles of ecologically </w:t>
      </w:r>
      <w:r w:rsidR="00B02289" w:rsidRPr="005645BA">
        <w:rPr>
          <w:rFonts w:ascii="Calibri" w:hAnsi="Calibri"/>
        </w:rPr>
        <w:t>sustainable</w:t>
      </w:r>
      <w:r w:rsidR="00B02289" w:rsidRPr="000B048F">
        <w:rPr>
          <w:rFonts w:ascii="Calibri" w:hAnsi="Calibri"/>
        </w:rPr>
        <w:t xml:space="preserve"> management</w:t>
      </w:r>
      <w:r w:rsidR="00B02289">
        <w:rPr>
          <w:rFonts w:ascii="Calibri" w:hAnsi="Calibri"/>
        </w:rPr>
        <w:t xml:space="preserve"> as</w:t>
      </w:r>
      <w:r w:rsidR="005645BA">
        <w:rPr>
          <w:rFonts w:ascii="Calibri" w:hAnsi="Calibri"/>
        </w:rPr>
        <w:t xml:space="preserve"> </w:t>
      </w:r>
      <w:r w:rsidR="000A3D88">
        <w:rPr>
          <w:rFonts w:ascii="Calibri" w:hAnsi="Calibri"/>
        </w:rPr>
        <w:t>described in paragraph (a) of the definition of ‘RFA’ or ‘Regional Forest Agreement’</w:t>
      </w:r>
      <w:r w:rsidR="005645BA">
        <w:rPr>
          <w:rFonts w:ascii="Calibri" w:hAnsi="Calibri"/>
        </w:rPr>
        <w:t xml:space="preserve"> in </w:t>
      </w:r>
      <w:r w:rsidR="006F2809">
        <w:rPr>
          <w:rFonts w:ascii="Calibri" w:hAnsi="Calibri"/>
        </w:rPr>
        <w:t xml:space="preserve">Section 4 of the </w:t>
      </w:r>
      <w:r w:rsidR="006F2809" w:rsidRPr="00606409">
        <w:rPr>
          <w:rFonts w:ascii="Calibri" w:hAnsi="Calibri"/>
          <w:i/>
        </w:rPr>
        <w:t>Regional Forest Agreements Act 2002</w:t>
      </w:r>
      <w:r w:rsidR="006F2809">
        <w:rPr>
          <w:rFonts w:ascii="Calibri" w:hAnsi="Calibri"/>
        </w:rPr>
        <w:t xml:space="preserve"> </w:t>
      </w:r>
      <w:r>
        <w:rPr>
          <w:rFonts w:ascii="Calibri" w:hAnsi="Calibri"/>
        </w:rPr>
        <w:t>by December 2019</w:t>
      </w:r>
      <w:r w:rsidR="00C8765F">
        <w:rPr>
          <w:rFonts w:ascii="Calibri" w:hAnsi="Calibri"/>
        </w:rPr>
        <w:t>;</w:t>
      </w:r>
    </w:p>
    <w:p w14:paraId="40B534F2" w14:textId="77777777" w:rsidR="0044290B" w:rsidRDefault="0044290B" w:rsidP="0044290B">
      <w:pPr>
        <w:pStyle w:val="ListParagraph"/>
        <w:numPr>
          <w:ilvl w:val="0"/>
          <w:numId w:val="11"/>
        </w:num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t xml:space="preserve">Completion of community consultation </w:t>
      </w:r>
      <w:r w:rsidR="00F874BC">
        <w:rPr>
          <w:rFonts w:ascii="Calibri" w:hAnsi="Calibri"/>
        </w:rPr>
        <w:t xml:space="preserve">and engagement </w:t>
      </w:r>
      <w:r>
        <w:rPr>
          <w:rFonts w:ascii="Calibri" w:hAnsi="Calibri"/>
        </w:rPr>
        <w:t xml:space="preserve">by </w:t>
      </w:r>
      <w:r w:rsidR="00EF4A5A">
        <w:rPr>
          <w:rFonts w:ascii="Calibri" w:hAnsi="Calibri"/>
        </w:rPr>
        <w:t xml:space="preserve">June </w:t>
      </w:r>
      <w:r>
        <w:rPr>
          <w:rFonts w:ascii="Calibri" w:hAnsi="Calibri"/>
        </w:rPr>
        <w:t>2019</w:t>
      </w:r>
      <w:r w:rsidR="00C8765F">
        <w:rPr>
          <w:rFonts w:ascii="Calibri" w:hAnsi="Calibri"/>
        </w:rPr>
        <w:t>; and</w:t>
      </w:r>
    </w:p>
    <w:p w14:paraId="02BCF911" w14:textId="21EC7DEF" w:rsidR="00C93685" w:rsidRPr="00EB7D8F" w:rsidRDefault="0044290B" w:rsidP="00EB7D8F">
      <w:pPr>
        <w:pStyle w:val="ListParagraph"/>
        <w:numPr>
          <w:ilvl w:val="0"/>
          <w:numId w:val="11"/>
        </w:num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t xml:space="preserve">Completion of </w:t>
      </w:r>
      <w:r w:rsidR="0076124C">
        <w:rPr>
          <w:rFonts w:ascii="Calibri" w:hAnsi="Calibri"/>
        </w:rPr>
        <w:t>amendments to the Victorian</w:t>
      </w:r>
      <w:r>
        <w:rPr>
          <w:rFonts w:ascii="Calibri" w:hAnsi="Calibri"/>
        </w:rPr>
        <w:t xml:space="preserve"> RFA</w:t>
      </w:r>
      <w:r w:rsidR="00EB6BB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framework by </w:t>
      </w:r>
      <w:r w:rsidR="009E5F22">
        <w:rPr>
          <w:rFonts w:ascii="Calibri" w:hAnsi="Calibri"/>
        </w:rPr>
        <w:t>31</w:t>
      </w:r>
      <w:r w:rsidR="00802B00">
        <w:rPr>
          <w:rFonts w:ascii="Calibri" w:hAnsi="Calibri"/>
        </w:rPr>
        <w:t xml:space="preserve"> </w:t>
      </w:r>
      <w:r>
        <w:rPr>
          <w:rFonts w:ascii="Calibri" w:hAnsi="Calibri"/>
        </w:rPr>
        <w:t>March 2020</w:t>
      </w:r>
      <w:r w:rsidR="00C8765F">
        <w:rPr>
          <w:rFonts w:ascii="Calibri" w:hAnsi="Calibri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158"/>
        <w:gridCol w:w="1158"/>
        <w:gridCol w:w="70"/>
        <w:gridCol w:w="1447"/>
        <w:gridCol w:w="1158"/>
        <w:gridCol w:w="1158"/>
      </w:tblGrid>
      <w:tr w:rsidR="00F313AD" w:rsidRPr="00EB7D8F" w14:paraId="2043CC71" w14:textId="77777777" w:rsidTr="00A93787">
        <w:tc>
          <w:tcPr>
            <w:tcW w:w="1266" w:type="dxa"/>
          </w:tcPr>
          <w:p w14:paraId="26ABA9CA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2018</w:t>
            </w:r>
          </w:p>
        </w:tc>
        <w:tc>
          <w:tcPr>
            <w:tcW w:w="1158" w:type="dxa"/>
          </w:tcPr>
          <w:p w14:paraId="229D6F19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1158" w:type="dxa"/>
          </w:tcPr>
          <w:p w14:paraId="0CBBCBDB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2019</w:t>
            </w:r>
          </w:p>
        </w:tc>
        <w:tc>
          <w:tcPr>
            <w:tcW w:w="1517" w:type="dxa"/>
            <w:gridSpan w:val="2"/>
          </w:tcPr>
          <w:p w14:paraId="1B8845C3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1158" w:type="dxa"/>
          </w:tcPr>
          <w:p w14:paraId="55E8FBF7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1158" w:type="dxa"/>
          </w:tcPr>
          <w:p w14:paraId="6617206C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2020</w:t>
            </w:r>
          </w:p>
        </w:tc>
      </w:tr>
      <w:tr w:rsidR="00F313AD" w:rsidRPr="00EB7D8F" w14:paraId="5A10BCAB" w14:textId="77777777" w:rsidTr="00A93787">
        <w:tc>
          <w:tcPr>
            <w:tcW w:w="1266" w:type="dxa"/>
          </w:tcPr>
          <w:p w14:paraId="6406D288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April</w:t>
            </w:r>
          </w:p>
        </w:tc>
        <w:tc>
          <w:tcPr>
            <w:tcW w:w="1158" w:type="dxa"/>
          </w:tcPr>
          <w:p w14:paraId="74C7902F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1158" w:type="dxa"/>
          </w:tcPr>
          <w:p w14:paraId="26F340AE" w14:textId="77777777" w:rsidR="00F313AD" w:rsidRPr="00EB7D8F" w:rsidRDefault="004E12C5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January</w:t>
            </w:r>
          </w:p>
        </w:tc>
        <w:tc>
          <w:tcPr>
            <w:tcW w:w="1517" w:type="dxa"/>
            <w:gridSpan w:val="2"/>
          </w:tcPr>
          <w:p w14:paraId="5D051260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June</w:t>
            </w:r>
          </w:p>
        </w:tc>
        <w:tc>
          <w:tcPr>
            <w:tcW w:w="1158" w:type="dxa"/>
          </w:tcPr>
          <w:p w14:paraId="269ECB70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December</w:t>
            </w:r>
          </w:p>
        </w:tc>
        <w:tc>
          <w:tcPr>
            <w:tcW w:w="1158" w:type="dxa"/>
          </w:tcPr>
          <w:p w14:paraId="34EF4401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March</w:t>
            </w:r>
          </w:p>
        </w:tc>
      </w:tr>
      <w:tr w:rsidR="00F313AD" w:rsidRPr="00EB7D8F" w14:paraId="74D655FB" w14:textId="77777777" w:rsidTr="00A93787">
        <w:tc>
          <w:tcPr>
            <w:tcW w:w="1266" w:type="dxa"/>
            <w:shd w:val="clear" w:color="auto" w:fill="D6E3BC" w:themeFill="accent3" w:themeFillTint="66"/>
          </w:tcPr>
          <w:p w14:paraId="4F22D1F3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Project work plan</w:t>
            </w:r>
            <w:r w:rsidR="00EB7D8F" w:rsidRPr="00EB7D8F">
              <w:rPr>
                <w:rFonts w:ascii="Calibri" w:hAnsi="Calibri" w:cs="Arial"/>
                <w:b/>
                <w:sz w:val="16"/>
                <w:szCs w:val="18"/>
              </w:rPr>
              <w:t xml:space="preserve"> agreed</w:t>
            </w:r>
          </w:p>
        </w:tc>
        <w:tc>
          <w:tcPr>
            <w:tcW w:w="1158" w:type="dxa"/>
          </w:tcPr>
          <w:p w14:paraId="05DD2B5A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  <w:tc>
          <w:tcPr>
            <w:tcW w:w="1158" w:type="dxa"/>
          </w:tcPr>
          <w:p w14:paraId="10D4C788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  <w:tc>
          <w:tcPr>
            <w:tcW w:w="1517" w:type="dxa"/>
            <w:gridSpan w:val="2"/>
          </w:tcPr>
          <w:p w14:paraId="4DF769D9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  <w:tc>
          <w:tcPr>
            <w:tcW w:w="1158" w:type="dxa"/>
          </w:tcPr>
          <w:p w14:paraId="27A48193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  <w:tc>
          <w:tcPr>
            <w:tcW w:w="1158" w:type="dxa"/>
          </w:tcPr>
          <w:p w14:paraId="6D0BB2C6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</w:tr>
      <w:tr w:rsidR="0010179F" w:rsidRPr="00EB7D8F" w14:paraId="66C04149" w14:textId="77777777" w:rsidTr="00A93787">
        <w:tc>
          <w:tcPr>
            <w:tcW w:w="1266" w:type="dxa"/>
            <w:shd w:val="clear" w:color="auto" w:fill="auto"/>
          </w:tcPr>
          <w:p w14:paraId="5DAD685B" w14:textId="77777777" w:rsidR="0010179F" w:rsidRPr="00EB7D8F" w:rsidRDefault="0010179F" w:rsidP="00EB7D8F">
            <w:pPr>
              <w:spacing w:after="0" w:line="240" w:lineRule="auto"/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</w:pPr>
          </w:p>
        </w:tc>
        <w:tc>
          <w:tcPr>
            <w:tcW w:w="1158" w:type="dxa"/>
            <w:shd w:val="clear" w:color="auto" w:fill="auto"/>
          </w:tcPr>
          <w:p w14:paraId="608953BB" w14:textId="77777777" w:rsidR="0010179F" w:rsidRDefault="00A93787" w:rsidP="00EB7D8F">
            <w:pPr>
              <w:spacing w:after="0" w:line="240" w:lineRule="auto"/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</w:pPr>
            <w:r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4CC9B5" wp14:editId="16E2FBAC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-44450</wp:posOffset>
                      </wp:positionV>
                      <wp:extent cx="847725" cy="295275"/>
                      <wp:effectExtent l="57150" t="19050" r="85725" b="1047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E81963" w14:textId="77777777" w:rsidR="00166E1B" w:rsidRPr="00F67A09" w:rsidRDefault="00166E1B" w:rsidP="00F67A0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A93787">
                                    <w:rPr>
                                      <w:rFonts w:ascii="Calibri" w:hAnsi="Calibri"/>
                                      <w:color w:val="000000" w:themeColor="text1"/>
                                      <w:sz w:val="12"/>
                                    </w:rPr>
                                    <w:t>State of the Forests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872A23" id="Rectangle 7" o:spid="_x0000_s1026" style="position:absolute;margin-left:25.95pt;margin-top:-3.5pt;width:66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" fillcolor="#d8d8d8 [2732]" strokecolor="#d8d8d8 [2732]">
                      <v:shadow on="t" color="black" opacity="22937f" origin=",.5" offset="0,.63889mm"/>
                      <v:textbox>
                        <w:txbxContent>
                          <w:p w:rsidR="00166E1B" w:rsidRPr="00F67A09" w:rsidRDefault="00166E1B" w:rsidP="00F67A09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2"/>
                              </w:rPr>
                            </w:pPr>
                            <w:r w:rsidRPr="00A93787">
                              <w:rPr>
                                <w:rFonts w:ascii="Calibri" w:hAnsi="Calibri"/>
                                <w:color w:val="000000" w:themeColor="text1"/>
                                <w:sz w:val="12"/>
                              </w:rPr>
                              <w:t>State of the Forests Report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5E23A0" w14:textId="77777777" w:rsidR="0010179F" w:rsidRPr="00EB7D8F" w:rsidRDefault="0010179F" w:rsidP="00EB7D8F">
            <w:pPr>
              <w:spacing w:after="0" w:line="240" w:lineRule="auto"/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298959D0" w14:textId="77777777" w:rsidR="0010179F" w:rsidRPr="00EB7D8F" w:rsidRDefault="0010179F" w:rsidP="00EB7D8F">
            <w:pPr>
              <w:spacing w:after="0" w:line="240" w:lineRule="auto"/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</w:pPr>
          </w:p>
        </w:tc>
        <w:tc>
          <w:tcPr>
            <w:tcW w:w="1447" w:type="dxa"/>
            <w:shd w:val="clear" w:color="auto" w:fill="auto"/>
          </w:tcPr>
          <w:p w14:paraId="15474C3E" w14:textId="77777777" w:rsidR="0010179F" w:rsidRPr="00EB7D8F" w:rsidRDefault="0010179F" w:rsidP="00EB7D8F">
            <w:pPr>
              <w:spacing w:after="0" w:line="240" w:lineRule="auto"/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</w:pPr>
          </w:p>
        </w:tc>
        <w:tc>
          <w:tcPr>
            <w:tcW w:w="1158" w:type="dxa"/>
            <w:shd w:val="clear" w:color="auto" w:fill="D6E3BC" w:themeFill="accent3" w:themeFillTint="66"/>
          </w:tcPr>
          <w:p w14:paraId="6B44AB88" w14:textId="77777777" w:rsidR="0010179F" w:rsidRPr="00EB7D8F" w:rsidRDefault="0010179F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1158" w:type="dxa"/>
          </w:tcPr>
          <w:p w14:paraId="44756569" w14:textId="77777777" w:rsidR="0010179F" w:rsidRPr="00EB7D8F" w:rsidRDefault="0010179F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</w:tr>
      <w:tr w:rsidR="00F313AD" w:rsidRPr="00EB7D8F" w14:paraId="65A09642" w14:textId="77777777" w:rsidTr="00A93787">
        <w:tc>
          <w:tcPr>
            <w:tcW w:w="5099" w:type="dxa"/>
            <w:gridSpan w:val="5"/>
            <w:shd w:val="clear" w:color="auto" w:fill="auto"/>
          </w:tcPr>
          <w:p w14:paraId="78958D0B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  <w:r w:rsidRPr="00EB7D8F"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CDDC3F0" wp14:editId="02B2887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63500</wp:posOffset>
                      </wp:positionV>
                      <wp:extent cx="2857500" cy="447675"/>
                      <wp:effectExtent l="57150" t="19050" r="57150" b="104775"/>
                      <wp:wrapThrough wrapText="bothSides">
                        <wp:wrapPolygon edited="0">
                          <wp:start x="-432" y="-919"/>
                          <wp:lineTo x="-288" y="25736"/>
                          <wp:lineTo x="20160" y="25736"/>
                          <wp:lineTo x="21888" y="14706"/>
                          <wp:lineTo x="21024" y="6434"/>
                          <wp:lineTo x="20304" y="-919"/>
                          <wp:lineTo x="-432" y="-919"/>
                        </wp:wrapPolygon>
                      </wp:wrapThrough>
                      <wp:docPr id="5" name="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44767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A6830" w14:textId="77777777" w:rsidR="00166E1B" w:rsidRPr="004E10A7" w:rsidRDefault="00166E1B" w:rsidP="00F313AD">
                                  <w:p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4"/>
                                    </w:rPr>
                                  </w:pPr>
                                  <w:r w:rsidRPr="004E10A7">
                                    <w:rPr>
                                      <w:rFonts w:ascii="Calibri" w:hAnsi="Calibr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Compilation of assessment information &amp; targeted data</w:t>
                                  </w:r>
                                  <w:r w:rsidRPr="004E10A7">
                                    <w:rPr>
                                      <w:rFonts w:ascii="Calibri" w:hAnsi="Calibri"/>
                                      <w:color w:val="000000" w:themeColor="text1"/>
                                      <w:sz w:val="10"/>
                                      <w:szCs w:val="14"/>
                                    </w:rPr>
                                    <w:t xml:space="preserve"> </w:t>
                                  </w:r>
                                  <w:r w:rsidRPr="004E10A7">
                                    <w:rPr>
                                      <w:rFonts w:ascii="Calibri" w:hAnsi="Calibri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collection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01EC2F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5" o:spid="_x0000_s1027" type="#_x0000_t15" style="position:absolute;margin-left:2.85pt;margin-top:5pt;width:225pt;height:3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" adj="19908" fillcolor="#eaf1dd [662]" strokecolor="#d6e3bc [1302]">
                      <v:shadow on="t" color="black" opacity="22937f" origin=",.5" offset="0,.63889mm"/>
                      <v:textbox>
                        <w:txbxContent>
                          <w:p w:rsidR="00166E1B" w:rsidRPr="004E10A7" w:rsidRDefault="00166E1B" w:rsidP="00F313AD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4E10A7">
                              <w:rPr>
                                <w:rFonts w:ascii="Calibri" w:hAnsi="Calibri"/>
                                <w:color w:val="000000" w:themeColor="text1"/>
                                <w:sz w:val="14"/>
                                <w:szCs w:val="14"/>
                              </w:rPr>
                              <w:t>Compilation of assessment information &amp; targeted data</w:t>
                            </w:r>
                            <w:r w:rsidRPr="004E10A7">
                              <w:rPr>
                                <w:rFonts w:ascii="Calibri" w:hAnsi="Calibri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 </w:t>
                            </w:r>
                            <w:r w:rsidRPr="004E10A7">
                              <w:rPr>
                                <w:rFonts w:ascii="Calibri" w:hAnsi="Calibri"/>
                                <w:color w:val="000000" w:themeColor="text1"/>
                                <w:sz w:val="14"/>
                                <w:szCs w:val="14"/>
                              </w:rPr>
                              <w:t>collection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158" w:type="dxa"/>
            <w:shd w:val="clear" w:color="auto" w:fill="D6E3BC" w:themeFill="accent3" w:themeFillTint="66"/>
          </w:tcPr>
          <w:p w14:paraId="1C50E50C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Assessments completed</w:t>
            </w:r>
          </w:p>
        </w:tc>
        <w:tc>
          <w:tcPr>
            <w:tcW w:w="1158" w:type="dxa"/>
          </w:tcPr>
          <w:p w14:paraId="666FAF2F" w14:textId="77777777" w:rsidR="00F313AD" w:rsidRPr="00EB7D8F" w:rsidRDefault="00F313AD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</w:tr>
      <w:tr w:rsidR="004E10A7" w:rsidRPr="00EB7D8F" w14:paraId="3FCEA9BF" w14:textId="77777777" w:rsidTr="00A93787">
        <w:tc>
          <w:tcPr>
            <w:tcW w:w="3582" w:type="dxa"/>
            <w:gridSpan w:val="3"/>
          </w:tcPr>
          <w:p w14:paraId="5CB1494D" w14:textId="77777777" w:rsidR="004E10A7" w:rsidRPr="00EB7D8F" w:rsidRDefault="004E10A7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  <w:r w:rsidRPr="00EB7D8F">
              <w:rPr>
                <w:rFonts w:ascii="Calibri" w:hAnsi="Calibri" w:cs="Arial"/>
                <w:noProof/>
                <w:sz w:val="16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2ABCAA" wp14:editId="00948168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19050</wp:posOffset>
                      </wp:positionV>
                      <wp:extent cx="1009650" cy="428625"/>
                      <wp:effectExtent l="57150" t="19050" r="57150" b="104775"/>
                      <wp:wrapThrough wrapText="bothSides">
                        <wp:wrapPolygon edited="0">
                          <wp:start x="-1223" y="-960"/>
                          <wp:lineTo x="-815" y="25920"/>
                          <wp:lineTo x="17932" y="25920"/>
                          <wp:lineTo x="22415" y="15360"/>
                          <wp:lineTo x="19970" y="6720"/>
                          <wp:lineTo x="17932" y="-960"/>
                          <wp:lineTo x="-1223" y="-960"/>
                        </wp:wrapPolygon>
                      </wp:wrapThrough>
                      <wp:docPr id="6" name="Pentag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2862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B17FE7" w14:textId="77777777" w:rsidR="00166E1B" w:rsidRPr="00EB7D8F" w:rsidRDefault="00166E1B" w:rsidP="00EB7D8F">
                                  <w:pPr>
                                    <w:rPr>
                                      <w:rFonts w:ascii="Calibri" w:hAnsi="Calibri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EB7D8F">
                                    <w:rPr>
                                      <w:rFonts w:ascii="Calibri" w:hAnsi="Calibri"/>
                                      <w:color w:val="000000" w:themeColor="text1"/>
                                      <w:sz w:val="14"/>
                                    </w:rPr>
                                    <w:t>Community consultation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13FD5B" id="Pentagon 6" o:spid="_x0000_s1028" type="#_x0000_t15" style="position:absolute;margin-left:89.7pt;margin-top:1.5pt;width:79.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" adj="17015" fillcolor="#eaf1dd [662]" strokecolor="#d6e3bc [1302]">
                      <v:shadow on="t" color="black" opacity="22937f" origin=",.5" offset="0,.63889mm"/>
                      <v:textbox>
                        <w:txbxContent>
                          <w:p w:rsidR="00166E1B" w:rsidRPr="00EB7D8F" w:rsidRDefault="00166E1B" w:rsidP="00EB7D8F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14"/>
                              </w:rPr>
                            </w:pPr>
                            <w:r w:rsidRPr="00EB7D8F">
                              <w:rPr>
                                <w:rFonts w:ascii="Calibri" w:hAnsi="Calibri"/>
                                <w:color w:val="000000" w:themeColor="text1"/>
                                <w:sz w:val="14"/>
                              </w:rPr>
                              <w:t>Community consultation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517" w:type="dxa"/>
            <w:gridSpan w:val="2"/>
            <w:shd w:val="clear" w:color="auto" w:fill="D6E3BC" w:themeFill="accent3" w:themeFillTint="66"/>
          </w:tcPr>
          <w:p w14:paraId="1855FB52" w14:textId="77777777" w:rsidR="004E10A7" w:rsidRPr="00EB7D8F" w:rsidRDefault="004E10A7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Community consultation</w:t>
            </w:r>
            <w:r w:rsidR="00EB7D8F" w:rsidRPr="00EB7D8F">
              <w:rPr>
                <w:rFonts w:ascii="Calibri" w:hAnsi="Calibri" w:cs="Arial"/>
                <w:b/>
                <w:sz w:val="16"/>
                <w:szCs w:val="18"/>
              </w:rPr>
              <w:t xml:space="preserve"> completed</w:t>
            </w:r>
          </w:p>
        </w:tc>
        <w:tc>
          <w:tcPr>
            <w:tcW w:w="1158" w:type="dxa"/>
          </w:tcPr>
          <w:p w14:paraId="3597454B" w14:textId="77777777" w:rsidR="004E10A7" w:rsidRPr="00EB7D8F" w:rsidRDefault="004E10A7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  <w:tc>
          <w:tcPr>
            <w:tcW w:w="1158" w:type="dxa"/>
          </w:tcPr>
          <w:p w14:paraId="074A132F" w14:textId="77777777" w:rsidR="004E10A7" w:rsidRPr="00EB7D8F" w:rsidRDefault="004E10A7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</w:tr>
      <w:tr w:rsidR="004E10A7" w:rsidRPr="00EB7D8F" w14:paraId="4E752AC9" w14:textId="77777777" w:rsidTr="00A93787">
        <w:tc>
          <w:tcPr>
            <w:tcW w:w="6257" w:type="dxa"/>
            <w:gridSpan w:val="6"/>
          </w:tcPr>
          <w:p w14:paraId="7652DCA6" w14:textId="77777777" w:rsidR="004E10A7" w:rsidRPr="00EB7D8F" w:rsidRDefault="004E10A7" w:rsidP="00EB7D8F">
            <w:pPr>
              <w:spacing w:after="0" w:line="240" w:lineRule="auto"/>
              <w:rPr>
                <w:rFonts w:ascii="Calibri" w:hAnsi="Calibri" w:cs="Arial"/>
                <w:sz w:val="16"/>
                <w:szCs w:val="18"/>
              </w:rPr>
            </w:pPr>
          </w:p>
        </w:tc>
        <w:tc>
          <w:tcPr>
            <w:tcW w:w="1158" w:type="dxa"/>
            <w:shd w:val="clear" w:color="auto" w:fill="D6E3BC" w:themeFill="accent3" w:themeFillTint="66"/>
          </w:tcPr>
          <w:p w14:paraId="63E7CB75" w14:textId="77777777" w:rsidR="004E10A7" w:rsidRPr="00EB7D8F" w:rsidRDefault="004E10A7" w:rsidP="00EB7D8F">
            <w:pPr>
              <w:spacing w:after="0" w:line="240" w:lineRule="auto"/>
              <w:rPr>
                <w:rFonts w:ascii="Calibri" w:hAnsi="Calibri" w:cs="Arial"/>
                <w:b/>
                <w:sz w:val="16"/>
                <w:szCs w:val="18"/>
              </w:rPr>
            </w:pPr>
            <w:r w:rsidRPr="00EB7D8F">
              <w:rPr>
                <w:rFonts w:ascii="Calibri" w:hAnsi="Calibri" w:cs="Arial"/>
                <w:b/>
                <w:sz w:val="16"/>
                <w:szCs w:val="18"/>
              </w:rPr>
              <w:t>Modernised RFA framework</w:t>
            </w:r>
            <w:r w:rsidR="00EB7D8F" w:rsidRPr="00EB7D8F">
              <w:rPr>
                <w:rFonts w:ascii="Calibri" w:hAnsi="Calibri" w:cs="Arial"/>
                <w:b/>
                <w:sz w:val="16"/>
                <w:szCs w:val="18"/>
              </w:rPr>
              <w:t xml:space="preserve"> agreed</w:t>
            </w:r>
          </w:p>
        </w:tc>
      </w:tr>
    </w:tbl>
    <w:p w14:paraId="3170463B" w14:textId="77777777" w:rsidR="0076124C" w:rsidRDefault="0076124C" w:rsidP="00C93685">
      <w:pPr>
        <w:pStyle w:val="Heading2"/>
      </w:pPr>
      <w:bookmarkStart w:id="22" w:name="_Toc503777700"/>
      <w:bookmarkStart w:id="23" w:name="_Toc504980115"/>
    </w:p>
    <w:p w14:paraId="18330038" w14:textId="77777777" w:rsidR="0076124C" w:rsidRDefault="0076124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FF72E58" w14:textId="3B43196B" w:rsidR="00C93685" w:rsidRPr="00C93685" w:rsidRDefault="00A83AF9" w:rsidP="00C93685">
      <w:pPr>
        <w:pStyle w:val="Heading2"/>
      </w:pPr>
      <w:r>
        <w:lastRenderedPageBreak/>
        <w:t>Further</w:t>
      </w:r>
      <w:r w:rsidR="00C93685" w:rsidRPr="00C93685">
        <w:t xml:space="preserve"> assessment</w:t>
      </w:r>
      <w:r>
        <w:t>s of matters</w:t>
      </w:r>
      <w:bookmarkEnd w:id="22"/>
      <w:bookmarkEnd w:id="23"/>
    </w:p>
    <w:p w14:paraId="48B9D131" w14:textId="3680D483" w:rsidR="005C2373" w:rsidRDefault="0044290B" w:rsidP="009E2799">
      <w:pPr>
        <w:rPr>
          <w:rFonts w:ascii="Calibri" w:hAnsi="Calibri"/>
        </w:rPr>
      </w:pPr>
      <w:r>
        <w:rPr>
          <w:rFonts w:ascii="Calibri" w:hAnsi="Calibri"/>
        </w:rPr>
        <w:t>The Parties agree Victoria will lead a joint</w:t>
      </w:r>
      <w:r w:rsidR="009E2799">
        <w:rPr>
          <w:rFonts w:ascii="Calibri" w:hAnsi="Calibri"/>
        </w:rPr>
        <w:t xml:space="preserve"> process to</w:t>
      </w:r>
      <w:r w:rsidR="00F67A09">
        <w:rPr>
          <w:rFonts w:ascii="Calibri" w:hAnsi="Calibri"/>
        </w:rPr>
        <w:t xml:space="preserve"> </w:t>
      </w:r>
      <w:r w:rsidR="00CD273A">
        <w:rPr>
          <w:rFonts w:ascii="Calibri" w:hAnsi="Calibri"/>
        </w:rPr>
        <w:t>undertake</w:t>
      </w:r>
      <w:r w:rsidR="00F67A09">
        <w:rPr>
          <w:rFonts w:ascii="Calibri" w:hAnsi="Calibri"/>
        </w:rPr>
        <w:t xml:space="preserve"> the</w:t>
      </w:r>
      <w:r w:rsidR="00CD273A">
        <w:rPr>
          <w:rFonts w:ascii="Calibri" w:hAnsi="Calibri"/>
        </w:rPr>
        <w:t xml:space="preserve"> further</w:t>
      </w:r>
      <w:r w:rsidR="00F67A09">
        <w:rPr>
          <w:rFonts w:ascii="Calibri" w:hAnsi="Calibri"/>
        </w:rPr>
        <w:t xml:space="preserve"> assessments</w:t>
      </w:r>
      <w:r w:rsidR="00CD273A">
        <w:rPr>
          <w:rFonts w:ascii="Calibri" w:hAnsi="Calibri"/>
        </w:rPr>
        <w:t xml:space="preserve"> of matters</w:t>
      </w:r>
      <w:r w:rsidR="002F652F">
        <w:rPr>
          <w:rFonts w:ascii="Calibri" w:hAnsi="Calibri"/>
        </w:rPr>
        <w:t xml:space="preserve"> </w:t>
      </w:r>
      <w:r w:rsidR="009203F2">
        <w:rPr>
          <w:rFonts w:ascii="Calibri" w:hAnsi="Calibri"/>
        </w:rPr>
        <w:t>that</w:t>
      </w:r>
      <w:r w:rsidR="009E2799">
        <w:rPr>
          <w:rFonts w:ascii="Calibri" w:hAnsi="Calibri"/>
        </w:rPr>
        <w:t xml:space="preserve"> underpin the </w:t>
      </w:r>
      <w:r w:rsidR="00F67A09">
        <w:rPr>
          <w:rFonts w:ascii="Calibri" w:hAnsi="Calibri"/>
        </w:rPr>
        <w:t>RFAs</w:t>
      </w:r>
      <w:r w:rsidR="009E2799">
        <w:rPr>
          <w:rFonts w:ascii="Calibri" w:hAnsi="Calibri"/>
        </w:rPr>
        <w:t>.</w:t>
      </w:r>
    </w:p>
    <w:p w14:paraId="1B9B1BF2" w14:textId="54F0877A" w:rsidR="006A2EC1" w:rsidRDefault="006A2EC1" w:rsidP="006A2EC1">
      <w:pPr>
        <w:rPr>
          <w:rFonts w:ascii="Calibri" w:hAnsi="Calibri"/>
        </w:rPr>
      </w:pPr>
      <w:r>
        <w:rPr>
          <w:rFonts w:ascii="Calibri" w:hAnsi="Calibri"/>
        </w:rPr>
        <w:t xml:space="preserve">The Parties agree that the </w:t>
      </w:r>
      <w:r w:rsidR="00CD273A">
        <w:rPr>
          <w:rFonts w:ascii="Calibri" w:hAnsi="Calibri"/>
        </w:rPr>
        <w:t xml:space="preserve">further </w:t>
      </w:r>
      <w:r>
        <w:rPr>
          <w:rFonts w:ascii="Calibri" w:hAnsi="Calibri"/>
        </w:rPr>
        <w:t>assessment</w:t>
      </w:r>
      <w:r w:rsidR="00880D77">
        <w:rPr>
          <w:rFonts w:ascii="Calibri" w:hAnsi="Calibri"/>
        </w:rPr>
        <w:t>s</w:t>
      </w:r>
      <w:r>
        <w:rPr>
          <w:rFonts w:ascii="Calibri" w:hAnsi="Calibri"/>
        </w:rPr>
        <w:t xml:space="preserve"> will </w:t>
      </w:r>
      <w:r w:rsidR="00CD273A">
        <w:rPr>
          <w:rFonts w:ascii="Calibri" w:hAnsi="Calibri"/>
        </w:rPr>
        <w:t>cover the matters set out in paragraph (a) of the definition of RFA in section 4 of</w:t>
      </w:r>
      <w:r>
        <w:rPr>
          <w:rFonts w:ascii="Calibri" w:hAnsi="Calibri"/>
        </w:rPr>
        <w:t xml:space="preserve"> the </w:t>
      </w:r>
      <w:r>
        <w:rPr>
          <w:rFonts w:ascii="Calibri" w:hAnsi="Calibri"/>
          <w:i/>
        </w:rPr>
        <w:t>Regional Forest</w:t>
      </w:r>
      <w:r w:rsidRPr="00B41CC8">
        <w:rPr>
          <w:rFonts w:ascii="Calibri" w:hAnsi="Calibri"/>
          <w:i/>
        </w:rPr>
        <w:t xml:space="preserve"> Agreement</w:t>
      </w:r>
      <w:r>
        <w:rPr>
          <w:rFonts w:ascii="Calibri" w:hAnsi="Calibri"/>
          <w:i/>
        </w:rPr>
        <w:t>s</w:t>
      </w:r>
      <w:r w:rsidRPr="00B41CC8">
        <w:rPr>
          <w:rFonts w:ascii="Calibri" w:hAnsi="Calibri"/>
          <w:i/>
        </w:rPr>
        <w:t xml:space="preserve"> Act 2002</w:t>
      </w:r>
      <w:r>
        <w:rPr>
          <w:rFonts w:ascii="Calibri" w:hAnsi="Calibri"/>
        </w:rPr>
        <w:t xml:space="preserve">, </w:t>
      </w:r>
      <w:r w:rsidR="00CD273A">
        <w:rPr>
          <w:rFonts w:ascii="Calibri" w:hAnsi="Calibri"/>
        </w:rPr>
        <w:t>including</w:t>
      </w:r>
      <w:r>
        <w:rPr>
          <w:rFonts w:ascii="Calibri" w:hAnsi="Calibri"/>
        </w:rPr>
        <w:t>:</w:t>
      </w:r>
    </w:p>
    <w:p w14:paraId="288BCFE8" w14:textId="77777777" w:rsidR="006A2EC1" w:rsidRPr="005B195D" w:rsidRDefault="006A2EC1" w:rsidP="006A2EC1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5B195D">
        <w:rPr>
          <w:rFonts w:ascii="Calibri" w:hAnsi="Calibri"/>
        </w:rPr>
        <w:t>environmental values, including old growth, wilderness, endangered species, national estate values and world heritage values;</w:t>
      </w:r>
    </w:p>
    <w:p w14:paraId="16B3CB94" w14:textId="77777777" w:rsidR="006A2EC1" w:rsidRPr="005B195D" w:rsidRDefault="00187184" w:rsidP="006A2EC1">
      <w:pPr>
        <w:pStyle w:val="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I</w:t>
      </w:r>
      <w:r w:rsidR="006A2EC1" w:rsidRPr="005B195D">
        <w:rPr>
          <w:rFonts w:ascii="Calibri" w:hAnsi="Calibri"/>
        </w:rPr>
        <w:t>ndigenous heritage values;</w:t>
      </w:r>
    </w:p>
    <w:p w14:paraId="0A95AD82" w14:textId="77777777" w:rsidR="006A2EC1" w:rsidRPr="005B195D" w:rsidRDefault="006A2EC1" w:rsidP="006A2EC1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5B195D">
        <w:rPr>
          <w:rFonts w:ascii="Calibri" w:hAnsi="Calibri"/>
        </w:rPr>
        <w:t>economic values of the forested areas and forest industries;</w:t>
      </w:r>
    </w:p>
    <w:p w14:paraId="2B2E054E" w14:textId="77777777" w:rsidR="006A2EC1" w:rsidRPr="005B195D" w:rsidRDefault="006A2EC1" w:rsidP="006A2EC1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5B195D">
        <w:rPr>
          <w:rFonts w:ascii="Calibri" w:hAnsi="Calibri"/>
        </w:rPr>
        <w:t xml:space="preserve">social values (including community needs); and </w:t>
      </w:r>
    </w:p>
    <w:p w14:paraId="1F8E5A34" w14:textId="77777777" w:rsidR="006A2EC1" w:rsidRPr="005B195D" w:rsidRDefault="006A2EC1" w:rsidP="006A2EC1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5B195D">
        <w:rPr>
          <w:rFonts w:ascii="Calibri" w:hAnsi="Calibri"/>
        </w:rPr>
        <w:t xml:space="preserve">principles of ecologically sustainable management. </w:t>
      </w:r>
    </w:p>
    <w:p w14:paraId="332740B4" w14:textId="63B97474" w:rsidR="009E2799" w:rsidRDefault="000767EF" w:rsidP="009E2799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6F1874">
        <w:rPr>
          <w:rFonts w:ascii="Calibri" w:hAnsi="Calibri"/>
        </w:rPr>
        <w:t>further</w:t>
      </w:r>
      <w:r w:rsidR="00B21CA8">
        <w:rPr>
          <w:rFonts w:ascii="Calibri" w:hAnsi="Calibri"/>
        </w:rPr>
        <w:t xml:space="preserve"> </w:t>
      </w:r>
      <w:r w:rsidR="009E2799">
        <w:rPr>
          <w:rFonts w:ascii="Calibri" w:hAnsi="Calibri"/>
        </w:rPr>
        <w:t>assessment</w:t>
      </w:r>
      <w:r w:rsidR="00FE7A07">
        <w:rPr>
          <w:rFonts w:ascii="Calibri" w:hAnsi="Calibri"/>
        </w:rPr>
        <w:t>s</w:t>
      </w:r>
      <w:r w:rsidR="006F1874">
        <w:rPr>
          <w:rFonts w:ascii="Calibri" w:hAnsi="Calibri"/>
        </w:rPr>
        <w:t xml:space="preserve"> of matters</w:t>
      </w:r>
      <w:r w:rsidR="00F67A09">
        <w:rPr>
          <w:rFonts w:ascii="Calibri" w:hAnsi="Calibri"/>
        </w:rPr>
        <w:t xml:space="preserve"> </w:t>
      </w:r>
      <w:r w:rsidR="009E2799">
        <w:rPr>
          <w:rFonts w:ascii="Calibri" w:hAnsi="Calibri"/>
        </w:rPr>
        <w:t xml:space="preserve">will build upon and consider the comprehensive regional assessments </w:t>
      </w:r>
      <w:r w:rsidR="006F1874">
        <w:rPr>
          <w:rFonts w:ascii="Calibri" w:hAnsi="Calibri"/>
        </w:rPr>
        <w:t xml:space="preserve">previously </w:t>
      </w:r>
      <w:r w:rsidR="009E2799">
        <w:rPr>
          <w:rFonts w:ascii="Calibri" w:hAnsi="Calibri"/>
        </w:rPr>
        <w:t>undertake</w:t>
      </w:r>
      <w:r w:rsidR="0044290B">
        <w:rPr>
          <w:rFonts w:ascii="Calibri" w:hAnsi="Calibri"/>
        </w:rPr>
        <w:t>n</w:t>
      </w:r>
      <w:r w:rsidR="009E2799">
        <w:rPr>
          <w:rFonts w:ascii="Calibri" w:hAnsi="Calibri"/>
        </w:rPr>
        <w:t xml:space="preserve"> for the RFAs, along with other relevant assessments,</w:t>
      </w:r>
      <w:r w:rsidR="008406FD">
        <w:rPr>
          <w:rFonts w:ascii="Calibri" w:hAnsi="Calibri"/>
        </w:rPr>
        <w:t xml:space="preserve"> five yearly reviews,</w:t>
      </w:r>
      <w:r w:rsidR="009E2799">
        <w:rPr>
          <w:rFonts w:ascii="Calibri" w:hAnsi="Calibri"/>
        </w:rPr>
        <w:t xml:space="preserve"> reports, investigations, studies and information prepared by </w:t>
      </w:r>
      <w:r w:rsidR="001D2BCA">
        <w:rPr>
          <w:rFonts w:ascii="Calibri" w:hAnsi="Calibri"/>
        </w:rPr>
        <w:t>or for</w:t>
      </w:r>
      <w:r w:rsidR="009E2799">
        <w:rPr>
          <w:rFonts w:ascii="Calibri" w:hAnsi="Calibri"/>
        </w:rPr>
        <w:t xml:space="preserve"> Victoria or the Commonwealth</w:t>
      </w:r>
      <w:r w:rsidR="00B41CC8">
        <w:rPr>
          <w:rFonts w:ascii="Calibri" w:hAnsi="Calibri"/>
        </w:rPr>
        <w:t>.</w:t>
      </w:r>
    </w:p>
    <w:p w14:paraId="03E9FBA2" w14:textId="77777777" w:rsidR="009E2799" w:rsidRDefault="009E2799" w:rsidP="009E2799">
      <w:pPr>
        <w:rPr>
          <w:rFonts w:ascii="Calibri" w:hAnsi="Calibri"/>
        </w:rPr>
      </w:pPr>
      <w:r>
        <w:rPr>
          <w:rFonts w:ascii="Calibri" w:hAnsi="Calibri"/>
        </w:rPr>
        <w:t xml:space="preserve">Both Parties agree to supplement these assessments and studies with further </w:t>
      </w:r>
      <w:r w:rsidR="00187184">
        <w:rPr>
          <w:rFonts w:ascii="Calibri" w:hAnsi="Calibri"/>
        </w:rPr>
        <w:t xml:space="preserve">stakeholder consultation and </w:t>
      </w:r>
      <w:r>
        <w:rPr>
          <w:rFonts w:ascii="Calibri" w:hAnsi="Calibri"/>
        </w:rPr>
        <w:t>research and analyses as agreed</w:t>
      </w:r>
      <w:r w:rsidR="00187184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426718D8" w14:textId="4FF30FEE" w:rsidR="002D0D91" w:rsidRDefault="00B41CC8" w:rsidP="00422C00">
      <w:pPr>
        <w:rPr>
          <w:rFonts w:ascii="Calibri" w:hAnsi="Calibri"/>
        </w:rPr>
      </w:pPr>
      <w:r w:rsidRPr="00B41CC8">
        <w:rPr>
          <w:rFonts w:ascii="Calibri" w:hAnsi="Calibri"/>
        </w:rPr>
        <w:t>The</w:t>
      </w:r>
      <w:r w:rsidR="0044290B" w:rsidRPr="00B41CC8">
        <w:rPr>
          <w:rFonts w:ascii="Calibri" w:hAnsi="Calibri"/>
        </w:rPr>
        <w:t xml:space="preserve"> Parties agree the assessment process</w:t>
      </w:r>
      <w:r w:rsidR="0076124C">
        <w:rPr>
          <w:rFonts w:ascii="Calibri" w:hAnsi="Calibri"/>
        </w:rPr>
        <w:t>,</w:t>
      </w:r>
      <w:r w:rsidR="00AE01C1">
        <w:rPr>
          <w:rFonts w:ascii="Calibri" w:hAnsi="Calibri"/>
        </w:rPr>
        <w:t xml:space="preserve"> </w:t>
      </w:r>
      <w:r w:rsidR="0044290B" w:rsidRPr="00B41CC8">
        <w:rPr>
          <w:rFonts w:ascii="Calibri" w:hAnsi="Calibri"/>
        </w:rPr>
        <w:t>outcomes</w:t>
      </w:r>
      <w:r w:rsidR="00997019">
        <w:rPr>
          <w:rFonts w:ascii="Calibri" w:hAnsi="Calibri"/>
        </w:rPr>
        <w:t xml:space="preserve"> and data collected</w:t>
      </w:r>
      <w:r w:rsidR="0044290B" w:rsidRPr="00B41CC8">
        <w:rPr>
          <w:rFonts w:ascii="Calibri" w:hAnsi="Calibri"/>
        </w:rPr>
        <w:t xml:space="preserve"> may </w:t>
      </w:r>
      <w:r w:rsidR="00997019">
        <w:rPr>
          <w:rFonts w:ascii="Calibri" w:hAnsi="Calibri"/>
        </w:rPr>
        <w:t>be used to support</w:t>
      </w:r>
      <w:r w:rsidR="009E5953">
        <w:rPr>
          <w:rFonts w:ascii="Calibri" w:hAnsi="Calibri"/>
        </w:rPr>
        <w:t xml:space="preserve"> other processes to help achieve objectives of ecologically sustainable forest management</w:t>
      </w:r>
      <w:r w:rsidRPr="00B41CC8">
        <w:rPr>
          <w:rFonts w:ascii="Calibri" w:hAnsi="Calibri"/>
        </w:rPr>
        <w:t>.</w:t>
      </w:r>
    </w:p>
    <w:p w14:paraId="0830E9A5" w14:textId="77777777" w:rsidR="00C93685" w:rsidRDefault="0019656F" w:rsidP="00C93685">
      <w:pPr>
        <w:pStyle w:val="Heading2"/>
      </w:pPr>
      <w:bookmarkStart w:id="24" w:name="_Toc503777701"/>
      <w:bookmarkStart w:id="25" w:name="_Toc504980116"/>
      <w:r w:rsidRPr="00422C00">
        <w:t>Community engagement</w:t>
      </w:r>
      <w:r w:rsidR="00C93685">
        <w:t xml:space="preserve"> - </w:t>
      </w:r>
      <w:r w:rsidR="00C93685" w:rsidRPr="00541E61">
        <w:t>additional community consultation processes</w:t>
      </w:r>
      <w:bookmarkEnd w:id="24"/>
      <w:bookmarkEnd w:id="25"/>
    </w:p>
    <w:p w14:paraId="578003E1" w14:textId="090FFEB4" w:rsidR="005B3972" w:rsidRDefault="005B3972" w:rsidP="005B3972">
      <w:pPr>
        <w:rPr>
          <w:rFonts w:ascii="Calibri" w:hAnsi="Calibri"/>
        </w:rPr>
      </w:pPr>
      <w:r>
        <w:rPr>
          <w:rFonts w:ascii="Calibri" w:hAnsi="Calibri"/>
        </w:rPr>
        <w:t xml:space="preserve">Both Parties recognise that effective community engagement and consultation is critical to the credibility and durability of </w:t>
      </w:r>
      <w:r w:rsidR="00187184">
        <w:rPr>
          <w:rFonts w:ascii="Calibri" w:hAnsi="Calibri"/>
        </w:rPr>
        <w:t xml:space="preserve">the </w:t>
      </w:r>
      <w:r w:rsidR="00B41CC8">
        <w:rPr>
          <w:rFonts w:ascii="Calibri" w:hAnsi="Calibri"/>
        </w:rPr>
        <w:t>Victorian RFA</w:t>
      </w:r>
      <w:r w:rsidR="00CE2820">
        <w:rPr>
          <w:rFonts w:ascii="Calibri" w:hAnsi="Calibri"/>
        </w:rPr>
        <w:t xml:space="preserve"> </w:t>
      </w:r>
      <w:r w:rsidR="00B41CC8">
        <w:rPr>
          <w:rFonts w:ascii="Calibri" w:hAnsi="Calibri"/>
        </w:rPr>
        <w:t>framework.</w:t>
      </w:r>
      <w:r>
        <w:rPr>
          <w:rFonts w:ascii="Calibri" w:hAnsi="Calibri"/>
        </w:rPr>
        <w:t xml:space="preserve"> </w:t>
      </w:r>
      <w:r w:rsidR="0011061C">
        <w:rPr>
          <w:rFonts w:ascii="Calibri" w:hAnsi="Calibri"/>
        </w:rPr>
        <w:t xml:space="preserve">Community engagement will provide the opportunity to guide </w:t>
      </w:r>
      <w:r w:rsidR="00031AAF">
        <w:rPr>
          <w:rFonts w:ascii="Calibri" w:hAnsi="Calibri"/>
        </w:rPr>
        <w:t xml:space="preserve">amendment and </w:t>
      </w:r>
      <w:r w:rsidR="0011061C">
        <w:rPr>
          <w:rFonts w:ascii="Calibri" w:hAnsi="Calibri"/>
        </w:rPr>
        <w:t xml:space="preserve">modernisation of the </w:t>
      </w:r>
      <w:r w:rsidR="00031AAF">
        <w:rPr>
          <w:rFonts w:ascii="Calibri" w:hAnsi="Calibri"/>
        </w:rPr>
        <w:t xml:space="preserve">Victorian </w:t>
      </w:r>
      <w:r w:rsidR="0011061C">
        <w:rPr>
          <w:rFonts w:ascii="Calibri" w:hAnsi="Calibri"/>
        </w:rPr>
        <w:t>RFA</w:t>
      </w:r>
      <w:r w:rsidR="00CE2820">
        <w:rPr>
          <w:rFonts w:ascii="Calibri" w:hAnsi="Calibri"/>
        </w:rPr>
        <w:t xml:space="preserve"> </w:t>
      </w:r>
      <w:r w:rsidR="0011061C">
        <w:rPr>
          <w:rFonts w:ascii="Calibri" w:hAnsi="Calibri"/>
        </w:rPr>
        <w:t xml:space="preserve">framework. </w:t>
      </w:r>
    </w:p>
    <w:p w14:paraId="6521BDA1" w14:textId="481C2AA9" w:rsidR="008F154A" w:rsidRPr="006778A7" w:rsidRDefault="005B3972" w:rsidP="00987C4D">
      <w:pPr>
        <w:rPr>
          <w:rFonts w:ascii="Calibri" w:hAnsi="Calibri"/>
        </w:rPr>
      </w:pPr>
      <w:r>
        <w:rPr>
          <w:rFonts w:ascii="Calibri" w:hAnsi="Calibri"/>
        </w:rPr>
        <w:t xml:space="preserve">The Parties agree </w:t>
      </w:r>
      <w:r w:rsidRPr="006778A7">
        <w:rPr>
          <w:rFonts w:ascii="Calibri" w:hAnsi="Calibri"/>
        </w:rPr>
        <w:t>to prepare and implement a communications and engagement strategy</w:t>
      </w:r>
      <w:r w:rsidR="00F02EFF" w:rsidRPr="006778A7">
        <w:rPr>
          <w:rFonts w:ascii="Calibri" w:hAnsi="Calibri"/>
        </w:rPr>
        <w:t xml:space="preserve"> to </w:t>
      </w:r>
      <w:r w:rsidR="007862D4" w:rsidRPr="006778A7">
        <w:rPr>
          <w:rFonts w:ascii="Calibri" w:hAnsi="Calibri"/>
        </w:rPr>
        <w:t>contribute to the</w:t>
      </w:r>
      <w:r w:rsidR="00031AAF" w:rsidRPr="006778A7">
        <w:rPr>
          <w:rFonts w:ascii="Calibri" w:hAnsi="Calibri"/>
        </w:rPr>
        <w:t xml:space="preserve"> amendment and</w:t>
      </w:r>
      <w:r w:rsidR="007862D4" w:rsidRPr="006778A7">
        <w:rPr>
          <w:rFonts w:ascii="Calibri" w:hAnsi="Calibri"/>
        </w:rPr>
        <w:t xml:space="preserve"> </w:t>
      </w:r>
      <w:r w:rsidR="00D2171C" w:rsidRPr="006778A7">
        <w:rPr>
          <w:rFonts w:ascii="Calibri" w:hAnsi="Calibri"/>
        </w:rPr>
        <w:t>modernisation</w:t>
      </w:r>
      <w:r w:rsidR="007862D4" w:rsidRPr="006778A7">
        <w:rPr>
          <w:rFonts w:ascii="Calibri" w:hAnsi="Calibri"/>
        </w:rPr>
        <w:t xml:space="preserve"> process</w:t>
      </w:r>
      <w:r w:rsidR="00F02EFF" w:rsidRPr="006778A7">
        <w:rPr>
          <w:rFonts w:ascii="Calibri" w:hAnsi="Calibri"/>
        </w:rPr>
        <w:t xml:space="preserve">. </w:t>
      </w:r>
    </w:p>
    <w:p w14:paraId="5A74C318" w14:textId="77777777" w:rsidR="00C607B3" w:rsidRPr="006778A7" w:rsidRDefault="00E93D21" w:rsidP="00606409">
      <w:pPr>
        <w:pStyle w:val="Heading1"/>
        <w:spacing w:before="0"/>
      </w:pPr>
      <w:bookmarkStart w:id="26" w:name="_Toc503777702"/>
      <w:bookmarkStart w:id="27" w:name="_Toc504980117"/>
      <w:r w:rsidRPr="006778A7">
        <w:t>Governance</w:t>
      </w:r>
      <w:bookmarkEnd w:id="26"/>
      <w:bookmarkEnd w:id="27"/>
    </w:p>
    <w:p w14:paraId="4C6D685A" w14:textId="68138870" w:rsidR="00B86EC5" w:rsidRPr="006778A7" w:rsidRDefault="00A07B97" w:rsidP="0017279F">
      <w:pPr>
        <w:tabs>
          <w:tab w:val="left" w:pos="1140"/>
        </w:tabs>
        <w:rPr>
          <w:rFonts w:ascii="Calibri" w:hAnsi="Calibri"/>
        </w:rPr>
      </w:pPr>
      <w:r w:rsidRPr="006778A7">
        <w:rPr>
          <w:rFonts w:ascii="Calibri" w:hAnsi="Calibri"/>
        </w:rPr>
        <w:t xml:space="preserve">The Parties agree to cooperate actively to meet the overall </w:t>
      </w:r>
      <w:r w:rsidR="00031AAF" w:rsidRPr="006778A7">
        <w:rPr>
          <w:rFonts w:ascii="Calibri" w:hAnsi="Calibri"/>
        </w:rPr>
        <w:t xml:space="preserve">amendment and </w:t>
      </w:r>
      <w:r w:rsidR="0078190B" w:rsidRPr="006778A7">
        <w:rPr>
          <w:rFonts w:ascii="Calibri" w:hAnsi="Calibri"/>
        </w:rPr>
        <w:t xml:space="preserve">modernisation </w:t>
      </w:r>
      <w:r w:rsidRPr="006778A7">
        <w:rPr>
          <w:rFonts w:ascii="Calibri" w:hAnsi="Calibri"/>
        </w:rPr>
        <w:t>process program and timetable, noting the timing may be varied by mutual agreement.</w:t>
      </w:r>
    </w:p>
    <w:p w14:paraId="1C492F78" w14:textId="2D524E2C" w:rsidR="00A07B97" w:rsidRDefault="00A07B97" w:rsidP="0017279F">
      <w:pPr>
        <w:tabs>
          <w:tab w:val="left" w:pos="1140"/>
        </w:tabs>
        <w:rPr>
          <w:rFonts w:ascii="Calibri" w:hAnsi="Calibri"/>
        </w:rPr>
      </w:pPr>
      <w:r w:rsidRPr="006778A7">
        <w:rPr>
          <w:rFonts w:ascii="Calibri" w:hAnsi="Calibri"/>
        </w:rPr>
        <w:t>Both Parties agree to</w:t>
      </w:r>
      <w:r w:rsidR="00C16F21" w:rsidRPr="006778A7">
        <w:rPr>
          <w:rFonts w:ascii="Calibri" w:hAnsi="Calibri"/>
        </w:rPr>
        <w:t xml:space="preserve"> </w:t>
      </w:r>
      <w:r w:rsidR="00A21CEE" w:rsidRPr="006778A7">
        <w:rPr>
          <w:rFonts w:ascii="Calibri" w:hAnsi="Calibri"/>
        </w:rPr>
        <w:t>t</w:t>
      </w:r>
      <w:r w:rsidR="00DA7C57" w:rsidRPr="006778A7">
        <w:rPr>
          <w:rFonts w:ascii="Calibri" w:hAnsi="Calibri"/>
        </w:rPr>
        <w:t xml:space="preserve">he continuation of the </w:t>
      </w:r>
      <w:r w:rsidR="00640905" w:rsidRPr="006778A7">
        <w:rPr>
          <w:rFonts w:ascii="Calibri" w:hAnsi="Calibri"/>
        </w:rPr>
        <w:t>Joint Working Group</w:t>
      </w:r>
      <w:r w:rsidR="00DA7C57" w:rsidRPr="006778A7">
        <w:rPr>
          <w:rFonts w:ascii="Calibri" w:hAnsi="Calibri"/>
        </w:rPr>
        <w:t>, which has overseen the review of progress with implementation of the Victorian RFAs. The Joint Working Group will</w:t>
      </w:r>
      <w:r w:rsidRPr="006778A7">
        <w:rPr>
          <w:rFonts w:ascii="Calibri" w:hAnsi="Calibri"/>
        </w:rPr>
        <w:t xml:space="preserve"> </w:t>
      </w:r>
      <w:r w:rsidR="00A21CEE" w:rsidRPr="006778A7">
        <w:rPr>
          <w:rFonts w:ascii="Calibri" w:hAnsi="Calibri"/>
        </w:rPr>
        <w:t xml:space="preserve">oversee the </w:t>
      </w:r>
      <w:r w:rsidR="00640905" w:rsidRPr="006778A7">
        <w:rPr>
          <w:rFonts w:ascii="Calibri" w:hAnsi="Calibri"/>
        </w:rPr>
        <w:t>implement</w:t>
      </w:r>
      <w:r w:rsidR="00A21CEE" w:rsidRPr="006778A7">
        <w:rPr>
          <w:rFonts w:ascii="Calibri" w:hAnsi="Calibri"/>
        </w:rPr>
        <w:t>ation of</w:t>
      </w:r>
      <w:r w:rsidR="00640905" w:rsidRPr="006778A7">
        <w:rPr>
          <w:rFonts w:ascii="Calibri" w:hAnsi="Calibri"/>
        </w:rPr>
        <w:t xml:space="preserve"> this MOU, </w:t>
      </w:r>
      <w:r w:rsidRPr="006778A7">
        <w:rPr>
          <w:rFonts w:ascii="Calibri" w:hAnsi="Calibri"/>
        </w:rPr>
        <w:t>coordinate the RFA</w:t>
      </w:r>
      <w:r w:rsidR="0078190B" w:rsidRPr="006778A7">
        <w:rPr>
          <w:rFonts w:ascii="Calibri" w:hAnsi="Calibri"/>
        </w:rPr>
        <w:t xml:space="preserve"> </w:t>
      </w:r>
      <w:r w:rsidR="00031AAF" w:rsidRPr="006778A7">
        <w:rPr>
          <w:rFonts w:ascii="Calibri" w:hAnsi="Calibri"/>
        </w:rPr>
        <w:t xml:space="preserve">amendment and </w:t>
      </w:r>
      <w:r w:rsidR="0078190B" w:rsidRPr="006778A7">
        <w:rPr>
          <w:rFonts w:ascii="Calibri" w:hAnsi="Calibri"/>
        </w:rPr>
        <w:t>modernisation</w:t>
      </w:r>
      <w:r w:rsidRPr="006778A7">
        <w:rPr>
          <w:rFonts w:ascii="Calibri" w:hAnsi="Calibri"/>
        </w:rPr>
        <w:t xml:space="preserve"> process</w:t>
      </w:r>
      <w:r w:rsidR="00640905" w:rsidRPr="006778A7">
        <w:rPr>
          <w:rFonts w:ascii="Calibri" w:hAnsi="Calibri"/>
        </w:rPr>
        <w:t xml:space="preserve">, </w:t>
      </w:r>
      <w:r w:rsidR="00F9660E" w:rsidRPr="006778A7">
        <w:rPr>
          <w:rFonts w:ascii="Calibri" w:hAnsi="Calibri"/>
        </w:rPr>
        <w:t xml:space="preserve">prepare </w:t>
      </w:r>
      <w:r w:rsidR="00640905" w:rsidRPr="006778A7">
        <w:rPr>
          <w:rFonts w:ascii="Calibri" w:hAnsi="Calibri"/>
        </w:rPr>
        <w:t>project</w:t>
      </w:r>
      <w:r w:rsidR="008406FD" w:rsidRPr="006778A7">
        <w:rPr>
          <w:rFonts w:ascii="Calibri" w:hAnsi="Calibri"/>
        </w:rPr>
        <w:t xml:space="preserve"> plans</w:t>
      </w:r>
      <w:r w:rsidR="00640905" w:rsidRPr="006778A7">
        <w:rPr>
          <w:rFonts w:ascii="Calibri" w:hAnsi="Calibri"/>
        </w:rPr>
        <w:t>, outputs and reports,</w:t>
      </w:r>
      <w:r w:rsidR="001A7F5B" w:rsidRPr="006778A7">
        <w:rPr>
          <w:rFonts w:ascii="Calibri" w:hAnsi="Calibri"/>
        </w:rPr>
        <w:t xml:space="preserve"> and</w:t>
      </w:r>
      <w:r w:rsidR="00640905" w:rsidRPr="006778A7">
        <w:rPr>
          <w:rFonts w:ascii="Calibri" w:hAnsi="Calibri"/>
        </w:rPr>
        <w:t xml:space="preserve"> </w:t>
      </w:r>
      <w:r w:rsidR="00187184" w:rsidRPr="006778A7">
        <w:rPr>
          <w:rFonts w:ascii="Calibri" w:hAnsi="Calibri"/>
        </w:rPr>
        <w:t>oversee the</w:t>
      </w:r>
      <w:r w:rsidR="00640905" w:rsidRPr="006778A7">
        <w:rPr>
          <w:rFonts w:ascii="Calibri" w:hAnsi="Calibri"/>
        </w:rPr>
        <w:t xml:space="preserve"> community communication and engagement.</w:t>
      </w:r>
      <w:r w:rsidR="00372025">
        <w:rPr>
          <w:rFonts w:ascii="Calibri" w:hAnsi="Calibri"/>
        </w:rPr>
        <w:t xml:space="preserve"> </w:t>
      </w:r>
    </w:p>
    <w:p w14:paraId="3EAEE237" w14:textId="77777777" w:rsidR="00640905" w:rsidRDefault="0078190B" w:rsidP="0017279F">
      <w:p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t>The Joint Working Group may establish support group</w:t>
      </w:r>
      <w:r w:rsidR="001A7F5B">
        <w:rPr>
          <w:rFonts w:ascii="Calibri" w:hAnsi="Calibri"/>
        </w:rPr>
        <w:t>s</w:t>
      </w:r>
      <w:r>
        <w:rPr>
          <w:rFonts w:ascii="Calibri" w:hAnsi="Calibri"/>
        </w:rPr>
        <w:t xml:space="preserve"> to assist them on assessment matters</w:t>
      </w:r>
      <w:r w:rsidR="00625C49">
        <w:rPr>
          <w:rFonts w:ascii="Calibri" w:hAnsi="Calibri"/>
        </w:rPr>
        <w:t xml:space="preserve"> or other priorities</w:t>
      </w:r>
      <w:r w:rsidR="00640905">
        <w:rPr>
          <w:rFonts w:ascii="Calibri" w:hAnsi="Calibri"/>
        </w:rPr>
        <w:t>.</w:t>
      </w:r>
    </w:p>
    <w:p w14:paraId="562926BB" w14:textId="254072E8" w:rsidR="0017279F" w:rsidRDefault="00EC3C08" w:rsidP="0017279F">
      <w:pPr>
        <w:tabs>
          <w:tab w:val="left" w:pos="1140"/>
        </w:tabs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The Joint Working Group </w:t>
      </w:r>
      <w:r w:rsidR="00640905">
        <w:rPr>
          <w:rFonts w:ascii="Calibri" w:hAnsi="Calibri"/>
        </w:rPr>
        <w:t>comprise</w:t>
      </w:r>
      <w:r>
        <w:rPr>
          <w:rFonts w:ascii="Calibri" w:hAnsi="Calibri"/>
        </w:rPr>
        <w:t>s</w:t>
      </w:r>
      <w:r w:rsidR="00640905">
        <w:rPr>
          <w:rFonts w:ascii="Calibri" w:hAnsi="Calibri"/>
        </w:rPr>
        <w:t xml:space="preserve"> two nominees of the Victorian Government and two nominees of the Australian Government. </w:t>
      </w:r>
      <w:r>
        <w:rPr>
          <w:rFonts w:ascii="Calibri" w:hAnsi="Calibri"/>
        </w:rPr>
        <w:t>It is</w:t>
      </w:r>
      <w:r w:rsidR="00640905">
        <w:rPr>
          <w:rFonts w:ascii="Calibri" w:hAnsi="Calibri"/>
        </w:rPr>
        <w:t xml:space="preserve"> jointly chaired by a representative of the </w:t>
      </w:r>
      <w:r w:rsidR="007862D4">
        <w:rPr>
          <w:rFonts w:ascii="Calibri" w:hAnsi="Calibri"/>
        </w:rPr>
        <w:t>Commonwealth</w:t>
      </w:r>
      <w:r w:rsidR="00640905">
        <w:rPr>
          <w:rFonts w:ascii="Calibri" w:hAnsi="Calibri"/>
        </w:rPr>
        <w:t xml:space="preserve"> Department of Agriculture and Water Resources and a representative of the </w:t>
      </w:r>
      <w:r w:rsidR="00B31858">
        <w:rPr>
          <w:rFonts w:ascii="Calibri" w:hAnsi="Calibri"/>
        </w:rPr>
        <w:t>Victorian Department of Environment, Land, Water and Planning.</w:t>
      </w:r>
    </w:p>
    <w:p w14:paraId="03BFAA1B" w14:textId="77777777" w:rsidR="008F6E8C" w:rsidRPr="00B31858" w:rsidRDefault="006F38DA" w:rsidP="00606409">
      <w:pPr>
        <w:pStyle w:val="Heading1"/>
        <w:spacing w:before="0"/>
      </w:pPr>
      <w:bookmarkStart w:id="28" w:name="_Toc503777703"/>
      <w:bookmarkStart w:id="29" w:name="_Toc504980118"/>
      <w:r>
        <w:t xml:space="preserve">Resourcing </w:t>
      </w:r>
      <w:r w:rsidR="00B7392D">
        <w:t xml:space="preserve">needs </w:t>
      </w:r>
      <w:r>
        <w:t xml:space="preserve">and </w:t>
      </w:r>
      <w:r w:rsidR="00B7392D">
        <w:t>contributions</w:t>
      </w:r>
      <w:bookmarkEnd w:id="28"/>
      <w:bookmarkEnd w:id="29"/>
    </w:p>
    <w:p w14:paraId="6AED7CF0" w14:textId="01FF69EA" w:rsidR="00F67A09" w:rsidRDefault="00C607B3" w:rsidP="00DC45B8">
      <w:pPr>
        <w:rPr>
          <w:rFonts w:ascii="Calibri" w:hAnsi="Calibri"/>
        </w:rPr>
      </w:pPr>
      <w:r w:rsidRPr="00A42C96">
        <w:rPr>
          <w:rFonts w:ascii="Calibri" w:hAnsi="Calibri"/>
        </w:rPr>
        <w:t xml:space="preserve">Both Parties agree that budget and cost sharing arrangements for </w:t>
      </w:r>
      <w:r w:rsidR="00187184">
        <w:rPr>
          <w:rFonts w:ascii="Calibri" w:hAnsi="Calibri"/>
        </w:rPr>
        <w:t>agreed</w:t>
      </w:r>
      <w:r w:rsidR="00187184" w:rsidRPr="00A42C96">
        <w:rPr>
          <w:rFonts w:ascii="Calibri" w:hAnsi="Calibri"/>
        </w:rPr>
        <w:t xml:space="preserve"> </w:t>
      </w:r>
      <w:r w:rsidR="008171A6" w:rsidRPr="00A42C96">
        <w:rPr>
          <w:rFonts w:ascii="Calibri" w:hAnsi="Calibri"/>
        </w:rPr>
        <w:t xml:space="preserve">assessments </w:t>
      </w:r>
      <w:r w:rsidR="00B41CC8" w:rsidRPr="00A42C96">
        <w:rPr>
          <w:rFonts w:ascii="Calibri" w:hAnsi="Calibri"/>
        </w:rPr>
        <w:t xml:space="preserve">and </w:t>
      </w:r>
      <w:r w:rsidR="00E73EFD" w:rsidRPr="00A42C96">
        <w:rPr>
          <w:rFonts w:ascii="Calibri" w:hAnsi="Calibri"/>
        </w:rPr>
        <w:t xml:space="preserve">communications and </w:t>
      </w:r>
      <w:r w:rsidR="001154A7" w:rsidRPr="00A42C96">
        <w:rPr>
          <w:rFonts w:ascii="Calibri" w:hAnsi="Calibri"/>
        </w:rPr>
        <w:t>engagement</w:t>
      </w:r>
      <w:r w:rsidR="001154A7">
        <w:rPr>
          <w:rFonts w:ascii="Calibri" w:hAnsi="Calibri"/>
        </w:rPr>
        <w:t xml:space="preserve"> </w:t>
      </w:r>
      <w:r w:rsidR="00187184" w:rsidRPr="006778A7">
        <w:rPr>
          <w:rFonts w:ascii="Calibri" w:hAnsi="Calibri"/>
        </w:rPr>
        <w:t xml:space="preserve">activities </w:t>
      </w:r>
      <w:r w:rsidR="008171A6" w:rsidRPr="006778A7">
        <w:rPr>
          <w:rFonts w:ascii="Calibri" w:hAnsi="Calibri"/>
        </w:rPr>
        <w:t xml:space="preserve">required for </w:t>
      </w:r>
      <w:r w:rsidR="00031AAF" w:rsidRPr="006778A7">
        <w:rPr>
          <w:rFonts w:ascii="Calibri" w:hAnsi="Calibri"/>
        </w:rPr>
        <w:t>amending and modernising Victoria’s</w:t>
      </w:r>
      <w:r w:rsidR="00B41CC8" w:rsidRPr="006778A7">
        <w:rPr>
          <w:rFonts w:ascii="Calibri" w:hAnsi="Calibri"/>
        </w:rPr>
        <w:t xml:space="preserve"> RFA</w:t>
      </w:r>
      <w:r w:rsidR="00031AAF" w:rsidRPr="006778A7">
        <w:rPr>
          <w:rFonts w:ascii="Calibri" w:hAnsi="Calibri"/>
        </w:rPr>
        <w:t xml:space="preserve"> framework</w:t>
      </w:r>
      <w:r w:rsidR="00E366E3" w:rsidRPr="006778A7">
        <w:rPr>
          <w:rFonts w:ascii="Calibri" w:hAnsi="Calibri"/>
        </w:rPr>
        <w:t xml:space="preserve">, </w:t>
      </w:r>
      <w:r w:rsidR="008171A6" w:rsidRPr="006778A7">
        <w:rPr>
          <w:rFonts w:ascii="Calibri" w:hAnsi="Calibri"/>
        </w:rPr>
        <w:t xml:space="preserve">will be </w:t>
      </w:r>
      <w:r w:rsidR="00C675F8" w:rsidRPr="006778A7">
        <w:rPr>
          <w:rFonts w:ascii="Calibri" w:hAnsi="Calibri"/>
        </w:rPr>
        <w:t xml:space="preserve">shared equally by the </w:t>
      </w:r>
      <w:r w:rsidR="00CE2820" w:rsidRPr="006778A7">
        <w:rPr>
          <w:rFonts w:ascii="Calibri" w:hAnsi="Calibri"/>
        </w:rPr>
        <w:t>P</w:t>
      </w:r>
      <w:r w:rsidR="00C675F8" w:rsidRPr="006778A7">
        <w:rPr>
          <w:rFonts w:ascii="Calibri" w:hAnsi="Calibri"/>
        </w:rPr>
        <w:t>arties</w:t>
      </w:r>
      <w:r w:rsidR="008171A6" w:rsidRPr="006778A7">
        <w:rPr>
          <w:rFonts w:ascii="Calibri" w:hAnsi="Calibri"/>
        </w:rPr>
        <w:t>.</w:t>
      </w:r>
      <w:r w:rsidR="00B7392D">
        <w:rPr>
          <w:rFonts w:ascii="Calibri" w:hAnsi="Calibri"/>
        </w:rPr>
        <w:t xml:space="preserve"> </w:t>
      </w:r>
      <w:r w:rsidR="00F67A09">
        <w:rPr>
          <w:rFonts w:ascii="Calibri" w:hAnsi="Calibri"/>
        </w:rPr>
        <w:br w:type="page"/>
      </w:r>
    </w:p>
    <w:p w14:paraId="33DEE6B1" w14:textId="77777777" w:rsidR="00A5662A" w:rsidRDefault="00396D45" w:rsidP="004E7958">
      <w:pPr>
        <w:pStyle w:val="Heading1"/>
      </w:pPr>
      <w:bookmarkStart w:id="30" w:name="_Toc503777704"/>
      <w:bookmarkStart w:id="31" w:name="_Toc504980119"/>
      <w:r>
        <w:lastRenderedPageBreak/>
        <w:t xml:space="preserve">Signatory </w:t>
      </w:r>
      <w:r w:rsidR="00B7392D">
        <w:t>page</w:t>
      </w:r>
      <w:bookmarkEnd w:id="30"/>
      <w:bookmarkEnd w:id="31"/>
    </w:p>
    <w:p w14:paraId="0944F689" w14:textId="77777777" w:rsidR="00F67A09" w:rsidRPr="004E7958" w:rsidRDefault="00F67A09" w:rsidP="00D24E71">
      <w:pPr>
        <w:rPr>
          <w:rFonts w:ascii="Calibri" w:hAnsi="Calibri"/>
          <w:b/>
        </w:rPr>
      </w:pPr>
      <w:r w:rsidRPr="004E7958">
        <w:rPr>
          <w:rFonts w:ascii="Calibri" w:hAnsi="Calibri"/>
          <w:b/>
        </w:rPr>
        <w:t>EXECUTED as a Memorandum of Understanding</w:t>
      </w:r>
    </w:p>
    <w:p w14:paraId="35B29E44" w14:textId="77777777" w:rsidR="00F67A09" w:rsidRDefault="00F67A09" w:rsidP="00D24E71">
      <w:pPr>
        <w:rPr>
          <w:rFonts w:ascii="Calibri" w:hAnsi="Calibri"/>
        </w:rPr>
      </w:pPr>
    </w:p>
    <w:p w14:paraId="206E6EE5" w14:textId="77777777" w:rsidR="00F67A09" w:rsidRDefault="00F67A09" w:rsidP="00D24E71">
      <w:pPr>
        <w:rPr>
          <w:rFonts w:ascii="Calibri" w:hAnsi="Calibri"/>
        </w:rPr>
      </w:pPr>
      <w:r w:rsidRPr="004E7958">
        <w:rPr>
          <w:rFonts w:ascii="Calibri" w:hAnsi="Calibri"/>
          <w:b/>
        </w:rPr>
        <w:t>SIGNED</w:t>
      </w:r>
      <w:r>
        <w:rPr>
          <w:rFonts w:ascii="Calibri" w:hAnsi="Calibri"/>
        </w:rPr>
        <w:t xml:space="preserve"> for and on behalf of the </w:t>
      </w:r>
    </w:p>
    <w:p w14:paraId="47A11903" w14:textId="77777777" w:rsidR="00F67A09" w:rsidRDefault="00F67A09" w:rsidP="00D24E71">
      <w:pPr>
        <w:rPr>
          <w:rFonts w:ascii="Calibri" w:hAnsi="Calibri"/>
        </w:rPr>
      </w:pPr>
      <w:r>
        <w:rPr>
          <w:rFonts w:ascii="Calibri" w:hAnsi="Calibri"/>
        </w:rPr>
        <w:t>Commonwealth of Aust</w:t>
      </w:r>
      <w:r w:rsidR="004E7958">
        <w:rPr>
          <w:rFonts w:ascii="Calibri" w:hAnsi="Calibri"/>
        </w:rPr>
        <w:t>r</w:t>
      </w:r>
      <w:r>
        <w:rPr>
          <w:rFonts w:ascii="Calibri" w:hAnsi="Calibri"/>
        </w:rPr>
        <w:t>alia</w:t>
      </w:r>
    </w:p>
    <w:p w14:paraId="0A496F6B" w14:textId="77777777" w:rsidR="00F67A09" w:rsidRDefault="004E7958" w:rsidP="00D24E71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F67A09">
        <w:rPr>
          <w:rFonts w:ascii="Calibri" w:hAnsi="Calibri"/>
        </w:rPr>
        <w:t>s represented by</w:t>
      </w:r>
      <w:r w:rsidR="00EC3C08">
        <w:rPr>
          <w:rFonts w:ascii="Calibri" w:hAnsi="Calibri"/>
        </w:rPr>
        <w:t xml:space="preserve"> the</w:t>
      </w:r>
    </w:p>
    <w:p w14:paraId="3E4421DB" w14:textId="77777777" w:rsidR="00F67A09" w:rsidRDefault="00F67A09" w:rsidP="00D24E71">
      <w:pPr>
        <w:rPr>
          <w:rFonts w:ascii="Calibri" w:hAnsi="Calibri"/>
        </w:rPr>
      </w:pPr>
    </w:p>
    <w:p w14:paraId="0EF079C0" w14:textId="77777777" w:rsidR="004E7958" w:rsidRDefault="004E7958" w:rsidP="00D24E71">
      <w:pPr>
        <w:rPr>
          <w:rFonts w:ascii="Calibri" w:hAnsi="Calibri"/>
        </w:rPr>
      </w:pPr>
    </w:p>
    <w:p w14:paraId="3A7B726C" w14:textId="77777777" w:rsidR="00F67A09" w:rsidRPr="004E7958" w:rsidRDefault="009139EA" w:rsidP="00D24E71">
      <w:pPr>
        <w:rPr>
          <w:rFonts w:ascii="Calibri" w:hAnsi="Calibri"/>
          <w:b/>
        </w:rPr>
      </w:pPr>
      <w:r>
        <w:rPr>
          <w:rFonts w:ascii="Calibri" w:hAnsi="Calibri"/>
          <w:b/>
        </w:rPr>
        <w:t>Assistant Minister for Agriculture and Water Resources</w:t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</w:p>
    <w:p w14:paraId="2CE17180" w14:textId="77777777" w:rsidR="004E7958" w:rsidRDefault="004E7958" w:rsidP="00D24E71">
      <w:pPr>
        <w:rPr>
          <w:rFonts w:ascii="Calibri" w:hAnsi="Calibri"/>
        </w:rPr>
      </w:pPr>
    </w:p>
    <w:p w14:paraId="6BDE8948" w14:textId="77777777" w:rsidR="006778A7" w:rsidRDefault="006778A7" w:rsidP="00D24E71">
      <w:pPr>
        <w:rPr>
          <w:rFonts w:ascii="Calibri" w:hAnsi="Calibri"/>
        </w:rPr>
      </w:pPr>
    </w:p>
    <w:p w14:paraId="5FCC144A" w14:textId="77777777" w:rsidR="004E7958" w:rsidRDefault="004E7958" w:rsidP="00D24E71">
      <w:pPr>
        <w:rPr>
          <w:rFonts w:ascii="Calibri" w:hAnsi="Calibri"/>
        </w:rPr>
      </w:pPr>
    </w:p>
    <w:p w14:paraId="33333E17" w14:textId="77777777" w:rsidR="004E7958" w:rsidRDefault="004E7958" w:rsidP="00D24E71">
      <w:pPr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52D60" wp14:editId="7F1A975C">
                <wp:simplePos x="0" y="0"/>
                <wp:positionH relativeFrom="column">
                  <wp:posOffset>19049</wp:posOffset>
                </wp:positionH>
                <wp:positionV relativeFrom="paragraph">
                  <wp:posOffset>152400</wp:posOffset>
                </wp:positionV>
                <wp:extent cx="1628775" cy="9525"/>
                <wp:effectExtent l="38100" t="38100" r="66675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7A1A15" id="Straight Connector 9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pt" to="129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alibri" w:hAnsi="Calibri"/>
          <w:u w:val="single"/>
        </w:rPr>
        <w:t xml:space="preserve">                                              </w:t>
      </w:r>
    </w:p>
    <w:p w14:paraId="4FE1BEB6" w14:textId="77777777" w:rsidR="004E7958" w:rsidRDefault="00CE4916" w:rsidP="00D24E71">
      <w:pPr>
        <w:rPr>
          <w:rFonts w:ascii="Calibri" w:hAnsi="Calibri"/>
        </w:rPr>
      </w:pPr>
      <w:r>
        <w:rPr>
          <w:lang w:val="en"/>
        </w:rPr>
        <w:t>Senator the Hon Anne Ruston</w:t>
      </w:r>
    </w:p>
    <w:p w14:paraId="225E3B76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</w:rPr>
        <w:t>Date</w:t>
      </w:r>
    </w:p>
    <w:p w14:paraId="141BF490" w14:textId="77777777" w:rsidR="004E7958" w:rsidRDefault="004E7958" w:rsidP="00D24E71">
      <w:pPr>
        <w:rPr>
          <w:rFonts w:ascii="Calibri" w:hAnsi="Calibri"/>
        </w:rPr>
      </w:pPr>
    </w:p>
    <w:p w14:paraId="0F81F1DC" w14:textId="77777777" w:rsidR="004E7958" w:rsidRDefault="004E7958" w:rsidP="00D24E71">
      <w:pPr>
        <w:rPr>
          <w:rFonts w:ascii="Calibri" w:hAnsi="Calibri"/>
        </w:rPr>
      </w:pPr>
    </w:p>
    <w:p w14:paraId="07284B95" w14:textId="77777777" w:rsidR="004E7958" w:rsidRDefault="004E7958" w:rsidP="00D24E71">
      <w:pPr>
        <w:rPr>
          <w:rFonts w:ascii="Calibri" w:hAnsi="Calibri"/>
        </w:rPr>
      </w:pPr>
    </w:p>
    <w:p w14:paraId="2FE8519F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DA7C6" wp14:editId="048A1A72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1733550" cy="0"/>
                <wp:effectExtent l="38100" t="38100" r="7620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1D7233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1pt" to="136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E9006F7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</w:rPr>
        <w:t>Name of witness (print)</w:t>
      </w:r>
    </w:p>
    <w:p w14:paraId="53459115" w14:textId="77777777" w:rsidR="006778A7" w:rsidRDefault="006778A7" w:rsidP="00D24E71">
      <w:pPr>
        <w:rPr>
          <w:rFonts w:ascii="Calibri" w:hAnsi="Calibri"/>
        </w:rPr>
      </w:pPr>
    </w:p>
    <w:p w14:paraId="7668397F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52DC7" wp14:editId="4A5A0522">
                <wp:simplePos x="0" y="0"/>
                <wp:positionH relativeFrom="column">
                  <wp:posOffset>-19050</wp:posOffset>
                </wp:positionH>
                <wp:positionV relativeFrom="paragraph">
                  <wp:posOffset>320040</wp:posOffset>
                </wp:positionV>
                <wp:extent cx="1733550" cy="9525"/>
                <wp:effectExtent l="38100" t="38100" r="76200" b="857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C9B2D5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5.2pt" to="1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772C270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</w:rPr>
        <w:t>Signature of witness</w:t>
      </w:r>
    </w:p>
    <w:p w14:paraId="2EDBAB45" w14:textId="77777777" w:rsidR="006778A7" w:rsidRDefault="006778A7" w:rsidP="00D24E71">
      <w:pPr>
        <w:rPr>
          <w:rFonts w:ascii="Calibri" w:hAnsi="Calibri"/>
        </w:rPr>
      </w:pPr>
    </w:p>
    <w:p w14:paraId="2899FB8F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83BB05" wp14:editId="2AAAAE92">
                <wp:simplePos x="0" y="0"/>
                <wp:positionH relativeFrom="column">
                  <wp:posOffset>-57785</wp:posOffset>
                </wp:positionH>
                <wp:positionV relativeFrom="paragraph">
                  <wp:posOffset>340360</wp:posOffset>
                </wp:positionV>
                <wp:extent cx="1743075" cy="0"/>
                <wp:effectExtent l="38100" t="38100" r="66675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788074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6.8pt" to="132.7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654719E" w14:textId="77777777" w:rsidR="004E7958" w:rsidRDefault="004E7958" w:rsidP="00D24E71">
      <w:pPr>
        <w:rPr>
          <w:rFonts w:ascii="Calibri" w:hAnsi="Calibri"/>
        </w:rPr>
      </w:pPr>
      <w:r>
        <w:rPr>
          <w:rFonts w:ascii="Calibri" w:hAnsi="Calibri"/>
        </w:rPr>
        <w:t>Date</w:t>
      </w:r>
    </w:p>
    <w:p w14:paraId="60979DFA" w14:textId="77777777" w:rsidR="004E7958" w:rsidRDefault="004E7958" w:rsidP="00D24E71">
      <w:pPr>
        <w:rPr>
          <w:rFonts w:ascii="Calibri" w:hAnsi="Calibri"/>
        </w:rPr>
      </w:pPr>
    </w:p>
    <w:p w14:paraId="33946905" w14:textId="77777777" w:rsidR="004E7958" w:rsidRDefault="004E7958" w:rsidP="00D24E71">
      <w:pPr>
        <w:rPr>
          <w:rFonts w:ascii="Calibri" w:hAnsi="Calibri"/>
        </w:rPr>
      </w:pPr>
    </w:p>
    <w:p w14:paraId="5F8DBF8E" w14:textId="77777777" w:rsidR="004E7958" w:rsidRDefault="004E7958" w:rsidP="00D24E71">
      <w:pPr>
        <w:rPr>
          <w:rFonts w:ascii="Calibri" w:hAnsi="Calibri"/>
        </w:rPr>
      </w:pPr>
    </w:p>
    <w:p w14:paraId="5BFA8326" w14:textId="77777777" w:rsidR="004E7958" w:rsidRDefault="004E7958" w:rsidP="00D24E71">
      <w:pPr>
        <w:rPr>
          <w:rFonts w:ascii="Calibri" w:hAnsi="Calibri"/>
        </w:rPr>
      </w:pPr>
    </w:p>
    <w:p w14:paraId="34863D78" w14:textId="77777777" w:rsidR="004E7958" w:rsidRDefault="004E7958" w:rsidP="004E7958">
      <w:pPr>
        <w:rPr>
          <w:rFonts w:ascii="Calibri" w:hAnsi="Calibri"/>
        </w:rPr>
      </w:pPr>
      <w:r w:rsidRPr="004E7958">
        <w:rPr>
          <w:rFonts w:ascii="Calibri" w:hAnsi="Calibri"/>
          <w:b/>
        </w:rPr>
        <w:t>SIGNED</w:t>
      </w:r>
      <w:r>
        <w:rPr>
          <w:rFonts w:ascii="Calibri" w:hAnsi="Calibri"/>
        </w:rPr>
        <w:t xml:space="preserve"> for and on behalf of </w:t>
      </w:r>
      <w:r w:rsidR="00EC3C08">
        <w:rPr>
          <w:rFonts w:ascii="Calibri" w:hAnsi="Calibri"/>
        </w:rPr>
        <w:t>the State of</w:t>
      </w:r>
      <w:r w:rsidR="00745373">
        <w:rPr>
          <w:rFonts w:ascii="Calibri" w:hAnsi="Calibri"/>
        </w:rPr>
        <w:t xml:space="preserve"> </w:t>
      </w:r>
    </w:p>
    <w:p w14:paraId="1CF0F751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</w:rPr>
        <w:t>Victoria</w:t>
      </w:r>
    </w:p>
    <w:p w14:paraId="634CA648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</w:rPr>
        <w:t>as represented by</w:t>
      </w:r>
      <w:r w:rsidR="00EC3C08">
        <w:rPr>
          <w:rFonts w:ascii="Calibri" w:hAnsi="Calibri"/>
        </w:rPr>
        <w:t xml:space="preserve"> the</w:t>
      </w:r>
    </w:p>
    <w:p w14:paraId="0E93F96B" w14:textId="77777777" w:rsidR="004E7958" w:rsidRDefault="004E7958" w:rsidP="004E7958">
      <w:pPr>
        <w:rPr>
          <w:rFonts w:ascii="Calibri" w:hAnsi="Calibri"/>
        </w:rPr>
      </w:pPr>
    </w:p>
    <w:p w14:paraId="2F22C444" w14:textId="77777777" w:rsidR="004E7958" w:rsidRDefault="004E7958" w:rsidP="004E7958">
      <w:pPr>
        <w:rPr>
          <w:rFonts w:ascii="Calibri" w:hAnsi="Calibri"/>
        </w:rPr>
      </w:pPr>
    </w:p>
    <w:p w14:paraId="63D031A7" w14:textId="77777777" w:rsidR="004E7958" w:rsidRDefault="009139EA" w:rsidP="004E7958">
      <w:pPr>
        <w:rPr>
          <w:rFonts w:ascii="Calibri" w:hAnsi="Calibri"/>
          <w:b/>
        </w:rPr>
      </w:pPr>
      <w:r>
        <w:rPr>
          <w:rFonts w:ascii="Calibri" w:hAnsi="Calibri"/>
          <w:b/>
        </w:rPr>
        <w:t>Minister for Energy, Environment and Climate Change</w:t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  <w:r w:rsidR="004E7958" w:rsidRPr="004E7958">
        <w:rPr>
          <w:rFonts w:ascii="Calibri" w:hAnsi="Calibri"/>
          <w:b/>
        </w:rPr>
        <w:tab/>
      </w:r>
    </w:p>
    <w:p w14:paraId="3C464B56" w14:textId="77777777" w:rsidR="006778A7" w:rsidRPr="004E7958" w:rsidRDefault="006778A7" w:rsidP="004E7958">
      <w:pPr>
        <w:rPr>
          <w:rFonts w:ascii="Calibri" w:hAnsi="Calibri"/>
          <w:b/>
        </w:rPr>
      </w:pPr>
    </w:p>
    <w:p w14:paraId="450DC269" w14:textId="77777777" w:rsidR="004E7958" w:rsidRDefault="004E7958" w:rsidP="004E7958">
      <w:pPr>
        <w:rPr>
          <w:rFonts w:ascii="Calibri" w:hAnsi="Calibri"/>
        </w:rPr>
      </w:pPr>
    </w:p>
    <w:p w14:paraId="3BE821D1" w14:textId="77777777" w:rsidR="004E7958" w:rsidRDefault="004E7958" w:rsidP="004E7958">
      <w:pPr>
        <w:rPr>
          <w:rFonts w:ascii="Calibri" w:hAnsi="Calibri"/>
        </w:rPr>
      </w:pPr>
    </w:p>
    <w:p w14:paraId="53662970" w14:textId="77777777" w:rsidR="004E7958" w:rsidRDefault="004E7958" w:rsidP="004E7958">
      <w:pPr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7E556" wp14:editId="71260D53">
                <wp:simplePos x="0" y="0"/>
                <wp:positionH relativeFrom="column">
                  <wp:posOffset>19049</wp:posOffset>
                </wp:positionH>
                <wp:positionV relativeFrom="paragraph">
                  <wp:posOffset>152400</wp:posOffset>
                </wp:positionV>
                <wp:extent cx="1628775" cy="9525"/>
                <wp:effectExtent l="38100" t="38100" r="66675" b="857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B4DD1" id="Straight Connector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pt" to="129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alibri" w:hAnsi="Calibri"/>
          <w:u w:val="single"/>
        </w:rPr>
        <w:t xml:space="preserve">                                              </w:t>
      </w:r>
    </w:p>
    <w:p w14:paraId="115097B7" w14:textId="77777777" w:rsidR="004E7958" w:rsidRDefault="00CE4916" w:rsidP="004E7958">
      <w:pPr>
        <w:rPr>
          <w:rFonts w:ascii="Calibri" w:hAnsi="Calibri"/>
        </w:rPr>
      </w:pPr>
      <w:r w:rsidRPr="00CE4916">
        <w:rPr>
          <w:lang w:val="en"/>
        </w:rPr>
        <w:t>The Hon. Lily D'Ambrosio MP</w:t>
      </w:r>
    </w:p>
    <w:p w14:paraId="5BD8FBC7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</w:rPr>
        <w:t>Date</w:t>
      </w:r>
    </w:p>
    <w:p w14:paraId="2E3FF941" w14:textId="77777777" w:rsidR="004E7958" w:rsidRDefault="004E7958" w:rsidP="004E7958">
      <w:pPr>
        <w:rPr>
          <w:rFonts w:ascii="Calibri" w:hAnsi="Calibri"/>
        </w:rPr>
      </w:pPr>
    </w:p>
    <w:p w14:paraId="674A0508" w14:textId="77777777" w:rsidR="004E7958" w:rsidRDefault="004E7958" w:rsidP="004E7958">
      <w:pPr>
        <w:rPr>
          <w:rFonts w:ascii="Calibri" w:hAnsi="Calibri"/>
        </w:rPr>
      </w:pPr>
    </w:p>
    <w:p w14:paraId="037B04C8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A175F" wp14:editId="58BF78D8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1733550" cy="0"/>
                <wp:effectExtent l="38100" t="38100" r="7620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3DE16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1pt" to="136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17315CB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</w:rPr>
        <w:t>Name of witness (print)</w:t>
      </w:r>
    </w:p>
    <w:p w14:paraId="6FC4F0D7" w14:textId="77777777" w:rsidR="006778A7" w:rsidRDefault="006778A7" w:rsidP="004E7958">
      <w:pPr>
        <w:rPr>
          <w:rFonts w:ascii="Calibri" w:hAnsi="Calibri"/>
        </w:rPr>
      </w:pPr>
    </w:p>
    <w:p w14:paraId="5717DBDF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8BCE6F" wp14:editId="427B5B9B">
                <wp:simplePos x="0" y="0"/>
                <wp:positionH relativeFrom="column">
                  <wp:posOffset>-19050</wp:posOffset>
                </wp:positionH>
                <wp:positionV relativeFrom="paragraph">
                  <wp:posOffset>320040</wp:posOffset>
                </wp:positionV>
                <wp:extent cx="1733550" cy="9525"/>
                <wp:effectExtent l="38100" t="38100" r="76200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D18B70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5.2pt" to="1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95ACCA8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</w:rPr>
        <w:t>Signature of witness</w:t>
      </w:r>
    </w:p>
    <w:p w14:paraId="715856B2" w14:textId="77777777" w:rsidR="006778A7" w:rsidRDefault="006778A7" w:rsidP="004E7958">
      <w:pPr>
        <w:rPr>
          <w:rFonts w:ascii="Calibri" w:hAnsi="Calibri"/>
        </w:rPr>
      </w:pPr>
    </w:p>
    <w:bookmarkStart w:id="32" w:name="_GoBack"/>
    <w:bookmarkEnd w:id="32"/>
    <w:p w14:paraId="3B6A3048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616A3" wp14:editId="7A4F3012">
                <wp:simplePos x="0" y="0"/>
                <wp:positionH relativeFrom="column">
                  <wp:posOffset>-57785</wp:posOffset>
                </wp:positionH>
                <wp:positionV relativeFrom="paragraph">
                  <wp:posOffset>340360</wp:posOffset>
                </wp:positionV>
                <wp:extent cx="1743075" cy="0"/>
                <wp:effectExtent l="38100" t="38100" r="66675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22FFE6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6.8pt" to="132.7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3CB1F88" w14:textId="77777777" w:rsidR="004E7958" w:rsidRDefault="004E7958" w:rsidP="004E7958">
      <w:pPr>
        <w:rPr>
          <w:rFonts w:ascii="Calibri" w:hAnsi="Calibri"/>
        </w:rPr>
      </w:pPr>
      <w:r>
        <w:rPr>
          <w:rFonts w:ascii="Calibri" w:hAnsi="Calibri"/>
        </w:rPr>
        <w:t>Date</w:t>
      </w:r>
    </w:p>
    <w:p w14:paraId="52859B64" w14:textId="77777777" w:rsidR="004E7958" w:rsidRDefault="004E7958" w:rsidP="004E7958">
      <w:pPr>
        <w:rPr>
          <w:rFonts w:ascii="Calibri" w:hAnsi="Calibri"/>
        </w:rPr>
      </w:pPr>
    </w:p>
    <w:p w14:paraId="6AA73640" w14:textId="77777777" w:rsidR="004E7958" w:rsidRDefault="004E7958" w:rsidP="00D24E71">
      <w:pPr>
        <w:rPr>
          <w:rFonts w:ascii="Calibri" w:hAnsi="Calibri"/>
        </w:rPr>
      </w:pPr>
    </w:p>
    <w:p w14:paraId="2BD916CF" w14:textId="77777777" w:rsidR="00612C4B" w:rsidRPr="00C6085B" w:rsidRDefault="00612C4B" w:rsidP="009A20AE">
      <w:pPr>
        <w:rPr>
          <w:rFonts w:ascii="Calibri" w:hAnsi="Calibri"/>
        </w:rPr>
      </w:pPr>
    </w:p>
    <w:sectPr w:rsidR="00612C4B" w:rsidRPr="00C6085B" w:rsidSect="00422C0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D62BB" w14:textId="77777777" w:rsidR="003A6D0F" w:rsidRDefault="003A6D0F" w:rsidP="00286E25">
      <w:pPr>
        <w:spacing w:after="0" w:line="240" w:lineRule="auto"/>
      </w:pPr>
      <w:r>
        <w:separator/>
      </w:r>
    </w:p>
  </w:endnote>
  <w:endnote w:type="continuationSeparator" w:id="0">
    <w:p w14:paraId="34B020B3" w14:textId="77777777" w:rsidR="003A6D0F" w:rsidRDefault="003A6D0F" w:rsidP="00286E25">
      <w:pPr>
        <w:spacing w:after="0" w:line="240" w:lineRule="auto"/>
      </w:pPr>
      <w:r>
        <w:continuationSeparator/>
      </w:r>
    </w:p>
  </w:endnote>
  <w:endnote w:type="continuationNotice" w:id="1">
    <w:p w14:paraId="204B265E" w14:textId="77777777" w:rsidR="003A6D0F" w:rsidRDefault="003A6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639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920BF" w14:textId="24B16907" w:rsidR="00166E1B" w:rsidRDefault="00166E1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8A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1340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0F08B3" w14:textId="7381DC91" w:rsidR="00166E1B" w:rsidRDefault="00166E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8A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CD8761" w14:textId="230DB5C4" w:rsidR="00166E1B" w:rsidRPr="00093FD7" w:rsidRDefault="00166E1B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2B4C" w14:textId="77777777" w:rsidR="003A6D0F" w:rsidRDefault="003A6D0F" w:rsidP="00286E25">
      <w:pPr>
        <w:spacing w:after="0" w:line="240" w:lineRule="auto"/>
      </w:pPr>
      <w:r>
        <w:separator/>
      </w:r>
    </w:p>
  </w:footnote>
  <w:footnote w:type="continuationSeparator" w:id="0">
    <w:p w14:paraId="75202D3C" w14:textId="77777777" w:rsidR="003A6D0F" w:rsidRDefault="003A6D0F" w:rsidP="00286E25">
      <w:pPr>
        <w:spacing w:after="0" w:line="240" w:lineRule="auto"/>
      </w:pPr>
      <w:r>
        <w:continuationSeparator/>
      </w:r>
    </w:p>
  </w:footnote>
  <w:footnote w:type="continuationNotice" w:id="1">
    <w:p w14:paraId="7CEA72D2" w14:textId="77777777" w:rsidR="003A6D0F" w:rsidRDefault="003A6D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09C82" w14:textId="7595F79F" w:rsidR="00166E1B" w:rsidRDefault="00166E1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8BB85" wp14:editId="32FECE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F27E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983E7" w14:textId="154972B8" w:rsidR="00166E1B" w:rsidRDefault="00166E1B" w:rsidP="00422C00">
    <w:pPr>
      <w:pStyle w:val="Header"/>
      <w:jc w:val="right"/>
      <w:rPr>
        <w:rFonts w:asciiTheme="majorHAnsi" w:hAnsiTheme="majorHAnsi" w:cstheme="majorHAnsi"/>
        <w:sz w:val="18"/>
        <w:szCs w:val="18"/>
      </w:rPr>
    </w:pPr>
    <w:r w:rsidRPr="000E7B00">
      <w:rPr>
        <w:rFonts w:asciiTheme="majorHAnsi" w:hAnsiTheme="majorHAnsi" w:cstheme="majorHAnsi"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D4C61" wp14:editId="314819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A181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" filled="f" stroked="f">
              <o:lock v:ext="edit" text="t" shapetype="t"/>
            </v:shape>
          </w:pict>
        </mc:Fallback>
      </mc:AlternateContent>
    </w:r>
    <w:r w:rsidRPr="00422C00">
      <w:rPr>
        <w:rFonts w:asciiTheme="majorHAnsi" w:hAnsiTheme="majorHAnsi" w:cstheme="majorHAnsi"/>
        <w:sz w:val="18"/>
        <w:szCs w:val="18"/>
      </w:rPr>
      <w:t>Agreement between the Commonwealth of Australia and the</w:t>
    </w:r>
    <w:r>
      <w:rPr>
        <w:rFonts w:asciiTheme="majorHAnsi" w:hAnsiTheme="majorHAnsi" w:cstheme="majorHAnsi"/>
        <w:sz w:val="18"/>
        <w:szCs w:val="18"/>
      </w:rPr>
      <w:t xml:space="preserve"> State of Victoria</w:t>
    </w:r>
  </w:p>
  <w:p w14:paraId="5B85FBE0" w14:textId="77777777" w:rsidR="00166E1B" w:rsidRPr="00422C00" w:rsidRDefault="00166E1B" w:rsidP="00422C00">
    <w:pPr>
      <w:pStyle w:val="Header"/>
      <w:jc w:val="right"/>
      <w:rPr>
        <w:rFonts w:asciiTheme="majorHAnsi" w:hAnsiTheme="majorHAnsi" w:cstheme="majorHAnsi"/>
        <w:sz w:val="18"/>
        <w:szCs w:val="18"/>
      </w:rPr>
    </w:pPr>
    <w:r w:rsidRPr="00422C00">
      <w:rPr>
        <w:rFonts w:asciiTheme="majorHAnsi" w:hAnsiTheme="majorHAnsi" w:cstheme="majorHAnsi"/>
        <w:sz w:val="18"/>
        <w:szCs w:val="18"/>
      </w:rPr>
      <w:t>to</w:t>
    </w:r>
    <w:r>
      <w:rPr>
        <w:rFonts w:asciiTheme="majorHAnsi" w:hAnsiTheme="majorHAnsi" w:cstheme="majorHAnsi"/>
        <w:sz w:val="18"/>
        <w:szCs w:val="18"/>
      </w:rPr>
      <w:t xml:space="preserve"> </w:t>
    </w:r>
    <w:r w:rsidRPr="00422C00">
      <w:rPr>
        <w:rFonts w:asciiTheme="majorHAnsi" w:hAnsiTheme="majorHAnsi" w:cstheme="majorHAnsi"/>
        <w:sz w:val="18"/>
        <w:szCs w:val="18"/>
      </w:rPr>
      <w:t>Modernise</w:t>
    </w:r>
    <w:r>
      <w:rPr>
        <w:rFonts w:asciiTheme="majorHAnsi" w:hAnsiTheme="majorHAnsi" w:cstheme="majorHAnsi"/>
        <w:sz w:val="18"/>
        <w:szCs w:val="18"/>
      </w:rPr>
      <w:t xml:space="preserve"> </w:t>
    </w:r>
    <w:r w:rsidRPr="00422C00">
      <w:rPr>
        <w:rFonts w:asciiTheme="majorHAnsi" w:hAnsiTheme="majorHAnsi" w:cstheme="majorHAnsi"/>
        <w:sz w:val="18"/>
        <w:szCs w:val="18"/>
      </w:rPr>
      <w:t xml:space="preserve">Victoria’s Regional Forest Agreements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03A30" w14:textId="0CB0CC30" w:rsidR="00166E1B" w:rsidRDefault="00166E1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84D8A7" wp14:editId="4F785F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82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B1B3D"/>
    <w:multiLevelType w:val="hybridMultilevel"/>
    <w:tmpl w:val="F82083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57D"/>
    <w:multiLevelType w:val="hybridMultilevel"/>
    <w:tmpl w:val="8F58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4E2"/>
    <w:multiLevelType w:val="hybridMultilevel"/>
    <w:tmpl w:val="06F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5066"/>
    <w:multiLevelType w:val="hybridMultilevel"/>
    <w:tmpl w:val="1934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6DE0"/>
    <w:multiLevelType w:val="hybridMultilevel"/>
    <w:tmpl w:val="0CB4A85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78E9"/>
    <w:multiLevelType w:val="hybridMultilevel"/>
    <w:tmpl w:val="33E2CE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4BF3"/>
    <w:multiLevelType w:val="hybridMultilevel"/>
    <w:tmpl w:val="E0328B1E"/>
    <w:lvl w:ilvl="0" w:tplc="16AAD91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6EDE"/>
    <w:multiLevelType w:val="hybridMultilevel"/>
    <w:tmpl w:val="667E7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226"/>
    <w:multiLevelType w:val="hybridMultilevel"/>
    <w:tmpl w:val="3300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236C"/>
    <w:multiLevelType w:val="hybridMultilevel"/>
    <w:tmpl w:val="A21A658E"/>
    <w:lvl w:ilvl="0" w:tplc="031823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57F1A"/>
    <w:multiLevelType w:val="hybridMultilevel"/>
    <w:tmpl w:val="B9BE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9D0"/>
    <w:multiLevelType w:val="hybridMultilevel"/>
    <w:tmpl w:val="0DE090CC"/>
    <w:lvl w:ilvl="0" w:tplc="031823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0583C"/>
    <w:multiLevelType w:val="hybridMultilevel"/>
    <w:tmpl w:val="74DA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4FD6"/>
    <w:multiLevelType w:val="hybridMultilevel"/>
    <w:tmpl w:val="F322F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4E9"/>
    <w:multiLevelType w:val="hybridMultilevel"/>
    <w:tmpl w:val="A6B88DC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5224"/>
    <w:multiLevelType w:val="hybridMultilevel"/>
    <w:tmpl w:val="2C283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0FA8"/>
    <w:multiLevelType w:val="hybridMultilevel"/>
    <w:tmpl w:val="84EE253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488D0716"/>
    <w:multiLevelType w:val="hybridMultilevel"/>
    <w:tmpl w:val="E9341380"/>
    <w:lvl w:ilvl="0" w:tplc="A97A2D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258ED"/>
    <w:multiLevelType w:val="hybridMultilevel"/>
    <w:tmpl w:val="894A65EC"/>
    <w:lvl w:ilvl="0" w:tplc="7A408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B66EC1"/>
    <w:multiLevelType w:val="hybridMultilevel"/>
    <w:tmpl w:val="53BE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12187"/>
    <w:multiLevelType w:val="hybridMultilevel"/>
    <w:tmpl w:val="947009D0"/>
    <w:lvl w:ilvl="0" w:tplc="16AAD91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001F6"/>
    <w:multiLevelType w:val="hybridMultilevel"/>
    <w:tmpl w:val="D4601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F00FA"/>
    <w:multiLevelType w:val="hybridMultilevel"/>
    <w:tmpl w:val="33E2CE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A3E54"/>
    <w:multiLevelType w:val="hybridMultilevel"/>
    <w:tmpl w:val="C602E1C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CD364D"/>
    <w:multiLevelType w:val="hybridMultilevel"/>
    <w:tmpl w:val="9A726E92"/>
    <w:lvl w:ilvl="0" w:tplc="61BE319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D607E"/>
    <w:multiLevelType w:val="hybridMultilevel"/>
    <w:tmpl w:val="09CE9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A411C"/>
    <w:multiLevelType w:val="hybridMultilevel"/>
    <w:tmpl w:val="05C0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C7E0E"/>
    <w:multiLevelType w:val="hybridMultilevel"/>
    <w:tmpl w:val="87A6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A6BD4"/>
    <w:multiLevelType w:val="hybridMultilevel"/>
    <w:tmpl w:val="07F8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24D3E"/>
    <w:multiLevelType w:val="hybridMultilevel"/>
    <w:tmpl w:val="1DF2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0568A"/>
    <w:multiLevelType w:val="hybridMultilevel"/>
    <w:tmpl w:val="2E9203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"/>
  </w:num>
  <w:num w:numId="5">
    <w:abstractNumId w:val="15"/>
  </w:num>
  <w:num w:numId="6">
    <w:abstractNumId w:val="23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30"/>
  </w:num>
  <w:num w:numId="12">
    <w:abstractNumId w:val="21"/>
  </w:num>
  <w:num w:numId="13">
    <w:abstractNumId w:val="31"/>
  </w:num>
  <w:num w:numId="14">
    <w:abstractNumId w:val="7"/>
  </w:num>
  <w:num w:numId="15">
    <w:abstractNumId w:val="13"/>
  </w:num>
  <w:num w:numId="16">
    <w:abstractNumId w:val="19"/>
  </w:num>
  <w:num w:numId="17">
    <w:abstractNumId w:val="28"/>
  </w:num>
  <w:num w:numId="18">
    <w:abstractNumId w:val="9"/>
  </w:num>
  <w:num w:numId="19">
    <w:abstractNumId w:val="27"/>
  </w:num>
  <w:num w:numId="20">
    <w:abstractNumId w:val="25"/>
  </w:num>
  <w:num w:numId="21">
    <w:abstractNumId w:val="6"/>
  </w:num>
  <w:num w:numId="22">
    <w:abstractNumId w:val="24"/>
  </w:num>
  <w:num w:numId="23">
    <w:abstractNumId w:val="29"/>
  </w:num>
  <w:num w:numId="24">
    <w:abstractNumId w:val="17"/>
  </w:num>
  <w:num w:numId="25">
    <w:abstractNumId w:val="18"/>
  </w:num>
  <w:num w:numId="26">
    <w:abstractNumId w:val="26"/>
  </w:num>
  <w:num w:numId="27">
    <w:abstractNumId w:val="10"/>
  </w:num>
  <w:num w:numId="28">
    <w:abstractNumId w:val="8"/>
  </w:num>
  <w:num w:numId="29">
    <w:abstractNumId w:val="12"/>
  </w:num>
  <w:num w:numId="30">
    <w:abstractNumId w:val="14"/>
  </w:num>
  <w:num w:numId="31">
    <w:abstractNumId w:val="2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71"/>
    <w:rsid w:val="0001067E"/>
    <w:rsid w:val="0002570A"/>
    <w:rsid w:val="00026035"/>
    <w:rsid w:val="000271CD"/>
    <w:rsid w:val="00031AAF"/>
    <w:rsid w:val="0003674C"/>
    <w:rsid w:val="0004098C"/>
    <w:rsid w:val="000420DE"/>
    <w:rsid w:val="00065101"/>
    <w:rsid w:val="0006690F"/>
    <w:rsid w:val="0007075D"/>
    <w:rsid w:val="000735D0"/>
    <w:rsid w:val="000767EF"/>
    <w:rsid w:val="000848D5"/>
    <w:rsid w:val="00084D05"/>
    <w:rsid w:val="000903AB"/>
    <w:rsid w:val="00090E81"/>
    <w:rsid w:val="00093FD7"/>
    <w:rsid w:val="000A1E4C"/>
    <w:rsid w:val="000A3D88"/>
    <w:rsid w:val="000A63E6"/>
    <w:rsid w:val="000A6440"/>
    <w:rsid w:val="000A6E68"/>
    <w:rsid w:val="000A7894"/>
    <w:rsid w:val="000B1DF5"/>
    <w:rsid w:val="000B2F34"/>
    <w:rsid w:val="000B3CA7"/>
    <w:rsid w:val="000B4149"/>
    <w:rsid w:val="000B6ACC"/>
    <w:rsid w:val="000C1AA4"/>
    <w:rsid w:val="000C3041"/>
    <w:rsid w:val="000C3194"/>
    <w:rsid w:val="000C3235"/>
    <w:rsid w:val="000C75F1"/>
    <w:rsid w:val="000D2CB2"/>
    <w:rsid w:val="000D6AE4"/>
    <w:rsid w:val="000E7B00"/>
    <w:rsid w:val="000F3E4C"/>
    <w:rsid w:val="0010179F"/>
    <w:rsid w:val="001069DF"/>
    <w:rsid w:val="0011061C"/>
    <w:rsid w:val="001112E8"/>
    <w:rsid w:val="001154A7"/>
    <w:rsid w:val="001219B0"/>
    <w:rsid w:val="00127381"/>
    <w:rsid w:val="001313F3"/>
    <w:rsid w:val="001319A4"/>
    <w:rsid w:val="001343AA"/>
    <w:rsid w:val="00140AB5"/>
    <w:rsid w:val="00140E89"/>
    <w:rsid w:val="00140FFC"/>
    <w:rsid w:val="00146306"/>
    <w:rsid w:val="00150049"/>
    <w:rsid w:val="00150B1A"/>
    <w:rsid w:val="00162240"/>
    <w:rsid w:val="00162F98"/>
    <w:rsid w:val="00166E1B"/>
    <w:rsid w:val="00166E75"/>
    <w:rsid w:val="001679A0"/>
    <w:rsid w:val="0017279F"/>
    <w:rsid w:val="00176AB3"/>
    <w:rsid w:val="0017722C"/>
    <w:rsid w:val="001860A0"/>
    <w:rsid w:val="00187184"/>
    <w:rsid w:val="00193401"/>
    <w:rsid w:val="00193E66"/>
    <w:rsid w:val="0019656F"/>
    <w:rsid w:val="001972B5"/>
    <w:rsid w:val="001A6333"/>
    <w:rsid w:val="001A7062"/>
    <w:rsid w:val="001A71CD"/>
    <w:rsid w:val="001A7B6A"/>
    <w:rsid w:val="001A7F5B"/>
    <w:rsid w:val="001B0255"/>
    <w:rsid w:val="001B230C"/>
    <w:rsid w:val="001B4DF5"/>
    <w:rsid w:val="001B6717"/>
    <w:rsid w:val="001C38E8"/>
    <w:rsid w:val="001C3914"/>
    <w:rsid w:val="001D1BC3"/>
    <w:rsid w:val="001D2BCA"/>
    <w:rsid w:val="001D38D5"/>
    <w:rsid w:val="001D4EA2"/>
    <w:rsid w:val="001F09CD"/>
    <w:rsid w:val="00200C53"/>
    <w:rsid w:val="0020194E"/>
    <w:rsid w:val="00202154"/>
    <w:rsid w:val="00205808"/>
    <w:rsid w:val="002067DF"/>
    <w:rsid w:val="00207B36"/>
    <w:rsid w:val="00207DE1"/>
    <w:rsid w:val="0021094A"/>
    <w:rsid w:val="00210DDE"/>
    <w:rsid w:val="00222E72"/>
    <w:rsid w:val="00237D7F"/>
    <w:rsid w:val="002444E0"/>
    <w:rsid w:val="00246434"/>
    <w:rsid w:val="002516D3"/>
    <w:rsid w:val="002516FA"/>
    <w:rsid w:val="00252984"/>
    <w:rsid w:val="00253A4C"/>
    <w:rsid w:val="002571B8"/>
    <w:rsid w:val="00257F30"/>
    <w:rsid w:val="002618A0"/>
    <w:rsid w:val="00270407"/>
    <w:rsid w:val="002758AA"/>
    <w:rsid w:val="002861FC"/>
    <w:rsid w:val="00286E25"/>
    <w:rsid w:val="00290B16"/>
    <w:rsid w:val="00290F7B"/>
    <w:rsid w:val="002928C9"/>
    <w:rsid w:val="002A0757"/>
    <w:rsid w:val="002A7250"/>
    <w:rsid w:val="002B2F24"/>
    <w:rsid w:val="002B524F"/>
    <w:rsid w:val="002B76EB"/>
    <w:rsid w:val="002C09BF"/>
    <w:rsid w:val="002D0D91"/>
    <w:rsid w:val="002D4CE6"/>
    <w:rsid w:val="002D7DBF"/>
    <w:rsid w:val="002E1E52"/>
    <w:rsid w:val="002F05F0"/>
    <w:rsid w:val="002F0E05"/>
    <w:rsid w:val="002F5298"/>
    <w:rsid w:val="002F652F"/>
    <w:rsid w:val="00311D99"/>
    <w:rsid w:val="0031681A"/>
    <w:rsid w:val="00316947"/>
    <w:rsid w:val="00317559"/>
    <w:rsid w:val="00336970"/>
    <w:rsid w:val="00336D0B"/>
    <w:rsid w:val="00340EB3"/>
    <w:rsid w:val="00341CBE"/>
    <w:rsid w:val="003428EB"/>
    <w:rsid w:val="003530AA"/>
    <w:rsid w:val="003533BE"/>
    <w:rsid w:val="00357382"/>
    <w:rsid w:val="00363AE8"/>
    <w:rsid w:val="00372025"/>
    <w:rsid w:val="003730AE"/>
    <w:rsid w:val="00392CD5"/>
    <w:rsid w:val="00396D45"/>
    <w:rsid w:val="00397377"/>
    <w:rsid w:val="003A0442"/>
    <w:rsid w:val="003A6D0F"/>
    <w:rsid w:val="003A7810"/>
    <w:rsid w:val="003B2A1A"/>
    <w:rsid w:val="003B354A"/>
    <w:rsid w:val="003B3BA0"/>
    <w:rsid w:val="003C766E"/>
    <w:rsid w:val="003D62A3"/>
    <w:rsid w:val="003E0C93"/>
    <w:rsid w:val="003E21EB"/>
    <w:rsid w:val="003E292B"/>
    <w:rsid w:val="003F1C70"/>
    <w:rsid w:val="004061AF"/>
    <w:rsid w:val="004071D4"/>
    <w:rsid w:val="004117B7"/>
    <w:rsid w:val="0041336A"/>
    <w:rsid w:val="00415191"/>
    <w:rsid w:val="00422C00"/>
    <w:rsid w:val="004272AE"/>
    <w:rsid w:val="004302C1"/>
    <w:rsid w:val="00431133"/>
    <w:rsid w:val="0043401B"/>
    <w:rsid w:val="0043783D"/>
    <w:rsid w:val="0044290B"/>
    <w:rsid w:val="00445132"/>
    <w:rsid w:val="0045190B"/>
    <w:rsid w:val="00457B0F"/>
    <w:rsid w:val="00460E59"/>
    <w:rsid w:val="004612E0"/>
    <w:rsid w:val="00463537"/>
    <w:rsid w:val="00463773"/>
    <w:rsid w:val="00463F7E"/>
    <w:rsid w:val="00472954"/>
    <w:rsid w:val="004824CE"/>
    <w:rsid w:val="004A1638"/>
    <w:rsid w:val="004A1D28"/>
    <w:rsid w:val="004A4096"/>
    <w:rsid w:val="004A668F"/>
    <w:rsid w:val="004B08E0"/>
    <w:rsid w:val="004B0C51"/>
    <w:rsid w:val="004B6D0E"/>
    <w:rsid w:val="004B7AC4"/>
    <w:rsid w:val="004C6B34"/>
    <w:rsid w:val="004E10A7"/>
    <w:rsid w:val="004E12C5"/>
    <w:rsid w:val="004E1BF5"/>
    <w:rsid w:val="004E4FC8"/>
    <w:rsid w:val="004E7958"/>
    <w:rsid w:val="004F0D02"/>
    <w:rsid w:val="004F2396"/>
    <w:rsid w:val="0050072F"/>
    <w:rsid w:val="00502168"/>
    <w:rsid w:val="00502F88"/>
    <w:rsid w:val="00517838"/>
    <w:rsid w:val="00527C04"/>
    <w:rsid w:val="0053080F"/>
    <w:rsid w:val="00532FB6"/>
    <w:rsid w:val="0053505B"/>
    <w:rsid w:val="00535CDF"/>
    <w:rsid w:val="005438D7"/>
    <w:rsid w:val="00545BBC"/>
    <w:rsid w:val="00557717"/>
    <w:rsid w:val="0056185B"/>
    <w:rsid w:val="005634E8"/>
    <w:rsid w:val="00563DF5"/>
    <w:rsid w:val="005645BA"/>
    <w:rsid w:val="005668D2"/>
    <w:rsid w:val="005746CF"/>
    <w:rsid w:val="0059524C"/>
    <w:rsid w:val="005A5FB3"/>
    <w:rsid w:val="005B1D14"/>
    <w:rsid w:val="005B3972"/>
    <w:rsid w:val="005B42BB"/>
    <w:rsid w:val="005B6E0A"/>
    <w:rsid w:val="005C2373"/>
    <w:rsid w:val="005C2A7C"/>
    <w:rsid w:val="005C70AC"/>
    <w:rsid w:val="005D48D9"/>
    <w:rsid w:val="005D5781"/>
    <w:rsid w:val="005D7AA3"/>
    <w:rsid w:val="005E5A85"/>
    <w:rsid w:val="005E5B2D"/>
    <w:rsid w:val="005E72A0"/>
    <w:rsid w:val="005E74B0"/>
    <w:rsid w:val="00604347"/>
    <w:rsid w:val="00605ED6"/>
    <w:rsid w:val="00606409"/>
    <w:rsid w:val="00612C4B"/>
    <w:rsid w:val="00616812"/>
    <w:rsid w:val="00620400"/>
    <w:rsid w:val="006212A0"/>
    <w:rsid w:val="006238C6"/>
    <w:rsid w:val="00625C49"/>
    <w:rsid w:val="00631E75"/>
    <w:rsid w:val="00640905"/>
    <w:rsid w:val="00643D38"/>
    <w:rsid w:val="00644DA6"/>
    <w:rsid w:val="00654800"/>
    <w:rsid w:val="00667964"/>
    <w:rsid w:val="00672B79"/>
    <w:rsid w:val="006758D1"/>
    <w:rsid w:val="006778A7"/>
    <w:rsid w:val="00680D3C"/>
    <w:rsid w:val="006846CB"/>
    <w:rsid w:val="00685487"/>
    <w:rsid w:val="0069500F"/>
    <w:rsid w:val="006A2EC1"/>
    <w:rsid w:val="006A71F5"/>
    <w:rsid w:val="006B0980"/>
    <w:rsid w:val="006B3A0B"/>
    <w:rsid w:val="006B5012"/>
    <w:rsid w:val="006C2FC8"/>
    <w:rsid w:val="006C4C13"/>
    <w:rsid w:val="006C6962"/>
    <w:rsid w:val="006D6CEE"/>
    <w:rsid w:val="006E0D4D"/>
    <w:rsid w:val="006E0E0A"/>
    <w:rsid w:val="006E72F7"/>
    <w:rsid w:val="006F075D"/>
    <w:rsid w:val="006F1874"/>
    <w:rsid w:val="006F2809"/>
    <w:rsid w:val="006F38DA"/>
    <w:rsid w:val="006F5859"/>
    <w:rsid w:val="00704E41"/>
    <w:rsid w:val="007113CF"/>
    <w:rsid w:val="00727136"/>
    <w:rsid w:val="00745373"/>
    <w:rsid w:val="00746F1A"/>
    <w:rsid w:val="00747F8C"/>
    <w:rsid w:val="007515E4"/>
    <w:rsid w:val="00751FF3"/>
    <w:rsid w:val="00754755"/>
    <w:rsid w:val="0076124C"/>
    <w:rsid w:val="00764D97"/>
    <w:rsid w:val="00770F80"/>
    <w:rsid w:val="0077341D"/>
    <w:rsid w:val="007761F7"/>
    <w:rsid w:val="00776932"/>
    <w:rsid w:val="0078190B"/>
    <w:rsid w:val="00781D15"/>
    <w:rsid w:val="007862D4"/>
    <w:rsid w:val="00786DED"/>
    <w:rsid w:val="00791786"/>
    <w:rsid w:val="007935B0"/>
    <w:rsid w:val="00795F75"/>
    <w:rsid w:val="007A2E95"/>
    <w:rsid w:val="007A60BE"/>
    <w:rsid w:val="007A61A1"/>
    <w:rsid w:val="007A6223"/>
    <w:rsid w:val="007A629B"/>
    <w:rsid w:val="007A6988"/>
    <w:rsid w:val="007A7EA0"/>
    <w:rsid w:val="007B20B8"/>
    <w:rsid w:val="007C584B"/>
    <w:rsid w:val="007C6076"/>
    <w:rsid w:val="007D40E2"/>
    <w:rsid w:val="007E1736"/>
    <w:rsid w:val="007E1F82"/>
    <w:rsid w:val="007E41AA"/>
    <w:rsid w:val="007E62EC"/>
    <w:rsid w:val="007F311D"/>
    <w:rsid w:val="007F7901"/>
    <w:rsid w:val="00800030"/>
    <w:rsid w:val="008023A5"/>
    <w:rsid w:val="00802B00"/>
    <w:rsid w:val="00807BD7"/>
    <w:rsid w:val="00812230"/>
    <w:rsid w:val="00815262"/>
    <w:rsid w:val="008171A6"/>
    <w:rsid w:val="008231CD"/>
    <w:rsid w:val="00824043"/>
    <w:rsid w:val="0083459F"/>
    <w:rsid w:val="00835428"/>
    <w:rsid w:val="008406FD"/>
    <w:rsid w:val="008433B8"/>
    <w:rsid w:val="0085146A"/>
    <w:rsid w:val="00854915"/>
    <w:rsid w:val="008662C8"/>
    <w:rsid w:val="00867C87"/>
    <w:rsid w:val="00871F0B"/>
    <w:rsid w:val="00875F8F"/>
    <w:rsid w:val="00876F0B"/>
    <w:rsid w:val="00880D77"/>
    <w:rsid w:val="00881BED"/>
    <w:rsid w:val="00881C3F"/>
    <w:rsid w:val="00882329"/>
    <w:rsid w:val="0088254B"/>
    <w:rsid w:val="00887200"/>
    <w:rsid w:val="008927D1"/>
    <w:rsid w:val="008975E3"/>
    <w:rsid w:val="008A05AE"/>
    <w:rsid w:val="008B0653"/>
    <w:rsid w:val="008B0E21"/>
    <w:rsid w:val="008B118A"/>
    <w:rsid w:val="008B5AB6"/>
    <w:rsid w:val="008C048C"/>
    <w:rsid w:val="008C2E4B"/>
    <w:rsid w:val="008D1F97"/>
    <w:rsid w:val="008D2C36"/>
    <w:rsid w:val="008E5EAD"/>
    <w:rsid w:val="008F154A"/>
    <w:rsid w:val="008F2EC8"/>
    <w:rsid w:val="008F6E8C"/>
    <w:rsid w:val="0090386D"/>
    <w:rsid w:val="00903B3F"/>
    <w:rsid w:val="009045B2"/>
    <w:rsid w:val="0091266A"/>
    <w:rsid w:val="009139EA"/>
    <w:rsid w:val="00917A28"/>
    <w:rsid w:val="009203F2"/>
    <w:rsid w:val="00920B42"/>
    <w:rsid w:val="00922F70"/>
    <w:rsid w:val="00924A3A"/>
    <w:rsid w:val="00924D79"/>
    <w:rsid w:val="00925448"/>
    <w:rsid w:val="0093247D"/>
    <w:rsid w:val="00941382"/>
    <w:rsid w:val="00943EE8"/>
    <w:rsid w:val="0094422F"/>
    <w:rsid w:val="009446FD"/>
    <w:rsid w:val="00946C0F"/>
    <w:rsid w:val="00947D10"/>
    <w:rsid w:val="009502B2"/>
    <w:rsid w:val="0096220E"/>
    <w:rsid w:val="00964347"/>
    <w:rsid w:val="00966D3D"/>
    <w:rsid w:val="009729C7"/>
    <w:rsid w:val="00981683"/>
    <w:rsid w:val="009825B0"/>
    <w:rsid w:val="00987C4D"/>
    <w:rsid w:val="00993985"/>
    <w:rsid w:val="00993F59"/>
    <w:rsid w:val="00995106"/>
    <w:rsid w:val="009965E2"/>
    <w:rsid w:val="00996F73"/>
    <w:rsid w:val="00997019"/>
    <w:rsid w:val="009A20AE"/>
    <w:rsid w:val="009A31C3"/>
    <w:rsid w:val="009A71BF"/>
    <w:rsid w:val="009B0C61"/>
    <w:rsid w:val="009B28F4"/>
    <w:rsid w:val="009B64A3"/>
    <w:rsid w:val="009C04FB"/>
    <w:rsid w:val="009C178D"/>
    <w:rsid w:val="009D0D33"/>
    <w:rsid w:val="009D5F21"/>
    <w:rsid w:val="009E0FF3"/>
    <w:rsid w:val="009E2799"/>
    <w:rsid w:val="009E35A4"/>
    <w:rsid w:val="009E4955"/>
    <w:rsid w:val="009E5953"/>
    <w:rsid w:val="009E5F22"/>
    <w:rsid w:val="009E6A85"/>
    <w:rsid w:val="009F2782"/>
    <w:rsid w:val="009F712C"/>
    <w:rsid w:val="00A07B97"/>
    <w:rsid w:val="00A07BEF"/>
    <w:rsid w:val="00A102F0"/>
    <w:rsid w:val="00A11C7C"/>
    <w:rsid w:val="00A16D56"/>
    <w:rsid w:val="00A20ABE"/>
    <w:rsid w:val="00A217EC"/>
    <w:rsid w:val="00A21CEE"/>
    <w:rsid w:val="00A27EFC"/>
    <w:rsid w:val="00A31A87"/>
    <w:rsid w:val="00A32282"/>
    <w:rsid w:val="00A32444"/>
    <w:rsid w:val="00A409F3"/>
    <w:rsid w:val="00A42C96"/>
    <w:rsid w:val="00A5035F"/>
    <w:rsid w:val="00A521BF"/>
    <w:rsid w:val="00A53CBD"/>
    <w:rsid w:val="00A5495C"/>
    <w:rsid w:val="00A5662A"/>
    <w:rsid w:val="00A57A0B"/>
    <w:rsid w:val="00A57D8D"/>
    <w:rsid w:val="00A6314A"/>
    <w:rsid w:val="00A64B66"/>
    <w:rsid w:val="00A83AF9"/>
    <w:rsid w:val="00A90A5F"/>
    <w:rsid w:val="00A93351"/>
    <w:rsid w:val="00A935BA"/>
    <w:rsid w:val="00A93787"/>
    <w:rsid w:val="00AA000C"/>
    <w:rsid w:val="00AA075D"/>
    <w:rsid w:val="00AA2690"/>
    <w:rsid w:val="00AA7C65"/>
    <w:rsid w:val="00AB3127"/>
    <w:rsid w:val="00AB335E"/>
    <w:rsid w:val="00AB606B"/>
    <w:rsid w:val="00AC77ED"/>
    <w:rsid w:val="00AD1597"/>
    <w:rsid w:val="00AD1B4A"/>
    <w:rsid w:val="00AD3F3E"/>
    <w:rsid w:val="00AD5EBC"/>
    <w:rsid w:val="00AE01C1"/>
    <w:rsid w:val="00AE1257"/>
    <w:rsid w:val="00AE208F"/>
    <w:rsid w:val="00AE4CD7"/>
    <w:rsid w:val="00AF0626"/>
    <w:rsid w:val="00AF4299"/>
    <w:rsid w:val="00B017C9"/>
    <w:rsid w:val="00B02289"/>
    <w:rsid w:val="00B0593C"/>
    <w:rsid w:val="00B06FB3"/>
    <w:rsid w:val="00B0701E"/>
    <w:rsid w:val="00B113DB"/>
    <w:rsid w:val="00B17215"/>
    <w:rsid w:val="00B21CA8"/>
    <w:rsid w:val="00B22A0D"/>
    <w:rsid w:val="00B2418F"/>
    <w:rsid w:val="00B31858"/>
    <w:rsid w:val="00B35130"/>
    <w:rsid w:val="00B41CC8"/>
    <w:rsid w:val="00B45237"/>
    <w:rsid w:val="00B608A8"/>
    <w:rsid w:val="00B6345C"/>
    <w:rsid w:val="00B66497"/>
    <w:rsid w:val="00B7392D"/>
    <w:rsid w:val="00B75F7C"/>
    <w:rsid w:val="00B862B9"/>
    <w:rsid w:val="00B86EC5"/>
    <w:rsid w:val="00BA58E0"/>
    <w:rsid w:val="00BA7921"/>
    <w:rsid w:val="00BB0A2A"/>
    <w:rsid w:val="00BC0CB0"/>
    <w:rsid w:val="00BC1B46"/>
    <w:rsid w:val="00BC54F6"/>
    <w:rsid w:val="00BC713A"/>
    <w:rsid w:val="00BD7A67"/>
    <w:rsid w:val="00BE261A"/>
    <w:rsid w:val="00BE7933"/>
    <w:rsid w:val="00BF0729"/>
    <w:rsid w:val="00BF0FDF"/>
    <w:rsid w:val="00BF10BD"/>
    <w:rsid w:val="00BF1623"/>
    <w:rsid w:val="00BF55BD"/>
    <w:rsid w:val="00C0008A"/>
    <w:rsid w:val="00C02217"/>
    <w:rsid w:val="00C053A6"/>
    <w:rsid w:val="00C124FD"/>
    <w:rsid w:val="00C16228"/>
    <w:rsid w:val="00C16F21"/>
    <w:rsid w:val="00C301B9"/>
    <w:rsid w:val="00C31319"/>
    <w:rsid w:val="00C316FD"/>
    <w:rsid w:val="00C35225"/>
    <w:rsid w:val="00C37EAC"/>
    <w:rsid w:val="00C44CEC"/>
    <w:rsid w:val="00C47147"/>
    <w:rsid w:val="00C47395"/>
    <w:rsid w:val="00C50184"/>
    <w:rsid w:val="00C51AA6"/>
    <w:rsid w:val="00C52359"/>
    <w:rsid w:val="00C5348B"/>
    <w:rsid w:val="00C563EC"/>
    <w:rsid w:val="00C57713"/>
    <w:rsid w:val="00C607B3"/>
    <w:rsid w:val="00C6085B"/>
    <w:rsid w:val="00C633B2"/>
    <w:rsid w:val="00C63C9E"/>
    <w:rsid w:val="00C675F8"/>
    <w:rsid w:val="00C76443"/>
    <w:rsid w:val="00C77333"/>
    <w:rsid w:val="00C81949"/>
    <w:rsid w:val="00C8765F"/>
    <w:rsid w:val="00C9167F"/>
    <w:rsid w:val="00C93685"/>
    <w:rsid w:val="00C94322"/>
    <w:rsid w:val="00C964FF"/>
    <w:rsid w:val="00CA0A1D"/>
    <w:rsid w:val="00CA4523"/>
    <w:rsid w:val="00CB17B8"/>
    <w:rsid w:val="00CB3C68"/>
    <w:rsid w:val="00CC1D07"/>
    <w:rsid w:val="00CD0336"/>
    <w:rsid w:val="00CD273A"/>
    <w:rsid w:val="00CD6A1F"/>
    <w:rsid w:val="00CE1353"/>
    <w:rsid w:val="00CE2820"/>
    <w:rsid w:val="00CE2A39"/>
    <w:rsid w:val="00CE4916"/>
    <w:rsid w:val="00CE6F31"/>
    <w:rsid w:val="00CF5948"/>
    <w:rsid w:val="00CF7AF0"/>
    <w:rsid w:val="00D01766"/>
    <w:rsid w:val="00D15E67"/>
    <w:rsid w:val="00D16559"/>
    <w:rsid w:val="00D2171C"/>
    <w:rsid w:val="00D24E71"/>
    <w:rsid w:val="00D30D8F"/>
    <w:rsid w:val="00D43DA2"/>
    <w:rsid w:val="00D52CF1"/>
    <w:rsid w:val="00D536B1"/>
    <w:rsid w:val="00D5562E"/>
    <w:rsid w:val="00D5732A"/>
    <w:rsid w:val="00D57BB4"/>
    <w:rsid w:val="00D64202"/>
    <w:rsid w:val="00D64DDC"/>
    <w:rsid w:val="00D677F5"/>
    <w:rsid w:val="00D72D88"/>
    <w:rsid w:val="00D835FE"/>
    <w:rsid w:val="00D869D8"/>
    <w:rsid w:val="00D943A0"/>
    <w:rsid w:val="00DA6C4A"/>
    <w:rsid w:val="00DA7C57"/>
    <w:rsid w:val="00DB78FB"/>
    <w:rsid w:val="00DC0BCC"/>
    <w:rsid w:val="00DC1F34"/>
    <w:rsid w:val="00DC3974"/>
    <w:rsid w:val="00DC45B8"/>
    <w:rsid w:val="00DC5995"/>
    <w:rsid w:val="00DC6E7F"/>
    <w:rsid w:val="00DE30B2"/>
    <w:rsid w:val="00DE6238"/>
    <w:rsid w:val="00DF04EA"/>
    <w:rsid w:val="00DF7039"/>
    <w:rsid w:val="00E01208"/>
    <w:rsid w:val="00E03AB6"/>
    <w:rsid w:val="00E03EBC"/>
    <w:rsid w:val="00E06E70"/>
    <w:rsid w:val="00E11BC9"/>
    <w:rsid w:val="00E15122"/>
    <w:rsid w:val="00E2397F"/>
    <w:rsid w:val="00E2530F"/>
    <w:rsid w:val="00E25D4E"/>
    <w:rsid w:val="00E31331"/>
    <w:rsid w:val="00E32651"/>
    <w:rsid w:val="00E344CD"/>
    <w:rsid w:val="00E359B5"/>
    <w:rsid w:val="00E366E3"/>
    <w:rsid w:val="00E369C1"/>
    <w:rsid w:val="00E3706E"/>
    <w:rsid w:val="00E4346E"/>
    <w:rsid w:val="00E50A06"/>
    <w:rsid w:val="00E511DF"/>
    <w:rsid w:val="00E635F7"/>
    <w:rsid w:val="00E73EFD"/>
    <w:rsid w:val="00E81CF6"/>
    <w:rsid w:val="00E860C5"/>
    <w:rsid w:val="00E8672A"/>
    <w:rsid w:val="00E93D21"/>
    <w:rsid w:val="00E95132"/>
    <w:rsid w:val="00EB0536"/>
    <w:rsid w:val="00EB6BB7"/>
    <w:rsid w:val="00EB7D8F"/>
    <w:rsid w:val="00EC3C08"/>
    <w:rsid w:val="00EC7C2F"/>
    <w:rsid w:val="00EE4BDF"/>
    <w:rsid w:val="00EF4A5A"/>
    <w:rsid w:val="00F02EFF"/>
    <w:rsid w:val="00F03934"/>
    <w:rsid w:val="00F05834"/>
    <w:rsid w:val="00F10359"/>
    <w:rsid w:val="00F129A3"/>
    <w:rsid w:val="00F129E4"/>
    <w:rsid w:val="00F13B65"/>
    <w:rsid w:val="00F145C8"/>
    <w:rsid w:val="00F201A9"/>
    <w:rsid w:val="00F214A4"/>
    <w:rsid w:val="00F2337B"/>
    <w:rsid w:val="00F25E68"/>
    <w:rsid w:val="00F267F2"/>
    <w:rsid w:val="00F313AD"/>
    <w:rsid w:val="00F33EFE"/>
    <w:rsid w:val="00F34D1C"/>
    <w:rsid w:val="00F41EE0"/>
    <w:rsid w:val="00F4358D"/>
    <w:rsid w:val="00F439EF"/>
    <w:rsid w:val="00F537CA"/>
    <w:rsid w:val="00F55DE7"/>
    <w:rsid w:val="00F57D2B"/>
    <w:rsid w:val="00F64188"/>
    <w:rsid w:val="00F67A09"/>
    <w:rsid w:val="00F710FF"/>
    <w:rsid w:val="00F76421"/>
    <w:rsid w:val="00F83E95"/>
    <w:rsid w:val="00F8693A"/>
    <w:rsid w:val="00F8737F"/>
    <w:rsid w:val="00F874BC"/>
    <w:rsid w:val="00F941F5"/>
    <w:rsid w:val="00F94CCE"/>
    <w:rsid w:val="00F9660E"/>
    <w:rsid w:val="00FA1433"/>
    <w:rsid w:val="00FA4F80"/>
    <w:rsid w:val="00FA5425"/>
    <w:rsid w:val="00FA63D4"/>
    <w:rsid w:val="00FA70F3"/>
    <w:rsid w:val="00FB1045"/>
    <w:rsid w:val="00FB3195"/>
    <w:rsid w:val="00FB572D"/>
    <w:rsid w:val="00FB7D74"/>
    <w:rsid w:val="00FC1D4A"/>
    <w:rsid w:val="00FC537B"/>
    <w:rsid w:val="00FD0695"/>
    <w:rsid w:val="00FE7A07"/>
    <w:rsid w:val="00FF70CC"/>
    <w:rsid w:val="00FF73BB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51552C5F"/>
  <w14:defaultImageDpi w14:val="300"/>
  <w15:docId w15:val="{83756CBA-0A28-476C-A8E7-3DB2DE44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71"/>
    <w:pPr>
      <w:spacing w:after="200" w:line="276" w:lineRule="auto"/>
    </w:pPr>
    <w:rPr>
      <w:rFonts w:eastAsiaTheme="minorHAns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9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D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E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69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76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02F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F8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F88"/>
    <w:rPr>
      <w:rFonts w:eastAsia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88"/>
    <w:rPr>
      <w:rFonts w:eastAsiaTheme="minorHAnsi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88"/>
    <w:rPr>
      <w:rFonts w:ascii="Lucida Grande" w:eastAsiaTheme="minorHAnsi" w:hAnsi="Lucida Grande" w:cs="Lucida Grande"/>
      <w:sz w:val="18"/>
      <w:szCs w:val="1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93D2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86E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25"/>
    <w:rPr>
      <w:rFonts w:eastAsia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86E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25"/>
    <w:rPr>
      <w:rFonts w:eastAsiaTheme="minorHAnsi"/>
      <w:sz w:val="22"/>
      <w:szCs w:val="22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935B0"/>
    <w:pPr>
      <w:spacing w:before="240" w:line="259" w:lineRule="auto"/>
      <w:outlineLvl w:val="9"/>
    </w:pPr>
    <w:rPr>
      <w:b w:val="0"/>
      <w:bCs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935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935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35B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935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F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FD7"/>
    <w:rPr>
      <w:rFonts w:eastAsiaTheme="minorHAnsi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93FD7"/>
    <w:rPr>
      <w:vertAlign w:val="superscript"/>
    </w:rPr>
  </w:style>
  <w:style w:type="table" w:styleId="TableGrid">
    <w:name w:val="Table Grid"/>
    <w:basedOn w:val="TableNormal"/>
    <w:uiPriority w:val="59"/>
    <w:rsid w:val="00244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2EC8"/>
    <w:rPr>
      <w:color w:val="808080"/>
    </w:rPr>
  </w:style>
  <w:style w:type="paragraph" w:styleId="Revision">
    <w:name w:val="Revision"/>
    <w:hidden/>
    <w:uiPriority w:val="99"/>
    <w:semiHidden/>
    <w:rsid w:val="007E41AA"/>
    <w:rPr>
      <w:rFonts w:eastAsia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5B"/>
    <w:rsid w:val="00256111"/>
    <w:rsid w:val="0049676B"/>
    <w:rsid w:val="00CB7FAC"/>
    <w:rsid w:val="00E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C5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C5B"/>
    <w:rPr>
      <w:color w:val="808080"/>
    </w:rPr>
  </w:style>
  <w:style w:type="paragraph" w:customStyle="1" w:styleId="FF514099B5A54327ABD7D7AC3A50986C">
    <w:name w:val="FF514099B5A54327ABD7D7AC3A50986C"/>
    <w:rsid w:val="00E72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>2018-01-29T00:00:00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02C5CD-CC9A-47B9-96A2-32AB98EF6263}"/>
</file>

<file path=customXml/itemProps2.xml><?xml version="1.0" encoding="utf-8"?>
<ds:datastoreItem xmlns:ds="http://schemas.openxmlformats.org/officeDocument/2006/customXml" ds:itemID="{592FEFE6-6CDD-42F2-8B50-A2C5DDFD80E1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CA2EEC63-E094-4BCA-923B-A77FD30D6318}"/>
</file>

<file path=customXml/itemProps5.xml><?xml version="1.0" encoding="utf-8"?>
<ds:datastoreItem xmlns:ds="http://schemas.openxmlformats.org/officeDocument/2006/customXml" ds:itemID="{8A770FE0-1440-40EF-B32C-1586498E6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Annabel Moony</dc:creator>
  <cp:lastModifiedBy>_</cp:lastModifiedBy>
  <cp:revision>2</cp:revision>
  <cp:lastPrinted>2018-01-28T22:18:00Z</cp:lastPrinted>
  <dcterms:created xsi:type="dcterms:W3CDTF">2018-03-27T01:08:00Z</dcterms:created>
  <dcterms:modified xsi:type="dcterms:W3CDTF">2018-03-27T01:08:00Z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