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1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84424645"/>
        <w:docPartObj>
          <w:docPartGallery w:val="Cover Pages"/>
          <w:docPartUnique/>
        </w:docPartObj>
      </w:sdtPr>
      <w:sdtContent>
        <w:p w:rsidR="00C21848" w:rsidRPr="005C7D6B" w:rsidRDefault="00306798" w:rsidP="00CC1CF7">
          <w:pPr>
            <w:spacing w:after="0" w:line="240" w:lineRule="auto"/>
          </w:pPr>
          <w:r>
            <w:rPr>
              <w:noProof/>
            </w:rPr>
            <w:pict>
              <v:shapetype id="_x0000_t202" coordsize="21600,21600" o:spt="202" path="m,l,21600r21600,l21600,xe">
                <v:stroke joinstyle="miter"/>
                <v:path gradientshapeok="t" o:connecttype="rect"/>
              </v:shapetype>
              <v:shape id="Text Box 39" o:spid="_x0000_s1026" type="#_x0000_t202" style="position:absolute;margin-left:323.3pt;margin-top:712.45pt;width:186.95pt;height:22.1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" stroked="f">
                <v:textbox>
                  <w:txbxContent>
                    <w:p w:rsidR="0049132C" w:rsidRDefault="0049132C" w:rsidP="00CC1CF7">
                      <w:pPr>
                        <w:jc w:val="right"/>
                      </w:pPr>
                      <w:r>
                        <w:rPr>
                          <w:rFonts w:cs="Arial"/>
                        </w:rPr>
                        <w:t>©</w:t>
                      </w:r>
                      <w:r>
                        <w:t xml:space="preserve"> </w:t>
                      </w:r>
                      <w:proofErr w:type="spellStart"/>
                      <w:r>
                        <w:t>Aither</w:t>
                      </w:r>
                      <w:proofErr w:type="spellEnd"/>
                      <w:r>
                        <w:t xml:space="preserve"> 2016</w:t>
                      </w:r>
                    </w:p>
                  </w:txbxContent>
                </v:textbox>
              </v:shape>
            </w:pict>
          </w:r>
          <w:r>
            <w:rPr>
              <w:noProof/>
            </w:rPr>
            <w:pict>
              <v:rect id="Rectangle 40" o:spid="_x0000_s1027" style="position:absolute;margin-left:13.5pt;margin-top:350.25pt;width:568.5pt;height:1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" o:allowincell="f" fillcolor="#ccbf9b [3209]" stroked="f">
                <v:textbox inset="18pt,,1in">
                  <w:txbxContent>
                    <w:p w:rsidR="0049132C" w:rsidRDefault="00306798" w:rsidP="00CC1CF7">
                      <w:pPr>
                        <w:pStyle w:val="Title"/>
                      </w:pPr>
                      <w:sdt>
                        <w:sdtPr>
                          <w:alias w:val="Title"/>
                          <w:id w:val="772058997"/>
                          <w:dataBinding w:prefixMappings="xmlns:ns0='http://schemas.openxmlformats.org/package/2006/metadata/core-properties' xmlns:ns1='http://purl.org/dc/elements/1.1/'" w:xpath="/ns0:coreProperties[1]/ns1:title[1]" w:storeItemID="{6C3C8BC8-F283-45AE-878A-BAB7291924A1}"/>
                          <w:text/>
                        </w:sdtPr>
                        <w:sdtContent>
                          <w:r w:rsidR="0049132C">
                            <w:t>Supply-side drivers of water allocation prices</w:t>
                          </w:r>
                        </w:sdtContent>
                      </w:sdt>
                      <w:r w:rsidR="0049132C">
                        <w:t xml:space="preserve"> </w:t>
                      </w:r>
                    </w:p>
                  </w:txbxContent>
                </v:textbox>
                <w10:wrap anchorx="page" anchory="page"/>
                <w10:anchorlock/>
              </v:rect>
            </w:pict>
          </w:r>
          <w:r>
            <w:rPr>
              <w:noProof/>
            </w:rPr>
            <w:pict>
              <v:group id="Group 41" o:spid="_x0000_s1036" style="position:absolute;margin-left:298.5pt;margin-top:619.1pt;width:207.9pt;height:28.95pt;z-index:251660288;mso-position-horizontal-relative:text;mso-position-vertical-relative:text" coordsize="73456,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">
                <v:rect id="Rectangle 42" o:spid="_x0000_s1037" style="position:absolute;left:47053;top:87769;width:26403;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shape id="Freeform 43" o:spid="_x0000_s1028" style="position:absolute;width:3352;height:3676;visibility:visible;mso-wrap-style:square;v-text-anchor:top" coordsize="528,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mzLcIA&#10;AADbAAAADwAAAGRycy9kb3ducmV2LnhtbESPS4sCMRCE74L/IbTgbc24ishoFF2RVTzs+jw3k54H&#10;TjrDJKvjvzfCgseiqr6ipvPGlOJGtSssK+j3IhDEidUFZwpOx/XHGITzyBpLy6TgQQ7ms3ZrirG2&#10;d97T7eAzESDsYlSQe1/FUrokJ4OuZyvi4KW2NuiDrDOpa7wHuCnlZxSNpMGCw0KOFX3llFwPf0ZB&#10;4nB13ox2l3Qpt78//tukaC9KdTvNYgLCU+Pf4f/2RisYDuD1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bMtwgAAANsAAAAPAAAAAAAAAAAAAAAAAJgCAABkcnMvZG93&#10;bnJldi54bWxQSwUGAAAAAAQABAD1AAAAhwMAAAAA&#10;" path="m253,r10,l528,579r-125,l375,514r-232,l114,579,,579,253,xm334,415l291,316r,l279,283,269,249,257,213r,l247,249r-11,34l222,316r-41,99l334,415xe" fillcolor="#4a5358" stroked="f">
                  <v:path arrowok="t" o:connecttype="custom" o:connectlocs="160655,0;167005,0;335280,367665;255905,367665;238125,326390;90805,326390;72390,367665;0,367665;160655,0;212090,263525;184785,200660;184785,200660;177165,179705;170815,158115;163195,135255;163195,135255;156845,158115;149860,179705;140970,200660;114935,263525;212090,263525" o:connectangles="0,0,0,0,0,0,0,0,0,0,0,0,0,0,0,0,0,0,0,0,0"/>
                  <o:lock v:ext="edit" verticies="t"/>
                </v:shape>
                <v:rect id="Rectangle 44" o:spid="_x0000_s1029" style="position:absolute;left:5473;top:38;width:762;height:3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K3sQA&#10;AADbAAAADwAAAGRycy9kb3ducmV2LnhtbESPQYvCMBSE78L+h/AWvIimii5SjSIrgiAs2lXw+Gie&#10;bdnmpTax1n+/EQSPw8x8w8yXrSlFQ7UrLCsYDiIQxKnVBWcKjr+b/hSE88gaS8uk4EEOlouPzhxj&#10;be98oCbxmQgQdjEqyL2vYildmpNBN7AVcfAutjbog6wzqWu8B7gp5SiKvqTBgsNCjhV955T+JTej&#10;YMqjM25Otrdr16v98HadJD/NRKnuZ7uagfDU+nf41d5qBeMx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7yt7EAAAA2wAAAA8AAAAAAAAAAAAAAAAAmAIAAGRycy9k&#10;b3ducmV2LnhtbFBLBQYAAAAABAAEAPUAAACJAwAAAAA=&#10;" fillcolor="#4a5358" stroked="f"/>
                <v:shape id="Freeform 45" o:spid="_x0000_s1030" style="position:absolute;left:8407;top:38;width:2845;height:3638;visibility:visible;mso-wrap-style:square;v-text-anchor:top" coordsize="44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9zq8EA&#10;AADbAAAADwAAAGRycy9kb3ducmV2LnhtbESPzarCMBSE9xd8h3AEd9dU8adUo3ivCIJuqm7cHZpj&#10;W2xOShO1vr0RBJfDzHzDzJetqcSdGldaVjDoRyCIM6tLzhWcjpvfGITzyBory6TgSQ6Wi87PHBNt&#10;H5zS/eBzESDsElRQeF8nUrqsIIOub2vi4F1sY9AH2eRSN/gIcFPJYRRNpMGSw0KBNf0XlF0PN6Mg&#10;jnd2Pa0u+7PEiTXZ8K+VcapUr9uuZiA8tf4b/rS3WsFo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Pc6vBAAAA2wAAAA8AAAAAAAAAAAAAAAAAmAIAAGRycy9kb3du&#10;cmV2LnhtbFBLBQYAAAAABAAEAPUAAACGAwAAAAA=&#10;" path="m165,103l,103,,,448,r,103l283,103r,470l165,573r,-470xe" fillcolor="#4a5358" stroked="f">
                  <v:path arrowok="t" o:connecttype="custom" o:connectlocs="104775,65405;0,65405;0,0;284480,0;284480,65405;179705,65405;179705,363855;104775,363855;104775,65405" o:connectangles="0,0,0,0,0,0,0,0,0"/>
                </v:shape>
                <v:shape id="Freeform 46" o:spid="_x0000_s1031" style="position:absolute;left:13430;top:38;width:3080;height:3638;visibility:visible;mso-wrap-style:square;v-text-anchor:top" coordsize="48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8BsUA&#10;AADbAAAADwAAAGRycy9kb3ducmV2LnhtbESPQWvCQBSE74L/YXmCN90oUSR1FVsUBLFQtdDeHtln&#10;Es2+DdlVo7++KxQ8DjPzDTOdN6YUV6pdYVnBoB+BIE6tLjhTcNivehMQziNrLC2Tgjs5mM/arSkm&#10;2t74i647n4kAYZeggtz7KpHSpTkZdH1bEQfvaGuDPsg6k7rGW4CbUg6jaCwNFhwWcqzoI6f0vLsY&#10;BT/ffhP/PkbyPR640+dhu54Ml7FS3U6zeAPhqfGv8H97rRXEY3h+C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wGxQAAANsAAAAPAAAAAAAAAAAAAAAAAJgCAABkcnMv&#10;ZG93bnJldi54bWxQSwUGAAAAAAQABAD1AAAAigMAAAAA&#10;" path="m,l118,r,294l364,294,364,,485,r,573l364,573r,-174l118,399r,174l,573,,xe" fillcolor="#4a5358" stroked="f">
                  <v:path arrowok="t" o:connecttype="custom" o:connectlocs="0,0;74930,0;74930,186690;231140,186690;231140,0;307975,0;307975,363855;231140,363855;231140,253365;74930,253365;74930,363855;0,363855;0,0" o:connectangles="0,0,0,0,0,0,0,0,0,0,0,0,0"/>
                </v:shape>
                <v:shape id="Freeform 47" o:spid="_x0000_s1032" style="position:absolute;left:18884;top:38;width:2502;height:3638;visibility:visible;mso-wrap-style:square;v-text-anchor:top" coordsize="39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WgcQA&#10;AADbAAAADwAAAGRycy9kb3ducmV2LnhtbESPQWvCQBSE7wX/w/KE3upGsVWja4iGQi9Vmrb3R/aZ&#10;xGTfhuyq6b/vFgoeh5n5htkkg2nFlXpXW1YwnUQgiAuray4VfH2+Pi1BOI+ssbVMCn7IQbIdPWww&#10;1vbGH3TNfSkChF2MCirvu1hKV1Rk0E1sRxy8k+0N+iD7UuoebwFuWjmLohdpsOawUGFH+4qKJr8Y&#10;BRfOsu+zTZerRfOOdFzVz7tDrtTjeEjXIDwN/h7+b79pBfMF/H0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XloHEAAAA2wAAAA8AAAAAAAAAAAAAAAAAmAIAAGRycy9k&#10;b3ducmV2LnhtbFBLBQYAAAAABAAEAPUAAACJAwAAAAA=&#10;" path="m,l381,r,103l119,103r,183l351,286r,101l119,387r,83l394,470r,103l,573,,xe" fillcolor="#4a5358" stroked="f">
                  <v:path arrowok="t" o:connecttype="custom" o:connectlocs="0,0;241935,0;241935,65405;75565,65405;75565,181610;222885,181610;222885,245745;75565,245745;75565,298450;250190,298450;250190,363855;0,363855;0,0" o:connectangles="0,0,0,0,0,0,0,0,0,0,0,0,0"/>
                </v:shape>
                <v:shape id="Freeform 48" o:spid="_x0000_s1033" style="position:absolute;left:23679;top:38;width:2705;height:3638;visibility:visible;mso-wrap-style:square;v-text-anchor:top" coordsize="42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nngMEA&#10;AADbAAAADwAAAGRycy9kb3ducmV2LnhtbERP3WrCMBS+H/gO4Qi7m6ninHRGcYWBVw47H+DYnDXF&#10;5qQkaa17enMx2OXH97/ZjbYVA/nQOFYwn2UgiCunG64VnL8/X9YgQkTW2DomBXcKsNtOnjaYa3fj&#10;Ew1lrEUK4ZCjAhNjl0sZKkMWw8x1xIn7cd5iTNDXUnu8pXDbykWWraTFhlODwY4KQ9W17K2Cy3V1&#10;98Xy7XwsF4f+lcdT8fv1odTzdNy/g4g0xn/xn/ugFSzT2PQl/Q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J54DBAAAA2wAAAA8AAAAAAAAAAAAAAAAAmAIAAGRycy9kb3du&#10;cmV2LnhtbFBLBQYAAAAABAAEAPUAAACGAwAAAAA=&#10;" path="m426,573r-139,l194,427r,l175,429r-16,2l118,431r,142l,573,,,159,r,l190,r26,4l243,8r24,6l292,22r20,8l330,43r19,12l365,71r14,16l389,103r11,21l408,144r6,22l416,190r2,27l418,217r-2,32l410,277r-8,27l389,326r-16,22l353,367r-21,14l306,395,426,573xm155,328r,l190,326r28,-4l243,314r10,-6l261,302r8,-6l277,288r4,-11l287,267r5,-10l294,245r2,-28l296,217r-2,-29l290,176r-3,-12l281,154r-6,-8l269,138r-8,-8l253,124r-10,-7l218,109r-28,-4l155,103r-37,l118,328r37,xe" fillcolor="#4a5358" stroked="f">
                  <v:path arrowok="t" o:connecttype="custom" o:connectlocs="182245,363855;123190,271145;100965,273685;74930,363855;0,0;100965,0;137160,2540;169545,8890;198120,19050;221615,34925;240665,55245;254000,78740;262890,105410;265430,137795;264160,158115;255270,193040;236855,220980;210820,241935;270510,363855;98425,208280;138430,204470;160655,195580;170815,187960;178435,175895;185420,163195;187960,137795;186690,119380;182245,104140;174625,92710;165735,82550;154305,74295;120650,66675;74930,65405;98425,208280" o:connectangles="0,0,0,0,0,0,0,0,0,0,0,0,0,0,0,0,0,0,0,0,0,0,0,0,0,0,0,0,0,0,0,0,0,0"/>
                  <o:lock v:ext="edit" verticies="t"/>
                </v:shape>
              </v:group>
            </w:pict>
          </w:r>
          <w:r w:rsidR="00C21848">
            <w:rPr>
              <w:noProof/>
            </w:rPr>
            <w:drawing>
              <wp:anchor distT="0" distB="0" distL="114300" distR="114300" simplePos="0" relativeHeight="251661312" behindDoc="1" locked="1" layoutInCell="0" allowOverlap="1">
                <wp:simplePos x="0" y="0"/>
                <wp:positionH relativeFrom="page">
                  <wp:posOffset>177165</wp:posOffset>
                </wp:positionH>
                <wp:positionV relativeFrom="page">
                  <wp:posOffset>639445</wp:posOffset>
                </wp:positionV>
                <wp:extent cx="7209155" cy="381190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566" r="11153"/>
                        <a:stretch/>
                      </pic:blipFill>
                      <pic:spPr bwMode="auto">
                        <a:xfrm>
                          <a:off x="0" y="0"/>
                          <a:ext cx="7209155" cy="38119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rPr>
            <w:pict>
              <v:rect id="Rectangle 49" o:spid="_x0000_s1035" style="position:absolute;margin-left:14pt;margin-top:14.95pt;width:567.55pt;height: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" o:allowincell="f" fillcolor="#72929b [3214]" stroked="f">
                <v:textbox inset=",7.2pt,,7.2pt"/>
                <w10:wrap anchorx="page" anchory="page"/>
                <w10:anchorlock/>
              </v:rect>
            </w:pict>
          </w:r>
          <w:r>
            <w:rPr>
              <w:noProof/>
            </w:rPr>
            <w:pict>
              <v:rect id="Rectangle 50" o:spid="_x0000_s1034" style="position:absolute;margin-left:13.5pt;margin-top:472.5pt;width:568.5pt;height:19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" o:allowincell="f" fillcolor="#4a5358 [3204]" stroked="f">
                <v:textbox inset="18pt,18pt,1in,18pt">
                  <w:txbxContent>
                    <w:p w:rsidR="0049132C" w:rsidRDefault="0049132C" w:rsidP="00CC1CF7">
                      <w:pPr>
                        <w:pStyle w:val="Subtitle"/>
                        <w:rPr>
                          <w:rStyle w:val="Whitetext"/>
                        </w:rPr>
                      </w:pPr>
                      <w:r>
                        <w:rPr>
                          <w:rStyle w:val="Whitetext"/>
                        </w:rPr>
                        <w:t>Identifying and modelling supply-</w:t>
                      </w:r>
                      <w:r w:rsidRPr="00676C2F">
                        <w:rPr>
                          <w:rStyle w:val="Whitetext"/>
                        </w:rPr>
                        <w:t>side drivers of water allocation prices in the southern Murray-Darling Basin</w:t>
                      </w:r>
                    </w:p>
                    <w:p w:rsidR="0049132C" w:rsidRPr="00C21848" w:rsidRDefault="00306798" w:rsidP="00C21848">
                      <w:pPr>
                        <w:rPr>
                          <w:color w:val="FFFFFF" w:themeColor="background1"/>
                          <w:sz w:val="32"/>
                        </w:rPr>
                      </w:pPr>
                      <w:sdt>
                        <w:sdtPr>
                          <w:rPr>
                            <w:color w:val="FFFFFF" w:themeColor="background1"/>
                            <w:sz w:val="32"/>
                          </w:rPr>
                          <w:alias w:val="Status"/>
                          <w:tag w:val=""/>
                          <w:id w:val="994385424"/>
                          <w:dataBinding w:prefixMappings="xmlns:ns0='http://purl.org/dc/elements/1.1/' xmlns:ns1='http://schemas.openxmlformats.org/package/2006/metadata/core-properties' " w:xpath="/ns1:coreProperties[1]/ns1:contentStatus[1]" w:storeItemID="{6C3C8BC8-F283-45AE-878A-BAB7291924A1}"/>
                          <w:text/>
                        </w:sdtPr>
                        <w:sdtContent>
                          <w:r w:rsidR="0049132C">
                            <w:rPr>
                              <w:color w:val="FFFFFF" w:themeColor="background1"/>
                              <w:sz w:val="32"/>
                            </w:rPr>
                            <w:t xml:space="preserve">Final </w:t>
                          </w:r>
                          <w:r w:rsidR="0049132C" w:rsidRPr="00676C2F">
                            <w:rPr>
                              <w:color w:val="FFFFFF" w:themeColor="background1"/>
                              <w:sz w:val="32"/>
                            </w:rPr>
                            <w:t>Report</w:t>
                          </w:r>
                        </w:sdtContent>
                      </w:sdt>
                    </w:p>
                    <w:p w:rsidR="0049132C" w:rsidRPr="00C21848" w:rsidRDefault="0049132C" w:rsidP="00C21848">
                      <w:pPr>
                        <w:rPr>
                          <w:color w:val="FFFFFF" w:themeColor="background1"/>
                          <w:sz w:val="32"/>
                        </w:rPr>
                      </w:pPr>
                      <w:r>
                        <w:rPr>
                          <w:color w:val="FFFFFF" w:themeColor="background1"/>
                          <w:sz w:val="32"/>
                        </w:rPr>
                        <w:t>January 2016</w:t>
                      </w:r>
                    </w:p>
                    <w:p w:rsidR="0049132C" w:rsidRDefault="0049132C" w:rsidP="00CC1CF7">
                      <w:pPr>
                        <w:rPr>
                          <w:rFonts w:cstheme="minorHAnsi"/>
                        </w:rPr>
                      </w:pPr>
                    </w:p>
                  </w:txbxContent>
                </v:textbox>
                <w10:wrap anchorx="page" anchory="page"/>
                <w10:anchorlock/>
              </v:rect>
            </w:pict>
          </w:r>
        </w:p>
        <w:p w:rsidR="00C21848" w:rsidRDefault="00C21848">
          <w:pPr>
            <w:spacing w:after="0" w:line="240" w:lineRule="auto"/>
          </w:pPr>
          <w:r>
            <w:br w:type="page"/>
          </w:r>
        </w:p>
      </w:sdtContent>
    </w:sdt>
    <w:p w:rsidR="00B044C1" w:rsidRPr="00F34EEB" w:rsidRDefault="00B044C1" w:rsidP="0054025A">
      <w:pPr>
        <w:pStyle w:val="Heading2a"/>
      </w:pPr>
      <w:r>
        <w:lastRenderedPageBreak/>
        <w:t xml:space="preserve">About </w:t>
      </w:r>
      <w:proofErr w:type="spellStart"/>
      <w:r>
        <w:t>Aither</w:t>
      </w:r>
      <w:proofErr w:type="spellEnd"/>
    </w:p>
    <w:p w:rsidR="00B044C1" w:rsidRDefault="00B044C1" w:rsidP="00B044C1">
      <w:proofErr w:type="spellStart"/>
      <w:r>
        <w:t>Aither</w:t>
      </w:r>
      <w:proofErr w:type="spellEnd"/>
      <w:r>
        <w:t xml:space="preserve"> is an Australian economics and public policy advisory firm with deep expertise in water management, infrastructure and utility industries, the environment and natural resources.     </w:t>
      </w:r>
    </w:p>
    <w:p w:rsidR="00B044C1" w:rsidRDefault="00B044C1" w:rsidP="00B044C1">
      <w:proofErr w:type="spellStart"/>
      <w:r>
        <w:t>Aither</w:t>
      </w:r>
      <w:proofErr w:type="spellEnd"/>
      <w:r>
        <w:t xml:space="preserve"> is a leading provider of independent water market advisory services in the Murray Darling Basin and beyond. We provide economic, policy, and strategic commercial advice, analysis and insights to policy makers, regulators and market participants. Through our work, we aim to support and improve better informed policy and decision making.</w:t>
      </w:r>
    </w:p>
    <w:p w:rsidR="00B044C1" w:rsidRDefault="00B044C1" w:rsidP="00B044C1">
      <w:r>
        <w:t>Our team is made up of water market experts with unparalleled depth and breadth of experience. We have led and advised on the development, implementation and assessment of major entitlement and market reforms across Australia. Recently we have advised on large commercial transactions in water entitlements and supported market participants in the development and implementation of innovative trading strategies. Our team is frequently sought after to present internationally on Australia’s water entitlement and market reform journey.</w:t>
      </w:r>
    </w:p>
    <w:p w:rsidR="00B044C1" w:rsidRDefault="00B044C1" w:rsidP="00B044C1">
      <w:r>
        <w:t xml:space="preserve">In recognition of our credibility and commitment, </w:t>
      </w:r>
      <w:proofErr w:type="spellStart"/>
      <w:r>
        <w:t>Aither</w:t>
      </w:r>
      <w:proofErr w:type="spellEnd"/>
      <w:r>
        <w:t xml:space="preserve"> received the Australian Water Association Research Innovation Award (Victoria) in December 2015 for the development of our freely available </w:t>
      </w:r>
      <w:r w:rsidR="00862EF3">
        <w:t xml:space="preserve">annual </w:t>
      </w:r>
      <w:hyperlink r:id="rId10" w:history="1">
        <w:proofErr w:type="spellStart"/>
        <w:r w:rsidR="00862EF3" w:rsidRPr="00862EF3">
          <w:rPr>
            <w:rStyle w:val="Hyperlink"/>
          </w:rPr>
          <w:t>Aither</w:t>
        </w:r>
        <w:proofErr w:type="spellEnd"/>
        <w:r w:rsidRPr="00862EF3">
          <w:rPr>
            <w:rStyle w:val="Hyperlink"/>
          </w:rPr>
          <w:t xml:space="preserve"> Water Markets </w:t>
        </w:r>
        <w:r w:rsidR="00862EF3" w:rsidRPr="00862EF3">
          <w:rPr>
            <w:rStyle w:val="Hyperlink"/>
          </w:rPr>
          <w:t>R</w:t>
        </w:r>
        <w:r w:rsidRPr="00862EF3">
          <w:rPr>
            <w:rStyle w:val="Hyperlink"/>
          </w:rPr>
          <w:t>eport</w:t>
        </w:r>
      </w:hyperlink>
      <w:r>
        <w:t>. Th</w:t>
      </w:r>
      <w:r w:rsidR="00862EF3">
        <w:t>ese</w:t>
      </w:r>
      <w:r>
        <w:t xml:space="preserve"> report</w:t>
      </w:r>
      <w:r w:rsidR="00862EF3">
        <w:t>s</w:t>
      </w:r>
      <w:r>
        <w:t xml:space="preserve">, along with all our independent periodic market reporting to our clients, </w:t>
      </w:r>
      <w:r w:rsidR="00862EF3">
        <w:t>are</w:t>
      </w:r>
      <w:r>
        <w:t xml:space="preserve"> underpinned by our comprehensive database of trading activity and responsive approach. </w:t>
      </w:r>
    </w:p>
    <w:p w:rsidR="00B044C1" w:rsidRDefault="00B044C1" w:rsidP="00B044C1">
      <w:r>
        <w:t xml:space="preserve">With established relationships with policy makers, system operators and market participants, we have a deep understanding of contemporary trends and drivers and offer unique insights. </w:t>
      </w:r>
      <w:proofErr w:type="spellStart"/>
      <w:r>
        <w:t>Aither</w:t>
      </w:r>
      <w:proofErr w:type="spellEnd"/>
      <w:r>
        <w:t xml:space="preserve"> understands the real risks and opportunities associated with market participation, and provide an independent perspective to government policy makers.</w:t>
      </w:r>
    </w:p>
    <w:p w:rsidR="00B044C1" w:rsidRDefault="00B044C1" w:rsidP="00B044C1">
      <w:r>
        <w:t>Our team provides services across policy advice and analysis, portfolio management, and commercial advice. This includes:</w:t>
      </w:r>
    </w:p>
    <w:p w:rsidR="00B044C1" w:rsidRDefault="00B044C1" w:rsidP="00B044C1">
      <w:pPr>
        <w:pStyle w:val="Bullet"/>
        <w:ind w:left="360" w:hanging="360"/>
      </w:pPr>
      <w:r>
        <w:t>Analysis of the economic and social impacts of water trading and water reform</w:t>
      </w:r>
    </w:p>
    <w:p w:rsidR="00B044C1" w:rsidRDefault="00B044C1" w:rsidP="00B044C1">
      <w:pPr>
        <w:pStyle w:val="Bullet"/>
        <w:ind w:left="360" w:hanging="360"/>
      </w:pPr>
      <w:r>
        <w:t>Economic modelling of allocation and entitlement markets</w:t>
      </w:r>
    </w:p>
    <w:p w:rsidR="00B044C1" w:rsidRDefault="00B044C1" w:rsidP="00B044C1">
      <w:pPr>
        <w:pStyle w:val="Bullet"/>
        <w:ind w:left="360" w:hanging="360"/>
      </w:pPr>
      <w:r>
        <w:t>Development, implementation and review of water trading strategies</w:t>
      </w:r>
    </w:p>
    <w:p w:rsidR="00B044C1" w:rsidRDefault="00B044C1" w:rsidP="00B044C1">
      <w:pPr>
        <w:pStyle w:val="Bullet"/>
        <w:ind w:left="360" w:hanging="360"/>
      </w:pPr>
      <w:r>
        <w:t xml:space="preserve">Reports on market activity and analysis of trends and drivers </w:t>
      </w:r>
    </w:p>
    <w:p w:rsidR="00B044C1" w:rsidRDefault="00B044C1" w:rsidP="00B044C1">
      <w:pPr>
        <w:pStyle w:val="Bullet"/>
        <w:ind w:left="360" w:hanging="360"/>
      </w:pPr>
      <w:r>
        <w:t>Transactional due diligence and regulatory risk assessments</w:t>
      </w:r>
    </w:p>
    <w:p w:rsidR="00B044C1" w:rsidRDefault="00B044C1" w:rsidP="00B044C1">
      <w:pPr>
        <w:pStyle w:val="Bullet"/>
        <w:ind w:left="360" w:hanging="360"/>
      </w:pPr>
      <w:r>
        <w:t>Management decision support tools</w:t>
      </w:r>
    </w:p>
    <w:p w:rsidR="00B044C1" w:rsidRDefault="00B044C1" w:rsidP="00B044C1">
      <w:pPr>
        <w:pStyle w:val="Bullet"/>
        <w:ind w:left="360" w:hanging="360"/>
      </w:pPr>
      <w:r>
        <w:t xml:space="preserve">Investor, board and executive presentations </w:t>
      </w:r>
    </w:p>
    <w:p w:rsidR="00B044C1" w:rsidRDefault="00B044C1" w:rsidP="00B044C1">
      <w:pPr>
        <w:pStyle w:val="Bullet"/>
        <w:ind w:left="360" w:hanging="360"/>
      </w:pPr>
      <w:r>
        <w:t>Access to comprehensive consolidated datasets of trade activity and prices over time.</w:t>
      </w:r>
    </w:p>
    <w:p w:rsidR="00B044C1" w:rsidRDefault="00306798" w:rsidP="00B044C1">
      <w:hyperlink r:id="rId11" w:history="1">
        <w:r w:rsidR="00B044C1" w:rsidRPr="00D8660E">
          <w:rPr>
            <w:rStyle w:val="Hyperlink"/>
          </w:rPr>
          <w:t>www.aither.com.au</w:t>
        </w:r>
      </w:hyperlink>
    </w:p>
    <w:p w:rsidR="0087019A" w:rsidRDefault="0087019A" w:rsidP="00C03EF5">
      <w:pPr>
        <w:pStyle w:val="ImprintText"/>
        <w:sectPr w:rsidR="0087019A" w:rsidSect="00C21848">
          <w:headerReference w:type="even" r:id="rId12"/>
          <w:pgSz w:w="11906" w:h="16838" w:code="9"/>
          <w:pgMar w:top="1440" w:right="1416" w:bottom="1440" w:left="1440" w:header="576" w:footer="576" w:gutter="0"/>
          <w:pgNumType w:fmt="lowerRoman" w:start="0"/>
          <w:cols w:space="720"/>
          <w:titlePg/>
          <w:docGrid w:linePitch="272"/>
        </w:sectPr>
      </w:pPr>
    </w:p>
    <w:sdt>
      <w:sdtPr>
        <w:rPr>
          <w:rFonts w:ascii="Arial" w:eastAsia="Times New Roman" w:hAnsi="Arial" w:cs="Times New Roman"/>
          <w:b w:val="0"/>
          <w:bCs w:val="0"/>
          <w:color w:val="404040" w:themeColor="text1" w:themeTint="BF"/>
          <w:sz w:val="20"/>
          <w:szCs w:val="20"/>
          <w:u w:val="single"/>
          <w:lang w:val="en-AU" w:eastAsia="en-AU"/>
        </w:rPr>
        <w:id w:val="-2105493951"/>
        <w:docPartObj>
          <w:docPartGallery w:val="Table of Contents"/>
          <w:docPartUnique/>
        </w:docPartObj>
      </w:sdtPr>
      <w:sdtEndPr>
        <w:rPr>
          <w:noProof/>
          <w:color w:val="595959" w:themeColor="text1" w:themeTint="A6"/>
        </w:rPr>
      </w:sdtEndPr>
      <w:sdtContent>
        <w:p w:rsidR="00DD0FFE" w:rsidRDefault="00DD0FFE" w:rsidP="00C03EF5">
          <w:pPr>
            <w:pStyle w:val="TOCHeading"/>
          </w:pPr>
          <w:r>
            <w:t>Contents</w:t>
          </w:r>
        </w:p>
        <w:p w:rsidR="00EB2418" w:rsidRDefault="00306798">
          <w:pPr>
            <w:pStyle w:val="TOC1"/>
            <w:rPr>
              <w:rFonts w:asciiTheme="minorHAnsi" w:eastAsiaTheme="minorEastAsia" w:hAnsiTheme="minorHAnsi" w:cstheme="minorBidi"/>
              <w:b w:val="0"/>
              <w:bCs w:val="0"/>
              <w:i w:val="0"/>
              <w:color w:val="auto"/>
              <w:sz w:val="22"/>
              <w:szCs w:val="22"/>
            </w:rPr>
          </w:pPr>
          <w:r>
            <w:fldChar w:fldCharType="begin"/>
          </w:r>
          <w:r w:rsidR="001031E5">
            <w:instrText xml:space="preserve"> TOC \o "2-2" \h \z \t "Heading 1,1" </w:instrText>
          </w:r>
          <w:r>
            <w:fldChar w:fldCharType="separate"/>
          </w:r>
          <w:hyperlink w:anchor="_Toc440006838" w:history="1">
            <w:r w:rsidR="00EB2418" w:rsidRPr="000E7772">
              <w:rPr>
                <w:rStyle w:val="Hyperlink"/>
              </w:rPr>
              <w:t>Executive summary</w:t>
            </w:r>
            <w:r w:rsidR="00EB2418">
              <w:rPr>
                <w:webHidden/>
              </w:rPr>
              <w:tab/>
            </w:r>
            <w:r>
              <w:rPr>
                <w:webHidden/>
              </w:rPr>
              <w:fldChar w:fldCharType="begin"/>
            </w:r>
            <w:r w:rsidR="00EB2418">
              <w:rPr>
                <w:webHidden/>
              </w:rPr>
              <w:instrText xml:space="preserve"> PAGEREF _Toc440006838 \h </w:instrText>
            </w:r>
            <w:r>
              <w:rPr>
                <w:webHidden/>
              </w:rPr>
            </w:r>
            <w:r>
              <w:rPr>
                <w:webHidden/>
              </w:rPr>
              <w:fldChar w:fldCharType="separate"/>
            </w:r>
            <w:r w:rsidR="00EB2418">
              <w:rPr>
                <w:webHidden/>
              </w:rPr>
              <w:t>v</w:t>
            </w:r>
            <w:r>
              <w:rPr>
                <w:webHidden/>
              </w:rPr>
              <w:fldChar w:fldCharType="end"/>
            </w:r>
          </w:hyperlink>
        </w:p>
        <w:p w:rsidR="00EB2418" w:rsidRDefault="00306798">
          <w:pPr>
            <w:pStyle w:val="TOC1"/>
            <w:rPr>
              <w:rFonts w:asciiTheme="minorHAnsi" w:eastAsiaTheme="minorEastAsia" w:hAnsiTheme="minorHAnsi" w:cstheme="minorBidi"/>
              <w:b w:val="0"/>
              <w:bCs w:val="0"/>
              <w:i w:val="0"/>
              <w:color w:val="auto"/>
              <w:sz w:val="22"/>
              <w:szCs w:val="22"/>
            </w:rPr>
          </w:pPr>
          <w:hyperlink w:anchor="_Toc440006839" w:history="1">
            <w:r w:rsidR="00EB2418" w:rsidRPr="000E7772">
              <w:rPr>
                <w:rStyle w:val="Hyperlink"/>
              </w:rPr>
              <w:t>1.</w:t>
            </w:r>
            <w:r w:rsidR="00EB2418">
              <w:rPr>
                <w:rFonts w:asciiTheme="minorHAnsi" w:eastAsiaTheme="minorEastAsia" w:hAnsiTheme="minorHAnsi" w:cstheme="minorBidi"/>
                <w:b w:val="0"/>
                <w:bCs w:val="0"/>
                <w:i w:val="0"/>
                <w:color w:val="auto"/>
                <w:sz w:val="22"/>
                <w:szCs w:val="22"/>
              </w:rPr>
              <w:tab/>
            </w:r>
            <w:r w:rsidR="00EB2418" w:rsidRPr="000E7772">
              <w:rPr>
                <w:rStyle w:val="Hyperlink"/>
              </w:rPr>
              <w:t>Introduction</w:t>
            </w:r>
            <w:r w:rsidR="00EB2418">
              <w:rPr>
                <w:webHidden/>
              </w:rPr>
              <w:tab/>
            </w:r>
            <w:r>
              <w:rPr>
                <w:webHidden/>
              </w:rPr>
              <w:fldChar w:fldCharType="begin"/>
            </w:r>
            <w:r w:rsidR="00EB2418">
              <w:rPr>
                <w:webHidden/>
              </w:rPr>
              <w:instrText xml:space="preserve"> PAGEREF _Toc440006839 \h </w:instrText>
            </w:r>
            <w:r>
              <w:rPr>
                <w:webHidden/>
              </w:rPr>
            </w:r>
            <w:r>
              <w:rPr>
                <w:webHidden/>
              </w:rPr>
              <w:fldChar w:fldCharType="separate"/>
            </w:r>
            <w:r w:rsidR="00EB2418">
              <w:rPr>
                <w:webHidden/>
              </w:rPr>
              <w:t>1</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40" w:history="1">
            <w:r w:rsidR="00EB2418" w:rsidRPr="000E7772">
              <w:rPr>
                <w:rStyle w:val="Hyperlink"/>
              </w:rPr>
              <w:t>1.1.</w:t>
            </w:r>
            <w:r w:rsidR="00EB2418">
              <w:rPr>
                <w:rFonts w:asciiTheme="minorHAnsi" w:eastAsiaTheme="minorEastAsia" w:hAnsiTheme="minorHAnsi" w:cstheme="minorBidi"/>
                <w:color w:val="auto"/>
                <w:sz w:val="22"/>
                <w:szCs w:val="22"/>
              </w:rPr>
              <w:tab/>
            </w:r>
            <w:r w:rsidR="00EB2418" w:rsidRPr="000E7772">
              <w:rPr>
                <w:rStyle w:val="Hyperlink"/>
              </w:rPr>
              <w:t>Report scope</w:t>
            </w:r>
            <w:r w:rsidR="00EB2418">
              <w:rPr>
                <w:webHidden/>
              </w:rPr>
              <w:tab/>
            </w:r>
            <w:r>
              <w:rPr>
                <w:webHidden/>
              </w:rPr>
              <w:fldChar w:fldCharType="begin"/>
            </w:r>
            <w:r w:rsidR="00EB2418">
              <w:rPr>
                <w:webHidden/>
              </w:rPr>
              <w:instrText xml:space="preserve"> PAGEREF _Toc440006840 \h </w:instrText>
            </w:r>
            <w:r>
              <w:rPr>
                <w:webHidden/>
              </w:rPr>
            </w:r>
            <w:r>
              <w:rPr>
                <w:webHidden/>
              </w:rPr>
              <w:fldChar w:fldCharType="separate"/>
            </w:r>
            <w:r w:rsidR="00EB2418">
              <w:rPr>
                <w:webHidden/>
              </w:rPr>
              <w:t>1</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41" w:history="1">
            <w:r w:rsidR="00EB2418" w:rsidRPr="000E7772">
              <w:rPr>
                <w:rStyle w:val="Hyperlink"/>
              </w:rPr>
              <w:t>1.2.</w:t>
            </w:r>
            <w:r w:rsidR="00EB2418">
              <w:rPr>
                <w:rFonts w:asciiTheme="minorHAnsi" w:eastAsiaTheme="minorEastAsia" w:hAnsiTheme="minorHAnsi" w:cstheme="minorBidi"/>
                <w:color w:val="auto"/>
                <w:sz w:val="22"/>
                <w:szCs w:val="22"/>
              </w:rPr>
              <w:tab/>
            </w:r>
            <w:r w:rsidR="00EB2418" w:rsidRPr="000E7772">
              <w:rPr>
                <w:rStyle w:val="Hyperlink"/>
              </w:rPr>
              <w:t>The Aither water allocation price model</w:t>
            </w:r>
            <w:r w:rsidR="00EB2418">
              <w:rPr>
                <w:webHidden/>
              </w:rPr>
              <w:tab/>
            </w:r>
            <w:r>
              <w:rPr>
                <w:webHidden/>
              </w:rPr>
              <w:fldChar w:fldCharType="begin"/>
            </w:r>
            <w:r w:rsidR="00EB2418">
              <w:rPr>
                <w:webHidden/>
              </w:rPr>
              <w:instrText xml:space="preserve"> PAGEREF _Toc440006841 \h </w:instrText>
            </w:r>
            <w:r>
              <w:rPr>
                <w:webHidden/>
              </w:rPr>
            </w:r>
            <w:r>
              <w:rPr>
                <w:webHidden/>
              </w:rPr>
              <w:fldChar w:fldCharType="separate"/>
            </w:r>
            <w:r w:rsidR="00EB2418">
              <w:rPr>
                <w:webHidden/>
              </w:rPr>
              <w:t>1</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42" w:history="1">
            <w:r w:rsidR="00EB2418" w:rsidRPr="000E7772">
              <w:rPr>
                <w:rStyle w:val="Hyperlink"/>
              </w:rPr>
              <w:t>1.3.</w:t>
            </w:r>
            <w:r w:rsidR="00EB2418">
              <w:rPr>
                <w:rFonts w:asciiTheme="minorHAnsi" w:eastAsiaTheme="minorEastAsia" w:hAnsiTheme="minorHAnsi" w:cstheme="minorBidi"/>
                <w:color w:val="auto"/>
                <w:sz w:val="22"/>
                <w:szCs w:val="22"/>
              </w:rPr>
              <w:tab/>
            </w:r>
            <w:r w:rsidR="00EB2418" w:rsidRPr="000E7772">
              <w:rPr>
                <w:rStyle w:val="Hyperlink"/>
              </w:rPr>
              <w:t>Approach and methodology</w:t>
            </w:r>
            <w:r w:rsidR="00EB2418">
              <w:rPr>
                <w:webHidden/>
              </w:rPr>
              <w:tab/>
            </w:r>
            <w:r>
              <w:rPr>
                <w:webHidden/>
              </w:rPr>
              <w:fldChar w:fldCharType="begin"/>
            </w:r>
            <w:r w:rsidR="00EB2418">
              <w:rPr>
                <w:webHidden/>
              </w:rPr>
              <w:instrText xml:space="preserve"> PAGEREF _Toc440006842 \h </w:instrText>
            </w:r>
            <w:r>
              <w:rPr>
                <w:webHidden/>
              </w:rPr>
            </w:r>
            <w:r>
              <w:rPr>
                <w:webHidden/>
              </w:rPr>
              <w:fldChar w:fldCharType="separate"/>
            </w:r>
            <w:r w:rsidR="00EB2418">
              <w:rPr>
                <w:webHidden/>
              </w:rPr>
              <w:t>2</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43" w:history="1">
            <w:r w:rsidR="00EB2418" w:rsidRPr="000E7772">
              <w:rPr>
                <w:rStyle w:val="Hyperlink"/>
              </w:rPr>
              <w:t>1.4.</w:t>
            </w:r>
            <w:r w:rsidR="00EB2418">
              <w:rPr>
                <w:rFonts w:asciiTheme="minorHAnsi" w:eastAsiaTheme="minorEastAsia" w:hAnsiTheme="minorHAnsi" w:cstheme="minorBidi"/>
                <w:color w:val="auto"/>
                <w:sz w:val="22"/>
                <w:szCs w:val="22"/>
              </w:rPr>
              <w:tab/>
            </w:r>
            <w:r w:rsidR="00EB2418" w:rsidRPr="000E7772">
              <w:rPr>
                <w:rStyle w:val="Hyperlink"/>
              </w:rPr>
              <w:t>Structure of the report</w:t>
            </w:r>
            <w:r w:rsidR="00EB2418">
              <w:rPr>
                <w:webHidden/>
              </w:rPr>
              <w:tab/>
            </w:r>
            <w:r>
              <w:rPr>
                <w:webHidden/>
              </w:rPr>
              <w:fldChar w:fldCharType="begin"/>
            </w:r>
            <w:r w:rsidR="00EB2418">
              <w:rPr>
                <w:webHidden/>
              </w:rPr>
              <w:instrText xml:space="preserve"> PAGEREF _Toc440006843 \h </w:instrText>
            </w:r>
            <w:r>
              <w:rPr>
                <w:webHidden/>
              </w:rPr>
            </w:r>
            <w:r>
              <w:rPr>
                <w:webHidden/>
              </w:rPr>
              <w:fldChar w:fldCharType="separate"/>
            </w:r>
            <w:r w:rsidR="00EB2418">
              <w:rPr>
                <w:webHidden/>
              </w:rPr>
              <w:t>3</w:t>
            </w:r>
            <w:r>
              <w:rPr>
                <w:webHidden/>
              </w:rPr>
              <w:fldChar w:fldCharType="end"/>
            </w:r>
          </w:hyperlink>
        </w:p>
        <w:p w:rsidR="00EB2418" w:rsidRDefault="00306798">
          <w:pPr>
            <w:pStyle w:val="TOC1"/>
            <w:rPr>
              <w:rFonts w:asciiTheme="minorHAnsi" w:eastAsiaTheme="minorEastAsia" w:hAnsiTheme="minorHAnsi" w:cstheme="minorBidi"/>
              <w:b w:val="0"/>
              <w:bCs w:val="0"/>
              <w:i w:val="0"/>
              <w:color w:val="auto"/>
              <w:sz w:val="22"/>
              <w:szCs w:val="22"/>
            </w:rPr>
          </w:pPr>
          <w:hyperlink w:anchor="_Toc440006844" w:history="1">
            <w:r w:rsidR="00EB2418" w:rsidRPr="000E7772">
              <w:rPr>
                <w:rStyle w:val="Hyperlink"/>
              </w:rPr>
              <w:t>2.</w:t>
            </w:r>
            <w:r w:rsidR="00EB2418">
              <w:rPr>
                <w:rFonts w:asciiTheme="minorHAnsi" w:eastAsiaTheme="minorEastAsia" w:hAnsiTheme="minorHAnsi" w:cstheme="minorBidi"/>
                <w:b w:val="0"/>
                <w:bCs w:val="0"/>
                <w:i w:val="0"/>
                <w:color w:val="auto"/>
                <w:sz w:val="22"/>
                <w:szCs w:val="22"/>
              </w:rPr>
              <w:tab/>
            </w:r>
            <w:r w:rsidR="00EB2418" w:rsidRPr="000E7772">
              <w:rPr>
                <w:rStyle w:val="Hyperlink"/>
              </w:rPr>
              <w:t>Background and understanding of water allocation price drivers</w:t>
            </w:r>
            <w:r w:rsidR="00EB2418">
              <w:rPr>
                <w:webHidden/>
              </w:rPr>
              <w:tab/>
            </w:r>
            <w:r>
              <w:rPr>
                <w:webHidden/>
              </w:rPr>
              <w:fldChar w:fldCharType="begin"/>
            </w:r>
            <w:r w:rsidR="00EB2418">
              <w:rPr>
                <w:webHidden/>
              </w:rPr>
              <w:instrText xml:space="preserve"> PAGEREF _Toc440006844 \h </w:instrText>
            </w:r>
            <w:r>
              <w:rPr>
                <w:webHidden/>
              </w:rPr>
            </w:r>
            <w:r>
              <w:rPr>
                <w:webHidden/>
              </w:rPr>
              <w:fldChar w:fldCharType="separate"/>
            </w:r>
            <w:r w:rsidR="00EB2418">
              <w:rPr>
                <w:webHidden/>
              </w:rPr>
              <w:t>5</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45" w:history="1">
            <w:r w:rsidR="00EB2418" w:rsidRPr="000E7772">
              <w:rPr>
                <w:rStyle w:val="Hyperlink"/>
              </w:rPr>
              <w:t>2.1.</w:t>
            </w:r>
            <w:r w:rsidR="00EB2418">
              <w:rPr>
                <w:rFonts w:asciiTheme="minorHAnsi" w:eastAsiaTheme="minorEastAsia" w:hAnsiTheme="minorHAnsi" w:cstheme="minorBidi"/>
                <w:color w:val="auto"/>
                <w:sz w:val="22"/>
                <w:szCs w:val="22"/>
              </w:rPr>
              <w:tab/>
            </w:r>
            <w:r w:rsidR="00EB2418" w:rsidRPr="000E7772">
              <w:rPr>
                <w:rStyle w:val="Hyperlink"/>
              </w:rPr>
              <w:t>Water markets in the sMDB</w:t>
            </w:r>
            <w:r w:rsidR="00EB2418">
              <w:rPr>
                <w:webHidden/>
              </w:rPr>
              <w:tab/>
            </w:r>
            <w:r>
              <w:rPr>
                <w:webHidden/>
              </w:rPr>
              <w:fldChar w:fldCharType="begin"/>
            </w:r>
            <w:r w:rsidR="00EB2418">
              <w:rPr>
                <w:webHidden/>
              </w:rPr>
              <w:instrText xml:space="preserve"> PAGEREF _Toc440006845 \h </w:instrText>
            </w:r>
            <w:r>
              <w:rPr>
                <w:webHidden/>
              </w:rPr>
            </w:r>
            <w:r>
              <w:rPr>
                <w:webHidden/>
              </w:rPr>
              <w:fldChar w:fldCharType="separate"/>
            </w:r>
            <w:r w:rsidR="00EB2418">
              <w:rPr>
                <w:webHidden/>
              </w:rPr>
              <w:t>5</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46" w:history="1">
            <w:r w:rsidR="00EB2418" w:rsidRPr="000E7772">
              <w:rPr>
                <w:rStyle w:val="Hyperlink"/>
              </w:rPr>
              <w:t>2.2.</w:t>
            </w:r>
            <w:r w:rsidR="00EB2418">
              <w:rPr>
                <w:rFonts w:asciiTheme="minorHAnsi" w:eastAsiaTheme="minorEastAsia" w:hAnsiTheme="minorHAnsi" w:cstheme="minorBidi"/>
                <w:color w:val="auto"/>
                <w:sz w:val="22"/>
                <w:szCs w:val="22"/>
              </w:rPr>
              <w:tab/>
            </w:r>
            <w:r w:rsidR="00EB2418" w:rsidRPr="000E7772">
              <w:rPr>
                <w:rStyle w:val="Hyperlink"/>
              </w:rPr>
              <w:t>Reasons for participation in the water allocation market</w:t>
            </w:r>
            <w:r w:rsidR="00EB2418">
              <w:rPr>
                <w:webHidden/>
              </w:rPr>
              <w:tab/>
            </w:r>
            <w:r>
              <w:rPr>
                <w:webHidden/>
              </w:rPr>
              <w:fldChar w:fldCharType="begin"/>
            </w:r>
            <w:r w:rsidR="00EB2418">
              <w:rPr>
                <w:webHidden/>
              </w:rPr>
              <w:instrText xml:space="preserve"> PAGEREF _Toc440006846 \h </w:instrText>
            </w:r>
            <w:r>
              <w:rPr>
                <w:webHidden/>
              </w:rPr>
            </w:r>
            <w:r>
              <w:rPr>
                <w:webHidden/>
              </w:rPr>
              <w:fldChar w:fldCharType="separate"/>
            </w:r>
            <w:r w:rsidR="00EB2418">
              <w:rPr>
                <w:webHidden/>
              </w:rPr>
              <w:t>6</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47" w:history="1">
            <w:r w:rsidR="00EB2418" w:rsidRPr="000E7772">
              <w:rPr>
                <w:rStyle w:val="Hyperlink"/>
              </w:rPr>
              <w:t>2.3.</w:t>
            </w:r>
            <w:r w:rsidR="00EB2418">
              <w:rPr>
                <w:rFonts w:asciiTheme="minorHAnsi" w:eastAsiaTheme="minorEastAsia" w:hAnsiTheme="minorHAnsi" w:cstheme="minorBidi"/>
                <w:color w:val="auto"/>
                <w:sz w:val="22"/>
                <w:szCs w:val="22"/>
              </w:rPr>
              <w:tab/>
            </w:r>
            <w:r w:rsidR="00EB2418" w:rsidRPr="000E7772">
              <w:rPr>
                <w:rStyle w:val="Hyperlink"/>
              </w:rPr>
              <w:t>Climatic and supply-side-drivers of allocation price</w:t>
            </w:r>
            <w:r w:rsidR="00EB2418">
              <w:rPr>
                <w:webHidden/>
              </w:rPr>
              <w:tab/>
            </w:r>
            <w:r>
              <w:rPr>
                <w:webHidden/>
              </w:rPr>
              <w:fldChar w:fldCharType="begin"/>
            </w:r>
            <w:r w:rsidR="00EB2418">
              <w:rPr>
                <w:webHidden/>
              </w:rPr>
              <w:instrText xml:space="preserve"> PAGEREF _Toc440006847 \h </w:instrText>
            </w:r>
            <w:r>
              <w:rPr>
                <w:webHidden/>
              </w:rPr>
            </w:r>
            <w:r>
              <w:rPr>
                <w:webHidden/>
              </w:rPr>
              <w:fldChar w:fldCharType="separate"/>
            </w:r>
            <w:r w:rsidR="00EB2418">
              <w:rPr>
                <w:webHidden/>
              </w:rPr>
              <w:t>9</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48" w:history="1">
            <w:r w:rsidR="00EB2418" w:rsidRPr="000E7772">
              <w:rPr>
                <w:rStyle w:val="Hyperlink"/>
              </w:rPr>
              <w:t>2.4.</w:t>
            </w:r>
            <w:r w:rsidR="00EB2418">
              <w:rPr>
                <w:rFonts w:asciiTheme="minorHAnsi" w:eastAsiaTheme="minorEastAsia" w:hAnsiTheme="minorHAnsi" w:cstheme="minorBidi"/>
                <w:color w:val="auto"/>
                <w:sz w:val="22"/>
                <w:szCs w:val="22"/>
              </w:rPr>
              <w:tab/>
            </w:r>
            <w:r w:rsidR="00EB2418" w:rsidRPr="000E7772">
              <w:rPr>
                <w:rStyle w:val="Hyperlink"/>
              </w:rPr>
              <w:t>Longer-term shifts in industry structure and underlying water demand</w:t>
            </w:r>
            <w:r w:rsidR="00EB2418">
              <w:rPr>
                <w:webHidden/>
              </w:rPr>
              <w:tab/>
            </w:r>
            <w:r>
              <w:rPr>
                <w:webHidden/>
              </w:rPr>
              <w:fldChar w:fldCharType="begin"/>
            </w:r>
            <w:r w:rsidR="00EB2418">
              <w:rPr>
                <w:webHidden/>
              </w:rPr>
              <w:instrText xml:space="preserve"> PAGEREF _Toc440006848 \h </w:instrText>
            </w:r>
            <w:r>
              <w:rPr>
                <w:webHidden/>
              </w:rPr>
            </w:r>
            <w:r>
              <w:rPr>
                <w:webHidden/>
              </w:rPr>
              <w:fldChar w:fldCharType="separate"/>
            </w:r>
            <w:r w:rsidR="00EB2418">
              <w:rPr>
                <w:webHidden/>
              </w:rPr>
              <w:t>15</w:t>
            </w:r>
            <w:r>
              <w:rPr>
                <w:webHidden/>
              </w:rPr>
              <w:fldChar w:fldCharType="end"/>
            </w:r>
          </w:hyperlink>
        </w:p>
        <w:p w:rsidR="00EB2418" w:rsidRDefault="00306798">
          <w:pPr>
            <w:pStyle w:val="TOC1"/>
            <w:rPr>
              <w:rFonts w:asciiTheme="minorHAnsi" w:eastAsiaTheme="minorEastAsia" w:hAnsiTheme="minorHAnsi" w:cstheme="minorBidi"/>
              <w:b w:val="0"/>
              <w:bCs w:val="0"/>
              <w:i w:val="0"/>
              <w:color w:val="auto"/>
              <w:sz w:val="22"/>
              <w:szCs w:val="22"/>
            </w:rPr>
          </w:pPr>
          <w:hyperlink w:anchor="_Toc440006849" w:history="1">
            <w:r w:rsidR="00EB2418" w:rsidRPr="000E7772">
              <w:rPr>
                <w:rStyle w:val="Hyperlink"/>
              </w:rPr>
              <w:t>3.</w:t>
            </w:r>
            <w:r w:rsidR="00EB2418">
              <w:rPr>
                <w:rFonts w:asciiTheme="minorHAnsi" w:eastAsiaTheme="minorEastAsia" w:hAnsiTheme="minorHAnsi" w:cstheme="minorBidi"/>
                <w:b w:val="0"/>
                <w:bCs w:val="0"/>
                <w:i w:val="0"/>
                <w:color w:val="auto"/>
                <w:sz w:val="22"/>
                <w:szCs w:val="22"/>
              </w:rPr>
              <w:tab/>
            </w:r>
            <w:r w:rsidR="00EB2418" w:rsidRPr="000E7772">
              <w:rPr>
                <w:rStyle w:val="Hyperlink"/>
              </w:rPr>
              <w:t>The Aither water allocation price model</w:t>
            </w:r>
            <w:r w:rsidR="00EB2418">
              <w:rPr>
                <w:webHidden/>
              </w:rPr>
              <w:tab/>
            </w:r>
            <w:r>
              <w:rPr>
                <w:webHidden/>
              </w:rPr>
              <w:fldChar w:fldCharType="begin"/>
            </w:r>
            <w:r w:rsidR="00EB2418">
              <w:rPr>
                <w:webHidden/>
              </w:rPr>
              <w:instrText xml:space="preserve"> PAGEREF _Toc440006849 \h </w:instrText>
            </w:r>
            <w:r>
              <w:rPr>
                <w:webHidden/>
              </w:rPr>
            </w:r>
            <w:r>
              <w:rPr>
                <w:webHidden/>
              </w:rPr>
              <w:fldChar w:fldCharType="separate"/>
            </w:r>
            <w:r w:rsidR="00EB2418">
              <w:rPr>
                <w:webHidden/>
              </w:rPr>
              <w:t>16</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50" w:history="1">
            <w:r w:rsidR="00EB2418" w:rsidRPr="000E7772">
              <w:rPr>
                <w:rStyle w:val="Hyperlink"/>
              </w:rPr>
              <w:t>3.1.</w:t>
            </w:r>
            <w:r w:rsidR="00EB2418">
              <w:rPr>
                <w:rFonts w:asciiTheme="minorHAnsi" w:eastAsiaTheme="minorEastAsia" w:hAnsiTheme="minorHAnsi" w:cstheme="minorBidi"/>
                <w:color w:val="auto"/>
                <w:sz w:val="22"/>
                <w:szCs w:val="22"/>
              </w:rPr>
              <w:tab/>
            </w:r>
            <w:r w:rsidR="00EB2418" w:rsidRPr="000E7772">
              <w:rPr>
                <w:rStyle w:val="Hyperlink"/>
              </w:rPr>
              <w:t>Overview of the model</w:t>
            </w:r>
            <w:r w:rsidR="00EB2418">
              <w:rPr>
                <w:webHidden/>
              </w:rPr>
              <w:tab/>
            </w:r>
            <w:r>
              <w:rPr>
                <w:webHidden/>
              </w:rPr>
              <w:fldChar w:fldCharType="begin"/>
            </w:r>
            <w:r w:rsidR="00EB2418">
              <w:rPr>
                <w:webHidden/>
              </w:rPr>
              <w:instrText xml:space="preserve"> PAGEREF _Toc440006850 \h </w:instrText>
            </w:r>
            <w:r>
              <w:rPr>
                <w:webHidden/>
              </w:rPr>
            </w:r>
            <w:r>
              <w:rPr>
                <w:webHidden/>
              </w:rPr>
              <w:fldChar w:fldCharType="separate"/>
            </w:r>
            <w:r w:rsidR="00EB2418">
              <w:rPr>
                <w:webHidden/>
              </w:rPr>
              <w:t>16</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51" w:history="1">
            <w:r w:rsidR="00EB2418" w:rsidRPr="000E7772">
              <w:rPr>
                <w:rStyle w:val="Hyperlink"/>
              </w:rPr>
              <w:t>3.2.</w:t>
            </w:r>
            <w:r w:rsidR="00EB2418">
              <w:rPr>
                <w:rFonts w:asciiTheme="minorHAnsi" w:eastAsiaTheme="minorEastAsia" w:hAnsiTheme="minorHAnsi" w:cstheme="minorBidi"/>
                <w:color w:val="auto"/>
                <w:sz w:val="22"/>
                <w:szCs w:val="22"/>
              </w:rPr>
              <w:tab/>
            </w:r>
            <w:r w:rsidR="00EB2418" w:rsidRPr="000E7772">
              <w:rPr>
                <w:rStyle w:val="Hyperlink"/>
              </w:rPr>
              <w:t>Caveats</w:t>
            </w:r>
            <w:r w:rsidR="00EB2418">
              <w:rPr>
                <w:webHidden/>
              </w:rPr>
              <w:tab/>
            </w:r>
            <w:r>
              <w:rPr>
                <w:webHidden/>
              </w:rPr>
              <w:fldChar w:fldCharType="begin"/>
            </w:r>
            <w:r w:rsidR="00EB2418">
              <w:rPr>
                <w:webHidden/>
              </w:rPr>
              <w:instrText xml:space="preserve"> PAGEREF _Toc440006851 \h </w:instrText>
            </w:r>
            <w:r>
              <w:rPr>
                <w:webHidden/>
              </w:rPr>
            </w:r>
            <w:r>
              <w:rPr>
                <w:webHidden/>
              </w:rPr>
              <w:fldChar w:fldCharType="separate"/>
            </w:r>
            <w:r w:rsidR="00EB2418">
              <w:rPr>
                <w:webHidden/>
              </w:rPr>
              <w:t>17</w:t>
            </w:r>
            <w:r>
              <w:rPr>
                <w:webHidden/>
              </w:rPr>
              <w:fldChar w:fldCharType="end"/>
            </w:r>
          </w:hyperlink>
        </w:p>
        <w:p w:rsidR="00EB2418" w:rsidRDefault="00306798">
          <w:pPr>
            <w:pStyle w:val="TOC1"/>
            <w:rPr>
              <w:rFonts w:asciiTheme="minorHAnsi" w:eastAsiaTheme="minorEastAsia" w:hAnsiTheme="minorHAnsi" w:cstheme="minorBidi"/>
              <w:b w:val="0"/>
              <w:bCs w:val="0"/>
              <w:i w:val="0"/>
              <w:color w:val="auto"/>
              <w:sz w:val="22"/>
              <w:szCs w:val="22"/>
            </w:rPr>
          </w:pPr>
          <w:hyperlink w:anchor="_Toc440006852" w:history="1">
            <w:r w:rsidR="00EB2418" w:rsidRPr="000E7772">
              <w:rPr>
                <w:rStyle w:val="Hyperlink"/>
              </w:rPr>
              <w:t>4.</w:t>
            </w:r>
            <w:r w:rsidR="00EB2418">
              <w:rPr>
                <w:rFonts w:asciiTheme="minorHAnsi" w:eastAsiaTheme="minorEastAsia" w:hAnsiTheme="minorHAnsi" w:cstheme="minorBidi"/>
                <w:b w:val="0"/>
                <w:bCs w:val="0"/>
                <w:i w:val="0"/>
                <w:color w:val="auto"/>
                <w:sz w:val="22"/>
                <w:szCs w:val="22"/>
              </w:rPr>
              <w:tab/>
            </w:r>
            <w:r w:rsidR="00EB2418" w:rsidRPr="000E7772">
              <w:rPr>
                <w:rStyle w:val="Hyperlink"/>
              </w:rPr>
              <w:t>Application of model and results</w:t>
            </w:r>
            <w:r w:rsidR="00EB2418">
              <w:rPr>
                <w:webHidden/>
              </w:rPr>
              <w:tab/>
            </w:r>
            <w:r>
              <w:rPr>
                <w:webHidden/>
              </w:rPr>
              <w:fldChar w:fldCharType="begin"/>
            </w:r>
            <w:r w:rsidR="00EB2418">
              <w:rPr>
                <w:webHidden/>
              </w:rPr>
              <w:instrText xml:space="preserve"> PAGEREF _Toc440006852 \h </w:instrText>
            </w:r>
            <w:r>
              <w:rPr>
                <w:webHidden/>
              </w:rPr>
            </w:r>
            <w:r>
              <w:rPr>
                <w:webHidden/>
              </w:rPr>
              <w:fldChar w:fldCharType="separate"/>
            </w:r>
            <w:r w:rsidR="00EB2418">
              <w:rPr>
                <w:webHidden/>
              </w:rPr>
              <w:t>21</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53" w:history="1">
            <w:r w:rsidR="00EB2418" w:rsidRPr="000E7772">
              <w:rPr>
                <w:rStyle w:val="Hyperlink"/>
              </w:rPr>
              <w:t>4.1.</w:t>
            </w:r>
            <w:r w:rsidR="00EB2418">
              <w:rPr>
                <w:rFonts w:asciiTheme="minorHAnsi" w:eastAsiaTheme="minorEastAsia" w:hAnsiTheme="minorHAnsi" w:cstheme="minorBidi"/>
                <w:color w:val="auto"/>
                <w:sz w:val="22"/>
                <w:szCs w:val="22"/>
              </w:rPr>
              <w:tab/>
            </w:r>
            <w:r w:rsidR="00EB2418" w:rsidRPr="000E7772">
              <w:rPr>
                <w:rStyle w:val="Hyperlink"/>
              </w:rPr>
              <w:t>Scenarios</w:t>
            </w:r>
            <w:r w:rsidR="00EB2418">
              <w:rPr>
                <w:webHidden/>
              </w:rPr>
              <w:tab/>
            </w:r>
            <w:r>
              <w:rPr>
                <w:webHidden/>
              </w:rPr>
              <w:fldChar w:fldCharType="begin"/>
            </w:r>
            <w:r w:rsidR="00EB2418">
              <w:rPr>
                <w:webHidden/>
              </w:rPr>
              <w:instrText xml:space="preserve"> PAGEREF _Toc440006853 \h </w:instrText>
            </w:r>
            <w:r>
              <w:rPr>
                <w:webHidden/>
              </w:rPr>
            </w:r>
            <w:r>
              <w:rPr>
                <w:webHidden/>
              </w:rPr>
              <w:fldChar w:fldCharType="separate"/>
            </w:r>
            <w:r w:rsidR="00EB2418">
              <w:rPr>
                <w:webHidden/>
              </w:rPr>
              <w:t>21</w:t>
            </w:r>
            <w:r>
              <w:rPr>
                <w:webHidden/>
              </w:rPr>
              <w:fldChar w:fldCharType="end"/>
            </w:r>
          </w:hyperlink>
        </w:p>
        <w:p w:rsidR="00EB2418" w:rsidRDefault="00306798">
          <w:pPr>
            <w:pStyle w:val="TOC2"/>
            <w:rPr>
              <w:rFonts w:asciiTheme="minorHAnsi" w:eastAsiaTheme="minorEastAsia" w:hAnsiTheme="minorHAnsi" w:cstheme="minorBidi"/>
              <w:color w:val="auto"/>
              <w:sz w:val="22"/>
              <w:szCs w:val="22"/>
            </w:rPr>
          </w:pPr>
          <w:hyperlink w:anchor="_Toc440006854" w:history="1">
            <w:r w:rsidR="00EB2418" w:rsidRPr="000E7772">
              <w:rPr>
                <w:rStyle w:val="Hyperlink"/>
              </w:rPr>
              <w:t>4.2.</w:t>
            </w:r>
            <w:r w:rsidR="00EB2418">
              <w:rPr>
                <w:rFonts w:asciiTheme="minorHAnsi" w:eastAsiaTheme="minorEastAsia" w:hAnsiTheme="minorHAnsi" w:cstheme="minorBidi"/>
                <w:color w:val="auto"/>
                <w:sz w:val="22"/>
                <w:szCs w:val="22"/>
              </w:rPr>
              <w:tab/>
            </w:r>
            <w:r w:rsidR="00EB2418" w:rsidRPr="000E7772">
              <w:rPr>
                <w:rStyle w:val="Hyperlink"/>
              </w:rPr>
              <w:t>Results and discussion</w:t>
            </w:r>
            <w:r w:rsidR="00EB2418">
              <w:rPr>
                <w:webHidden/>
              </w:rPr>
              <w:tab/>
            </w:r>
            <w:r>
              <w:rPr>
                <w:webHidden/>
              </w:rPr>
              <w:fldChar w:fldCharType="begin"/>
            </w:r>
            <w:r w:rsidR="00EB2418">
              <w:rPr>
                <w:webHidden/>
              </w:rPr>
              <w:instrText xml:space="preserve"> PAGEREF _Toc440006854 \h </w:instrText>
            </w:r>
            <w:r>
              <w:rPr>
                <w:webHidden/>
              </w:rPr>
            </w:r>
            <w:r>
              <w:rPr>
                <w:webHidden/>
              </w:rPr>
              <w:fldChar w:fldCharType="separate"/>
            </w:r>
            <w:r w:rsidR="00EB2418">
              <w:rPr>
                <w:webHidden/>
              </w:rPr>
              <w:t>23</w:t>
            </w:r>
            <w:r>
              <w:rPr>
                <w:webHidden/>
              </w:rPr>
              <w:fldChar w:fldCharType="end"/>
            </w:r>
          </w:hyperlink>
        </w:p>
        <w:p w:rsidR="00EB2418" w:rsidRDefault="00306798">
          <w:pPr>
            <w:pStyle w:val="TOC1"/>
            <w:rPr>
              <w:rFonts w:asciiTheme="minorHAnsi" w:eastAsiaTheme="minorEastAsia" w:hAnsiTheme="minorHAnsi" w:cstheme="minorBidi"/>
              <w:b w:val="0"/>
              <w:bCs w:val="0"/>
              <w:i w:val="0"/>
              <w:color w:val="auto"/>
              <w:sz w:val="22"/>
              <w:szCs w:val="22"/>
            </w:rPr>
          </w:pPr>
          <w:hyperlink w:anchor="_Toc440006855" w:history="1">
            <w:r w:rsidR="00EB2418" w:rsidRPr="000E7772">
              <w:rPr>
                <w:rStyle w:val="Hyperlink"/>
              </w:rPr>
              <w:t>5.</w:t>
            </w:r>
            <w:r w:rsidR="00EB2418">
              <w:rPr>
                <w:rFonts w:asciiTheme="minorHAnsi" w:eastAsiaTheme="minorEastAsia" w:hAnsiTheme="minorHAnsi" w:cstheme="minorBidi"/>
                <w:b w:val="0"/>
                <w:bCs w:val="0"/>
                <w:i w:val="0"/>
                <w:color w:val="auto"/>
                <w:sz w:val="22"/>
                <w:szCs w:val="22"/>
              </w:rPr>
              <w:tab/>
            </w:r>
            <w:r w:rsidR="00EB2418" w:rsidRPr="000E7772">
              <w:rPr>
                <w:rStyle w:val="Hyperlink"/>
              </w:rPr>
              <w:t>Conclusions</w:t>
            </w:r>
            <w:r w:rsidR="00EB2418">
              <w:rPr>
                <w:webHidden/>
              </w:rPr>
              <w:tab/>
            </w:r>
            <w:r>
              <w:rPr>
                <w:webHidden/>
              </w:rPr>
              <w:fldChar w:fldCharType="begin"/>
            </w:r>
            <w:r w:rsidR="00EB2418">
              <w:rPr>
                <w:webHidden/>
              </w:rPr>
              <w:instrText xml:space="preserve"> PAGEREF _Toc440006855 \h </w:instrText>
            </w:r>
            <w:r>
              <w:rPr>
                <w:webHidden/>
              </w:rPr>
            </w:r>
            <w:r>
              <w:rPr>
                <w:webHidden/>
              </w:rPr>
              <w:fldChar w:fldCharType="separate"/>
            </w:r>
            <w:r w:rsidR="00EB2418">
              <w:rPr>
                <w:webHidden/>
              </w:rPr>
              <w:t>31</w:t>
            </w:r>
            <w:r>
              <w:rPr>
                <w:webHidden/>
              </w:rPr>
              <w:fldChar w:fldCharType="end"/>
            </w:r>
          </w:hyperlink>
        </w:p>
        <w:p w:rsidR="00EB2418" w:rsidRDefault="00306798">
          <w:pPr>
            <w:pStyle w:val="TOC1"/>
            <w:rPr>
              <w:rFonts w:asciiTheme="minorHAnsi" w:eastAsiaTheme="minorEastAsia" w:hAnsiTheme="minorHAnsi" w:cstheme="minorBidi"/>
              <w:b w:val="0"/>
              <w:bCs w:val="0"/>
              <w:i w:val="0"/>
              <w:color w:val="auto"/>
              <w:sz w:val="22"/>
              <w:szCs w:val="22"/>
            </w:rPr>
          </w:pPr>
          <w:hyperlink w:anchor="_Toc440006856" w:history="1">
            <w:r w:rsidR="00EB2418" w:rsidRPr="000E7772">
              <w:rPr>
                <w:rStyle w:val="Hyperlink"/>
              </w:rPr>
              <w:t>6.</w:t>
            </w:r>
            <w:r w:rsidR="00EB2418">
              <w:rPr>
                <w:rFonts w:asciiTheme="minorHAnsi" w:eastAsiaTheme="minorEastAsia" w:hAnsiTheme="minorHAnsi" w:cstheme="minorBidi"/>
                <w:b w:val="0"/>
                <w:bCs w:val="0"/>
                <w:i w:val="0"/>
                <w:color w:val="auto"/>
                <w:sz w:val="22"/>
                <w:szCs w:val="22"/>
              </w:rPr>
              <w:tab/>
            </w:r>
            <w:r w:rsidR="00EB2418" w:rsidRPr="000E7772">
              <w:rPr>
                <w:rStyle w:val="Hyperlink"/>
              </w:rPr>
              <w:t>References</w:t>
            </w:r>
            <w:r w:rsidR="00EB2418">
              <w:rPr>
                <w:webHidden/>
              </w:rPr>
              <w:tab/>
            </w:r>
            <w:r>
              <w:rPr>
                <w:webHidden/>
              </w:rPr>
              <w:fldChar w:fldCharType="begin"/>
            </w:r>
            <w:r w:rsidR="00EB2418">
              <w:rPr>
                <w:webHidden/>
              </w:rPr>
              <w:instrText xml:space="preserve"> PAGEREF _Toc440006856 \h </w:instrText>
            </w:r>
            <w:r>
              <w:rPr>
                <w:webHidden/>
              </w:rPr>
            </w:r>
            <w:r>
              <w:rPr>
                <w:webHidden/>
              </w:rPr>
              <w:fldChar w:fldCharType="separate"/>
            </w:r>
            <w:r w:rsidR="00EB2418">
              <w:rPr>
                <w:webHidden/>
              </w:rPr>
              <w:t>32</w:t>
            </w:r>
            <w:r>
              <w:rPr>
                <w:webHidden/>
              </w:rPr>
              <w:fldChar w:fldCharType="end"/>
            </w:r>
          </w:hyperlink>
        </w:p>
        <w:p w:rsidR="00EB2418" w:rsidRDefault="00306798">
          <w:pPr>
            <w:pStyle w:val="TOC1"/>
            <w:rPr>
              <w:rFonts w:asciiTheme="minorHAnsi" w:eastAsiaTheme="minorEastAsia" w:hAnsiTheme="minorHAnsi" w:cstheme="minorBidi"/>
              <w:b w:val="0"/>
              <w:bCs w:val="0"/>
              <w:i w:val="0"/>
              <w:color w:val="auto"/>
              <w:sz w:val="22"/>
              <w:szCs w:val="22"/>
            </w:rPr>
          </w:pPr>
          <w:hyperlink w:anchor="_Toc440006857" w:history="1">
            <w:r w:rsidR="00EB2418" w:rsidRPr="000E7772">
              <w:rPr>
                <w:rStyle w:val="Hyperlink"/>
              </w:rPr>
              <w:t>Appendix A – Peer review comments</w:t>
            </w:r>
            <w:r w:rsidR="00EB2418">
              <w:rPr>
                <w:webHidden/>
              </w:rPr>
              <w:tab/>
            </w:r>
            <w:r>
              <w:rPr>
                <w:webHidden/>
              </w:rPr>
              <w:fldChar w:fldCharType="begin"/>
            </w:r>
            <w:r w:rsidR="00EB2418">
              <w:rPr>
                <w:webHidden/>
              </w:rPr>
              <w:instrText xml:space="preserve"> PAGEREF _Toc440006857 \h </w:instrText>
            </w:r>
            <w:r>
              <w:rPr>
                <w:webHidden/>
              </w:rPr>
            </w:r>
            <w:r>
              <w:rPr>
                <w:webHidden/>
              </w:rPr>
              <w:fldChar w:fldCharType="separate"/>
            </w:r>
            <w:r w:rsidR="00EB2418">
              <w:rPr>
                <w:webHidden/>
              </w:rPr>
              <w:t>33</w:t>
            </w:r>
            <w:r>
              <w:rPr>
                <w:webHidden/>
              </w:rPr>
              <w:fldChar w:fldCharType="end"/>
            </w:r>
          </w:hyperlink>
        </w:p>
        <w:p w:rsidR="00EB2418" w:rsidRDefault="00306798">
          <w:pPr>
            <w:pStyle w:val="TOC1"/>
            <w:rPr>
              <w:rFonts w:asciiTheme="minorHAnsi" w:eastAsiaTheme="minorEastAsia" w:hAnsiTheme="minorHAnsi" w:cstheme="minorBidi"/>
              <w:b w:val="0"/>
              <w:bCs w:val="0"/>
              <w:i w:val="0"/>
              <w:color w:val="auto"/>
              <w:sz w:val="22"/>
              <w:szCs w:val="22"/>
            </w:rPr>
          </w:pPr>
          <w:hyperlink w:anchor="_Toc440006858" w:history="1">
            <w:r w:rsidR="00EB2418" w:rsidRPr="000E7772">
              <w:rPr>
                <w:rStyle w:val="Hyperlink"/>
              </w:rPr>
              <w:t>Appendix B – Sensitivity analysis</w:t>
            </w:r>
            <w:r w:rsidR="00EB2418">
              <w:rPr>
                <w:webHidden/>
              </w:rPr>
              <w:tab/>
            </w:r>
            <w:r>
              <w:rPr>
                <w:webHidden/>
              </w:rPr>
              <w:fldChar w:fldCharType="begin"/>
            </w:r>
            <w:r w:rsidR="00EB2418">
              <w:rPr>
                <w:webHidden/>
              </w:rPr>
              <w:instrText xml:space="preserve"> PAGEREF _Toc440006858 \h </w:instrText>
            </w:r>
            <w:r>
              <w:rPr>
                <w:webHidden/>
              </w:rPr>
            </w:r>
            <w:r>
              <w:rPr>
                <w:webHidden/>
              </w:rPr>
              <w:fldChar w:fldCharType="separate"/>
            </w:r>
            <w:r w:rsidR="00EB2418">
              <w:rPr>
                <w:webHidden/>
              </w:rPr>
              <w:t>37</w:t>
            </w:r>
            <w:r>
              <w:rPr>
                <w:webHidden/>
              </w:rPr>
              <w:fldChar w:fldCharType="end"/>
            </w:r>
          </w:hyperlink>
        </w:p>
        <w:p w:rsidR="00DD0FFE" w:rsidRDefault="00306798" w:rsidP="00E739FC">
          <w:pPr>
            <w:tabs>
              <w:tab w:val="left" w:pos="1247"/>
            </w:tabs>
          </w:pPr>
          <w:r>
            <w:rPr>
              <w:rFonts w:ascii="Cambria" w:hAnsi="Cambria"/>
              <w:b/>
              <w:bCs/>
              <w:i/>
              <w:noProof/>
              <w:color w:val="72929B" w:themeColor="background2"/>
              <w:sz w:val="24"/>
            </w:rPr>
            <w:fldChar w:fldCharType="end"/>
          </w:r>
        </w:p>
      </w:sdtContent>
    </w:sdt>
    <w:p w:rsidR="00BC5E0E" w:rsidRDefault="00BC5E0E">
      <w:pPr>
        <w:spacing w:after="0" w:line="240" w:lineRule="auto"/>
        <w:rPr>
          <w:rFonts w:cs="Arial"/>
          <w:b/>
          <w:bCs/>
          <w:color w:val="3583AA" w:themeColor="accent3"/>
          <w:szCs w:val="26"/>
        </w:rPr>
      </w:pPr>
      <w:r>
        <w:br w:type="page"/>
      </w:r>
    </w:p>
    <w:p w:rsidR="00D20FD9" w:rsidRDefault="0048295D" w:rsidP="00C03EF5">
      <w:pPr>
        <w:pStyle w:val="Heading3a"/>
      </w:pPr>
      <w:r>
        <w:lastRenderedPageBreak/>
        <w:t>Tables</w:t>
      </w:r>
    </w:p>
    <w:p w:rsidR="00EB2418" w:rsidRDefault="00306798">
      <w:pPr>
        <w:pStyle w:val="TableofFigures"/>
        <w:tabs>
          <w:tab w:val="left" w:pos="1021"/>
        </w:tabs>
        <w:ind w:left="800" w:hanging="800"/>
        <w:rPr>
          <w:rFonts w:asciiTheme="minorHAnsi" w:eastAsiaTheme="minorEastAsia" w:hAnsiTheme="minorHAnsi" w:cstheme="minorBidi"/>
          <w:color w:val="auto"/>
          <w:sz w:val="22"/>
          <w:szCs w:val="22"/>
        </w:rPr>
      </w:pPr>
      <w:r w:rsidRPr="00306798">
        <w:rPr>
          <w:color w:val="404040" w:themeColor="text1" w:themeTint="BF"/>
        </w:rPr>
        <w:fldChar w:fldCharType="begin"/>
      </w:r>
      <w:r w:rsidR="00894869">
        <w:instrText xml:space="preserve"> TOC \t "TableName,1" \c "Table" </w:instrText>
      </w:r>
      <w:r w:rsidRPr="00306798">
        <w:rPr>
          <w:color w:val="404040" w:themeColor="text1" w:themeTint="BF"/>
        </w:rPr>
        <w:fldChar w:fldCharType="separate"/>
      </w:r>
      <w:r w:rsidR="00EB2418">
        <w:t>Table 1</w:t>
      </w:r>
      <w:r w:rsidR="00EB2418">
        <w:rPr>
          <w:rFonts w:asciiTheme="minorHAnsi" w:eastAsiaTheme="minorEastAsia" w:hAnsiTheme="minorHAnsi" w:cstheme="minorBidi"/>
          <w:color w:val="auto"/>
          <w:sz w:val="22"/>
          <w:szCs w:val="22"/>
        </w:rPr>
        <w:tab/>
      </w:r>
      <w:r w:rsidR="00EB2418">
        <w:t>Cumulative water entitlements purchased by Commonwealth Government – registered at start of water year (GL)</w:t>
      </w:r>
      <w:r w:rsidR="00EB2418">
        <w:tab/>
      </w:r>
      <w:r>
        <w:fldChar w:fldCharType="begin"/>
      </w:r>
      <w:r w:rsidR="00EB2418">
        <w:instrText xml:space="preserve"> PAGEREF _Toc440006859 \h </w:instrText>
      </w:r>
      <w:r>
        <w:fldChar w:fldCharType="separate"/>
      </w:r>
      <w:r w:rsidR="00EB2418">
        <w:t>12</w:t>
      </w:r>
      <w:r>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Table 2</w:t>
      </w:r>
      <w:r>
        <w:rPr>
          <w:rFonts w:asciiTheme="minorHAnsi" w:eastAsiaTheme="minorEastAsia" w:hAnsiTheme="minorHAnsi" w:cstheme="minorBidi"/>
          <w:color w:val="auto"/>
          <w:sz w:val="22"/>
          <w:szCs w:val="22"/>
        </w:rPr>
        <w:tab/>
      </w:r>
      <w:r>
        <w:t>Impact of Commonwealth water purchases on volume of water allocated that is available for consumptive use, major sMDB trading zones, 2008-09 to 2014-15</w:t>
      </w:r>
      <w:r>
        <w:tab/>
      </w:r>
      <w:r w:rsidR="00306798">
        <w:fldChar w:fldCharType="begin"/>
      </w:r>
      <w:r>
        <w:instrText xml:space="preserve"> PAGEREF _Toc440006860 \h </w:instrText>
      </w:r>
      <w:r w:rsidR="00306798">
        <w:fldChar w:fldCharType="separate"/>
      </w:r>
      <w:r>
        <w:t>13</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Table 3</w:t>
      </w:r>
      <w:r>
        <w:rPr>
          <w:rFonts w:asciiTheme="minorHAnsi" w:eastAsiaTheme="minorEastAsia" w:hAnsiTheme="minorHAnsi" w:cstheme="minorBidi"/>
          <w:color w:val="auto"/>
          <w:sz w:val="22"/>
          <w:szCs w:val="22"/>
        </w:rPr>
        <w:tab/>
      </w:r>
      <w:r>
        <w:t>Caveats to the allocation price model</w:t>
      </w:r>
      <w:r>
        <w:tab/>
      </w:r>
      <w:r w:rsidR="00306798">
        <w:fldChar w:fldCharType="begin"/>
      </w:r>
      <w:r>
        <w:instrText xml:space="preserve"> PAGEREF _Toc440006861 \h </w:instrText>
      </w:r>
      <w:r w:rsidR="00306798">
        <w:fldChar w:fldCharType="separate"/>
      </w:r>
      <w:r>
        <w:t>18</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Table 4</w:t>
      </w:r>
      <w:r>
        <w:rPr>
          <w:rFonts w:asciiTheme="minorHAnsi" w:eastAsiaTheme="minorEastAsia" w:hAnsiTheme="minorHAnsi" w:cstheme="minorBidi"/>
          <w:color w:val="auto"/>
          <w:sz w:val="22"/>
          <w:szCs w:val="22"/>
        </w:rPr>
        <w:tab/>
      </w:r>
      <w:r>
        <w:t>Historical water allocation price impact of Commonwealth water purchases, 2008-09 to 2014-15</w:t>
      </w:r>
      <w:r>
        <w:tab/>
      </w:r>
      <w:r w:rsidR="00306798">
        <w:fldChar w:fldCharType="begin"/>
      </w:r>
      <w:r>
        <w:instrText xml:space="preserve"> PAGEREF _Toc440006862 \h </w:instrText>
      </w:r>
      <w:r w:rsidR="00306798">
        <w:fldChar w:fldCharType="separate"/>
      </w:r>
      <w:r>
        <w:t>26</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Table 5</w:t>
      </w:r>
      <w:r>
        <w:rPr>
          <w:rFonts w:asciiTheme="minorHAnsi" w:eastAsiaTheme="minorEastAsia" w:hAnsiTheme="minorHAnsi" w:cstheme="minorBidi"/>
          <w:color w:val="auto"/>
          <w:sz w:val="22"/>
          <w:szCs w:val="22"/>
        </w:rPr>
        <w:tab/>
      </w:r>
      <w:r>
        <w:t>Estimated water allocation price impacts of Commonwealth water purchases for hypothetical future water years</w:t>
      </w:r>
      <w:r>
        <w:tab/>
      </w:r>
      <w:r w:rsidR="00306798">
        <w:fldChar w:fldCharType="begin"/>
      </w:r>
      <w:r>
        <w:instrText xml:space="preserve"> PAGEREF _Toc440006863 \h </w:instrText>
      </w:r>
      <w:r w:rsidR="00306798">
        <w:fldChar w:fldCharType="separate"/>
      </w:r>
      <w:r>
        <w:t>28</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Table 6</w:t>
      </w:r>
      <w:r>
        <w:rPr>
          <w:rFonts w:asciiTheme="minorHAnsi" w:eastAsiaTheme="minorEastAsia" w:hAnsiTheme="minorHAnsi" w:cstheme="minorBidi"/>
          <w:color w:val="auto"/>
          <w:sz w:val="22"/>
          <w:szCs w:val="22"/>
        </w:rPr>
        <w:tab/>
      </w:r>
      <w:r>
        <w:t>Allocation price impacts of additional Commonwealth water purchases for hypothetical future water year</w:t>
      </w:r>
      <w:r>
        <w:tab/>
      </w:r>
      <w:r w:rsidR="00306798">
        <w:fldChar w:fldCharType="begin"/>
      </w:r>
      <w:r>
        <w:instrText xml:space="preserve"> PAGEREF _Toc440006864 \h </w:instrText>
      </w:r>
      <w:r w:rsidR="00306798">
        <w:fldChar w:fldCharType="separate"/>
      </w:r>
      <w:r>
        <w:t>30</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Table 7</w:t>
      </w:r>
      <w:r>
        <w:rPr>
          <w:rFonts w:asciiTheme="minorHAnsi" w:eastAsiaTheme="minorEastAsia" w:hAnsiTheme="minorHAnsi" w:cstheme="minorBidi"/>
          <w:color w:val="auto"/>
          <w:sz w:val="22"/>
          <w:szCs w:val="22"/>
        </w:rPr>
        <w:tab/>
      </w:r>
      <w:r>
        <w:t>Historical water allocation price impact of Commonwealth water purchases, 2008-09 to 2014-15 – 95 percent confidence limits sensitivity analysis</w:t>
      </w:r>
      <w:r>
        <w:tab/>
      </w:r>
      <w:r w:rsidR="00306798">
        <w:fldChar w:fldCharType="begin"/>
      </w:r>
      <w:r>
        <w:instrText xml:space="preserve"> PAGEREF _Toc440006865 \h </w:instrText>
      </w:r>
      <w:r w:rsidR="00306798">
        <w:fldChar w:fldCharType="separate"/>
      </w:r>
      <w:r>
        <w:t>37</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Table 8</w:t>
      </w:r>
      <w:r>
        <w:rPr>
          <w:rFonts w:asciiTheme="minorHAnsi" w:eastAsiaTheme="minorEastAsia" w:hAnsiTheme="minorHAnsi" w:cstheme="minorBidi"/>
          <w:color w:val="auto"/>
          <w:sz w:val="22"/>
          <w:szCs w:val="22"/>
        </w:rPr>
        <w:tab/>
      </w:r>
      <w:r>
        <w:t>Estimated water allocation price impacts of Commonwealth water purchases for hypothetical future water years – 95 percent confidence limits sensitivity analysis</w:t>
      </w:r>
      <w:r>
        <w:tab/>
      </w:r>
      <w:r w:rsidR="00306798">
        <w:fldChar w:fldCharType="begin"/>
      </w:r>
      <w:r>
        <w:instrText xml:space="preserve"> PAGEREF _Toc440006866 \h </w:instrText>
      </w:r>
      <w:r w:rsidR="00306798">
        <w:fldChar w:fldCharType="separate"/>
      </w:r>
      <w:r>
        <w:t>37</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Table 9</w:t>
      </w:r>
      <w:r>
        <w:rPr>
          <w:rFonts w:asciiTheme="minorHAnsi" w:eastAsiaTheme="minorEastAsia" w:hAnsiTheme="minorHAnsi" w:cstheme="minorBidi"/>
          <w:color w:val="auto"/>
          <w:sz w:val="22"/>
          <w:szCs w:val="22"/>
        </w:rPr>
        <w:tab/>
      </w:r>
      <w:r>
        <w:t>Allocation price impacts of additional Commonwealth water purchases for hypothetical future water year – 95 percent confidence limits sensitivity analysis</w:t>
      </w:r>
      <w:r>
        <w:tab/>
      </w:r>
      <w:r w:rsidR="00306798">
        <w:fldChar w:fldCharType="begin"/>
      </w:r>
      <w:r>
        <w:instrText xml:space="preserve"> PAGEREF _Toc440006867 \h </w:instrText>
      </w:r>
      <w:r w:rsidR="00306798">
        <w:fldChar w:fldCharType="separate"/>
      </w:r>
      <w:r>
        <w:t>38</w:t>
      </w:r>
      <w:r w:rsidR="00306798">
        <w:fldChar w:fldCharType="end"/>
      </w:r>
    </w:p>
    <w:p w:rsidR="00A32660" w:rsidRDefault="00306798" w:rsidP="00803673">
      <w:pPr>
        <w:pStyle w:val="Heading3a"/>
      </w:pPr>
      <w:r>
        <w:fldChar w:fldCharType="end"/>
      </w:r>
      <w:r w:rsidR="00A154AD">
        <w:t>Figures</w:t>
      </w:r>
    </w:p>
    <w:p w:rsidR="00EB2418" w:rsidRDefault="00306798">
      <w:pPr>
        <w:pStyle w:val="TableofFigures"/>
        <w:tabs>
          <w:tab w:val="left" w:pos="1304"/>
        </w:tabs>
        <w:ind w:left="800" w:hanging="800"/>
        <w:rPr>
          <w:rFonts w:asciiTheme="minorHAnsi" w:eastAsiaTheme="minorEastAsia" w:hAnsiTheme="minorHAnsi" w:cstheme="minorBidi"/>
          <w:color w:val="auto"/>
          <w:sz w:val="22"/>
          <w:szCs w:val="22"/>
        </w:rPr>
      </w:pPr>
      <w:r>
        <w:fldChar w:fldCharType="begin"/>
      </w:r>
      <w:r w:rsidR="00894869">
        <w:instrText xml:space="preserve"> TOC \t "FigureName,1" \c "Figure" </w:instrText>
      </w:r>
      <w:r>
        <w:fldChar w:fldCharType="separate"/>
      </w:r>
      <w:r w:rsidR="00EB2418">
        <w:t>Figure ES1</w:t>
      </w:r>
      <w:r w:rsidR="00EB2418">
        <w:rPr>
          <w:rFonts w:asciiTheme="minorHAnsi" w:eastAsiaTheme="minorEastAsia" w:hAnsiTheme="minorHAnsi" w:cstheme="minorBidi"/>
          <w:color w:val="auto"/>
          <w:sz w:val="22"/>
          <w:szCs w:val="22"/>
        </w:rPr>
        <w:tab/>
      </w:r>
      <w:r w:rsidR="00EB2418">
        <w:t>Observed and modelled historical water allocation prices against water allocated to all consumptive and Commonwealth purchased entitlements, 1998-99 to 2014-15</w:t>
      </w:r>
      <w:r w:rsidR="00EB2418">
        <w:tab/>
      </w:r>
      <w:r>
        <w:fldChar w:fldCharType="begin"/>
      </w:r>
      <w:r w:rsidR="00EB2418">
        <w:instrText xml:space="preserve"> PAGEREF _Toc440006868 \h </w:instrText>
      </w:r>
      <w:r>
        <w:fldChar w:fldCharType="separate"/>
      </w:r>
      <w:r w:rsidR="00EB2418">
        <w:t>vi</w:t>
      </w:r>
      <w:r>
        <w:fldChar w:fldCharType="end"/>
      </w:r>
    </w:p>
    <w:p w:rsidR="00EB2418" w:rsidRDefault="00EB2418">
      <w:pPr>
        <w:pStyle w:val="TableofFigures"/>
        <w:tabs>
          <w:tab w:val="left" w:pos="1304"/>
        </w:tabs>
        <w:ind w:left="800" w:hanging="800"/>
        <w:rPr>
          <w:rFonts w:asciiTheme="minorHAnsi" w:eastAsiaTheme="minorEastAsia" w:hAnsiTheme="minorHAnsi" w:cstheme="minorBidi"/>
          <w:color w:val="auto"/>
          <w:sz w:val="22"/>
          <w:szCs w:val="22"/>
        </w:rPr>
      </w:pPr>
      <w:r>
        <w:t>Figure ES2</w:t>
      </w:r>
      <w:r>
        <w:rPr>
          <w:rFonts w:asciiTheme="minorHAnsi" w:eastAsiaTheme="minorEastAsia" w:hAnsiTheme="minorHAnsi" w:cstheme="minorBidi"/>
          <w:color w:val="auto"/>
          <w:sz w:val="22"/>
          <w:szCs w:val="22"/>
        </w:rPr>
        <w:tab/>
      </w:r>
      <w:r>
        <w:t>Historical water allocation price impact of Commonwealth water purchases, 2008-09 to 2014-15</w:t>
      </w:r>
      <w:r>
        <w:tab/>
      </w:r>
      <w:r w:rsidR="00306798">
        <w:fldChar w:fldCharType="begin"/>
      </w:r>
      <w:r>
        <w:instrText xml:space="preserve"> PAGEREF _Toc440006869 \h </w:instrText>
      </w:r>
      <w:r w:rsidR="00306798">
        <w:fldChar w:fldCharType="separate"/>
      </w:r>
      <w:r>
        <w:t>viii</w:t>
      </w:r>
      <w:r w:rsidR="00306798">
        <w:fldChar w:fldCharType="end"/>
      </w:r>
    </w:p>
    <w:p w:rsidR="00EB2418" w:rsidRDefault="00EB2418">
      <w:pPr>
        <w:pStyle w:val="TableofFigures"/>
        <w:tabs>
          <w:tab w:val="left" w:pos="1304"/>
        </w:tabs>
        <w:ind w:left="800" w:hanging="800"/>
        <w:rPr>
          <w:rFonts w:asciiTheme="minorHAnsi" w:eastAsiaTheme="minorEastAsia" w:hAnsiTheme="minorHAnsi" w:cstheme="minorBidi"/>
          <w:color w:val="auto"/>
          <w:sz w:val="22"/>
          <w:szCs w:val="22"/>
        </w:rPr>
      </w:pPr>
      <w:r>
        <w:t>Figure ES3</w:t>
      </w:r>
      <w:r>
        <w:rPr>
          <w:rFonts w:asciiTheme="minorHAnsi" w:eastAsiaTheme="minorEastAsia" w:hAnsiTheme="minorHAnsi" w:cstheme="minorBidi"/>
          <w:color w:val="auto"/>
          <w:sz w:val="22"/>
          <w:szCs w:val="22"/>
        </w:rPr>
        <w:tab/>
      </w:r>
      <w:r>
        <w:t>Estimated water allocation price impacts of Commonwealth water purchases for hypothetical future water years</w:t>
      </w:r>
      <w:r>
        <w:tab/>
      </w:r>
      <w:r w:rsidR="00306798">
        <w:fldChar w:fldCharType="begin"/>
      </w:r>
      <w:r>
        <w:instrText xml:space="preserve"> PAGEREF _Toc440006870 \h </w:instrText>
      </w:r>
      <w:r w:rsidR="00306798">
        <w:fldChar w:fldCharType="separate"/>
      </w:r>
      <w:r>
        <w:t>ix</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Figure 1</w:t>
      </w:r>
      <w:r>
        <w:rPr>
          <w:rFonts w:asciiTheme="minorHAnsi" w:eastAsiaTheme="minorEastAsia" w:hAnsiTheme="minorHAnsi" w:cstheme="minorBidi"/>
          <w:color w:val="auto"/>
          <w:sz w:val="22"/>
          <w:szCs w:val="22"/>
        </w:rPr>
        <w:tab/>
      </w:r>
      <w:r>
        <w:t>Total water allocated and annual median allocation prices, major southern Murray-Darling Basin trading zones, 1998-99 to 2014-15</w:t>
      </w:r>
      <w:r>
        <w:tab/>
      </w:r>
      <w:r w:rsidR="00306798">
        <w:fldChar w:fldCharType="begin"/>
      </w:r>
      <w:r>
        <w:instrText xml:space="preserve"> PAGEREF _Toc440006871 \h </w:instrText>
      </w:r>
      <w:r w:rsidR="00306798">
        <w:fldChar w:fldCharType="separate"/>
      </w:r>
      <w:r>
        <w:t>10</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Figure 2</w:t>
      </w:r>
      <w:r>
        <w:rPr>
          <w:rFonts w:asciiTheme="minorHAnsi" w:eastAsiaTheme="minorEastAsia" w:hAnsiTheme="minorHAnsi" w:cstheme="minorBidi"/>
          <w:color w:val="auto"/>
          <w:sz w:val="22"/>
          <w:szCs w:val="22"/>
        </w:rPr>
        <w:tab/>
      </w:r>
      <w:r>
        <w:t>Impacts of a wet year on the price of water allocations</w:t>
      </w:r>
      <w:r>
        <w:tab/>
      </w:r>
      <w:r w:rsidR="00306798">
        <w:fldChar w:fldCharType="begin"/>
      </w:r>
      <w:r>
        <w:instrText xml:space="preserve"> PAGEREF _Toc440006872 \h </w:instrText>
      </w:r>
      <w:r w:rsidR="00306798">
        <w:fldChar w:fldCharType="separate"/>
      </w:r>
      <w:r>
        <w:t>11</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Figure 3</w:t>
      </w:r>
      <w:r>
        <w:rPr>
          <w:rFonts w:asciiTheme="minorHAnsi" w:eastAsiaTheme="minorEastAsia" w:hAnsiTheme="minorHAnsi" w:cstheme="minorBidi"/>
          <w:color w:val="auto"/>
          <w:sz w:val="22"/>
          <w:szCs w:val="22"/>
        </w:rPr>
        <w:tab/>
      </w:r>
      <w:r>
        <w:t>Impacts of a dry year on the price of water allocations</w:t>
      </w:r>
      <w:r>
        <w:tab/>
      </w:r>
      <w:r w:rsidR="00306798">
        <w:fldChar w:fldCharType="begin"/>
      </w:r>
      <w:r>
        <w:instrText xml:space="preserve"> PAGEREF _Toc440006873 \h </w:instrText>
      </w:r>
      <w:r w:rsidR="00306798">
        <w:fldChar w:fldCharType="separate"/>
      </w:r>
      <w:r>
        <w:t>11</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Figure 4</w:t>
      </w:r>
      <w:r>
        <w:rPr>
          <w:rFonts w:asciiTheme="minorHAnsi" w:eastAsiaTheme="minorEastAsia" w:hAnsiTheme="minorHAnsi" w:cstheme="minorBidi"/>
          <w:color w:val="auto"/>
          <w:sz w:val="22"/>
          <w:szCs w:val="22"/>
        </w:rPr>
        <w:tab/>
      </w:r>
      <w:r>
        <w:t>Impact of Commonwealth water purchases on volume of water allocated that is available for consumptive use, major sMDB trading zones, 2005-06 to 2014-15</w:t>
      </w:r>
      <w:r>
        <w:tab/>
      </w:r>
      <w:r w:rsidR="00306798">
        <w:fldChar w:fldCharType="begin"/>
      </w:r>
      <w:r>
        <w:instrText xml:space="preserve"> PAGEREF _Toc440006874 \h </w:instrText>
      </w:r>
      <w:r w:rsidR="00306798">
        <w:fldChar w:fldCharType="separate"/>
      </w:r>
      <w:r>
        <w:t>13</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Figure 5</w:t>
      </w:r>
      <w:r>
        <w:rPr>
          <w:rFonts w:asciiTheme="minorHAnsi" w:eastAsiaTheme="minorEastAsia" w:hAnsiTheme="minorHAnsi" w:cstheme="minorBidi"/>
          <w:color w:val="auto"/>
          <w:sz w:val="22"/>
          <w:szCs w:val="22"/>
        </w:rPr>
        <w:tab/>
      </w:r>
      <w:r>
        <w:t>Performance of the model relative to actual allocation prices, 1998-99 to 2014-15</w:t>
      </w:r>
      <w:r>
        <w:tab/>
      </w:r>
      <w:r w:rsidR="00306798">
        <w:fldChar w:fldCharType="begin"/>
      </w:r>
      <w:r>
        <w:instrText xml:space="preserve"> PAGEREF _Toc440006875 \h </w:instrText>
      </w:r>
      <w:r w:rsidR="00306798">
        <w:fldChar w:fldCharType="separate"/>
      </w:r>
      <w:r>
        <w:t>16</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Figure 6</w:t>
      </w:r>
      <w:r>
        <w:rPr>
          <w:rFonts w:asciiTheme="minorHAnsi" w:eastAsiaTheme="minorEastAsia" w:hAnsiTheme="minorHAnsi" w:cstheme="minorBidi"/>
          <w:color w:val="auto"/>
          <w:sz w:val="22"/>
          <w:szCs w:val="22"/>
        </w:rPr>
        <w:tab/>
      </w:r>
      <w:r>
        <w:t>Observed and modelled historical water allocation prices against water allocated to all consumptive and Commonwealth purchased entitlements, 1998-99 to 2014-15</w:t>
      </w:r>
      <w:r>
        <w:tab/>
      </w:r>
      <w:r w:rsidR="00306798">
        <w:fldChar w:fldCharType="begin"/>
      </w:r>
      <w:r>
        <w:instrText xml:space="preserve"> PAGEREF _Toc440006876 \h </w:instrText>
      </w:r>
      <w:r w:rsidR="00306798">
        <w:fldChar w:fldCharType="separate"/>
      </w:r>
      <w:r>
        <w:t>23</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Figure 7</w:t>
      </w:r>
      <w:r>
        <w:rPr>
          <w:rFonts w:asciiTheme="minorHAnsi" w:eastAsiaTheme="minorEastAsia" w:hAnsiTheme="minorHAnsi" w:cstheme="minorBidi"/>
          <w:color w:val="auto"/>
          <w:sz w:val="22"/>
          <w:szCs w:val="22"/>
        </w:rPr>
        <w:tab/>
      </w:r>
      <w:r>
        <w:t>Historical water allocation price impact of Commonwealth water purchases, 2008-09 to 2014-15</w:t>
      </w:r>
      <w:r>
        <w:tab/>
      </w:r>
      <w:r w:rsidR="00306798">
        <w:fldChar w:fldCharType="begin"/>
      </w:r>
      <w:r>
        <w:instrText xml:space="preserve"> PAGEREF _Toc440006877 \h </w:instrText>
      </w:r>
      <w:r w:rsidR="00306798">
        <w:fldChar w:fldCharType="separate"/>
      </w:r>
      <w:r>
        <w:t>25</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Figure 8</w:t>
      </w:r>
      <w:r>
        <w:rPr>
          <w:rFonts w:asciiTheme="minorHAnsi" w:eastAsiaTheme="minorEastAsia" w:hAnsiTheme="minorHAnsi" w:cstheme="minorBidi"/>
          <w:color w:val="auto"/>
          <w:sz w:val="22"/>
          <w:szCs w:val="22"/>
        </w:rPr>
        <w:tab/>
      </w:r>
      <w:r>
        <w:t>Estimated water allocation price impacts of Commonwealth water purchases for hypothetical future water years</w:t>
      </w:r>
      <w:r>
        <w:tab/>
      </w:r>
      <w:r w:rsidR="00306798">
        <w:fldChar w:fldCharType="begin"/>
      </w:r>
      <w:r>
        <w:instrText xml:space="preserve"> PAGEREF _Toc440006878 \h </w:instrText>
      </w:r>
      <w:r w:rsidR="00306798">
        <w:fldChar w:fldCharType="separate"/>
      </w:r>
      <w:r>
        <w:t>27</w:t>
      </w:r>
      <w:r w:rsidR="00306798">
        <w:fldChar w:fldCharType="end"/>
      </w:r>
    </w:p>
    <w:p w:rsidR="00EB2418" w:rsidRDefault="00EB2418">
      <w:pPr>
        <w:pStyle w:val="TableofFigures"/>
        <w:tabs>
          <w:tab w:val="left" w:pos="1021"/>
        </w:tabs>
        <w:ind w:left="800" w:hanging="800"/>
        <w:rPr>
          <w:rFonts w:asciiTheme="minorHAnsi" w:eastAsiaTheme="minorEastAsia" w:hAnsiTheme="minorHAnsi" w:cstheme="minorBidi"/>
          <w:color w:val="auto"/>
          <w:sz w:val="22"/>
          <w:szCs w:val="22"/>
        </w:rPr>
      </w:pPr>
      <w:r>
        <w:t>Figure 9</w:t>
      </w:r>
      <w:r>
        <w:rPr>
          <w:rFonts w:asciiTheme="minorHAnsi" w:eastAsiaTheme="minorEastAsia" w:hAnsiTheme="minorHAnsi" w:cstheme="minorBidi"/>
          <w:color w:val="auto"/>
          <w:sz w:val="22"/>
          <w:szCs w:val="22"/>
        </w:rPr>
        <w:tab/>
      </w:r>
      <w:r>
        <w:t>Impact of Commonwealth water purchases in a dry and wet year</w:t>
      </w:r>
      <w:r>
        <w:tab/>
      </w:r>
      <w:r w:rsidR="00306798">
        <w:fldChar w:fldCharType="begin"/>
      </w:r>
      <w:r>
        <w:instrText xml:space="preserve"> PAGEREF _Toc440006879 \h </w:instrText>
      </w:r>
      <w:r w:rsidR="00306798">
        <w:fldChar w:fldCharType="separate"/>
      </w:r>
      <w:r>
        <w:t>28</w:t>
      </w:r>
      <w:r w:rsidR="00306798">
        <w:fldChar w:fldCharType="end"/>
      </w:r>
    </w:p>
    <w:p w:rsidR="00EB2418" w:rsidRDefault="00EB2418">
      <w:pPr>
        <w:pStyle w:val="TableofFigures"/>
        <w:tabs>
          <w:tab w:val="left" w:pos="1304"/>
        </w:tabs>
        <w:ind w:left="800" w:hanging="800"/>
        <w:rPr>
          <w:rFonts w:asciiTheme="minorHAnsi" w:eastAsiaTheme="minorEastAsia" w:hAnsiTheme="minorHAnsi" w:cstheme="minorBidi"/>
          <w:color w:val="auto"/>
          <w:sz w:val="22"/>
          <w:szCs w:val="22"/>
        </w:rPr>
      </w:pPr>
      <w:r>
        <w:t>Figure 10</w:t>
      </w:r>
      <w:r>
        <w:rPr>
          <w:rFonts w:asciiTheme="minorHAnsi" w:eastAsiaTheme="minorEastAsia" w:hAnsiTheme="minorHAnsi" w:cstheme="minorBidi"/>
          <w:color w:val="auto"/>
          <w:sz w:val="22"/>
          <w:szCs w:val="22"/>
        </w:rPr>
        <w:tab/>
      </w:r>
      <w:r>
        <w:t>Estimated water allocation price impacts of additional Commonwealth water purchases for hypothetical future water years</w:t>
      </w:r>
      <w:r>
        <w:tab/>
      </w:r>
      <w:r w:rsidR="00306798">
        <w:fldChar w:fldCharType="begin"/>
      </w:r>
      <w:r>
        <w:instrText xml:space="preserve"> PAGEREF _Toc440006880 \h </w:instrText>
      </w:r>
      <w:r w:rsidR="00306798">
        <w:fldChar w:fldCharType="separate"/>
      </w:r>
      <w:r>
        <w:t>30</w:t>
      </w:r>
      <w:r w:rsidR="00306798">
        <w:fldChar w:fldCharType="end"/>
      </w:r>
    </w:p>
    <w:p w:rsidR="00DD0FFE" w:rsidRDefault="00306798" w:rsidP="00CA6A70">
      <w:pPr>
        <w:pStyle w:val="TableofFigures"/>
        <w:tabs>
          <w:tab w:val="left" w:pos="1304"/>
        </w:tabs>
        <w:ind w:left="800" w:hanging="800"/>
      </w:pPr>
      <w:r>
        <w:fldChar w:fldCharType="end"/>
      </w:r>
      <w:r w:rsidR="00DD0FFE">
        <w:t xml:space="preserve"> </w:t>
      </w:r>
      <w:r w:rsidR="00DD0FFE">
        <w:br w:type="page"/>
      </w:r>
    </w:p>
    <w:p w:rsidR="00213768" w:rsidRDefault="00213768" w:rsidP="00C03EF5">
      <w:pPr>
        <w:pStyle w:val="Heading3a"/>
      </w:pPr>
      <w:bookmarkStart w:id="0" w:name="_Toc340238749"/>
      <w:r>
        <w:lastRenderedPageBreak/>
        <w:t>Abbreviations</w:t>
      </w:r>
    </w:p>
    <w:tbl>
      <w:tblPr>
        <w:tblStyle w:val="Aither"/>
        <w:tblW w:w="0" w:type="auto"/>
        <w:tblLook w:val="0480"/>
      </w:tblPr>
      <w:tblGrid>
        <w:gridCol w:w="1951"/>
        <w:gridCol w:w="7229"/>
      </w:tblGrid>
      <w:tr w:rsidR="00410B4A" w:rsidRPr="00D65BF2" w:rsidTr="006F74EC">
        <w:trPr>
          <w:cnfStyle w:val="000000100000"/>
        </w:trPr>
        <w:tc>
          <w:tcPr>
            <w:tcW w:w="1951" w:type="dxa"/>
          </w:tcPr>
          <w:p w:rsidR="00410B4A" w:rsidRPr="00C21848" w:rsidRDefault="00902EEC" w:rsidP="00902EEC">
            <w:pPr>
              <w:pStyle w:val="TableText"/>
              <w:rPr>
                <w:highlight w:val="yellow"/>
              </w:rPr>
            </w:pPr>
            <w:r w:rsidRPr="00902EEC">
              <w:t>CEWH</w:t>
            </w:r>
          </w:p>
        </w:tc>
        <w:tc>
          <w:tcPr>
            <w:tcW w:w="7229" w:type="dxa"/>
          </w:tcPr>
          <w:p w:rsidR="00410B4A" w:rsidRPr="00C21848" w:rsidRDefault="00902EEC" w:rsidP="00902EEC">
            <w:pPr>
              <w:pStyle w:val="TableText"/>
              <w:rPr>
                <w:highlight w:val="yellow"/>
              </w:rPr>
            </w:pPr>
            <w:r w:rsidRPr="00902EEC">
              <w:t xml:space="preserve">Commonwealth Environmental Water Holder </w:t>
            </w:r>
          </w:p>
        </w:tc>
      </w:tr>
      <w:tr w:rsidR="00410B4A" w:rsidRPr="00D65BF2" w:rsidTr="006F74EC">
        <w:tc>
          <w:tcPr>
            <w:tcW w:w="1951" w:type="dxa"/>
          </w:tcPr>
          <w:p w:rsidR="00410B4A" w:rsidRPr="00D65BF2" w:rsidRDefault="00982EFF" w:rsidP="00D65BF2">
            <w:pPr>
              <w:pStyle w:val="TableText"/>
            </w:pPr>
            <w:r>
              <w:t>CEWO</w:t>
            </w:r>
          </w:p>
        </w:tc>
        <w:tc>
          <w:tcPr>
            <w:tcW w:w="7229" w:type="dxa"/>
          </w:tcPr>
          <w:p w:rsidR="00410B4A" w:rsidRPr="00D65BF2" w:rsidRDefault="00982EFF" w:rsidP="00982EFF">
            <w:pPr>
              <w:pStyle w:val="TableText"/>
            </w:pPr>
            <w:r w:rsidRPr="00982EFF">
              <w:t xml:space="preserve">Commonwealth Environmental Water Office </w:t>
            </w:r>
          </w:p>
        </w:tc>
      </w:tr>
      <w:tr w:rsidR="000614CD" w:rsidRPr="00D65BF2" w:rsidTr="006F74EC">
        <w:trPr>
          <w:cnfStyle w:val="000000100000"/>
        </w:trPr>
        <w:tc>
          <w:tcPr>
            <w:tcW w:w="1951" w:type="dxa"/>
          </w:tcPr>
          <w:p w:rsidR="000614CD" w:rsidRDefault="000614CD" w:rsidP="00D65BF2">
            <w:pPr>
              <w:pStyle w:val="TableText"/>
            </w:pPr>
            <w:proofErr w:type="spellStart"/>
            <w:r>
              <w:t>DotE</w:t>
            </w:r>
            <w:proofErr w:type="spellEnd"/>
          </w:p>
        </w:tc>
        <w:tc>
          <w:tcPr>
            <w:tcW w:w="7229" w:type="dxa"/>
          </w:tcPr>
          <w:p w:rsidR="000614CD" w:rsidRPr="00982EFF" w:rsidRDefault="000614CD" w:rsidP="00982EFF">
            <w:pPr>
              <w:pStyle w:val="TableText"/>
            </w:pPr>
            <w:r w:rsidRPr="00982EFF">
              <w:t>Commonwealth</w:t>
            </w:r>
            <w:r>
              <w:t xml:space="preserve"> Department of the Environment</w:t>
            </w:r>
          </w:p>
        </w:tc>
      </w:tr>
      <w:tr w:rsidR="009B2B4B" w:rsidRPr="00D65BF2" w:rsidTr="006F74EC">
        <w:tc>
          <w:tcPr>
            <w:tcW w:w="1951" w:type="dxa"/>
          </w:tcPr>
          <w:p w:rsidR="009B2B4B" w:rsidRDefault="009B2B4B" w:rsidP="00D65BF2">
            <w:pPr>
              <w:pStyle w:val="TableText"/>
            </w:pPr>
            <w:r>
              <w:t>DSE</w:t>
            </w:r>
          </w:p>
        </w:tc>
        <w:tc>
          <w:tcPr>
            <w:tcW w:w="7229" w:type="dxa"/>
          </w:tcPr>
          <w:p w:rsidR="009B2B4B" w:rsidRPr="00982EFF" w:rsidRDefault="009B2B4B" w:rsidP="009B2B4B">
            <w:pPr>
              <w:pStyle w:val="TableText"/>
            </w:pPr>
            <w:r w:rsidRPr="009B2B4B">
              <w:t xml:space="preserve">Victorian Department of Sustainability </w:t>
            </w:r>
            <w:r w:rsidR="003E6D18">
              <w:t>and</w:t>
            </w:r>
            <w:r w:rsidRPr="009B2B4B">
              <w:t xml:space="preserve"> Environment </w:t>
            </w:r>
          </w:p>
        </w:tc>
      </w:tr>
      <w:tr w:rsidR="00A32660" w:rsidRPr="00D65BF2" w:rsidTr="006F74EC">
        <w:trPr>
          <w:cnfStyle w:val="000000100000"/>
        </w:trPr>
        <w:tc>
          <w:tcPr>
            <w:tcW w:w="1951" w:type="dxa"/>
          </w:tcPr>
          <w:p w:rsidR="00A32660" w:rsidRDefault="00A32660" w:rsidP="00D65BF2">
            <w:pPr>
              <w:pStyle w:val="TableText"/>
            </w:pPr>
            <w:r>
              <w:t>GL</w:t>
            </w:r>
          </w:p>
        </w:tc>
        <w:tc>
          <w:tcPr>
            <w:tcW w:w="7229" w:type="dxa"/>
          </w:tcPr>
          <w:p w:rsidR="00A32660" w:rsidRPr="00982EFF" w:rsidRDefault="00A32660" w:rsidP="00982EFF">
            <w:pPr>
              <w:pStyle w:val="TableText"/>
            </w:pPr>
            <w:proofErr w:type="spellStart"/>
            <w:r>
              <w:t>Gigalitre</w:t>
            </w:r>
            <w:proofErr w:type="spellEnd"/>
            <w:r>
              <w:t xml:space="preserve"> </w:t>
            </w:r>
          </w:p>
        </w:tc>
      </w:tr>
      <w:tr w:rsidR="00A32660" w:rsidRPr="00D65BF2" w:rsidTr="006F74EC">
        <w:tc>
          <w:tcPr>
            <w:tcW w:w="1951" w:type="dxa"/>
          </w:tcPr>
          <w:p w:rsidR="00A32660" w:rsidRPr="00D65BF2" w:rsidRDefault="00A32660" w:rsidP="00D65BF2">
            <w:pPr>
              <w:pStyle w:val="TableText"/>
            </w:pPr>
            <w:r>
              <w:t>ML</w:t>
            </w:r>
          </w:p>
        </w:tc>
        <w:tc>
          <w:tcPr>
            <w:tcW w:w="7229" w:type="dxa"/>
          </w:tcPr>
          <w:p w:rsidR="00A32660" w:rsidRPr="00D65BF2" w:rsidRDefault="00A32660" w:rsidP="00D65BF2">
            <w:pPr>
              <w:pStyle w:val="TableText"/>
            </w:pPr>
            <w:proofErr w:type="spellStart"/>
            <w:r>
              <w:t>Megalitre</w:t>
            </w:r>
            <w:proofErr w:type="spellEnd"/>
          </w:p>
        </w:tc>
      </w:tr>
      <w:tr w:rsidR="009B2B4B" w:rsidRPr="00D65BF2" w:rsidTr="006F74EC">
        <w:trPr>
          <w:cnfStyle w:val="000000100000"/>
        </w:trPr>
        <w:tc>
          <w:tcPr>
            <w:tcW w:w="1951" w:type="dxa"/>
          </w:tcPr>
          <w:p w:rsidR="009B2B4B" w:rsidRDefault="009B2B4B" w:rsidP="00D65BF2">
            <w:pPr>
              <w:pStyle w:val="TableText"/>
            </w:pPr>
            <w:r>
              <w:t>NWC</w:t>
            </w:r>
          </w:p>
        </w:tc>
        <w:tc>
          <w:tcPr>
            <w:tcW w:w="7229" w:type="dxa"/>
          </w:tcPr>
          <w:p w:rsidR="009B2B4B" w:rsidRDefault="009B2B4B" w:rsidP="00D65BF2">
            <w:pPr>
              <w:pStyle w:val="TableText"/>
            </w:pPr>
            <w:r>
              <w:t xml:space="preserve">National Water Commission </w:t>
            </w:r>
          </w:p>
        </w:tc>
      </w:tr>
      <w:tr w:rsidR="00A32660" w:rsidRPr="00D65BF2" w:rsidTr="006F74EC">
        <w:tc>
          <w:tcPr>
            <w:tcW w:w="1951" w:type="dxa"/>
          </w:tcPr>
          <w:p w:rsidR="00A32660" w:rsidRDefault="00A32660" w:rsidP="00D65BF2">
            <w:pPr>
              <w:pStyle w:val="TableText"/>
            </w:pPr>
            <w:r>
              <w:t>OEH</w:t>
            </w:r>
          </w:p>
        </w:tc>
        <w:tc>
          <w:tcPr>
            <w:tcW w:w="7229" w:type="dxa"/>
          </w:tcPr>
          <w:p w:rsidR="00A32660" w:rsidRDefault="00A32660" w:rsidP="00D65BF2">
            <w:pPr>
              <w:pStyle w:val="TableText"/>
            </w:pPr>
            <w:r w:rsidRPr="001D3DA0">
              <w:t xml:space="preserve">New South Wales Office of Environment and Heritage </w:t>
            </w:r>
          </w:p>
        </w:tc>
      </w:tr>
      <w:tr w:rsidR="00A32660" w:rsidRPr="00D65BF2" w:rsidTr="006F74EC">
        <w:trPr>
          <w:cnfStyle w:val="000000100000"/>
        </w:trPr>
        <w:tc>
          <w:tcPr>
            <w:tcW w:w="1951" w:type="dxa"/>
          </w:tcPr>
          <w:p w:rsidR="00A32660" w:rsidRDefault="00A32660" w:rsidP="00D65BF2">
            <w:pPr>
              <w:pStyle w:val="TableText"/>
            </w:pPr>
            <w:proofErr w:type="spellStart"/>
            <w:r>
              <w:t>sMDB</w:t>
            </w:r>
            <w:proofErr w:type="spellEnd"/>
          </w:p>
        </w:tc>
        <w:tc>
          <w:tcPr>
            <w:tcW w:w="7229" w:type="dxa"/>
          </w:tcPr>
          <w:p w:rsidR="00A32660" w:rsidRDefault="00A32660" w:rsidP="00D65BF2">
            <w:pPr>
              <w:pStyle w:val="TableText"/>
            </w:pPr>
            <w:r>
              <w:t xml:space="preserve">Southern Murray-Darling Basin </w:t>
            </w:r>
          </w:p>
        </w:tc>
      </w:tr>
      <w:tr w:rsidR="00A32660" w:rsidRPr="00D65BF2" w:rsidTr="006F74EC">
        <w:tc>
          <w:tcPr>
            <w:tcW w:w="1951" w:type="dxa"/>
          </w:tcPr>
          <w:p w:rsidR="00A32660" w:rsidRDefault="00A32660" w:rsidP="00D65BF2">
            <w:pPr>
              <w:pStyle w:val="TableText"/>
            </w:pPr>
            <w:r>
              <w:t>TLM</w:t>
            </w:r>
          </w:p>
        </w:tc>
        <w:tc>
          <w:tcPr>
            <w:tcW w:w="7229" w:type="dxa"/>
          </w:tcPr>
          <w:p w:rsidR="00A32660" w:rsidRDefault="00A32660" w:rsidP="00D65BF2">
            <w:pPr>
              <w:pStyle w:val="TableText"/>
            </w:pPr>
            <w:r>
              <w:t>The Living Murray</w:t>
            </w:r>
          </w:p>
        </w:tc>
      </w:tr>
      <w:tr w:rsidR="00A32660" w:rsidRPr="00D65BF2" w:rsidTr="006F74EC">
        <w:trPr>
          <w:cnfStyle w:val="000000100000"/>
        </w:trPr>
        <w:tc>
          <w:tcPr>
            <w:tcW w:w="1951" w:type="dxa"/>
          </w:tcPr>
          <w:p w:rsidR="00A32660" w:rsidRDefault="00A32660" w:rsidP="00D65BF2">
            <w:pPr>
              <w:pStyle w:val="TableText"/>
            </w:pPr>
            <w:r>
              <w:t>VEWH</w:t>
            </w:r>
          </w:p>
        </w:tc>
        <w:tc>
          <w:tcPr>
            <w:tcW w:w="7229" w:type="dxa"/>
          </w:tcPr>
          <w:p w:rsidR="00A32660" w:rsidRDefault="00A32660" w:rsidP="001D3DA0">
            <w:pPr>
              <w:pStyle w:val="TableText"/>
            </w:pPr>
            <w:r>
              <w:t>V</w:t>
            </w:r>
            <w:r w:rsidRPr="001D3DA0">
              <w:t xml:space="preserve">ictorian Environmental Water Holder </w:t>
            </w:r>
          </w:p>
        </w:tc>
      </w:tr>
    </w:tbl>
    <w:p w:rsidR="00213768" w:rsidRDefault="00213768" w:rsidP="00C03EF5">
      <w:pPr>
        <w:pStyle w:val="Heading3a"/>
      </w:pPr>
      <w:r>
        <w:t>Glossary</w:t>
      </w:r>
    </w:p>
    <w:tbl>
      <w:tblPr>
        <w:tblStyle w:val="Aither"/>
        <w:tblW w:w="0" w:type="auto"/>
        <w:tblLook w:val="0480"/>
      </w:tblPr>
      <w:tblGrid>
        <w:gridCol w:w="1951"/>
        <w:gridCol w:w="7229"/>
      </w:tblGrid>
      <w:tr w:rsidR="00C51FF7" w:rsidRPr="00D65BF2" w:rsidTr="006F74EC">
        <w:trPr>
          <w:cnfStyle w:val="000000100000"/>
        </w:trPr>
        <w:tc>
          <w:tcPr>
            <w:tcW w:w="1951" w:type="dxa"/>
          </w:tcPr>
          <w:p w:rsidR="00C51FF7" w:rsidRPr="007778DE" w:rsidRDefault="00C51FF7" w:rsidP="00372B22">
            <w:pPr>
              <w:pStyle w:val="TableText"/>
              <w:keepNext w:val="0"/>
              <w:rPr>
                <w:highlight w:val="yellow"/>
              </w:rPr>
            </w:pPr>
            <w:r>
              <w:t>A</w:t>
            </w:r>
            <w:r w:rsidRPr="0094728B">
              <w:t>nnual water requirements (or demands</w:t>
            </w:r>
            <w:r>
              <w:t>)</w:t>
            </w:r>
          </w:p>
        </w:tc>
        <w:tc>
          <w:tcPr>
            <w:tcW w:w="7229" w:type="dxa"/>
          </w:tcPr>
          <w:p w:rsidR="00C51FF7" w:rsidRPr="007778DE" w:rsidRDefault="00C51FF7" w:rsidP="00372B22">
            <w:pPr>
              <w:pStyle w:val="TableText"/>
              <w:keepNext w:val="0"/>
              <w:rPr>
                <w:highlight w:val="yellow"/>
              </w:rPr>
            </w:pPr>
            <w:r>
              <w:t>Refers to the total volume</w:t>
            </w:r>
            <w:r w:rsidRPr="00CD5E3C">
              <w:t xml:space="preserve"> of water </w:t>
            </w:r>
            <w:r>
              <w:t>required by irrigator</w:t>
            </w:r>
            <w:r w:rsidR="00C8095C">
              <w:t>s</w:t>
            </w:r>
            <w:r>
              <w:t xml:space="preserve"> or agricultural producer</w:t>
            </w:r>
            <w:r w:rsidR="00C8095C">
              <w:t>s</w:t>
            </w:r>
            <w:r>
              <w:t xml:space="preserve"> to meet a certain level of production in a given water year. </w:t>
            </w:r>
          </w:p>
        </w:tc>
      </w:tr>
      <w:tr w:rsidR="00C51FF7" w:rsidRPr="00D65BF2" w:rsidTr="006F74EC">
        <w:tc>
          <w:tcPr>
            <w:tcW w:w="1951" w:type="dxa"/>
          </w:tcPr>
          <w:p w:rsidR="00C51FF7" w:rsidRPr="00CD5E3C" w:rsidDel="00CD5E3C" w:rsidRDefault="00C51FF7" w:rsidP="00372B22">
            <w:pPr>
              <w:pStyle w:val="TableText"/>
              <w:keepNext w:val="0"/>
            </w:pPr>
            <w:r>
              <w:t>Commonwealth water purchases</w:t>
            </w:r>
          </w:p>
        </w:tc>
        <w:tc>
          <w:tcPr>
            <w:tcW w:w="7229" w:type="dxa"/>
          </w:tcPr>
          <w:p w:rsidR="00C51FF7" w:rsidRPr="007778DE" w:rsidDel="00CD5E3C" w:rsidRDefault="00C51FF7" w:rsidP="00A678D5">
            <w:pPr>
              <w:pStyle w:val="TableText"/>
              <w:keepNext w:val="0"/>
              <w:rPr>
                <w:highlight w:val="yellow"/>
              </w:rPr>
            </w:pPr>
            <w:r w:rsidRPr="00CD5E3C">
              <w:t>Commonwealth water purchases</w:t>
            </w:r>
            <w:r>
              <w:t xml:space="preserve"> refer to water entitlements purchased by the Commonwealth Government </w:t>
            </w:r>
            <w:r w:rsidR="00A678D5">
              <w:t>u</w:t>
            </w:r>
            <w:r w:rsidR="00A678D5" w:rsidRPr="00CD5E3C">
              <w:t xml:space="preserve">nder </w:t>
            </w:r>
            <w:r w:rsidRPr="00CD5E3C">
              <w:t>the Restoring the Balance in th</w:t>
            </w:r>
            <w:r>
              <w:t>e Murray-Darling Basin Program</w:t>
            </w:r>
            <w:r w:rsidR="00A678D5">
              <w:t>, s</w:t>
            </w:r>
            <w:r>
              <w:t xml:space="preserve">ometimes referred to as ‘buyback’. </w:t>
            </w:r>
          </w:p>
        </w:tc>
      </w:tr>
      <w:tr w:rsidR="00C51FF7" w:rsidRPr="00D65BF2" w:rsidTr="006F74EC">
        <w:trPr>
          <w:cnfStyle w:val="000000100000"/>
        </w:trPr>
        <w:tc>
          <w:tcPr>
            <w:tcW w:w="1951" w:type="dxa"/>
          </w:tcPr>
          <w:p w:rsidR="00C51FF7" w:rsidRPr="00CD5E3C" w:rsidDel="00CD5E3C" w:rsidRDefault="00C51FF7" w:rsidP="00372B22">
            <w:pPr>
              <w:pStyle w:val="TableText"/>
              <w:keepNext w:val="0"/>
            </w:pPr>
            <w:r>
              <w:t>Elasticity</w:t>
            </w:r>
          </w:p>
        </w:tc>
        <w:tc>
          <w:tcPr>
            <w:tcW w:w="7229" w:type="dxa"/>
          </w:tcPr>
          <w:p w:rsidR="00C51FF7" w:rsidRPr="007778DE" w:rsidDel="00CD5E3C" w:rsidRDefault="00C51FF7" w:rsidP="00372B22">
            <w:pPr>
              <w:pStyle w:val="TableText"/>
              <w:keepNext w:val="0"/>
              <w:rPr>
                <w:highlight w:val="yellow"/>
              </w:rPr>
            </w:pPr>
            <w:r>
              <w:t xml:space="preserve">Demand elasticity is the percentage change in quantity of water demanded in response to a 1 per cent increase in price. </w:t>
            </w:r>
          </w:p>
        </w:tc>
      </w:tr>
      <w:tr w:rsidR="00154714" w:rsidRPr="00D65BF2" w:rsidTr="006F74EC">
        <w:tc>
          <w:tcPr>
            <w:tcW w:w="1951" w:type="dxa"/>
          </w:tcPr>
          <w:p w:rsidR="00154714" w:rsidRDefault="00154714" w:rsidP="00372B22">
            <w:pPr>
              <w:pStyle w:val="TableText"/>
              <w:keepNext w:val="0"/>
            </w:pPr>
            <w:r>
              <w:t>In-crop rainfall</w:t>
            </w:r>
          </w:p>
        </w:tc>
        <w:tc>
          <w:tcPr>
            <w:tcW w:w="7229" w:type="dxa"/>
          </w:tcPr>
          <w:p w:rsidR="00154714" w:rsidRDefault="00154714" w:rsidP="00372B22">
            <w:pPr>
              <w:pStyle w:val="TableText"/>
              <w:keepNext w:val="0"/>
            </w:pPr>
            <w:r>
              <w:t>Refers to the total volume</w:t>
            </w:r>
            <w:r w:rsidRPr="00CD5E3C">
              <w:t xml:space="preserve"> of </w:t>
            </w:r>
            <w:r>
              <w:t xml:space="preserve">precipitation (rainfall) that falls directly on productive land that is used for irrigated purposes. </w:t>
            </w:r>
          </w:p>
        </w:tc>
      </w:tr>
      <w:tr w:rsidR="00154714" w:rsidRPr="00D65BF2" w:rsidTr="006F74EC">
        <w:trPr>
          <w:cnfStyle w:val="000000100000"/>
        </w:trPr>
        <w:tc>
          <w:tcPr>
            <w:tcW w:w="1951" w:type="dxa"/>
          </w:tcPr>
          <w:p w:rsidR="00154714" w:rsidRDefault="00154714" w:rsidP="00372B22">
            <w:pPr>
              <w:pStyle w:val="TableText"/>
              <w:keepNext w:val="0"/>
            </w:pPr>
            <w:r>
              <w:t>Rainfall in growing regions</w:t>
            </w:r>
          </w:p>
        </w:tc>
        <w:tc>
          <w:tcPr>
            <w:tcW w:w="7229" w:type="dxa"/>
          </w:tcPr>
          <w:p w:rsidR="00154714" w:rsidRDefault="00154714" w:rsidP="00A678D5">
            <w:pPr>
              <w:pStyle w:val="TableText"/>
              <w:keepNext w:val="0"/>
            </w:pPr>
            <w:r>
              <w:t>Refers to the total volume</w:t>
            </w:r>
            <w:r w:rsidRPr="00CD5E3C">
              <w:t xml:space="preserve"> of </w:t>
            </w:r>
            <w:r>
              <w:t xml:space="preserve">precipitation (rainfall) that falls within regions in the southern Murray-Darling </w:t>
            </w:r>
            <w:r w:rsidR="00A678D5">
              <w:t xml:space="preserve">Basin </w:t>
            </w:r>
            <w:r>
              <w:t>that has irrigated agriculture production.</w:t>
            </w:r>
          </w:p>
        </w:tc>
      </w:tr>
      <w:tr w:rsidR="00C51FF7" w:rsidRPr="00D65BF2" w:rsidTr="006F74EC">
        <w:tc>
          <w:tcPr>
            <w:tcW w:w="1951" w:type="dxa"/>
          </w:tcPr>
          <w:p w:rsidR="00C51FF7" w:rsidRPr="00CD5E3C" w:rsidDel="00CD5E3C" w:rsidRDefault="00C51FF7" w:rsidP="00372B22">
            <w:pPr>
              <w:pStyle w:val="TableText"/>
              <w:keepNext w:val="0"/>
            </w:pPr>
            <w:r>
              <w:t xml:space="preserve">Water allocation </w:t>
            </w:r>
          </w:p>
        </w:tc>
        <w:tc>
          <w:tcPr>
            <w:tcW w:w="7229" w:type="dxa"/>
          </w:tcPr>
          <w:p w:rsidR="00C51FF7" w:rsidRPr="007778DE" w:rsidDel="00CD5E3C" w:rsidRDefault="00C51FF7" w:rsidP="00372B22">
            <w:pPr>
              <w:pStyle w:val="TableText"/>
              <w:keepNext w:val="0"/>
              <w:rPr>
                <w:highlight w:val="yellow"/>
              </w:rPr>
            </w:pPr>
            <w:r w:rsidRPr="00CD5E3C">
              <w:t>Water allocations are the volumes of water allocated to water entitlement holders during the water year (1 July to 30 June). They are a physical good analogous to a commodity, and are extracted from water courses and applied as inputs to production or the environment.</w:t>
            </w:r>
          </w:p>
        </w:tc>
      </w:tr>
      <w:tr w:rsidR="00C51FF7" w:rsidRPr="00D65BF2" w:rsidTr="006F74EC">
        <w:trPr>
          <w:cnfStyle w:val="000000100000"/>
        </w:trPr>
        <w:tc>
          <w:tcPr>
            <w:tcW w:w="1951" w:type="dxa"/>
          </w:tcPr>
          <w:p w:rsidR="00C51FF7" w:rsidRDefault="00C51FF7" w:rsidP="00372B22">
            <w:pPr>
              <w:pStyle w:val="TableText"/>
              <w:keepNext w:val="0"/>
            </w:pPr>
            <w:r>
              <w:t>Water availability</w:t>
            </w:r>
          </w:p>
        </w:tc>
        <w:tc>
          <w:tcPr>
            <w:tcW w:w="7229" w:type="dxa"/>
          </w:tcPr>
          <w:p w:rsidR="00C51FF7" w:rsidRPr="00CD5E3C" w:rsidRDefault="00C51FF7" w:rsidP="00372B22">
            <w:pPr>
              <w:pStyle w:val="TableText"/>
              <w:keepNext w:val="0"/>
            </w:pPr>
            <w:r>
              <w:t xml:space="preserve">Refers to the </w:t>
            </w:r>
            <w:r w:rsidR="003E6D18" w:rsidRPr="003E6D18">
              <w:t>total volume of water</w:t>
            </w:r>
            <w:r w:rsidR="003E6D18">
              <w:t xml:space="preserve"> available to all water users in a given water year, which includes both </w:t>
            </w:r>
            <w:r w:rsidR="003E6D18" w:rsidRPr="00CD5E3C">
              <w:t>water allocated</w:t>
            </w:r>
            <w:r w:rsidR="003E6D18">
              <w:t xml:space="preserve"> to all entitlements and rainfall in growing regions. </w:t>
            </w:r>
          </w:p>
        </w:tc>
      </w:tr>
      <w:tr w:rsidR="003E6D18" w:rsidRPr="00D65BF2" w:rsidTr="006F74EC">
        <w:tc>
          <w:tcPr>
            <w:tcW w:w="1951" w:type="dxa"/>
          </w:tcPr>
          <w:p w:rsidR="003E6D18" w:rsidRDefault="003E6D18" w:rsidP="00372B22">
            <w:pPr>
              <w:pStyle w:val="TableText"/>
              <w:keepNext w:val="0"/>
            </w:pPr>
            <w:r w:rsidRPr="003E6D18">
              <w:t xml:space="preserve">Water </w:t>
            </w:r>
            <w:r>
              <w:t>allocated</w:t>
            </w:r>
            <w:r w:rsidRPr="003E6D18">
              <w:t xml:space="preserve"> </w:t>
            </w:r>
            <w:r>
              <w:t>to all entitlements</w:t>
            </w:r>
          </w:p>
        </w:tc>
        <w:tc>
          <w:tcPr>
            <w:tcW w:w="7229" w:type="dxa"/>
          </w:tcPr>
          <w:p w:rsidR="003E6D18" w:rsidRDefault="003E6D18" w:rsidP="00B044C1">
            <w:pPr>
              <w:pStyle w:val="TableText"/>
              <w:keepNext w:val="0"/>
            </w:pPr>
            <w:r>
              <w:t>Refers to the total volume</w:t>
            </w:r>
            <w:r w:rsidRPr="00CD5E3C">
              <w:t xml:space="preserve"> of water allocated</w:t>
            </w:r>
            <w:r>
              <w:t xml:space="preserve"> by state governments</w:t>
            </w:r>
            <w:r w:rsidRPr="00CD5E3C">
              <w:t xml:space="preserve"> to water entitlement holders during the</w:t>
            </w:r>
            <w:r>
              <w:t xml:space="preserve"> water year (1 July to 30 June) – including water</w:t>
            </w:r>
            <w:r w:rsidR="00B044C1">
              <w:t xml:space="preserve"> entitlements held by environmental water holders</w:t>
            </w:r>
            <w:r>
              <w:t>. Measured as an aggregate volume at the end of the water year (</w:t>
            </w:r>
            <w:r w:rsidRPr="00CD5E3C">
              <w:t>30 June</w:t>
            </w:r>
            <w:r>
              <w:t>).</w:t>
            </w:r>
          </w:p>
        </w:tc>
      </w:tr>
      <w:tr w:rsidR="003E6D18" w:rsidRPr="00D65BF2" w:rsidTr="006F74EC">
        <w:trPr>
          <w:cnfStyle w:val="000000100000"/>
        </w:trPr>
        <w:tc>
          <w:tcPr>
            <w:tcW w:w="1951" w:type="dxa"/>
          </w:tcPr>
          <w:p w:rsidR="003E6D18" w:rsidRPr="003E6D18" w:rsidRDefault="003E6D18" w:rsidP="0054025A">
            <w:pPr>
              <w:pStyle w:val="TableText"/>
              <w:keepLines/>
            </w:pPr>
            <w:r w:rsidRPr="003E6D18">
              <w:lastRenderedPageBreak/>
              <w:t xml:space="preserve">Water </w:t>
            </w:r>
            <w:r>
              <w:t>allocated</w:t>
            </w:r>
            <w:r w:rsidRPr="003E6D18">
              <w:t xml:space="preserve"> </w:t>
            </w:r>
            <w:r w:rsidR="000614CD">
              <w:t xml:space="preserve">that is available </w:t>
            </w:r>
            <w:r w:rsidRPr="003E6D18">
              <w:t>for consumptive use</w:t>
            </w:r>
          </w:p>
        </w:tc>
        <w:tc>
          <w:tcPr>
            <w:tcW w:w="7229" w:type="dxa"/>
          </w:tcPr>
          <w:p w:rsidR="003E6D18" w:rsidRDefault="003E6D18" w:rsidP="0054025A">
            <w:pPr>
              <w:pStyle w:val="TableText"/>
              <w:keepLines/>
            </w:pPr>
            <w:r>
              <w:t>Refers to the total volume</w:t>
            </w:r>
            <w:r w:rsidRPr="00CD5E3C">
              <w:t xml:space="preserve"> of water allocated</w:t>
            </w:r>
            <w:r>
              <w:t xml:space="preserve"> by state governments</w:t>
            </w:r>
            <w:r w:rsidRPr="00CD5E3C">
              <w:t xml:space="preserve"> to water entitlement holders during the</w:t>
            </w:r>
            <w:r>
              <w:t xml:space="preserve"> water year (1 July to 30 June) – excluding water allocated to water entitlements held by the Commonwealth associated with the water purchases in the southern Murray-Darling Basin. Measured as an aggregate volume at the end of the water year (</w:t>
            </w:r>
            <w:r w:rsidRPr="00CD5E3C">
              <w:t>30 June</w:t>
            </w:r>
            <w:r>
              <w:t>).</w:t>
            </w:r>
          </w:p>
        </w:tc>
      </w:tr>
      <w:tr w:rsidR="00C51FF7" w:rsidRPr="00D65BF2" w:rsidTr="006F74EC">
        <w:tc>
          <w:tcPr>
            <w:tcW w:w="1951" w:type="dxa"/>
          </w:tcPr>
          <w:p w:rsidR="00C51FF7" w:rsidRPr="00CD5E3C" w:rsidDel="00CD5E3C" w:rsidRDefault="003E6D18" w:rsidP="00372B22">
            <w:pPr>
              <w:pStyle w:val="TableText"/>
              <w:keepNext w:val="0"/>
            </w:pPr>
            <w:r w:rsidRPr="003E6D18">
              <w:t xml:space="preserve">Water </w:t>
            </w:r>
            <w:r>
              <w:t>allocated</w:t>
            </w:r>
            <w:r w:rsidRPr="003E6D18">
              <w:t xml:space="preserve"> </w:t>
            </w:r>
            <w:r>
              <w:t>to Commonwealth water purchases</w:t>
            </w:r>
          </w:p>
        </w:tc>
        <w:tc>
          <w:tcPr>
            <w:tcW w:w="7229" w:type="dxa"/>
          </w:tcPr>
          <w:p w:rsidR="00C51FF7" w:rsidRPr="00CD5E3C" w:rsidRDefault="00C51FF7" w:rsidP="00372B22">
            <w:pPr>
              <w:pStyle w:val="TableText"/>
              <w:keepNext w:val="0"/>
            </w:pPr>
            <w:r>
              <w:t>Refers to the total volume</w:t>
            </w:r>
            <w:r w:rsidRPr="00CD5E3C">
              <w:t xml:space="preserve"> of water allocated</w:t>
            </w:r>
            <w:r>
              <w:t xml:space="preserve"> by state governments</w:t>
            </w:r>
            <w:r w:rsidRPr="00CD5E3C">
              <w:t xml:space="preserve"> to water </w:t>
            </w:r>
            <w:r w:rsidR="003E6D18" w:rsidRPr="003E6D18">
              <w:t>entitlements held by the Commonwealth associated with the water purchases in the southern Murray-Darling Basin</w:t>
            </w:r>
            <w:r>
              <w:t xml:space="preserve">. </w:t>
            </w:r>
            <w:r w:rsidR="00C8095C">
              <w:t>Measured as an aggregate volume</w:t>
            </w:r>
            <w:r>
              <w:t xml:space="preserve"> at the end of the water year (</w:t>
            </w:r>
            <w:r w:rsidRPr="00CD5E3C">
              <w:t>30 June</w:t>
            </w:r>
            <w:r>
              <w:t>).</w:t>
            </w:r>
          </w:p>
        </w:tc>
      </w:tr>
      <w:tr w:rsidR="00C51FF7" w:rsidRPr="00D65BF2" w:rsidTr="006F74EC">
        <w:trPr>
          <w:cnfStyle w:val="000000100000"/>
        </w:trPr>
        <w:tc>
          <w:tcPr>
            <w:tcW w:w="1951" w:type="dxa"/>
          </w:tcPr>
          <w:p w:rsidR="00C51FF7" w:rsidRPr="00D65BF2" w:rsidRDefault="00C51FF7" w:rsidP="00372B22">
            <w:pPr>
              <w:pStyle w:val="TableText"/>
              <w:keepNext w:val="0"/>
            </w:pPr>
            <w:r w:rsidRPr="00CD5E3C">
              <w:t>Water entitlement</w:t>
            </w:r>
          </w:p>
        </w:tc>
        <w:tc>
          <w:tcPr>
            <w:tcW w:w="7229" w:type="dxa"/>
          </w:tcPr>
          <w:p w:rsidR="00C51FF7" w:rsidRPr="00D65BF2" w:rsidRDefault="00C51FF7" w:rsidP="00B044C1">
            <w:pPr>
              <w:pStyle w:val="TableText"/>
              <w:keepNext w:val="0"/>
            </w:pPr>
            <w:r w:rsidRPr="00CD5E3C">
              <w:t xml:space="preserve">Water entitlements are ongoing rights to receive an annual share of available water resources in a consumptive pool </w:t>
            </w:r>
            <w:r w:rsidR="00B044C1">
              <w:t>as established in a specific river system, catchment, or aquifer</w:t>
            </w:r>
            <w:r w:rsidRPr="00CD5E3C">
              <w:t xml:space="preserve"> Entitlements are generally secure</w:t>
            </w:r>
            <w:r w:rsidR="00AD0311">
              <w:t>, tradeable, divisible</w:t>
            </w:r>
            <w:r w:rsidRPr="00CD5E3C">
              <w:t xml:space="preserve"> and </w:t>
            </w:r>
            <w:proofErr w:type="spellStart"/>
            <w:r w:rsidRPr="00CD5E3C">
              <w:t>mortgageable</w:t>
            </w:r>
            <w:proofErr w:type="spellEnd"/>
            <w:r w:rsidRPr="00CD5E3C">
              <w:t xml:space="preserve"> in the same way</w:t>
            </w:r>
            <w:r w:rsidR="004F31B0">
              <w:t xml:space="preserve"> as land</w:t>
            </w:r>
            <w:r w:rsidRPr="00CD5E3C">
              <w:t xml:space="preserve">. </w:t>
            </w:r>
          </w:p>
        </w:tc>
      </w:tr>
      <w:tr w:rsidR="000614CD" w:rsidRPr="00D65BF2" w:rsidTr="006F74EC">
        <w:tc>
          <w:tcPr>
            <w:tcW w:w="1951" w:type="dxa"/>
          </w:tcPr>
          <w:p w:rsidR="000614CD" w:rsidRPr="00CD5E3C" w:rsidRDefault="000614CD" w:rsidP="00372B22">
            <w:pPr>
              <w:pStyle w:val="TableText"/>
              <w:keepNext w:val="0"/>
            </w:pPr>
            <w:r>
              <w:t>Water market</w:t>
            </w:r>
            <w:r w:rsidR="003B4AB0">
              <w:t>s</w:t>
            </w:r>
          </w:p>
        </w:tc>
        <w:tc>
          <w:tcPr>
            <w:tcW w:w="7229" w:type="dxa"/>
          </w:tcPr>
          <w:p w:rsidR="000614CD" w:rsidRPr="00CD5E3C" w:rsidRDefault="003B4AB0" w:rsidP="003B4AB0">
            <w:pPr>
              <w:pStyle w:val="TableText"/>
              <w:keepNext w:val="0"/>
            </w:pPr>
            <w:r>
              <w:t xml:space="preserve">Water markets are regulated markets where formalised transactions of water entitlements and allocations can occur between parties. </w:t>
            </w:r>
            <w:r w:rsidRPr="003B4AB0">
              <w:t xml:space="preserve">There is no single national </w:t>
            </w:r>
            <w:r>
              <w:t xml:space="preserve">water </w:t>
            </w:r>
            <w:r w:rsidRPr="003B4AB0">
              <w:t>market, but rather a number of individual (but in some cases connected) markets. Where hydrological connectivi</w:t>
            </w:r>
            <w:r>
              <w:t xml:space="preserve">ty exists, such as in the </w:t>
            </w:r>
            <w:proofErr w:type="spellStart"/>
            <w:r>
              <w:t>sMDB</w:t>
            </w:r>
            <w:proofErr w:type="spellEnd"/>
            <w:r>
              <w:t xml:space="preserve">, </w:t>
            </w:r>
            <w:r w:rsidRPr="003B4AB0">
              <w:t>tr</w:t>
            </w:r>
            <w:r>
              <w:t xml:space="preserve">ade between these markets is possible. </w:t>
            </w:r>
          </w:p>
        </w:tc>
      </w:tr>
      <w:tr w:rsidR="000614CD" w:rsidRPr="00D65BF2" w:rsidTr="006F74EC">
        <w:trPr>
          <w:cnfStyle w:val="000000100000"/>
        </w:trPr>
        <w:tc>
          <w:tcPr>
            <w:tcW w:w="1951" w:type="dxa"/>
          </w:tcPr>
          <w:p w:rsidR="000614CD" w:rsidRDefault="000614CD" w:rsidP="00372B22">
            <w:pPr>
              <w:pStyle w:val="TableText"/>
              <w:keepNext w:val="0"/>
            </w:pPr>
            <w:r>
              <w:t>Water price</w:t>
            </w:r>
          </w:p>
        </w:tc>
        <w:tc>
          <w:tcPr>
            <w:tcW w:w="7229" w:type="dxa"/>
          </w:tcPr>
          <w:p w:rsidR="000614CD" w:rsidRPr="00CD5E3C" w:rsidRDefault="003B4AB0" w:rsidP="00756BF4">
            <w:pPr>
              <w:pStyle w:val="TableText"/>
              <w:keepNext w:val="0"/>
            </w:pPr>
            <w:r>
              <w:t xml:space="preserve">Refers to the cleared and contracted transaction price </w:t>
            </w:r>
            <w:r w:rsidR="00756BF4">
              <w:t xml:space="preserve">reported </w:t>
            </w:r>
            <w:r>
              <w:t xml:space="preserve">of allocation and entitlement trades between parties. It does not account for fees or charges, and is importantly distinct from urban water prices. </w:t>
            </w:r>
          </w:p>
        </w:tc>
      </w:tr>
      <w:tr w:rsidR="000614CD" w:rsidRPr="00D65BF2" w:rsidTr="006F74EC">
        <w:tc>
          <w:tcPr>
            <w:tcW w:w="1951" w:type="dxa"/>
          </w:tcPr>
          <w:p w:rsidR="000614CD" w:rsidRDefault="000614CD" w:rsidP="00372B22">
            <w:pPr>
              <w:pStyle w:val="TableText"/>
              <w:keepNext w:val="0"/>
            </w:pPr>
            <w:r>
              <w:t>Water year</w:t>
            </w:r>
          </w:p>
        </w:tc>
        <w:tc>
          <w:tcPr>
            <w:tcW w:w="7229" w:type="dxa"/>
          </w:tcPr>
          <w:p w:rsidR="000614CD" w:rsidRPr="00CD5E3C" w:rsidRDefault="003B4AB0" w:rsidP="00372B22">
            <w:pPr>
              <w:pStyle w:val="TableText"/>
              <w:keepNext w:val="0"/>
            </w:pPr>
            <w:r>
              <w:t xml:space="preserve">The water year refers to the period of time between 1 July and 30 June of the following year. It is the same as a standard financial year. </w:t>
            </w:r>
          </w:p>
        </w:tc>
      </w:tr>
    </w:tbl>
    <w:p w:rsidR="008645E0" w:rsidRDefault="008645E0" w:rsidP="000614CD">
      <w:pPr>
        <w:pStyle w:val="TFIHolderSmallSpace"/>
      </w:pPr>
    </w:p>
    <w:p w:rsidR="00667609" w:rsidRPr="00667609" w:rsidRDefault="00667609" w:rsidP="000614CD">
      <w:pPr>
        <w:pStyle w:val="TFNoteSourceTab"/>
        <w:ind w:left="0" w:firstLine="0"/>
      </w:pPr>
    </w:p>
    <w:p w:rsidR="00213768" w:rsidRPr="00C43C60" w:rsidRDefault="00213768" w:rsidP="00C03EF5">
      <w:pPr>
        <w:pStyle w:val="Heading3"/>
      </w:pPr>
      <w:r>
        <w:br w:type="page"/>
      </w:r>
    </w:p>
    <w:p w:rsidR="000614CD" w:rsidRDefault="000614CD" w:rsidP="000614CD">
      <w:pPr>
        <w:pStyle w:val="Heading1"/>
        <w:numPr>
          <w:ilvl w:val="0"/>
          <w:numId w:val="0"/>
        </w:numPr>
      </w:pPr>
      <w:bookmarkStart w:id="1" w:name="_Toc440006838"/>
      <w:bookmarkEnd w:id="0"/>
      <w:r>
        <w:lastRenderedPageBreak/>
        <w:t>Executive summary</w:t>
      </w:r>
      <w:bookmarkEnd w:id="1"/>
    </w:p>
    <w:p w:rsidR="000614CD" w:rsidRPr="00F06B16" w:rsidRDefault="000614CD" w:rsidP="000614CD">
      <w:r w:rsidRPr="00F06B16">
        <w:t>In September 2015, the Commonwealth Department of the Environment (the Department)</w:t>
      </w:r>
      <w:r w:rsidR="00A678D5">
        <w:rPr>
          <w:rStyle w:val="FootnoteReference"/>
        </w:rPr>
        <w:footnoteReference w:id="1"/>
      </w:r>
      <w:r w:rsidRPr="00F06B16">
        <w:t xml:space="preserve"> engaged </w:t>
      </w:r>
      <w:proofErr w:type="spellStart"/>
      <w:r w:rsidRPr="00F06B16">
        <w:t>Aither</w:t>
      </w:r>
      <w:proofErr w:type="spellEnd"/>
      <w:r w:rsidRPr="00F06B16">
        <w:t xml:space="preserve"> to </w:t>
      </w:r>
      <w:r w:rsidR="00F05A32">
        <w:t>undertake</w:t>
      </w:r>
      <w:r w:rsidRPr="00F06B16">
        <w:t xml:space="preserve"> independent </w:t>
      </w:r>
      <w:r w:rsidR="00F05A32">
        <w:t>analysis of</w:t>
      </w:r>
      <w:r w:rsidRPr="00F06B16">
        <w:t xml:space="preserve"> the impact </w:t>
      </w:r>
      <w:r>
        <w:t>of</w:t>
      </w:r>
      <w:r w:rsidRPr="00F06B16">
        <w:t xml:space="preserve"> supply-side drivers – including </w:t>
      </w:r>
      <w:r w:rsidR="0049132C">
        <w:t xml:space="preserve">climatic conditions and </w:t>
      </w:r>
      <w:r w:rsidRPr="00F06B16">
        <w:t>Commonwealth water purchases –</w:t>
      </w:r>
      <w:r>
        <w:t xml:space="preserve"> </w:t>
      </w:r>
      <w:r w:rsidRPr="00F06B16">
        <w:t>on water allocation prices in the southern Murray-Darling Basin (</w:t>
      </w:r>
      <w:proofErr w:type="spellStart"/>
      <w:r w:rsidRPr="00F06B16">
        <w:t>sMDB</w:t>
      </w:r>
      <w:proofErr w:type="spellEnd"/>
      <w:r w:rsidRPr="00F06B16">
        <w:t xml:space="preserve">). This report </w:t>
      </w:r>
      <w:r>
        <w:t>identifies and quantifies the</w:t>
      </w:r>
      <w:r w:rsidRPr="00F06B16">
        <w:t xml:space="preserve"> supply-side drivers of water allocation prices in the </w:t>
      </w:r>
      <w:proofErr w:type="spellStart"/>
      <w:r w:rsidRPr="00F06B16">
        <w:t>sMDB</w:t>
      </w:r>
      <w:proofErr w:type="spellEnd"/>
      <w:r>
        <w:t>.</w:t>
      </w:r>
      <w:r w:rsidRPr="00F06B16">
        <w:t xml:space="preserve"> </w:t>
      </w:r>
      <w:r>
        <w:t>It includes</w:t>
      </w:r>
      <w:r w:rsidRPr="00F06B16">
        <w:t xml:space="preserve"> an assessment of the </w:t>
      </w:r>
      <w:r>
        <w:t xml:space="preserve">historic allocation market </w:t>
      </w:r>
      <w:r w:rsidRPr="00F06B16">
        <w:t xml:space="preserve">price impacts </w:t>
      </w:r>
      <w:r>
        <w:t>of</w:t>
      </w:r>
      <w:r w:rsidRPr="00F06B16">
        <w:t xml:space="preserve"> these drivers</w:t>
      </w:r>
      <w:r>
        <w:t>,</w:t>
      </w:r>
      <w:r w:rsidRPr="00F06B16">
        <w:t xml:space="preserve"> </w:t>
      </w:r>
      <w:r>
        <w:t>and possible outcomes</w:t>
      </w:r>
      <w:r w:rsidRPr="00F06B16">
        <w:t xml:space="preserve"> under future scenarios. </w:t>
      </w:r>
    </w:p>
    <w:p w:rsidR="000614CD" w:rsidRPr="00F06B16" w:rsidRDefault="000614CD" w:rsidP="000614CD">
      <w:pPr>
        <w:pStyle w:val="Heading3a"/>
      </w:pPr>
      <w:r w:rsidRPr="00F06B16">
        <w:t>Participation in Australian water markets</w:t>
      </w:r>
    </w:p>
    <w:p w:rsidR="000614CD" w:rsidRPr="00F06B16" w:rsidRDefault="000614CD" w:rsidP="000614CD">
      <w:r w:rsidRPr="00F06B16">
        <w:t xml:space="preserve">Water markets in Australia have developed substantially over the past two decades. They are now an established part of water policy and management. The formalisation of water markets – especially in the </w:t>
      </w:r>
      <w:proofErr w:type="spellStart"/>
      <w:r w:rsidRPr="00F06B16">
        <w:t>sMDB</w:t>
      </w:r>
      <w:proofErr w:type="spellEnd"/>
      <w:r w:rsidRPr="00F06B16">
        <w:t xml:space="preserve"> – </w:t>
      </w:r>
      <w:r>
        <w:t xml:space="preserve">enables the attainment of </w:t>
      </w:r>
      <w:r w:rsidRPr="00F06B16">
        <w:t xml:space="preserve">important public </w:t>
      </w:r>
      <w:r>
        <w:t>and private benefits through the trade of both water entitlements and allocations</w:t>
      </w:r>
      <w:r w:rsidRPr="00F06B16">
        <w:t>.</w:t>
      </w:r>
    </w:p>
    <w:p w:rsidR="000614CD" w:rsidRPr="00F06B16" w:rsidRDefault="000614CD" w:rsidP="000614CD">
      <w:r w:rsidRPr="00F06B16">
        <w:t>Water allocation markets were developed</w:t>
      </w:r>
      <w:r w:rsidR="003525E3">
        <w:t xml:space="preserve"> as an effective and efficient means to manage competing demands for scarce water resources, including</w:t>
      </w:r>
      <w:r w:rsidRPr="00F06B16">
        <w:t xml:space="preserve"> </w:t>
      </w:r>
      <w:proofErr w:type="gramStart"/>
      <w:r w:rsidRPr="00F06B16">
        <w:t xml:space="preserve">to </w:t>
      </w:r>
      <w:r>
        <w:t>provide</w:t>
      </w:r>
      <w:proofErr w:type="gramEnd"/>
      <w:r w:rsidRPr="00F06B16">
        <w:t xml:space="preserve"> water users </w:t>
      </w:r>
      <w:r>
        <w:t>with a</w:t>
      </w:r>
      <w:r w:rsidR="003525E3">
        <w:t xml:space="preserve"> </w:t>
      </w:r>
      <w:r>
        <w:t xml:space="preserve">means to </w:t>
      </w:r>
      <w:r w:rsidRPr="00F06B16">
        <w:t xml:space="preserve">manage variability in water supply (including responding to rainfall) within production years. The water allocation market in the </w:t>
      </w:r>
      <w:proofErr w:type="spellStart"/>
      <w:r w:rsidRPr="00F06B16">
        <w:t>sMDB</w:t>
      </w:r>
      <w:proofErr w:type="spellEnd"/>
      <w:r w:rsidRPr="00F06B16">
        <w:t xml:space="preserve"> is used by a diverse range of irrigated agriculture producers, </w:t>
      </w:r>
      <w:r>
        <w:t xml:space="preserve">water utilities, governments and </w:t>
      </w:r>
      <w:r w:rsidRPr="00F06B16">
        <w:t>investors to buy or sell water</w:t>
      </w:r>
      <w:r>
        <w:t>.</w:t>
      </w:r>
    </w:p>
    <w:p w:rsidR="000614CD" w:rsidRPr="00F06B16" w:rsidRDefault="000614CD" w:rsidP="000614CD">
      <w:r w:rsidRPr="00F06B16">
        <w:t xml:space="preserve">Market participants buy or sell in water allocation markets for a variety of reasons, such as </w:t>
      </w:r>
      <w:r>
        <w:t>purchasing</w:t>
      </w:r>
      <w:r w:rsidRPr="00F06B16">
        <w:t xml:space="preserve"> water to supplement irrigation requirements or sell</w:t>
      </w:r>
      <w:r>
        <w:t>ing</w:t>
      </w:r>
      <w:r w:rsidRPr="00F06B16">
        <w:t xml:space="preserve"> water that is </w:t>
      </w:r>
      <w:r>
        <w:t>surplus to requirements</w:t>
      </w:r>
      <w:r w:rsidRPr="00F06B16">
        <w:t xml:space="preserve"> in a given season</w:t>
      </w:r>
      <w:r>
        <w:t xml:space="preserve">. </w:t>
      </w:r>
      <w:r w:rsidRPr="00F06B16">
        <w:t xml:space="preserve">The price of water allocations at any point in time is determined by </w:t>
      </w:r>
      <w:r>
        <w:t>the</w:t>
      </w:r>
      <w:r w:rsidRPr="00F06B16">
        <w:t xml:space="preserve"> interaction between market participants</w:t>
      </w:r>
      <w:r>
        <w:t>, each</w:t>
      </w:r>
      <w:r w:rsidRPr="00F06B16">
        <w:t xml:space="preserve"> with their own </w:t>
      </w:r>
      <w:r>
        <w:t xml:space="preserve">circumstances and </w:t>
      </w:r>
      <w:r w:rsidRPr="00F06B16">
        <w:t xml:space="preserve">reasons for participation in the market. </w:t>
      </w:r>
    </w:p>
    <w:p w:rsidR="000614CD" w:rsidRPr="00F06B16" w:rsidRDefault="000614CD" w:rsidP="000614CD">
      <w:pPr>
        <w:pStyle w:val="Heading3a"/>
      </w:pPr>
      <w:r w:rsidRPr="00F06B16">
        <w:t>Supply-side drivers of water allocation prices</w:t>
      </w:r>
    </w:p>
    <w:p w:rsidR="000614CD" w:rsidRPr="00F06B16" w:rsidRDefault="000614CD" w:rsidP="000614CD">
      <w:r w:rsidRPr="00F06B16">
        <w:t xml:space="preserve">While reasons for participation in water markets are </w:t>
      </w:r>
      <w:r>
        <w:t>varied</w:t>
      </w:r>
      <w:r w:rsidRPr="00F06B16">
        <w:t xml:space="preserve">, in aggregate, prevailing climatic conditions have been the primary drivers </w:t>
      </w:r>
      <w:r w:rsidR="000E44D6">
        <w:t>of</w:t>
      </w:r>
      <w:r w:rsidR="000E44D6" w:rsidRPr="00F06B16">
        <w:t xml:space="preserve"> </w:t>
      </w:r>
      <w:r w:rsidR="00174FC5" w:rsidRPr="00F06B16">
        <w:t xml:space="preserve">water allocation prices </w:t>
      </w:r>
      <w:r w:rsidR="00174FC5">
        <w:t xml:space="preserve">and </w:t>
      </w:r>
      <w:r w:rsidR="004F31B0">
        <w:t xml:space="preserve">for </w:t>
      </w:r>
      <w:r w:rsidRPr="00F06B16">
        <w:t>participation in water markets</w:t>
      </w:r>
      <w:r w:rsidR="0049132C">
        <w:t xml:space="preserve"> historically</w:t>
      </w:r>
      <w:r w:rsidRPr="00F06B16">
        <w:t xml:space="preserve">. </w:t>
      </w:r>
      <w:r>
        <w:t>Water a</w:t>
      </w:r>
      <w:r w:rsidRPr="00F06B16">
        <w:t xml:space="preserve">llocation prices vary dramatically due to the fact that climatic conditions </w:t>
      </w:r>
      <w:r>
        <w:t>impact</w:t>
      </w:r>
      <w:r w:rsidRPr="00F06B16">
        <w:t xml:space="preserve"> both supply (</w:t>
      </w:r>
      <w:r>
        <w:t>w</w:t>
      </w:r>
      <w:r w:rsidRPr="003E6D18">
        <w:t>ater allocated to all entitlements</w:t>
      </w:r>
      <w:r w:rsidRPr="00F06B16">
        <w:t xml:space="preserve">) and demand </w:t>
      </w:r>
      <w:r>
        <w:t>for irrigation water</w:t>
      </w:r>
      <w:r w:rsidRPr="00F06B16">
        <w:t>. Specifically:</w:t>
      </w:r>
    </w:p>
    <w:p w:rsidR="000614CD" w:rsidRPr="00F06B16" w:rsidRDefault="000614CD" w:rsidP="000614CD">
      <w:pPr>
        <w:pStyle w:val="Bullet"/>
      </w:pPr>
      <w:r w:rsidRPr="00F06B16">
        <w:t>The</w:t>
      </w:r>
      <w:r>
        <w:t xml:space="preserve"> total</w:t>
      </w:r>
      <w:r w:rsidRPr="00F06B16">
        <w:t xml:space="preserve"> volume of </w:t>
      </w:r>
      <w:r>
        <w:t>w</w:t>
      </w:r>
      <w:r w:rsidRPr="003E6D18">
        <w:t xml:space="preserve">ater allocated </w:t>
      </w:r>
      <w:r>
        <w:t>to all entitlements</w:t>
      </w:r>
      <w:r w:rsidRPr="003E6D18" w:rsidDel="003E6D18">
        <w:t xml:space="preserve"> </w:t>
      </w:r>
      <w:r w:rsidRPr="00F06B16">
        <w:t>is important because it constrains the total supply of water available</w:t>
      </w:r>
      <w:r>
        <w:t xml:space="preserve"> for consumption (including irrigation)</w:t>
      </w:r>
      <w:r w:rsidRPr="00F06B16">
        <w:t>.</w:t>
      </w:r>
    </w:p>
    <w:p w:rsidR="000614CD" w:rsidRPr="00F06B16" w:rsidRDefault="000614CD" w:rsidP="000614CD">
      <w:pPr>
        <w:pStyle w:val="Bullet"/>
      </w:pPr>
      <w:r w:rsidRPr="00F06B16">
        <w:t xml:space="preserve">Irrigators use water </w:t>
      </w:r>
      <w:r>
        <w:t>allocated</w:t>
      </w:r>
      <w:r w:rsidRPr="00F06B16">
        <w:t xml:space="preserve"> </w:t>
      </w:r>
      <w:r>
        <w:t xml:space="preserve">that is available </w:t>
      </w:r>
      <w:r w:rsidRPr="00F06B16">
        <w:t xml:space="preserve">for consumptive use in a given year as a controllable water supplement to in-crop rainfall. </w:t>
      </w:r>
      <w:r>
        <w:t>I</w:t>
      </w:r>
      <w:r w:rsidRPr="00F06B16">
        <w:t xml:space="preserve">n years with high </w:t>
      </w:r>
      <w:r>
        <w:t xml:space="preserve">in-crop </w:t>
      </w:r>
      <w:r w:rsidRPr="00F06B16">
        <w:t xml:space="preserve">rainfall, the price of water allocations </w:t>
      </w:r>
      <w:r>
        <w:t>should</w:t>
      </w:r>
      <w:r w:rsidRPr="00F06B16">
        <w:t xml:space="preserve"> reduce due to an increase in water availability (supply) and a decrease in water allocation demand (more in-crop rainfall and lesser need to supplement with irrigation water). The opposite is the c</w:t>
      </w:r>
      <w:r>
        <w:t xml:space="preserve">ase in years with low rainfall </w:t>
      </w:r>
      <w:r w:rsidRPr="00F06B16">
        <w:t>or periods of sustained drought.</w:t>
      </w:r>
    </w:p>
    <w:p w:rsidR="000614CD" w:rsidRPr="00F06B16" w:rsidRDefault="000614CD" w:rsidP="000614CD">
      <w:r w:rsidRPr="00F06B16">
        <w:t xml:space="preserve">When looking back over the last two decades, total water allocated </w:t>
      </w:r>
      <w:r>
        <w:t xml:space="preserve">that is available </w:t>
      </w:r>
      <w:r w:rsidRPr="00F06B16">
        <w:t>for consumptive use and prevailing climatic conditions</w:t>
      </w:r>
      <w:r>
        <w:t xml:space="preserve"> </w:t>
      </w:r>
      <w:r w:rsidRPr="00F06B16">
        <w:t xml:space="preserve">in irrigation areas </w:t>
      </w:r>
      <w:r>
        <w:t>emerge as</w:t>
      </w:r>
      <w:r w:rsidRPr="00F06B16">
        <w:t xml:space="preserve"> the primary drivers of allocation prices.</w:t>
      </w:r>
      <w:r>
        <w:t xml:space="preserve"> </w:t>
      </w:r>
      <w:r w:rsidR="00B26412">
        <w:t xml:space="preserve">In particular, </w:t>
      </w:r>
      <w:proofErr w:type="spellStart"/>
      <w:r w:rsidR="00B26412">
        <w:t>Aither</w:t>
      </w:r>
      <w:proofErr w:type="spellEnd"/>
      <w:r w:rsidR="00B26412">
        <w:t xml:space="preserve"> has developed a model to simulate aggregate level impacts of water </w:t>
      </w:r>
      <w:r w:rsidR="00B26412">
        <w:lastRenderedPageBreak/>
        <w:t>availability on annual median water allocation prices, the performance of which is</w:t>
      </w:r>
      <w:r>
        <w:t xml:space="preserve"> shown in </w:t>
      </w:r>
      <w:r w:rsidR="00306798">
        <w:fldChar w:fldCharType="begin"/>
      </w:r>
      <w:r>
        <w:instrText xml:space="preserve"> REF _Ref432153066 \h </w:instrText>
      </w:r>
      <w:r w:rsidR="00306798">
        <w:fldChar w:fldCharType="separate"/>
      </w:r>
      <w:r w:rsidR="00EB2418">
        <w:t>Figure ES</w:t>
      </w:r>
      <w:r w:rsidR="00EB2418">
        <w:rPr>
          <w:noProof/>
        </w:rPr>
        <w:t>1</w:t>
      </w:r>
      <w:r w:rsidR="00306798">
        <w:fldChar w:fldCharType="end"/>
      </w:r>
      <w:r>
        <w:t>.</w:t>
      </w:r>
    </w:p>
    <w:p w:rsidR="000614CD" w:rsidRPr="00F06B16" w:rsidRDefault="000614CD" w:rsidP="000614CD">
      <w:r>
        <w:rPr>
          <w:noProof/>
        </w:rPr>
        <w:drawing>
          <wp:inline distT="0" distB="0" distL="0" distR="0">
            <wp:extent cx="5734050" cy="2242686"/>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8140" cy="2244286"/>
                    </a:xfrm>
                    <a:prstGeom prst="rect">
                      <a:avLst/>
                    </a:prstGeom>
                    <a:noFill/>
                  </pic:spPr>
                </pic:pic>
              </a:graphicData>
            </a:graphic>
          </wp:inline>
        </w:drawing>
      </w:r>
    </w:p>
    <w:p w:rsidR="000614CD" w:rsidRDefault="000614CD" w:rsidP="000614CD">
      <w:pPr>
        <w:pStyle w:val="TFNoteSourceTab"/>
      </w:pPr>
      <w:r w:rsidRPr="00776F13">
        <w:t>Note:</w:t>
      </w:r>
      <w:r w:rsidRPr="00776F13">
        <w:tab/>
        <w:t>Prices reported are annual medians and are real – adjusted for inflation</w:t>
      </w:r>
      <w:r>
        <w:t xml:space="preserve"> based on annual CPI data from the Australian Bureau of Statistics</w:t>
      </w:r>
      <w:r w:rsidRPr="00776F13">
        <w:t xml:space="preserve"> ($ per ML).</w:t>
      </w:r>
      <w:r w:rsidRPr="00D46A1C">
        <w:t xml:space="preserve"> </w:t>
      </w:r>
      <w:r>
        <w:t>The total volume of water allocated to Commonwealth water purchases is reported based on the year to year cumulative portfolio growth (i.e. it is not just purchases in that year).</w:t>
      </w:r>
    </w:p>
    <w:p w:rsidR="000614CD" w:rsidRDefault="000614CD" w:rsidP="000614CD">
      <w:pPr>
        <w:pStyle w:val="TFNoteSourceTab"/>
      </w:pPr>
      <w:r w:rsidRPr="00776F13">
        <w:t>Source:</w:t>
      </w:r>
      <w:r w:rsidRPr="00776F13">
        <w:tab/>
      </w:r>
      <w:proofErr w:type="spellStart"/>
      <w:r w:rsidRPr="00776F13">
        <w:t>Aither</w:t>
      </w:r>
      <w:proofErr w:type="spellEnd"/>
      <w:r w:rsidRPr="00776F13">
        <w:t xml:space="preserve"> 2015. </w:t>
      </w:r>
      <w:proofErr w:type="gramStart"/>
      <w:r w:rsidRPr="00776F13">
        <w:t>New South Wales Water Register, South Australian Water Register and Victorian Water Register.</w:t>
      </w:r>
      <w:proofErr w:type="gramEnd"/>
      <w:r w:rsidRPr="00776F13">
        <w:t xml:space="preserve"> Based on Commonwealth water purchase data provided to </w:t>
      </w:r>
      <w:proofErr w:type="spellStart"/>
      <w:r w:rsidRPr="00776F13">
        <w:t>Aither</w:t>
      </w:r>
      <w:proofErr w:type="spellEnd"/>
      <w:r w:rsidRPr="00776F13">
        <w:t xml:space="preserve"> by the Department of the Environment.</w:t>
      </w:r>
      <w:r w:rsidRPr="00776F13" w:rsidDel="00C64D7C">
        <w:t xml:space="preserve"> </w:t>
      </w:r>
    </w:p>
    <w:p w:rsidR="000614CD" w:rsidRDefault="000614CD" w:rsidP="000614CD">
      <w:pPr>
        <w:pStyle w:val="Caption"/>
      </w:pPr>
      <w:bookmarkStart w:id="2" w:name="_Ref432153066"/>
      <w:bookmarkStart w:id="3" w:name="_Toc440006868"/>
      <w:r>
        <w:t>Figure ES</w:t>
      </w:r>
      <w:r w:rsidR="00306798">
        <w:fldChar w:fldCharType="begin"/>
      </w:r>
      <w:r w:rsidR="00531166">
        <w:instrText xml:space="preserve"> SEQ Figure \* ARABIC </w:instrText>
      </w:r>
      <w:r w:rsidR="00306798">
        <w:fldChar w:fldCharType="separate"/>
      </w:r>
      <w:r w:rsidR="00EB2418">
        <w:rPr>
          <w:noProof/>
        </w:rPr>
        <w:t>1</w:t>
      </w:r>
      <w:r w:rsidR="00306798">
        <w:rPr>
          <w:noProof/>
        </w:rPr>
        <w:fldChar w:fldCharType="end"/>
      </w:r>
      <w:bookmarkEnd w:id="2"/>
      <w:r>
        <w:tab/>
        <w:t>O</w:t>
      </w:r>
      <w:r w:rsidRPr="00EA04A2">
        <w:t xml:space="preserve">bserved </w:t>
      </w:r>
      <w:r>
        <w:t>and</w:t>
      </w:r>
      <w:r w:rsidRPr="00EA04A2">
        <w:t xml:space="preserve"> modelled historical </w:t>
      </w:r>
      <w:r>
        <w:t xml:space="preserve">water </w:t>
      </w:r>
      <w:r w:rsidRPr="00EA04A2">
        <w:t>allocation prices</w:t>
      </w:r>
      <w:r>
        <w:t xml:space="preserve"> against</w:t>
      </w:r>
      <w:r w:rsidRPr="00EA04A2">
        <w:t xml:space="preserve"> </w:t>
      </w:r>
      <w:r>
        <w:t>w</w:t>
      </w:r>
      <w:r w:rsidRPr="00154714">
        <w:t xml:space="preserve">ater allocated to all </w:t>
      </w:r>
      <w:r>
        <w:t xml:space="preserve">consumptive and Commonwealth purchased </w:t>
      </w:r>
      <w:r w:rsidRPr="00154714">
        <w:t>entitlements</w:t>
      </w:r>
      <w:r>
        <w:t>, 1998-99 to 2014-15</w:t>
      </w:r>
      <w:bookmarkEnd w:id="3"/>
    </w:p>
    <w:p w:rsidR="000614CD" w:rsidRPr="00F06B16" w:rsidRDefault="000614CD" w:rsidP="000614CD">
      <w:pPr>
        <w:pStyle w:val="Heading3a"/>
      </w:pPr>
      <w:r w:rsidRPr="00F06B16">
        <w:t>Commonwealth Government water purchases</w:t>
      </w:r>
    </w:p>
    <w:p w:rsidR="000614CD" w:rsidRPr="00F06B16" w:rsidRDefault="000614CD" w:rsidP="000614CD">
      <w:r>
        <w:t>T</w:t>
      </w:r>
      <w:r w:rsidRPr="00F06B16">
        <w:t>he Commonwealth Government</w:t>
      </w:r>
      <w:r>
        <w:t>,</w:t>
      </w:r>
      <w:r w:rsidRPr="00F06B16">
        <w:t xml:space="preserve"> </w:t>
      </w:r>
      <w:r>
        <w:t>u</w:t>
      </w:r>
      <w:r w:rsidRPr="00F06B16">
        <w:t xml:space="preserve">nder the Restoring the Balance in the Murray-Darling Basin Program, has purchased approximately 996 GL of water entitlements from market participants in the major trading zones in the </w:t>
      </w:r>
      <w:proofErr w:type="spellStart"/>
      <w:r w:rsidRPr="00F06B16">
        <w:t>sMDB</w:t>
      </w:r>
      <w:proofErr w:type="spellEnd"/>
      <w:r w:rsidRPr="00F06B16">
        <w:t xml:space="preserve"> since 2007-08.</w:t>
      </w:r>
      <w:r>
        <w:rPr>
          <w:rStyle w:val="FootnoteReference"/>
        </w:rPr>
        <w:footnoteReference w:id="2"/>
      </w:r>
      <w:r w:rsidRPr="00F06B16">
        <w:t xml:space="preserve"> The ongoing use of this water </w:t>
      </w:r>
      <w:r>
        <w:t xml:space="preserve">is </w:t>
      </w:r>
      <w:r w:rsidRPr="00F06B16">
        <w:t>for environmental purposes</w:t>
      </w:r>
      <w:r>
        <w:t>. The Commonwealth Environmental Water Holder (CEWH) has the ability to trade but</w:t>
      </w:r>
      <w:r w:rsidR="00A14F35">
        <w:t>,</w:t>
      </w:r>
      <w:r>
        <w:t xml:space="preserve"> </w:t>
      </w:r>
      <w:r w:rsidR="00F430A7">
        <w:t>at the time that the analysis undertaken</w:t>
      </w:r>
      <w:r w:rsidR="003A0FC7">
        <w:t xml:space="preserve"> by </w:t>
      </w:r>
      <w:proofErr w:type="spellStart"/>
      <w:r w:rsidR="003A0FC7">
        <w:t>Aither</w:t>
      </w:r>
      <w:proofErr w:type="spellEnd"/>
      <w:r w:rsidR="0049132C">
        <w:t xml:space="preserve"> (September 2015)</w:t>
      </w:r>
      <w:r>
        <w:t xml:space="preserve">, </w:t>
      </w:r>
      <w:r w:rsidRPr="00F06B16">
        <w:t xml:space="preserve">no water held by the </w:t>
      </w:r>
      <w:r>
        <w:t>CEWH</w:t>
      </w:r>
      <w:r w:rsidRPr="00F06B16">
        <w:t xml:space="preserve"> in the </w:t>
      </w:r>
      <w:proofErr w:type="spellStart"/>
      <w:r w:rsidRPr="00F06B16">
        <w:t>sMDB</w:t>
      </w:r>
      <w:proofErr w:type="spellEnd"/>
      <w:r w:rsidRPr="00F06B16">
        <w:t xml:space="preserve"> ha</w:t>
      </w:r>
      <w:r w:rsidR="0049132C">
        <w:t>d</w:t>
      </w:r>
      <w:r w:rsidRPr="00F06B16">
        <w:t xml:space="preserve"> been traded back to other market participants</w:t>
      </w:r>
      <w:r w:rsidR="0049132C">
        <w:rPr>
          <w:rStyle w:val="FootnoteReference"/>
        </w:rPr>
        <w:footnoteReference w:id="3"/>
      </w:r>
      <w:r>
        <w:t>.</w:t>
      </w:r>
      <w:r w:rsidRPr="00F06B16">
        <w:t xml:space="preserve"> </w:t>
      </w:r>
      <w:r>
        <w:t xml:space="preserve">This </w:t>
      </w:r>
      <w:r w:rsidR="00174FC5">
        <w:t xml:space="preserve">environmental water </w:t>
      </w:r>
      <w:r w:rsidRPr="00F06B16">
        <w:t>reduces</w:t>
      </w:r>
      <w:r>
        <w:t xml:space="preserve"> the effective volume of </w:t>
      </w:r>
      <w:r w:rsidRPr="00F06B16">
        <w:t xml:space="preserve">water </w:t>
      </w:r>
      <w:r>
        <w:t>allocated</w:t>
      </w:r>
      <w:r w:rsidRPr="00636C92">
        <w:t xml:space="preserve"> </w:t>
      </w:r>
      <w:r>
        <w:t xml:space="preserve">that is available </w:t>
      </w:r>
      <w:r w:rsidRPr="00F06B16">
        <w:t>for consumptive use (</w:t>
      </w:r>
      <w:r w:rsidR="00306798">
        <w:fldChar w:fldCharType="begin"/>
      </w:r>
      <w:r>
        <w:instrText xml:space="preserve"> REF _Ref432153066 \h </w:instrText>
      </w:r>
      <w:r w:rsidR="00306798">
        <w:fldChar w:fldCharType="separate"/>
      </w:r>
      <w:r w:rsidR="00EB2418">
        <w:t>Figure ES</w:t>
      </w:r>
      <w:r w:rsidR="00EB2418">
        <w:rPr>
          <w:noProof/>
        </w:rPr>
        <w:t>1</w:t>
      </w:r>
      <w:r w:rsidR="00306798">
        <w:fldChar w:fldCharType="end"/>
      </w:r>
      <w:r w:rsidRPr="00F06B16">
        <w:t>). In principle, this</w:t>
      </w:r>
      <w:r>
        <w:t xml:space="preserve"> reduction in supply</w:t>
      </w:r>
      <w:r w:rsidRPr="00F06B16">
        <w:t xml:space="preserve"> </w:t>
      </w:r>
      <w:r>
        <w:t>can be expected to</w:t>
      </w:r>
      <w:r w:rsidRPr="00F06B16">
        <w:t xml:space="preserve"> increase water allocation prices relative to </w:t>
      </w:r>
      <w:r>
        <w:t>prices</w:t>
      </w:r>
      <w:r w:rsidRPr="00F06B16">
        <w:t xml:space="preserve"> without Commonwealth </w:t>
      </w:r>
      <w:r>
        <w:t>water</w:t>
      </w:r>
      <w:r w:rsidRPr="00F06B16">
        <w:t xml:space="preserve"> purchases.</w:t>
      </w:r>
      <w:r w:rsidR="00F05A32">
        <w:t xml:space="preserve"> </w:t>
      </w:r>
      <w:r w:rsidR="0049132C">
        <w:rPr>
          <w:lang w:val="en-US"/>
        </w:rPr>
        <w:t>W</w:t>
      </w:r>
      <w:r w:rsidR="00F05A32">
        <w:rPr>
          <w:lang w:val="en-US"/>
        </w:rPr>
        <w:t xml:space="preserve">hile </w:t>
      </w:r>
      <w:r w:rsidR="00F05A32" w:rsidRPr="00D82702">
        <w:t>Commo</w:t>
      </w:r>
      <w:r w:rsidR="00F05A32">
        <w:t>nwealth entitlement purchases reduce water</w:t>
      </w:r>
      <w:r w:rsidR="00F05A32" w:rsidRPr="00C86966">
        <w:t xml:space="preserve"> </w:t>
      </w:r>
      <w:r w:rsidR="00F05A32">
        <w:t>allocated</w:t>
      </w:r>
      <w:r w:rsidR="00F05A32" w:rsidRPr="00C86966">
        <w:t xml:space="preserve"> for consumptive use</w:t>
      </w:r>
      <w:r w:rsidR="00F05A32">
        <w:t xml:space="preserve">, these purchases of water do not reduce </w:t>
      </w:r>
      <w:r w:rsidR="00F05A32" w:rsidRPr="00C86966">
        <w:t xml:space="preserve">rainfall </w:t>
      </w:r>
      <w:r w:rsidR="00F05A32">
        <w:t xml:space="preserve">in growing regions. </w:t>
      </w:r>
    </w:p>
    <w:p w:rsidR="000614CD" w:rsidRPr="00F06B16" w:rsidRDefault="000614CD" w:rsidP="000614CD">
      <w:pPr>
        <w:pStyle w:val="Heading3a"/>
      </w:pPr>
      <w:r w:rsidRPr="00F06B16">
        <w:lastRenderedPageBreak/>
        <w:t>Measuring the impact of Commonwealth water purchases</w:t>
      </w:r>
    </w:p>
    <w:p w:rsidR="000614CD" w:rsidRPr="00F06B16" w:rsidRDefault="000614CD" w:rsidP="000614CD">
      <w:proofErr w:type="spellStart"/>
      <w:r>
        <w:t>Aither</w:t>
      </w:r>
      <w:r w:rsidR="00F05A32">
        <w:t>’s</w:t>
      </w:r>
      <w:proofErr w:type="spellEnd"/>
      <w:r w:rsidRPr="00F06B16">
        <w:t xml:space="preserve"> water allocation price model </w:t>
      </w:r>
      <w:r>
        <w:t xml:space="preserve">has been used to </w:t>
      </w:r>
      <w:r w:rsidRPr="00F06B16">
        <w:t>quantify the historic and potential impact of supply-side drivers (including Commonwealth water purchases). Based on a set of explanatory variables (</w:t>
      </w:r>
      <w:r>
        <w:t xml:space="preserve">e.g. </w:t>
      </w:r>
      <w:r w:rsidRPr="00F06B16">
        <w:t xml:space="preserve">assumptions about water availability in a given year), </w:t>
      </w:r>
      <w:r>
        <w:t>the</w:t>
      </w:r>
      <w:r w:rsidRPr="00F06B16">
        <w:t xml:space="preserve"> </w:t>
      </w:r>
      <w:proofErr w:type="spellStart"/>
      <w:r>
        <w:t>Aither</w:t>
      </w:r>
      <w:proofErr w:type="spellEnd"/>
      <w:r w:rsidRPr="00F06B16">
        <w:t xml:space="preserve"> model is able to generate estimated annual per </w:t>
      </w:r>
      <w:proofErr w:type="spellStart"/>
      <w:r>
        <w:t>M</w:t>
      </w:r>
      <w:r w:rsidRPr="00F06B16">
        <w:t>egalitre</w:t>
      </w:r>
      <w:proofErr w:type="spellEnd"/>
      <w:r w:rsidRPr="00F06B16">
        <w:t xml:space="preserve"> (ML) median allocation prices for the whole of the </w:t>
      </w:r>
      <w:proofErr w:type="spellStart"/>
      <w:r w:rsidRPr="00F06B16">
        <w:t>sMDB</w:t>
      </w:r>
      <w:proofErr w:type="spellEnd"/>
      <w:r w:rsidRPr="00F06B16">
        <w:t xml:space="preserve">. </w:t>
      </w:r>
    </w:p>
    <w:p w:rsidR="000614CD" w:rsidRPr="00F06B16" w:rsidRDefault="000614CD" w:rsidP="000614CD">
      <w:r w:rsidRPr="00F06B16">
        <w:t>To identify and quantify the impact that supply-side drivers have on water allocation prices, a number of scenarios</w:t>
      </w:r>
      <w:r>
        <w:t xml:space="preserve"> were developed</w:t>
      </w:r>
      <w:r w:rsidRPr="00F06B16">
        <w:t xml:space="preserve"> and tested. The scenarios were developed to specifically test for the potential </w:t>
      </w:r>
      <w:r w:rsidR="0049132C">
        <w:t xml:space="preserve">short run </w:t>
      </w:r>
      <w:r w:rsidRPr="00F06B16">
        <w:t>impact of:</w:t>
      </w:r>
    </w:p>
    <w:p w:rsidR="000614CD" w:rsidRPr="00F06B16" w:rsidRDefault="000614CD" w:rsidP="000614CD">
      <w:pPr>
        <w:pStyle w:val="Bullet"/>
      </w:pPr>
      <w:r w:rsidRPr="00F06B16">
        <w:t xml:space="preserve">Commonwealth water purchases on </w:t>
      </w:r>
      <w:r>
        <w:t xml:space="preserve">water </w:t>
      </w:r>
      <w:r w:rsidRPr="00F06B16">
        <w:t>allocation prices between 2007-08 and 2014-15</w:t>
      </w:r>
    </w:p>
    <w:p w:rsidR="000614CD" w:rsidRPr="00F06B16" w:rsidRDefault="000614CD" w:rsidP="000614CD">
      <w:pPr>
        <w:pStyle w:val="Bullet"/>
      </w:pPr>
      <w:r>
        <w:t xml:space="preserve">the </w:t>
      </w:r>
      <w:r w:rsidRPr="00F06B16">
        <w:t>current volume</w:t>
      </w:r>
      <w:r>
        <w:t xml:space="preserve"> of</w:t>
      </w:r>
      <w:r w:rsidRPr="00F06B16">
        <w:t xml:space="preserve"> Commonwealth water purchases on future </w:t>
      </w:r>
      <w:r>
        <w:t xml:space="preserve">water </w:t>
      </w:r>
      <w:r w:rsidRPr="00F06B16">
        <w:t xml:space="preserve">allocation </w:t>
      </w:r>
      <w:r>
        <w:t>prices</w:t>
      </w:r>
    </w:p>
    <w:p w:rsidR="000614CD" w:rsidRPr="00F06B16" w:rsidRDefault="000614CD" w:rsidP="000614CD">
      <w:pPr>
        <w:pStyle w:val="Bullet"/>
      </w:pPr>
      <w:proofErr w:type="gramStart"/>
      <w:r w:rsidRPr="00F06B16">
        <w:t>an</w:t>
      </w:r>
      <w:proofErr w:type="gramEnd"/>
      <w:r w:rsidRPr="00F06B16">
        <w:t xml:space="preserve"> </w:t>
      </w:r>
      <w:r w:rsidR="00A84F3F">
        <w:t xml:space="preserve">assumed </w:t>
      </w:r>
      <w:r w:rsidRPr="00F06B16">
        <w:t xml:space="preserve">additional 200 </w:t>
      </w:r>
      <w:proofErr w:type="spellStart"/>
      <w:r w:rsidRPr="00F06B16">
        <w:t>Gigalitres</w:t>
      </w:r>
      <w:proofErr w:type="spellEnd"/>
      <w:r w:rsidRPr="00F06B16">
        <w:t xml:space="preserve"> (GL) of Commonwealth water purchases in the </w:t>
      </w:r>
      <w:proofErr w:type="spellStart"/>
      <w:r w:rsidRPr="00F06B16">
        <w:t>sMDB</w:t>
      </w:r>
      <w:proofErr w:type="spellEnd"/>
      <w:r w:rsidRPr="00F06B16">
        <w:t>.</w:t>
      </w:r>
    </w:p>
    <w:p w:rsidR="000614CD" w:rsidRPr="00F06B16" w:rsidRDefault="000614CD" w:rsidP="000614CD">
      <w:pPr>
        <w:pStyle w:val="Heading4"/>
      </w:pPr>
      <w:r w:rsidRPr="00F06B16">
        <w:t xml:space="preserve">Historical price impact of Commonwealth </w:t>
      </w:r>
      <w:r>
        <w:t>water purchases</w:t>
      </w:r>
    </w:p>
    <w:p w:rsidR="000614CD" w:rsidRPr="00F06B16" w:rsidRDefault="000614CD" w:rsidP="000614CD">
      <w:r>
        <w:t>The</w:t>
      </w:r>
      <w:r w:rsidRPr="00F06B16">
        <w:t xml:space="preserve"> </w:t>
      </w:r>
      <w:r w:rsidR="003D6123">
        <w:t>price</w:t>
      </w:r>
      <w:r w:rsidRPr="00F06B16">
        <w:t xml:space="preserve"> model is able to measure the potential impact of Commonwealth </w:t>
      </w:r>
      <w:r>
        <w:t>water purchases</w:t>
      </w:r>
      <w:r w:rsidRPr="00F06B16">
        <w:t xml:space="preserve"> on historical water allocation prices</w:t>
      </w:r>
      <w:r>
        <w:t>. It does this</w:t>
      </w:r>
      <w:r w:rsidRPr="00F06B16">
        <w:t xml:space="preserve"> </w:t>
      </w:r>
      <w:r>
        <w:t xml:space="preserve">by </w:t>
      </w:r>
      <w:r w:rsidRPr="00F06B16">
        <w:t>comparing modelled historical allocation prices against</w:t>
      </w:r>
      <w:r>
        <w:t xml:space="preserve"> the</w:t>
      </w:r>
      <w:r w:rsidRPr="00F06B16">
        <w:t xml:space="preserve"> modelled historical allocation prices if purchases had not occurred and</w:t>
      </w:r>
      <w:r w:rsidRPr="00B85828">
        <w:t xml:space="preserve"> </w:t>
      </w:r>
      <w:r>
        <w:t>w</w:t>
      </w:r>
      <w:r w:rsidRPr="00B85828">
        <w:t>ater allocated to Commonwealth water purchases</w:t>
      </w:r>
      <w:r w:rsidRPr="00F06B16">
        <w:t xml:space="preserve"> w</w:t>
      </w:r>
      <w:r>
        <w:t>as</w:t>
      </w:r>
      <w:r w:rsidRPr="00F06B16">
        <w:t xml:space="preserve"> available for consumptive use. </w:t>
      </w:r>
    </w:p>
    <w:p w:rsidR="0049132C" w:rsidRDefault="000614CD" w:rsidP="000614CD">
      <w:r w:rsidRPr="00F06B16">
        <w:t>The results of this analysis show that</w:t>
      </w:r>
      <w:r>
        <w:t xml:space="preserve"> as the</w:t>
      </w:r>
      <w:r w:rsidRPr="00B85828">
        <w:t xml:space="preserve"> </w:t>
      </w:r>
      <w:r>
        <w:t>cumulative volume of</w:t>
      </w:r>
      <w:r w:rsidRPr="00F06B16">
        <w:t xml:space="preserve"> Commonwealth water purchases </w:t>
      </w:r>
      <w:r>
        <w:t>has</w:t>
      </w:r>
      <w:r w:rsidRPr="00F06B16">
        <w:t xml:space="preserve"> increased since 2008-09, the potential short-run price impact has also increased – reflected by the price difference between the two data points reported for each year</w:t>
      </w:r>
      <w:r>
        <w:t>, shown</w:t>
      </w:r>
      <w:r w:rsidRPr="00F06B16">
        <w:t xml:space="preserve"> in </w:t>
      </w:r>
      <w:r w:rsidR="00306798" w:rsidRPr="00F06B16">
        <w:fldChar w:fldCharType="begin"/>
      </w:r>
      <w:r w:rsidRPr="00F06B16">
        <w:instrText xml:space="preserve"> REF _Ref432071319 \h </w:instrText>
      </w:r>
      <w:r w:rsidR="00306798" w:rsidRPr="00F06B16">
        <w:fldChar w:fldCharType="separate"/>
      </w:r>
      <w:r w:rsidR="00EB2418" w:rsidRPr="00F06B16">
        <w:t>Figure ES</w:t>
      </w:r>
      <w:r w:rsidR="00EB2418">
        <w:rPr>
          <w:noProof/>
        </w:rPr>
        <w:t>2</w:t>
      </w:r>
      <w:r w:rsidR="00306798" w:rsidRPr="00F06B16">
        <w:fldChar w:fldCharType="end"/>
      </w:r>
      <w:r w:rsidRPr="00F06B16">
        <w:t>.</w:t>
      </w:r>
      <w:r>
        <w:rPr>
          <w:rStyle w:val="FootnoteReference"/>
        </w:rPr>
        <w:footnoteReference w:id="4"/>
      </w:r>
      <w:r w:rsidRPr="00F06B16">
        <w:t xml:space="preserve"> </w:t>
      </w:r>
      <w:r w:rsidR="00F05A32">
        <w:t xml:space="preserve">For example, in 2014-15, </w:t>
      </w:r>
      <w:r w:rsidR="00372CCD">
        <w:t>18 per cent</w:t>
      </w:r>
      <w:r w:rsidR="00F05A32">
        <w:t xml:space="preserve"> (</w:t>
      </w:r>
      <w:r w:rsidR="00372CCD">
        <w:t xml:space="preserve">786 </w:t>
      </w:r>
      <w:r w:rsidR="00F05A32">
        <w:t xml:space="preserve">GL) of water </w:t>
      </w:r>
      <w:r w:rsidR="003D6123">
        <w:t>was</w:t>
      </w:r>
      <w:r w:rsidR="00372CCD">
        <w:t xml:space="preserve"> allocated to </w:t>
      </w:r>
      <w:r w:rsidR="003D6123">
        <w:t xml:space="preserve">Commonwealth </w:t>
      </w:r>
      <w:r w:rsidR="0049132C">
        <w:t>purchased entitlements</w:t>
      </w:r>
      <w:r w:rsidR="003D6123">
        <w:t xml:space="preserve">. </w:t>
      </w:r>
      <w:r w:rsidR="00B62EBC">
        <w:t xml:space="preserve">The difference between modelled annual median prices with and without Commonwealth purchases is </w:t>
      </w:r>
      <w:r w:rsidR="00F05A32">
        <w:t>$</w:t>
      </w:r>
      <w:r w:rsidR="00372CCD">
        <w:t>24 per ML</w:t>
      </w:r>
      <w:r w:rsidR="00B62EBC">
        <w:t xml:space="preserve">, </w:t>
      </w:r>
      <w:r w:rsidR="005001D1">
        <w:t>increasing</w:t>
      </w:r>
      <w:r w:rsidR="00F05A32">
        <w:t xml:space="preserve"> from $</w:t>
      </w:r>
      <w:r w:rsidR="00372CCD">
        <w:t>88 to $112</w:t>
      </w:r>
      <w:r w:rsidR="00F05A32">
        <w:t xml:space="preserve"> per ML. </w:t>
      </w:r>
    </w:p>
    <w:p w:rsidR="000614CD" w:rsidRPr="00F06B16" w:rsidRDefault="000614CD" w:rsidP="000614CD">
      <w:r w:rsidRPr="00F06B16">
        <w:t xml:space="preserve">While modelling indicates that Commonwealth water purchases have increased </w:t>
      </w:r>
      <w:r>
        <w:t xml:space="preserve">water allocations </w:t>
      </w:r>
      <w:r w:rsidRPr="00F06B16">
        <w:t>price</w:t>
      </w:r>
      <w:r>
        <w:t>s,</w:t>
      </w:r>
      <w:r w:rsidRPr="00F06B16">
        <w:t xml:space="preserve"> </w:t>
      </w:r>
      <w:r>
        <w:t>i</w:t>
      </w:r>
      <w:r w:rsidRPr="00F06B16">
        <w:t xml:space="preserve">nter-annual price shifts </w:t>
      </w:r>
      <w:r w:rsidR="003B4C2F">
        <w:t xml:space="preserve">appear to be driven more significantly </w:t>
      </w:r>
      <w:r>
        <w:t>due to</w:t>
      </w:r>
      <w:r w:rsidRPr="00F06B16">
        <w:t xml:space="preserve"> </w:t>
      </w:r>
      <w:r w:rsidR="003B4C2F">
        <w:t xml:space="preserve">overall </w:t>
      </w:r>
      <w:r>
        <w:t xml:space="preserve">changes in </w:t>
      </w:r>
      <w:r w:rsidRPr="00F06B16">
        <w:t xml:space="preserve">water availability </w:t>
      </w:r>
      <w:r>
        <w:t xml:space="preserve">than </w:t>
      </w:r>
      <w:r w:rsidRPr="00F06B16">
        <w:t>Commonwealth water purchases.</w:t>
      </w:r>
      <w:r w:rsidR="0049132C">
        <w:t xml:space="preserve"> For example, annual median prices decreased by over 90 per cent from around $400 / ML during the Millennium drought in 2008-09 to less than $30 / ML in 2010-11 and 2011-12 in response to extremely wet conditions, even with substantial allocations to the Commonwealth purchases in those years. </w:t>
      </w:r>
    </w:p>
    <w:p w:rsidR="000614CD" w:rsidRPr="00F06B16" w:rsidRDefault="000614CD" w:rsidP="000614CD">
      <w:pPr>
        <w:pStyle w:val="TFIHolderSmallSpace"/>
      </w:pPr>
      <w:r>
        <w:rPr>
          <w:noProof/>
        </w:rPr>
        <w:lastRenderedPageBreak/>
        <w:drawing>
          <wp:inline distT="0" distB="0" distL="0" distR="0">
            <wp:extent cx="5746750" cy="2889312"/>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7993" cy="2889937"/>
                    </a:xfrm>
                    <a:prstGeom prst="rect">
                      <a:avLst/>
                    </a:prstGeom>
                    <a:noFill/>
                  </pic:spPr>
                </pic:pic>
              </a:graphicData>
            </a:graphic>
          </wp:inline>
        </w:drawing>
      </w:r>
    </w:p>
    <w:p w:rsidR="000614CD" w:rsidRPr="00F06B16" w:rsidRDefault="000614CD" w:rsidP="000614CD">
      <w:pPr>
        <w:pStyle w:val="TFNoteSourceTab"/>
      </w:pPr>
      <w:r>
        <w:t xml:space="preserve">Note: </w:t>
      </w:r>
      <w:r>
        <w:tab/>
      </w:r>
      <w:r w:rsidRPr="0073036E">
        <w:t>The total volume of water allocated to Commonwealth water purchases is reported based on the year to year cumulative portfolio</w:t>
      </w:r>
      <w:r>
        <w:t xml:space="preserve"> growth</w:t>
      </w:r>
      <w:r w:rsidRPr="0073036E">
        <w:t xml:space="preserve"> (i.e. it is not just purchases in that year).</w:t>
      </w:r>
    </w:p>
    <w:p w:rsidR="000614CD" w:rsidRDefault="000614CD" w:rsidP="000614CD">
      <w:pPr>
        <w:pStyle w:val="TFNoteSourceTab"/>
      </w:pPr>
      <w:r w:rsidRPr="00F06B16">
        <w:t>Source:</w:t>
      </w:r>
      <w:r w:rsidRPr="00F06B16">
        <w:tab/>
      </w:r>
      <w:proofErr w:type="spellStart"/>
      <w:r w:rsidRPr="00F06B16">
        <w:t>Aither</w:t>
      </w:r>
      <w:proofErr w:type="spellEnd"/>
      <w:r w:rsidRPr="00F06B16">
        <w:t xml:space="preserve"> 2015. </w:t>
      </w:r>
      <w:proofErr w:type="gramStart"/>
      <w:r w:rsidRPr="00F06B16">
        <w:t>New South Wales Water Register, South Australian Water Register and Victorian Water Register.</w:t>
      </w:r>
      <w:proofErr w:type="gramEnd"/>
      <w:r w:rsidRPr="00F06B16">
        <w:t xml:space="preserve"> Based on Commonwealth water purchase data provided to </w:t>
      </w:r>
      <w:proofErr w:type="spellStart"/>
      <w:r w:rsidRPr="00F06B16">
        <w:t>Aither</w:t>
      </w:r>
      <w:proofErr w:type="spellEnd"/>
      <w:r w:rsidRPr="00F06B16">
        <w:t xml:space="preserve"> by the Department of the Environment.</w:t>
      </w:r>
    </w:p>
    <w:p w:rsidR="000614CD" w:rsidRDefault="000614CD" w:rsidP="000614CD">
      <w:pPr>
        <w:pStyle w:val="Caption"/>
      </w:pPr>
      <w:bookmarkStart w:id="4" w:name="_Ref432071319"/>
      <w:bookmarkStart w:id="5" w:name="_Toc440006869"/>
      <w:r w:rsidRPr="00F06B16">
        <w:t>Figure ES</w:t>
      </w:r>
      <w:r w:rsidR="00306798">
        <w:fldChar w:fldCharType="begin"/>
      </w:r>
      <w:r w:rsidR="00531166">
        <w:instrText xml:space="preserve"> SEQ Figure \* ARABIC </w:instrText>
      </w:r>
      <w:r w:rsidR="00306798">
        <w:fldChar w:fldCharType="separate"/>
      </w:r>
      <w:r w:rsidR="00EB2418">
        <w:rPr>
          <w:noProof/>
        </w:rPr>
        <w:t>2</w:t>
      </w:r>
      <w:r w:rsidR="00306798">
        <w:rPr>
          <w:noProof/>
        </w:rPr>
        <w:fldChar w:fldCharType="end"/>
      </w:r>
      <w:bookmarkEnd w:id="4"/>
      <w:r w:rsidRPr="00F06B16">
        <w:tab/>
      </w:r>
      <w:r>
        <w:t>H</w:t>
      </w:r>
      <w:r w:rsidRPr="00F06B16">
        <w:t>istorical</w:t>
      </w:r>
      <w:r w:rsidRPr="0073036E">
        <w:t xml:space="preserve"> </w:t>
      </w:r>
      <w:r w:rsidRPr="00F06B16">
        <w:t xml:space="preserve">water allocation </w:t>
      </w:r>
      <w:r w:rsidRPr="0073036E">
        <w:t>pric</w:t>
      </w:r>
      <w:r>
        <w:t>e</w:t>
      </w:r>
      <w:r w:rsidRPr="00F06B16">
        <w:t xml:space="preserve"> impact of Commonwealth</w:t>
      </w:r>
      <w:r>
        <w:t xml:space="preserve"> water</w:t>
      </w:r>
      <w:r w:rsidRPr="00F06B16">
        <w:t xml:space="preserve"> purchases</w:t>
      </w:r>
      <w:r>
        <w:t>, 2008-09 to 2014-15</w:t>
      </w:r>
      <w:bookmarkEnd w:id="5"/>
    </w:p>
    <w:p w:rsidR="000614CD" w:rsidRPr="00315186" w:rsidRDefault="000614CD" w:rsidP="000614CD"/>
    <w:p w:rsidR="000614CD" w:rsidRPr="00F06B16" w:rsidRDefault="000614CD" w:rsidP="000614CD">
      <w:pPr>
        <w:pStyle w:val="Heading4"/>
      </w:pPr>
      <w:r>
        <w:t>P</w:t>
      </w:r>
      <w:r w:rsidRPr="00F06B16">
        <w:t xml:space="preserve">rice impact of </w:t>
      </w:r>
      <w:r>
        <w:t xml:space="preserve">current </w:t>
      </w:r>
      <w:r w:rsidRPr="00F06B16">
        <w:t xml:space="preserve">Commonwealth </w:t>
      </w:r>
      <w:r>
        <w:t>water purchases under future seasonal conditions</w:t>
      </w:r>
    </w:p>
    <w:p w:rsidR="000614CD" w:rsidRPr="00F06B16" w:rsidRDefault="000614CD" w:rsidP="000614CD">
      <w:proofErr w:type="spellStart"/>
      <w:r>
        <w:t>Aither</w:t>
      </w:r>
      <w:r w:rsidR="00F05A32">
        <w:t>’s</w:t>
      </w:r>
      <w:proofErr w:type="spellEnd"/>
      <w:r w:rsidRPr="00F06B16">
        <w:t xml:space="preserve"> price model is able to </w:t>
      </w:r>
      <w:r w:rsidR="00B62EBC">
        <w:t>estimate</w:t>
      </w:r>
      <w:r w:rsidR="00B62EBC" w:rsidRPr="00F06B16">
        <w:t xml:space="preserve"> </w:t>
      </w:r>
      <w:r w:rsidRPr="00F06B16">
        <w:t xml:space="preserve">the potential impact of </w:t>
      </w:r>
      <w:r>
        <w:t>w</w:t>
      </w:r>
      <w:r w:rsidRPr="00275472">
        <w:t xml:space="preserve">ater allocated to </w:t>
      </w:r>
      <w:r>
        <w:t xml:space="preserve">current </w:t>
      </w:r>
      <w:r w:rsidRPr="00275472">
        <w:t>Commonwealth water purchases</w:t>
      </w:r>
      <w:r w:rsidRPr="00275472" w:rsidDel="00275472">
        <w:t xml:space="preserve"> </w:t>
      </w:r>
      <w:r>
        <w:t xml:space="preserve">in the </w:t>
      </w:r>
      <w:proofErr w:type="spellStart"/>
      <w:r>
        <w:t>sMDB</w:t>
      </w:r>
      <w:proofErr w:type="spellEnd"/>
      <w:r>
        <w:t xml:space="preserve"> </w:t>
      </w:r>
      <w:r w:rsidRPr="00F06B16">
        <w:t xml:space="preserve">on </w:t>
      </w:r>
      <w:r w:rsidR="00B62EBC">
        <w:t>annual media</w:t>
      </w:r>
      <w:r w:rsidR="005001D1">
        <w:t>n</w:t>
      </w:r>
      <w:r w:rsidR="00B62EBC">
        <w:t xml:space="preserve"> </w:t>
      </w:r>
      <w:r w:rsidRPr="00F06B16">
        <w:t>water allocation prices</w:t>
      </w:r>
      <w:r>
        <w:t xml:space="preserve"> in hypothetical future years</w:t>
      </w:r>
      <w:r w:rsidRPr="00F06B16">
        <w:t>. The results of analysing</w:t>
      </w:r>
      <w:r>
        <w:t xml:space="preserve"> potential future price impacts</w:t>
      </w:r>
      <w:r w:rsidRPr="00F06B16">
        <w:t xml:space="preserve"> </w:t>
      </w:r>
      <w:r w:rsidR="001B716D">
        <w:t>suggest</w:t>
      </w:r>
      <w:r w:rsidR="001B716D" w:rsidRPr="00F06B16">
        <w:t xml:space="preserve"> </w:t>
      </w:r>
      <w:r w:rsidRPr="00F06B16">
        <w:t xml:space="preserve">that </w:t>
      </w:r>
      <w:r>
        <w:t>w</w:t>
      </w:r>
      <w:r w:rsidRPr="00275472">
        <w:t xml:space="preserve">ater allocated to </w:t>
      </w:r>
      <w:r>
        <w:t xml:space="preserve">current </w:t>
      </w:r>
      <w:r w:rsidRPr="00275472">
        <w:t>Commonwealth water purchases</w:t>
      </w:r>
      <w:r w:rsidRPr="00F06B16">
        <w:t xml:space="preserve"> will tend to have larger short-run price impacts in dry years ($31 per ML</w:t>
      </w:r>
      <w:r>
        <w:t xml:space="preserve"> price increase</w:t>
      </w:r>
      <w:r w:rsidRPr="00F06B16">
        <w:t>) than wet years ($9 per ML</w:t>
      </w:r>
      <w:r>
        <w:t xml:space="preserve"> price increase</w:t>
      </w:r>
      <w:r w:rsidRPr="00F06B16">
        <w:t>) – in dollar terms</w:t>
      </w:r>
      <w:r w:rsidR="00F05A32">
        <w:t>, based on the modelling assumptions</w:t>
      </w:r>
      <w:r w:rsidRPr="00F06B16">
        <w:t xml:space="preserve"> (</w:t>
      </w:r>
      <w:r w:rsidR="00306798" w:rsidRPr="00F06B16">
        <w:fldChar w:fldCharType="begin"/>
      </w:r>
      <w:r w:rsidRPr="00F06B16">
        <w:instrText xml:space="preserve"> REF _Ref432073211 \h </w:instrText>
      </w:r>
      <w:r w:rsidR="00306798" w:rsidRPr="00F06B16">
        <w:fldChar w:fldCharType="separate"/>
      </w:r>
      <w:r w:rsidR="00EB2418" w:rsidRPr="00F06B16">
        <w:t>Figure ES</w:t>
      </w:r>
      <w:r w:rsidR="00EB2418">
        <w:rPr>
          <w:noProof/>
        </w:rPr>
        <w:t>3</w:t>
      </w:r>
      <w:r w:rsidR="00306798" w:rsidRPr="00F06B16">
        <w:fldChar w:fldCharType="end"/>
      </w:r>
      <w:r w:rsidRPr="00F06B16">
        <w:t>).</w:t>
      </w:r>
      <w:r w:rsidR="001B716D">
        <w:rPr>
          <w:rStyle w:val="FootnoteReference"/>
        </w:rPr>
        <w:footnoteReference w:id="5"/>
      </w:r>
      <w:r w:rsidRPr="00F06B16">
        <w:t xml:space="preserve"> </w:t>
      </w:r>
      <w:r w:rsidR="00306798" w:rsidRPr="00F06B16">
        <w:fldChar w:fldCharType="begin"/>
      </w:r>
      <w:r w:rsidRPr="00F06B16">
        <w:instrText xml:space="preserve"> REF _Ref432073211 \h </w:instrText>
      </w:r>
      <w:r w:rsidR="00306798" w:rsidRPr="00F06B16">
        <w:fldChar w:fldCharType="separate"/>
      </w:r>
      <w:r w:rsidR="00EB2418" w:rsidRPr="00F06B16">
        <w:t>Figure ES</w:t>
      </w:r>
      <w:r w:rsidR="00EB2418">
        <w:rPr>
          <w:noProof/>
        </w:rPr>
        <w:t>3</w:t>
      </w:r>
      <w:r w:rsidR="00306798" w:rsidRPr="00F06B16">
        <w:fldChar w:fldCharType="end"/>
      </w:r>
      <w:r>
        <w:t xml:space="preserve"> also</w:t>
      </w:r>
      <w:r w:rsidRPr="00F06B16">
        <w:t xml:space="preserve"> highlights the </w:t>
      </w:r>
      <w:r>
        <w:t>much larger</w:t>
      </w:r>
      <w:r w:rsidRPr="00F06B16">
        <w:t xml:space="preserve"> impact that changes to water availability can have on prices in comparison to the relatively </w:t>
      </w:r>
      <w:r w:rsidR="0049132C">
        <w:t>modest</w:t>
      </w:r>
      <w:r w:rsidR="0049132C" w:rsidRPr="00F06B16">
        <w:t xml:space="preserve"> </w:t>
      </w:r>
      <w:r w:rsidRPr="00F06B16">
        <w:t xml:space="preserve">potential price </w:t>
      </w:r>
      <w:r>
        <w:t xml:space="preserve">increase </w:t>
      </w:r>
      <w:r w:rsidRPr="00F06B16">
        <w:t>impacts of Commonwealth water purchases</w:t>
      </w:r>
      <w:r w:rsidR="00900E73">
        <w:t xml:space="preserve"> shown previously in </w:t>
      </w:r>
      <w:r w:rsidR="00306798">
        <w:fldChar w:fldCharType="begin"/>
      </w:r>
      <w:r w:rsidR="00900E73">
        <w:instrText xml:space="preserve"> REF _Ref432071319 \h </w:instrText>
      </w:r>
      <w:r w:rsidR="00306798">
        <w:fldChar w:fldCharType="separate"/>
      </w:r>
      <w:r w:rsidR="00EB2418" w:rsidRPr="00F06B16">
        <w:t>Figure ES</w:t>
      </w:r>
      <w:r w:rsidR="00EB2418">
        <w:rPr>
          <w:noProof/>
        </w:rPr>
        <w:t>2</w:t>
      </w:r>
      <w:r w:rsidR="00306798">
        <w:fldChar w:fldCharType="end"/>
      </w:r>
      <w:r w:rsidRPr="00F06B16">
        <w:t xml:space="preserve">. </w:t>
      </w:r>
      <w:r w:rsidR="0049132C">
        <w:t>Specifically, prices in the modelled wet year are less than half those in the average year, and approximately 90 per cent lower than the modelled price in an extreme dry year.</w:t>
      </w:r>
    </w:p>
    <w:p w:rsidR="000614CD" w:rsidRPr="00F06B16" w:rsidRDefault="000614CD" w:rsidP="000614CD">
      <w:r>
        <w:rPr>
          <w:noProof/>
        </w:rPr>
        <w:lastRenderedPageBreak/>
        <w:drawing>
          <wp:inline distT="0" distB="0" distL="0" distR="0">
            <wp:extent cx="5718319" cy="272801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9685" cy="2728670"/>
                    </a:xfrm>
                    <a:prstGeom prst="rect">
                      <a:avLst/>
                    </a:prstGeom>
                    <a:noFill/>
                  </pic:spPr>
                </pic:pic>
              </a:graphicData>
            </a:graphic>
          </wp:inline>
        </w:drawing>
      </w:r>
    </w:p>
    <w:p w:rsidR="000614CD" w:rsidRPr="00F06B16" w:rsidRDefault="000614CD" w:rsidP="000614CD">
      <w:pPr>
        <w:pStyle w:val="TFNoteSourceTab"/>
      </w:pPr>
      <w:r w:rsidRPr="00F06B16">
        <w:t>Source:</w:t>
      </w:r>
      <w:r w:rsidRPr="00F06B16">
        <w:tab/>
      </w:r>
      <w:proofErr w:type="spellStart"/>
      <w:r w:rsidRPr="00F06B16">
        <w:t>Aither</w:t>
      </w:r>
      <w:proofErr w:type="spellEnd"/>
      <w:r w:rsidRPr="00F06B16">
        <w:t xml:space="preserve"> 2015. </w:t>
      </w:r>
      <w:proofErr w:type="gramStart"/>
      <w:r w:rsidRPr="00F06B16">
        <w:t>New South Wales Water Register, South Australian Water Register and Victorian Water Register.</w:t>
      </w:r>
      <w:proofErr w:type="gramEnd"/>
      <w:r w:rsidRPr="00F06B16">
        <w:t xml:space="preserve"> Based on Commonwealth water purchase data provided to </w:t>
      </w:r>
      <w:proofErr w:type="spellStart"/>
      <w:r w:rsidRPr="00F06B16">
        <w:t>Aither</w:t>
      </w:r>
      <w:proofErr w:type="spellEnd"/>
      <w:r w:rsidRPr="00F06B16">
        <w:t xml:space="preserve"> by the Department of the Environment.</w:t>
      </w:r>
    </w:p>
    <w:p w:rsidR="000614CD" w:rsidRPr="00F06B16" w:rsidRDefault="000614CD" w:rsidP="000614CD">
      <w:pPr>
        <w:pStyle w:val="Caption"/>
      </w:pPr>
      <w:bookmarkStart w:id="6" w:name="_Ref432073211"/>
      <w:bookmarkStart w:id="7" w:name="_Toc440006870"/>
      <w:r w:rsidRPr="00F06B16">
        <w:t>Figure ES</w:t>
      </w:r>
      <w:r w:rsidR="00306798">
        <w:fldChar w:fldCharType="begin"/>
      </w:r>
      <w:r w:rsidR="00531166">
        <w:instrText xml:space="preserve"> SEQ Figure \* ARABIC </w:instrText>
      </w:r>
      <w:r w:rsidR="00306798">
        <w:fldChar w:fldCharType="separate"/>
      </w:r>
      <w:r w:rsidR="00EB2418">
        <w:rPr>
          <w:noProof/>
        </w:rPr>
        <w:t>3</w:t>
      </w:r>
      <w:r w:rsidR="00306798">
        <w:rPr>
          <w:noProof/>
        </w:rPr>
        <w:fldChar w:fldCharType="end"/>
      </w:r>
      <w:bookmarkEnd w:id="6"/>
      <w:r w:rsidRPr="00F06B16">
        <w:tab/>
      </w:r>
      <w:r>
        <w:t>Estimated water a</w:t>
      </w:r>
      <w:r w:rsidRPr="00F06B16">
        <w:t xml:space="preserve">llocation price impacts of Commonwealth </w:t>
      </w:r>
      <w:r>
        <w:t xml:space="preserve">water </w:t>
      </w:r>
      <w:r w:rsidRPr="00F06B16">
        <w:t>purchases for hypothetical future water year</w:t>
      </w:r>
      <w:r>
        <w:t>s</w:t>
      </w:r>
      <w:bookmarkEnd w:id="7"/>
    </w:p>
    <w:p w:rsidR="000614CD" w:rsidRPr="00F06B16" w:rsidRDefault="000614CD" w:rsidP="000614CD">
      <w:pPr>
        <w:pStyle w:val="Heading4"/>
      </w:pPr>
      <w:r w:rsidRPr="00F06B16">
        <w:t>Impact of additional Commonwealth water purchases</w:t>
      </w:r>
    </w:p>
    <w:p w:rsidR="000614CD" w:rsidRPr="00F06B16" w:rsidRDefault="000614CD" w:rsidP="000614CD">
      <w:r w:rsidRPr="00F06B16">
        <w:t xml:space="preserve">Based on progress to date with recovering water for the environment in the Murray-Darling Basin, there is the potential that further Commonwealth water purchases will be required. The purchase of additional water for the environment will increase the volume of water held by the Commonwealth (above current volumes), and as a result, further reduce the volume of </w:t>
      </w:r>
      <w:r>
        <w:t>w</w:t>
      </w:r>
      <w:r w:rsidRPr="00275472">
        <w:t xml:space="preserve">ater allocated </w:t>
      </w:r>
      <w:r>
        <w:t>that is available for</w:t>
      </w:r>
      <w:r w:rsidRPr="00275472">
        <w:t xml:space="preserve"> consumptive use</w:t>
      </w:r>
      <w:r>
        <w:t xml:space="preserve"> in any given future year</w:t>
      </w:r>
      <w:r w:rsidRPr="00F06B16">
        <w:t xml:space="preserve">. </w:t>
      </w:r>
      <w:proofErr w:type="spellStart"/>
      <w:r w:rsidRPr="00F06B16">
        <w:t>Aither</w:t>
      </w:r>
      <w:proofErr w:type="spellEnd"/>
      <w:r w:rsidRPr="00F06B16">
        <w:t xml:space="preserve"> assess</w:t>
      </w:r>
      <w:r>
        <w:t>ed</w:t>
      </w:r>
      <w:r w:rsidRPr="00F06B16">
        <w:t xml:space="preserve"> the likely price impacts of </w:t>
      </w:r>
      <w:r w:rsidR="001F36F9">
        <w:t xml:space="preserve">an assumed </w:t>
      </w:r>
      <w:r w:rsidRPr="00F06B16">
        <w:t xml:space="preserve">200 GL of additional Commonwealth water purchases in the </w:t>
      </w:r>
      <w:proofErr w:type="spellStart"/>
      <w:r w:rsidRPr="00F06B16">
        <w:t>sMDB</w:t>
      </w:r>
      <w:proofErr w:type="spellEnd"/>
      <w:r w:rsidRPr="00F06B16">
        <w:t xml:space="preserve">. </w:t>
      </w:r>
    </w:p>
    <w:p w:rsidR="000614CD" w:rsidRPr="00F06B16" w:rsidRDefault="000614CD" w:rsidP="000614CD">
      <w:r w:rsidRPr="00F06B16">
        <w:t xml:space="preserve">Analysis of this </w:t>
      </w:r>
      <w:r w:rsidR="00E85E27">
        <w:t>hypothetical</w:t>
      </w:r>
      <w:r w:rsidR="00F756A1">
        <w:t xml:space="preserve"> </w:t>
      </w:r>
      <w:r w:rsidRPr="00F06B16">
        <w:t xml:space="preserve">additional Commonwealth water purchase showed that only minor </w:t>
      </w:r>
      <w:r>
        <w:t>additional</w:t>
      </w:r>
      <w:r w:rsidRPr="00F06B16">
        <w:t xml:space="preserve"> price impacts would be felt under all hypothetical future water years –</w:t>
      </w:r>
      <w:r>
        <w:t xml:space="preserve"> </w:t>
      </w:r>
      <w:r w:rsidRPr="00F06B16">
        <w:t>add</w:t>
      </w:r>
      <w:r>
        <w:t>ing</w:t>
      </w:r>
      <w:r w:rsidRPr="00F06B16">
        <w:t xml:space="preserve"> </w:t>
      </w:r>
      <w:r w:rsidR="00F756A1">
        <w:t xml:space="preserve">a further </w:t>
      </w:r>
      <w:r w:rsidRPr="00F06B16">
        <w:t xml:space="preserve">2 per cent </w:t>
      </w:r>
      <w:r>
        <w:t xml:space="preserve">to median water allocation </w:t>
      </w:r>
      <w:r w:rsidRPr="00F06B16">
        <w:t>price</w:t>
      </w:r>
      <w:r>
        <w:t xml:space="preserve">s </w:t>
      </w:r>
      <w:r w:rsidRPr="00F06B16">
        <w:t>in a repeat of a</w:t>
      </w:r>
      <w:r>
        <w:t xml:space="preserve">n extreme </w:t>
      </w:r>
      <w:r w:rsidRPr="00F06B16">
        <w:t>dry year, 4 per cent in an average year and 6 per cent in a wet year.</w:t>
      </w:r>
    </w:p>
    <w:p w:rsidR="000614CD" w:rsidRPr="00F06B16" w:rsidRDefault="000614CD" w:rsidP="000614CD">
      <w:pPr>
        <w:pStyle w:val="Heading3a"/>
      </w:pPr>
      <w:r w:rsidRPr="00F06B16">
        <w:t>Conclusions</w:t>
      </w:r>
    </w:p>
    <w:p w:rsidR="000614CD" w:rsidRPr="00F06B16" w:rsidRDefault="00F05A32" w:rsidP="000614CD">
      <w:r>
        <w:t>T</w:t>
      </w:r>
      <w:r w:rsidR="000614CD">
        <w:t xml:space="preserve">he </w:t>
      </w:r>
      <w:r w:rsidR="003F50F1">
        <w:t>model</w:t>
      </w:r>
      <w:r w:rsidR="0049132C">
        <w:t>ling</w:t>
      </w:r>
      <w:r w:rsidR="003F50F1">
        <w:t xml:space="preserve"> </w:t>
      </w:r>
      <w:r w:rsidR="003725DB">
        <w:t>suggests</w:t>
      </w:r>
      <w:r w:rsidR="003F50F1">
        <w:t xml:space="preserve"> that the </w:t>
      </w:r>
      <w:r w:rsidR="000614CD">
        <w:t>current volume of water allocated</w:t>
      </w:r>
      <w:r w:rsidR="000614CD" w:rsidRPr="003E6D18">
        <w:t xml:space="preserve"> </w:t>
      </w:r>
      <w:r w:rsidR="000614CD">
        <w:t>to Commonwealth water purchases</w:t>
      </w:r>
      <w:r w:rsidR="000614CD" w:rsidRPr="00F06B16">
        <w:t xml:space="preserve"> increase</w:t>
      </w:r>
      <w:r>
        <w:t>s</w:t>
      </w:r>
      <w:r w:rsidR="000614CD" w:rsidRPr="00F06B16">
        <w:t xml:space="preserve"> </w:t>
      </w:r>
      <w:r w:rsidR="00F756A1">
        <w:t xml:space="preserve">annual </w:t>
      </w:r>
      <w:r w:rsidR="003725DB">
        <w:t xml:space="preserve">median </w:t>
      </w:r>
      <w:r w:rsidR="000614CD" w:rsidRPr="00F06B16">
        <w:t xml:space="preserve">water allocation prices in the </w:t>
      </w:r>
      <w:proofErr w:type="spellStart"/>
      <w:r w:rsidR="000614CD" w:rsidRPr="00F06B16">
        <w:t>sMDB</w:t>
      </w:r>
      <w:proofErr w:type="spellEnd"/>
      <w:r w:rsidR="000614CD" w:rsidRPr="00F06B16">
        <w:t xml:space="preserve"> above </w:t>
      </w:r>
      <w:r w:rsidR="003F50F1">
        <w:t>prices that would occur had</w:t>
      </w:r>
      <w:r w:rsidR="000614CD" w:rsidRPr="00F06B16">
        <w:t xml:space="preserve"> </w:t>
      </w:r>
      <w:r w:rsidR="003725DB">
        <w:t xml:space="preserve">Commonwealth </w:t>
      </w:r>
      <w:r w:rsidR="000614CD" w:rsidRPr="00F06B16">
        <w:t xml:space="preserve">water purchases not occurred. While </w:t>
      </w:r>
      <w:r w:rsidR="000614CD">
        <w:t>material, particularly in dry years</w:t>
      </w:r>
      <w:r w:rsidR="000614CD" w:rsidRPr="00F06B16">
        <w:t xml:space="preserve">, </w:t>
      </w:r>
      <w:r>
        <w:t xml:space="preserve">the </w:t>
      </w:r>
      <w:r w:rsidR="000614CD" w:rsidRPr="00F06B16">
        <w:t>modelling</w:t>
      </w:r>
      <w:r w:rsidR="000614CD">
        <w:t xml:space="preserve"> </w:t>
      </w:r>
      <w:r w:rsidR="000614CD" w:rsidRPr="00F06B16">
        <w:t xml:space="preserve">suggests that Commonwealth water purchases are </w:t>
      </w:r>
      <w:r w:rsidR="000614CD">
        <w:t xml:space="preserve">a less </w:t>
      </w:r>
      <w:r w:rsidR="00BF0ADC">
        <w:t xml:space="preserve">important </w:t>
      </w:r>
      <w:r w:rsidR="000614CD">
        <w:t xml:space="preserve">driver of allocation prices compared with </w:t>
      </w:r>
      <w:r w:rsidR="000614CD" w:rsidRPr="00F06B16">
        <w:t>total water availability and prevailing climatic conditions (</w:t>
      </w:r>
      <w:r w:rsidR="000614CD">
        <w:t>i.e. w</w:t>
      </w:r>
      <w:r w:rsidR="000614CD" w:rsidRPr="00275472">
        <w:t xml:space="preserve">ater allocated </w:t>
      </w:r>
      <w:r w:rsidR="000614CD">
        <w:t xml:space="preserve">that is available for </w:t>
      </w:r>
      <w:r w:rsidR="000614CD" w:rsidRPr="00275472">
        <w:t xml:space="preserve">consumptive use </w:t>
      </w:r>
      <w:r w:rsidR="000614CD">
        <w:t xml:space="preserve">and </w:t>
      </w:r>
      <w:r w:rsidR="000614CD" w:rsidRPr="00F06B16">
        <w:t>rainfall</w:t>
      </w:r>
      <w:r w:rsidR="000614CD">
        <w:t xml:space="preserve"> in growing regions</w:t>
      </w:r>
      <w:r w:rsidR="000614CD" w:rsidRPr="00F06B16">
        <w:t xml:space="preserve">). </w:t>
      </w:r>
      <w:proofErr w:type="gramStart"/>
      <w:r w:rsidR="003D6123">
        <w:t>Modelling</w:t>
      </w:r>
      <w:r w:rsidR="000614CD">
        <w:t xml:space="preserve"> </w:t>
      </w:r>
      <w:r w:rsidR="00B044C1">
        <w:t>shows</w:t>
      </w:r>
      <w:r w:rsidR="003725DB">
        <w:t xml:space="preserve"> </w:t>
      </w:r>
      <w:r w:rsidR="000614CD">
        <w:t xml:space="preserve">that </w:t>
      </w:r>
      <w:r w:rsidR="00BF0ADC">
        <w:t>climatic conditions are</w:t>
      </w:r>
      <w:r w:rsidR="000614CD">
        <w:t xml:space="preserve"> the prime determinant</w:t>
      </w:r>
      <w:r w:rsidR="00BF0ADC">
        <w:t>s</w:t>
      </w:r>
      <w:r w:rsidR="000614CD">
        <w:t xml:space="preserve"> of </w:t>
      </w:r>
      <w:r w:rsidR="0049132C">
        <w:t xml:space="preserve">variability in </w:t>
      </w:r>
      <w:r w:rsidR="000614CD">
        <w:t>water allocation prices, and can explain the majority of inter-annual variability with a high degree of confidence.</w:t>
      </w:r>
      <w:proofErr w:type="gramEnd"/>
      <w:r w:rsidR="0049132C">
        <w:t xml:space="preserve"> Specifically, while the impacts of the Commonwealth purchases were typically estimated to be within the range of $</w:t>
      </w:r>
      <w:r w:rsidR="004D40B1">
        <w:t>9</w:t>
      </w:r>
      <w:r w:rsidR="0049132C">
        <w:t>-$3</w:t>
      </w:r>
      <w:r w:rsidR="004D40B1">
        <w:t>1</w:t>
      </w:r>
      <w:r w:rsidR="0049132C">
        <w:t xml:space="preserve"> per ML, </w:t>
      </w:r>
      <w:r w:rsidR="004D40B1">
        <w:t>modelled prices ranged from less than $40 in wet years to over $400 in extreme dry years.</w:t>
      </w:r>
    </w:p>
    <w:p w:rsidR="000614CD" w:rsidRDefault="000614CD" w:rsidP="000614CD">
      <w:r>
        <w:t xml:space="preserve">It is important to note that the price impact estimates presented in this report are short-run impacts, which assume no structural changes to demand for water in </w:t>
      </w:r>
      <w:proofErr w:type="spellStart"/>
      <w:r>
        <w:t>sMDB</w:t>
      </w:r>
      <w:proofErr w:type="spellEnd"/>
      <w:r w:rsidR="00B044C1">
        <w:t>, and no long term impacts of climate change</w:t>
      </w:r>
      <w:r>
        <w:t>. Over the longer-term</w:t>
      </w:r>
      <w:r w:rsidR="00BF0ADC">
        <w:t>, and with all other factors held constant</w:t>
      </w:r>
      <w:r>
        <w:t>, increased</w:t>
      </w:r>
      <w:r w:rsidRPr="00F06B16">
        <w:t xml:space="preserve"> water prices </w:t>
      </w:r>
      <w:r>
        <w:lastRenderedPageBreak/>
        <w:t>associated with</w:t>
      </w:r>
      <w:r w:rsidRPr="00F06B16">
        <w:t xml:space="preserve"> the impact of Commonwealth </w:t>
      </w:r>
      <w:r>
        <w:t>water purchases could</w:t>
      </w:r>
      <w:r w:rsidRPr="00F06B16">
        <w:t xml:space="preserve"> </w:t>
      </w:r>
      <w:r>
        <w:t>force</w:t>
      </w:r>
      <w:r w:rsidRPr="00275472">
        <w:t xml:space="preserve"> </w:t>
      </w:r>
      <w:r w:rsidRPr="00F06B16">
        <w:t>some irrigators</w:t>
      </w:r>
      <w:r>
        <w:t xml:space="preserve"> to</w:t>
      </w:r>
      <w:r w:rsidRPr="00F06B16">
        <w:t xml:space="preserve"> adjust </w:t>
      </w:r>
      <w:r>
        <w:t>or</w:t>
      </w:r>
      <w:r w:rsidRPr="00F06B16">
        <w:t xml:space="preserve"> </w:t>
      </w:r>
      <w:r>
        <w:t>cease production</w:t>
      </w:r>
      <w:r w:rsidRPr="00F06B16">
        <w:t xml:space="preserve">. </w:t>
      </w:r>
      <w:r w:rsidR="00BF0ADC">
        <w:t>As</w:t>
      </w:r>
      <w:r w:rsidR="00BF0ADC" w:rsidRPr="00F06B16">
        <w:t xml:space="preserve"> </w:t>
      </w:r>
      <w:r>
        <w:t>such</w:t>
      </w:r>
      <w:r w:rsidRPr="00F06B16">
        <w:t xml:space="preserve"> structural adjustment </w:t>
      </w:r>
      <w:proofErr w:type="gramStart"/>
      <w:r w:rsidRPr="00F06B16">
        <w:t>occur</w:t>
      </w:r>
      <w:r>
        <w:t>s</w:t>
      </w:r>
      <w:r w:rsidRPr="00F06B16">
        <w:t>,</w:t>
      </w:r>
      <w:proofErr w:type="gramEnd"/>
      <w:r w:rsidRPr="00F06B16">
        <w:t xml:space="preserve"> the underlying demand for water in the </w:t>
      </w:r>
      <w:proofErr w:type="spellStart"/>
      <w:r w:rsidRPr="00F06B16">
        <w:t>sMDB</w:t>
      </w:r>
      <w:proofErr w:type="spellEnd"/>
      <w:r w:rsidRPr="00F06B16">
        <w:t xml:space="preserve"> may decrease, placing downward pressure on allocation prices</w:t>
      </w:r>
      <w:r>
        <w:t xml:space="preserve"> more generally</w:t>
      </w:r>
      <w:r w:rsidRPr="00F06B16">
        <w:t xml:space="preserve">. </w:t>
      </w:r>
      <w:r w:rsidR="00BF0ADC">
        <w:t xml:space="preserve">However </w:t>
      </w:r>
      <w:proofErr w:type="spellStart"/>
      <w:r w:rsidR="00372CCD">
        <w:t>Aither</w:t>
      </w:r>
      <w:proofErr w:type="spellEnd"/>
      <w:r w:rsidR="00372CCD">
        <w:t xml:space="preserve"> </w:t>
      </w:r>
      <w:r w:rsidR="00BF0ADC">
        <w:t>also note that</w:t>
      </w:r>
      <w:r>
        <w:t xml:space="preserve"> there are a number of important demand-side factors, which along with climate change, will influence the </w:t>
      </w:r>
      <w:r w:rsidR="00BF0ADC">
        <w:t xml:space="preserve">ultimate </w:t>
      </w:r>
      <w:r>
        <w:t xml:space="preserve">structure and value of the irrigation sector in the </w:t>
      </w:r>
      <w:proofErr w:type="spellStart"/>
      <w:r>
        <w:t>sMDB</w:t>
      </w:r>
      <w:proofErr w:type="spellEnd"/>
      <w:r>
        <w:t xml:space="preserve"> in the medium to long-term</w:t>
      </w:r>
      <w:r w:rsidRPr="00F06B16">
        <w:t>.</w:t>
      </w:r>
      <w:r>
        <w:t xml:space="preserve"> </w:t>
      </w:r>
      <w:r w:rsidR="004D40B1">
        <w:t xml:space="preserve">For example, the current and expected future expansion of the almond and cotton industries has led to an increase in </w:t>
      </w:r>
      <w:r w:rsidR="00AF7D08">
        <w:t xml:space="preserve">high value </w:t>
      </w:r>
      <w:r w:rsidR="004D40B1">
        <w:t>demand for water (</w:t>
      </w:r>
      <w:proofErr w:type="spellStart"/>
      <w:r w:rsidR="004D40B1">
        <w:t>Aither</w:t>
      </w:r>
      <w:proofErr w:type="spellEnd"/>
      <w:r w:rsidR="004D40B1">
        <w:t xml:space="preserve">, forthcoming). </w:t>
      </w:r>
    </w:p>
    <w:p w:rsidR="000614CD" w:rsidRPr="00F06B16" w:rsidRDefault="000614CD" w:rsidP="000614CD"/>
    <w:p w:rsidR="000614CD" w:rsidRPr="00F06B16" w:rsidRDefault="000614CD" w:rsidP="000614CD">
      <w:pPr>
        <w:pStyle w:val="BoxHeading"/>
      </w:pPr>
      <w:r w:rsidRPr="00F06B16">
        <w:t>Peer review</w:t>
      </w:r>
    </w:p>
    <w:p w:rsidR="000614CD" w:rsidRPr="00F06B16" w:rsidRDefault="000614CD" w:rsidP="000614CD">
      <w:pPr>
        <w:pStyle w:val="BoxText"/>
      </w:pPr>
      <w:r w:rsidRPr="00F06B16">
        <w:t xml:space="preserve">This report was provided </w:t>
      </w:r>
      <w:r>
        <w:t xml:space="preserve">for peer review </w:t>
      </w:r>
      <w:r w:rsidRPr="00F06B16">
        <w:t xml:space="preserve">to two </w:t>
      </w:r>
      <w:r>
        <w:t>leading water</w:t>
      </w:r>
      <w:r w:rsidRPr="00F06B16">
        <w:t xml:space="preserve"> economist</w:t>
      </w:r>
      <w:r>
        <w:t>s</w:t>
      </w:r>
      <w:r w:rsidRPr="00F06B16">
        <w:t xml:space="preserve"> with knowledge of Aust</w:t>
      </w:r>
      <w:r>
        <w:t>ralian water markets and policy</w:t>
      </w:r>
      <w:r w:rsidRPr="00F06B16">
        <w:t xml:space="preserve">: Professor Lin </w:t>
      </w:r>
      <w:proofErr w:type="spellStart"/>
      <w:r w:rsidRPr="00F06B16">
        <w:t>Crase</w:t>
      </w:r>
      <w:proofErr w:type="spellEnd"/>
      <w:r w:rsidRPr="00F06B16">
        <w:t xml:space="preserve"> – La Trobe University; and Professor Quentin Grafton – Australian National University. The peer review process was </w:t>
      </w:r>
      <w:r>
        <w:t>used</w:t>
      </w:r>
      <w:r w:rsidRPr="00F06B16">
        <w:t xml:space="preserve"> to </w:t>
      </w:r>
      <w:r>
        <w:t>verify</w:t>
      </w:r>
      <w:r w:rsidRPr="00F06B16">
        <w:t xml:space="preserve"> the robustness of this report. </w:t>
      </w:r>
      <w:r>
        <w:t xml:space="preserve">Both peer reviewers confirmed that the general approach taken to this project was robust, the allocation price model is fit for purpose; results presented are credible; and conclusions are sound. </w:t>
      </w:r>
      <w:r w:rsidR="00A210E8">
        <w:t>Comments</w:t>
      </w:r>
      <w:r>
        <w:t xml:space="preserve"> from peer reviewers can be found at Appendix A.</w:t>
      </w:r>
    </w:p>
    <w:p w:rsidR="00B96361" w:rsidRPr="00F06B16" w:rsidRDefault="00B96361" w:rsidP="00D65BF2"/>
    <w:p w:rsidR="00B96361" w:rsidRPr="00F06B16" w:rsidRDefault="00B96361" w:rsidP="00D65BF2"/>
    <w:p w:rsidR="00702EFC" w:rsidRDefault="00702EFC" w:rsidP="00C03EF5">
      <w:pPr>
        <w:sectPr w:rsidR="00702EFC" w:rsidSect="008800A3">
          <w:headerReference w:type="even" r:id="rId16"/>
          <w:headerReference w:type="default" r:id="rId17"/>
          <w:footerReference w:type="default" r:id="rId18"/>
          <w:headerReference w:type="first" r:id="rId19"/>
          <w:pgSz w:w="11906" w:h="16838" w:code="9"/>
          <w:pgMar w:top="1440" w:right="1440" w:bottom="1440" w:left="1440" w:header="578" w:footer="567" w:gutter="0"/>
          <w:pgNumType w:fmt="lowerRoman" w:start="1"/>
          <w:cols w:space="720"/>
          <w:docGrid w:linePitch="299"/>
        </w:sectPr>
      </w:pPr>
    </w:p>
    <w:p w:rsidR="00C15CFF" w:rsidRDefault="00676C2F" w:rsidP="00C03EF5">
      <w:pPr>
        <w:pStyle w:val="Heading1"/>
        <w:numPr>
          <w:ilvl w:val="0"/>
          <w:numId w:val="35"/>
        </w:numPr>
      </w:pPr>
      <w:bookmarkStart w:id="8" w:name="_Toc440006839"/>
      <w:r>
        <w:lastRenderedPageBreak/>
        <w:t>Introduction</w:t>
      </w:r>
      <w:bookmarkEnd w:id="8"/>
    </w:p>
    <w:p w:rsidR="00995A40" w:rsidRDefault="00C42AFF" w:rsidP="00C42AFF">
      <w:r>
        <w:t>In September 2015,</w:t>
      </w:r>
      <w:r w:rsidR="003957EF">
        <w:t xml:space="preserve"> t</w:t>
      </w:r>
      <w:r w:rsidR="001D0042" w:rsidRPr="001D0042">
        <w:t xml:space="preserve">he </w:t>
      </w:r>
      <w:r w:rsidR="001D0042" w:rsidRPr="006A0434">
        <w:t>Commonwealth Department of the Environment (the Department)</w:t>
      </w:r>
      <w:r w:rsidR="003F50F1">
        <w:rPr>
          <w:rStyle w:val="FootnoteReference"/>
        </w:rPr>
        <w:footnoteReference w:id="6"/>
      </w:r>
      <w:r w:rsidR="001D0042">
        <w:t xml:space="preserve"> engaged </w:t>
      </w:r>
      <w:proofErr w:type="spellStart"/>
      <w:r w:rsidR="001D0042">
        <w:t>Aither</w:t>
      </w:r>
      <w:proofErr w:type="spellEnd"/>
      <w:r w:rsidR="001D0042">
        <w:t xml:space="preserve"> to </w:t>
      </w:r>
      <w:r w:rsidR="00372B22">
        <w:t>produce</w:t>
      </w:r>
      <w:r w:rsidR="001D0042">
        <w:t xml:space="preserve"> a</w:t>
      </w:r>
      <w:r>
        <w:t>n independent</w:t>
      </w:r>
      <w:r w:rsidR="001D0042">
        <w:t xml:space="preserve"> report </w:t>
      </w:r>
      <w:r>
        <w:t>to</w:t>
      </w:r>
      <w:r w:rsidR="001D0042">
        <w:t xml:space="preserve"> </w:t>
      </w:r>
      <w:r w:rsidR="001D0042" w:rsidRPr="00FC4C9D">
        <w:t>ident</w:t>
      </w:r>
      <w:r w:rsidR="001D0042">
        <w:t>if</w:t>
      </w:r>
      <w:r>
        <w:t>y</w:t>
      </w:r>
      <w:r w:rsidR="001D0042">
        <w:t xml:space="preserve"> and </w:t>
      </w:r>
      <w:r w:rsidR="00667A5D">
        <w:t>quantify</w:t>
      </w:r>
      <w:r w:rsidR="00A07030">
        <w:t xml:space="preserve"> </w:t>
      </w:r>
      <w:r w:rsidR="001D0042">
        <w:t xml:space="preserve">the impact that </w:t>
      </w:r>
      <w:r w:rsidR="001D0042" w:rsidRPr="006A0434">
        <w:t>supply-side drivers</w:t>
      </w:r>
      <w:r w:rsidR="00853EB3">
        <w:t xml:space="preserve">, including the Commonwealth’s water </w:t>
      </w:r>
      <w:r w:rsidR="00C013CD">
        <w:t>purchases</w:t>
      </w:r>
      <w:r w:rsidR="00853EB3">
        <w:t xml:space="preserve">, </w:t>
      </w:r>
      <w:r w:rsidR="001D0042">
        <w:t>have</w:t>
      </w:r>
      <w:r>
        <w:t xml:space="preserve"> </w:t>
      </w:r>
      <w:r w:rsidR="001D0042">
        <w:t xml:space="preserve">on </w:t>
      </w:r>
      <w:r w:rsidR="001D0042" w:rsidRPr="006A0434">
        <w:t>water allocation prices in the southern Murray-Darling Basin (</w:t>
      </w:r>
      <w:proofErr w:type="spellStart"/>
      <w:r w:rsidR="001D0042" w:rsidRPr="006A0434">
        <w:t>sMDB</w:t>
      </w:r>
      <w:proofErr w:type="spellEnd"/>
      <w:r w:rsidR="001D0042" w:rsidRPr="006A0434">
        <w:t>)</w:t>
      </w:r>
      <w:r w:rsidR="00995A40">
        <w:t xml:space="preserve">. </w:t>
      </w:r>
    </w:p>
    <w:p w:rsidR="00676C2F" w:rsidRDefault="00C42AFF" w:rsidP="00676C2F">
      <w:pPr>
        <w:pStyle w:val="Heading2"/>
      </w:pPr>
      <w:bookmarkStart w:id="9" w:name="_Toc440006840"/>
      <w:r>
        <w:t>Report s</w:t>
      </w:r>
      <w:r w:rsidR="00676C2F">
        <w:t>cope</w:t>
      </w:r>
      <w:bookmarkEnd w:id="9"/>
    </w:p>
    <w:p w:rsidR="00372B22" w:rsidRDefault="003957EF" w:rsidP="00676C2F">
      <w:r>
        <w:t xml:space="preserve">The scope of </w:t>
      </w:r>
      <w:r w:rsidR="00C42AFF">
        <w:t>this report</w:t>
      </w:r>
      <w:r>
        <w:t xml:space="preserve"> </w:t>
      </w:r>
      <w:r w:rsidR="006A0434">
        <w:t xml:space="preserve">covers an examination </w:t>
      </w:r>
      <w:r w:rsidR="00C42AFF">
        <w:t xml:space="preserve">of </w:t>
      </w:r>
      <w:r w:rsidR="00372B22">
        <w:t xml:space="preserve">climatic and </w:t>
      </w:r>
      <w:r w:rsidR="00C42AFF">
        <w:t xml:space="preserve">supply-side drivers of water allocation prices in the </w:t>
      </w:r>
      <w:proofErr w:type="spellStart"/>
      <w:r w:rsidR="00C42AFF">
        <w:t>sMDB</w:t>
      </w:r>
      <w:proofErr w:type="spellEnd"/>
      <w:r w:rsidR="00C42AFF">
        <w:t xml:space="preserve"> and an assessment of the price impacts that these drivers have</w:t>
      </w:r>
      <w:r w:rsidR="001170E2">
        <w:t xml:space="preserve"> </w:t>
      </w:r>
      <w:r w:rsidR="00C42AFF">
        <w:t>had historical</w:t>
      </w:r>
      <w:r w:rsidR="001170E2">
        <w:t>ly</w:t>
      </w:r>
      <w:r w:rsidR="00C42AFF">
        <w:t xml:space="preserve"> </w:t>
      </w:r>
      <w:r w:rsidR="00CE0584">
        <w:t xml:space="preserve">and </w:t>
      </w:r>
      <w:r w:rsidR="00C42AFF">
        <w:t xml:space="preserve">could have </w:t>
      </w:r>
      <w:r w:rsidR="001170E2">
        <w:t>under</w:t>
      </w:r>
      <w:r w:rsidR="00C42AFF">
        <w:t xml:space="preserve"> future</w:t>
      </w:r>
      <w:r w:rsidR="001170E2">
        <w:t xml:space="preserve"> scenarios</w:t>
      </w:r>
      <w:r w:rsidR="00C42AFF">
        <w:t xml:space="preserve">. </w:t>
      </w:r>
      <w:r w:rsidR="00372B22">
        <w:t xml:space="preserve">The primary aim of the study is to quantify the relative importance of </w:t>
      </w:r>
      <w:r w:rsidR="003B4AB0">
        <w:t>climatic</w:t>
      </w:r>
      <w:r w:rsidR="00372B22">
        <w:t xml:space="preserve"> related factors and Commonwealth water purchases on allocation prices.</w:t>
      </w:r>
    </w:p>
    <w:p w:rsidR="006A0434" w:rsidRDefault="006A0434" w:rsidP="00676C2F">
      <w:r>
        <w:t>Specifically the scope includes</w:t>
      </w:r>
      <w:r w:rsidR="00C42AFF">
        <w:t xml:space="preserve"> an</w:t>
      </w:r>
      <w:r>
        <w:t>:</w:t>
      </w:r>
    </w:p>
    <w:p w:rsidR="006A0434" w:rsidRDefault="006A0434" w:rsidP="006A0434">
      <w:pPr>
        <w:pStyle w:val="Bullet"/>
      </w:pPr>
      <w:r>
        <w:t>examination of</w:t>
      </w:r>
      <w:r w:rsidRPr="006A0434">
        <w:t xml:space="preserve"> </w:t>
      </w:r>
      <w:r>
        <w:t>supply-</w:t>
      </w:r>
      <w:r w:rsidRPr="006A0434">
        <w:t xml:space="preserve">side drivers and their </w:t>
      </w:r>
      <w:r w:rsidR="0053550D">
        <w:t xml:space="preserve">individual </w:t>
      </w:r>
      <w:r w:rsidRPr="006A0434">
        <w:t>impact on water allocation prices to date</w:t>
      </w:r>
      <w:r>
        <w:t xml:space="preserve"> – including discussion about the </w:t>
      </w:r>
      <w:r w:rsidRPr="006A0434">
        <w:t xml:space="preserve">source and </w:t>
      </w:r>
      <w:r w:rsidR="0053550D">
        <w:t xml:space="preserve">relative </w:t>
      </w:r>
      <w:r w:rsidRPr="006A0434">
        <w:t>scale of impact on price</w:t>
      </w:r>
      <w:r w:rsidR="0053550D">
        <w:t>s</w:t>
      </w:r>
    </w:p>
    <w:p w:rsidR="00AF761F" w:rsidRDefault="006A0434" w:rsidP="00AF761F">
      <w:pPr>
        <w:pStyle w:val="Bullet"/>
      </w:pPr>
      <w:proofErr w:type="gramStart"/>
      <w:r>
        <w:t>analysis</w:t>
      </w:r>
      <w:proofErr w:type="gramEnd"/>
      <w:r>
        <w:t xml:space="preserve"> of </w:t>
      </w:r>
      <w:r w:rsidR="00803673">
        <w:t xml:space="preserve">the </w:t>
      </w:r>
      <w:r>
        <w:t xml:space="preserve">estimated </w:t>
      </w:r>
      <w:r w:rsidR="004D40B1">
        <w:t xml:space="preserve">short run </w:t>
      </w:r>
      <w:r>
        <w:t>impact of</w:t>
      </w:r>
      <w:r w:rsidRPr="006A0434">
        <w:t xml:space="preserve"> </w:t>
      </w:r>
      <w:r w:rsidR="00803673">
        <w:t xml:space="preserve">supply-related </w:t>
      </w:r>
      <w:r w:rsidRPr="006A0434">
        <w:t>drivers on allocation prices under se</w:t>
      </w:r>
      <w:r>
        <w:t xml:space="preserve">veral </w:t>
      </w:r>
      <w:r w:rsidR="00AF761F">
        <w:t xml:space="preserve">future </w:t>
      </w:r>
      <w:r>
        <w:t>scenarios</w:t>
      </w:r>
      <w:r w:rsidR="00AF761F">
        <w:t xml:space="preserve"> </w:t>
      </w:r>
      <w:r>
        <w:t>–</w:t>
      </w:r>
      <w:r w:rsidRPr="006A0434">
        <w:t xml:space="preserve"> including </w:t>
      </w:r>
      <w:r>
        <w:t>changing water availability</w:t>
      </w:r>
      <w:r w:rsidR="00803673">
        <w:t xml:space="preserve"> </w:t>
      </w:r>
      <w:r>
        <w:t>scenarios</w:t>
      </w:r>
      <w:r w:rsidR="00D007CA">
        <w:t xml:space="preserve"> </w:t>
      </w:r>
      <w:r w:rsidR="00AF761F">
        <w:t>and</w:t>
      </w:r>
      <w:r w:rsidR="00B177F0">
        <w:t xml:space="preserve"> </w:t>
      </w:r>
      <w:r w:rsidR="00AF761F">
        <w:t>Commonwealth water purchase</w:t>
      </w:r>
      <w:r w:rsidR="008A3D49">
        <w:t xml:space="preserve">s </w:t>
      </w:r>
      <w:r w:rsidR="00C42AFF">
        <w:t xml:space="preserve">in the </w:t>
      </w:r>
      <w:proofErr w:type="spellStart"/>
      <w:r w:rsidR="00C42AFF">
        <w:t>sMDB</w:t>
      </w:r>
      <w:proofErr w:type="spellEnd"/>
      <w:r w:rsidR="00AF761F">
        <w:t xml:space="preserve">. </w:t>
      </w:r>
    </w:p>
    <w:p w:rsidR="007D17E3" w:rsidRDefault="007D17E3" w:rsidP="007D17E3">
      <w:r w:rsidRPr="007D17E3">
        <w:t xml:space="preserve">The scope of the </w:t>
      </w:r>
      <w:r w:rsidR="00D007CA">
        <w:t xml:space="preserve">engagement </w:t>
      </w:r>
      <w:r>
        <w:t>include</w:t>
      </w:r>
      <w:r w:rsidR="001170E2">
        <w:t xml:space="preserve">s </w:t>
      </w:r>
      <w:r w:rsidRPr="007D17E3">
        <w:t>us</w:t>
      </w:r>
      <w:r w:rsidR="0097084E">
        <w:t>ing</w:t>
      </w:r>
      <w:r w:rsidRPr="007D17E3">
        <w:t xml:space="preserve"> </w:t>
      </w:r>
      <w:r w:rsidR="00756BF4">
        <w:t xml:space="preserve">the </w:t>
      </w:r>
      <w:proofErr w:type="spellStart"/>
      <w:r w:rsidR="00756BF4">
        <w:t>Aither</w:t>
      </w:r>
      <w:proofErr w:type="spellEnd"/>
      <w:r w:rsidR="00756BF4">
        <w:t xml:space="preserve"> </w:t>
      </w:r>
      <w:r w:rsidRPr="007D17E3">
        <w:t>proprietary water allocation price model</w:t>
      </w:r>
      <w:r>
        <w:t xml:space="preserve"> to assess the impact of</w:t>
      </w:r>
      <w:r w:rsidRPr="007D17E3">
        <w:t xml:space="preserve"> supply-side drivers on water allocation prices.</w:t>
      </w:r>
      <w:r w:rsidR="004D40B1">
        <w:t xml:space="preserve"> The scope of the engagement did not include any assessment of future changes in irrigation demand</w:t>
      </w:r>
      <w:r w:rsidR="00A14F35">
        <w:t xml:space="preserve"> or long term impacts of climate change</w:t>
      </w:r>
      <w:r w:rsidR="004D40B1">
        <w:t xml:space="preserve">. </w:t>
      </w:r>
      <w:proofErr w:type="spellStart"/>
      <w:r w:rsidR="004D40B1">
        <w:t>Aither’s</w:t>
      </w:r>
      <w:proofErr w:type="spellEnd"/>
      <w:r w:rsidR="004D40B1">
        <w:t xml:space="preserve"> scope did not include commentary on the appropriateness or effectiveness of any particular water policy settings</w:t>
      </w:r>
      <w:r w:rsidR="00A14F35">
        <w:t xml:space="preserve"> or a broader examination of the social, economic and environmental impacts of Commonwealth water recovery initiatives</w:t>
      </w:r>
      <w:r w:rsidR="004D40B1">
        <w:t xml:space="preserve">.   </w:t>
      </w:r>
    </w:p>
    <w:p w:rsidR="001170E2" w:rsidRDefault="003B4AB0" w:rsidP="001170E2">
      <w:pPr>
        <w:pStyle w:val="Heading2"/>
      </w:pPr>
      <w:bookmarkStart w:id="10" w:name="_Toc440006841"/>
      <w:r>
        <w:t xml:space="preserve">The </w:t>
      </w:r>
      <w:proofErr w:type="spellStart"/>
      <w:r>
        <w:t>Aither</w:t>
      </w:r>
      <w:proofErr w:type="spellEnd"/>
      <w:r w:rsidR="001170E2">
        <w:t xml:space="preserve"> </w:t>
      </w:r>
      <w:r w:rsidR="001170E2" w:rsidRPr="001170E2">
        <w:t>water allocation price model</w:t>
      </w:r>
      <w:bookmarkEnd w:id="10"/>
    </w:p>
    <w:p w:rsidR="00713BC1" w:rsidRDefault="00803673" w:rsidP="00713BC1">
      <w:r>
        <w:t xml:space="preserve">Allocation trading decisions by market participants are complex and influenced by a range of factors (see </w:t>
      </w:r>
      <w:r w:rsidR="009E0AEB">
        <w:t>S</w:t>
      </w:r>
      <w:r>
        <w:t>ection</w:t>
      </w:r>
      <w:r w:rsidR="009E0AEB">
        <w:t xml:space="preserve"> </w:t>
      </w:r>
      <w:r w:rsidR="00306798">
        <w:fldChar w:fldCharType="begin"/>
      </w:r>
      <w:r w:rsidR="009E0AEB">
        <w:instrText xml:space="preserve"> REF _Ref430950580 \r \h </w:instrText>
      </w:r>
      <w:r w:rsidR="00306798">
        <w:fldChar w:fldCharType="separate"/>
      </w:r>
      <w:r w:rsidR="00EB2418">
        <w:t>2</w:t>
      </w:r>
      <w:r w:rsidR="00306798">
        <w:fldChar w:fldCharType="end"/>
      </w:r>
      <w:r>
        <w:t xml:space="preserve">). </w:t>
      </w:r>
      <w:r w:rsidR="00EA29B9">
        <w:t>This make</w:t>
      </w:r>
      <w:r w:rsidR="006244F6">
        <w:t>s</w:t>
      </w:r>
      <w:r w:rsidR="00EA29B9">
        <w:t xml:space="preserve"> it difficult to develop detailed models of </w:t>
      </w:r>
      <w:r w:rsidR="006244F6">
        <w:t>individual</w:t>
      </w:r>
      <w:r w:rsidR="00F02A0B">
        <w:t>s</w:t>
      </w:r>
      <w:r w:rsidR="006244F6">
        <w:t xml:space="preserve"> or groups of market participants’ </w:t>
      </w:r>
      <w:r w:rsidR="00EA29B9">
        <w:t xml:space="preserve">economic decisions. </w:t>
      </w:r>
      <w:r w:rsidR="00713BC1">
        <w:t xml:space="preserve">In particular, it can be difficult to </w:t>
      </w:r>
      <w:r w:rsidR="006244F6">
        <w:t>accurately reflect</w:t>
      </w:r>
      <w:r w:rsidR="00713BC1">
        <w:t xml:space="preserve"> the options available to market participants to respond to reduced water availability. In examining aggregate level drivers of</w:t>
      </w:r>
      <w:r w:rsidR="006244F6">
        <w:t xml:space="preserve"> water</w:t>
      </w:r>
      <w:r w:rsidR="00713BC1">
        <w:t xml:space="preserve"> allocation prices, a suitable alternative is to use statistical models to analyse </w:t>
      </w:r>
      <w:r w:rsidR="004D40B1">
        <w:t xml:space="preserve">aggregate </w:t>
      </w:r>
      <w:r w:rsidR="00713BC1">
        <w:t>water market</w:t>
      </w:r>
      <w:r w:rsidR="006244F6">
        <w:t xml:space="preserve"> outcomes</w:t>
      </w:r>
      <w:r w:rsidR="00713BC1">
        <w:t xml:space="preserve"> more directly. </w:t>
      </w:r>
    </w:p>
    <w:p w:rsidR="00CE0584" w:rsidRDefault="00C07943" w:rsidP="007061A7">
      <w:r>
        <w:t>The</w:t>
      </w:r>
      <w:r w:rsidR="001170E2">
        <w:t xml:space="preserve"> </w:t>
      </w:r>
      <w:proofErr w:type="spellStart"/>
      <w:r w:rsidR="003B4AB0">
        <w:t>Aither</w:t>
      </w:r>
      <w:proofErr w:type="spellEnd"/>
      <w:r w:rsidR="003B4AB0">
        <w:t xml:space="preserve"> </w:t>
      </w:r>
      <w:r w:rsidR="001170E2">
        <w:t xml:space="preserve">allocation price model </w:t>
      </w:r>
      <w:r w:rsidR="00803673">
        <w:t xml:space="preserve">adopts this aggregate level approach. It </w:t>
      </w:r>
      <w:r w:rsidR="001170E2">
        <w:t xml:space="preserve">generates modelled annual per </w:t>
      </w:r>
      <w:proofErr w:type="spellStart"/>
      <w:r w:rsidR="007061A7">
        <w:t>megalitre</w:t>
      </w:r>
      <w:proofErr w:type="spellEnd"/>
      <w:r w:rsidR="001170E2">
        <w:t xml:space="preserve"> (ML) median allocation prices for the whole of the </w:t>
      </w:r>
      <w:proofErr w:type="spellStart"/>
      <w:r w:rsidR="001170E2">
        <w:t>sMDB</w:t>
      </w:r>
      <w:proofErr w:type="spellEnd"/>
      <w:r w:rsidR="001170E2">
        <w:t xml:space="preserve"> – i.e. it is not specific</w:t>
      </w:r>
      <w:r w:rsidR="00CE0584">
        <w:t xml:space="preserve"> to individual trading zones</w:t>
      </w:r>
      <w:r w:rsidR="00DB27E9">
        <w:t>, specific times</w:t>
      </w:r>
      <w:r w:rsidR="004D40B1">
        <w:t xml:space="preserve"> within an irrigation season</w:t>
      </w:r>
      <w:r w:rsidR="00DB27E9">
        <w:t xml:space="preserve">, </w:t>
      </w:r>
      <w:r w:rsidR="004D40B1">
        <w:t xml:space="preserve">or changes in </w:t>
      </w:r>
      <w:r w:rsidR="00DB27E9">
        <w:t xml:space="preserve">climatic or supply-demand circumstances </w:t>
      </w:r>
      <w:r w:rsidR="004D40B1">
        <w:t>within</w:t>
      </w:r>
      <w:r w:rsidR="00DB27E9">
        <w:t xml:space="preserve"> the year</w:t>
      </w:r>
      <w:r w:rsidR="001170E2">
        <w:t>. The model</w:t>
      </w:r>
      <w:r w:rsidR="00CE0584">
        <w:t xml:space="preserve"> is based on a regression analysis that has been calibrated over </w:t>
      </w:r>
      <w:r w:rsidR="00B177F0">
        <w:t xml:space="preserve">17 </w:t>
      </w:r>
      <w:r w:rsidR="00CE0584">
        <w:t>years of observed data</w:t>
      </w:r>
      <w:r w:rsidR="00B177F0">
        <w:t xml:space="preserve">. The model </w:t>
      </w:r>
      <w:r w:rsidR="00CE0584">
        <w:t xml:space="preserve">has an </w:t>
      </w:r>
      <w:r w:rsidR="00B177F0">
        <w:t>R</w:t>
      </w:r>
      <w:r w:rsidR="00CE0584" w:rsidRPr="00803673">
        <w:rPr>
          <w:vertAlign w:val="superscript"/>
        </w:rPr>
        <w:t>2</w:t>
      </w:r>
      <w:r w:rsidR="00CE0584">
        <w:t xml:space="preserve"> of </w:t>
      </w:r>
      <w:r w:rsidR="00AE119A">
        <w:t xml:space="preserve">90 </w:t>
      </w:r>
      <w:r w:rsidR="009E0AEB">
        <w:t>per cent</w:t>
      </w:r>
      <w:r w:rsidR="005F48EA">
        <w:t xml:space="preserve"> (Adjusted R</w:t>
      </w:r>
      <w:r w:rsidR="005F48EA">
        <w:rPr>
          <w:vertAlign w:val="superscript"/>
        </w:rPr>
        <w:t>2</w:t>
      </w:r>
      <w:r w:rsidR="005F48EA">
        <w:t xml:space="preserve"> value of 0.89)</w:t>
      </w:r>
      <w:r w:rsidR="00CE0584" w:rsidRPr="009E0AEB">
        <w:t>,</w:t>
      </w:r>
      <w:r w:rsidR="00CE0584" w:rsidRPr="00803673">
        <w:t xml:space="preserve"> meaning that the model accounts for </w:t>
      </w:r>
      <w:r w:rsidR="00AE119A">
        <w:t>90</w:t>
      </w:r>
      <w:r w:rsidR="009E0AEB">
        <w:t xml:space="preserve"> per cent</w:t>
      </w:r>
      <w:r w:rsidR="00CE0584" w:rsidRPr="00803673">
        <w:t xml:space="preserve"> of the observed variability in historical </w:t>
      </w:r>
      <w:r w:rsidR="00DB27E9">
        <w:t xml:space="preserve">annual median </w:t>
      </w:r>
      <w:r w:rsidR="00CE0584" w:rsidRPr="00803673">
        <w:t>allocation prices.</w:t>
      </w:r>
      <w:r w:rsidR="00CE0584">
        <w:t xml:space="preserve"> </w:t>
      </w:r>
    </w:p>
    <w:p w:rsidR="0021259E" w:rsidRDefault="00803673" w:rsidP="007061A7">
      <w:r>
        <w:lastRenderedPageBreak/>
        <w:t xml:space="preserve">The model </w:t>
      </w:r>
      <w:r w:rsidR="00CE0584">
        <w:t xml:space="preserve">can be used to </w:t>
      </w:r>
      <w:r w:rsidR="007061A7">
        <w:t xml:space="preserve">generate estimates of </w:t>
      </w:r>
      <w:r w:rsidR="00DB27E9">
        <w:t xml:space="preserve">annual median </w:t>
      </w:r>
      <w:r w:rsidR="007061A7">
        <w:t>allocation prices based on a</w:t>
      </w:r>
      <w:r w:rsidR="00CE0584">
        <w:t>n assumed</w:t>
      </w:r>
      <w:r w:rsidR="007061A7">
        <w:t xml:space="preserve"> set of </w:t>
      </w:r>
      <w:r w:rsidR="00CE0584">
        <w:t>inputs</w:t>
      </w:r>
      <w:r w:rsidR="00B177F0">
        <w:t>;</w:t>
      </w:r>
      <w:r w:rsidR="00CE0584">
        <w:t xml:space="preserve"> </w:t>
      </w:r>
      <w:r w:rsidR="009218B0">
        <w:t>i</w:t>
      </w:r>
      <w:r w:rsidR="00CE0584">
        <w:t>nclud</w:t>
      </w:r>
      <w:r w:rsidR="00DB27E9">
        <w:t>ing</w:t>
      </w:r>
      <w:r w:rsidR="00CE0584">
        <w:t xml:space="preserve"> the total </w:t>
      </w:r>
      <w:r w:rsidR="00DB27E9">
        <w:t xml:space="preserve">annual </w:t>
      </w:r>
      <w:r w:rsidR="00CE0584">
        <w:t xml:space="preserve">volume of water </w:t>
      </w:r>
      <w:r w:rsidR="002760F5">
        <w:t>allocated that is available for consumptive</w:t>
      </w:r>
      <w:r w:rsidR="00CE0584">
        <w:t xml:space="preserve"> use. T</w:t>
      </w:r>
      <w:r w:rsidR="007061A7">
        <w:t xml:space="preserve">he model is able to </w:t>
      </w:r>
      <w:r w:rsidR="00CE0584">
        <w:t xml:space="preserve">estimate </w:t>
      </w:r>
      <w:r w:rsidR="007061A7">
        <w:t xml:space="preserve">the potential impact of Commonwealth water </w:t>
      </w:r>
      <w:r w:rsidR="00C013CD">
        <w:t>purchases</w:t>
      </w:r>
      <w:r w:rsidR="007061A7">
        <w:t xml:space="preserve"> on </w:t>
      </w:r>
      <w:r w:rsidR="00CE0584">
        <w:t xml:space="preserve">annual median </w:t>
      </w:r>
      <w:r w:rsidR="007061A7">
        <w:t>historical and future water allocation prices</w:t>
      </w:r>
      <w:r w:rsidR="00CE0584">
        <w:t>, given that the</w:t>
      </w:r>
      <w:r w:rsidR="00D007CA">
        <w:t xml:space="preserve"> cumulative volume of the</w:t>
      </w:r>
      <w:r w:rsidR="00CE0584">
        <w:t xml:space="preserve"> </w:t>
      </w:r>
      <w:r w:rsidR="00C013CD">
        <w:t>purchases</w:t>
      </w:r>
      <w:r w:rsidR="00CE0584">
        <w:t xml:space="preserve"> reduce the volume</w:t>
      </w:r>
      <w:r w:rsidR="00D007CA">
        <w:t xml:space="preserve"> of </w:t>
      </w:r>
      <w:r w:rsidR="00D007CA" w:rsidRPr="00D007CA">
        <w:t xml:space="preserve">water </w:t>
      </w:r>
      <w:r w:rsidR="002760F5">
        <w:t>allocated that is available for consumptive</w:t>
      </w:r>
      <w:r w:rsidR="00D007CA" w:rsidRPr="00D007CA">
        <w:t xml:space="preserve"> use</w:t>
      </w:r>
      <w:r w:rsidR="007061A7">
        <w:t>.</w:t>
      </w:r>
      <w:r w:rsidR="001170E2">
        <w:t xml:space="preserve"> Please refer to Section </w:t>
      </w:r>
      <w:r w:rsidR="00306798">
        <w:fldChar w:fldCharType="begin"/>
      </w:r>
      <w:r w:rsidR="001170E2">
        <w:instrText xml:space="preserve"> REF _Ref430761061 \r \h </w:instrText>
      </w:r>
      <w:r w:rsidR="00306798">
        <w:fldChar w:fldCharType="separate"/>
      </w:r>
      <w:r w:rsidR="00EB2418">
        <w:t>3</w:t>
      </w:r>
      <w:r w:rsidR="00306798">
        <w:fldChar w:fldCharType="end"/>
      </w:r>
      <w:r w:rsidR="001170E2">
        <w:t xml:space="preserve"> for further information</w:t>
      </w:r>
      <w:r w:rsidR="007061A7">
        <w:t xml:space="preserve"> about </w:t>
      </w:r>
      <w:r w:rsidR="00CA6A70">
        <w:t>t</w:t>
      </w:r>
      <w:r w:rsidR="00C07943">
        <w:t>he</w:t>
      </w:r>
      <w:r w:rsidR="007061A7">
        <w:t xml:space="preserve"> allocation price model</w:t>
      </w:r>
      <w:r w:rsidR="0021259E">
        <w:t xml:space="preserve"> –</w:t>
      </w:r>
      <w:r w:rsidR="00CE0584">
        <w:t xml:space="preserve"> including the </w:t>
      </w:r>
      <w:r w:rsidR="0021259E">
        <w:t>caveats</w:t>
      </w:r>
      <w:r w:rsidR="00CE0584">
        <w:t xml:space="preserve"> of the model</w:t>
      </w:r>
      <w:r w:rsidR="001170E2">
        <w:t xml:space="preserve">. </w:t>
      </w:r>
    </w:p>
    <w:p w:rsidR="00676C2F" w:rsidRDefault="00676C2F" w:rsidP="00AF761F">
      <w:pPr>
        <w:pStyle w:val="Heading2"/>
      </w:pPr>
      <w:bookmarkStart w:id="11" w:name="_Toc440006842"/>
      <w:r>
        <w:t>Approach and methodology</w:t>
      </w:r>
      <w:bookmarkEnd w:id="11"/>
    </w:p>
    <w:p w:rsidR="007D17E3" w:rsidRDefault="00CE0584" w:rsidP="00676C2F">
      <w:r>
        <w:t xml:space="preserve">Following a qualitative description of the drivers of allocation prices in the </w:t>
      </w:r>
      <w:proofErr w:type="spellStart"/>
      <w:r>
        <w:t>sMDB</w:t>
      </w:r>
      <w:proofErr w:type="spellEnd"/>
      <w:r>
        <w:t>, t</w:t>
      </w:r>
      <w:r w:rsidR="00C42AFF">
        <w:t xml:space="preserve">he </w:t>
      </w:r>
      <w:r w:rsidR="004C15AB">
        <w:t xml:space="preserve">approach to </w:t>
      </w:r>
      <w:r w:rsidR="007D17E3">
        <w:t>developing this report</w:t>
      </w:r>
      <w:r w:rsidR="004C15AB">
        <w:t xml:space="preserve"> consisted of </w:t>
      </w:r>
      <w:r w:rsidR="001170E2">
        <w:t>four</w:t>
      </w:r>
      <w:r w:rsidR="004C15AB">
        <w:t xml:space="preserve"> </w:t>
      </w:r>
      <w:r w:rsidR="00FA7039">
        <w:t>tasks</w:t>
      </w:r>
      <w:r w:rsidR="004C15AB">
        <w:t>:</w:t>
      </w:r>
    </w:p>
    <w:p w:rsidR="001170E2" w:rsidRDefault="001170E2" w:rsidP="007D17E3">
      <w:pPr>
        <w:pStyle w:val="NumberList"/>
      </w:pPr>
      <w:r>
        <w:t>Quality assurance of data inputs.</w:t>
      </w:r>
    </w:p>
    <w:p w:rsidR="007D17E3" w:rsidRDefault="007D17E3" w:rsidP="007D17E3">
      <w:pPr>
        <w:pStyle w:val="NumberList"/>
      </w:pPr>
      <w:r>
        <w:t>D</w:t>
      </w:r>
      <w:r w:rsidR="004C15AB">
        <w:t>evelopment of model scenarios</w:t>
      </w:r>
      <w:r>
        <w:t>.</w:t>
      </w:r>
    </w:p>
    <w:p w:rsidR="007D17E3" w:rsidRDefault="007D17E3" w:rsidP="007D17E3">
      <w:pPr>
        <w:pStyle w:val="NumberList"/>
      </w:pPr>
      <w:r>
        <w:t>A</w:t>
      </w:r>
      <w:r w:rsidR="004C15AB">
        <w:t>nalysis of</w:t>
      </w:r>
      <w:r>
        <w:t xml:space="preserve"> model</w:t>
      </w:r>
      <w:r w:rsidR="004C15AB">
        <w:t xml:space="preserve"> outputs</w:t>
      </w:r>
      <w:r>
        <w:t>.</w:t>
      </w:r>
    </w:p>
    <w:p w:rsidR="004C15AB" w:rsidRDefault="007D17E3" w:rsidP="007D17E3">
      <w:pPr>
        <w:pStyle w:val="NumberList"/>
      </w:pPr>
      <w:r>
        <w:t>R</w:t>
      </w:r>
      <w:r w:rsidR="004C15AB">
        <w:t xml:space="preserve">eporting and peer review. </w:t>
      </w:r>
    </w:p>
    <w:p w:rsidR="001170E2" w:rsidRDefault="001170E2" w:rsidP="001170E2">
      <w:pPr>
        <w:pStyle w:val="Heading3"/>
      </w:pPr>
      <w:r w:rsidRPr="001170E2">
        <w:t>Quality assurance of data inputs</w:t>
      </w:r>
    </w:p>
    <w:p w:rsidR="0084431B" w:rsidRDefault="001170E2" w:rsidP="008773B3">
      <w:r w:rsidRPr="001170E2">
        <w:t xml:space="preserve">As an initial step, </w:t>
      </w:r>
      <w:proofErr w:type="spellStart"/>
      <w:r w:rsidRPr="001170E2">
        <w:t>Aither</w:t>
      </w:r>
      <w:proofErr w:type="spellEnd"/>
      <w:r>
        <w:t xml:space="preserve"> undertook a </w:t>
      </w:r>
      <w:r w:rsidRPr="001170E2">
        <w:t xml:space="preserve">quality </w:t>
      </w:r>
      <w:r>
        <w:t xml:space="preserve">assurance process to ensure </w:t>
      </w:r>
      <w:r w:rsidRPr="001170E2">
        <w:t>the</w:t>
      </w:r>
      <w:r>
        <w:t xml:space="preserve"> accuracy of</w:t>
      </w:r>
      <w:r w:rsidRPr="001170E2">
        <w:t xml:space="preserve"> data inputs used to inform </w:t>
      </w:r>
      <w:r w:rsidR="00151AAB">
        <w:t>the</w:t>
      </w:r>
      <w:r w:rsidR="00151AAB" w:rsidRPr="001170E2">
        <w:t xml:space="preserve"> </w:t>
      </w:r>
      <w:r w:rsidRPr="001170E2">
        <w:t>allocation price model</w:t>
      </w:r>
      <w:r>
        <w:t xml:space="preserve">. </w:t>
      </w:r>
      <w:r w:rsidR="0084431B">
        <w:t>This process included consulting online state-based water registers and water resource managers (Victoria, New South Wales and South Australia) for water trading and water availability data, and the Bureau of Metrology for climatic data.</w:t>
      </w:r>
    </w:p>
    <w:p w:rsidR="001170E2" w:rsidRDefault="001170E2" w:rsidP="008773B3">
      <w:proofErr w:type="spellStart"/>
      <w:r>
        <w:t>Aither</w:t>
      </w:r>
      <w:proofErr w:type="spellEnd"/>
      <w:r>
        <w:t xml:space="preserve"> focused specifically on</w:t>
      </w:r>
      <w:r w:rsidR="00F02A0B">
        <w:t xml:space="preserve"> </w:t>
      </w:r>
      <w:r>
        <w:t xml:space="preserve">assuring data assumptions about the volume of </w:t>
      </w:r>
      <w:r w:rsidRPr="001170E2">
        <w:t>water entitlements</w:t>
      </w:r>
      <w:r>
        <w:t xml:space="preserve"> purchased by the Commonwealth Government through the</w:t>
      </w:r>
      <w:r w:rsidRPr="001170E2">
        <w:t xml:space="preserve"> Restoring the Balance in the Murray-Darling Basin Program</w:t>
      </w:r>
      <w:r w:rsidR="0084431B">
        <w:t xml:space="preserve"> – which is an input to total </w:t>
      </w:r>
      <w:r w:rsidR="00D007CA">
        <w:t xml:space="preserve">water </w:t>
      </w:r>
      <w:r w:rsidR="002760F5">
        <w:t>allocated that is available for consumptive</w:t>
      </w:r>
      <w:r w:rsidR="00151AAB">
        <w:t xml:space="preserve"> use</w:t>
      </w:r>
      <w:r>
        <w:t xml:space="preserve">. This process included </w:t>
      </w:r>
      <w:r w:rsidR="008773B3">
        <w:t xml:space="preserve">working </w:t>
      </w:r>
      <w:r w:rsidR="004D40B1">
        <w:t xml:space="preserve">collaboratively </w:t>
      </w:r>
      <w:r w:rsidR="008773B3">
        <w:t xml:space="preserve">with the Department to ensure that </w:t>
      </w:r>
      <w:r w:rsidR="00C07943">
        <w:t>the</w:t>
      </w:r>
      <w:r w:rsidR="008773B3">
        <w:t xml:space="preserve"> </w:t>
      </w:r>
      <w:r w:rsidRPr="001170E2">
        <w:t>assumptions are correct to the Department’s best knowledge.</w:t>
      </w:r>
      <w:r w:rsidR="008773B3">
        <w:t xml:space="preserve"> </w:t>
      </w:r>
      <w:proofErr w:type="spellStart"/>
      <w:r w:rsidR="008773B3">
        <w:t>Aither</w:t>
      </w:r>
      <w:proofErr w:type="spellEnd"/>
      <w:r w:rsidR="008773B3">
        <w:t xml:space="preserve"> also used publically available reporting on Commonwealth water purchases to cross check inputs.</w:t>
      </w:r>
      <w:r w:rsidR="008773B3">
        <w:rPr>
          <w:rStyle w:val="FootnoteReference"/>
        </w:rPr>
        <w:footnoteReference w:id="7"/>
      </w:r>
    </w:p>
    <w:p w:rsidR="00D007CA" w:rsidRPr="001170E2" w:rsidRDefault="00D007CA" w:rsidP="008773B3">
      <w:r>
        <w:t xml:space="preserve">All assumptions were made during September 2015, and do not reflect any updates that </w:t>
      </w:r>
      <w:r w:rsidRPr="00D007CA">
        <w:t>online state-based water registers and water resource managers</w:t>
      </w:r>
      <w:r>
        <w:t xml:space="preserve"> or the Bureau of Metrology have made since that time. </w:t>
      </w:r>
    </w:p>
    <w:p w:rsidR="004C15AB" w:rsidRDefault="007D17E3" w:rsidP="007D17E3">
      <w:pPr>
        <w:pStyle w:val="Heading3"/>
      </w:pPr>
      <w:r w:rsidRPr="007D17E3">
        <w:t>Development of model scenarios</w:t>
      </w:r>
    </w:p>
    <w:p w:rsidR="0084431B" w:rsidRDefault="008773B3" w:rsidP="008773B3">
      <w:r>
        <w:t>After quality assuring data inputs</w:t>
      </w:r>
      <w:r w:rsidR="00743393">
        <w:t xml:space="preserve">, </w:t>
      </w:r>
      <w:proofErr w:type="spellStart"/>
      <w:r w:rsidR="00743393">
        <w:t>Aither</w:t>
      </w:r>
      <w:proofErr w:type="spellEnd"/>
      <w:r w:rsidR="00743393">
        <w:t xml:space="preserve"> developed a number of</w:t>
      </w:r>
      <w:r>
        <w:t xml:space="preserve"> hypothetical future</w:t>
      </w:r>
      <w:r w:rsidR="00743393">
        <w:t xml:space="preserve"> scenarios </w:t>
      </w:r>
      <w:r w:rsidR="00743393" w:rsidRPr="00743393">
        <w:t xml:space="preserve">to be </w:t>
      </w:r>
      <w:r w:rsidR="00743393">
        <w:t>tested</w:t>
      </w:r>
      <w:r w:rsidR="00743393" w:rsidRPr="00743393">
        <w:t xml:space="preserve"> through </w:t>
      </w:r>
      <w:r w:rsidR="00151AAB">
        <w:t>the</w:t>
      </w:r>
      <w:r w:rsidR="00151AAB" w:rsidRPr="00743393">
        <w:t xml:space="preserve"> </w:t>
      </w:r>
      <w:r w:rsidR="00743393" w:rsidRPr="00743393">
        <w:t>allocation price model</w:t>
      </w:r>
      <w:r w:rsidR="00743393">
        <w:t xml:space="preserve"> (see Section </w:t>
      </w:r>
      <w:r w:rsidR="00306798">
        <w:fldChar w:fldCharType="begin"/>
      </w:r>
      <w:r w:rsidR="00743393">
        <w:instrText xml:space="preserve"> REF _Ref430335706 \r \h </w:instrText>
      </w:r>
      <w:r w:rsidR="00306798">
        <w:fldChar w:fldCharType="separate"/>
      </w:r>
      <w:r w:rsidR="00EB2418">
        <w:t>4.1</w:t>
      </w:r>
      <w:r w:rsidR="00306798">
        <w:fldChar w:fldCharType="end"/>
      </w:r>
      <w:r>
        <w:t xml:space="preserve"> for more details</w:t>
      </w:r>
      <w:r w:rsidR="00743393">
        <w:t>).</w:t>
      </w:r>
      <w:r>
        <w:t xml:space="preserve"> </w:t>
      </w:r>
      <w:r w:rsidR="0084431B">
        <w:t>These scenarios are based primarily on assumptions about future water availability in hypothetical future years</w:t>
      </w:r>
      <w:r w:rsidR="00151AAB">
        <w:t>. Modelling</w:t>
      </w:r>
      <w:r w:rsidR="0084431B">
        <w:t xml:space="preserve"> of these scenarios allow</w:t>
      </w:r>
      <w:r w:rsidR="00151AAB">
        <w:t>ed</w:t>
      </w:r>
      <w:r w:rsidR="0084431B">
        <w:t xml:space="preserve"> </w:t>
      </w:r>
      <w:proofErr w:type="spellStart"/>
      <w:r w:rsidR="0084431B">
        <w:t>Aither</w:t>
      </w:r>
      <w:proofErr w:type="spellEnd"/>
      <w:r w:rsidR="0084431B">
        <w:t xml:space="preserve"> to estimate the</w:t>
      </w:r>
      <w:r w:rsidR="00B177F0">
        <w:t xml:space="preserve"> potential</w:t>
      </w:r>
      <w:r w:rsidR="0084431B">
        <w:t xml:space="preserve"> impact of Commonwealth water purchases on </w:t>
      </w:r>
      <w:r w:rsidR="00151AAB">
        <w:t xml:space="preserve">allocation </w:t>
      </w:r>
      <w:r w:rsidR="0084431B">
        <w:t>prices</w:t>
      </w:r>
      <w:r w:rsidR="00151AAB">
        <w:t xml:space="preserve"> under different </w:t>
      </w:r>
      <w:r w:rsidR="00D007CA">
        <w:t>future water availability scenarios</w:t>
      </w:r>
      <w:r w:rsidR="0084431B">
        <w:t>.</w:t>
      </w:r>
    </w:p>
    <w:p w:rsidR="0084431B" w:rsidRDefault="008773B3" w:rsidP="008773B3">
      <w:r>
        <w:t xml:space="preserve">The scenarios </w:t>
      </w:r>
      <w:r w:rsidR="0084431B">
        <w:t xml:space="preserve">tested </w:t>
      </w:r>
      <w:r>
        <w:t xml:space="preserve">were developed </w:t>
      </w:r>
      <w:r w:rsidR="0084431B">
        <w:t xml:space="preserve">by </w:t>
      </w:r>
      <w:proofErr w:type="spellStart"/>
      <w:r w:rsidR="00151AAB">
        <w:t>Aither</w:t>
      </w:r>
      <w:proofErr w:type="spellEnd"/>
      <w:r w:rsidR="00151AAB">
        <w:t xml:space="preserve"> and discussed</w:t>
      </w:r>
      <w:r>
        <w:t xml:space="preserve"> with the Department. </w:t>
      </w:r>
    </w:p>
    <w:p w:rsidR="008773B3" w:rsidRDefault="008773B3" w:rsidP="008773B3">
      <w:pPr>
        <w:pStyle w:val="Heading3"/>
      </w:pPr>
      <w:r>
        <w:lastRenderedPageBreak/>
        <w:t>Analysis of model outputs</w:t>
      </w:r>
    </w:p>
    <w:p w:rsidR="008773B3" w:rsidRDefault="008773B3" w:rsidP="008773B3">
      <w:r>
        <w:t xml:space="preserve">Following the finalisation of the scenarios, </w:t>
      </w:r>
      <w:proofErr w:type="spellStart"/>
      <w:r>
        <w:t>Aither</w:t>
      </w:r>
      <w:proofErr w:type="spellEnd"/>
      <w:r>
        <w:t xml:space="preserve"> </w:t>
      </w:r>
      <w:r w:rsidR="004D40B1">
        <w:t xml:space="preserve">applied </w:t>
      </w:r>
      <w:r>
        <w:t xml:space="preserve">its allocation price model to specifically </w:t>
      </w:r>
      <w:r w:rsidR="00A07030">
        <w:t>estimate the</w:t>
      </w:r>
      <w:r w:rsidR="0084431B">
        <w:t xml:space="preserve"> potential price</w:t>
      </w:r>
      <w:r>
        <w:t xml:space="preserve"> impact of:</w:t>
      </w:r>
    </w:p>
    <w:p w:rsidR="008773B3" w:rsidRDefault="008773B3" w:rsidP="008773B3">
      <w:pPr>
        <w:pStyle w:val="Bullet"/>
      </w:pPr>
      <w:r>
        <w:t>water availability on historical allocation prices</w:t>
      </w:r>
    </w:p>
    <w:p w:rsidR="003B4AB0" w:rsidRPr="00F06B16" w:rsidRDefault="003B4AB0" w:rsidP="003B4AB0">
      <w:pPr>
        <w:pStyle w:val="Bullet"/>
      </w:pPr>
      <w:r w:rsidRPr="00F06B16">
        <w:t xml:space="preserve">Commonwealth water purchases on </w:t>
      </w:r>
      <w:r>
        <w:t xml:space="preserve">water </w:t>
      </w:r>
      <w:r w:rsidRPr="00F06B16">
        <w:t>allocation prices between 2007-08 and 2014-15</w:t>
      </w:r>
    </w:p>
    <w:p w:rsidR="003B4AB0" w:rsidRPr="00F06B16" w:rsidRDefault="003B4AB0" w:rsidP="003B4AB0">
      <w:pPr>
        <w:pStyle w:val="Bullet"/>
      </w:pPr>
      <w:r>
        <w:t xml:space="preserve">the </w:t>
      </w:r>
      <w:r w:rsidRPr="00F06B16">
        <w:t>current volume</w:t>
      </w:r>
      <w:r>
        <w:t xml:space="preserve"> of</w:t>
      </w:r>
      <w:r w:rsidRPr="00F06B16">
        <w:t xml:space="preserve"> Commonwealth water purchases on future </w:t>
      </w:r>
      <w:r>
        <w:t xml:space="preserve">water </w:t>
      </w:r>
      <w:r w:rsidRPr="00F06B16">
        <w:t xml:space="preserve">allocation </w:t>
      </w:r>
      <w:r>
        <w:t>prices</w:t>
      </w:r>
    </w:p>
    <w:p w:rsidR="003B4AB0" w:rsidRPr="00F06B16" w:rsidRDefault="003B4AB0" w:rsidP="003B4AB0">
      <w:pPr>
        <w:pStyle w:val="Bullet"/>
      </w:pPr>
      <w:proofErr w:type="gramStart"/>
      <w:r w:rsidRPr="00F06B16">
        <w:t>a</w:t>
      </w:r>
      <w:proofErr w:type="gramEnd"/>
      <w:r w:rsidR="00FD2039">
        <w:t xml:space="preserve"> hypothetical </w:t>
      </w:r>
      <w:r w:rsidRPr="00F06B16">
        <w:t xml:space="preserve"> additional 200 </w:t>
      </w:r>
      <w:proofErr w:type="spellStart"/>
      <w:r w:rsidRPr="00F06B16">
        <w:t>Gigalitres</w:t>
      </w:r>
      <w:proofErr w:type="spellEnd"/>
      <w:r w:rsidRPr="00F06B16">
        <w:t xml:space="preserve"> (GL) of Commonwealth water purchases in the </w:t>
      </w:r>
      <w:proofErr w:type="spellStart"/>
      <w:r w:rsidRPr="00F06B16">
        <w:t>sMDB</w:t>
      </w:r>
      <w:proofErr w:type="spellEnd"/>
      <w:r w:rsidRPr="00F06B16">
        <w:t>.</w:t>
      </w:r>
    </w:p>
    <w:p w:rsidR="008773B3" w:rsidRDefault="008773B3" w:rsidP="008773B3">
      <w:proofErr w:type="spellStart"/>
      <w:r>
        <w:t>Aither</w:t>
      </w:r>
      <w:proofErr w:type="spellEnd"/>
      <w:r>
        <w:t xml:space="preserve"> </w:t>
      </w:r>
      <w:r w:rsidR="00FA7039">
        <w:t>then analysed</w:t>
      </w:r>
      <w:r>
        <w:t xml:space="preserve"> the outputs </w:t>
      </w:r>
      <w:r w:rsidR="00B64A41">
        <w:t>of these models. The</w:t>
      </w:r>
      <w:r w:rsidR="00185AC2">
        <w:t xml:space="preserve"> analysis</w:t>
      </w:r>
      <w:r w:rsidR="00B64A41">
        <w:t xml:space="preserve"> of outputs</w:t>
      </w:r>
      <w:r w:rsidR="00185AC2">
        <w:t xml:space="preserve"> is presented in Section </w:t>
      </w:r>
      <w:r w:rsidR="00306798">
        <w:fldChar w:fldCharType="begin"/>
      </w:r>
      <w:r w:rsidR="00185AC2">
        <w:instrText xml:space="preserve"> REF _Ref430938364 \r \h </w:instrText>
      </w:r>
      <w:r w:rsidR="00306798">
        <w:fldChar w:fldCharType="separate"/>
      </w:r>
      <w:r w:rsidR="00EB2418">
        <w:t>4</w:t>
      </w:r>
      <w:r w:rsidR="00306798">
        <w:fldChar w:fldCharType="end"/>
      </w:r>
      <w:r w:rsidR="00185AC2">
        <w:t xml:space="preserve"> of </w:t>
      </w:r>
      <w:r w:rsidR="00D007CA">
        <w:t xml:space="preserve">this </w:t>
      </w:r>
      <w:r w:rsidR="00185AC2">
        <w:t>report</w:t>
      </w:r>
      <w:r>
        <w:t>.</w:t>
      </w:r>
    </w:p>
    <w:p w:rsidR="00743393" w:rsidRPr="00743393" w:rsidRDefault="00743393" w:rsidP="00743393">
      <w:pPr>
        <w:pStyle w:val="Heading3"/>
      </w:pPr>
      <w:r>
        <w:t>Reporting and peer review</w:t>
      </w:r>
    </w:p>
    <w:p w:rsidR="00833448" w:rsidRDefault="00833448" w:rsidP="00676C2F">
      <w:r>
        <w:t xml:space="preserve">The analysis and </w:t>
      </w:r>
      <w:r w:rsidR="00FA7039">
        <w:t>interpretation of model outputs</w:t>
      </w:r>
      <w:r w:rsidR="00185AC2">
        <w:t xml:space="preserve"> </w:t>
      </w:r>
      <w:r w:rsidR="00FA7039">
        <w:t>informed the</w:t>
      </w:r>
      <w:r>
        <w:t xml:space="preserve"> develop</w:t>
      </w:r>
      <w:r w:rsidR="00FA7039">
        <w:t>ment</w:t>
      </w:r>
      <w:r w:rsidR="00853EB3">
        <w:t xml:space="preserve"> of</w:t>
      </w:r>
      <w:r>
        <w:t xml:space="preserve"> a </w:t>
      </w:r>
      <w:r w:rsidR="00FA7039">
        <w:t>working draft</w:t>
      </w:r>
      <w:r>
        <w:t xml:space="preserve"> report</w:t>
      </w:r>
      <w:r w:rsidR="00FA7039">
        <w:t xml:space="preserve">. </w:t>
      </w:r>
      <w:proofErr w:type="spellStart"/>
      <w:r w:rsidR="00185AC2">
        <w:t>Aither</w:t>
      </w:r>
      <w:proofErr w:type="spellEnd"/>
      <w:r w:rsidR="00185AC2">
        <w:t xml:space="preserve"> provided this </w:t>
      </w:r>
      <w:r w:rsidR="00FA7039">
        <w:t xml:space="preserve">working draft report </w:t>
      </w:r>
      <w:r>
        <w:t xml:space="preserve">to the Department for initial comment. Upon receiving the </w:t>
      </w:r>
      <w:r w:rsidR="00FA7039">
        <w:t xml:space="preserve">working draft </w:t>
      </w:r>
      <w:r>
        <w:t xml:space="preserve">report back from the Department with comments, </w:t>
      </w:r>
      <w:proofErr w:type="spellStart"/>
      <w:r>
        <w:t>Aither</w:t>
      </w:r>
      <w:proofErr w:type="spellEnd"/>
      <w:r>
        <w:t xml:space="preserve"> address</w:t>
      </w:r>
      <w:r w:rsidR="00FA7039">
        <w:t>ed</w:t>
      </w:r>
      <w:r>
        <w:t xml:space="preserve"> comments before </w:t>
      </w:r>
      <w:r w:rsidR="00FA7039">
        <w:t>providing a</w:t>
      </w:r>
      <w:r w:rsidR="00D9198F">
        <w:t xml:space="preserve"> draft</w:t>
      </w:r>
      <w:r>
        <w:t xml:space="preserve"> report i</w:t>
      </w:r>
      <w:r w:rsidR="00FA7039">
        <w:t>n-</w:t>
      </w:r>
      <w:r>
        <w:t>c</w:t>
      </w:r>
      <w:r w:rsidR="00FA7039">
        <w:t>onfidence to two</w:t>
      </w:r>
      <w:r w:rsidR="00DD12B4">
        <w:t xml:space="preserve"> respected</w:t>
      </w:r>
      <w:r w:rsidR="00FA7039">
        <w:t xml:space="preserve"> </w:t>
      </w:r>
      <w:r w:rsidR="00151AAB">
        <w:t xml:space="preserve">economist </w:t>
      </w:r>
      <w:r w:rsidR="00FA7039">
        <w:t>peer reviewers</w:t>
      </w:r>
      <w:r w:rsidR="00DD12B4">
        <w:t xml:space="preserve"> with deep knowledge of Australian water markets and policy</w:t>
      </w:r>
      <w:r w:rsidR="00FA7039">
        <w:t xml:space="preserve">. </w:t>
      </w:r>
      <w:proofErr w:type="spellStart"/>
      <w:r w:rsidR="00FA7039">
        <w:t>Aither</w:t>
      </w:r>
      <w:proofErr w:type="spellEnd"/>
      <w:r w:rsidR="00FA7039">
        <w:t xml:space="preserve"> provided the draft report (</w:t>
      </w:r>
      <w:r>
        <w:t xml:space="preserve">accompanied by a confidential </w:t>
      </w:r>
      <w:r w:rsidR="00FA7039">
        <w:t>technical description of</w:t>
      </w:r>
      <w:r>
        <w:t xml:space="preserve"> </w:t>
      </w:r>
      <w:r w:rsidR="00CA6A70">
        <w:t>t</w:t>
      </w:r>
      <w:r w:rsidR="00C07943">
        <w:t>he</w:t>
      </w:r>
      <w:r>
        <w:t xml:space="preserve"> </w:t>
      </w:r>
      <w:r w:rsidR="00FA7039">
        <w:t xml:space="preserve">price </w:t>
      </w:r>
      <w:r>
        <w:t>model)</w:t>
      </w:r>
      <w:r w:rsidR="00FA7039">
        <w:t xml:space="preserve"> to: </w:t>
      </w:r>
    </w:p>
    <w:p w:rsidR="00FA7039" w:rsidRDefault="00FA7039" w:rsidP="00FA7039">
      <w:pPr>
        <w:pStyle w:val="Bullet"/>
      </w:pPr>
      <w:r>
        <w:t xml:space="preserve">Professor Lin </w:t>
      </w:r>
      <w:proofErr w:type="spellStart"/>
      <w:r>
        <w:t>Crase</w:t>
      </w:r>
      <w:proofErr w:type="spellEnd"/>
      <w:r>
        <w:t xml:space="preserve"> – La Trobe University – </w:t>
      </w:r>
      <w:r w:rsidRPr="00FA7039">
        <w:t>Director of Centre for Water Policy and Management.</w:t>
      </w:r>
    </w:p>
    <w:p w:rsidR="00FA7039" w:rsidRDefault="00FA7039" w:rsidP="00FA7039">
      <w:pPr>
        <w:pStyle w:val="Bullet"/>
      </w:pPr>
      <w:r>
        <w:t>Professor Que</w:t>
      </w:r>
      <w:r w:rsidR="00DD12B4">
        <w:t>nti</w:t>
      </w:r>
      <w:r>
        <w:t>n Grafton –</w:t>
      </w:r>
      <w:r w:rsidR="00A210E8">
        <w:t xml:space="preserve"> </w:t>
      </w:r>
      <w:r w:rsidRPr="00FA7039">
        <w:t>Australian National University – Director of the Centre for Water Economics, Environment and Policy.</w:t>
      </w:r>
    </w:p>
    <w:p w:rsidR="00185AC2" w:rsidRDefault="00151AAB" w:rsidP="00185AC2">
      <w:r>
        <w:t xml:space="preserve">The </w:t>
      </w:r>
      <w:r w:rsidR="00833448">
        <w:t xml:space="preserve">peer review </w:t>
      </w:r>
      <w:r w:rsidR="00185AC2">
        <w:t xml:space="preserve">was employed to help ensure the </w:t>
      </w:r>
      <w:r w:rsidR="00DD12B4">
        <w:t xml:space="preserve">robustness </w:t>
      </w:r>
      <w:r w:rsidR="00185AC2">
        <w:t>of this</w:t>
      </w:r>
      <w:r w:rsidR="00833448">
        <w:t xml:space="preserve"> report</w:t>
      </w:r>
      <w:r w:rsidR="00D9198F">
        <w:t>.</w:t>
      </w:r>
      <w:r w:rsidR="00185AC2">
        <w:t xml:space="preserve"> Peer reviewers were specifically asked to comment on</w:t>
      </w:r>
      <w:r w:rsidR="00185AC2" w:rsidRPr="00185AC2">
        <w:t xml:space="preserve"> </w:t>
      </w:r>
      <w:r w:rsidR="00185AC2">
        <w:t>whether:</w:t>
      </w:r>
    </w:p>
    <w:p w:rsidR="00185AC2" w:rsidRDefault="00185AC2" w:rsidP="00592F62">
      <w:pPr>
        <w:pStyle w:val="Bullet"/>
      </w:pPr>
      <w:r>
        <w:t xml:space="preserve">the general approach taken to this project was robust </w:t>
      </w:r>
    </w:p>
    <w:p w:rsidR="00185AC2" w:rsidRDefault="003B4AB0" w:rsidP="00592F62">
      <w:pPr>
        <w:pStyle w:val="Bullet"/>
      </w:pPr>
      <w:r>
        <w:t>t</w:t>
      </w:r>
      <w:r w:rsidR="00C07943">
        <w:t>he</w:t>
      </w:r>
      <w:r w:rsidR="00185AC2">
        <w:t xml:space="preserve"> allocation price model is fit for purpose in the context of this project </w:t>
      </w:r>
    </w:p>
    <w:p w:rsidR="00185AC2" w:rsidRDefault="00185AC2" w:rsidP="00592F62">
      <w:pPr>
        <w:pStyle w:val="Bullet"/>
      </w:pPr>
      <w:r>
        <w:t>model outputs and other data presented are credible</w:t>
      </w:r>
    </w:p>
    <w:p w:rsidR="00185AC2" w:rsidRDefault="00C07943" w:rsidP="00592F62">
      <w:pPr>
        <w:pStyle w:val="Bullet"/>
      </w:pPr>
      <w:r>
        <w:t>The</w:t>
      </w:r>
      <w:r w:rsidR="00185AC2">
        <w:t xml:space="preserve"> interpretations and conclusions about </w:t>
      </w:r>
      <w:r w:rsidR="00185AC2" w:rsidRPr="00185AC2">
        <w:t>model outputs</w:t>
      </w:r>
      <w:r w:rsidR="00185AC2">
        <w:t xml:space="preserve"> and other analysis are sound. </w:t>
      </w:r>
    </w:p>
    <w:p w:rsidR="00D9198F" w:rsidRPr="00D9198F" w:rsidRDefault="00D9198F" w:rsidP="00D9198F">
      <w:pPr>
        <w:rPr>
          <w:highlight w:val="yellow"/>
        </w:rPr>
      </w:pPr>
      <w:r w:rsidRPr="00D9198F">
        <w:t>Upon receiving the draft</w:t>
      </w:r>
      <w:r>
        <w:t xml:space="preserve"> </w:t>
      </w:r>
      <w:r w:rsidRPr="00D9198F">
        <w:t xml:space="preserve">report back from the </w:t>
      </w:r>
      <w:r>
        <w:t xml:space="preserve">peer reviewers, </w:t>
      </w:r>
      <w:proofErr w:type="spellStart"/>
      <w:r w:rsidRPr="00D9198F">
        <w:t>Aither</w:t>
      </w:r>
      <w:proofErr w:type="spellEnd"/>
      <w:r w:rsidRPr="00D9198F">
        <w:t xml:space="preserve"> </w:t>
      </w:r>
      <w:r w:rsidR="00DD12B4">
        <w:t xml:space="preserve">addressed </w:t>
      </w:r>
      <w:r w:rsidR="00151AAB">
        <w:t xml:space="preserve">relevant </w:t>
      </w:r>
      <w:r w:rsidRPr="00D9198F">
        <w:t xml:space="preserve">comments before </w:t>
      </w:r>
      <w:r w:rsidR="00151AAB">
        <w:t xml:space="preserve">finalising the report with </w:t>
      </w:r>
      <w:r w:rsidR="00DD12B4">
        <w:t>the Department</w:t>
      </w:r>
      <w:r w:rsidR="00A210E8">
        <w:t xml:space="preserve"> (</w:t>
      </w:r>
      <w:r w:rsidR="00BF0ADC">
        <w:t xml:space="preserve">overall </w:t>
      </w:r>
      <w:r w:rsidR="00A210E8">
        <w:t>c</w:t>
      </w:r>
      <w:r w:rsidR="00A210E8" w:rsidRPr="00A210E8">
        <w:t>omments from peer reviewers can be found at Appendix A</w:t>
      </w:r>
      <w:r w:rsidR="00A210E8">
        <w:t>)</w:t>
      </w:r>
      <w:r>
        <w:t xml:space="preserve">. </w:t>
      </w:r>
      <w:r w:rsidR="00151AAB">
        <w:t xml:space="preserve">The </w:t>
      </w:r>
      <w:r>
        <w:t xml:space="preserve">final report </w:t>
      </w:r>
      <w:r w:rsidR="00151AAB">
        <w:t>was</w:t>
      </w:r>
      <w:r>
        <w:t xml:space="preserve"> </w:t>
      </w:r>
      <w:r w:rsidR="00372B22">
        <w:t xml:space="preserve">provided </w:t>
      </w:r>
      <w:r>
        <w:t xml:space="preserve">to the Department by </w:t>
      </w:r>
      <w:proofErr w:type="spellStart"/>
      <w:r>
        <w:t>Aither</w:t>
      </w:r>
      <w:proofErr w:type="spellEnd"/>
      <w:r>
        <w:t xml:space="preserve"> </w:t>
      </w:r>
      <w:r w:rsidR="00372B22">
        <w:t>in October 2015</w:t>
      </w:r>
      <w:r w:rsidRPr="0035202F">
        <w:t>.</w:t>
      </w:r>
      <w:r>
        <w:t xml:space="preserve"> </w:t>
      </w:r>
    </w:p>
    <w:p w:rsidR="00676C2F" w:rsidRDefault="00676C2F" w:rsidP="00676C2F">
      <w:pPr>
        <w:pStyle w:val="Heading2"/>
      </w:pPr>
      <w:bookmarkStart w:id="12" w:name="_Toc440006843"/>
      <w:r>
        <w:t>Structure of the report</w:t>
      </w:r>
      <w:bookmarkEnd w:id="12"/>
      <w:r>
        <w:t xml:space="preserve"> </w:t>
      </w:r>
    </w:p>
    <w:p w:rsidR="00676C2F" w:rsidRDefault="00C722D4" w:rsidP="00676C2F">
      <w:r>
        <w:t xml:space="preserve">This section has outlined the background to this engagement, its scope, and </w:t>
      </w:r>
      <w:proofErr w:type="spellStart"/>
      <w:r>
        <w:t>Aither’s</w:t>
      </w:r>
      <w:proofErr w:type="spellEnd"/>
      <w:r>
        <w:t xml:space="preserve"> approach and methodology. T</w:t>
      </w:r>
      <w:r w:rsidR="00D9198F" w:rsidRPr="00D9198F">
        <w:t>he remainder of the report is structured as follows:</w:t>
      </w:r>
    </w:p>
    <w:p w:rsidR="00D9198F" w:rsidRPr="00D9198F" w:rsidRDefault="00D9198F" w:rsidP="00D9198F">
      <w:pPr>
        <w:pStyle w:val="Bullet"/>
      </w:pPr>
      <w:r w:rsidRPr="00C722D4">
        <w:rPr>
          <w:rStyle w:val="Strong"/>
        </w:rPr>
        <w:t>Section 2</w:t>
      </w:r>
      <w:r>
        <w:t xml:space="preserve"> – provides a </w:t>
      </w:r>
      <w:r w:rsidRPr="00D9198F">
        <w:t>framework for understanding</w:t>
      </w:r>
      <w:r>
        <w:t xml:space="preserve"> </w:t>
      </w:r>
      <w:r w:rsidR="00DD12B4">
        <w:t xml:space="preserve">drivers of </w:t>
      </w:r>
      <w:r>
        <w:t xml:space="preserve">water </w:t>
      </w:r>
      <w:r w:rsidRPr="00D9198F">
        <w:t>allocation prices</w:t>
      </w:r>
      <w:r>
        <w:t xml:space="preserve"> in the </w:t>
      </w:r>
      <w:proofErr w:type="spellStart"/>
      <w:r>
        <w:t>sMDB</w:t>
      </w:r>
      <w:proofErr w:type="spellEnd"/>
      <w:r>
        <w:t>.</w:t>
      </w:r>
    </w:p>
    <w:p w:rsidR="00D9198F" w:rsidRDefault="00D9198F" w:rsidP="00D9198F">
      <w:pPr>
        <w:pStyle w:val="Bullet"/>
      </w:pPr>
      <w:r w:rsidRPr="00C722D4">
        <w:rPr>
          <w:rStyle w:val="Strong"/>
        </w:rPr>
        <w:t>Section 3</w:t>
      </w:r>
      <w:r>
        <w:t xml:space="preserve"> – outlines </w:t>
      </w:r>
      <w:r w:rsidR="00756BF4">
        <w:t xml:space="preserve">the </w:t>
      </w:r>
      <w:proofErr w:type="spellStart"/>
      <w:r w:rsidR="00756BF4">
        <w:t>Aither</w:t>
      </w:r>
      <w:proofErr w:type="spellEnd"/>
      <w:r>
        <w:t xml:space="preserve"> water allocation price model, how it was used for this engagement</w:t>
      </w:r>
      <w:r w:rsidR="00C722D4">
        <w:t xml:space="preserve">, and </w:t>
      </w:r>
      <w:r w:rsidR="00151AAB">
        <w:t xml:space="preserve">the associated </w:t>
      </w:r>
      <w:r w:rsidR="00C722D4">
        <w:t>caveats</w:t>
      </w:r>
      <w:r>
        <w:t>.</w:t>
      </w:r>
    </w:p>
    <w:p w:rsidR="00D9198F" w:rsidRDefault="00D9198F" w:rsidP="00D9198F">
      <w:pPr>
        <w:pStyle w:val="Bullet"/>
      </w:pPr>
      <w:r w:rsidRPr="00C722D4">
        <w:rPr>
          <w:rStyle w:val="Strong"/>
        </w:rPr>
        <w:lastRenderedPageBreak/>
        <w:t>Section 4</w:t>
      </w:r>
      <w:r>
        <w:t xml:space="preserve"> </w:t>
      </w:r>
      <w:r w:rsidR="00C722D4">
        <w:t>–</w:t>
      </w:r>
      <w:r>
        <w:t xml:space="preserve"> </w:t>
      </w:r>
      <w:r w:rsidR="00C722D4">
        <w:t>describes the a</w:t>
      </w:r>
      <w:r w:rsidRPr="00D9198F">
        <w:t xml:space="preserve">pplication of </w:t>
      </w:r>
      <w:r w:rsidR="00AA6707">
        <w:t xml:space="preserve">the </w:t>
      </w:r>
      <w:r w:rsidRPr="00D9198F">
        <w:t xml:space="preserve">model </w:t>
      </w:r>
      <w:r w:rsidR="00DD12B4">
        <w:t>in the context of this project</w:t>
      </w:r>
      <w:r w:rsidR="00825901">
        <w:t>,</w:t>
      </w:r>
      <w:r w:rsidR="00DD12B4">
        <w:t xml:space="preserve"> </w:t>
      </w:r>
      <w:r w:rsidRPr="00D9198F">
        <w:t>and</w:t>
      </w:r>
      <w:r w:rsidR="00C722D4">
        <w:t xml:space="preserve"> presents </w:t>
      </w:r>
      <w:r w:rsidRPr="00D9198F">
        <w:t>results</w:t>
      </w:r>
      <w:r w:rsidR="00825901">
        <w:t xml:space="preserve"> and </w:t>
      </w:r>
      <w:r w:rsidR="00B64A41">
        <w:t>discussion</w:t>
      </w:r>
      <w:r w:rsidR="00C722D4">
        <w:t>.</w:t>
      </w:r>
    </w:p>
    <w:p w:rsidR="00676C2F" w:rsidRPr="00676C2F" w:rsidRDefault="00C722D4" w:rsidP="00676C2F">
      <w:pPr>
        <w:pStyle w:val="Bullet"/>
      </w:pPr>
      <w:r w:rsidRPr="00C722D4">
        <w:rPr>
          <w:rStyle w:val="Strong"/>
        </w:rPr>
        <w:t>Section 5</w:t>
      </w:r>
      <w:r>
        <w:t xml:space="preserve"> – </w:t>
      </w:r>
      <w:r w:rsidR="00DD12B4">
        <w:t xml:space="preserve">presents </w:t>
      </w:r>
      <w:proofErr w:type="spellStart"/>
      <w:r w:rsidR="00DD12B4">
        <w:t>Aither’s</w:t>
      </w:r>
      <w:proofErr w:type="spellEnd"/>
      <w:r w:rsidRPr="00C722D4">
        <w:t xml:space="preserve"> conclusions</w:t>
      </w:r>
      <w:r>
        <w:t>.</w:t>
      </w:r>
    </w:p>
    <w:p w:rsidR="00676C2F" w:rsidRDefault="00676C2F" w:rsidP="00676C2F">
      <w:pPr>
        <w:pStyle w:val="Heading1"/>
      </w:pPr>
      <w:bookmarkStart w:id="13" w:name="_Ref430950580"/>
      <w:bookmarkStart w:id="14" w:name="_Ref430950601"/>
      <w:bookmarkStart w:id="15" w:name="_Toc440006844"/>
      <w:r w:rsidRPr="00676C2F">
        <w:lastRenderedPageBreak/>
        <w:t xml:space="preserve">Background and </w:t>
      </w:r>
      <w:r>
        <w:t xml:space="preserve">understanding </w:t>
      </w:r>
      <w:r w:rsidR="006D610D">
        <w:t xml:space="preserve">of </w:t>
      </w:r>
      <w:r w:rsidR="00AC1AD0">
        <w:t xml:space="preserve">water </w:t>
      </w:r>
      <w:r>
        <w:t>allocation price</w:t>
      </w:r>
      <w:r w:rsidR="00D2328C" w:rsidRPr="00D2328C">
        <w:t xml:space="preserve"> </w:t>
      </w:r>
      <w:r w:rsidR="00D2328C" w:rsidRPr="00676C2F">
        <w:t>drivers</w:t>
      </w:r>
      <w:bookmarkEnd w:id="13"/>
      <w:bookmarkEnd w:id="14"/>
      <w:bookmarkEnd w:id="15"/>
    </w:p>
    <w:p w:rsidR="00896D0A" w:rsidRDefault="00896D0A" w:rsidP="009E0AEB">
      <w:r>
        <w:t>This section provides:</w:t>
      </w:r>
    </w:p>
    <w:p w:rsidR="00896D0A" w:rsidRDefault="00896D0A" w:rsidP="009E0AEB">
      <w:pPr>
        <w:pStyle w:val="Bullet"/>
      </w:pPr>
      <w:r>
        <w:t>an overview of water market</w:t>
      </w:r>
      <w:r w:rsidR="009E0AEB">
        <w:t>s</w:t>
      </w:r>
      <w:r>
        <w:t xml:space="preserve"> in the </w:t>
      </w:r>
      <w:proofErr w:type="spellStart"/>
      <w:r>
        <w:t>sMDB</w:t>
      </w:r>
      <w:proofErr w:type="spellEnd"/>
    </w:p>
    <w:p w:rsidR="00896D0A" w:rsidRDefault="00896D0A" w:rsidP="009E0AEB">
      <w:pPr>
        <w:pStyle w:val="Bullet"/>
      </w:pPr>
      <w:r>
        <w:t>a discussion of the complex nature of allocation trading decisions made by irrigators</w:t>
      </w:r>
    </w:p>
    <w:p w:rsidR="00896D0A" w:rsidRDefault="00896D0A" w:rsidP="009E0AEB">
      <w:pPr>
        <w:pStyle w:val="Bullet"/>
      </w:pPr>
      <w:r>
        <w:t>an overview of climate and supply</w:t>
      </w:r>
      <w:r w:rsidR="00181F21">
        <w:t xml:space="preserve">-side </w:t>
      </w:r>
      <w:r>
        <w:t xml:space="preserve">drivers of </w:t>
      </w:r>
      <w:r w:rsidR="00181F21">
        <w:t xml:space="preserve">water </w:t>
      </w:r>
      <w:r>
        <w:t>allocation prices</w:t>
      </w:r>
    </w:p>
    <w:p w:rsidR="00896D0A" w:rsidRDefault="00896D0A" w:rsidP="009E0AEB">
      <w:pPr>
        <w:pStyle w:val="Bullet"/>
      </w:pPr>
      <w:proofErr w:type="gramStart"/>
      <w:r>
        <w:t>an</w:t>
      </w:r>
      <w:proofErr w:type="gramEnd"/>
      <w:r>
        <w:t xml:space="preserve"> </w:t>
      </w:r>
      <w:r w:rsidR="0021259E">
        <w:t>outline</w:t>
      </w:r>
      <w:r>
        <w:t xml:space="preserve"> of the influence of underlying demand (</w:t>
      </w:r>
      <w:r w:rsidR="0021259E">
        <w:t xml:space="preserve">irrigation </w:t>
      </w:r>
      <w:r>
        <w:t>industry structure) on allocation prices.</w:t>
      </w:r>
    </w:p>
    <w:p w:rsidR="00896D0A" w:rsidRDefault="00896D0A" w:rsidP="009E0AEB">
      <w:pPr>
        <w:pStyle w:val="Bullet"/>
        <w:numPr>
          <w:ilvl w:val="0"/>
          <w:numId w:val="0"/>
        </w:numPr>
      </w:pPr>
      <w:r>
        <w:t xml:space="preserve">This background provides an important introduction to the </w:t>
      </w:r>
      <w:r w:rsidR="009E0AEB">
        <w:t xml:space="preserve">modelling </w:t>
      </w:r>
      <w:r>
        <w:t>approach adopted</w:t>
      </w:r>
      <w:r w:rsidR="0021259E">
        <w:t xml:space="preserve"> by </w:t>
      </w:r>
      <w:proofErr w:type="spellStart"/>
      <w:r w:rsidR="0021259E">
        <w:t>Aither</w:t>
      </w:r>
      <w:proofErr w:type="spellEnd"/>
      <w:r w:rsidR="0021259E">
        <w:t xml:space="preserve"> for this report</w:t>
      </w:r>
      <w:r w:rsidR="009E0AEB">
        <w:t>,</w:t>
      </w:r>
      <w:r>
        <w:t xml:space="preserve"> and the key climatic and supply</w:t>
      </w:r>
      <w:r w:rsidR="009E0AEB">
        <w:t>-side drivers of allocation</w:t>
      </w:r>
      <w:r>
        <w:t xml:space="preserve"> prices that are being tested.</w:t>
      </w:r>
    </w:p>
    <w:p w:rsidR="00D2328C" w:rsidRDefault="00E357E0" w:rsidP="00D2328C">
      <w:pPr>
        <w:pStyle w:val="Heading2"/>
      </w:pPr>
      <w:bookmarkStart w:id="16" w:name="_Toc440006845"/>
      <w:r>
        <w:t xml:space="preserve">Water markets in the </w:t>
      </w:r>
      <w:proofErr w:type="spellStart"/>
      <w:r>
        <w:t>sMDB</w:t>
      </w:r>
      <w:bookmarkEnd w:id="16"/>
      <w:proofErr w:type="spellEnd"/>
    </w:p>
    <w:p w:rsidR="00D2328C" w:rsidRDefault="00D2328C" w:rsidP="00D2328C">
      <w:r>
        <w:t xml:space="preserve">Water markets in Australia have developed substantially over the past two decades. They are now an established part of agricultural, </w:t>
      </w:r>
      <w:r w:rsidR="00853EB3">
        <w:t xml:space="preserve">urban </w:t>
      </w:r>
      <w:r>
        <w:t>and environmental water policy and management in Australia.</w:t>
      </w:r>
      <w:r w:rsidR="00F269B3">
        <w:rPr>
          <w:rStyle w:val="FootnoteReference"/>
        </w:rPr>
        <w:footnoteReference w:id="8"/>
      </w:r>
      <w:r>
        <w:t xml:space="preserve"> The formalisation of water markets – especially in the </w:t>
      </w:r>
      <w:proofErr w:type="spellStart"/>
      <w:r>
        <w:t>sMDB</w:t>
      </w:r>
      <w:proofErr w:type="spellEnd"/>
      <w:r>
        <w:t xml:space="preserve"> – now deliver</w:t>
      </w:r>
      <w:r w:rsidR="00C21485">
        <w:t>s</w:t>
      </w:r>
      <w:r>
        <w:t xml:space="preserve"> important public policy outcomes</w:t>
      </w:r>
      <w:r w:rsidR="00C21485">
        <w:t>,</w:t>
      </w:r>
      <w:r>
        <w:t xml:space="preserve"> and provide</w:t>
      </w:r>
      <w:r w:rsidR="00C21485">
        <w:t>s</w:t>
      </w:r>
      <w:r>
        <w:t xml:space="preserve"> the private sector with investment flexibility an</w:t>
      </w:r>
      <w:r w:rsidR="00DD12B4">
        <w:t xml:space="preserve">d risk management opportunities. </w:t>
      </w:r>
    </w:p>
    <w:p w:rsidR="00D2328C" w:rsidRDefault="00E357E0" w:rsidP="00D2328C">
      <w:r>
        <w:t>W</w:t>
      </w:r>
      <w:r w:rsidR="00D2328C" w:rsidRPr="00D2328C">
        <w:t>ater markets</w:t>
      </w:r>
      <w:r>
        <w:t xml:space="preserve"> in the </w:t>
      </w:r>
      <w:proofErr w:type="spellStart"/>
      <w:r>
        <w:t>sMDB</w:t>
      </w:r>
      <w:proofErr w:type="spellEnd"/>
      <w:r w:rsidR="00D2328C" w:rsidRPr="00D2328C">
        <w:t xml:space="preserve"> </w:t>
      </w:r>
      <w:r w:rsidR="00D2328C">
        <w:t xml:space="preserve">are </w:t>
      </w:r>
      <w:r w:rsidR="00D2328C" w:rsidRPr="00D2328C">
        <w:t>comprise</w:t>
      </w:r>
      <w:r w:rsidR="00D2328C">
        <w:t>d of</w:t>
      </w:r>
      <w:r w:rsidR="00D2328C" w:rsidRPr="00D2328C">
        <w:t xml:space="preserve"> two distinct but related </w:t>
      </w:r>
      <w:r w:rsidR="00D2328C">
        <w:t>markets</w:t>
      </w:r>
      <w:r w:rsidR="00D2328C" w:rsidRPr="00D2328C">
        <w:t xml:space="preserve"> –</w:t>
      </w:r>
      <w:r w:rsidR="00D2328C">
        <w:t xml:space="preserve"> namely</w:t>
      </w:r>
      <w:r w:rsidR="00D2328C" w:rsidRPr="00D2328C">
        <w:t xml:space="preserve"> entitlement market</w:t>
      </w:r>
      <w:r w:rsidR="00D2328C">
        <w:t>s</w:t>
      </w:r>
      <w:r w:rsidR="00D2328C" w:rsidRPr="00D2328C">
        <w:t xml:space="preserve"> and the allocation market</w:t>
      </w:r>
      <w:r w:rsidR="00D2328C">
        <w:t>s</w:t>
      </w:r>
      <w:r w:rsidR="00D2328C" w:rsidRPr="00D2328C">
        <w:t xml:space="preserve">. </w:t>
      </w:r>
    </w:p>
    <w:p w:rsidR="006200B7" w:rsidRDefault="006200B7" w:rsidP="006200B7">
      <w:pPr>
        <w:pStyle w:val="Bullet"/>
      </w:pPr>
      <w:r w:rsidRPr="006200B7">
        <w:rPr>
          <w:b/>
        </w:rPr>
        <w:t>Water entitlements</w:t>
      </w:r>
      <w:r>
        <w:t xml:space="preserve"> are ongoing rights to receive an annual share of available water resources in a consumptive pool – such as a river system or catchment. Entitlements are generally secure and </w:t>
      </w:r>
      <w:proofErr w:type="spellStart"/>
      <w:r>
        <w:t>mortgageable</w:t>
      </w:r>
      <w:proofErr w:type="spellEnd"/>
      <w:r>
        <w:t xml:space="preserve"> in the same way</w:t>
      </w:r>
      <w:r w:rsidR="00AA6707">
        <w:t xml:space="preserve"> as land</w:t>
      </w:r>
      <w:r>
        <w:t>. Each catchment typically has a small number of entitlement ‘classes’ which denote the reliability of receiving water in any given year, and generally all entitlements within a given class are homogenous.</w:t>
      </w:r>
      <w:r w:rsidR="00BC76A7">
        <w:t xml:space="preserve"> </w:t>
      </w:r>
    </w:p>
    <w:p w:rsidR="006200B7" w:rsidRDefault="006200B7" w:rsidP="00BC76A7">
      <w:pPr>
        <w:pStyle w:val="Bullet"/>
      </w:pPr>
      <w:r w:rsidRPr="006200B7">
        <w:rPr>
          <w:b/>
        </w:rPr>
        <w:t>Water allocations</w:t>
      </w:r>
      <w:r>
        <w:t xml:space="preserve"> are the volumes of water allocated to water entitlement holders during the water year (1 July to 30 June). They are a physical good analogous to a commodity, and are extracted from water courses</w:t>
      </w:r>
      <w:r w:rsidR="00FA086E">
        <w:t xml:space="preserve"> (or in the case of environmental water, sometimes not extracted)</w:t>
      </w:r>
      <w:r>
        <w:t xml:space="preserve"> and applied as inputs to production or the environment. Based on the supply and demand for water at </w:t>
      </w:r>
      <w:r w:rsidR="00FA086E">
        <w:t xml:space="preserve">a </w:t>
      </w:r>
      <w:r>
        <w:t>time, the value of allocation per unit varies within, and between years.</w:t>
      </w:r>
      <w:r w:rsidR="00BC76A7" w:rsidRPr="00BC76A7">
        <w:t xml:space="preserve"> </w:t>
      </w:r>
    </w:p>
    <w:p w:rsidR="00BC76A7" w:rsidRDefault="00D2328C" w:rsidP="00D615DE">
      <w:r w:rsidRPr="00D2328C">
        <w:t>There is no single national market for these</w:t>
      </w:r>
      <w:r w:rsidR="00C21485">
        <w:t xml:space="preserve"> water</w:t>
      </w:r>
      <w:r w:rsidRPr="00D2328C">
        <w:t xml:space="preserve"> products, but rather a number of individual </w:t>
      </w:r>
      <w:r w:rsidR="006D610D">
        <w:t xml:space="preserve">(but in some cases connected) </w:t>
      </w:r>
      <w:r w:rsidRPr="00D2328C">
        <w:t xml:space="preserve">markets. Where hydrological connectivity exists, such as in the </w:t>
      </w:r>
      <w:proofErr w:type="spellStart"/>
      <w:r w:rsidR="006200B7">
        <w:t>sMDB</w:t>
      </w:r>
      <w:proofErr w:type="spellEnd"/>
      <w:r w:rsidR="006200B7">
        <w:t xml:space="preserve"> (the focus of this report)</w:t>
      </w:r>
      <w:r w:rsidRPr="00D2328C">
        <w:t>, trade between these markets</w:t>
      </w:r>
      <w:r w:rsidR="00A07030">
        <w:t xml:space="preserve"> or zones</w:t>
      </w:r>
      <w:r w:rsidRPr="00D2328C">
        <w:t xml:space="preserve"> is possible</w:t>
      </w:r>
      <w:r w:rsidR="00C21485">
        <w:t>. Due to this</w:t>
      </w:r>
      <w:r w:rsidR="006D610D">
        <w:t>,</w:t>
      </w:r>
      <w:r w:rsidR="006200B7">
        <w:t xml:space="preserve"> prices for water allocations across markets tend t</w:t>
      </w:r>
      <w:bookmarkStart w:id="17" w:name="_GoBack"/>
      <w:bookmarkEnd w:id="17"/>
      <w:r w:rsidR="006200B7">
        <w:t>o equalise where</w:t>
      </w:r>
      <w:r w:rsidR="00C21485">
        <w:t xml:space="preserve"> connectivity and</w:t>
      </w:r>
      <w:r w:rsidR="006200B7">
        <w:t xml:space="preserve"> no barriers to trade exist</w:t>
      </w:r>
      <w:r w:rsidRPr="00D2328C">
        <w:t>.</w:t>
      </w:r>
      <w:r w:rsidR="006D610D">
        <w:rPr>
          <w:rStyle w:val="FootnoteReference"/>
        </w:rPr>
        <w:footnoteReference w:id="9"/>
      </w:r>
      <w:r w:rsidR="00BC76A7">
        <w:t xml:space="preserve"> </w:t>
      </w:r>
    </w:p>
    <w:p w:rsidR="00896D0A" w:rsidRDefault="00896D0A" w:rsidP="00896D0A">
      <w:r>
        <w:lastRenderedPageBreak/>
        <w:t>As this report specifically focuses on identifying drivers of water allocation prices and not water entitlement prices, the following sub-sections explore supply and demand-side drivers that potentially impact</w:t>
      </w:r>
      <w:r w:rsidR="00C21485">
        <w:t xml:space="preserve"> water</w:t>
      </w:r>
      <w:r>
        <w:t xml:space="preserve"> allocation prices. </w:t>
      </w:r>
    </w:p>
    <w:p w:rsidR="00221637" w:rsidRDefault="00A254BD" w:rsidP="00221637">
      <w:pPr>
        <w:pStyle w:val="Heading2"/>
      </w:pPr>
      <w:bookmarkStart w:id="18" w:name="_Ref431482607"/>
      <w:bookmarkStart w:id="19" w:name="_Toc440006846"/>
      <w:bookmarkStart w:id="20" w:name="_Ref431196703"/>
      <w:r>
        <w:t>Reasons</w:t>
      </w:r>
      <w:r w:rsidR="00221637">
        <w:t xml:space="preserve"> for participation in the water allocation market</w:t>
      </w:r>
      <w:bookmarkEnd w:id="18"/>
      <w:bookmarkEnd w:id="19"/>
    </w:p>
    <w:p w:rsidR="00896D0A" w:rsidRDefault="00896D0A" w:rsidP="00896D0A">
      <w:r>
        <w:t xml:space="preserve">Water allocation markets were developed in Australia to allow entitlement holders and water users to effectively and efficiently manage variability in water </w:t>
      </w:r>
      <w:r w:rsidR="00C21485">
        <w:t>availability</w:t>
      </w:r>
      <w:r>
        <w:t xml:space="preserve"> within production years. The water allocation market in the </w:t>
      </w:r>
      <w:proofErr w:type="spellStart"/>
      <w:r>
        <w:t>sMDB</w:t>
      </w:r>
      <w:proofErr w:type="spellEnd"/>
      <w:r>
        <w:t xml:space="preserve"> is used by a diverse range of irrigated </w:t>
      </w:r>
      <w:r w:rsidR="00853EB3">
        <w:t xml:space="preserve">agriculture </w:t>
      </w:r>
      <w:r>
        <w:t>producers (including rice, dairy, horticulture, cotton and others,</w:t>
      </w:r>
      <w:r w:rsidRPr="00E357E0">
        <w:t xml:space="preserve"> </w:t>
      </w:r>
      <w:r>
        <w:t>which all have different seasonal water demands) to buy or sell water based on annual water requirements</w:t>
      </w:r>
      <w:r w:rsidR="00A6253D">
        <w:t xml:space="preserve"> (or demands)</w:t>
      </w:r>
      <w:r>
        <w:t xml:space="preserve">. </w:t>
      </w:r>
    </w:p>
    <w:p w:rsidR="00896D0A" w:rsidRDefault="00896D0A" w:rsidP="00896D0A">
      <w:r>
        <w:t xml:space="preserve">The </w:t>
      </w:r>
      <w:r w:rsidRPr="002A5E10">
        <w:t xml:space="preserve">heterogeneous </w:t>
      </w:r>
      <w:r>
        <w:t>production landscape</w:t>
      </w:r>
      <w:r w:rsidRPr="00E357E0">
        <w:t xml:space="preserve"> </w:t>
      </w:r>
      <w:r>
        <w:t xml:space="preserve">across the </w:t>
      </w:r>
      <w:proofErr w:type="spellStart"/>
      <w:r>
        <w:t>sMDB</w:t>
      </w:r>
      <w:proofErr w:type="spellEnd"/>
      <w:r>
        <w:t>, and differing water demand profiles that this generates, is important to underpinning the efficient functioning of water allocation markets. Since</w:t>
      </w:r>
      <w:r w:rsidRPr="00E357E0">
        <w:t xml:space="preserve"> water demand </w:t>
      </w:r>
      <w:r>
        <w:t xml:space="preserve">differs between producers at any given point in time, individual producers can use the allocation market to sell water excess to requirements or buy additional water to meet water requirements. If production was homogenous (i.e. all rice or all cotton for example) </w:t>
      </w:r>
      <w:r w:rsidRPr="002A5E10">
        <w:t>allocation market</w:t>
      </w:r>
      <w:r>
        <w:t xml:space="preserve">s would not be as useful because water requirements of producers would be similar, and there would not necessarily be a mix of both buyers and sellers in the market at the same time (i.e. all would be trying to sell or </w:t>
      </w:r>
      <w:r w:rsidR="00AA6707">
        <w:t>buy simultaneously</w:t>
      </w:r>
      <w:r>
        <w:t xml:space="preserve">). </w:t>
      </w:r>
    </w:p>
    <w:p w:rsidR="00473411" w:rsidRDefault="00221637" w:rsidP="00803673">
      <w:r>
        <w:t>Market participants</w:t>
      </w:r>
      <w:r w:rsidR="00AA6707">
        <w:t xml:space="preserve"> </w:t>
      </w:r>
      <w:r>
        <w:t>buy or sell water allocation</w:t>
      </w:r>
      <w:r w:rsidR="00AA6707">
        <w:t>s</w:t>
      </w:r>
      <w:r>
        <w:t xml:space="preserve"> for a variety of reasons, such as buying water to supplement irrigation requirements or sell water that is not required in a given season. Despite the fact that most participants have unique reasons for participating in water allocation markets, there are a number of fundamental </w:t>
      </w:r>
      <w:r w:rsidR="00E357E0">
        <w:t xml:space="preserve">underpinnings </w:t>
      </w:r>
      <w:r w:rsidR="00803673">
        <w:t xml:space="preserve">that help to understand </w:t>
      </w:r>
      <w:r w:rsidR="00C21485">
        <w:t xml:space="preserve">allocation </w:t>
      </w:r>
      <w:r w:rsidR="00AA6707">
        <w:t xml:space="preserve">market </w:t>
      </w:r>
      <w:r>
        <w:t>participation</w:t>
      </w:r>
      <w:r w:rsidR="00473411">
        <w:t>, such as:</w:t>
      </w:r>
    </w:p>
    <w:p w:rsidR="00A6253D" w:rsidRDefault="0099232F" w:rsidP="00473411">
      <w:pPr>
        <w:pStyle w:val="Bullet"/>
      </w:pPr>
      <w:r>
        <w:t xml:space="preserve">irrigators have historically drawn on their water entitlements to supply the </w:t>
      </w:r>
      <w:r w:rsidR="001361C6">
        <w:t xml:space="preserve">majority </w:t>
      </w:r>
      <w:r>
        <w:t>of their irrigation demand</w:t>
      </w:r>
      <w:r w:rsidR="006244F6">
        <w:t xml:space="preserve">, and therefore water allocation trading has historically occurred at the margin of </w:t>
      </w:r>
      <w:r w:rsidR="001361C6">
        <w:t xml:space="preserve">this </w:t>
      </w:r>
      <w:r w:rsidR="006244F6">
        <w:t>water demand</w:t>
      </w:r>
      <w:r w:rsidR="006244F6">
        <w:rPr>
          <w:rStyle w:val="FootnoteReference"/>
        </w:rPr>
        <w:footnoteReference w:id="10"/>
      </w:r>
    </w:p>
    <w:p w:rsidR="003716E7" w:rsidRDefault="003716E7" w:rsidP="003716E7">
      <w:pPr>
        <w:pStyle w:val="Bullet"/>
      </w:pPr>
      <w:proofErr w:type="gramStart"/>
      <w:r>
        <w:t>water</w:t>
      </w:r>
      <w:proofErr w:type="gramEnd"/>
      <w:r>
        <w:t xml:space="preserve"> allocation trading plays different roles in different irrigated industries based on how flexible respe</w:t>
      </w:r>
      <w:r w:rsidR="00210A43">
        <w:t>ctive water demand profiles are.</w:t>
      </w:r>
    </w:p>
    <w:p w:rsidR="00221637" w:rsidRDefault="003716E7" w:rsidP="00803673">
      <w:r>
        <w:t>T</w:t>
      </w:r>
      <w:r w:rsidR="00896D0A">
        <w:t xml:space="preserve">hese issues highlight that allocation trading decisions are complex. This fact justifies taking an aggregate approach to modelling allocation prices based on observed historical </w:t>
      </w:r>
      <w:r>
        <w:t>allocation price outcomes, and overarching drivers. Each of these elements is further explain</w:t>
      </w:r>
      <w:r w:rsidR="00853EB3">
        <w:t>ed</w:t>
      </w:r>
      <w:r>
        <w:t xml:space="preserve"> below.</w:t>
      </w:r>
    </w:p>
    <w:p w:rsidR="00221637" w:rsidRDefault="00221637" w:rsidP="00221637">
      <w:pPr>
        <w:pStyle w:val="Heading3"/>
      </w:pPr>
      <w:bookmarkStart w:id="21" w:name="_Ref431482610"/>
      <w:r w:rsidRPr="009F07ED">
        <w:t xml:space="preserve">Water allocation trading </w:t>
      </w:r>
      <w:r w:rsidR="00473411">
        <w:t xml:space="preserve">typically </w:t>
      </w:r>
      <w:r w:rsidRPr="009F07ED">
        <w:t>occur</w:t>
      </w:r>
      <w:r w:rsidR="00A254BD">
        <w:t>s</w:t>
      </w:r>
      <w:r w:rsidRPr="009F07ED">
        <w:t xml:space="preserve"> at the margin</w:t>
      </w:r>
      <w:r>
        <w:t xml:space="preserve"> of water demand</w:t>
      </w:r>
      <w:bookmarkEnd w:id="21"/>
    </w:p>
    <w:p w:rsidR="003716E7" w:rsidRDefault="003716E7" w:rsidP="003716E7">
      <w:r>
        <w:t>Historically, most</w:t>
      </w:r>
      <w:r w:rsidRPr="009F07ED">
        <w:t xml:space="preserve"> </w:t>
      </w:r>
      <w:r w:rsidR="00221637" w:rsidRPr="009F07ED">
        <w:t xml:space="preserve">irrigators in the </w:t>
      </w:r>
      <w:proofErr w:type="spellStart"/>
      <w:r w:rsidR="00221637" w:rsidRPr="009F07ED">
        <w:t>sMDB</w:t>
      </w:r>
      <w:proofErr w:type="spellEnd"/>
      <w:r w:rsidR="00221637" w:rsidRPr="009F07ED">
        <w:t xml:space="preserve"> hold water entitlements of some kind. </w:t>
      </w:r>
      <w:r w:rsidR="00221637">
        <w:t xml:space="preserve">Water allocation trading </w:t>
      </w:r>
      <w:r w:rsidR="00C21485">
        <w:t xml:space="preserve">from these entitlements </w:t>
      </w:r>
      <w:r w:rsidR="00221637">
        <w:t>generally occur</w:t>
      </w:r>
      <w:r w:rsidR="00C21485">
        <w:t>s</w:t>
      </w:r>
      <w:r w:rsidR="00221637">
        <w:t xml:space="preserve"> at the margin of water use – once irrigators have considered soil moisture, rainfall expectations and water </w:t>
      </w:r>
      <w:r w:rsidR="00C21485">
        <w:t>allocated</w:t>
      </w:r>
      <w:r w:rsidR="00221637">
        <w:t xml:space="preserve"> to their own water entitlements. </w:t>
      </w:r>
      <w:r>
        <w:t xml:space="preserve">The market price of water allocations is set at the willingness to pay for water </w:t>
      </w:r>
      <w:r w:rsidR="00AA6707">
        <w:t xml:space="preserve">(and </w:t>
      </w:r>
      <w:r w:rsidR="005F48EA">
        <w:t>willingness to accept payment</w:t>
      </w:r>
      <w:r w:rsidR="00AA6707">
        <w:t xml:space="preserve"> in exchange for water) </w:t>
      </w:r>
      <w:r>
        <w:t xml:space="preserve">at the margin of any individual’s requirements. Importantly, this means that the average willingness to pay for all irrigation water (i.e. as indicated by the average gross margin per </w:t>
      </w:r>
      <w:r>
        <w:lastRenderedPageBreak/>
        <w:t>ML of water use) is unlikely to represent the price of allocations in the market.</w:t>
      </w:r>
      <w:r w:rsidR="00AA6707">
        <w:t xml:space="preserve"> For instance, a farmer keen to finish off an irrigation crop is likely to pay more than the average gross margin per ML.</w:t>
      </w:r>
      <w:r w:rsidR="00C21485">
        <w:rPr>
          <w:rStyle w:val="FootnoteReference"/>
        </w:rPr>
        <w:footnoteReference w:id="11"/>
      </w:r>
      <w:r w:rsidR="005F48EA">
        <w:t xml:space="preserve"> </w:t>
      </w:r>
    </w:p>
    <w:p w:rsidR="00473411" w:rsidRDefault="00473411" w:rsidP="00803673">
      <w:pPr>
        <w:pStyle w:val="BoxHeading"/>
      </w:pPr>
      <w:r>
        <w:t>Changing landscape of water entitlement ownership</w:t>
      </w:r>
    </w:p>
    <w:p w:rsidR="0088450F" w:rsidRDefault="003716E7" w:rsidP="00803673">
      <w:pPr>
        <w:pStyle w:val="BoxText"/>
      </w:pPr>
      <w:r>
        <w:t>In recent years</w:t>
      </w:r>
      <w:r w:rsidR="0088450F">
        <w:t xml:space="preserve"> there has been a noticeable chang</w:t>
      </w:r>
      <w:r w:rsidR="00467F98">
        <w:t>e in the</w:t>
      </w:r>
      <w:r w:rsidR="0088450F">
        <w:t xml:space="preserve"> landscape of water </w:t>
      </w:r>
      <w:r w:rsidR="00853EB3">
        <w:t xml:space="preserve">entitlement </w:t>
      </w:r>
      <w:r w:rsidR="0088450F">
        <w:t xml:space="preserve">ownership in the </w:t>
      </w:r>
      <w:proofErr w:type="spellStart"/>
      <w:r w:rsidR="0088450F">
        <w:t>sMDB</w:t>
      </w:r>
      <w:proofErr w:type="spellEnd"/>
      <w:r w:rsidR="0088450F">
        <w:t xml:space="preserve"> – specifically an increase in:</w:t>
      </w:r>
    </w:p>
    <w:p w:rsidR="0088450F" w:rsidRDefault="00EF57D6" w:rsidP="00803673">
      <w:pPr>
        <w:pStyle w:val="BoxBullet"/>
      </w:pPr>
      <w:proofErr w:type="gramStart"/>
      <w:r>
        <w:t>t</w:t>
      </w:r>
      <w:r w:rsidR="0088450F">
        <w:t>he</w:t>
      </w:r>
      <w:proofErr w:type="gramEnd"/>
      <w:r w:rsidR="0088450F">
        <w:t xml:space="preserve"> number of irrigators that are fully reliant on purchasing water allocations to meet total annual water requirements </w:t>
      </w:r>
      <w:r w:rsidR="00894687">
        <w:t>–</w:t>
      </w:r>
      <w:r w:rsidR="0088450F">
        <w:t xml:space="preserve"> they own no, or very little, water entitlements</w:t>
      </w:r>
      <w:r w:rsidR="00C21485">
        <w:t xml:space="preserve"> themselves</w:t>
      </w:r>
      <w:r>
        <w:t>.</w:t>
      </w:r>
    </w:p>
    <w:p w:rsidR="00894687" w:rsidRDefault="00853EB3" w:rsidP="00803673">
      <w:pPr>
        <w:pStyle w:val="BoxText"/>
      </w:pPr>
      <w:r>
        <w:t>Some</w:t>
      </w:r>
      <w:r w:rsidRPr="0088450F">
        <w:t xml:space="preserve"> </w:t>
      </w:r>
      <w:r w:rsidR="00894687" w:rsidRPr="0088450F">
        <w:t>dairy</w:t>
      </w:r>
      <w:r w:rsidR="003716E7">
        <w:t xml:space="preserve"> and rice</w:t>
      </w:r>
      <w:r w:rsidR="00894687" w:rsidRPr="0088450F">
        <w:t xml:space="preserve"> far</w:t>
      </w:r>
      <w:r w:rsidR="00894687">
        <w:t xml:space="preserve">mers and horticulturalists </w:t>
      </w:r>
      <w:r w:rsidR="00894687" w:rsidRPr="0088450F">
        <w:t xml:space="preserve">sold </w:t>
      </w:r>
      <w:r>
        <w:t xml:space="preserve">all or part of </w:t>
      </w:r>
      <w:r w:rsidR="00894687">
        <w:t xml:space="preserve">their water </w:t>
      </w:r>
      <w:r w:rsidR="00894687" w:rsidRPr="0088450F">
        <w:t xml:space="preserve">entitlements to the Commonwealth </w:t>
      </w:r>
      <w:r w:rsidR="00E95A00">
        <w:t xml:space="preserve">Government through the </w:t>
      </w:r>
      <w:r w:rsidR="00E95A00" w:rsidRPr="00F06B16">
        <w:t>Restoring the Balance in the Murray-Darling Basin Program</w:t>
      </w:r>
      <w:r w:rsidR="00E95A00">
        <w:t xml:space="preserve">, and </w:t>
      </w:r>
      <w:r w:rsidR="00894687">
        <w:t xml:space="preserve">this has </w:t>
      </w:r>
      <w:r w:rsidR="00894687" w:rsidRPr="0088450F">
        <w:t xml:space="preserve">increased their reliance on </w:t>
      </w:r>
      <w:r w:rsidR="00894687">
        <w:t xml:space="preserve">purchasing water from </w:t>
      </w:r>
      <w:r w:rsidR="00894687" w:rsidRPr="0088450F">
        <w:t xml:space="preserve">allocation </w:t>
      </w:r>
      <w:r w:rsidR="00894687">
        <w:t>markets</w:t>
      </w:r>
      <w:r w:rsidR="00894687" w:rsidRPr="0088450F">
        <w:t xml:space="preserve"> each year.</w:t>
      </w:r>
      <w:r w:rsidR="00894687">
        <w:t xml:space="preserve"> </w:t>
      </w:r>
    </w:p>
    <w:p w:rsidR="0088450F" w:rsidRDefault="00EF57D6" w:rsidP="00803673">
      <w:pPr>
        <w:pStyle w:val="BoxBullet"/>
      </w:pPr>
      <w:proofErr w:type="gramStart"/>
      <w:r>
        <w:t>e</w:t>
      </w:r>
      <w:r w:rsidR="0088450F">
        <w:t>xternal</w:t>
      </w:r>
      <w:proofErr w:type="gramEnd"/>
      <w:r w:rsidR="0088450F">
        <w:t xml:space="preserve"> investors in </w:t>
      </w:r>
      <w:proofErr w:type="spellStart"/>
      <w:r w:rsidR="0088450F">
        <w:t>sMDB</w:t>
      </w:r>
      <w:proofErr w:type="spellEnd"/>
      <w:r w:rsidR="0088450F">
        <w:t xml:space="preserve"> water markets who own water entitlements but have no water requirements</w:t>
      </w:r>
      <w:r w:rsidR="00894687">
        <w:t xml:space="preserve"> for primary production</w:t>
      </w:r>
      <w:r w:rsidR="0088450F">
        <w:t xml:space="preserve"> </w:t>
      </w:r>
      <w:r w:rsidR="00894687">
        <w:t xml:space="preserve">– </w:t>
      </w:r>
      <w:r w:rsidR="0088450F">
        <w:t>they</w:t>
      </w:r>
      <w:r w:rsidR="00E95A00">
        <w:t xml:space="preserve"> generally</w:t>
      </w:r>
      <w:r w:rsidR="0088450F">
        <w:t xml:space="preserve"> sell 100 per cent of their allocation</w:t>
      </w:r>
      <w:r w:rsidR="00894687">
        <w:t>s to the market in a given year</w:t>
      </w:r>
      <w:r w:rsidR="0088450F">
        <w:t>.</w:t>
      </w:r>
    </w:p>
    <w:p w:rsidR="00473411" w:rsidRDefault="00473411" w:rsidP="00853EB3">
      <w:pPr>
        <w:pStyle w:val="BoxText"/>
      </w:pPr>
      <w:r>
        <w:t xml:space="preserve">While it can still be assumed that most water </w:t>
      </w:r>
      <w:r w:rsidR="002760F5">
        <w:t>allocated that is available for consumptive</w:t>
      </w:r>
      <w:r>
        <w:t xml:space="preserve"> use in the </w:t>
      </w:r>
      <w:proofErr w:type="spellStart"/>
      <w:r>
        <w:t>sMDB</w:t>
      </w:r>
      <w:proofErr w:type="spellEnd"/>
      <w:r>
        <w:t xml:space="preserve"> (</w:t>
      </w:r>
      <w:r w:rsidR="00894687">
        <w:t>excluding</w:t>
      </w:r>
      <w:r>
        <w:t xml:space="preserve"> water for urban use) </w:t>
      </w:r>
      <w:r w:rsidR="0088450F">
        <w:t xml:space="preserve">is owned by </w:t>
      </w:r>
      <w:r w:rsidR="0088450F" w:rsidRPr="0088450F">
        <w:t>irrigators</w:t>
      </w:r>
      <w:r w:rsidR="0088450F">
        <w:t xml:space="preserve"> that use the majority of that water for their own production in most years, </w:t>
      </w:r>
      <w:r w:rsidR="009B2B4B">
        <w:t xml:space="preserve">recently </w:t>
      </w:r>
      <w:r w:rsidR="0088450F">
        <w:t>the</w:t>
      </w:r>
      <w:r w:rsidR="00467F98">
        <w:t xml:space="preserve">re </w:t>
      </w:r>
      <w:r w:rsidR="009B2B4B">
        <w:t>have been</w:t>
      </w:r>
      <w:r w:rsidR="00467F98">
        <w:t xml:space="preserve"> a number of external investors enter</w:t>
      </w:r>
      <w:r w:rsidR="009B2B4B">
        <w:t>ing the market to secure</w:t>
      </w:r>
      <w:r w:rsidR="00467F98">
        <w:t xml:space="preserve"> portfolios</w:t>
      </w:r>
      <w:r w:rsidR="00894687">
        <w:t xml:space="preserve"> of water entitlements</w:t>
      </w:r>
      <w:r w:rsidR="00467F98">
        <w:t xml:space="preserve">. </w:t>
      </w:r>
      <w:r w:rsidR="004D40B1">
        <w:t>Depending on their business structure, most of t</w:t>
      </w:r>
      <w:r w:rsidR="00467F98">
        <w:t>he</w:t>
      </w:r>
      <w:r w:rsidR="00EF57D6">
        <w:t>se</w:t>
      </w:r>
      <w:r w:rsidR="00467F98">
        <w:t xml:space="preserve"> investors </w:t>
      </w:r>
      <w:r w:rsidR="004D40B1">
        <w:t>do not</w:t>
      </w:r>
      <w:r w:rsidR="00467F98">
        <w:t xml:space="preserve"> use any of this water for</w:t>
      </w:r>
      <w:r w:rsidR="00894687">
        <w:t xml:space="preserve"> primary</w:t>
      </w:r>
      <w:r w:rsidR="00467F98">
        <w:t xml:space="preserve"> production themselves</w:t>
      </w:r>
      <w:r w:rsidR="004D40B1">
        <w:t>. Instead they</w:t>
      </w:r>
      <w:r w:rsidR="00EF57D6">
        <w:t xml:space="preserve"> generally</w:t>
      </w:r>
      <w:r w:rsidR="00467F98">
        <w:t xml:space="preserve"> place </w:t>
      </w:r>
      <w:r w:rsidR="009B2B4B">
        <w:t>all</w:t>
      </w:r>
      <w:r w:rsidR="00467F98">
        <w:t xml:space="preserve"> water</w:t>
      </w:r>
      <w:r w:rsidR="009B2B4B">
        <w:t xml:space="preserve"> </w:t>
      </w:r>
      <w:r w:rsidR="00E95A00">
        <w:t>allocated</w:t>
      </w:r>
      <w:r w:rsidR="009B2B4B">
        <w:t xml:space="preserve"> to these entitlements</w:t>
      </w:r>
      <w:r w:rsidR="00467F98">
        <w:t xml:space="preserve"> onto the water allocation market</w:t>
      </w:r>
      <w:r w:rsidR="00E95A00">
        <w:t xml:space="preserve"> for sale</w:t>
      </w:r>
      <w:r w:rsidR="00467F98" w:rsidRPr="00467F98">
        <w:t>.</w:t>
      </w:r>
      <w:r w:rsidR="004D40B1">
        <w:t xml:space="preserve"> The prices they obtain for their allocations reflect the underlying supply and demand conditions. </w:t>
      </w:r>
    </w:p>
    <w:p w:rsidR="00221637" w:rsidRDefault="00221637" w:rsidP="00221637">
      <w:pPr>
        <w:pStyle w:val="Heading3"/>
      </w:pPr>
      <w:r>
        <w:t>Flexibility of within-season water demand</w:t>
      </w:r>
    </w:p>
    <w:p w:rsidR="00221637" w:rsidRDefault="00221637" w:rsidP="00221637">
      <w:r>
        <w:t>There are three primary</w:t>
      </w:r>
      <w:r w:rsidR="002864D0">
        <w:t xml:space="preserve"> </w:t>
      </w:r>
      <w:r>
        <w:t xml:space="preserve">sources of </w:t>
      </w:r>
      <w:r w:rsidR="003716E7">
        <w:t xml:space="preserve">irrigated </w:t>
      </w:r>
      <w:r w:rsidR="00853EB3">
        <w:t xml:space="preserve">agriculture </w:t>
      </w:r>
      <w:r>
        <w:t>demand</w:t>
      </w:r>
      <w:r w:rsidR="002864D0">
        <w:t xml:space="preserve"> for</w:t>
      </w:r>
      <w:r>
        <w:t xml:space="preserve"> </w:t>
      </w:r>
      <w:r w:rsidR="002864D0">
        <w:t xml:space="preserve">water </w:t>
      </w:r>
      <w:r w:rsidR="003716E7">
        <w:t xml:space="preserve">allocations </w:t>
      </w:r>
      <w:r>
        <w:t xml:space="preserve">in the </w:t>
      </w:r>
      <w:proofErr w:type="spellStart"/>
      <w:r>
        <w:t>sMDB</w:t>
      </w:r>
      <w:proofErr w:type="spellEnd"/>
      <w:r>
        <w:t>:</w:t>
      </w:r>
    </w:p>
    <w:p w:rsidR="00221637" w:rsidRDefault="00221637" w:rsidP="00221637">
      <w:pPr>
        <w:pStyle w:val="Bullet"/>
      </w:pPr>
      <w:r>
        <w:t>permanent planting</w:t>
      </w:r>
      <w:r w:rsidR="002864D0">
        <w:t>s</w:t>
      </w:r>
      <w:r>
        <w:t xml:space="preserve"> and horticulture – </w:t>
      </w:r>
      <w:r w:rsidR="002864D0">
        <w:t xml:space="preserve">which have </w:t>
      </w:r>
      <w:r>
        <w:t>fixed water requirements</w:t>
      </w:r>
    </w:p>
    <w:p w:rsidR="00221637" w:rsidRDefault="00221637" w:rsidP="00221637">
      <w:pPr>
        <w:pStyle w:val="Bullet"/>
      </w:pPr>
      <w:r>
        <w:t xml:space="preserve">dairy – </w:t>
      </w:r>
      <w:r w:rsidR="002864D0">
        <w:t xml:space="preserve">which has </w:t>
      </w:r>
      <w:r>
        <w:t>semi-interruptible water requirements</w:t>
      </w:r>
    </w:p>
    <w:p w:rsidR="00221637" w:rsidRDefault="00221637" w:rsidP="00221637">
      <w:pPr>
        <w:pStyle w:val="Bullet"/>
      </w:pPr>
      <w:proofErr w:type="gramStart"/>
      <w:r>
        <w:t>cotton</w:t>
      </w:r>
      <w:proofErr w:type="gramEnd"/>
      <w:r>
        <w:t>, rice and mixed cropping –</w:t>
      </w:r>
      <w:r w:rsidR="002864D0" w:rsidRPr="002864D0">
        <w:t xml:space="preserve"> </w:t>
      </w:r>
      <w:r w:rsidR="002864D0">
        <w:t>which have</w:t>
      </w:r>
      <w:r>
        <w:t xml:space="preserve"> </w:t>
      </w:r>
      <w:r w:rsidRPr="009738AA">
        <w:t xml:space="preserve">interruptible </w:t>
      </w:r>
      <w:r>
        <w:t>water requirements.</w:t>
      </w:r>
    </w:p>
    <w:p w:rsidR="00894687" w:rsidRDefault="00894687" w:rsidP="00221637">
      <w:r>
        <w:t xml:space="preserve">As noted previously, the </w:t>
      </w:r>
      <w:r w:rsidR="00A254BD">
        <w:t xml:space="preserve">existence of </w:t>
      </w:r>
      <w:r>
        <w:t>differing water requirements based on water availability of these types of production are important in</w:t>
      </w:r>
      <w:r w:rsidRPr="00894687">
        <w:t xml:space="preserve"> underpinning the efficient functioning of water allocation markets</w:t>
      </w:r>
      <w:r>
        <w:t xml:space="preserve"> in the </w:t>
      </w:r>
      <w:proofErr w:type="spellStart"/>
      <w:r>
        <w:t>sMDB</w:t>
      </w:r>
      <w:proofErr w:type="spellEnd"/>
      <w:r w:rsidRPr="00894687">
        <w:t>.</w:t>
      </w:r>
      <w:r w:rsidR="00A254BD">
        <w:t xml:space="preserve"> The relative flexibility of </w:t>
      </w:r>
      <w:r w:rsidR="00A254BD" w:rsidRPr="00A254BD">
        <w:t>water requirements</w:t>
      </w:r>
      <w:r w:rsidR="00A254BD">
        <w:t xml:space="preserve"> for production determines </w:t>
      </w:r>
      <w:r w:rsidR="00853EB3">
        <w:t>the volumes of water allocation bought or sold at any point in time.</w:t>
      </w:r>
    </w:p>
    <w:p w:rsidR="00A254BD" w:rsidRDefault="00221637" w:rsidP="00221637">
      <w:r>
        <w:t xml:space="preserve">Horticulturalists (including the large wine grape and almond industries in the </w:t>
      </w:r>
      <w:proofErr w:type="spellStart"/>
      <w:r>
        <w:t>Sunraysia</w:t>
      </w:r>
      <w:proofErr w:type="spellEnd"/>
      <w:r>
        <w:t xml:space="preserve"> region) have relatively fixed water demands that must be met each year to ensure production </w:t>
      </w:r>
      <w:r w:rsidR="002864D0">
        <w:t>level</w:t>
      </w:r>
      <w:r w:rsidR="00A254BD">
        <w:t>s</w:t>
      </w:r>
      <w:r w:rsidR="002864D0">
        <w:t xml:space="preserve"> </w:t>
      </w:r>
      <w:r>
        <w:t xml:space="preserve">and to keep long lived perennial plantings alive. </w:t>
      </w:r>
      <w:r w:rsidR="002864D0">
        <w:t>For this reason m</w:t>
      </w:r>
      <w:r>
        <w:t xml:space="preserve">ost horticulturalists prefer to hold high reliability </w:t>
      </w:r>
      <w:r w:rsidR="002864D0">
        <w:t xml:space="preserve">water </w:t>
      </w:r>
      <w:r>
        <w:t xml:space="preserve">entitlements to meet </w:t>
      </w:r>
      <w:r w:rsidR="003716E7">
        <w:t>a large proportion of their</w:t>
      </w:r>
      <w:r>
        <w:t xml:space="preserve"> </w:t>
      </w:r>
      <w:r w:rsidR="00E95A00">
        <w:t xml:space="preserve">annual </w:t>
      </w:r>
      <w:r>
        <w:t xml:space="preserve">water </w:t>
      </w:r>
      <w:r w:rsidR="00A254BD">
        <w:t>demand</w:t>
      </w:r>
      <w:r>
        <w:t xml:space="preserve">. </w:t>
      </w:r>
      <w:r w:rsidR="00A254BD">
        <w:t xml:space="preserve">When high reliability entitlements receive less than 100 per cent allocation, horticulturalists </w:t>
      </w:r>
      <w:r w:rsidR="00E95A00">
        <w:t xml:space="preserve">have </w:t>
      </w:r>
      <w:r w:rsidR="003716E7">
        <w:t xml:space="preserve">historically </w:t>
      </w:r>
      <w:r w:rsidR="00A254BD">
        <w:t xml:space="preserve">needed to enter the allocation market to buy additional water to sustain their plantings – which is what happened during the Millennium Drought. </w:t>
      </w:r>
    </w:p>
    <w:p w:rsidR="00221637" w:rsidRDefault="00221637" w:rsidP="00221637">
      <w:r>
        <w:lastRenderedPageBreak/>
        <w:t xml:space="preserve">Dairy farmers (and irrigators supplying fodder) are large users of irrigation water in the </w:t>
      </w:r>
      <w:proofErr w:type="spellStart"/>
      <w:r>
        <w:t>sMDB</w:t>
      </w:r>
      <w:proofErr w:type="spellEnd"/>
      <w:r w:rsidR="002864D0">
        <w:t>,</w:t>
      </w:r>
      <w:r>
        <w:t xml:space="preserve"> and </w:t>
      </w:r>
      <w:r w:rsidR="003716E7">
        <w:t>demand</w:t>
      </w:r>
      <w:r w:rsidR="002864D0">
        <w:t xml:space="preserve"> in the</w:t>
      </w:r>
      <w:r>
        <w:t xml:space="preserve"> dairy sector play</w:t>
      </w:r>
      <w:r w:rsidR="00E0091C">
        <w:t>s</w:t>
      </w:r>
      <w:r>
        <w:t xml:space="preserve"> an important role in influencing the price in the water allocation market. Unlike horticulture</w:t>
      </w:r>
      <w:r w:rsidR="002760F5">
        <w:t>,</w:t>
      </w:r>
      <w:r>
        <w:t xml:space="preserve"> which has inflexible water demands, dairy has semi-interruptible water </w:t>
      </w:r>
      <w:r w:rsidR="003F6E05">
        <w:t>requirements</w:t>
      </w:r>
      <w:r>
        <w:t xml:space="preserve">. Dairy farmers </w:t>
      </w:r>
      <w:r w:rsidR="002760F5">
        <w:t>can</w:t>
      </w:r>
      <w:r>
        <w:t xml:space="preserve"> adjust herd size, mix annual and perennial pastures and mix feed that is grown or purchased</w:t>
      </w:r>
      <w:r w:rsidR="003F6E05">
        <w:t xml:space="preserve"> to reduce </w:t>
      </w:r>
      <w:r w:rsidR="002760F5">
        <w:t>annual water requirements</w:t>
      </w:r>
      <w:r>
        <w:t>.</w:t>
      </w:r>
      <w:r w:rsidR="003F6E05">
        <w:rPr>
          <w:rStyle w:val="FootnoteReference"/>
        </w:rPr>
        <w:footnoteReference w:id="12"/>
      </w:r>
      <w:r>
        <w:t xml:space="preserve"> </w:t>
      </w:r>
      <w:r w:rsidR="002760F5">
        <w:t>D</w:t>
      </w:r>
      <w:r w:rsidRPr="006D6970">
        <w:t xml:space="preserve">airy farmers weigh up the costs of purchasing </w:t>
      </w:r>
      <w:r w:rsidR="002760F5">
        <w:t xml:space="preserve">allocation </w:t>
      </w:r>
      <w:r w:rsidRPr="006D6970">
        <w:t>water</w:t>
      </w:r>
      <w:r w:rsidR="00A254BD">
        <w:t xml:space="preserve"> </w:t>
      </w:r>
      <w:r w:rsidR="003F6E05">
        <w:t xml:space="preserve">to sustain production </w:t>
      </w:r>
      <w:r w:rsidRPr="006D6970">
        <w:t>versus the cost of purchasing additional fodder.</w:t>
      </w:r>
    </w:p>
    <w:p w:rsidR="00221637" w:rsidRDefault="00221637" w:rsidP="00221637">
      <w:r w:rsidRPr="00592F62">
        <w:t xml:space="preserve">Cotton production is emerging as an alternative to rice and other annual crops in the Murrumbidgee system </w:t>
      </w:r>
      <w:r w:rsidR="003F6E05">
        <w:t xml:space="preserve">in the </w:t>
      </w:r>
      <w:proofErr w:type="spellStart"/>
      <w:r w:rsidR="003F6E05">
        <w:t>sMDB</w:t>
      </w:r>
      <w:proofErr w:type="spellEnd"/>
      <w:r w:rsidR="003F6E05">
        <w:t xml:space="preserve"> </w:t>
      </w:r>
      <w:r w:rsidRPr="00592F62">
        <w:t>– cotton planting has moved further south due to market opportunities</w:t>
      </w:r>
      <w:r w:rsidR="00E95A00">
        <w:t>, and new cotton varieties that are cold resistant and are able to yield in a shorter growing season</w:t>
      </w:r>
      <w:r w:rsidRPr="00592F62">
        <w:t>. Cotton only uses about 75 per cent of the water required by rice</w:t>
      </w:r>
      <w:r w:rsidR="00801CB5">
        <w:t xml:space="preserve"> on a per hectare basis</w:t>
      </w:r>
      <w:r w:rsidRPr="00592F62">
        <w:t>. Because cotton i</w:t>
      </w:r>
      <w:r>
        <w:t>s</w:t>
      </w:r>
      <w:r w:rsidRPr="00592F62">
        <w:t xml:space="preserve"> </w:t>
      </w:r>
      <w:r>
        <w:t xml:space="preserve">grown as </w:t>
      </w:r>
      <w:r w:rsidRPr="00592F62">
        <w:t xml:space="preserve">an annual crop, producers can choose on a year to year basis not to plant </w:t>
      </w:r>
      <w:r>
        <w:t xml:space="preserve">or </w:t>
      </w:r>
      <w:r w:rsidRPr="00592F62">
        <w:t xml:space="preserve">reduce planting area </w:t>
      </w:r>
      <w:r w:rsidRPr="006D6970">
        <w:t xml:space="preserve">which can help to manage seasonal water requirements. </w:t>
      </w:r>
      <w:r w:rsidR="00372B22">
        <w:t>Cotton producers benefit from active commodity market</w:t>
      </w:r>
      <w:r w:rsidR="00A210E8">
        <w:t>s</w:t>
      </w:r>
      <w:r w:rsidR="00372B22">
        <w:t xml:space="preserve"> for outputs in future seasons</w:t>
      </w:r>
      <w:r w:rsidR="00A210E8">
        <w:t>,</w:t>
      </w:r>
      <w:r w:rsidR="00372B22">
        <w:t xml:space="preserve"> h</w:t>
      </w:r>
      <w:r w:rsidRPr="006D6970">
        <w:t xml:space="preserve">owever, </w:t>
      </w:r>
      <w:r w:rsidR="00372B22">
        <w:t xml:space="preserve">as </w:t>
      </w:r>
      <w:r w:rsidRPr="006D6970">
        <w:t>cotton producers regularly sell</w:t>
      </w:r>
      <w:r>
        <w:t xml:space="preserve"> future</w:t>
      </w:r>
      <w:r w:rsidRPr="006D6970">
        <w:t xml:space="preserve"> </w:t>
      </w:r>
      <w:r>
        <w:t>production in advance</w:t>
      </w:r>
      <w:r w:rsidR="00372B22">
        <w:t>,</w:t>
      </w:r>
      <w:r>
        <w:t xml:space="preserve"> the penalties associated with not meeting these levels of production can influence decisions to plant </w:t>
      </w:r>
      <w:r w:rsidR="003F6E05">
        <w:t>and purchase water allocations</w:t>
      </w:r>
      <w:r w:rsidR="00A254BD">
        <w:t xml:space="preserve"> </w:t>
      </w:r>
      <w:r>
        <w:t>despite low water availability and high water allocation prices</w:t>
      </w:r>
      <w:r w:rsidRPr="006D6970">
        <w:t>.</w:t>
      </w:r>
    </w:p>
    <w:p w:rsidR="00221637" w:rsidRDefault="00221637" w:rsidP="00221637">
      <w:r>
        <w:t xml:space="preserve">Rice and other interruptible crops have completely flexible water requirements on an annual basis. </w:t>
      </w:r>
      <w:r w:rsidR="003F6E05">
        <w:t>Rice g</w:t>
      </w:r>
      <w:r>
        <w:t xml:space="preserve">rowers decide each year in October and November how much rice they are going to plant. This largely determines water requirements for the remainder of the irrigation season. Given the relatively low gross margin per ML of water used, rice growers are averse to planting more rice than what can be watered from early season allocations to their entitlements, which are typically NSW General Security in the Murray and Murrumbidgee. </w:t>
      </w:r>
      <w:r w:rsidR="00A254BD">
        <w:t>When water availability i</w:t>
      </w:r>
      <w:r w:rsidR="003716E7">
        <w:t>s</w:t>
      </w:r>
      <w:r w:rsidR="00A254BD">
        <w:t xml:space="preserve"> low across the </w:t>
      </w:r>
      <w:proofErr w:type="spellStart"/>
      <w:r w:rsidR="00A254BD">
        <w:t>sMDB</w:t>
      </w:r>
      <w:proofErr w:type="spellEnd"/>
      <w:r w:rsidR="00A254BD">
        <w:t xml:space="preserve">, rice growers </w:t>
      </w:r>
      <w:r w:rsidR="003716E7">
        <w:t xml:space="preserve">will not </w:t>
      </w:r>
      <w:r w:rsidR="00A254BD">
        <w:t>generally enter the allocation market to purchase water to sustain production</w:t>
      </w:r>
      <w:r w:rsidR="00AA6707">
        <w:t xml:space="preserve"> (they are essentially out-bid by other</w:t>
      </w:r>
      <w:r w:rsidR="00DE1319">
        <w:t xml:space="preserve"> participants</w:t>
      </w:r>
      <w:r w:rsidR="00AA6707">
        <w:t>)</w:t>
      </w:r>
      <w:r w:rsidR="00A254BD">
        <w:t xml:space="preserve">. </w:t>
      </w:r>
    </w:p>
    <w:p w:rsidR="00221637" w:rsidRDefault="00221637" w:rsidP="00221637">
      <w:r>
        <w:t xml:space="preserve">All irrigators make a number of within-season decisions about the level of production that they wish to meet – and thus </w:t>
      </w:r>
      <w:r w:rsidR="00A254BD">
        <w:t xml:space="preserve">total </w:t>
      </w:r>
      <w:r>
        <w:t>water requirements for a season. These decisions are based on a number of factors (some external to water markets), however, the aggregate level of production decided upon across all irrigated sectors crucially impacts the</w:t>
      </w:r>
      <w:r w:rsidR="00A254BD">
        <w:t xml:space="preserve"> total</w:t>
      </w:r>
      <w:r>
        <w:t xml:space="preserve"> level of water demand in </w:t>
      </w:r>
      <w:r w:rsidR="00A254BD">
        <w:t xml:space="preserve">the </w:t>
      </w:r>
      <w:proofErr w:type="spellStart"/>
      <w:r w:rsidR="00A254BD">
        <w:t>sMDB</w:t>
      </w:r>
      <w:proofErr w:type="spellEnd"/>
      <w:r w:rsidR="00A254BD">
        <w:t xml:space="preserve"> in </w:t>
      </w:r>
      <w:r>
        <w:t xml:space="preserve">a given water year. If </w:t>
      </w:r>
      <w:r w:rsidR="003716E7">
        <w:t xml:space="preserve">an individual’s </w:t>
      </w:r>
      <w:r>
        <w:t xml:space="preserve">water requirements for production exceed </w:t>
      </w:r>
      <w:r w:rsidR="003716E7">
        <w:t xml:space="preserve">their own </w:t>
      </w:r>
      <w:r>
        <w:t xml:space="preserve">water availability then it is likely that </w:t>
      </w:r>
      <w:r w:rsidR="003716E7">
        <w:t>they</w:t>
      </w:r>
      <w:r>
        <w:t xml:space="preserve"> will need to enter the market to buy water allocations, which could increase the price of allocation water. The opposite is the case when </w:t>
      </w:r>
      <w:r w:rsidRPr="00DF3777">
        <w:t>water availability</w:t>
      </w:r>
      <w:r>
        <w:t xml:space="preserve"> exceeds </w:t>
      </w:r>
      <w:r w:rsidRPr="00DF3777">
        <w:t>water requirements for production</w:t>
      </w:r>
      <w:r>
        <w:t xml:space="preserve"> in a given year.</w:t>
      </w:r>
      <w:r w:rsidRPr="00DF3777">
        <w:t xml:space="preserve"> </w:t>
      </w:r>
    </w:p>
    <w:p w:rsidR="00221637" w:rsidRDefault="003716E7" w:rsidP="00803673">
      <w:r>
        <w:t>G</w:t>
      </w:r>
      <w:r w:rsidR="00221637">
        <w:t>iven that water trading decisions are being made at the margin (see Section</w:t>
      </w:r>
      <w:r w:rsidR="00AF3557">
        <w:t xml:space="preserve"> </w:t>
      </w:r>
      <w:r w:rsidR="00306798">
        <w:fldChar w:fldCharType="begin"/>
      </w:r>
      <w:r w:rsidR="00AF3557">
        <w:instrText xml:space="preserve"> REF _Ref431482610 \r \h </w:instrText>
      </w:r>
      <w:r w:rsidR="00306798">
        <w:fldChar w:fldCharType="separate"/>
      </w:r>
      <w:r w:rsidR="00EB2418">
        <w:t>2.2.1</w:t>
      </w:r>
      <w:r w:rsidR="00306798">
        <w:fldChar w:fldCharType="end"/>
      </w:r>
      <w:r w:rsidR="00221637">
        <w:t>), it is not surprising that trading decisions are made progressively through</w:t>
      </w:r>
      <w:r w:rsidR="00A254BD">
        <w:t>out</w:t>
      </w:r>
      <w:r w:rsidR="00221637">
        <w:t xml:space="preserve"> the irrigation season as irrigators adjust their water use and production decisions in response to prevailing conditions. </w:t>
      </w:r>
      <w:r>
        <w:t xml:space="preserve">For example, an </w:t>
      </w:r>
      <w:r w:rsidR="003F6E05" w:rsidRPr="003F6E05">
        <w:t xml:space="preserve">absence of </w:t>
      </w:r>
      <w:r>
        <w:t xml:space="preserve">expected </w:t>
      </w:r>
      <w:r w:rsidR="003F6E05" w:rsidRPr="003F6E05">
        <w:t>in-</w:t>
      </w:r>
      <w:r w:rsidR="00E95A00">
        <w:t>crop</w:t>
      </w:r>
      <w:r w:rsidR="00E95A00" w:rsidRPr="003F6E05">
        <w:t xml:space="preserve"> </w:t>
      </w:r>
      <w:r w:rsidR="003F6E05" w:rsidRPr="003F6E05">
        <w:t xml:space="preserve">rainfall can </w:t>
      </w:r>
      <w:r w:rsidR="003F6E05">
        <w:t xml:space="preserve">force irrigators to enter the water allocation market </w:t>
      </w:r>
      <w:r w:rsidR="003F6E05" w:rsidRPr="003F6E05">
        <w:t xml:space="preserve">late in the irrigation season </w:t>
      </w:r>
      <w:r w:rsidR="003F6E05">
        <w:t xml:space="preserve">and this can drive </w:t>
      </w:r>
      <w:r w:rsidR="003F6E05" w:rsidRPr="003F6E05">
        <w:t>allocation prices</w:t>
      </w:r>
      <w:r w:rsidR="003F6E05">
        <w:t xml:space="preserve"> higher</w:t>
      </w:r>
      <w:r w:rsidR="003F6E05" w:rsidRPr="003F6E05">
        <w:t>. Many irrigators plan for a proportion of their irrigation requirements to be met from in-</w:t>
      </w:r>
      <w:r w:rsidR="00E95A00">
        <w:t>crop</w:t>
      </w:r>
      <w:r w:rsidR="00E95A00" w:rsidRPr="003F6E05">
        <w:t xml:space="preserve"> </w:t>
      </w:r>
      <w:r w:rsidR="003F6E05" w:rsidRPr="003F6E05">
        <w:t>rainfall, and if this does not eventuate, some of these irrigators need to access water allocation markets to secure additional water to finish off their crops – effectively increasing demand for water.</w:t>
      </w:r>
      <w:r w:rsidR="003F6E05">
        <w:t xml:space="preserve"> </w:t>
      </w:r>
      <w:r w:rsidR="00221637">
        <w:t xml:space="preserve">In such instances, the willingness to pay for water allocations in the market may be much higher than the average gross margin per unit of water. Alternatively, if it rains towards the end of the season, </w:t>
      </w:r>
      <w:r w:rsidR="00AA6707">
        <w:t>irrigators</w:t>
      </w:r>
      <w:r w:rsidR="00221637">
        <w:t xml:space="preserve"> may have excess water requirements that they can sell on the </w:t>
      </w:r>
      <w:proofErr w:type="gramStart"/>
      <w:r w:rsidR="00221637">
        <w:t>market</w:t>
      </w:r>
      <w:r>
        <w:t>,</w:t>
      </w:r>
      <w:proofErr w:type="gramEnd"/>
      <w:r>
        <w:t xml:space="preserve"> or carryover to next year</w:t>
      </w:r>
      <w:r w:rsidR="00221637">
        <w:t xml:space="preserve">. </w:t>
      </w:r>
    </w:p>
    <w:p w:rsidR="00A07030" w:rsidRDefault="0051779A" w:rsidP="00551209">
      <w:pPr>
        <w:pStyle w:val="Heading2"/>
      </w:pPr>
      <w:bookmarkStart w:id="22" w:name="_Toc440006847"/>
      <w:r>
        <w:lastRenderedPageBreak/>
        <w:t>Climatic and supply-</w:t>
      </w:r>
      <w:r w:rsidR="00896D0A">
        <w:t>side</w:t>
      </w:r>
      <w:r w:rsidR="00210A43">
        <w:t>-</w:t>
      </w:r>
      <w:r w:rsidR="00896D0A">
        <w:t>driver</w:t>
      </w:r>
      <w:r w:rsidR="00E95A00">
        <w:t>s</w:t>
      </w:r>
      <w:r w:rsidR="00896D0A">
        <w:t xml:space="preserve"> of a</w:t>
      </w:r>
      <w:r w:rsidR="00366641">
        <w:t>llocation price</w:t>
      </w:r>
      <w:bookmarkEnd w:id="22"/>
      <w:r w:rsidR="00366641">
        <w:t xml:space="preserve"> </w:t>
      </w:r>
      <w:bookmarkEnd w:id="20"/>
    </w:p>
    <w:p w:rsidR="00BC76A7" w:rsidRDefault="003716E7" w:rsidP="00210A43">
      <w:r>
        <w:t>As discussed above</w:t>
      </w:r>
      <w:r w:rsidR="00151AAB">
        <w:t>, the price of allocations at any point in time is</w:t>
      </w:r>
      <w:r w:rsidR="008768FB">
        <w:t xml:space="preserve"> determined by </w:t>
      </w:r>
      <w:r w:rsidR="00151AAB">
        <w:t>complex</w:t>
      </w:r>
      <w:r w:rsidR="008768FB">
        <w:t xml:space="preserve"> interactions between </w:t>
      </w:r>
      <w:r>
        <w:t>a large number of market participants with their own unique circumstances and objectives</w:t>
      </w:r>
      <w:r w:rsidR="00151AAB">
        <w:t>.</w:t>
      </w:r>
      <w:r w:rsidR="00C73431">
        <w:t xml:space="preserve"> </w:t>
      </w:r>
      <w:r>
        <w:t xml:space="preserve">However, in aggregate, </w:t>
      </w:r>
      <w:r w:rsidR="00B64A41">
        <w:t>p</w:t>
      </w:r>
      <w:r w:rsidR="00BC76A7">
        <w:t xml:space="preserve">revailing </w:t>
      </w:r>
      <w:r w:rsidR="00E95A00">
        <w:t>water availability</w:t>
      </w:r>
      <w:r w:rsidR="00D615DE">
        <w:t xml:space="preserve"> conditions</w:t>
      </w:r>
      <w:r>
        <w:t xml:space="preserve"> </w:t>
      </w:r>
      <w:r w:rsidR="00BC76A7">
        <w:t xml:space="preserve">have </w:t>
      </w:r>
      <w:r w:rsidR="00F23D57">
        <w:t xml:space="preserve">historically </w:t>
      </w:r>
      <w:r w:rsidR="006D610D">
        <w:t xml:space="preserve">been </w:t>
      </w:r>
      <w:r w:rsidR="00B755C0">
        <w:t xml:space="preserve">the </w:t>
      </w:r>
      <w:r w:rsidR="00D615DE">
        <w:t>primary driver</w:t>
      </w:r>
      <w:r w:rsidR="00B64A41">
        <w:t xml:space="preserve">s </w:t>
      </w:r>
      <w:r w:rsidR="00BC76A7">
        <w:t xml:space="preserve">of </w:t>
      </w:r>
      <w:r>
        <w:t xml:space="preserve">annual </w:t>
      </w:r>
      <w:r w:rsidR="00E95A00">
        <w:t xml:space="preserve">median </w:t>
      </w:r>
      <w:r w:rsidR="00BC76A7">
        <w:t xml:space="preserve">water </w:t>
      </w:r>
      <w:r w:rsidR="00151AAB">
        <w:t xml:space="preserve">allocation </w:t>
      </w:r>
      <w:r w:rsidR="00BC76A7">
        <w:t xml:space="preserve">market prices. </w:t>
      </w:r>
      <w:r>
        <w:t xml:space="preserve">This section analyses this overall relationship, and then </w:t>
      </w:r>
      <w:r w:rsidR="00AA6707">
        <w:t>considers</w:t>
      </w:r>
      <w:r w:rsidR="00DE1319">
        <w:t xml:space="preserve"> </w:t>
      </w:r>
      <w:r w:rsidR="00D615DE">
        <w:t xml:space="preserve">the </w:t>
      </w:r>
      <w:r>
        <w:t xml:space="preserve">implications of the </w:t>
      </w:r>
      <w:r w:rsidR="00D615DE">
        <w:t>Commonwealth</w:t>
      </w:r>
      <w:r w:rsidR="00EF57D6">
        <w:t xml:space="preserve"> Government</w:t>
      </w:r>
      <w:r w:rsidR="00D615DE">
        <w:t>’s purchase of water en</w:t>
      </w:r>
      <w:r w:rsidR="00BC76A7">
        <w:t>titlements for the environment</w:t>
      </w:r>
      <w:r>
        <w:t>.</w:t>
      </w:r>
      <w:r w:rsidR="00B64A41">
        <w:t xml:space="preserve"> </w:t>
      </w:r>
    </w:p>
    <w:p w:rsidR="00D615DE" w:rsidRDefault="00B1230D" w:rsidP="00D615DE">
      <w:pPr>
        <w:pStyle w:val="Heading3"/>
      </w:pPr>
      <w:r>
        <w:t>Total w</w:t>
      </w:r>
      <w:r w:rsidR="00D615DE">
        <w:t>ater availability</w:t>
      </w:r>
      <w:r w:rsidR="00B755C0">
        <w:t xml:space="preserve"> and rainfall</w:t>
      </w:r>
    </w:p>
    <w:p w:rsidR="00C73431" w:rsidRPr="00C73431" w:rsidRDefault="00C73431" w:rsidP="00803673">
      <w:pPr>
        <w:pStyle w:val="Heading4"/>
      </w:pPr>
      <w:r>
        <w:t xml:space="preserve">Water </w:t>
      </w:r>
      <w:r w:rsidR="00E95A00">
        <w:t>allocated</w:t>
      </w:r>
      <w:r>
        <w:t xml:space="preserve"> to entitlements</w:t>
      </w:r>
    </w:p>
    <w:p w:rsidR="00C73431" w:rsidRDefault="00205610" w:rsidP="00592F62">
      <w:r w:rsidRPr="00205610">
        <w:t xml:space="preserve">Water </w:t>
      </w:r>
      <w:r w:rsidR="00E95A00">
        <w:t>allocated to all entitlements</w:t>
      </w:r>
      <w:r w:rsidR="00C73431">
        <w:t xml:space="preserve"> </w:t>
      </w:r>
      <w:r w:rsidRPr="00205610">
        <w:t xml:space="preserve">is primarily driven by </w:t>
      </w:r>
      <w:r w:rsidR="003716E7">
        <w:t xml:space="preserve">catchment </w:t>
      </w:r>
      <w:r w:rsidRPr="00205610">
        <w:t xml:space="preserve">rainfall and inflows in relevant catchments, as well as volumes held in major storages. </w:t>
      </w:r>
      <w:r w:rsidR="000E0B0B">
        <w:t xml:space="preserve">Based on </w:t>
      </w:r>
      <w:r w:rsidR="000E0B0B" w:rsidRPr="00205610">
        <w:t>significant variability in rainfall and climatic conditions</w:t>
      </w:r>
      <w:r w:rsidR="000E0B0B" w:rsidRPr="000E0B0B">
        <w:t xml:space="preserve"> </w:t>
      </w:r>
      <w:r w:rsidR="000E0B0B" w:rsidRPr="00205610">
        <w:t>over the past decade</w:t>
      </w:r>
      <w:r w:rsidR="000E0B0B">
        <w:t>, inter-annual w</w:t>
      </w:r>
      <w:r w:rsidRPr="00205610">
        <w:t xml:space="preserve">ater </w:t>
      </w:r>
      <w:r w:rsidR="003716E7">
        <w:t xml:space="preserve">allocations have </w:t>
      </w:r>
      <w:r w:rsidR="000E0B0B">
        <w:t>fluctuated considerably</w:t>
      </w:r>
      <w:r w:rsidR="00C73431">
        <w:t xml:space="preserve"> (</w:t>
      </w:r>
      <w:r w:rsidR="00306798">
        <w:fldChar w:fldCharType="begin"/>
      </w:r>
      <w:r w:rsidR="00EF57D6">
        <w:instrText xml:space="preserve"> REF _Ref431544882 \h </w:instrText>
      </w:r>
      <w:r w:rsidR="00306798">
        <w:fldChar w:fldCharType="separate"/>
      </w:r>
      <w:r w:rsidR="00EB2418">
        <w:t xml:space="preserve">Figure </w:t>
      </w:r>
      <w:r w:rsidR="00EB2418">
        <w:rPr>
          <w:noProof/>
        </w:rPr>
        <w:t>1</w:t>
      </w:r>
      <w:r w:rsidR="00306798">
        <w:fldChar w:fldCharType="end"/>
      </w:r>
      <w:r w:rsidR="00C73431">
        <w:t>)</w:t>
      </w:r>
      <w:r w:rsidR="000E0B0B">
        <w:t xml:space="preserve">. </w:t>
      </w:r>
      <w:r w:rsidR="00BA7B25">
        <w:t>Over the period fr</w:t>
      </w:r>
      <w:r w:rsidR="00853EB3">
        <w:t>o</w:t>
      </w:r>
      <w:r w:rsidR="00BA7B25">
        <w:t xml:space="preserve">m 1998-99, water </w:t>
      </w:r>
      <w:r w:rsidR="002760F5">
        <w:t>allocated that is available for consumptive</w:t>
      </w:r>
      <w:r w:rsidR="00BA7B25">
        <w:t xml:space="preserve"> use in the </w:t>
      </w:r>
      <w:proofErr w:type="spellStart"/>
      <w:r w:rsidR="00BA7B25">
        <w:t>sMDB</w:t>
      </w:r>
      <w:proofErr w:type="spellEnd"/>
      <w:r w:rsidR="00E95A00">
        <w:t xml:space="preserve"> (which is a subset of w</w:t>
      </w:r>
      <w:r w:rsidR="00E95A00" w:rsidRPr="00E95A00">
        <w:t>ater allocated to all entitlements</w:t>
      </w:r>
      <w:r w:rsidR="00E95A00">
        <w:t>)</w:t>
      </w:r>
      <w:r w:rsidR="00E95A00" w:rsidRPr="00E95A00">
        <w:t xml:space="preserve"> </w:t>
      </w:r>
      <w:r w:rsidR="00BA7B25">
        <w:t xml:space="preserve">has fluctuated from a low of </w:t>
      </w:r>
      <w:r w:rsidR="00BA7B25" w:rsidRPr="00BA7B25">
        <w:t>1,8</w:t>
      </w:r>
      <w:r w:rsidR="00BA7B25">
        <w:t xml:space="preserve">60 </w:t>
      </w:r>
      <w:proofErr w:type="spellStart"/>
      <w:r w:rsidR="00D579D5">
        <w:t>Gigalitres</w:t>
      </w:r>
      <w:proofErr w:type="spellEnd"/>
      <w:r w:rsidR="00D579D5">
        <w:t xml:space="preserve"> (GL) </w:t>
      </w:r>
      <w:r w:rsidR="00BA7B25">
        <w:t xml:space="preserve">of water (2007-08) to a high of </w:t>
      </w:r>
      <w:r w:rsidR="00BA7B25" w:rsidRPr="00BA7B25">
        <w:t>6,914</w:t>
      </w:r>
      <w:r w:rsidR="00BA7B25">
        <w:t xml:space="preserve"> GL of water (2000-01) – a difference of over 5,000 GL of water</w:t>
      </w:r>
      <w:r w:rsidR="00801CB5">
        <w:t xml:space="preserve"> (based on end of season allocations to the main regulated surface water entitlements)</w:t>
      </w:r>
      <w:r w:rsidR="00BA7B25">
        <w:t xml:space="preserve">. </w:t>
      </w:r>
    </w:p>
    <w:p w:rsidR="004C5CCF" w:rsidRDefault="000E0B0B" w:rsidP="004F00D0">
      <w:r>
        <w:t>Th</w:t>
      </w:r>
      <w:r w:rsidR="00E95A00">
        <w:t>e</w:t>
      </w:r>
      <w:r>
        <w:t xml:space="preserve"> </w:t>
      </w:r>
      <w:r w:rsidR="00C73431">
        <w:t xml:space="preserve">volume of </w:t>
      </w:r>
      <w:r>
        <w:t xml:space="preserve">water </w:t>
      </w:r>
      <w:r w:rsidR="002760F5">
        <w:t>allocated that is available for consumptive</w:t>
      </w:r>
      <w:r w:rsidR="00E95A00">
        <w:t xml:space="preserve"> use</w:t>
      </w:r>
      <w:r>
        <w:t xml:space="preserve"> </w:t>
      </w:r>
      <w:r w:rsidR="00F22009">
        <w:t>is important because it</w:t>
      </w:r>
      <w:r>
        <w:t xml:space="preserve"> constrains the total supply of </w:t>
      </w:r>
      <w:r w:rsidR="003716E7">
        <w:t xml:space="preserve">irrigation </w:t>
      </w:r>
      <w:r>
        <w:t>water</w:t>
      </w:r>
      <w:r w:rsidR="007578F8">
        <w:t>, and</w:t>
      </w:r>
      <w:r w:rsidR="00C73431">
        <w:t xml:space="preserve"> when matched with demand for water,</w:t>
      </w:r>
      <w:r w:rsidR="007578F8">
        <w:t xml:space="preserve"> th</w:t>
      </w:r>
      <w:r w:rsidR="007578F8" w:rsidRPr="00D615DE">
        <w:t>is</w:t>
      </w:r>
      <w:r w:rsidR="007578F8">
        <w:t xml:space="preserve"> is</w:t>
      </w:r>
      <w:r w:rsidR="007578F8" w:rsidRPr="00D615DE">
        <w:t xml:space="preserve"> a key driver of </w:t>
      </w:r>
      <w:r w:rsidR="007578F8">
        <w:t xml:space="preserve">water </w:t>
      </w:r>
      <w:r w:rsidR="007578F8" w:rsidRPr="00D615DE">
        <w:t xml:space="preserve">allocation market </w:t>
      </w:r>
      <w:r w:rsidR="00C73431">
        <w:t>volumes traded</w:t>
      </w:r>
      <w:r w:rsidR="00C73431" w:rsidRPr="00D615DE" w:rsidDel="00C73431">
        <w:t xml:space="preserve"> </w:t>
      </w:r>
      <w:r w:rsidR="00C73431">
        <w:t>and prices</w:t>
      </w:r>
      <w:r w:rsidR="007578F8">
        <w:t>.</w:t>
      </w:r>
      <w:r w:rsidR="00F22009">
        <w:t xml:space="preserve"> As shown in</w:t>
      </w:r>
      <w:r w:rsidR="00EF57D6">
        <w:t xml:space="preserve"> </w:t>
      </w:r>
      <w:r w:rsidR="00306798">
        <w:fldChar w:fldCharType="begin"/>
      </w:r>
      <w:r w:rsidR="00EF57D6">
        <w:instrText xml:space="preserve"> REF _Ref431544882 \h </w:instrText>
      </w:r>
      <w:r w:rsidR="00306798">
        <w:fldChar w:fldCharType="separate"/>
      </w:r>
      <w:r w:rsidR="00EB2418">
        <w:t xml:space="preserve">Figure </w:t>
      </w:r>
      <w:r w:rsidR="00EB2418">
        <w:rPr>
          <w:noProof/>
        </w:rPr>
        <w:t>1</w:t>
      </w:r>
      <w:r w:rsidR="00306798">
        <w:fldChar w:fldCharType="end"/>
      </w:r>
      <w:r w:rsidR="00F22009">
        <w:t>, observed allocation prices have closely correlated with inter-annual shifts in w</w:t>
      </w:r>
      <w:r w:rsidR="00F22009" w:rsidRPr="00F22009">
        <w:t xml:space="preserve">ater </w:t>
      </w:r>
      <w:r w:rsidR="002760F5">
        <w:t>allocated that is available for consumptive</w:t>
      </w:r>
      <w:r w:rsidR="00F22009" w:rsidRPr="00F22009">
        <w:t xml:space="preserve"> use</w:t>
      </w:r>
      <w:r w:rsidR="00F22009">
        <w:t xml:space="preserve"> – in years of low water availability allocation prices are generally high and in year of high water availability allocation prices are generally low. </w:t>
      </w:r>
      <w:r w:rsidR="004F00D0">
        <w:t xml:space="preserve">Recent years have reinforced the strong correlation between water </w:t>
      </w:r>
      <w:r w:rsidR="002760F5">
        <w:t>allocated that is available for consumptive</w:t>
      </w:r>
      <w:r w:rsidR="004F00D0">
        <w:t xml:space="preserve"> use and allocation prices. Allocation prices have been gradually trending upwards since 2011-12, but that increase intensified in 2014-15 with a more marked reduction in water </w:t>
      </w:r>
      <w:r w:rsidR="002760F5">
        <w:t>allocated that is available for consumptive</w:t>
      </w:r>
      <w:r w:rsidR="00E95A00">
        <w:t xml:space="preserve"> use </w:t>
      </w:r>
      <w:r w:rsidR="004F00D0">
        <w:t>(</w:t>
      </w:r>
      <w:r w:rsidR="00306798">
        <w:fldChar w:fldCharType="begin"/>
      </w:r>
      <w:r w:rsidR="00EF57D6">
        <w:instrText xml:space="preserve"> REF _Ref431544882 \h </w:instrText>
      </w:r>
      <w:r w:rsidR="00306798">
        <w:fldChar w:fldCharType="separate"/>
      </w:r>
      <w:r w:rsidR="00EB2418">
        <w:t xml:space="preserve">Figure </w:t>
      </w:r>
      <w:r w:rsidR="00EB2418">
        <w:rPr>
          <w:noProof/>
        </w:rPr>
        <w:t>1</w:t>
      </w:r>
      <w:r w:rsidR="00306798">
        <w:fldChar w:fldCharType="end"/>
      </w:r>
      <w:r w:rsidR="004F00D0">
        <w:t xml:space="preserve">). </w:t>
      </w:r>
    </w:p>
    <w:p w:rsidR="00B044C1" w:rsidRDefault="00B044C1">
      <w:pPr>
        <w:spacing w:after="0" w:line="240" w:lineRule="auto"/>
      </w:pPr>
      <w:r>
        <w:br w:type="page"/>
      </w:r>
    </w:p>
    <w:p w:rsidR="00B044C1" w:rsidRDefault="00B044C1" w:rsidP="004F00D0"/>
    <w:p w:rsidR="007578F8" w:rsidRDefault="0026548D" w:rsidP="0026548D">
      <w:r>
        <w:rPr>
          <w:noProof/>
        </w:rPr>
        <w:drawing>
          <wp:inline distT="0" distB="0" distL="0" distR="0">
            <wp:extent cx="5721350" cy="22373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5049" cy="2238761"/>
                    </a:xfrm>
                    <a:prstGeom prst="rect">
                      <a:avLst/>
                    </a:prstGeom>
                    <a:noFill/>
                  </pic:spPr>
                </pic:pic>
              </a:graphicData>
            </a:graphic>
          </wp:inline>
        </w:drawing>
      </w:r>
    </w:p>
    <w:p w:rsidR="007578F8" w:rsidRDefault="007578F8" w:rsidP="007578F8">
      <w:pPr>
        <w:pStyle w:val="TFNoteSourceTab"/>
        <w:keepNext/>
        <w:ind w:left="619" w:hanging="619"/>
      </w:pPr>
      <w:r>
        <w:t>Note:</w:t>
      </w:r>
      <w:r>
        <w:tab/>
        <w:t>Prices reported are annual medians</w:t>
      </w:r>
      <w:r w:rsidR="00261F1A">
        <w:t xml:space="preserve"> and are nominal</w:t>
      </w:r>
      <w:r>
        <w:t xml:space="preserve"> ($ per ML).</w:t>
      </w:r>
      <w:r w:rsidR="00742C11">
        <w:t xml:space="preserve"> </w:t>
      </w:r>
      <w:r w:rsidR="0026548D" w:rsidRPr="0073036E">
        <w:t>The total volume of water allocated to Commonwealth water purchases is reported based on the year to year cumulative portfolio</w:t>
      </w:r>
      <w:r w:rsidR="0026548D">
        <w:t xml:space="preserve"> growth</w:t>
      </w:r>
      <w:r w:rsidR="0026548D" w:rsidRPr="0073036E">
        <w:t xml:space="preserve"> (i.e. it is not just purchases in that year).</w:t>
      </w:r>
    </w:p>
    <w:p w:rsidR="007578F8" w:rsidRDefault="007578F8" w:rsidP="007578F8">
      <w:pPr>
        <w:pStyle w:val="TFNoteSourceTab"/>
        <w:keepNext/>
        <w:ind w:left="619" w:hanging="619"/>
      </w:pPr>
      <w:r>
        <w:t>Source:</w:t>
      </w:r>
      <w:r>
        <w:tab/>
      </w:r>
      <w:r w:rsidRPr="00297083">
        <w:t>New South Wales Water Register 2015, South Australian Water Register 2015 and Victorian Water Register 2015.</w:t>
      </w:r>
      <w:r w:rsidR="00261F1A" w:rsidRPr="00261F1A">
        <w:t xml:space="preserve"> Based on Commonwealth water purchase data provided to </w:t>
      </w:r>
      <w:proofErr w:type="spellStart"/>
      <w:r w:rsidR="00261F1A" w:rsidRPr="00261F1A">
        <w:t>Aither</w:t>
      </w:r>
      <w:proofErr w:type="spellEnd"/>
      <w:r w:rsidR="00261F1A" w:rsidRPr="00261F1A">
        <w:t xml:space="preserve"> by the Department of the Environment.</w:t>
      </w:r>
    </w:p>
    <w:p w:rsidR="007578F8" w:rsidRDefault="007578F8" w:rsidP="007578F8">
      <w:pPr>
        <w:pStyle w:val="Caption"/>
      </w:pPr>
      <w:bookmarkStart w:id="23" w:name="_Ref431223995"/>
      <w:bookmarkStart w:id="24" w:name="_Ref431544882"/>
      <w:bookmarkStart w:id="25" w:name="_Toc440006871"/>
      <w:r>
        <w:t xml:space="preserve">Figure </w:t>
      </w:r>
      <w:bookmarkEnd w:id="23"/>
      <w:r w:rsidR="00306798">
        <w:fldChar w:fldCharType="begin"/>
      </w:r>
      <w:r w:rsidR="0035202F">
        <w:instrText xml:space="preserve"> SEQ Figure \r 1 \* ARABIC </w:instrText>
      </w:r>
      <w:r w:rsidR="00306798">
        <w:fldChar w:fldCharType="separate"/>
      </w:r>
      <w:r w:rsidR="00EB2418">
        <w:rPr>
          <w:noProof/>
        </w:rPr>
        <w:t>1</w:t>
      </w:r>
      <w:r w:rsidR="00306798">
        <w:fldChar w:fldCharType="end"/>
      </w:r>
      <w:bookmarkEnd w:id="24"/>
      <w:r>
        <w:tab/>
        <w:t xml:space="preserve">Total water allocated and annual median allocation prices, major southern Murray-Darling Basin </w:t>
      </w:r>
      <w:r w:rsidR="00261F1A">
        <w:t>trading zones</w:t>
      </w:r>
      <w:r>
        <w:t xml:space="preserve">, </w:t>
      </w:r>
      <w:r w:rsidR="00261F1A">
        <w:t>1998-99</w:t>
      </w:r>
      <w:r>
        <w:t xml:space="preserve"> to 2014-15</w:t>
      </w:r>
      <w:bookmarkEnd w:id="25"/>
    </w:p>
    <w:p w:rsidR="002760F5" w:rsidRDefault="002760F5">
      <w:pPr>
        <w:spacing w:after="0" w:line="240" w:lineRule="auto"/>
      </w:pPr>
    </w:p>
    <w:p w:rsidR="004C5CCF" w:rsidRDefault="004C5CCF" w:rsidP="004C5CCF">
      <w:r>
        <w:t xml:space="preserve">The </w:t>
      </w:r>
      <w:r w:rsidR="0026548D">
        <w:t xml:space="preserve">cumulative </w:t>
      </w:r>
      <w:r>
        <w:t>volume of Commonwealth</w:t>
      </w:r>
      <w:r w:rsidR="00043651">
        <w:t xml:space="preserve"> water</w:t>
      </w:r>
      <w:r>
        <w:t xml:space="preserve"> purchases between 2008-09 and 2012-13 has also reduced the </w:t>
      </w:r>
      <w:r w:rsidR="00FE0B83">
        <w:t xml:space="preserve">overall </w:t>
      </w:r>
      <w:r>
        <w:t>volume of water available for consumptive use in any given year (</w:t>
      </w:r>
      <w:r w:rsidR="00306798">
        <w:fldChar w:fldCharType="begin"/>
      </w:r>
      <w:r>
        <w:instrText xml:space="preserve"> REF _Ref431544882 \h </w:instrText>
      </w:r>
      <w:r w:rsidR="00306798">
        <w:fldChar w:fldCharType="separate"/>
      </w:r>
      <w:r w:rsidR="00EB2418">
        <w:t xml:space="preserve">Figure </w:t>
      </w:r>
      <w:r w:rsidR="00EB2418">
        <w:rPr>
          <w:noProof/>
        </w:rPr>
        <w:t>1</w:t>
      </w:r>
      <w:r w:rsidR="00306798">
        <w:fldChar w:fldCharType="end"/>
      </w:r>
      <w:r>
        <w:t xml:space="preserve">). </w:t>
      </w:r>
      <w:r w:rsidR="00801CB5">
        <w:t>T</w:t>
      </w:r>
      <w:r>
        <w:t>he total volume of Commonwealth purchased water</w:t>
      </w:r>
      <w:r w:rsidR="00372B22">
        <w:t xml:space="preserve"> entitlements</w:t>
      </w:r>
      <w:r>
        <w:t xml:space="preserve"> has stabilised over recent years.</w:t>
      </w:r>
    </w:p>
    <w:p w:rsidR="007578F8" w:rsidRDefault="0004527F" w:rsidP="00803673">
      <w:pPr>
        <w:pStyle w:val="Heading4"/>
      </w:pPr>
      <w:r>
        <w:t>In crop r</w:t>
      </w:r>
      <w:r w:rsidR="004F00D0">
        <w:t>ainfall</w:t>
      </w:r>
    </w:p>
    <w:p w:rsidR="004F00D0" w:rsidRDefault="00853EB3" w:rsidP="00592F62">
      <w:r>
        <w:t>Irrigators use w</w:t>
      </w:r>
      <w:r w:rsidR="000E0B0B" w:rsidRPr="000E0B0B">
        <w:t xml:space="preserve">ater </w:t>
      </w:r>
      <w:r w:rsidR="002760F5">
        <w:t>allocated that is available for consumptive</w:t>
      </w:r>
      <w:r w:rsidR="000E0B0B" w:rsidRPr="000E0B0B">
        <w:t xml:space="preserve"> use </w:t>
      </w:r>
      <w:r w:rsidR="000E0B0B">
        <w:t>in a given year</w:t>
      </w:r>
      <w:r w:rsidR="00B755C0" w:rsidRPr="00B755C0">
        <w:t xml:space="preserve"> </w:t>
      </w:r>
      <w:r w:rsidR="00FF7162">
        <w:t xml:space="preserve">as </w:t>
      </w:r>
      <w:r w:rsidR="00B755C0" w:rsidRPr="00B755C0">
        <w:t xml:space="preserve">a controllable </w:t>
      </w:r>
      <w:r w:rsidR="00B755C0">
        <w:t xml:space="preserve">water </w:t>
      </w:r>
      <w:r w:rsidR="00B755C0" w:rsidRPr="00B755C0">
        <w:t xml:space="preserve">supplement to </w:t>
      </w:r>
      <w:r w:rsidR="00B755C0">
        <w:t>in-crop rainfall</w:t>
      </w:r>
      <w:r w:rsidR="00B755C0" w:rsidRPr="00B755C0">
        <w:t xml:space="preserve">. </w:t>
      </w:r>
      <w:r w:rsidR="000E0B0B">
        <w:t>G</w:t>
      </w:r>
      <w:r w:rsidR="000E0B0B" w:rsidRPr="00B755C0">
        <w:t xml:space="preserve">iven the relatively low average rainfall across most of the </w:t>
      </w:r>
      <w:r w:rsidR="000E0B0B">
        <w:t xml:space="preserve">agricultural areas within the </w:t>
      </w:r>
      <w:proofErr w:type="spellStart"/>
      <w:r w:rsidR="000E0B0B">
        <w:t>s</w:t>
      </w:r>
      <w:r w:rsidR="000E0B0B" w:rsidRPr="00B755C0">
        <w:t>MDB</w:t>
      </w:r>
      <w:proofErr w:type="spellEnd"/>
      <w:r w:rsidR="000E0B0B">
        <w:t>,</w:t>
      </w:r>
      <w:r w:rsidR="000E0B0B" w:rsidRPr="00B755C0">
        <w:t xml:space="preserve"> </w:t>
      </w:r>
      <w:r w:rsidR="000E0B0B">
        <w:t>i</w:t>
      </w:r>
      <w:r w:rsidR="00B755C0" w:rsidRPr="00B755C0">
        <w:t xml:space="preserve">n most years, </w:t>
      </w:r>
      <w:r w:rsidR="000E0B0B">
        <w:t>w</w:t>
      </w:r>
      <w:r w:rsidR="000E0B0B" w:rsidRPr="000E0B0B">
        <w:t>ater</w:t>
      </w:r>
      <w:r w:rsidR="0026548D">
        <w:t xml:space="preserve"> </w:t>
      </w:r>
      <w:r w:rsidR="002760F5">
        <w:t>allocated that is available for consumptive</w:t>
      </w:r>
      <w:r w:rsidR="000E0B0B" w:rsidRPr="000E0B0B">
        <w:t xml:space="preserve"> use </w:t>
      </w:r>
      <w:r w:rsidR="00B755C0" w:rsidRPr="00B755C0">
        <w:t>is impor</w:t>
      </w:r>
      <w:r w:rsidR="00B755C0">
        <w:t>tant in meeting relatively high-</w:t>
      </w:r>
      <w:r w:rsidR="000E0B0B">
        <w:t>water demand</w:t>
      </w:r>
      <w:r w:rsidR="000E0B0B" w:rsidRPr="00B755C0">
        <w:t xml:space="preserve"> </w:t>
      </w:r>
      <w:r w:rsidR="00B755C0" w:rsidRPr="00B755C0">
        <w:t>cro</w:t>
      </w:r>
      <w:r w:rsidR="000E0B0B">
        <w:t>ps</w:t>
      </w:r>
      <w:r w:rsidR="004F00D0">
        <w:t xml:space="preserve"> (i.e. water demand of production exceeds rainfall)</w:t>
      </w:r>
      <w:r w:rsidR="00B755C0" w:rsidRPr="00B755C0">
        <w:t>.</w:t>
      </w:r>
      <w:r w:rsidR="000E0B0B">
        <w:t xml:space="preserve"> </w:t>
      </w:r>
      <w:r w:rsidR="00FF7162">
        <w:t xml:space="preserve">Rainfall also influences </w:t>
      </w:r>
      <w:proofErr w:type="spellStart"/>
      <w:r w:rsidR="00FF7162">
        <w:t>dryland</w:t>
      </w:r>
      <w:proofErr w:type="spellEnd"/>
      <w:r w:rsidR="00FF7162">
        <w:t xml:space="preserve"> agricultural conditions, including the production of hay, which is a substitute for water as an input to dairy farming. It is considered that the </w:t>
      </w:r>
      <w:proofErr w:type="spellStart"/>
      <w:r w:rsidR="00FF7162">
        <w:t>dryland</w:t>
      </w:r>
      <w:proofErr w:type="spellEnd"/>
      <w:r w:rsidR="00FF7162">
        <w:t xml:space="preserve"> drought conditions in 2002-03 were the major driver of increased allocation prices, as dairy farmers needed to purchase additional water in the absence of limited hay and other fodder.</w:t>
      </w:r>
    </w:p>
    <w:p w:rsidR="00B755C0" w:rsidRPr="00592F62" w:rsidRDefault="000E0B0B" w:rsidP="00592F62">
      <w:r>
        <w:t xml:space="preserve">As a result of </w:t>
      </w:r>
      <w:r w:rsidR="0004527F">
        <w:t xml:space="preserve">the </w:t>
      </w:r>
      <w:r>
        <w:t>relationship between</w:t>
      </w:r>
      <w:r w:rsidRPr="000E0B0B">
        <w:t xml:space="preserve"> </w:t>
      </w:r>
      <w:r w:rsidR="00FF7162">
        <w:t xml:space="preserve">total </w:t>
      </w:r>
      <w:r>
        <w:t>w</w:t>
      </w:r>
      <w:r w:rsidRPr="000E0B0B">
        <w:t xml:space="preserve">ater </w:t>
      </w:r>
      <w:r w:rsidR="002760F5">
        <w:t xml:space="preserve">allocated </w:t>
      </w:r>
      <w:r>
        <w:t xml:space="preserve">and </w:t>
      </w:r>
      <w:r w:rsidR="0004527F">
        <w:t xml:space="preserve">in crop </w:t>
      </w:r>
      <w:r w:rsidR="00B755C0" w:rsidRPr="00B755C0">
        <w:t>rainfall</w:t>
      </w:r>
      <w:r>
        <w:t xml:space="preserve">, in </w:t>
      </w:r>
      <w:r w:rsidR="00364335">
        <w:t>years with high rainfall (</w:t>
      </w:r>
      <w:r w:rsidR="00B755C0" w:rsidRPr="00B755C0">
        <w:t>wet years</w:t>
      </w:r>
      <w:r w:rsidR="00364335">
        <w:t>)</w:t>
      </w:r>
      <w:r w:rsidR="00B755C0" w:rsidRPr="00B755C0">
        <w:t>, the price of water allocations</w:t>
      </w:r>
      <w:r w:rsidR="00364335">
        <w:t xml:space="preserve"> can be expected to</w:t>
      </w:r>
      <w:r w:rsidR="00B755C0" w:rsidRPr="00B755C0">
        <w:t xml:space="preserve"> reduce due to </w:t>
      </w:r>
      <w:r w:rsidR="0004527F">
        <w:t xml:space="preserve">both </w:t>
      </w:r>
      <w:r w:rsidR="00B755C0" w:rsidRPr="00B755C0">
        <w:t xml:space="preserve">an increase in </w:t>
      </w:r>
      <w:r w:rsidR="00B755C0">
        <w:t>water availability</w:t>
      </w:r>
      <w:r>
        <w:t xml:space="preserve"> (supply)</w:t>
      </w:r>
      <w:r w:rsidR="00B755C0">
        <w:t xml:space="preserve"> and </w:t>
      </w:r>
      <w:r w:rsidR="00B755C0" w:rsidRPr="00B755C0">
        <w:t xml:space="preserve">a decrease in </w:t>
      </w:r>
      <w:r w:rsidR="00364335">
        <w:t xml:space="preserve">water allocation </w:t>
      </w:r>
      <w:r w:rsidR="00B755C0" w:rsidRPr="00B755C0">
        <w:t xml:space="preserve">demand </w:t>
      </w:r>
      <w:r>
        <w:t>(</w:t>
      </w:r>
      <w:r w:rsidR="00B755C0">
        <w:t>more in-crop rainfall and lesser need to supplement with irrigation water</w:t>
      </w:r>
      <w:r w:rsidR="00B755C0" w:rsidRPr="00B755C0">
        <w:t>)</w:t>
      </w:r>
      <w:r w:rsidR="00364335">
        <w:t xml:space="preserve">. </w:t>
      </w:r>
      <w:r w:rsidR="00306798">
        <w:fldChar w:fldCharType="begin"/>
      </w:r>
      <w:r w:rsidR="00205610">
        <w:instrText xml:space="preserve"> REF _Ref430940908 \h </w:instrText>
      </w:r>
      <w:r w:rsidR="00306798">
        <w:fldChar w:fldCharType="separate"/>
      </w:r>
      <w:r w:rsidR="00EB2418">
        <w:t xml:space="preserve">Figure </w:t>
      </w:r>
      <w:r w:rsidR="00EB2418">
        <w:rPr>
          <w:noProof/>
        </w:rPr>
        <w:t>2</w:t>
      </w:r>
      <w:r w:rsidR="00306798">
        <w:fldChar w:fldCharType="end"/>
      </w:r>
      <w:r w:rsidR="00364335">
        <w:t xml:space="preserve"> shows how in wet years </w:t>
      </w:r>
      <w:r w:rsidR="00241D7F">
        <w:t xml:space="preserve">a </w:t>
      </w:r>
      <w:r w:rsidR="00364335">
        <w:t xml:space="preserve">reduction in demand for irrigation water and </w:t>
      </w:r>
      <w:r w:rsidR="00241D7F">
        <w:t xml:space="preserve">an </w:t>
      </w:r>
      <w:r w:rsidR="00364335">
        <w:t xml:space="preserve">increase in </w:t>
      </w:r>
      <w:r w:rsidR="00FF7162">
        <w:t xml:space="preserve">water allocations </w:t>
      </w:r>
      <w:r w:rsidR="00364335">
        <w:t xml:space="preserve">can </w:t>
      </w:r>
      <w:r w:rsidR="00241D7F">
        <w:t>collectively</w:t>
      </w:r>
      <w:r w:rsidR="00FF7162">
        <w:t xml:space="preserve"> </w:t>
      </w:r>
      <w:r w:rsidR="00364335">
        <w:t xml:space="preserve">reduce the price of </w:t>
      </w:r>
      <w:r w:rsidR="0026548D">
        <w:t xml:space="preserve">water </w:t>
      </w:r>
      <w:r w:rsidR="00364335">
        <w:t>allocation</w:t>
      </w:r>
      <w:r w:rsidR="0026548D">
        <w:t>s</w:t>
      </w:r>
      <w:r w:rsidR="00B755C0" w:rsidRPr="00B755C0">
        <w:t>.</w:t>
      </w:r>
      <w:r w:rsidR="0004527F">
        <w:t xml:space="preserve"> Importantly, storages provide the potential to smooth out the impact of dry conditions and low rainfall over multiple years.</w:t>
      </w:r>
      <w:r w:rsidR="00B755C0">
        <w:t xml:space="preserve"> </w:t>
      </w:r>
    </w:p>
    <w:p w:rsidR="00205610" w:rsidRDefault="00A210E8" w:rsidP="00ED0CDC">
      <w:pPr>
        <w:pStyle w:val="TFIHolderSmallSpace"/>
      </w:pPr>
      <w:r>
        <w:rPr>
          <w:noProof/>
        </w:rPr>
        <w:lastRenderedPageBreak/>
        <w:drawing>
          <wp:inline distT="0" distB="0" distL="0" distR="0">
            <wp:extent cx="4575379" cy="3114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154" cy="3120649"/>
                    </a:xfrm>
                    <a:prstGeom prst="rect">
                      <a:avLst/>
                    </a:prstGeom>
                    <a:noFill/>
                  </pic:spPr>
                </pic:pic>
              </a:graphicData>
            </a:graphic>
          </wp:inline>
        </w:drawing>
      </w:r>
    </w:p>
    <w:p w:rsidR="00205610" w:rsidRDefault="00205610" w:rsidP="00382D62">
      <w:pPr>
        <w:pStyle w:val="TFNoteSourceTab"/>
      </w:pPr>
      <w:r w:rsidRPr="00210A43">
        <w:t>Source:</w:t>
      </w:r>
      <w:r w:rsidRPr="00210A43">
        <w:tab/>
      </w:r>
      <w:proofErr w:type="spellStart"/>
      <w:r w:rsidR="00ED0CDC" w:rsidRPr="00210A43">
        <w:t>Aither</w:t>
      </w:r>
      <w:proofErr w:type="spellEnd"/>
      <w:r w:rsidR="00ED0CDC">
        <w:t xml:space="preserve"> 2015. </w:t>
      </w:r>
    </w:p>
    <w:p w:rsidR="00205610" w:rsidRDefault="00205610" w:rsidP="00756220">
      <w:pPr>
        <w:pStyle w:val="Caption"/>
      </w:pPr>
      <w:bookmarkStart w:id="26" w:name="_Ref430940908"/>
      <w:bookmarkStart w:id="27" w:name="_Toc440006872"/>
      <w:r>
        <w:t xml:space="preserve">Figure </w:t>
      </w:r>
      <w:r w:rsidR="00306798">
        <w:fldChar w:fldCharType="begin"/>
      </w:r>
      <w:r w:rsidR="00531166">
        <w:instrText xml:space="preserve"> SEQ Figure \* ARABIC </w:instrText>
      </w:r>
      <w:r w:rsidR="00306798">
        <w:fldChar w:fldCharType="separate"/>
      </w:r>
      <w:r w:rsidR="00EB2418">
        <w:rPr>
          <w:noProof/>
        </w:rPr>
        <w:t>2</w:t>
      </w:r>
      <w:r w:rsidR="00306798">
        <w:rPr>
          <w:noProof/>
        </w:rPr>
        <w:fldChar w:fldCharType="end"/>
      </w:r>
      <w:bookmarkEnd w:id="26"/>
      <w:r>
        <w:tab/>
      </w:r>
      <w:r w:rsidRPr="00205610">
        <w:t xml:space="preserve">Impacts of a wet year on the price of </w:t>
      </w:r>
      <w:r w:rsidR="0026548D" w:rsidRPr="00205610">
        <w:t>water</w:t>
      </w:r>
      <w:r w:rsidR="0026548D">
        <w:t xml:space="preserve"> </w:t>
      </w:r>
      <w:r>
        <w:t>allocation</w:t>
      </w:r>
      <w:r w:rsidR="0026548D">
        <w:t>s</w:t>
      </w:r>
      <w:bookmarkEnd w:id="27"/>
      <w:r w:rsidRPr="00205610">
        <w:t xml:space="preserve"> </w:t>
      </w:r>
    </w:p>
    <w:p w:rsidR="00205610" w:rsidRDefault="00205610" w:rsidP="0054025A">
      <w:pPr>
        <w:spacing w:after="0" w:line="240" w:lineRule="auto"/>
      </w:pPr>
      <w:r>
        <w:t xml:space="preserve">The opposite is the case </w:t>
      </w:r>
      <w:r w:rsidR="00EF57D6">
        <w:t xml:space="preserve">in </w:t>
      </w:r>
      <w:r w:rsidR="00364335">
        <w:t>year</w:t>
      </w:r>
      <w:r w:rsidR="00EF57D6">
        <w:t>s</w:t>
      </w:r>
      <w:r w:rsidR="00364335">
        <w:t xml:space="preserve"> with low rainfall (</w:t>
      </w:r>
      <w:r>
        <w:t>dr</w:t>
      </w:r>
      <w:r w:rsidR="00364335">
        <w:t>y</w:t>
      </w:r>
      <w:r>
        <w:t xml:space="preserve"> years</w:t>
      </w:r>
      <w:r w:rsidR="00364335">
        <w:t>)</w:t>
      </w:r>
      <w:r>
        <w:t xml:space="preserve"> or periods of sustained drought (see </w:t>
      </w:r>
      <w:r w:rsidR="00306798">
        <w:fldChar w:fldCharType="begin"/>
      </w:r>
      <w:r>
        <w:instrText xml:space="preserve"> REF _Ref430941005 \h </w:instrText>
      </w:r>
      <w:r w:rsidR="00306798">
        <w:fldChar w:fldCharType="separate"/>
      </w:r>
      <w:r w:rsidR="00EB2418">
        <w:t xml:space="preserve">Figure </w:t>
      </w:r>
      <w:r w:rsidR="00EB2418">
        <w:rPr>
          <w:noProof/>
        </w:rPr>
        <w:t>3</w:t>
      </w:r>
      <w:r w:rsidR="00306798">
        <w:fldChar w:fldCharType="end"/>
      </w:r>
      <w:r>
        <w:t>).</w:t>
      </w:r>
      <w:r w:rsidRPr="00205610">
        <w:t xml:space="preserve"> </w:t>
      </w:r>
      <w:r>
        <w:t>In these years</w:t>
      </w:r>
      <w:r w:rsidR="000E0B0B">
        <w:t>,</w:t>
      </w:r>
      <w:r w:rsidRPr="00205610">
        <w:t xml:space="preserve"> </w:t>
      </w:r>
      <w:r w:rsidR="000E0B0B">
        <w:t xml:space="preserve">the </w:t>
      </w:r>
      <w:r w:rsidRPr="00205610">
        <w:t xml:space="preserve">price of </w:t>
      </w:r>
      <w:r w:rsidR="0026548D" w:rsidRPr="00205610">
        <w:t xml:space="preserve">water </w:t>
      </w:r>
      <w:r>
        <w:t>allocation</w:t>
      </w:r>
      <w:r w:rsidR="0026548D">
        <w:t>s</w:t>
      </w:r>
      <w:r w:rsidRPr="00205610">
        <w:t xml:space="preserve"> increase</w:t>
      </w:r>
      <w:r>
        <w:t>s</w:t>
      </w:r>
      <w:r w:rsidRPr="00205610">
        <w:t xml:space="preserve"> due to a com</w:t>
      </w:r>
      <w:r w:rsidR="000E0B0B">
        <w:t>bination of a decrease in w</w:t>
      </w:r>
      <w:r w:rsidR="000E0B0B" w:rsidRPr="000E0B0B">
        <w:t xml:space="preserve">ater </w:t>
      </w:r>
      <w:r w:rsidR="002760F5">
        <w:t>allocated that is available for consumptive</w:t>
      </w:r>
      <w:r w:rsidR="000E0B0B" w:rsidRPr="000E0B0B">
        <w:t xml:space="preserve"> use</w:t>
      </w:r>
      <w:r w:rsidR="000E0B0B">
        <w:t xml:space="preserve"> (supply is constrained)</w:t>
      </w:r>
      <w:r w:rsidRPr="00205610">
        <w:t xml:space="preserve"> and an increase in demand for irrigation water as a supplement </w:t>
      </w:r>
      <w:r w:rsidR="00151AAB">
        <w:t xml:space="preserve">to </w:t>
      </w:r>
      <w:r>
        <w:t>low in-crop</w:t>
      </w:r>
      <w:r w:rsidRPr="00205610">
        <w:t xml:space="preserve"> </w:t>
      </w:r>
      <w:r w:rsidR="00364335">
        <w:t>rainfall</w:t>
      </w:r>
      <w:r w:rsidR="00FF7162">
        <w:t xml:space="preserve"> (and high prices for fodder)</w:t>
      </w:r>
      <w:r w:rsidRPr="00205610">
        <w:t xml:space="preserve">. </w:t>
      </w:r>
    </w:p>
    <w:p w:rsidR="00205610" w:rsidRDefault="00A210E8" w:rsidP="00756220">
      <w:pPr>
        <w:pStyle w:val="TFIHolderSmallSpace"/>
      </w:pPr>
      <w:r>
        <w:rPr>
          <w:noProof/>
        </w:rPr>
        <w:drawing>
          <wp:inline distT="0" distB="0" distL="0" distR="0">
            <wp:extent cx="5025542" cy="34211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0359" cy="3424401"/>
                    </a:xfrm>
                    <a:prstGeom prst="rect">
                      <a:avLst/>
                    </a:prstGeom>
                    <a:noFill/>
                  </pic:spPr>
                </pic:pic>
              </a:graphicData>
            </a:graphic>
          </wp:inline>
        </w:drawing>
      </w:r>
    </w:p>
    <w:p w:rsidR="00205610" w:rsidRDefault="00205610" w:rsidP="00803673">
      <w:pPr>
        <w:pStyle w:val="TFNoteSourceTab"/>
        <w:keepNext/>
        <w:ind w:left="619" w:hanging="619"/>
      </w:pPr>
      <w:r w:rsidRPr="00210A43">
        <w:t>Source:</w:t>
      </w:r>
      <w:r w:rsidRPr="00210A43">
        <w:tab/>
      </w:r>
      <w:proofErr w:type="spellStart"/>
      <w:r w:rsidR="00ED0CDC" w:rsidRPr="00210A43">
        <w:t>Aither</w:t>
      </w:r>
      <w:proofErr w:type="spellEnd"/>
      <w:r w:rsidR="00ED0CDC">
        <w:t xml:space="preserve"> 2015. </w:t>
      </w:r>
    </w:p>
    <w:p w:rsidR="00205610" w:rsidRDefault="00205610" w:rsidP="00756220">
      <w:pPr>
        <w:pStyle w:val="Caption"/>
      </w:pPr>
      <w:bookmarkStart w:id="28" w:name="_Ref430941005"/>
      <w:bookmarkStart w:id="29" w:name="_Toc440006873"/>
      <w:r>
        <w:t xml:space="preserve">Figure </w:t>
      </w:r>
      <w:r w:rsidR="00306798">
        <w:fldChar w:fldCharType="begin"/>
      </w:r>
      <w:r w:rsidR="00531166">
        <w:instrText xml:space="preserve"> SEQ Figure \* ARABIC </w:instrText>
      </w:r>
      <w:r w:rsidR="00306798">
        <w:fldChar w:fldCharType="separate"/>
      </w:r>
      <w:r w:rsidR="00EB2418">
        <w:rPr>
          <w:noProof/>
        </w:rPr>
        <w:t>3</w:t>
      </w:r>
      <w:r w:rsidR="00306798">
        <w:rPr>
          <w:noProof/>
        </w:rPr>
        <w:fldChar w:fldCharType="end"/>
      </w:r>
      <w:bookmarkEnd w:id="28"/>
      <w:r>
        <w:tab/>
      </w:r>
      <w:r w:rsidRPr="00205610">
        <w:t xml:space="preserve">Impacts of a dry year on the price of </w:t>
      </w:r>
      <w:r w:rsidR="0026548D" w:rsidRPr="00205610">
        <w:t>water</w:t>
      </w:r>
      <w:r w:rsidR="0026548D">
        <w:t xml:space="preserve"> </w:t>
      </w:r>
      <w:r>
        <w:t>allocation</w:t>
      </w:r>
      <w:r w:rsidR="0026548D">
        <w:t>s</w:t>
      </w:r>
      <w:bookmarkEnd w:id="29"/>
      <w:r w:rsidRPr="00205610">
        <w:t xml:space="preserve"> </w:t>
      </w:r>
    </w:p>
    <w:p w:rsidR="00B044C1" w:rsidRDefault="00B044C1">
      <w:pPr>
        <w:spacing w:after="0" w:line="240" w:lineRule="auto"/>
        <w:rPr>
          <w:b/>
          <w:bCs/>
          <w:i/>
          <w:color w:val="7DC0D1" w:themeColor="accent4"/>
          <w:szCs w:val="28"/>
        </w:rPr>
      </w:pPr>
      <w:r>
        <w:br w:type="page"/>
      </w:r>
    </w:p>
    <w:p w:rsidR="00D615DE" w:rsidRDefault="00151AAB" w:rsidP="00A5000A">
      <w:pPr>
        <w:pStyle w:val="Heading4"/>
      </w:pPr>
      <w:r>
        <w:lastRenderedPageBreak/>
        <w:t>The impact on allocation prices of w</w:t>
      </w:r>
      <w:r w:rsidR="00297083" w:rsidRPr="00297083">
        <w:t xml:space="preserve">ater purchases by </w:t>
      </w:r>
      <w:r>
        <w:t xml:space="preserve">the </w:t>
      </w:r>
      <w:r w:rsidR="00297083">
        <w:t>Commonwealth f</w:t>
      </w:r>
      <w:r w:rsidR="00297083" w:rsidRPr="00297083">
        <w:t>or the environment</w:t>
      </w:r>
    </w:p>
    <w:p w:rsidR="00933AAA" w:rsidRDefault="00933AAA" w:rsidP="00592F62">
      <w:pPr>
        <w:keepNext/>
      </w:pPr>
      <w:r>
        <w:t>As explained above, total water</w:t>
      </w:r>
      <w:r w:rsidR="0026548D">
        <w:t xml:space="preserve"> </w:t>
      </w:r>
      <w:r w:rsidR="002760F5">
        <w:t>allocated that is available for consumptive</w:t>
      </w:r>
      <w:r>
        <w:t xml:space="preserve"> use in </w:t>
      </w:r>
      <w:proofErr w:type="gramStart"/>
      <w:r>
        <w:t>a given</w:t>
      </w:r>
      <w:proofErr w:type="gramEnd"/>
      <w:r>
        <w:t xml:space="preserve"> water year </w:t>
      </w:r>
      <w:r w:rsidR="00151AAB">
        <w:t xml:space="preserve">plus rainfall </w:t>
      </w:r>
      <w:r w:rsidR="00FF7162">
        <w:t xml:space="preserve">in </w:t>
      </w:r>
      <w:r w:rsidR="0026548D">
        <w:t>growing regions</w:t>
      </w:r>
      <w:r w:rsidR="00FF7162">
        <w:t xml:space="preserve"> </w:t>
      </w:r>
      <w:r w:rsidR="00151AAB">
        <w:t>influence</w:t>
      </w:r>
      <w:r w:rsidR="0026548D">
        <w:t>s</w:t>
      </w:r>
      <w:r w:rsidR="00151AAB">
        <w:t xml:space="preserve"> </w:t>
      </w:r>
      <w:r w:rsidR="0026548D">
        <w:t>demand</w:t>
      </w:r>
      <w:r w:rsidR="00151AAB">
        <w:t xml:space="preserve"> for </w:t>
      </w:r>
      <w:r>
        <w:t xml:space="preserve">water </w:t>
      </w:r>
      <w:r w:rsidRPr="00D615DE">
        <w:t>allocations</w:t>
      </w:r>
      <w:r w:rsidR="00D579D5">
        <w:t xml:space="preserve"> and thus price</w:t>
      </w:r>
      <w:r>
        <w:t xml:space="preserve">. </w:t>
      </w:r>
      <w:r w:rsidRPr="00933AAA">
        <w:t>Commonwealth</w:t>
      </w:r>
      <w:r w:rsidR="00043651">
        <w:t xml:space="preserve"> water</w:t>
      </w:r>
      <w:r>
        <w:t xml:space="preserve"> purchases of water </w:t>
      </w:r>
      <w:r w:rsidR="00151AAB">
        <w:t xml:space="preserve">entitlements </w:t>
      </w:r>
      <w:r>
        <w:t xml:space="preserve">for the environment </w:t>
      </w:r>
      <w:r w:rsidR="00151AAB">
        <w:t xml:space="preserve">have the effect of reducing </w:t>
      </w:r>
      <w:r>
        <w:t xml:space="preserve">the volume of </w:t>
      </w:r>
      <w:r w:rsidRPr="00933AAA">
        <w:t xml:space="preserve">water </w:t>
      </w:r>
      <w:r w:rsidR="002760F5">
        <w:t>allocated that is available for consumptive</w:t>
      </w:r>
      <w:r w:rsidRPr="00933AAA">
        <w:t xml:space="preserve"> use</w:t>
      </w:r>
      <w:r w:rsidR="00D579D5">
        <w:t xml:space="preserve"> (see </w:t>
      </w:r>
      <w:r w:rsidR="00306798">
        <w:fldChar w:fldCharType="begin"/>
      </w:r>
      <w:r w:rsidR="00D579D5">
        <w:instrText xml:space="preserve"> REF _Ref430692077 \h </w:instrText>
      </w:r>
      <w:r w:rsidR="00306798">
        <w:fldChar w:fldCharType="separate"/>
      </w:r>
      <w:r w:rsidR="00EB2418">
        <w:t xml:space="preserve">Figure </w:t>
      </w:r>
      <w:r w:rsidR="00EB2418">
        <w:rPr>
          <w:noProof/>
        </w:rPr>
        <w:t>4</w:t>
      </w:r>
      <w:r w:rsidR="00306798">
        <w:fldChar w:fldCharType="end"/>
      </w:r>
      <w:r w:rsidR="00D579D5">
        <w:t>)</w:t>
      </w:r>
      <w:r>
        <w:t xml:space="preserve">. </w:t>
      </w:r>
      <w:r w:rsidR="00151AAB">
        <w:t>However,</w:t>
      </w:r>
      <w:r w:rsidR="00D579D5">
        <w:t xml:space="preserve"> it is important to recognise that</w:t>
      </w:r>
      <w:r w:rsidR="00151AAB">
        <w:t xml:space="preserve"> </w:t>
      </w:r>
      <w:r w:rsidR="00D579D5">
        <w:t>Commonwealth</w:t>
      </w:r>
      <w:r w:rsidR="00043651">
        <w:t xml:space="preserve"> water</w:t>
      </w:r>
      <w:r w:rsidR="00151AAB">
        <w:t xml:space="preserve"> </w:t>
      </w:r>
      <w:r w:rsidR="00C013CD">
        <w:t>purchases</w:t>
      </w:r>
      <w:r w:rsidR="00151AAB">
        <w:t xml:space="preserve"> do not </w:t>
      </w:r>
      <w:r w:rsidR="00D579D5">
        <w:t>affect</w:t>
      </w:r>
      <w:r w:rsidR="00151AAB">
        <w:t xml:space="preserve"> in-crop rainfall and broader </w:t>
      </w:r>
      <w:proofErr w:type="spellStart"/>
      <w:r w:rsidR="00151AAB">
        <w:t>dryland</w:t>
      </w:r>
      <w:proofErr w:type="spellEnd"/>
      <w:r w:rsidR="00151AAB">
        <w:t xml:space="preserve"> conditions</w:t>
      </w:r>
      <w:r w:rsidR="00D579D5">
        <w:t xml:space="preserve"> </w:t>
      </w:r>
      <w:r w:rsidR="00FF7162">
        <w:t xml:space="preserve">that </w:t>
      </w:r>
      <w:r w:rsidR="00917A3C">
        <w:t xml:space="preserve">also </w:t>
      </w:r>
      <w:r w:rsidR="00D579D5">
        <w:t xml:space="preserve">continue to have </w:t>
      </w:r>
      <w:r w:rsidR="00FF7162">
        <w:t xml:space="preserve">an impact </w:t>
      </w:r>
      <w:r w:rsidR="00D579D5">
        <w:t>on</w:t>
      </w:r>
      <w:r w:rsidR="00C24986">
        <w:t xml:space="preserve"> water</w:t>
      </w:r>
      <w:r w:rsidR="00D579D5">
        <w:t xml:space="preserve"> allocation prices</w:t>
      </w:r>
      <w:r w:rsidR="00151AAB">
        <w:t>.</w:t>
      </w:r>
    </w:p>
    <w:p w:rsidR="0026548D" w:rsidRDefault="00A5000A" w:rsidP="00592F62">
      <w:pPr>
        <w:keepNext/>
      </w:pPr>
      <w:r w:rsidRPr="00A5000A">
        <w:t xml:space="preserve">Under the Restoring the Balance in the Murray-Darling Basin </w:t>
      </w:r>
      <w:r>
        <w:t>P</w:t>
      </w:r>
      <w:r w:rsidRPr="00A5000A">
        <w:t xml:space="preserve">rogram, </w:t>
      </w:r>
      <w:r>
        <w:t>the Commonwealth has purchased</w:t>
      </w:r>
      <w:r w:rsidR="00933AAA">
        <w:t xml:space="preserve"> approximately</w:t>
      </w:r>
      <w:r>
        <w:t xml:space="preserve"> </w:t>
      </w:r>
      <w:r w:rsidR="00933AAA">
        <w:t xml:space="preserve">996 </w:t>
      </w:r>
      <w:r w:rsidR="00615CE1">
        <w:t xml:space="preserve">GL of water </w:t>
      </w:r>
      <w:r>
        <w:t xml:space="preserve">entitlements </w:t>
      </w:r>
      <w:r w:rsidR="00CD3FD6">
        <w:t xml:space="preserve">from </w:t>
      </w:r>
      <w:r w:rsidR="008F28E9" w:rsidRPr="008F28E9">
        <w:t xml:space="preserve">market participants </w:t>
      </w:r>
      <w:r w:rsidR="00615CE1">
        <w:t xml:space="preserve">in the major </w:t>
      </w:r>
      <w:r>
        <w:t xml:space="preserve">trading zones in the </w:t>
      </w:r>
      <w:proofErr w:type="spellStart"/>
      <w:r w:rsidR="00615CE1">
        <w:t>sMDB</w:t>
      </w:r>
      <w:proofErr w:type="spellEnd"/>
      <w:r w:rsidR="00615CE1">
        <w:t xml:space="preserve"> </w:t>
      </w:r>
      <w:r w:rsidR="00FF7162">
        <w:t xml:space="preserve">since 2007-08 </w:t>
      </w:r>
      <w:r>
        <w:t>(listed in</w:t>
      </w:r>
      <w:r w:rsidR="00615CE1">
        <w:t xml:space="preserve"> </w:t>
      </w:r>
      <w:r w:rsidR="00306798">
        <w:fldChar w:fldCharType="begin"/>
      </w:r>
      <w:r w:rsidR="00615CE1">
        <w:instrText xml:space="preserve"> REF _Ref430263936 \h </w:instrText>
      </w:r>
      <w:r w:rsidR="00306798">
        <w:fldChar w:fldCharType="separate"/>
      </w:r>
      <w:r w:rsidR="00EB2418" w:rsidRPr="00894869">
        <w:t xml:space="preserve">Table </w:t>
      </w:r>
      <w:r w:rsidR="00EB2418">
        <w:rPr>
          <w:noProof/>
        </w:rPr>
        <w:t>1</w:t>
      </w:r>
      <w:r w:rsidR="00306798">
        <w:fldChar w:fldCharType="end"/>
      </w:r>
      <w:r>
        <w:t>)</w:t>
      </w:r>
      <w:r w:rsidR="00615CE1">
        <w:t>.</w:t>
      </w:r>
      <w:r w:rsidR="00CD3FD6">
        <w:t xml:space="preserve"> </w:t>
      </w:r>
      <w:r w:rsidR="005E541B">
        <w:t xml:space="preserve">This table demonstrates that the Commonwealth has not purchased significant volumes of water entitlements since before the start of the 2012-13 water </w:t>
      </w:r>
      <w:proofErr w:type="gramStart"/>
      <w:r w:rsidR="005E541B">
        <w:t>year</w:t>
      </w:r>
      <w:proofErr w:type="gramEnd"/>
      <w:r w:rsidR="005E541B">
        <w:t xml:space="preserve"> (i.e. 1 July 2012).</w:t>
      </w:r>
    </w:p>
    <w:p w:rsidR="00615CE1" w:rsidRPr="00CC1CF7" w:rsidRDefault="00615CE1" w:rsidP="00615CE1">
      <w:pPr>
        <w:pStyle w:val="Caption"/>
      </w:pPr>
      <w:bookmarkStart w:id="30" w:name="_Ref430263936"/>
      <w:bookmarkStart w:id="31" w:name="_Toc440006859"/>
      <w:r w:rsidRPr="00894869">
        <w:t xml:space="preserve">Table </w:t>
      </w:r>
      <w:r w:rsidR="00306798">
        <w:fldChar w:fldCharType="begin"/>
      </w:r>
      <w:r w:rsidR="00531166">
        <w:instrText xml:space="preserve"> SEQ Table \* ARABIC </w:instrText>
      </w:r>
      <w:r w:rsidR="00306798">
        <w:fldChar w:fldCharType="separate"/>
      </w:r>
      <w:r w:rsidR="00EB2418">
        <w:rPr>
          <w:noProof/>
        </w:rPr>
        <w:t>1</w:t>
      </w:r>
      <w:r w:rsidR="00306798">
        <w:rPr>
          <w:noProof/>
        </w:rPr>
        <w:fldChar w:fldCharType="end"/>
      </w:r>
      <w:bookmarkEnd w:id="30"/>
      <w:r>
        <w:tab/>
      </w:r>
      <w:r w:rsidR="0099232F">
        <w:t>Cumulative w</w:t>
      </w:r>
      <w:r>
        <w:t xml:space="preserve">ater </w:t>
      </w:r>
      <w:r w:rsidRPr="00B014A0">
        <w:t>entitlements</w:t>
      </w:r>
      <w:r w:rsidR="00933AAA">
        <w:t xml:space="preserve"> purchased</w:t>
      </w:r>
      <w:r w:rsidR="00D579D5">
        <w:t xml:space="preserve"> by </w:t>
      </w:r>
      <w:r>
        <w:t xml:space="preserve">Commonwealth </w:t>
      </w:r>
      <w:r w:rsidR="00EF57D6">
        <w:t xml:space="preserve">Government – registered </w:t>
      </w:r>
      <w:r w:rsidR="00C24986">
        <w:t xml:space="preserve">at start of water year </w:t>
      </w:r>
      <w:r>
        <w:t>(GL)</w:t>
      </w:r>
      <w:bookmarkEnd w:id="31"/>
    </w:p>
    <w:tbl>
      <w:tblPr>
        <w:tblStyle w:val="Aither"/>
        <w:tblW w:w="9270" w:type="dxa"/>
        <w:tblInd w:w="108" w:type="dxa"/>
        <w:tblLayout w:type="fixed"/>
        <w:tblLook w:val="04A0"/>
      </w:tblPr>
      <w:tblGrid>
        <w:gridCol w:w="2970"/>
        <w:gridCol w:w="866"/>
        <w:gridCol w:w="776"/>
        <w:gridCol w:w="776"/>
        <w:gridCol w:w="777"/>
        <w:gridCol w:w="776"/>
        <w:gridCol w:w="776"/>
        <w:gridCol w:w="776"/>
        <w:gridCol w:w="777"/>
      </w:tblGrid>
      <w:tr w:rsidR="00CD3FD6" w:rsidTr="00592F62">
        <w:trPr>
          <w:cnfStyle w:val="100000000000"/>
          <w:tblHeader/>
        </w:trPr>
        <w:tc>
          <w:tcPr>
            <w:tcW w:w="2970" w:type="dxa"/>
          </w:tcPr>
          <w:p w:rsidR="00615CE1" w:rsidRDefault="00615CE1" w:rsidP="00A34255">
            <w:pPr>
              <w:pStyle w:val="TableHeading"/>
            </w:pPr>
            <w:r>
              <w:t>Entitlement type</w:t>
            </w:r>
          </w:p>
        </w:tc>
        <w:tc>
          <w:tcPr>
            <w:tcW w:w="866" w:type="dxa"/>
          </w:tcPr>
          <w:p w:rsidR="00615CE1" w:rsidRPr="00CD3FD6" w:rsidRDefault="00615CE1" w:rsidP="00615CE1">
            <w:pPr>
              <w:pStyle w:val="TableHeading"/>
              <w:rPr>
                <w:vertAlign w:val="superscript"/>
              </w:rPr>
            </w:pPr>
            <w:r>
              <w:t>07-</w:t>
            </w:r>
            <w:r w:rsidRPr="00BC56A3">
              <w:t>08</w:t>
            </w:r>
            <w:r w:rsidR="00CD3FD6">
              <w:rPr>
                <w:vertAlign w:val="superscript"/>
              </w:rPr>
              <w:t>1</w:t>
            </w:r>
          </w:p>
        </w:tc>
        <w:tc>
          <w:tcPr>
            <w:tcW w:w="776" w:type="dxa"/>
          </w:tcPr>
          <w:p w:rsidR="00615CE1" w:rsidRPr="00BC56A3" w:rsidRDefault="00615CE1" w:rsidP="00615CE1">
            <w:pPr>
              <w:pStyle w:val="TableHeading"/>
            </w:pPr>
            <w:r>
              <w:t>08-</w:t>
            </w:r>
            <w:r w:rsidRPr="00BC56A3">
              <w:t>09</w:t>
            </w:r>
          </w:p>
        </w:tc>
        <w:tc>
          <w:tcPr>
            <w:tcW w:w="776" w:type="dxa"/>
          </w:tcPr>
          <w:p w:rsidR="00615CE1" w:rsidRPr="00BC56A3" w:rsidRDefault="00615CE1" w:rsidP="00615CE1">
            <w:pPr>
              <w:pStyle w:val="TableHeading"/>
            </w:pPr>
            <w:r>
              <w:t>09-</w:t>
            </w:r>
            <w:r w:rsidRPr="00BC56A3">
              <w:t>10</w:t>
            </w:r>
          </w:p>
        </w:tc>
        <w:tc>
          <w:tcPr>
            <w:tcW w:w="777" w:type="dxa"/>
          </w:tcPr>
          <w:p w:rsidR="00615CE1" w:rsidRPr="00BC56A3" w:rsidRDefault="00615CE1" w:rsidP="00615CE1">
            <w:pPr>
              <w:pStyle w:val="TableHeading"/>
            </w:pPr>
            <w:r>
              <w:t>10-</w:t>
            </w:r>
            <w:r w:rsidRPr="00BC56A3">
              <w:t>11</w:t>
            </w:r>
          </w:p>
        </w:tc>
        <w:tc>
          <w:tcPr>
            <w:tcW w:w="776" w:type="dxa"/>
          </w:tcPr>
          <w:p w:rsidR="00615CE1" w:rsidRPr="00BC56A3" w:rsidRDefault="00615CE1" w:rsidP="00615CE1">
            <w:pPr>
              <w:pStyle w:val="TableHeading"/>
            </w:pPr>
            <w:r>
              <w:t>11-</w:t>
            </w:r>
            <w:r w:rsidRPr="00BC56A3">
              <w:t>12</w:t>
            </w:r>
          </w:p>
        </w:tc>
        <w:tc>
          <w:tcPr>
            <w:tcW w:w="776" w:type="dxa"/>
          </w:tcPr>
          <w:p w:rsidR="00615CE1" w:rsidRPr="00BC56A3" w:rsidRDefault="00615CE1" w:rsidP="00615CE1">
            <w:pPr>
              <w:pStyle w:val="TableHeading"/>
            </w:pPr>
            <w:r w:rsidRPr="00BC56A3">
              <w:t>12-13</w:t>
            </w:r>
          </w:p>
        </w:tc>
        <w:tc>
          <w:tcPr>
            <w:tcW w:w="776" w:type="dxa"/>
          </w:tcPr>
          <w:p w:rsidR="00615CE1" w:rsidRPr="00BC56A3" w:rsidRDefault="00615CE1" w:rsidP="00615CE1">
            <w:pPr>
              <w:pStyle w:val="TableHeading"/>
            </w:pPr>
            <w:r w:rsidRPr="00BC56A3">
              <w:t>13-14</w:t>
            </w:r>
          </w:p>
        </w:tc>
        <w:tc>
          <w:tcPr>
            <w:tcW w:w="777" w:type="dxa"/>
          </w:tcPr>
          <w:p w:rsidR="00615CE1" w:rsidRDefault="00615CE1" w:rsidP="00615CE1">
            <w:pPr>
              <w:pStyle w:val="TableHeading"/>
            </w:pPr>
            <w:r w:rsidRPr="00BC56A3">
              <w:t>14-15</w:t>
            </w:r>
          </w:p>
        </w:tc>
      </w:tr>
      <w:tr w:rsidR="00B177F0" w:rsidTr="00CD3FD6">
        <w:trPr>
          <w:cnfStyle w:val="000000100000"/>
        </w:trPr>
        <w:tc>
          <w:tcPr>
            <w:tcW w:w="2970" w:type="dxa"/>
            <w:vAlign w:val="top"/>
          </w:tcPr>
          <w:p w:rsidR="00B177F0" w:rsidRPr="00CD3FD6" w:rsidRDefault="00B177F0" w:rsidP="00A34255">
            <w:pPr>
              <w:pStyle w:val="TableText"/>
              <w:rPr>
                <w:sz w:val="19"/>
                <w:szCs w:val="19"/>
              </w:rPr>
            </w:pPr>
            <w:r w:rsidRPr="00CD3FD6">
              <w:rPr>
                <w:sz w:val="19"/>
                <w:szCs w:val="19"/>
              </w:rPr>
              <w:t>Vic 1A Greater Goulburn HRWS</w:t>
            </w:r>
          </w:p>
        </w:tc>
        <w:tc>
          <w:tcPr>
            <w:tcW w:w="866"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224D49">
              <w:t>1</w:t>
            </w:r>
          </w:p>
        </w:tc>
        <w:tc>
          <w:tcPr>
            <w:tcW w:w="776" w:type="dxa"/>
            <w:vAlign w:val="top"/>
          </w:tcPr>
          <w:p w:rsidR="00B177F0" w:rsidRPr="00CD3FD6" w:rsidRDefault="00B177F0" w:rsidP="00B177F0">
            <w:pPr>
              <w:pStyle w:val="TableText"/>
            </w:pPr>
            <w:r w:rsidRPr="00224D49">
              <w:t>54</w:t>
            </w:r>
          </w:p>
        </w:tc>
        <w:tc>
          <w:tcPr>
            <w:tcW w:w="777" w:type="dxa"/>
            <w:vAlign w:val="top"/>
          </w:tcPr>
          <w:p w:rsidR="00B177F0" w:rsidRPr="00CD3FD6" w:rsidRDefault="00B177F0" w:rsidP="00B177F0">
            <w:pPr>
              <w:pStyle w:val="TableText"/>
            </w:pPr>
            <w:r w:rsidRPr="00224D49">
              <w:t>96</w:t>
            </w:r>
          </w:p>
        </w:tc>
        <w:tc>
          <w:tcPr>
            <w:tcW w:w="776" w:type="dxa"/>
            <w:vAlign w:val="top"/>
          </w:tcPr>
          <w:p w:rsidR="00B177F0" w:rsidRPr="00CD3FD6" w:rsidRDefault="00B177F0" w:rsidP="00B177F0">
            <w:pPr>
              <w:pStyle w:val="TableText"/>
            </w:pPr>
            <w:r w:rsidRPr="00224D49">
              <w:t>182</w:t>
            </w:r>
          </w:p>
        </w:tc>
        <w:tc>
          <w:tcPr>
            <w:tcW w:w="776" w:type="dxa"/>
            <w:vAlign w:val="top"/>
          </w:tcPr>
          <w:p w:rsidR="00B177F0" w:rsidRPr="00CD3FD6" w:rsidRDefault="00B177F0" w:rsidP="00B177F0">
            <w:pPr>
              <w:pStyle w:val="TableText"/>
            </w:pPr>
            <w:r w:rsidRPr="00224D49">
              <w:t>187</w:t>
            </w:r>
          </w:p>
        </w:tc>
        <w:tc>
          <w:tcPr>
            <w:tcW w:w="776" w:type="dxa"/>
            <w:vAlign w:val="top"/>
          </w:tcPr>
          <w:p w:rsidR="00B177F0" w:rsidRPr="00CD3FD6" w:rsidRDefault="00B177F0" w:rsidP="00B177F0">
            <w:pPr>
              <w:pStyle w:val="TableText"/>
            </w:pPr>
            <w:r w:rsidRPr="00224D49">
              <w:t>187</w:t>
            </w:r>
          </w:p>
        </w:tc>
        <w:tc>
          <w:tcPr>
            <w:tcW w:w="777" w:type="dxa"/>
            <w:vAlign w:val="top"/>
          </w:tcPr>
          <w:p w:rsidR="00B177F0" w:rsidRPr="00CD3FD6" w:rsidRDefault="00B177F0" w:rsidP="00B177F0">
            <w:pPr>
              <w:pStyle w:val="TableText"/>
            </w:pPr>
            <w:r w:rsidRPr="00224D49">
              <w:t>188</w:t>
            </w:r>
          </w:p>
        </w:tc>
      </w:tr>
      <w:tr w:rsidR="00B177F0" w:rsidTr="00CD3FD6">
        <w:tc>
          <w:tcPr>
            <w:tcW w:w="2970" w:type="dxa"/>
            <w:vAlign w:val="top"/>
          </w:tcPr>
          <w:p w:rsidR="00B177F0" w:rsidRPr="00CD3FD6" w:rsidRDefault="00B177F0" w:rsidP="00A34255">
            <w:pPr>
              <w:pStyle w:val="TableText"/>
              <w:rPr>
                <w:sz w:val="19"/>
                <w:szCs w:val="19"/>
              </w:rPr>
            </w:pPr>
            <w:r w:rsidRPr="00CD3FD6">
              <w:rPr>
                <w:sz w:val="19"/>
                <w:szCs w:val="19"/>
              </w:rPr>
              <w:t>Vic Murray HRWS</w:t>
            </w:r>
          </w:p>
        </w:tc>
        <w:tc>
          <w:tcPr>
            <w:tcW w:w="866"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224D49">
              <w:t>6</w:t>
            </w:r>
          </w:p>
        </w:tc>
        <w:tc>
          <w:tcPr>
            <w:tcW w:w="776" w:type="dxa"/>
            <w:vAlign w:val="top"/>
          </w:tcPr>
          <w:p w:rsidR="00B177F0" w:rsidRPr="00CD3FD6" w:rsidRDefault="00B177F0" w:rsidP="00B177F0">
            <w:pPr>
              <w:pStyle w:val="TableText"/>
            </w:pPr>
            <w:r w:rsidRPr="00224D49">
              <w:t>75</w:t>
            </w:r>
          </w:p>
        </w:tc>
        <w:tc>
          <w:tcPr>
            <w:tcW w:w="777" w:type="dxa"/>
            <w:vAlign w:val="top"/>
          </w:tcPr>
          <w:p w:rsidR="00B177F0" w:rsidRPr="00CD3FD6" w:rsidRDefault="00B177F0" w:rsidP="00B177F0">
            <w:pPr>
              <w:pStyle w:val="TableText"/>
            </w:pPr>
            <w:r w:rsidRPr="00224D49">
              <w:t>138</w:t>
            </w:r>
          </w:p>
        </w:tc>
        <w:tc>
          <w:tcPr>
            <w:tcW w:w="776" w:type="dxa"/>
            <w:vAlign w:val="top"/>
          </w:tcPr>
          <w:p w:rsidR="00B177F0" w:rsidRPr="00CD3FD6" w:rsidRDefault="00B177F0" w:rsidP="00B177F0">
            <w:pPr>
              <w:pStyle w:val="TableText"/>
            </w:pPr>
            <w:r w:rsidRPr="00224D49">
              <w:t>222</w:t>
            </w:r>
          </w:p>
        </w:tc>
        <w:tc>
          <w:tcPr>
            <w:tcW w:w="776" w:type="dxa"/>
            <w:vAlign w:val="top"/>
          </w:tcPr>
          <w:p w:rsidR="00B177F0" w:rsidRPr="00CD3FD6" w:rsidRDefault="00B177F0" w:rsidP="00B177F0">
            <w:pPr>
              <w:pStyle w:val="TableText"/>
            </w:pPr>
            <w:r w:rsidRPr="00224D49">
              <w:t>228</w:t>
            </w:r>
          </w:p>
        </w:tc>
        <w:tc>
          <w:tcPr>
            <w:tcW w:w="776" w:type="dxa"/>
            <w:vAlign w:val="top"/>
          </w:tcPr>
          <w:p w:rsidR="00B177F0" w:rsidRPr="00CD3FD6" w:rsidRDefault="00B177F0" w:rsidP="00B177F0">
            <w:pPr>
              <w:pStyle w:val="TableText"/>
            </w:pPr>
            <w:r w:rsidRPr="00224D49">
              <w:t>229</w:t>
            </w:r>
          </w:p>
        </w:tc>
        <w:tc>
          <w:tcPr>
            <w:tcW w:w="777" w:type="dxa"/>
            <w:vAlign w:val="top"/>
          </w:tcPr>
          <w:p w:rsidR="00B177F0" w:rsidRPr="00CD3FD6" w:rsidRDefault="00B177F0" w:rsidP="00B177F0">
            <w:pPr>
              <w:pStyle w:val="TableText"/>
            </w:pPr>
            <w:r w:rsidRPr="00224D49">
              <w:t>229</w:t>
            </w:r>
          </w:p>
        </w:tc>
      </w:tr>
      <w:tr w:rsidR="00B177F0" w:rsidTr="00CD3FD6">
        <w:trPr>
          <w:cnfStyle w:val="000000100000"/>
        </w:trPr>
        <w:tc>
          <w:tcPr>
            <w:tcW w:w="2970" w:type="dxa"/>
            <w:vAlign w:val="top"/>
          </w:tcPr>
          <w:p w:rsidR="00B177F0" w:rsidRPr="00CD3FD6" w:rsidRDefault="00B177F0" w:rsidP="00A34255">
            <w:pPr>
              <w:pStyle w:val="TableText"/>
              <w:rPr>
                <w:sz w:val="19"/>
                <w:szCs w:val="19"/>
              </w:rPr>
            </w:pPr>
            <w:r w:rsidRPr="00CD3FD6">
              <w:rPr>
                <w:sz w:val="19"/>
                <w:szCs w:val="19"/>
              </w:rPr>
              <w:t>NSW Murray HS</w:t>
            </w:r>
          </w:p>
        </w:tc>
        <w:tc>
          <w:tcPr>
            <w:tcW w:w="866"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CD3FD6">
              <w:t>-</w:t>
            </w:r>
          </w:p>
        </w:tc>
        <w:tc>
          <w:tcPr>
            <w:tcW w:w="777" w:type="dxa"/>
            <w:vAlign w:val="top"/>
          </w:tcPr>
          <w:p w:rsidR="00B177F0" w:rsidRPr="00CD3FD6" w:rsidRDefault="00B177F0" w:rsidP="00B177F0">
            <w:pPr>
              <w:pStyle w:val="TableText"/>
            </w:pPr>
            <w:r w:rsidRPr="00224D49">
              <w:t>1</w:t>
            </w:r>
          </w:p>
        </w:tc>
        <w:tc>
          <w:tcPr>
            <w:tcW w:w="776" w:type="dxa"/>
            <w:vAlign w:val="top"/>
          </w:tcPr>
          <w:p w:rsidR="00B177F0" w:rsidRPr="00CD3FD6" w:rsidRDefault="00B177F0" w:rsidP="00B177F0">
            <w:pPr>
              <w:pStyle w:val="TableText"/>
            </w:pPr>
            <w:r w:rsidRPr="00224D49">
              <w:t>3</w:t>
            </w:r>
          </w:p>
        </w:tc>
        <w:tc>
          <w:tcPr>
            <w:tcW w:w="776" w:type="dxa"/>
            <w:vAlign w:val="top"/>
          </w:tcPr>
          <w:p w:rsidR="00B177F0" w:rsidRPr="00CD3FD6" w:rsidRDefault="00B177F0" w:rsidP="00B177F0">
            <w:pPr>
              <w:pStyle w:val="TableText"/>
            </w:pPr>
            <w:r w:rsidRPr="00224D49">
              <w:t>9</w:t>
            </w:r>
          </w:p>
        </w:tc>
        <w:tc>
          <w:tcPr>
            <w:tcW w:w="776" w:type="dxa"/>
            <w:vAlign w:val="top"/>
          </w:tcPr>
          <w:p w:rsidR="00B177F0" w:rsidRPr="00CD3FD6" w:rsidRDefault="00B177F0" w:rsidP="00B177F0">
            <w:pPr>
              <w:pStyle w:val="TableText"/>
            </w:pPr>
            <w:r w:rsidRPr="00224D49">
              <w:t>15</w:t>
            </w:r>
          </w:p>
        </w:tc>
        <w:tc>
          <w:tcPr>
            <w:tcW w:w="777" w:type="dxa"/>
            <w:vAlign w:val="top"/>
          </w:tcPr>
          <w:p w:rsidR="00B177F0" w:rsidRPr="00CD3FD6" w:rsidRDefault="00B177F0" w:rsidP="00B177F0">
            <w:pPr>
              <w:pStyle w:val="TableText"/>
            </w:pPr>
            <w:r w:rsidRPr="00224D49">
              <w:t>15</w:t>
            </w:r>
          </w:p>
        </w:tc>
      </w:tr>
      <w:tr w:rsidR="00B177F0" w:rsidTr="00CD3FD6">
        <w:tc>
          <w:tcPr>
            <w:tcW w:w="2970" w:type="dxa"/>
            <w:vAlign w:val="top"/>
          </w:tcPr>
          <w:p w:rsidR="00B177F0" w:rsidRPr="00CD3FD6" w:rsidRDefault="00B177F0" w:rsidP="00A34255">
            <w:pPr>
              <w:pStyle w:val="TableText"/>
              <w:rPr>
                <w:sz w:val="19"/>
                <w:szCs w:val="19"/>
              </w:rPr>
            </w:pPr>
            <w:r w:rsidRPr="00CD3FD6">
              <w:rPr>
                <w:sz w:val="19"/>
                <w:szCs w:val="19"/>
              </w:rPr>
              <w:t>NSW Murrumbidgee HS</w:t>
            </w:r>
          </w:p>
        </w:tc>
        <w:tc>
          <w:tcPr>
            <w:tcW w:w="866"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CD3FD6">
              <w:t>-</w:t>
            </w:r>
          </w:p>
        </w:tc>
        <w:tc>
          <w:tcPr>
            <w:tcW w:w="777"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224D49">
              <w:t>3</w:t>
            </w:r>
          </w:p>
        </w:tc>
        <w:tc>
          <w:tcPr>
            <w:tcW w:w="776" w:type="dxa"/>
            <w:vAlign w:val="top"/>
          </w:tcPr>
          <w:p w:rsidR="00B177F0" w:rsidRPr="00CD3FD6" w:rsidRDefault="00B177F0" w:rsidP="00B177F0">
            <w:pPr>
              <w:pStyle w:val="TableText"/>
            </w:pPr>
            <w:r w:rsidRPr="00224D49">
              <w:t>4</w:t>
            </w:r>
          </w:p>
        </w:tc>
        <w:tc>
          <w:tcPr>
            <w:tcW w:w="776" w:type="dxa"/>
            <w:vAlign w:val="top"/>
          </w:tcPr>
          <w:p w:rsidR="00B177F0" w:rsidRPr="00CD3FD6" w:rsidRDefault="00B177F0" w:rsidP="00B177F0">
            <w:pPr>
              <w:pStyle w:val="TableText"/>
            </w:pPr>
            <w:r w:rsidRPr="00224D49">
              <w:t>5</w:t>
            </w:r>
          </w:p>
        </w:tc>
        <w:tc>
          <w:tcPr>
            <w:tcW w:w="777" w:type="dxa"/>
            <w:vAlign w:val="top"/>
          </w:tcPr>
          <w:p w:rsidR="00B177F0" w:rsidRPr="00CD3FD6" w:rsidRDefault="00B177F0" w:rsidP="00B177F0">
            <w:pPr>
              <w:pStyle w:val="TableText"/>
            </w:pPr>
            <w:r w:rsidRPr="00224D49">
              <w:t>5</w:t>
            </w:r>
          </w:p>
        </w:tc>
      </w:tr>
      <w:tr w:rsidR="00B177F0" w:rsidTr="00CD3FD6">
        <w:trPr>
          <w:cnfStyle w:val="000000100000"/>
        </w:trPr>
        <w:tc>
          <w:tcPr>
            <w:tcW w:w="2970" w:type="dxa"/>
            <w:vAlign w:val="top"/>
          </w:tcPr>
          <w:p w:rsidR="00B177F0" w:rsidRPr="00CD3FD6" w:rsidRDefault="00B177F0" w:rsidP="00A34255">
            <w:pPr>
              <w:pStyle w:val="TableText"/>
              <w:rPr>
                <w:sz w:val="19"/>
                <w:szCs w:val="19"/>
              </w:rPr>
            </w:pPr>
            <w:r w:rsidRPr="00CD3FD6">
              <w:rPr>
                <w:sz w:val="19"/>
                <w:szCs w:val="19"/>
              </w:rPr>
              <w:t>SA Murray HS</w:t>
            </w:r>
          </w:p>
        </w:tc>
        <w:tc>
          <w:tcPr>
            <w:tcW w:w="866"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224D49">
              <w:t>1</w:t>
            </w:r>
          </w:p>
        </w:tc>
        <w:tc>
          <w:tcPr>
            <w:tcW w:w="776" w:type="dxa"/>
            <w:vAlign w:val="top"/>
          </w:tcPr>
          <w:p w:rsidR="00B177F0" w:rsidRPr="00CD3FD6" w:rsidRDefault="00B177F0" w:rsidP="00B177F0">
            <w:pPr>
              <w:pStyle w:val="TableText"/>
            </w:pPr>
            <w:r w:rsidRPr="00224D49">
              <w:t>39</w:t>
            </w:r>
          </w:p>
        </w:tc>
        <w:tc>
          <w:tcPr>
            <w:tcW w:w="777" w:type="dxa"/>
            <w:vAlign w:val="top"/>
          </w:tcPr>
          <w:p w:rsidR="00B177F0" w:rsidRPr="00CD3FD6" w:rsidRDefault="00B177F0" w:rsidP="00B177F0">
            <w:pPr>
              <w:pStyle w:val="TableText"/>
            </w:pPr>
            <w:r w:rsidRPr="00224D49">
              <w:t>67</w:t>
            </w:r>
          </w:p>
        </w:tc>
        <w:tc>
          <w:tcPr>
            <w:tcW w:w="776" w:type="dxa"/>
            <w:vAlign w:val="top"/>
          </w:tcPr>
          <w:p w:rsidR="00B177F0" w:rsidRPr="00CD3FD6" w:rsidRDefault="00B177F0" w:rsidP="00B177F0">
            <w:pPr>
              <w:pStyle w:val="TableText"/>
            </w:pPr>
            <w:r w:rsidRPr="00224D49">
              <w:t>93</w:t>
            </w:r>
          </w:p>
        </w:tc>
        <w:tc>
          <w:tcPr>
            <w:tcW w:w="776" w:type="dxa"/>
            <w:vAlign w:val="top"/>
          </w:tcPr>
          <w:p w:rsidR="00B177F0" w:rsidRPr="00CD3FD6" w:rsidRDefault="00B177F0" w:rsidP="00B177F0">
            <w:pPr>
              <w:pStyle w:val="TableText"/>
            </w:pPr>
            <w:r w:rsidRPr="00224D49">
              <w:t>96</w:t>
            </w:r>
          </w:p>
        </w:tc>
        <w:tc>
          <w:tcPr>
            <w:tcW w:w="776" w:type="dxa"/>
            <w:vAlign w:val="top"/>
          </w:tcPr>
          <w:p w:rsidR="00B177F0" w:rsidRPr="00CD3FD6" w:rsidRDefault="00B177F0" w:rsidP="00B177F0">
            <w:pPr>
              <w:pStyle w:val="TableText"/>
            </w:pPr>
            <w:r w:rsidRPr="00224D49">
              <w:t>96</w:t>
            </w:r>
          </w:p>
        </w:tc>
        <w:tc>
          <w:tcPr>
            <w:tcW w:w="777" w:type="dxa"/>
            <w:vAlign w:val="top"/>
          </w:tcPr>
          <w:p w:rsidR="00B177F0" w:rsidRPr="00CD3FD6" w:rsidRDefault="00B177F0" w:rsidP="00B177F0">
            <w:pPr>
              <w:pStyle w:val="TableText"/>
            </w:pPr>
            <w:r w:rsidRPr="00224D49">
              <w:t>96</w:t>
            </w:r>
          </w:p>
        </w:tc>
      </w:tr>
      <w:tr w:rsidR="00B177F0" w:rsidTr="00CD3FD6">
        <w:tc>
          <w:tcPr>
            <w:tcW w:w="2970" w:type="dxa"/>
            <w:vAlign w:val="top"/>
          </w:tcPr>
          <w:p w:rsidR="00B177F0" w:rsidRPr="00CD3FD6" w:rsidRDefault="00B177F0" w:rsidP="00A34255">
            <w:pPr>
              <w:pStyle w:val="TableText"/>
              <w:rPr>
                <w:sz w:val="19"/>
                <w:szCs w:val="19"/>
              </w:rPr>
            </w:pPr>
            <w:r w:rsidRPr="00CD3FD6">
              <w:rPr>
                <w:sz w:val="19"/>
                <w:szCs w:val="19"/>
              </w:rPr>
              <w:t>Vic 1A Greater Goulburn LRWS</w:t>
            </w:r>
          </w:p>
        </w:tc>
        <w:tc>
          <w:tcPr>
            <w:tcW w:w="866"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224D49">
              <w:t>1</w:t>
            </w:r>
          </w:p>
        </w:tc>
        <w:tc>
          <w:tcPr>
            <w:tcW w:w="776" w:type="dxa"/>
            <w:vAlign w:val="top"/>
          </w:tcPr>
          <w:p w:rsidR="00B177F0" w:rsidRPr="00CD3FD6" w:rsidRDefault="00B177F0" w:rsidP="00B177F0">
            <w:pPr>
              <w:pStyle w:val="TableText"/>
            </w:pPr>
            <w:r w:rsidRPr="00224D49">
              <w:t>10</w:t>
            </w:r>
          </w:p>
        </w:tc>
        <w:tc>
          <w:tcPr>
            <w:tcW w:w="777" w:type="dxa"/>
            <w:vAlign w:val="top"/>
          </w:tcPr>
          <w:p w:rsidR="00B177F0" w:rsidRPr="00CD3FD6" w:rsidRDefault="00B177F0" w:rsidP="00B177F0">
            <w:pPr>
              <w:pStyle w:val="TableText"/>
            </w:pPr>
            <w:r w:rsidRPr="00224D49">
              <w:t>11</w:t>
            </w:r>
          </w:p>
        </w:tc>
        <w:tc>
          <w:tcPr>
            <w:tcW w:w="776" w:type="dxa"/>
            <w:vAlign w:val="top"/>
          </w:tcPr>
          <w:p w:rsidR="00B177F0" w:rsidRPr="00CD3FD6" w:rsidRDefault="00B177F0" w:rsidP="00B177F0">
            <w:pPr>
              <w:pStyle w:val="TableText"/>
            </w:pPr>
            <w:r w:rsidRPr="00224D49">
              <w:t>11</w:t>
            </w:r>
          </w:p>
        </w:tc>
        <w:tc>
          <w:tcPr>
            <w:tcW w:w="776" w:type="dxa"/>
            <w:vAlign w:val="top"/>
          </w:tcPr>
          <w:p w:rsidR="00B177F0" w:rsidRPr="00CD3FD6" w:rsidRDefault="00B177F0" w:rsidP="00B177F0">
            <w:pPr>
              <w:pStyle w:val="TableText"/>
            </w:pPr>
            <w:r w:rsidRPr="00224D49">
              <w:t>11</w:t>
            </w:r>
          </w:p>
        </w:tc>
        <w:tc>
          <w:tcPr>
            <w:tcW w:w="776" w:type="dxa"/>
            <w:vAlign w:val="top"/>
          </w:tcPr>
          <w:p w:rsidR="00B177F0" w:rsidRPr="00CD3FD6" w:rsidRDefault="00B177F0" w:rsidP="00B177F0">
            <w:pPr>
              <w:pStyle w:val="TableText"/>
            </w:pPr>
            <w:r w:rsidRPr="00224D49">
              <w:t>11</w:t>
            </w:r>
          </w:p>
        </w:tc>
        <w:tc>
          <w:tcPr>
            <w:tcW w:w="777" w:type="dxa"/>
            <w:vAlign w:val="top"/>
          </w:tcPr>
          <w:p w:rsidR="00B177F0" w:rsidRPr="00CD3FD6" w:rsidRDefault="00B177F0" w:rsidP="00B177F0">
            <w:pPr>
              <w:pStyle w:val="TableText"/>
            </w:pPr>
            <w:r w:rsidRPr="00224D49">
              <w:t>11</w:t>
            </w:r>
          </w:p>
        </w:tc>
      </w:tr>
      <w:tr w:rsidR="00B177F0" w:rsidTr="00CD3FD6">
        <w:trPr>
          <w:cnfStyle w:val="000000100000"/>
        </w:trPr>
        <w:tc>
          <w:tcPr>
            <w:tcW w:w="2970" w:type="dxa"/>
            <w:vAlign w:val="top"/>
          </w:tcPr>
          <w:p w:rsidR="00B177F0" w:rsidRPr="00CD3FD6" w:rsidRDefault="00B177F0" w:rsidP="00A34255">
            <w:pPr>
              <w:pStyle w:val="TableText"/>
              <w:rPr>
                <w:sz w:val="19"/>
                <w:szCs w:val="19"/>
              </w:rPr>
            </w:pPr>
            <w:r w:rsidRPr="00CD3FD6">
              <w:rPr>
                <w:sz w:val="19"/>
                <w:szCs w:val="19"/>
              </w:rPr>
              <w:t>Vic Murray LRWS</w:t>
            </w:r>
          </w:p>
        </w:tc>
        <w:tc>
          <w:tcPr>
            <w:tcW w:w="866"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224D49">
              <w:t>1</w:t>
            </w:r>
          </w:p>
        </w:tc>
        <w:tc>
          <w:tcPr>
            <w:tcW w:w="776" w:type="dxa"/>
            <w:vAlign w:val="top"/>
          </w:tcPr>
          <w:p w:rsidR="00B177F0" w:rsidRPr="00CD3FD6" w:rsidRDefault="00B177F0" w:rsidP="00B177F0">
            <w:pPr>
              <w:pStyle w:val="TableText"/>
            </w:pPr>
            <w:r w:rsidRPr="00224D49">
              <w:t>10</w:t>
            </w:r>
          </w:p>
        </w:tc>
        <w:tc>
          <w:tcPr>
            <w:tcW w:w="777" w:type="dxa"/>
            <w:vAlign w:val="top"/>
          </w:tcPr>
          <w:p w:rsidR="00B177F0" w:rsidRPr="00CD3FD6" w:rsidRDefault="00B177F0" w:rsidP="00B177F0">
            <w:pPr>
              <w:pStyle w:val="TableText"/>
            </w:pPr>
            <w:r w:rsidRPr="00224D49">
              <w:t>11</w:t>
            </w:r>
          </w:p>
        </w:tc>
        <w:tc>
          <w:tcPr>
            <w:tcW w:w="776" w:type="dxa"/>
            <w:vAlign w:val="top"/>
          </w:tcPr>
          <w:p w:rsidR="00B177F0" w:rsidRPr="00CD3FD6" w:rsidRDefault="00B177F0" w:rsidP="00B177F0">
            <w:pPr>
              <w:pStyle w:val="TableText"/>
            </w:pPr>
            <w:r w:rsidRPr="00224D49">
              <w:t>11</w:t>
            </w:r>
          </w:p>
        </w:tc>
        <w:tc>
          <w:tcPr>
            <w:tcW w:w="776" w:type="dxa"/>
            <w:vAlign w:val="top"/>
          </w:tcPr>
          <w:p w:rsidR="00B177F0" w:rsidRPr="00CD3FD6" w:rsidRDefault="00B177F0" w:rsidP="00B177F0">
            <w:pPr>
              <w:pStyle w:val="TableText"/>
            </w:pPr>
            <w:r w:rsidRPr="00224D49">
              <w:t>11</w:t>
            </w:r>
          </w:p>
        </w:tc>
        <w:tc>
          <w:tcPr>
            <w:tcW w:w="776" w:type="dxa"/>
            <w:vAlign w:val="top"/>
          </w:tcPr>
          <w:p w:rsidR="00B177F0" w:rsidRPr="00CD3FD6" w:rsidRDefault="00B177F0" w:rsidP="00B177F0">
            <w:pPr>
              <w:pStyle w:val="TableText"/>
            </w:pPr>
            <w:r w:rsidRPr="00224D49">
              <w:t>11</w:t>
            </w:r>
          </w:p>
        </w:tc>
        <w:tc>
          <w:tcPr>
            <w:tcW w:w="777" w:type="dxa"/>
            <w:vAlign w:val="top"/>
          </w:tcPr>
          <w:p w:rsidR="00B177F0" w:rsidRPr="00CD3FD6" w:rsidRDefault="00B177F0" w:rsidP="00B177F0">
            <w:pPr>
              <w:pStyle w:val="TableText"/>
            </w:pPr>
            <w:r w:rsidRPr="00224D49">
              <w:t>11</w:t>
            </w:r>
          </w:p>
        </w:tc>
      </w:tr>
      <w:tr w:rsidR="00B177F0" w:rsidTr="00CD3FD6">
        <w:tc>
          <w:tcPr>
            <w:tcW w:w="2970" w:type="dxa"/>
            <w:vAlign w:val="top"/>
          </w:tcPr>
          <w:p w:rsidR="00B177F0" w:rsidRPr="00CD3FD6" w:rsidRDefault="00B177F0" w:rsidP="00A34255">
            <w:pPr>
              <w:pStyle w:val="TableText"/>
              <w:rPr>
                <w:sz w:val="19"/>
                <w:szCs w:val="19"/>
              </w:rPr>
            </w:pPr>
            <w:r w:rsidRPr="00CD3FD6">
              <w:rPr>
                <w:sz w:val="19"/>
                <w:szCs w:val="19"/>
              </w:rPr>
              <w:t>NSW Murray GS</w:t>
            </w:r>
          </w:p>
        </w:tc>
        <w:tc>
          <w:tcPr>
            <w:tcW w:w="866"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224D49">
              <w:t>8</w:t>
            </w:r>
          </w:p>
        </w:tc>
        <w:tc>
          <w:tcPr>
            <w:tcW w:w="776" w:type="dxa"/>
            <w:vAlign w:val="top"/>
          </w:tcPr>
          <w:p w:rsidR="00B177F0" w:rsidRPr="00CD3FD6" w:rsidRDefault="00B177F0" w:rsidP="00B177F0">
            <w:pPr>
              <w:pStyle w:val="TableText"/>
            </w:pPr>
            <w:r w:rsidRPr="00224D49">
              <w:t>171</w:t>
            </w:r>
          </w:p>
        </w:tc>
        <w:tc>
          <w:tcPr>
            <w:tcW w:w="777" w:type="dxa"/>
            <w:vAlign w:val="top"/>
          </w:tcPr>
          <w:p w:rsidR="00B177F0" w:rsidRPr="00CD3FD6" w:rsidRDefault="00B177F0" w:rsidP="00B177F0">
            <w:pPr>
              <w:pStyle w:val="TableText"/>
            </w:pPr>
            <w:r w:rsidRPr="00224D49">
              <w:t>195</w:t>
            </w:r>
          </w:p>
        </w:tc>
        <w:tc>
          <w:tcPr>
            <w:tcW w:w="776" w:type="dxa"/>
            <w:vAlign w:val="top"/>
          </w:tcPr>
          <w:p w:rsidR="00B177F0" w:rsidRPr="00CD3FD6" w:rsidRDefault="00B177F0" w:rsidP="00B177F0">
            <w:pPr>
              <w:pStyle w:val="TableText"/>
            </w:pPr>
            <w:r w:rsidRPr="00224D49">
              <w:t>218</w:t>
            </w:r>
          </w:p>
        </w:tc>
        <w:tc>
          <w:tcPr>
            <w:tcW w:w="776" w:type="dxa"/>
            <w:vAlign w:val="top"/>
          </w:tcPr>
          <w:p w:rsidR="00B177F0" w:rsidRPr="00CD3FD6" w:rsidRDefault="00B177F0" w:rsidP="00B177F0">
            <w:pPr>
              <w:pStyle w:val="TableText"/>
            </w:pPr>
            <w:r w:rsidRPr="00224D49">
              <w:t>248</w:t>
            </w:r>
          </w:p>
        </w:tc>
        <w:tc>
          <w:tcPr>
            <w:tcW w:w="776" w:type="dxa"/>
            <w:vAlign w:val="top"/>
          </w:tcPr>
          <w:p w:rsidR="00B177F0" w:rsidRPr="00CD3FD6" w:rsidRDefault="00B177F0" w:rsidP="00B177F0">
            <w:pPr>
              <w:pStyle w:val="TableText"/>
            </w:pPr>
            <w:r w:rsidRPr="00224D49">
              <w:t>253</w:t>
            </w:r>
          </w:p>
        </w:tc>
        <w:tc>
          <w:tcPr>
            <w:tcW w:w="777" w:type="dxa"/>
            <w:vAlign w:val="top"/>
          </w:tcPr>
          <w:p w:rsidR="00B177F0" w:rsidRPr="00CD3FD6" w:rsidRDefault="00B177F0" w:rsidP="00B177F0">
            <w:pPr>
              <w:pStyle w:val="TableText"/>
            </w:pPr>
            <w:r w:rsidRPr="00224D49">
              <w:t>253</w:t>
            </w:r>
          </w:p>
        </w:tc>
      </w:tr>
      <w:tr w:rsidR="00B177F0" w:rsidTr="00CD3FD6">
        <w:trPr>
          <w:cnfStyle w:val="000000100000"/>
        </w:trPr>
        <w:tc>
          <w:tcPr>
            <w:tcW w:w="2970" w:type="dxa"/>
            <w:vAlign w:val="top"/>
          </w:tcPr>
          <w:p w:rsidR="00B177F0" w:rsidRPr="00CD3FD6" w:rsidRDefault="00B177F0" w:rsidP="00A34255">
            <w:pPr>
              <w:pStyle w:val="TableText"/>
              <w:rPr>
                <w:sz w:val="19"/>
                <w:szCs w:val="19"/>
              </w:rPr>
            </w:pPr>
            <w:r w:rsidRPr="00CD3FD6">
              <w:rPr>
                <w:sz w:val="19"/>
                <w:szCs w:val="19"/>
              </w:rPr>
              <w:t>NSW Murrumbidgee GS</w:t>
            </w:r>
          </w:p>
        </w:tc>
        <w:tc>
          <w:tcPr>
            <w:tcW w:w="866" w:type="dxa"/>
            <w:vAlign w:val="top"/>
          </w:tcPr>
          <w:p w:rsidR="00B177F0" w:rsidRPr="00CD3FD6" w:rsidRDefault="00B177F0" w:rsidP="00B177F0">
            <w:pPr>
              <w:pStyle w:val="TableText"/>
            </w:pPr>
            <w:r w:rsidRPr="00CD3FD6">
              <w:t>-</w:t>
            </w:r>
          </w:p>
        </w:tc>
        <w:tc>
          <w:tcPr>
            <w:tcW w:w="776" w:type="dxa"/>
            <w:vAlign w:val="top"/>
          </w:tcPr>
          <w:p w:rsidR="00B177F0" w:rsidRPr="00CD3FD6" w:rsidRDefault="00B177F0" w:rsidP="00B177F0">
            <w:pPr>
              <w:pStyle w:val="TableText"/>
            </w:pPr>
            <w:r w:rsidRPr="00224D49">
              <w:t>14</w:t>
            </w:r>
          </w:p>
        </w:tc>
        <w:tc>
          <w:tcPr>
            <w:tcW w:w="776" w:type="dxa"/>
            <w:vAlign w:val="top"/>
          </w:tcPr>
          <w:p w:rsidR="00B177F0" w:rsidRPr="00CD3FD6" w:rsidRDefault="00B177F0" w:rsidP="00B177F0">
            <w:pPr>
              <w:pStyle w:val="TableText"/>
            </w:pPr>
            <w:r w:rsidRPr="00224D49">
              <w:t>64</w:t>
            </w:r>
          </w:p>
        </w:tc>
        <w:tc>
          <w:tcPr>
            <w:tcW w:w="777" w:type="dxa"/>
            <w:vAlign w:val="top"/>
          </w:tcPr>
          <w:p w:rsidR="00B177F0" w:rsidRPr="00CD3FD6" w:rsidRDefault="00B177F0" w:rsidP="00B177F0">
            <w:pPr>
              <w:pStyle w:val="TableText"/>
            </w:pPr>
            <w:r w:rsidRPr="00224D49">
              <w:t>99</w:t>
            </w:r>
          </w:p>
        </w:tc>
        <w:tc>
          <w:tcPr>
            <w:tcW w:w="776" w:type="dxa"/>
            <w:vAlign w:val="top"/>
          </w:tcPr>
          <w:p w:rsidR="00B177F0" w:rsidRPr="00CD3FD6" w:rsidRDefault="00B177F0" w:rsidP="00B177F0">
            <w:pPr>
              <w:pStyle w:val="TableText"/>
            </w:pPr>
            <w:r w:rsidRPr="00224D49">
              <w:t>152</w:t>
            </w:r>
          </w:p>
        </w:tc>
        <w:tc>
          <w:tcPr>
            <w:tcW w:w="776" w:type="dxa"/>
            <w:vAlign w:val="top"/>
          </w:tcPr>
          <w:p w:rsidR="00B177F0" w:rsidRPr="00CD3FD6" w:rsidRDefault="00B177F0" w:rsidP="00B177F0">
            <w:pPr>
              <w:pStyle w:val="TableText"/>
            </w:pPr>
            <w:r w:rsidRPr="00224D49">
              <w:t>184</w:t>
            </w:r>
          </w:p>
        </w:tc>
        <w:tc>
          <w:tcPr>
            <w:tcW w:w="776" w:type="dxa"/>
            <w:vAlign w:val="top"/>
          </w:tcPr>
          <w:p w:rsidR="00B177F0" w:rsidRPr="00CD3FD6" w:rsidRDefault="00B177F0" w:rsidP="00B177F0">
            <w:pPr>
              <w:pStyle w:val="TableText"/>
            </w:pPr>
            <w:r w:rsidRPr="00224D49">
              <w:t>189</w:t>
            </w:r>
          </w:p>
        </w:tc>
        <w:tc>
          <w:tcPr>
            <w:tcW w:w="777" w:type="dxa"/>
            <w:vAlign w:val="top"/>
          </w:tcPr>
          <w:p w:rsidR="00B177F0" w:rsidRPr="00CD3FD6" w:rsidRDefault="00B177F0" w:rsidP="00B177F0">
            <w:pPr>
              <w:pStyle w:val="TableText"/>
            </w:pPr>
            <w:r w:rsidRPr="00224D49">
              <w:t>189</w:t>
            </w:r>
          </w:p>
        </w:tc>
      </w:tr>
      <w:tr w:rsidR="00B177F0" w:rsidTr="00CD3FD6">
        <w:tc>
          <w:tcPr>
            <w:tcW w:w="2970" w:type="dxa"/>
            <w:vAlign w:val="top"/>
          </w:tcPr>
          <w:p w:rsidR="00B177F0" w:rsidRPr="00CD3FD6" w:rsidRDefault="00B177F0" w:rsidP="00A34255">
            <w:pPr>
              <w:pStyle w:val="TableText"/>
              <w:rPr>
                <w:b/>
                <w:sz w:val="19"/>
                <w:szCs w:val="19"/>
              </w:rPr>
            </w:pPr>
            <w:r w:rsidRPr="00CD3FD6">
              <w:rPr>
                <w:b/>
                <w:sz w:val="19"/>
                <w:szCs w:val="19"/>
              </w:rPr>
              <w:t xml:space="preserve">Total </w:t>
            </w:r>
          </w:p>
        </w:tc>
        <w:tc>
          <w:tcPr>
            <w:tcW w:w="866" w:type="dxa"/>
            <w:vAlign w:val="top"/>
          </w:tcPr>
          <w:p w:rsidR="00B177F0" w:rsidRPr="00B177F0" w:rsidRDefault="00B177F0" w:rsidP="00B177F0">
            <w:pPr>
              <w:pStyle w:val="TableText"/>
              <w:rPr>
                <w:b/>
              </w:rPr>
            </w:pPr>
            <w:r w:rsidRPr="00B177F0">
              <w:rPr>
                <w:b/>
              </w:rPr>
              <w:t>0</w:t>
            </w:r>
          </w:p>
        </w:tc>
        <w:tc>
          <w:tcPr>
            <w:tcW w:w="776" w:type="dxa"/>
            <w:vAlign w:val="top"/>
          </w:tcPr>
          <w:p w:rsidR="00B177F0" w:rsidRPr="00B177F0" w:rsidRDefault="00B177F0" w:rsidP="00B177F0">
            <w:pPr>
              <w:pStyle w:val="TableText"/>
              <w:rPr>
                <w:b/>
              </w:rPr>
            </w:pPr>
            <w:r w:rsidRPr="00B177F0">
              <w:rPr>
                <w:b/>
              </w:rPr>
              <w:t>32</w:t>
            </w:r>
          </w:p>
        </w:tc>
        <w:tc>
          <w:tcPr>
            <w:tcW w:w="776" w:type="dxa"/>
            <w:vAlign w:val="top"/>
          </w:tcPr>
          <w:p w:rsidR="00B177F0" w:rsidRPr="00B177F0" w:rsidRDefault="00B177F0" w:rsidP="00B177F0">
            <w:pPr>
              <w:pStyle w:val="TableText"/>
              <w:rPr>
                <w:b/>
              </w:rPr>
            </w:pPr>
            <w:r w:rsidRPr="00B177F0">
              <w:rPr>
                <w:b/>
              </w:rPr>
              <w:t>424</w:t>
            </w:r>
          </w:p>
        </w:tc>
        <w:tc>
          <w:tcPr>
            <w:tcW w:w="777" w:type="dxa"/>
            <w:vAlign w:val="top"/>
          </w:tcPr>
          <w:p w:rsidR="00B177F0" w:rsidRPr="00B177F0" w:rsidRDefault="00B177F0" w:rsidP="00B177F0">
            <w:pPr>
              <w:pStyle w:val="TableText"/>
              <w:rPr>
                <w:b/>
              </w:rPr>
            </w:pPr>
            <w:r w:rsidRPr="00B177F0">
              <w:rPr>
                <w:b/>
              </w:rPr>
              <w:t>618</w:t>
            </w:r>
          </w:p>
        </w:tc>
        <w:tc>
          <w:tcPr>
            <w:tcW w:w="776" w:type="dxa"/>
            <w:vAlign w:val="top"/>
          </w:tcPr>
          <w:p w:rsidR="00B177F0" w:rsidRPr="00B177F0" w:rsidRDefault="00B177F0" w:rsidP="00B177F0">
            <w:pPr>
              <w:pStyle w:val="TableText"/>
              <w:rPr>
                <w:b/>
              </w:rPr>
            </w:pPr>
            <w:r w:rsidRPr="00B177F0">
              <w:rPr>
                <w:b/>
              </w:rPr>
              <w:t>895</w:t>
            </w:r>
          </w:p>
        </w:tc>
        <w:tc>
          <w:tcPr>
            <w:tcW w:w="776" w:type="dxa"/>
            <w:vAlign w:val="top"/>
          </w:tcPr>
          <w:p w:rsidR="00B177F0" w:rsidRPr="00B177F0" w:rsidRDefault="00B177F0" w:rsidP="00B177F0">
            <w:pPr>
              <w:pStyle w:val="TableText"/>
              <w:rPr>
                <w:b/>
              </w:rPr>
            </w:pPr>
            <w:r w:rsidRPr="00B177F0">
              <w:rPr>
                <w:b/>
              </w:rPr>
              <w:t>978</w:t>
            </w:r>
          </w:p>
        </w:tc>
        <w:tc>
          <w:tcPr>
            <w:tcW w:w="776" w:type="dxa"/>
            <w:vAlign w:val="top"/>
          </w:tcPr>
          <w:p w:rsidR="00B177F0" w:rsidRPr="00B177F0" w:rsidRDefault="00B177F0" w:rsidP="00B177F0">
            <w:pPr>
              <w:pStyle w:val="TableText"/>
              <w:rPr>
                <w:b/>
              </w:rPr>
            </w:pPr>
            <w:r w:rsidRPr="00B177F0">
              <w:rPr>
                <w:b/>
              </w:rPr>
              <w:t>995</w:t>
            </w:r>
          </w:p>
        </w:tc>
        <w:tc>
          <w:tcPr>
            <w:tcW w:w="777" w:type="dxa"/>
            <w:vAlign w:val="top"/>
          </w:tcPr>
          <w:p w:rsidR="00B177F0" w:rsidRPr="00B177F0" w:rsidRDefault="00B177F0" w:rsidP="00B177F0">
            <w:pPr>
              <w:pStyle w:val="TableText"/>
              <w:rPr>
                <w:b/>
              </w:rPr>
            </w:pPr>
            <w:r w:rsidRPr="00B177F0">
              <w:rPr>
                <w:b/>
              </w:rPr>
              <w:t>996</w:t>
            </w:r>
          </w:p>
        </w:tc>
      </w:tr>
    </w:tbl>
    <w:p w:rsidR="00615CE1" w:rsidRDefault="00615CE1" w:rsidP="00615CE1">
      <w:pPr>
        <w:pStyle w:val="TFIHolderSmallSpace"/>
      </w:pPr>
    </w:p>
    <w:p w:rsidR="00615CE1" w:rsidRDefault="00615CE1" w:rsidP="00615CE1">
      <w:pPr>
        <w:pStyle w:val="TFNoteSourceTab"/>
      </w:pPr>
      <w:r>
        <w:t>Source:</w:t>
      </w:r>
      <w:r>
        <w:tab/>
      </w:r>
      <w:r w:rsidR="00261F1A" w:rsidRPr="00261F1A">
        <w:t xml:space="preserve">Based on Commonwealth water purchase data provided to </w:t>
      </w:r>
      <w:proofErr w:type="spellStart"/>
      <w:r w:rsidR="00261F1A" w:rsidRPr="00261F1A">
        <w:t>Aither</w:t>
      </w:r>
      <w:proofErr w:type="spellEnd"/>
      <w:r w:rsidR="00261F1A" w:rsidRPr="00261F1A">
        <w:t xml:space="preserve"> by the Department of the Environment.</w:t>
      </w:r>
    </w:p>
    <w:p w:rsidR="00853EB3" w:rsidRDefault="00B1230D" w:rsidP="00853EB3">
      <w:pPr>
        <w:pStyle w:val="TFNoteSourceTab"/>
      </w:pPr>
      <w:r>
        <w:t>Note:</w:t>
      </w:r>
      <w:r>
        <w:tab/>
      </w:r>
      <w:r w:rsidR="00853EB3">
        <w:t>1) While water was purchased by the Commonwealth</w:t>
      </w:r>
      <w:r w:rsidR="004C5CCF" w:rsidRPr="004C5CCF">
        <w:t xml:space="preserve"> </w:t>
      </w:r>
      <w:r w:rsidR="004C5CCF">
        <w:t>Government</w:t>
      </w:r>
      <w:r w:rsidR="00853EB3">
        <w:t xml:space="preserve"> in 2007-08, </w:t>
      </w:r>
      <w:proofErr w:type="spellStart"/>
      <w:r w:rsidR="00853EB3">
        <w:t>Aither</w:t>
      </w:r>
      <w:proofErr w:type="spellEnd"/>
      <w:r w:rsidR="00853EB3">
        <w:t xml:space="preserve"> has assumed that these entitlements would not have been registered to the Commonwealth </w:t>
      </w:r>
      <w:r w:rsidR="004C5CCF">
        <w:t xml:space="preserve">Government </w:t>
      </w:r>
      <w:r w:rsidR="00853EB3">
        <w:t>until the beginning of the next water year – i.e. the Commonwealth</w:t>
      </w:r>
      <w:r w:rsidR="004C5CCF" w:rsidRPr="004C5CCF">
        <w:t xml:space="preserve"> </w:t>
      </w:r>
      <w:r w:rsidR="004C5CCF">
        <w:t>Government</w:t>
      </w:r>
      <w:r w:rsidR="00853EB3">
        <w:t xml:space="preserve"> would not have received any water allocations from these entitlements in the year in which they were purchased.</w:t>
      </w:r>
      <w:r w:rsidR="004C5CCF">
        <w:t xml:space="preserve"> This assumption was confirmed with the Department of the Environment. </w:t>
      </w:r>
      <w:r w:rsidR="00853EB3">
        <w:t xml:space="preserve"> </w:t>
      </w:r>
    </w:p>
    <w:p w:rsidR="00853EB3" w:rsidRDefault="00853EB3" w:rsidP="000D7D51"/>
    <w:p w:rsidR="00982EFF" w:rsidRDefault="00A34255" w:rsidP="0011224E">
      <w:r>
        <w:t xml:space="preserve">For the 2014-15 water year, </w:t>
      </w:r>
      <w:r w:rsidR="0011224E">
        <w:t xml:space="preserve">these purchases led to the Commonwealth </w:t>
      </w:r>
      <w:r w:rsidR="001361C6">
        <w:t xml:space="preserve">Government </w:t>
      </w:r>
      <w:r w:rsidR="0011224E">
        <w:t xml:space="preserve">receiving </w:t>
      </w:r>
      <w:r w:rsidR="0099232F">
        <w:t xml:space="preserve">15 per cent of </w:t>
      </w:r>
      <w:r w:rsidR="0011224E">
        <w:t xml:space="preserve">total </w:t>
      </w:r>
      <w:r w:rsidR="0099232F">
        <w:t xml:space="preserve">water </w:t>
      </w:r>
      <w:r w:rsidR="00C24986">
        <w:t>allocated</w:t>
      </w:r>
      <w:r w:rsidR="0099232F">
        <w:t xml:space="preserve"> to </w:t>
      </w:r>
      <w:r w:rsidR="00C24986">
        <w:t xml:space="preserve">all </w:t>
      </w:r>
      <w:r w:rsidR="0099232F">
        <w:t>entitlement</w:t>
      </w:r>
      <w:r w:rsidR="001361C6">
        <w:t>s</w:t>
      </w:r>
      <w:r w:rsidR="0099232F">
        <w:t xml:space="preserve"> </w:t>
      </w:r>
      <w:r w:rsidR="0011224E">
        <w:t xml:space="preserve">in the major trading zones of the </w:t>
      </w:r>
      <w:proofErr w:type="spellStart"/>
      <w:r w:rsidR="0011224E">
        <w:t>sMDB</w:t>
      </w:r>
      <w:proofErr w:type="spellEnd"/>
      <w:r w:rsidR="0011224E">
        <w:t>.</w:t>
      </w:r>
      <w:r w:rsidR="004C5CCF">
        <w:rPr>
          <w:rStyle w:val="FootnoteReference"/>
        </w:rPr>
        <w:footnoteReference w:id="13"/>
      </w:r>
      <w:r>
        <w:t xml:space="preserve"> </w:t>
      </w:r>
      <w:r w:rsidR="00306798">
        <w:fldChar w:fldCharType="begin"/>
      </w:r>
      <w:r w:rsidR="00982EFF">
        <w:instrText xml:space="preserve"> REF _Ref430692077 \h </w:instrText>
      </w:r>
      <w:r w:rsidR="00306798">
        <w:fldChar w:fldCharType="separate"/>
      </w:r>
      <w:r w:rsidR="00EB2418">
        <w:t xml:space="preserve">Figure </w:t>
      </w:r>
      <w:r w:rsidR="00EB2418">
        <w:rPr>
          <w:noProof/>
        </w:rPr>
        <w:t>4</w:t>
      </w:r>
      <w:r w:rsidR="00306798">
        <w:fldChar w:fldCharType="end"/>
      </w:r>
      <w:r w:rsidR="00933AAA">
        <w:t xml:space="preserve"> and </w:t>
      </w:r>
      <w:r w:rsidR="00306798">
        <w:fldChar w:fldCharType="begin"/>
      </w:r>
      <w:r w:rsidR="003C6B24">
        <w:instrText xml:space="preserve"> REF _Ref430944830 \h </w:instrText>
      </w:r>
      <w:r w:rsidR="00306798">
        <w:fldChar w:fldCharType="separate"/>
      </w:r>
      <w:r w:rsidR="00EB2418" w:rsidRPr="00894869">
        <w:t xml:space="preserve">Table </w:t>
      </w:r>
      <w:r w:rsidR="00EB2418">
        <w:rPr>
          <w:noProof/>
        </w:rPr>
        <w:t>2</w:t>
      </w:r>
      <w:r w:rsidR="00306798">
        <w:fldChar w:fldCharType="end"/>
      </w:r>
      <w:r w:rsidR="00982EFF">
        <w:t xml:space="preserve"> present the impact that Commonwealth</w:t>
      </w:r>
      <w:r w:rsidR="00043651">
        <w:t xml:space="preserve"> water</w:t>
      </w:r>
      <w:r w:rsidR="00982EFF">
        <w:t xml:space="preserve"> purchases have had on the </w:t>
      </w:r>
      <w:r w:rsidR="00C24986">
        <w:t>volume of w</w:t>
      </w:r>
      <w:r w:rsidR="00C24986" w:rsidRPr="00C24986">
        <w:t xml:space="preserve">ater </w:t>
      </w:r>
      <w:r w:rsidR="002760F5">
        <w:t>allocated that is available for consumptive</w:t>
      </w:r>
      <w:r w:rsidR="00C24986" w:rsidRPr="00C24986">
        <w:t xml:space="preserve"> use</w:t>
      </w:r>
      <w:r w:rsidR="00C24986">
        <w:t xml:space="preserve"> </w:t>
      </w:r>
      <w:r w:rsidR="00982EFF">
        <w:t>si</w:t>
      </w:r>
      <w:r w:rsidR="00A5000A">
        <w:t xml:space="preserve">nce purchases </w:t>
      </w:r>
      <w:r w:rsidR="008F28E9">
        <w:t>commenced</w:t>
      </w:r>
      <w:r w:rsidR="00A5000A">
        <w:t>.</w:t>
      </w:r>
      <w:r w:rsidR="003C6B24">
        <w:t xml:space="preserve"> As the </w:t>
      </w:r>
      <w:r w:rsidR="00C24986">
        <w:t xml:space="preserve">cumulative </w:t>
      </w:r>
      <w:r w:rsidR="003C6B24">
        <w:t xml:space="preserve">portfolio of Commonwealth water purchases </w:t>
      </w:r>
      <w:r w:rsidR="00C24986">
        <w:t xml:space="preserve">has </w:t>
      </w:r>
      <w:r w:rsidR="003C6B24">
        <w:t xml:space="preserve">grown, so has the overall reduction in the </w:t>
      </w:r>
      <w:r w:rsidR="00C24986">
        <w:t>volume of w</w:t>
      </w:r>
      <w:r w:rsidR="00C24986" w:rsidRPr="00C24986">
        <w:t xml:space="preserve">ater </w:t>
      </w:r>
      <w:r w:rsidR="002760F5">
        <w:t>allocated that is available for consumptive</w:t>
      </w:r>
      <w:r w:rsidR="00C24986" w:rsidRPr="00C24986">
        <w:t xml:space="preserve"> use</w:t>
      </w:r>
      <w:r w:rsidR="009B38F7">
        <w:t xml:space="preserve"> – which was one of the central aims of the purchases</w:t>
      </w:r>
      <w:r w:rsidR="003C6B24">
        <w:t xml:space="preserve">. </w:t>
      </w:r>
    </w:p>
    <w:p w:rsidR="00A34255" w:rsidRDefault="00C24986" w:rsidP="00C24986">
      <w:r>
        <w:rPr>
          <w:noProof/>
        </w:rPr>
        <w:lastRenderedPageBreak/>
        <w:drawing>
          <wp:inline distT="0" distB="0" distL="0" distR="0">
            <wp:extent cx="5617289" cy="247650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0707" cy="2478007"/>
                    </a:xfrm>
                    <a:prstGeom prst="rect">
                      <a:avLst/>
                    </a:prstGeom>
                    <a:noFill/>
                  </pic:spPr>
                </pic:pic>
              </a:graphicData>
            </a:graphic>
          </wp:inline>
        </w:drawing>
      </w:r>
    </w:p>
    <w:p w:rsidR="00742C11" w:rsidRDefault="00742C11" w:rsidP="00382D62">
      <w:pPr>
        <w:pStyle w:val="TFNoteSourceTab"/>
      </w:pPr>
      <w:r>
        <w:t xml:space="preserve">Note: </w:t>
      </w:r>
      <w:r>
        <w:tab/>
      </w:r>
      <w:r w:rsidR="00C24986" w:rsidRPr="00C24986">
        <w:t>The total volume of water allocated to Commonwealth water purchases is reported based on the year to year cumulative portfolio growth (i.e. it is not just purchases in that year).</w:t>
      </w:r>
    </w:p>
    <w:p w:rsidR="00A34255" w:rsidRDefault="00A34255" w:rsidP="00382D62">
      <w:pPr>
        <w:pStyle w:val="TFNoteSourceTab"/>
      </w:pPr>
      <w:r w:rsidRPr="00776F13">
        <w:t>Source:</w:t>
      </w:r>
      <w:r w:rsidRPr="00776F13">
        <w:tab/>
      </w:r>
      <w:r w:rsidR="008F28E9" w:rsidRPr="00776F13">
        <w:t xml:space="preserve">New South Wales Water Register, South Australian Water Register and Victorian Water Register. </w:t>
      </w:r>
      <w:r w:rsidR="00C64D7C" w:rsidRPr="00776F13">
        <w:t>Based on Commonwealth</w:t>
      </w:r>
      <w:r w:rsidR="00C64D7C" w:rsidRPr="00C64D7C">
        <w:t xml:space="preserve"> water purchase data provided to </w:t>
      </w:r>
      <w:proofErr w:type="spellStart"/>
      <w:r w:rsidR="00C64D7C" w:rsidRPr="00C64D7C">
        <w:t>Aither</w:t>
      </w:r>
      <w:proofErr w:type="spellEnd"/>
      <w:r w:rsidR="00C64D7C" w:rsidRPr="00C64D7C">
        <w:t xml:space="preserve"> by the Department of the Environment.</w:t>
      </w:r>
    </w:p>
    <w:p w:rsidR="00A34255" w:rsidRDefault="00A34255" w:rsidP="00756220">
      <w:pPr>
        <w:pStyle w:val="Caption"/>
      </w:pPr>
      <w:bookmarkStart w:id="32" w:name="_Ref430692077"/>
      <w:bookmarkStart w:id="33" w:name="_Toc440006874"/>
      <w:r>
        <w:t xml:space="preserve">Figure </w:t>
      </w:r>
      <w:r w:rsidR="00306798">
        <w:fldChar w:fldCharType="begin"/>
      </w:r>
      <w:r w:rsidR="00531166">
        <w:instrText xml:space="preserve"> SEQ Figure \* ARABIC </w:instrText>
      </w:r>
      <w:r w:rsidR="00306798">
        <w:fldChar w:fldCharType="separate"/>
      </w:r>
      <w:r w:rsidR="00EB2418">
        <w:rPr>
          <w:noProof/>
        </w:rPr>
        <w:t>4</w:t>
      </w:r>
      <w:r w:rsidR="00306798">
        <w:rPr>
          <w:noProof/>
        </w:rPr>
        <w:fldChar w:fldCharType="end"/>
      </w:r>
      <w:bookmarkEnd w:id="32"/>
      <w:r>
        <w:tab/>
      </w:r>
      <w:r w:rsidR="00982EFF">
        <w:t>Impact of Commonwealth</w:t>
      </w:r>
      <w:r w:rsidR="008F28E9">
        <w:t xml:space="preserve"> water</w:t>
      </w:r>
      <w:r w:rsidR="00982EFF">
        <w:t xml:space="preserve"> purchases on </w:t>
      </w:r>
      <w:r w:rsidR="009E03EA">
        <w:t>volume of</w:t>
      </w:r>
      <w:r w:rsidR="00982EFF">
        <w:t xml:space="preserve"> water</w:t>
      </w:r>
      <w:r w:rsidR="009E03EA">
        <w:t xml:space="preserve"> </w:t>
      </w:r>
      <w:r w:rsidR="002760F5">
        <w:t>allocated that is available for consumptive</w:t>
      </w:r>
      <w:r w:rsidR="009E03EA">
        <w:t xml:space="preserve"> use</w:t>
      </w:r>
      <w:r w:rsidR="008F28E9">
        <w:t>,</w:t>
      </w:r>
      <w:r w:rsidR="00982EFF">
        <w:t xml:space="preserve"> major </w:t>
      </w:r>
      <w:proofErr w:type="spellStart"/>
      <w:r w:rsidR="00982EFF">
        <w:t>sMDB</w:t>
      </w:r>
      <w:proofErr w:type="spellEnd"/>
      <w:r w:rsidR="00982EFF">
        <w:t xml:space="preserve"> </w:t>
      </w:r>
      <w:r w:rsidR="008F28E9">
        <w:t>trading zones</w:t>
      </w:r>
      <w:r w:rsidR="00982EFF">
        <w:t>, 2005-06 to 2014-15</w:t>
      </w:r>
      <w:bookmarkEnd w:id="33"/>
    </w:p>
    <w:p w:rsidR="00A34255" w:rsidRDefault="00A34255" w:rsidP="00A34255"/>
    <w:p w:rsidR="00933AAA" w:rsidRPr="00CC1CF7" w:rsidRDefault="00933AAA" w:rsidP="00CC1CF7">
      <w:pPr>
        <w:pStyle w:val="Caption"/>
      </w:pPr>
      <w:bookmarkStart w:id="34" w:name="_Ref430944830"/>
      <w:bookmarkStart w:id="35" w:name="_Toc440006860"/>
      <w:r w:rsidRPr="00894869">
        <w:t xml:space="preserve">Table </w:t>
      </w:r>
      <w:r w:rsidR="00306798">
        <w:fldChar w:fldCharType="begin"/>
      </w:r>
      <w:r w:rsidR="00531166">
        <w:instrText xml:space="preserve"> SEQ Table \* ARABIC </w:instrText>
      </w:r>
      <w:r w:rsidR="00306798">
        <w:fldChar w:fldCharType="separate"/>
      </w:r>
      <w:r w:rsidR="00EB2418">
        <w:rPr>
          <w:noProof/>
        </w:rPr>
        <w:t>2</w:t>
      </w:r>
      <w:r w:rsidR="00306798">
        <w:rPr>
          <w:noProof/>
        </w:rPr>
        <w:fldChar w:fldCharType="end"/>
      </w:r>
      <w:bookmarkEnd w:id="34"/>
      <w:r>
        <w:tab/>
      </w:r>
      <w:r w:rsidRPr="00933AAA">
        <w:t xml:space="preserve">Impact of Commonwealth water purchases on </w:t>
      </w:r>
      <w:r w:rsidR="00C24986">
        <w:t xml:space="preserve">volume of water </w:t>
      </w:r>
      <w:r w:rsidR="002760F5">
        <w:t>allocated that is available for consumptive</w:t>
      </w:r>
      <w:r w:rsidR="00C24986">
        <w:t xml:space="preserve"> use</w:t>
      </w:r>
      <w:r w:rsidRPr="00933AAA">
        <w:t xml:space="preserve">, major </w:t>
      </w:r>
      <w:proofErr w:type="spellStart"/>
      <w:r w:rsidRPr="00933AAA">
        <w:t>sMDB</w:t>
      </w:r>
      <w:proofErr w:type="spellEnd"/>
      <w:r w:rsidRPr="00933AAA">
        <w:t xml:space="preserve"> trading zones, 200</w:t>
      </w:r>
      <w:r w:rsidR="00B177F0">
        <w:t>8</w:t>
      </w:r>
      <w:r w:rsidRPr="00933AAA">
        <w:t>-0</w:t>
      </w:r>
      <w:r w:rsidR="00B177F0">
        <w:t>9</w:t>
      </w:r>
      <w:r w:rsidRPr="00933AAA">
        <w:t xml:space="preserve"> to 2014-15</w:t>
      </w:r>
      <w:bookmarkEnd w:id="35"/>
      <w:r>
        <w:t xml:space="preserve"> </w:t>
      </w:r>
    </w:p>
    <w:tbl>
      <w:tblPr>
        <w:tblStyle w:val="Aither"/>
        <w:tblW w:w="9180" w:type="dxa"/>
        <w:tblInd w:w="108" w:type="dxa"/>
        <w:tblLook w:val="04A0"/>
      </w:tblPr>
      <w:tblGrid>
        <w:gridCol w:w="1110"/>
        <w:gridCol w:w="2690"/>
        <w:gridCol w:w="2690"/>
        <w:gridCol w:w="2690"/>
      </w:tblGrid>
      <w:tr w:rsidR="00933AAA" w:rsidTr="00592F62">
        <w:trPr>
          <w:cnfStyle w:val="100000000000"/>
        </w:trPr>
        <w:tc>
          <w:tcPr>
            <w:tcW w:w="1110" w:type="dxa"/>
          </w:tcPr>
          <w:p w:rsidR="00933AAA" w:rsidRDefault="00933AAA" w:rsidP="008A1494">
            <w:pPr>
              <w:pStyle w:val="TableHeading"/>
            </w:pPr>
            <w:r>
              <w:t>Year</w:t>
            </w:r>
          </w:p>
        </w:tc>
        <w:tc>
          <w:tcPr>
            <w:tcW w:w="2690" w:type="dxa"/>
          </w:tcPr>
          <w:p w:rsidR="00933AAA" w:rsidRDefault="00C24986" w:rsidP="00C24986">
            <w:pPr>
              <w:pStyle w:val="TableHeading"/>
            </w:pPr>
            <w:r>
              <w:t>W</w:t>
            </w:r>
            <w:r w:rsidR="00933AAA">
              <w:t xml:space="preserve">ater </w:t>
            </w:r>
            <w:r w:rsidR="006A01FA">
              <w:t xml:space="preserve">allocated </w:t>
            </w:r>
            <w:r w:rsidR="00933AAA">
              <w:t xml:space="preserve">to all </w:t>
            </w:r>
            <w:r>
              <w:t>entitlements</w:t>
            </w:r>
            <w:r w:rsidR="00933AAA">
              <w:t xml:space="preserve"> (GL)</w:t>
            </w:r>
          </w:p>
        </w:tc>
        <w:tc>
          <w:tcPr>
            <w:tcW w:w="2690" w:type="dxa"/>
          </w:tcPr>
          <w:p w:rsidR="00933AAA" w:rsidRDefault="00C24986" w:rsidP="00C24986">
            <w:pPr>
              <w:pStyle w:val="TableHeading"/>
            </w:pPr>
            <w:r>
              <w:t>W</w:t>
            </w:r>
            <w:r w:rsidR="00933AAA">
              <w:t xml:space="preserve">ater </w:t>
            </w:r>
            <w:r w:rsidR="006A01FA">
              <w:t xml:space="preserve">allocated </w:t>
            </w:r>
            <w:r w:rsidR="00933AAA">
              <w:t xml:space="preserve">to </w:t>
            </w:r>
            <w:r w:rsidR="00933AAA" w:rsidRPr="00933AAA">
              <w:t>Commonwealth water purchases</w:t>
            </w:r>
            <w:r w:rsidR="00933AAA">
              <w:t xml:space="preserve"> (GL)</w:t>
            </w:r>
          </w:p>
        </w:tc>
        <w:tc>
          <w:tcPr>
            <w:tcW w:w="2690" w:type="dxa"/>
          </w:tcPr>
          <w:p w:rsidR="00933AAA" w:rsidRDefault="00933AAA" w:rsidP="00C24986">
            <w:pPr>
              <w:pStyle w:val="TableHeading"/>
            </w:pPr>
            <w:r>
              <w:t xml:space="preserve">Percentage water </w:t>
            </w:r>
            <w:r w:rsidR="006A01FA">
              <w:t xml:space="preserve">allocated </w:t>
            </w:r>
            <w:r>
              <w:t xml:space="preserve">to </w:t>
            </w:r>
            <w:r w:rsidRPr="00933AAA">
              <w:t>Commonwealth water purchases</w:t>
            </w:r>
            <w:r>
              <w:t xml:space="preserve"> (%)</w:t>
            </w:r>
          </w:p>
        </w:tc>
      </w:tr>
      <w:tr w:rsidR="008A0311" w:rsidTr="00366641">
        <w:trPr>
          <w:cnfStyle w:val="000000100000"/>
        </w:trPr>
        <w:tc>
          <w:tcPr>
            <w:tcW w:w="1110" w:type="dxa"/>
          </w:tcPr>
          <w:p w:rsidR="008A0311" w:rsidRPr="003C6B24" w:rsidRDefault="008A0311">
            <w:pPr>
              <w:pStyle w:val="TableText"/>
            </w:pPr>
            <w:r w:rsidRPr="003C6B24">
              <w:t>2008-09</w:t>
            </w:r>
          </w:p>
        </w:tc>
        <w:tc>
          <w:tcPr>
            <w:tcW w:w="2690" w:type="dxa"/>
            <w:vAlign w:val="top"/>
          </w:tcPr>
          <w:p w:rsidR="008A0311" w:rsidRPr="00D4035A" w:rsidRDefault="008A0311" w:rsidP="00B177F0">
            <w:pPr>
              <w:pStyle w:val="TableText"/>
            </w:pPr>
            <w:r w:rsidRPr="00D4035A">
              <w:t>1</w:t>
            </w:r>
            <w:r>
              <w:t>,</w:t>
            </w:r>
            <w:r w:rsidRPr="00D4035A">
              <w:t>905.7</w:t>
            </w:r>
          </w:p>
        </w:tc>
        <w:tc>
          <w:tcPr>
            <w:tcW w:w="2690" w:type="dxa"/>
            <w:vAlign w:val="top"/>
          </w:tcPr>
          <w:p w:rsidR="008A0311" w:rsidRPr="008D7D9B" w:rsidRDefault="008A0311" w:rsidP="008A0311">
            <w:pPr>
              <w:pStyle w:val="TableText"/>
            </w:pPr>
            <w:r w:rsidRPr="008D7D9B">
              <w:t>6.5</w:t>
            </w:r>
          </w:p>
        </w:tc>
        <w:tc>
          <w:tcPr>
            <w:tcW w:w="2690" w:type="dxa"/>
            <w:vAlign w:val="top"/>
          </w:tcPr>
          <w:p w:rsidR="008A0311" w:rsidRPr="003B05FF" w:rsidRDefault="008A0311" w:rsidP="008A0311">
            <w:pPr>
              <w:pStyle w:val="TableText"/>
            </w:pPr>
            <w:r w:rsidRPr="003B05FF">
              <w:t>0.3%</w:t>
            </w:r>
          </w:p>
        </w:tc>
      </w:tr>
      <w:tr w:rsidR="008A0311" w:rsidTr="00366641">
        <w:tc>
          <w:tcPr>
            <w:tcW w:w="1110" w:type="dxa"/>
          </w:tcPr>
          <w:p w:rsidR="008A0311" w:rsidRPr="003C6B24" w:rsidRDefault="008A0311">
            <w:pPr>
              <w:pStyle w:val="TableText"/>
            </w:pPr>
            <w:r w:rsidRPr="003C6B24">
              <w:t>2009-10</w:t>
            </w:r>
          </w:p>
        </w:tc>
        <w:tc>
          <w:tcPr>
            <w:tcW w:w="2690" w:type="dxa"/>
            <w:vAlign w:val="top"/>
          </w:tcPr>
          <w:p w:rsidR="008A0311" w:rsidRPr="00D4035A" w:rsidRDefault="008A0311" w:rsidP="00B177F0">
            <w:pPr>
              <w:pStyle w:val="TableText"/>
            </w:pPr>
            <w:r w:rsidRPr="00D4035A">
              <w:t>3</w:t>
            </w:r>
            <w:r>
              <w:t>,</w:t>
            </w:r>
            <w:r w:rsidRPr="00D4035A">
              <w:t>705.6</w:t>
            </w:r>
          </w:p>
        </w:tc>
        <w:tc>
          <w:tcPr>
            <w:tcW w:w="2690" w:type="dxa"/>
            <w:vAlign w:val="top"/>
          </w:tcPr>
          <w:p w:rsidR="008A0311" w:rsidRPr="008D7D9B" w:rsidRDefault="008A0311" w:rsidP="008A0311">
            <w:pPr>
              <w:pStyle w:val="TableText"/>
            </w:pPr>
            <w:r w:rsidRPr="008D7D9B">
              <w:t>199.6</w:t>
            </w:r>
          </w:p>
        </w:tc>
        <w:tc>
          <w:tcPr>
            <w:tcW w:w="2690" w:type="dxa"/>
            <w:vAlign w:val="top"/>
          </w:tcPr>
          <w:p w:rsidR="008A0311" w:rsidRPr="003B05FF" w:rsidRDefault="008A0311" w:rsidP="008A0311">
            <w:pPr>
              <w:pStyle w:val="TableText"/>
            </w:pPr>
            <w:r w:rsidRPr="003B05FF">
              <w:t>5%</w:t>
            </w:r>
          </w:p>
        </w:tc>
      </w:tr>
      <w:tr w:rsidR="008A0311" w:rsidTr="00366641">
        <w:trPr>
          <w:cnfStyle w:val="000000100000"/>
        </w:trPr>
        <w:tc>
          <w:tcPr>
            <w:tcW w:w="1110" w:type="dxa"/>
          </w:tcPr>
          <w:p w:rsidR="008A0311" w:rsidRPr="003C6B24" w:rsidRDefault="008A0311">
            <w:pPr>
              <w:pStyle w:val="TableText"/>
            </w:pPr>
            <w:r w:rsidRPr="003C6B24">
              <w:t>2010-11</w:t>
            </w:r>
          </w:p>
        </w:tc>
        <w:tc>
          <w:tcPr>
            <w:tcW w:w="2690" w:type="dxa"/>
            <w:vAlign w:val="top"/>
          </w:tcPr>
          <w:p w:rsidR="008A0311" w:rsidRPr="00D4035A" w:rsidRDefault="008A0311" w:rsidP="00B177F0">
            <w:pPr>
              <w:pStyle w:val="TableText"/>
            </w:pPr>
            <w:r w:rsidRPr="00D4035A">
              <w:t>6</w:t>
            </w:r>
            <w:r>
              <w:t>,</w:t>
            </w:r>
            <w:r w:rsidRPr="00D4035A">
              <w:t>662.0</w:t>
            </w:r>
          </w:p>
        </w:tc>
        <w:tc>
          <w:tcPr>
            <w:tcW w:w="2690" w:type="dxa"/>
            <w:vAlign w:val="top"/>
          </w:tcPr>
          <w:p w:rsidR="008A0311" w:rsidRPr="008D7D9B" w:rsidRDefault="008A0311" w:rsidP="008A0311">
            <w:pPr>
              <w:pStyle w:val="TableText"/>
            </w:pPr>
            <w:r w:rsidRPr="008D7D9B">
              <w:t>574.2</w:t>
            </w:r>
          </w:p>
        </w:tc>
        <w:tc>
          <w:tcPr>
            <w:tcW w:w="2690" w:type="dxa"/>
            <w:vAlign w:val="top"/>
          </w:tcPr>
          <w:p w:rsidR="008A0311" w:rsidRPr="003B05FF" w:rsidRDefault="008A0311" w:rsidP="008A0311">
            <w:pPr>
              <w:pStyle w:val="TableText"/>
            </w:pPr>
            <w:r w:rsidRPr="003B05FF">
              <w:t>9%</w:t>
            </w:r>
          </w:p>
        </w:tc>
      </w:tr>
      <w:tr w:rsidR="008A0311" w:rsidTr="00366641">
        <w:tc>
          <w:tcPr>
            <w:tcW w:w="1110" w:type="dxa"/>
          </w:tcPr>
          <w:p w:rsidR="008A0311" w:rsidRPr="003C6B24" w:rsidRDefault="008A0311">
            <w:pPr>
              <w:pStyle w:val="TableText"/>
            </w:pPr>
            <w:r w:rsidRPr="003C6B24">
              <w:t>2011-12</w:t>
            </w:r>
          </w:p>
        </w:tc>
        <w:tc>
          <w:tcPr>
            <w:tcW w:w="2690" w:type="dxa"/>
            <w:vAlign w:val="top"/>
          </w:tcPr>
          <w:p w:rsidR="008A0311" w:rsidRPr="00D4035A" w:rsidRDefault="008A0311" w:rsidP="00B177F0">
            <w:pPr>
              <w:pStyle w:val="TableText"/>
            </w:pPr>
            <w:r w:rsidRPr="00D4035A">
              <w:t>6</w:t>
            </w:r>
            <w:r>
              <w:t>,</w:t>
            </w:r>
            <w:r w:rsidRPr="00D4035A">
              <w:t>850.5</w:t>
            </w:r>
          </w:p>
        </w:tc>
        <w:tc>
          <w:tcPr>
            <w:tcW w:w="2690" w:type="dxa"/>
            <w:vAlign w:val="top"/>
          </w:tcPr>
          <w:p w:rsidR="008A0311" w:rsidRPr="008D7D9B" w:rsidRDefault="008A0311" w:rsidP="008A0311">
            <w:pPr>
              <w:pStyle w:val="TableText"/>
            </w:pPr>
            <w:r w:rsidRPr="008D7D9B">
              <w:t>872.8</w:t>
            </w:r>
          </w:p>
        </w:tc>
        <w:tc>
          <w:tcPr>
            <w:tcW w:w="2690" w:type="dxa"/>
            <w:vAlign w:val="top"/>
          </w:tcPr>
          <w:p w:rsidR="008A0311" w:rsidRPr="003B05FF" w:rsidRDefault="008A0311" w:rsidP="008A0311">
            <w:pPr>
              <w:pStyle w:val="TableText"/>
            </w:pPr>
            <w:r w:rsidRPr="003B05FF">
              <w:t>13%</w:t>
            </w:r>
          </w:p>
        </w:tc>
      </w:tr>
      <w:tr w:rsidR="008A0311" w:rsidTr="00366641">
        <w:trPr>
          <w:cnfStyle w:val="000000100000"/>
        </w:trPr>
        <w:tc>
          <w:tcPr>
            <w:tcW w:w="1110" w:type="dxa"/>
          </w:tcPr>
          <w:p w:rsidR="008A0311" w:rsidRPr="003C6B24" w:rsidRDefault="008A0311">
            <w:pPr>
              <w:pStyle w:val="TableText"/>
            </w:pPr>
            <w:r w:rsidRPr="003C6B24">
              <w:t>2012-13</w:t>
            </w:r>
          </w:p>
        </w:tc>
        <w:tc>
          <w:tcPr>
            <w:tcW w:w="2690" w:type="dxa"/>
            <w:vAlign w:val="top"/>
          </w:tcPr>
          <w:p w:rsidR="008A0311" w:rsidRPr="00D4035A" w:rsidRDefault="008A0311" w:rsidP="00B177F0">
            <w:pPr>
              <w:pStyle w:val="TableText"/>
            </w:pPr>
            <w:r w:rsidRPr="00D4035A">
              <w:t>6</w:t>
            </w:r>
            <w:r>
              <w:t>,</w:t>
            </w:r>
            <w:r w:rsidRPr="00D4035A">
              <w:t>855.9</w:t>
            </w:r>
          </w:p>
        </w:tc>
        <w:tc>
          <w:tcPr>
            <w:tcW w:w="2690" w:type="dxa"/>
            <w:vAlign w:val="top"/>
          </w:tcPr>
          <w:p w:rsidR="008A0311" w:rsidRPr="008D7D9B" w:rsidRDefault="008A0311" w:rsidP="008A0311">
            <w:pPr>
              <w:pStyle w:val="TableText"/>
            </w:pPr>
            <w:r w:rsidRPr="008D7D9B">
              <w:t>955.7</w:t>
            </w:r>
          </w:p>
        </w:tc>
        <w:tc>
          <w:tcPr>
            <w:tcW w:w="2690" w:type="dxa"/>
            <w:vAlign w:val="top"/>
          </w:tcPr>
          <w:p w:rsidR="008A0311" w:rsidRPr="003B05FF" w:rsidRDefault="008A0311" w:rsidP="008A0311">
            <w:pPr>
              <w:pStyle w:val="TableText"/>
            </w:pPr>
            <w:r w:rsidRPr="003B05FF">
              <w:t>14%</w:t>
            </w:r>
          </w:p>
        </w:tc>
      </w:tr>
      <w:tr w:rsidR="008A0311" w:rsidTr="00366641">
        <w:tc>
          <w:tcPr>
            <w:tcW w:w="1110" w:type="dxa"/>
          </w:tcPr>
          <w:p w:rsidR="008A0311" w:rsidRPr="003C6B24" w:rsidRDefault="008A0311">
            <w:pPr>
              <w:pStyle w:val="TableText"/>
            </w:pPr>
            <w:r w:rsidRPr="003C6B24">
              <w:t>2013-14</w:t>
            </w:r>
          </w:p>
        </w:tc>
        <w:tc>
          <w:tcPr>
            <w:tcW w:w="2690" w:type="dxa"/>
            <w:vAlign w:val="top"/>
          </w:tcPr>
          <w:p w:rsidR="008A0311" w:rsidRPr="00D4035A" w:rsidRDefault="008A0311" w:rsidP="00B177F0">
            <w:pPr>
              <w:pStyle w:val="TableText"/>
            </w:pPr>
            <w:r w:rsidRPr="00D4035A">
              <w:t>6</w:t>
            </w:r>
            <w:r>
              <w:t>,</w:t>
            </w:r>
            <w:r w:rsidRPr="00D4035A">
              <w:t>079.2</w:t>
            </w:r>
          </w:p>
        </w:tc>
        <w:tc>
          <w:tcPr>
            <w:tcW w:w="2690" w:type="dxa"/>
            <w:vAlign w:val="top"/>
          </w:tcPr>
          <w:p w:rsidR="008A0311" w:rsidRPr="008D7D9B" w:rsidRDefault="008A0311" w:rsidP="008A0311">
            <w:pPr>
              <w:pStyle w:val="TableText"/>
            </w:pPr>
            <w:r w:rsidRPr="008D7D9B">
              <w:t>903.5</w:t>
            </w:r>
          </w:p>
        </w:tc>
        <w:tc>
          <w:tcPr>
            <w:tcW w:w="2690" w:type="dxa"/>
            <w:vAlign w:val="top"/>
          </w:tcPr>
          <w:p w:rsidR="008A0311" w:rsidRPr="003B05FF" w:rsidRDefault="008A0311" w:rsidP="008A0311">
            <w:pPr>
              <w:pStyle w:val="TableText"/>
            </w:pPr>
            <w:r w:rsidRPr="003B05FF">
              <w:t>15%</w:t>
            </w:r>
          </w:p>
        </w:tc>
      </w:tr>
      <w:tr w:rsidR="008A0311" w:rsidTr="00366641">
        <w:trPr>
          <w:cnfStyle w:val="000000100000"/>
        </w:trPr>
        <w:tc>
          <w:tcPr>
            <w:tcW w:w="1110" w:type="dxa"/>
          </w:tcPr>
          <w:p w:rsidR="008A0311" w:rsidRPr="003C6B24" w:rsidRDefault="008A0311">
            <w:pPr>
              <w:pStyle w:val="TableText"/>
            </w:pPr>
            <w:r w:rsidRPr="003C6B24">
              <w:t>2014-15</w:t>
            </w:r>
          </w:p>
        </w:tc>
        <w:tc>
          <w:tcPr>
            <w:tcW w:w="2690" w:type="dxa"/>
            <w:vAlign w:val="top"/>
          </w:tcPr>
          <w:p w:rsidR="008A0311" w:rsidRDefault="008A0311" w:rsidP="00B177F0">
            <w:pPr>
              <w:pStyle w:val="TableText"/>
            </w:pPr>
            <w:r w:rsidRPr="00D4035A">
              <w:t>5</w:t>
            </w:r>
            <w:r>
              <w:t>,</w:t>
            </w:r>
            <w:r w:rsidRPr="00D4035A">
              <w:t>233.9</w:t>
            </w:r>
          </w:p>
        </w:tc>
        <w:tc>
          <w:tcPr>
            <w:tcW w:w="2690" w:type="dxa"/>
            <w:vAlign w:val="top"/>
          </w:tcPr>
          <w:p w:rsidR="008A0311" w:rsidRDefault="008A0311" w:rsidP="008A0311">
            <w:pPr>
              <w:pStyle w:val="TableText"/>
            </w:pPr>
            <w:r w:rsidRPr="008D7D9B">
              <w:t>785.8</w:t>
            </w:r>
          </w:p>
        </w:tc>
        <w:tc>
          <w:tcPr>
            <w:tcW w:w="2690" w:type="dxa"/>
            <w:vAlign w:val="top"/>
          </w:tcPr>
          <w:p w:rsidR="008A0311" w:rsidRDefault="008A0311" w:rsidP="008A0311">
            <w:pPr>
              <w:pStyle w:val="TableText"/>
            </w:pPr>
            <w:r w:rsidRPr="003B05FF">
              <w:t>15%</w:t>
            </w:r>
          </w:p>
        </w:tc>
      </w:tr>
    </w:tbl>
    <w:p w:rsidR="00933AAA" w:rsidRDefault="00933AAA" w:rsidP="008A1494">
      <w:pPr>
        <w:pStyle w:val="TFIHolderSmallSpace"/>
      </w:pPr>
    </w:p>
    <w:p w:rsidR="00933AAA" w:rsidRDefault="00933AAA" w:rsidP="00C21848">
      <w:pPr>
        <w:pStyle w:val="TFNoteSourceTab"/>
      </w:pPr>
      <w:r w:rsidRPr="00776F13">
        <w:t>Source:</w:t>
      </w:r>
      <w:r w:rsidRPr="00776F13">
        <w:tab/>
      </w:r>
      <w:r w:rsidR="009E03EA" w:rsidRPr="00776F13">
        <w:t>Based</w:t>
      </w:r>
      <w:r w:rsidR="009E03EA" w:rsidRPr="009E03EA">
        <w:t xml:space="preserve"> on Commonwealth water purchase data provided to </w:t>
      </w:r>
      <w:proofErr w:type="spellStart"/>
      <w:r w:rsidR="009E03EA" w:rsidRPr="009E03EA">
        <w:t>Aither</w:t>
      </w:r>
      <w:proofErr w:type="spellEnd"/>
      <w:r w:rsidR="009E03EA" w:rsidRPr="009E03EA">
        <w:t xml:space="preserve"> by the Department of the Environment.</w:t>
      </w:r>
    </w:p>
    <w:p w:rsidR="00742C11" w:rsidRPr="00592F62" w:rsidRDefault="00742C11" w:rsidP="00C21848">
      <w:pPr>
        <w:pStyle w:val="TFNoteSourceTab"/>
        <w:rPr>
          <w:highlight w:val="yellow"/>
        </w:rPr>
      </w:pPr>
      <w:r>
        <w:t>Note:</w:t>
      </w:r>
      <w:r>
        <w:tab/>
      </w:r>
      <w:r w:rsidR="00C24986" w:rsidRPr="00C24986">
        <w:t>The total volume of water allocated to Commonwealth water purchases is reported based on the year to year cumulative portfolio growth (i.e. it is not just purchases in that year).</w:t>
      </w:r>
    </w:p>
    <w:p w:rsidR="00933AAA" w:rsidRDefault="00933AAA" w:rsidP="00A34255"/>
    <w:p w:rsidR="00A34255" w:rsidRDefault="00F2792F" w:rsidP="00520132">
      <w:r>
        <w:t>W</w:t>
      </w:r>
      <w:r w:rsidR="008F28E9">
        <w:t xml:space="preserve">ater </w:t>
      </w:r>
      <w:r>
        <w:t>allocated</w:t>
      </w:r>
      <w:r w:rsidR="008F28E9">
        <w:t xml:space="preserve"> to Commonwealth </w:t>
      </w:r>
      <w:r>
        <w:t xml:space="preserve">water </w:t>
      </w:r>
      <w:r w:rsidR="008F28E9">
        <w:t xml:space="preserve">purchases </w:t>
      </w:r>
      <w:r w:rsidR="005E541B">
        <w:t>is</w:t>
      </w:r>
      <w:r>
        <w:t xml:space="preserve"> used for </w:t>
      </w:r>
      <w:r w:rsidR="008F28E9">
        <w:t>environmental purposes</w:t>
      </w:r>
      <w:r>
        <w:t xml:space="preserve">. </w:t>
      </w:r>
      <w:r w:rsidR="009B38F7">
        <w:t>At the time that</w:t>
      </w:r>
      <w:r w:rsidR="00506B12">
        <w:t xml:space="preserve"> analysis</w:t>
      </w:r>
      <w:r w:rsidR="009B38F7">
        <w:t xml:space="preserve"> for this report was undertaken</w:t>
      </w:r>
      <w:r w:rsidR="00506B12">
        <w:t xml:space="preserve">, </w:t>
      </w:r>
      <w:r w:rsidR="000D7D51" w:rsidRPr="00615CE1">
        <w:t>no</w:t>
      </w:r>
      <w:r w:rsidR="00CF7274">
        <w:t xml:space="preserve"> water held by the Commonwealth in the </w:t>
      </w:r>
      <w:proofErr w:type="spellStart"/>
      <w:r w:rsidR="00CF7274">
        <w:t>sMDB</w:t>
      </w:r>
      <w:proofErr w:type="spellEnd"/>
      <w:r w:rsidR="00CF7274">
        <w:t xml:space="preserve"> </w:t>
      </w:r>
      <w:r w:rsidR="00506B12">
        <w:t xml:space="preserve">had </w:t>
      </w:r>
      <w:r w:rsidR="00774636">
        <w:lastRenderedPageBreak/>
        <w:t>been</w:t>
      </w:r>
      <w:r w:rsidR="008F28E9">
        <w:t xml:space="preserve"> </w:t>
      </w:r>
      <w:r w:rsidR="00A34255" w:rsidRPr="00615CE1">
        <w:t xml:space="preserve">traded back to </w:t>
      </w:r>
      <w:r w:rsidR="00982EFF">
        <w:t>other market participants</w:t>
      </w:r>
      <w:r w:rsidR="00A34255">
        <w:t>,</w:t>
      </w:r>
      <w:r w:rsidR="00CF7274">
        <w:rPr>
          <w:rStyle w:val="FootnoteReference"/>
        </w:rPr>
        <w:footnoteReference w:id="14"/>
      </w:r>
      <w:r w:rsidR="009B385E">
        <w:t xml:space="preserve"> </w:t>
      </w:r>
      <w:r w:rsidR="00506B12">
        <w:t xml:space="preserve">which </w:t>
      </w:r>
      <w:r w:rsidR="008F28E9">
        <w:t>reduce</w:t>
      </w:r>
      <w:r w:rsidR="00EF57D6">
        <w:t>s</w:t>
      </w:r>
      <w:r w:rsidR="005F73B5">
        <w:t xml:space="preserve"> </w:t>
      </w:r>
      <w:r>
        <w:t xml:space="preserve">the </w:t>
      </w:r>
      <w:r w:rsidR="00BB1162">
        <w:t xml:space="preserve">overall </w:t>
      </w:r>
      <w:r>
        <w:t xml:space="preserve">volume of </w:t>
      </w:r>
      <w:r w:rsidR="00BB1162">
        <w:t xml:space="preserve">allocated </w:t>
      </w:r>
      <w:r>
        <w:t xml:space="preserve">water </w:t>
      </w:r>
      <w:r w:rsidR="002760F5">
        <w:t>that is available for consumptive</w:t>
      </w:r>
      <w:r w:rsidR="008F28E9">
        <w:t xml:space="preserve"> use</w:t>
      </w:r>
      <w:r w:rsidR="0011224E">
        <w:t>.</w:t>
      </w:r>
      <w:r w:rsidR="00020F91">
        <w:rPr>
          <w:rStyle w:val="FootnoteReference"/>
        </w:rPr>
        <w:footnoteReference w:id="15"/>
      </w:r>
      <w:r w:rsidR="00FF7162">
        <w:t xml:space="preserve"> </w:t>
      </w:r>
      <w:r w:rsidR="00520132">
        <w:t xml:space="preserve">To the extent that demand for </w:t>
      </w:r>
      <w:r>
        <w:t xml:space="preserve">water </w:t>
      </w:r>
      <w:r w:rsidR="00520132">
        <w:t>allocations has not fallen</w:t>
      </w:r>
      <w:r>
        <w:t xml:space="preserve"> since </w:t>
      </w:r>
      <w:r w:rsidR="00BB1162">
        <w:t xml:space="preserve">the </w:t>
      </w:r>
      <w:r>
        <w:t xml:space="preserve">Commonwealth </w:t>
      </w:r>
      <w:r w:rsidR="00BB1162">
        <w:t xml:space="preserve">has made its </w:t>
      </w:r>
      <w:r>
        <w:t>water purchases</w:t>
      </w:r>
      <w:r w:rsidR="0004527F">
        <w:t xml:space="preserve"> (i.e. there has not been any structural adjustment)</w:t>
      </w:r>
      <w:r w:rsidR="00FF7162">
        <w:t xml:space="preserve">, </w:t>
      </w:r>
      <w:r w:rsidR="00BB1162">
        <w:t xml:space="preserve">one would expect </w:t>
      </w:r>
      <w:r w:rsidR="008F28E9">
        <w:t xml:space="preserve">water </w:t>
      </w:r>
      <w:r w:rsidR="00EF57D6">
        <w:t xml:space="preserve">allocation </w:t>
      </w:r>
      <w:r w:rsidR="008F28E9">
        <w:t>prices</w:t>
      </w:r>
      <w:r w:rsidR="0011224E">
        <w:t xml:space="preserve"> </w:t>
      </w:r>
      <w:r w:rsidR="00BB1162">
        <w:t xml:space="preserve">to increase </w:t>
      </w:r>
      <w:r w:rsidR="0011224E">
        <w:t xml:space="preserve">relative to </w:t>
      </w:r>
      <w:r w:rsidR="00BB1162">
        <w:t>what the prices might have been</w:t>
      </w:r>
      <w:r w:rsidR="0011224E">
        <w:t xml:space="preserve"> without Commonwealth </w:t>
      </w:r>
      <w:r>
        <w:t xml:space="preserve">water </w:t>
      </w:r>
      <w:r w:rsidR="0011224E">
        <w:t>purchases</w:t>
      </w:r>
      <w:r w:rsidR="008F28E9">
        <w:t>.</w:t>
      </w:r>
      <w:r w:rsidR="008F28E9">
        <w:rPr>
          <w:rStyle w:val="FootnoteReference"/>
        </w:rPr>
        <w:footnoteReference w:id="16"/>
      </w:r>
      <w:r w:rsidR="008F28E9">
        <w:t xml:space="preserve"> </w:t>
      </w:r>
      <w:r w:rsidR="003C6B24">
        <w:t xml:space="preserve">This is one of the hypotheses being tested in this report. </w:t>
      </w:r>
    </w:p>
    <w:p w:rsidR="00982EFF" w:rsidRDefault="00C15473" w:rsidP="00982EFF">
      <w:r>
        <w:t xml:space="preserve">While the Commonwealth Government has not previously sold </w:t>
      </w:r>
      <w:r w:rsidR="00F2792F">
        <w:t xml:space="preserve">water </w:t>
      </w:r>
      <w:r>
        <w:t xml:space="preserve">allocations in the </w:t>
      </w:r>
      <w:proofErr w:type="spellStart"/>
      <w:r>
        <w:t>sMDB</w:t>
      </w:r>
      <w:proofErr w:type="spellEnd"/>
      <w:r w:rsidRPr="008F28E9">
        <w:t xml:space="preserve">, in September 2015, the Commonwealth Environmental Water Office (CEWO) announced that it intended to sell </w:t>
      </w:r>
      <w:r>
        <w:t xml:space="preserve">a small volume of </w:t>
      </w:r>
      <w:r w:rsidRPr="008F28E9">
        <w:t>Victorian Goulburn allocations</w:t>
      </w:r>
      <w:r>
        <w:t xml:space="preserve"> </w:t>
      </w:r>
      <w:r w:rsidR="0004527F">
        <w:t>while this report was being developed</w:t>
      </w:r>
      <w:r w:rsidR="00F07328">
        <w:t>.</w:t>
      </w:r>
      <w:r w:rsidR="009B385E">
        <w:rPr>
          <w:rStyle w:val="FootnoteReference"/>
        </w:rPr>
        <w:footnoteReference w:id="17"/>
      </w:r>
      <w:r>
        <w:t xml:space="preserve"> </w:t>
      </w:r>
      <w:r w:rsidR="009B385E">
        <w:t>For the purposes of the</w:t>
      </w:r>
      <w:r w:rsidR="00FF7162">
        <w:t xml:space="preserve"> analysis</w:t>
      </w:r>
      <w:r>
        <w:t xml:space="preserve"> in this report</w:t>
      </w:r>
      <w:r w:rsidR="00FF7162">
        <w:t xml:space="preserve">, </w:t>
      </w:r>
      <w:proofErr w:type="spellStart"/>
      <w:r w:rsidR="00F2792F">
        <w:t>Aither</w:t>
      </w:r>
      <w:proofErr w:type="spellEnd"/>
      <w:r w:rsidR="00F2792F">
        <w:t xml:space="preserve"> </w:t>
      </w:r>
      <w:r w:rsidR="00FF7162">
        <w:t xml:space="preserve">assume that </w:t>
      </w:r>
      <w:r w:rsidR="008F28E9">
        <w:t xml:space="preserve">the </w:t>
      </w:r>
      <w:r w:rsidR="008F28E9" w:rsidRPr="008F28E9">
        <w:t>Commonwealth</w:t>
      </w:r>
      <w:r w:rsidR="00EF57D6">
        <w:t xml:space="preserve"> Government</w:t>
      </w:r>
      <w:r w:rsidR="008F28E9" w:rsidRPr="008F28E9">
        <w:t xml:space="preserve"> </w:t>
      </w:r>
      <w:r w:rsidR="00FF7162">
        <w:t xml:space="preserve">does not </w:t>
      </w:r>
      <w:r w:rsidR="005E54F8">
        <w:t xml:space="preserve">buy or </w:t>
      </w:r>
      <w:r w:rsidR="00FF7162">
        <w:t xml:space="preserve">sell </w:t>
      </w:r>
      <w:r>
        <w:t xml:space="preserve">water </w:t>
      </w:r>
      <w:r w:rsidR="00FF7162">
        <w:t>allocations</w:t>
      </w:r>
      <w:r>
        <w:t xml:space="preserve"> in the </w:t>
      </w:r>
      <w:proofErr w:type="spellStart"/>
      <w:r>
        <w:t>sMDB</w:t>
      </w:r>
      <w:proofErr w:type="spellEnd"/>
      <w:r>
        <w:t xml:space="preserve"> in future years</w:t>
      </w:r>
      <w:r w:rsidR="00FF7162">
        <w:t xml:space="preserve">, which would </w:t>
      </w:r>
      <w:r w:rsidR="005E54F8">
        <w:t>alter</w:t>
      </w:r>
      <w:r w:rsidR="00FF7162">
        <w:t xml:space="preserve"> the impact of the </w:t>
      </w:r>
      <w:r w:rsidR="00C013CD">
        <w:t>purchases</w:t>
      </w:r>
      <w:r w:rsidR="00FF7162">
        <w:t xml:space="preserve"> on supply of allocations. </w:t>
      </w:r>
      <w:r>
        <w:t>This assumption was confirmed with the Department</w:t>
      </w:r>
      <w:r w:rsidR="0004527F">
        <w:t xml:space="preserve"> as suitable at the time of preparing the report</w:t>
      </w:r>
      <w:r>
        <w:t>.</w:t>
      </w:r>
      <w:r w:rsidR="00F2792F">
        <w:rPr>
          <w:rStyle w:val="FootnoteReference"/>
        </w:rPr>
        <w:footnoteReference w:id="18"/>
      </w:r>
      <w:r>
        <w:t xml:space="preserve"> </w:t>
      </w:r>
    </w:p>
    <w:p w:rsidR="00851737" w:rsidRDefault="00851737" w:rsidP="001D3DA0">
      <w:pPr>
        <w:pStyle w:val="Heading4"/>
      </w:pPr>
      <w:r>
        <w:t>O</w:t>
      </w:r>
      <w:r w:rsidRPr="00676C2F">
        <w:t>ther environmental water</w:t>
      </w:r>
    </w:p>
    <w:p w:rsidR="005F73B5" w:rsidRDefault="00A36D1C">
      <w:r>
        <w:t xml:space="preserve">In addition to </w:t>
      </w:r>
      <w:r w:rsidR="00F2792F">
        <w:t xml:space="preserve">Commonwealth </w:t>
      </w:r>
      <w:r>
        <w:t xml:space="preserve">water purchases </w:t>
      </w:r>
      <w:r w:rsidR="00F2792F">
        <w:t xml:space="preserve">in the </w:t>
      </w:r>
      <w:proofErr w:type="spellStart"/>
      <w:r w:rsidR="00F2792F">
        <w:t>sMDB</w:t>
      </w:r>
      <w:proofErr w:type="spellEnd"/>
      <w:r w:rsidR="001D3DA0">
        <w:t xml:space="preserve">, </w:t>
      </w:r>
      <w:r w:rsidR="001E458F">
        <w:t xml:space="preserve">additional </w:t>
      </w:r>
      <w:r w:rsidR="001D3DA0">
        <w:t xml:space="preserve">water entitlements </w:t>
      </w:r>
      <w:r>
        <w:t>are owned</w:t>
      </w:r>
      <w:r w:rsidR="001D3DA0">
        <w:t xml:space="preserve"> by the Commonwealth and state governments</w:t>
      </w:r>
      <w:r w:rsidR="001E458F">
        <w:t xml:space="preserve"> and contribute to environmental water portfolios and the water recovery objectives of the Basin Plan</w:t>
      </w:r>
      <w:r w:rsidR="001D3DA0">
        <w:t xml:space="preserve">. </w:t>
      </w:r>
      <w:r w:rsidR="00870BCF">
        <w:t xml:space="preserve">The major environmental water holders that manage this water include the </w:t>
      </w:r>
      <w:r w:rsidR="00870BCF" w:rsidRPr="001D3DA0">
        <w:t xml:space="preserve">Commonwealth Environmental Water </w:t>
      </w:r>
      <w:r w:rsidR="00870BCF">
        <w:t xml:space="preserve">Holder (CEWH), the Victorian Environmental Water Holder (VEWH), </w:t>
      </w:r>
      <w:r w:rsidR="000D7D51">
        <w:t xml:space="preserve">the Murray Darling-Basin Authority </w:t>
      </w:r>
      <w:r w:rsidR="005A5DFD">
        <w:t xml:space="preserve">managing </w:t>
      </w:r>
      <w:r w:rsidR="000D7D51">
        <w:t xml:space="preserve">The Living Murray (TLM) </w:t>
      </w:r>
      <w:r w:rsidR="00870BCF">
        <w:t xml:space="preserve">initiative and New South Wales Office of Environment and Heritage (OEH). </w:t>
      </w:r>
    </w:p>
    <w:p w:rsidR="00A36D1C" w:rsidRDefault="00870BCF">
      <w:r>
        <w:t>M</w:t>
      </w:r>
      <w:r w:rsidR="00A36D1C">
        <w:t>ost of this</w:t>
      </w:r>
      <w:r>
        <w:t xml:space="preserve"> </w:t>
      </w:r>
      <w:r w:rsidR="00DC7D52">
        <w:t xml:space="preserve">other </w:t>
      </w:r>
      <w:r>
        <w:t>environmental</w:t>
      </w:r>
      <w:r w:rsidR="00A36D1C">
        <w:t xml:space="preserve"> </w:t>
      </w:r>
      <w:r>
        <w:t xml:space="preserve">water </w:t>
      </w:r>
      <w:r w:rsidR="00A36D1C">
        <w:t xml:space="preserve">(i.e. </w:t>
      </w:r>
      <w:r w:rsidR="000D7D51">
        <w:t xml:space="preserve">water </w:t>
      </w:r>
      <w:r w:rsidR="00A36D1C">
        <w:t xml:space="preserve">that </w:t>
      </w:r>
      <w:r w:rsidR="000D7D51">
        <w:t xml:space="preserve">is </w:t>
      </w:r>
      <w:r w:rsidR="00A36D1C">
        <w:t>not purchased directly from the market</w:t>
      </w:r>
      <w:r>
        <w:t xml:space="preserve"> by the Commonwealth</w:t>
      </w:r>
      <w:r w:rsidR="00EF57D6">
        <w:t xml:space="preserve"> Government</w:t>
      </w:r>
      <w:r w:rsidR="00A36D1C">
        <w:t xml:space="preserve">) </w:t>
      </w:r>
      <w:r w:rsidR="001D3DA0">
        <w:t>has been recovered through</w:t>
      </w:r>
      <w:r w:rsidR="00A36D1C">
        <w:t>:</w:t>
      </w:r>
    </w:p>
    <w:p w:rsidR="005A5DFD" w:rsidRDefault="001D3DA0" w:rsidP="00592F62">
      <w:pPr>
        <w:pStyle w:val="Bullet"/>
      </w:pPr>
      <w:r>
        <w:t>infrastructure investments</w:t>
      </w:r>
      <w:r w:rsidR="00A36D1C">
        <w:t xml:space="preserve"> in irrigation systems and networks to reduce evaporation and seepage</w:t>
      </w:r>
      <w:r w:rsidR="00870BCF">
        <w:t xml:space="preserve"> losses</w:t>
      </w:r>
    </w:p>
    <w:p w:rsidR="00A36D1C" w:rsidRDefault="005A5DFD" w:rsidP="00592F62">
      <w:pPr>
        <w:pStyle w:val="Bullet"/>
      </w:pPr>
      <w:r>
        <w:t xml:space="preserve">on-farm efficiency programs </w:t>
      </w:r>
    </w:p>
    <w:p w:rsidR="00A36D1C" w:rsidRDefault="00A36D1C" w:rsidP="00592F62">
      <w:pPr>
        <w:pStyle w:val="Bullet"/>
      </w:pPr>
      <w:proofErr w:type="gramStart"/>
      <w:r>
        <w:t>the</w:t>
      </w:r>
      <w:proofErr w:type="gramEnd"/>
      <w:r>
        <w:t xml:space="preserve"> reclassification of </w:t>
      </w:r>
      <w:r w:rsidR="00870BCF">
        <w:t xml:space="preserve">other </w:t>
      </w:r>
      <w:r>
        <w:t>water</w:t>
      </w:r>
      <w:r w:rsidR="00DC7D52">
        <w:t>.</w:t>
      </w:r>
    </w:p>
    <w:p w:rsidR="002E412E" w:rsidRDefault="005E541B">
      <w:r>
        <w:t xml:space="preserve">Some </w:t>
      </w:r>
      <w:r w:rsidR="00A36D1C">
        <w:t xml:space="preserve">of this water was </w:t>
      </w:r>
      <w:r w:rsidR="00A36D1C" w:rsidRPr="00A36D1C">
        <w:t xml:space="preserve">never </w:t>
      </w:r>
      <w:r w:rsidR="00DC7D52">
        <w:t>included as part of the</w:t>
      </w:r>
      <w:r w:rsidR="00A36D1C" w:rsidRPr="00A36D1C">
        <w:t xml:space="preserve"> consumptive pool</w:t>
      </w:r>
      <w:r w:rsidR="00A36D1C">
        <w:t xml:space="preserve"> before it was secured on behalf of the environment. </w:t>
      </w:r>
      <w:r w:rsidR="002E412E">
        <w:t xml:space="preserve">However, a proportion </w:t>
      </w:r>
      <w:r w:rsidR="005E54F8">
        <w:t xml:space="preserve">of the water recovered </w:t>
      </w:r>
      <w:r w:rsidR="009E55E2">
        <w:t xml:space="preserve">as a result of </w:t>
      </w:r>
      <w:r w:rsidR="005E54F8">
        <w:t xml:space="preserve">infrastructure investments </w:t>
      </w:r>
      <w:r>
        <w:t xml:space="preserve">(particularly the on-farm </w:t>
      </w:r>
      <w:r w:rsidR="009E55E2">
        <w:t xml:space="preserve">and off-farm </w:t>
      </w:r>
      <w:r>
        <w:t>water use efficiency program</w:t>
      </w:r>
      <w:r w:rsidR="009E55E2">
        <w:t>s</w:t>
      </w:r>
      <w:r>
        <w:t xml:space="preserve">) </w:t>
      </w:r>
      <w:r w:rsidR="009E55E2">
        <w:t>is</w:t>
      </w:r>
      <w:r w:rsidR="002E412E">
        <w:t xml:space="preserve"> </w:t>
      </w:r>
      <w:r w:rsidR="009E55E2">
        <w:t xml:space="preserve">also </w:t>
      </w:r>
      <w:r w:rsidR="002E412E">
        <w:t>contribut</w:t>
      </w:r>
      <w:r w:rsidR="009E55E2">
        <w:t>ing</w:t>
      </w:r>
      <w:r w:rsidR="002E412E">
        <w:t xml:space="preserve"> to the consumptive pool</w:t>
      </w:r>
      <w:r>
        <w:t>, including</w:t>
      </w:r>
      <w:r w:rsidR="002E412E">
        <w:t xml:space="preserve"> through return flows.</w:t>
      </w:r>
      <w:r w:rsidR="00A210E8">
        <w:rPr>
          <w:rStyle w:val="FootnoteReference"/>
        </w:rPr>
        <w:footnoteReference w:id="19"/>
      </w:r>
      <w:r w:rsidR="002E412E">
        <w:t xml:space="preserve"> In this report, </w:t>
      </w:r>
      <w:r w:rsidR="00F2792F">
        <w:t xml:space="preserve">it is </w:t>
      </w:r>
      <w:r w:rsidR="002E412E">
        <w:t>assume</w:t>
      </w:r>
      <w:r w:rsidR="00F2792F">
        <w:t>d</w:t>
      </w:r>
      <w:r w:rsidR="002E412E">
        <w:t xml:space="preserve"> that</w:t>
      </w:r>
      <w:r w:rsidR="00F2792F">
        <w:t xml:space="preserve"> other environmental</w:t>
      </w:r>
      <w:r w:rsidR="002E412E">
        <w:t xml:space="preserve"> water held by </w:t>
      </w:r>
      <w:r w:rsidR="00F2792F">
        <w:t xml:space="preserve">the Commonwealth and </w:t>
      </w:r>
      <w:r w:rsidR="002E412E">
        <w:t xml:space="preserve">other environmental water holders is not </w:t>
      </w:r>
      <w:r w:rsidR="002E412E" w:rsidRPr="00835275">
        <w:t>a</w:t>
      </w:r>
      <w:r w:rsidR="002E412E">
        <w:t xml:space="preserve"> measurable</w:t>
      </w:r>
      <w:r w:rsidR="002E412E" w:rsidRPr="00835275">
        <w:t xml:space="preserve"> driver of water allocation prices</w:t>
      </w:r>
      <w:r w:rsidR="002E412E">
        <w:t xml:space="preserve">. Further detailed analysis of the source of all water </w:t>
      </w:r>
      <w:r w:rsidR="002E412E">
        <w:lastRenderedPageBreak/>
        <w:t xml:space="preserve">entitlements held for environmental purposes would need to be carried out to further assess this assumption and this additional work was beyond the scope of </w:t>
      </w:r>
      <w:proofErr w:type="spellStart"/>
      <w:r w:rsidR="002E412E">
        <w:t>Aither’s</w:t>
      </w:r>
      <w:proofErr w:type="spellEnd"/>
      <w:r w:rsidR="002E412E">
        <w:t xml:space="preserve"> engagement.</w:t>
      </w:r>
    </w:p>
    <w:p w:rsidR="00B1230D" w:rsidRDefault="00896D0A" w:rsidP="00210A43">
      <w:pPr>
        <w:pStyle w:val="Heading2"/>
      </w:pPr>
      <w:bookmarkStart w:id="36" w:name="_Toc440006848"/>
      <w:r>
        <w:t>L</w:t>
      </w:r>
      <w:r w:rsidR="00B1230D">
        <w:t xml:space="preserve">onger-term shifts in </w:t>
      </w:r>
      <w:r w:rsidR="00803673">
        <w:t xml:space="preserve">industry structure and underlying </w:t>
      </w:r>
      <w:r w:rsidR="00F2792F">
        <w:t xml:space="preserve">water </w:t>
      </w:r>
      <w:r w:rsidR="00803673">
        <w:t>demand</w:t>
      </w:r>
      <w:bookmarkEnd w:id="36"/>
    </w:p>
    <w:p w:rsidR="00031681" w:rsidRDefault="00031681" w:rsidP="00B1230D">
      <w:r>
        <w:t xml:space="preserve">While supply-side drivers (such as water availability and short-term shifts in production), can be shown to influence water allocation market outcomes and prices, there is also a longer-term demand-side story that is important to acknowledge but harder </w:t>
      </w:r>
      <w:proofErr w:type="gramStart"/>
      <w:r>
        <w:t>to quantify</w:t>
      </w:r>
      <w:proofErr w:type="gramEnd"/>
      <w:r>
        <w:t xml:space="preserve">. </w:t>
      </w:r>
    </w:p>
    <w:p w:rsidR="0004527F" w:rsidRDefault="0004527F" w:rsidP="005816F6">
      <w:r>
        <w:t>There are two separate elements to consider:</w:t>
      </w:r>
    </w:p>
    <w:p w:rsidR="0004527F" w:rsidRDefault="0004527F" w:rsidP="0054025A">
      <w:pPr>
        <w:pStyle w:val="Bullet"/>
      </w:pPr>
      <w:r>
        <w:t>Underlying changes in demand unrelated to the price impacts of Commonwealth purchases</w:t>
      </w:r>
    </w:p>
    <w:p w:rsidR="0004527F" w:rsidRDefault="0004527F" w:rsidP="0054025A">
      <w:pPr>
        <w:pStyle w:val="Bullet"/>
      </w:pPr>
      <w:r>
        <w:t>Structural adjustment in response to water market price impacts of Commonwealth purchases (i.e. exit of some irrigators).</w:t>
      </w:r>
    </w:p>
    <w:p w:rsidR="005816F6" w:rsidRDefault="0004527F" w:rsidP="005816F6">
      <w:r>
        <w:t>In relation to the first point, d</w:t>
      </w:r>
      <w:r w:rsidR="00B1230D" w:rsidRPr="00A16C25">
        <w:t>emand for</w:t>
      </w:r>
      <w:r w:rsidR="00C92A3F">
        <w:t xml:space="preserve"> irrigation</w:t>
      </w:r>
      <w:r w:rsidR="00B1230D" w:rsidRPr="00A16C25">
        <w:t xml:space="preserve"> water </w:t>
      </w:r>
      <w:r w:rsidR="006F031F">
        <w:t xml:space="preserve">in the </w:t>
      </w:r>
      <w:proofErr w:type="spellStart"/>
      <w:r w:rsidR="006F031F">
        <w:t>sMDB</w:t>
      </w:r>
      <w:proofErr w:type="spellEnd"/>
      <w:r w:rsidR="00031681">
        <w:t xml:space="preserve"> is not static – as </w:t>
      </w:r>
      <w:r w:rsidR="00803673">
        <w:t>the</w:t>
      </w:r>
      <w:r w:rsidR="00031681">
        <w:t xml:space="preserve"> </w:t>
      </w:r>
      <w:r w:rsidR="00D6647E">
        <w:t xml:space="preserve">structure </w:t>
      </w:r>
      <w:r w:rsidR="00031681">
        <w:t>of irrigated agriculture sectors change, so too does the underlying demand for water. Over the past decade</w:t>
      </w:r>
      <w:r w:rsidR="00F2792F">
        <w:t>,</w:t>
      </w:r>
      <w:r w:rsidR="00031681">
        <w:t xml:space="preserve"> l</w:t>
      </w:r>
      <w:r w:rsidR="00031681" w:rsidRPr="00031681">
        <w:t xml:space="preserve">onger-term shifts in production </w:t>
      </w:r>
      <w:r w:rsidR="00031681">
        <w:t xml:space="preserve">have been observed in the </w:t>
      </w:r>
      <w:proofErr w:type="spellStart"/>
      <w:r w:rsidR="00031681">
        <w:t>sMDB</w:t>
      </w:r>
      <w:proofErr w:type="spellEnd"/>
      <w:r w:rsidR="005816F6">
        <w:t xml:space="preserve"> as production of </w:t>
      </w:r>
      <w:r w:rsidR="005816F6" w:rsidRPr="00A16C25">
        <w:t>higher</w:t>
      </w:r>
      <w:r w:rsidR="00F2792F">
        <w:t>-</w:t>
      </w:r>
      <w:r w:rsidR="005816F6" w:rsidRPr="00A16C25">
        <w:t>value</w:t>
      </w:r>
      <w:r w:rsidR="005816F6">
        <w:t xml:space="preserve"> higher water demand</w:t>
      </w:r>
      <w:r w:rsidR="005816F6" w:rsidRPr="00A16C25">
        <w:t xml:space="preserve"> crops</w:t>
      </w:r>
      <w:r w:rsidR="005816F6">
        <w:t xml:space="preserve"> has increased</w:t>
      </w:r>
      <w:r w:rsidR="00031681">
        <w:t xml:space="preserve">. </w:t>
      </w:r>
      <w:r w:rsidR="00803673">
        <w:t>For example, s</w:t>
      </w:r>
      <w:r w:rsidR="005816F6">
        <w:t>ince at least</w:t>
      </w:r>
      <w:r w:rsidR="005816F6" w:rsidRPr="00A16C25">
        <w:t xml:space="preserve"> 2012–13</w:t>
      </w:r>
      <w:r w:rsidR="005816F6">
        <w:t>, h</w:t>
      </w:r>
      <w:r w:rsidR="00C92A3F">
        <w:t>igh-</w:t>
      </w:r>
      <w:r w:rsidR="00B1230D" w:rsidRPr="00A16C25">
        <w:t xml:space="preserve">value commodities such as fruit and nuts with </w:t>
      </w:r>
      <w:r w:rsidR="00C92A3F">
        <w:t xml:space="preserve">high </w:t>
      </w:r>
      <w:r w:rsidR="006F031F" w:rsidRPr="00A16C25">
        <w:t>fixed</w:t>
      </w:r>
      <w:r w:rsidR="00B1230D" w:rsidRPr="00A16C25">
        <w:t xml:space="preserve"> </w:t>
      </w:r>
      <w:r w:rsidR="00C92A3F">
        <w:t xml:space="preserve">water </w:t>
      </w:r>
      <w:r w:rsidR="00B1230D" w:rsidRPr="00A16C25">
        <w:t xml:space="preserve">demands have </w:t>
      </w:r>
      <w:r w:rsidR="005816F6" w:rsidRPr="00A16C25">
        <w:t xml:space="preserve">increased their </w:t>
      </w:r>
      <w:r w:rsidR="005816F6">
        <w:t xml:space="preserve">share of water use in the </w:t>
      </w:r>
      <w:proofErr w:type="spellStart"/>
      <w:r w:rsidR="005816F6">
        <w:t>sMDB</w:t>
      </w:r>
      <w:proofErr w:type="spellEnd"/>
      <w:r w:rsidR="005816F6">
        <w:t xml:space="preserve">. </w:t>
      </w:r>
      <w:r w:rsidR="005816F6" w:rsidRPr="005816F6">
        <w:t xml:space="preserve">The production of fruit and nuts has strengthened over the period in response to heightened consumer demand for almonds, walnuts and hazelnuts </w:t>
      </w:r>
      <w:r w:rsidR="005816F6">
        <w:t>– t</w:t>
      </w:r>
      <w:r w:rsidR="005816F6" w:rsidRPr="005816F6">
        <w:t>he almond industry in particular is one of Australia’s fastes</w:t>
      </w:r>
      <w:r w:rsidR="005816F6">
        <w:t>t-growing horticultural sectors</w:t>
      </w:r>
      <w:r w:rsidR="005816F6" w:rsidRPr="005816F6">
        <w:t xml:space="preserve">. As almonds and other nuts have relatively high fixed water demands in order to optimise fruit and tree growth, the investment has resulted in an increase in water use for nut trees within the </w:t>
      </w:r>
      <w:proofErr w:type="spellStart"/>
      <w:r w:rsidR="005816F6" w:rsidRPr="005816F6">
        <w:t>sMDB</w:t>
      </w:r>
      <w:proofErr w:type="spellEnd"/>
      <w:r w:rsidR="005816F6" w:rsidRPr="005816F6">
        <w:t xml:space="preserve"> from 366 GL in 2005–06 to 540 GL in 2012–13</w:t>
      </w:r>
      <w:r w:rsidR="00803673">
        <w:t xml:space="preserve"> (ABS 2013)</w:t>
      </w:r>
      <w:r w:rsidR="005816F6" w:rsidRPr="005816F6">
        <w:t>.</w:t>
      </w:r>
    </w:p>
    <w:p w:rsidR="00B1230D" w:rsidRDefault="0004527F" w:rsidP="00B1230D">
      <w:r>
        <w:t>Similarly, g</w:t>
      </w:r>
      <w:r w:rsidR="00B1230D" w:rsidRPr="00A16C25">
        <w:t xml:space="preserve">rowth in </w:t>
      </w:r>
      <w:r w:rsidR="00803673">
        <w:t xml:space="preserve">water </w:t>
      </w:r>
      <w:r w:rsidR="00B1230D" w:rsidRPr="00A16C25">
        <w:t xml:space="preserve">demand from cotton has also occurred, as cotton producers have commenced planting in the </w:t>
      </w:r>
      <w:proofErr w:type="spellStart"/>
      <w:r w:rsidR="00B1230D" w:rsidRPr="00A16C25">
        <w:t>sMDB</w:t>
      </w:r>
      <w:proofErr w:type="spellEnd"/>
      <w:r w:rsidR="005816F6">
        <w:t xml:space="preserve">. </w:t>
      </w:r>
      <w:r w:rsidR="005816F6" w:rsidRPr="00A16C25">
        <w:t xml:space="preserve">The </w:t>
      </w:r>
      <w:r w:rsidR="005816F6">
        <w:t xml:space="preserve">New South Wales </w:t>
      </w:r>
      <w:r w:rsidR="005816F6" w:rsidRPr="00A16C25">
        <w:t xml:space="preserve">Murrumbidgee </w:t>
      </w:r>
      <w:r w:rsidR="005816F6">
        <w:t>system</w:t>
      </w:r>
      <w:r w:rsidR="005816F6" w:rsidRPr="00A16C25">
        <w:t xml:space="preserve"> in particular has experienced a sharp rise in cotton production in recent years, which has traditionally not been grown in the area.</w:t>
      </w:r>
      <w:r w:rsidR="005816F6">
        <w:t xml:space="preserve"> </w:t>
      </w:r>
      <w:r w:rsidR="005816F6" w:rsidRPr="00A16C25">
        <w:t xml:space="preserve">The transition to cotton production has been driven by the emergence of cold-tolerant </w:t>
      </w:r>
      <w:r w:rsidR="00F2792F">
        <w:t xml:space="preserve">and faster yielding </w:t>
      </w:r>
      <w:r w:rsidR="005816F6" w:rsidRPr="00A16C25">
        <w:t>cotton varieties</w:t>
      </w:r>
      <w:r w:rsidR="00F2792F">
        <w:t>,</w:t>
      </w:r>
      <w:r w:rsidR="005816F6">
        <w:t xml:space="preserve"> and</w:t>
      </w:r>
      <w:r w:rsidR="005816F6" w:rsidRPr="00A16C25">
        <w:t xml:space="preserve"> investment in three new cotton gins within the region.</w:t>
      </w:r>
      <w:r w:rsidR="005816F6">
        <w:t xml:space="preserve"> </w:t>
      </w:r>
      <w:r w:rsidR="00B1230D" w:rsidRPr="00A16C25">
        <w:t xml:space="preserve">Cotton production has </w:t>
      </w:r>
      <w:r w:rsidR="00803673">
        <w:t xml:space="preserve">likely </w:t>
      </w:r>
      <w:r w:rsidR="00B1230D" w:rsidRPr="00A16C25">
        <w:t xml:space="preserve">displaced water used in the rice industry in the </w:t>
      </w:r>
      <w:proofErr w:type="spellStart"/>
      <w:r w:rsidR="00B1230D" w:rsidRPr="00A16C25">
        <w:t>sMDB</w:t>
      </w:r>
      <w:proofErr w:type="spellEnd"/>
      <w:r w:rsidR="00B1230D" w:rsidRPr="00A16C25">
        <w:t xml:space="preserve">. </w:t>
      </w:r>
    </w:p>
    <w:p w:rsidR="00F2792F" w:rsidRDefault="00B1230D">
      <w:r w:rsidRPr="00A16C25">
        <w:t>While the demand for water has increased among cotton</w:t>
      </w:r>
      <w:r w:rsidR="000D7D51">
        <w:t xml:space="preserve">, </w:t>
      </w:r>
      <w:r w:rsidRPr="00A16C25">
        <w:t xml:space="preserve">fruit and nut producers, the dairy industry has </w:t>
      </w:r>
      <w:r w:rsidR="00FF7162">
        <w:t>lik</w:t>
      </w:r>
      <w:r w:rsidR="00803673">
        <w:t>ely remained relatively sta</w:t>
      </w:r>
      <w:r w:rsidR="00520132">
        <w:t>tic</w:t>
      </w:r>
      <w:r w:rsidRPr="00A16C25">
        <w:t>, and bulk wine grape producers have struggled with low commodity prices.</w:t>
      </w:r>
      <w:r w:rsidR="00FF7162">
        <w:t xml:space="preserve"> </w:t>
      </w:r>
    </w:p>
    <w:p w:rsidR="0004527F" w:rsidRDefault="00C92A3F" w:rsidP="00A210E8">
      <w:r>
        <w:t>Overall, t</w:t>
      </w:r>
      <w:r w:rsidR="00B56E1A" w:rsidRPr="00A16C25">
        <w:t xml:space="preserve">he </w:t>
      </w:r>
      <w:r w:rsidR="00FF7162">
        <w:t xml:space="preserve">impact of changes in demand </w:t>
      </w:r>
      <w:r w:rsidR="0004527F">
        <w:t xml:space="preserve">in recent years </w:t>
      </w:r>
      <w:r w:rsidR="00FF7162">
        <w:t xml:space="preserve">is unclear. However, it is likely that </w:t>
      </w:r>
      <w:r w:rsidR="00B56E1A" w:rsidRPr="00A16C25">
        <w:t>increased production of higher</w:t>
      </w:r>
      <w:r w:rsidR="00A908DD">
        <w:t>-</w:t>
      </w:r>
      <w:r w:rsidR="00B56E1A" w:rsidRPr="00A16C25">
        <w:t>value commodities</w:t>
      </w:r>
      <w:r w:rsidR="00F2792F">
        <w:t>,</w:t>
      </w:r>
      <w:r w:rsidR="00B56E1A" w:rsidRPr="00A16C25">
        <w:t xml:space="preserve"> such as nuts in the </w:t>
      </w:r>
      <w:proofErr w:type="spellStart"/>
      <w:r w:rsidR="00B56E1A" w:rsidRPr="00A16C25">
        <w:t>sMDB</w:t>
      </w:r>
      <w:proofErr w:type="spellEnd"/>
      <w:r w:rsidR="00F2792F">
        <w:t>,</w:t>
      </w:r>
      <w:r w:rsidR="00B56E1A" w:rsidRPr="00A16C25">
        <w:t xml:space="preserve"> has </w:t>
      </w:r>
      <w:r>
        <w:t>led to</w:t>
      </w:r>
      <w:r w:rsidR="00A908DD">
        <w:t xml:space="preserve"> </w:t>
      </w:r>
      <w:r>
        <w:t xml:space="preserve">increased </w:t>
      </w:r>
      <w:r w:rsidR="00A36D1C">
        <w:t xml:space="preserve">fixed </w:t>
      </w:r>
      <w:r w:rsidR="00B56E1A" w:rsidRPr="00A16C25">
        <w:t>water demand</w:t>
      </w:r>
      <w:r w:rsidR="00A36D1C">
        <w:t xml:space="preserve">s as a percentage of total water demand in the </w:t>
      </w:r>
      <w:proofErr w:type="spellStart"/>
      <w:r w:rsidR="00A36D1C">
        <w:t>sMDB</w:t>
      </w:r>
      <w:proofErr w:type="spellEnd"/>
      <w:r w:rsidR="00A908DD">
        <w:t xml:space="preserve"> and a h</w:t>
      </w:r>
      <w:r w:rsidR="00A36D1C">
        <w:t>igher willingness to pay for water allocations</w:t>
      </w:r>
      <w:r w:rsidR="00E730C2">
        <w:t>.</w:t>
      </w:r>
      <w:r w:rsidR="00A908DD">
        <w:t xml:space="preserve"> </w:t>
      </w:r>
      <w:r w:rsidR="0051779A">
        <w:t>In addition to supply-</w:t>
      </w:r>
      <w:r w:rsidR="00803673">
        <w:t>side decreases, t</w:t>
      </w:r>
      <w:r w:rsidR="00A36D1C">
        <w:t xml:space="preserve">hese developments have the potential to </w:t>
      </w:r>
      <w:r w:rsidR="00B56E1A" w:rsidRPr="00A16C25">
        <w:t>place increased pressure on water allocation prices</w:t>
      </w:r>
      <w:r>
        <w:t xml:space="preserve"> in periods where water availability is low</w:t>
      </w:r>
      <w:r w:rsidR="00B56E1A" w:rsidRPr="00A16C25">
        <w:t xml:space="preserve">. </w:t>
      </w:r>
    </w:p>
    <w:p w:rsidR="00803673" w:rsidRDefault="005E541B" w:rsidP="00A210E8">
      <w:r>
        <w:t>However, it is also important to note that Commonwealth water purchases could be expected to result in longer</w:t>
      </w:r>
      <w:r w:rsidR="00A210E8">
        <w:t>-</w:t>
      </w:r>
      <w:r>
        <w:t xml:space="preserve">term reductions in demand, as irrigators that sell entitlements make adjustment decisions and exit the industry. This longer term response is equally difficult to predict, and is not included in our </w:t>
      </w:r>
      <w:r w:rsidR="00A210E8">
        <w:t>‘</w:t>
      </w:r>
      <w:r>
        <w:t>short run</w:t>
      </w:r>
      <w:r w:rsidR="00A210E8">
        <w:t>’</w:t>
      </w:r>
      <w:r>
        <w:t xml:space="preserve"> modelling of the price impacts of Commonwealth </w:t>
      </w:r>
      <w:r w:rsidR="00A210E8">
        <w:t>water purchases.</w:t>
      </w:r>
    </w:p>
    <w:p w:rsidR="00676C2F" w:rsidRDefault="00756BF4" w:rsidP="00676C2F">
      <w:pPr>
        <w:pStyle w:val="Heading1"/>
      </w:pPr>
      <w:bookmarkStart w:id="37" w:name="_Ref430761061"/>
      <w:bookmarkStart w:id="38" w:name="_Toc440006849"/>
      <w:r>
        <w:lastRenderedPageBreak/>
        <w:t xml:space="preserve">The </w:t>
      </w:r>
      <w:proofErr w:type="spellStart"/>
      <w:r>
        <w:t>Aither</w:t>
      </w:r>
      <w:proofErr w:type="spellEnd"/>
      <w:r w:rsidR="00676C2F">
        <w:t xml:space="preserve"> water allocation price model</w:t>
      </w:r>
      <w:bookmarkEnd w:id="37"/>
      <w:bookmarkEnd w:id="38"/>
      <w:r w:rsidR="00676C2F">
        <w:t xml:space="preserve"> </w:t>
      </w:r>
    </w:p>
    <w:p w:rsidR="001E458F" w:rsidRDefault="008E44EB" w:rsidP="008E44EB">
      <w:r>
        <w:t>As outlined in the previous section, s</w:t>
      </w:r>
      <w:r w:rsidRPr="008E44EB">
        <w:t>everal factors</w:t>
      </w:r>
      <w:r w:rsidR="00837014">
        <w:t xml:space="preserve"> are likely to</w:t>
      </w:r>
      <w:r w:rsidRPr="008E44EB">
        <w:t xml:space="preserve"> </w:t>
      </w:r>
      <w:r w:rsidR="00837014">
        <w:t>drive</w:t>
      </w:r>
      <w:r w:rsidRPr="008E44EB">
        <w:t xml:space="preserve"> water </w:t>
      </w:r>
      <w:r>
        <w:t xml:space="preserve">allocation </w:t>
      </w:r>
      <w:r w:rsidRPr="008E44EB">
        <w:t>prices including both supply and demand-side drivers.</w:t>
      </w:r>
      <w:r>
        <w:t xml:space="preserve"> </w:t>
      </w:r>
      <w:r w:rsidR="001E458F">
        <w:t xml:space="preserve">In particular, water </w:t>
      </w:r>
      <w:r w:rsidR="002760F5">
        <w:t>allocated that is available for consumptive</w:t>
      </w:r>
      <w:r w:rsidR="00A908DD">
        <w:t xml:space="preserve"> use </w:t>
      </w:r>
      <w:r w:rsidR="001E458F">
        <w:t xml:space="preserve">and in-crop rainfall both play a role in influencing </w:t>
      </w:r>
      <w:r w:rsidR="005C321D">
        <w:t xml:space="preserve">median </w:t>
      </w:r>
      <w:r w:rsidR="001E458F">
        <w:t>annual allocation prices</w:t>
      </w:r>
      <w:r w:rsidR="00A908DD">
        <w:t xml:space="preserve">, but so too do </w:t>
      </w:r>
      <w:r w:rsidR="00A908DD" w:rsidRPr="00A908DD">
        <w:t>longer-term shifts in production</w:t>
      </w:r>
      <w:r w:rsidR="00A908DD">
        <w:t xml:space="preserve"> </w:t>
      </w:r>
      <w:r w:rsidR="00FB14B0">
        <w:t>through altering the</w:t>
      </w:r>
      <w:r w:rsidR="00A908DD">
        <w:t xml:space="preserve"> underlying demand for water</w:t>
      </w:r>
      <w:r w:rsidR="001E458F">
        <w:t xml:space="preserve">. </w:t>
      </w:r>
    </w:p>
    <w:p w:rsidR="008E44EB" w:rsidRDefault="008E44EB" w:rsidP="008E44EB">
      <w:proofErr w:type="spellStart"/>
      <w:r w:rsidRPr="008E44EB">
        <w:t>Aither</w:t>
      </w:r>
      <w:proofErr w:type="spellEnd"/>
      <w:r>
        <w:t xml:space="preserve"> has developed a</w:t>
      </w:r>
      <w:r w:rsidR="00C64AB4">
        <w:t xml:space="preserve">n </w:t>
      </w:r>
      <w:r w:rsidRPr="008E44EB">
        <w:t>allocation price model</w:t>
      </w:r>
      <w:r>
        <w:t xml:space="preserve"> that </w:t>
      </w:r>
      <w:r w:rsidR="0004527F">
        <w:t xml:space="preserve">allows for changes in </w:t>
      </w:r>
      <w:r>
        <w:t xml:space="preserve">a number of the </w:t>
      </w:r>
      <w:r w:rsidR="00F2792F">
        <w:t xml:space="preserve">supply-side </w:t>
      </w:r>
      <w:r>
        <w:t xml:space="preserve">drivers discussed </w:t>
      </w:r>
      <w:r w:rsidR="00FB14B0">
        <w:t>in the previous section</w:t>
      </w:r>
      <w:r>
        <w:t xml:space="preserve"> </w:t>
      </w:r>
      <w:r w:rsidR="00837014">
        <w:t>to</w:t>
      </w:r>
      <w:r>
        <w:t xml:space="preserve"> </w:t>
      </w:r>
      <w:r w:rsidRPr="008E44EB">
        <w:t xml:space="preserve">generate </w:t>
      </w:r>
      <w:r w:rsidR="0004527F">
        <w:t xml:space="preserve">changes in </w:t>
      </w:r>
      <w:r w:rsidRPr="008E44EB">
        <w:t xml:space="preserve">estimated </w:t>
      </w:r>
      <w:r>
        <w:t xml:space="preserve">future </w:t>
      </w:r>
      <w:r w:rsidR="00232D9C">
        <w:t xml:space="preserve">annual median </w:t>
      </w:r>
      <w:r>
        <w:t xml:space="preserve">allocation prices for the </w:t>
      </w:r>
      <w:proofErr w:type="spellStart"/>
      <w:r>
        <w:t>sMDB</w:t>
      </w:r>
      <w:proofErr w:type="spellEnd"/>
      <w:r w:rsidR="001E458F">
        <w:t xml:space="preserve"> based on </w:t>
      </w:r>
      <w:r w:rsidR="0004527F">
        <w:t>an aggregate demand curve for water</w:t>
      </w:r>
      <w:r>
        <w:t>.</w:t>
      </w:r>
      <w:r w:rsidR="001E458F">
        <w:t xml:space="preserve"> </w:t>
      </w:r>
    </w:p>
    <w:p w:rsidR="00676C2F" w:rsidRDefault="00676C2F" w:rsidP="00676C2F">
      <w:pPr>
        <w:pStyle w:val="Heading2"/>
      </w:pPr>
      <w:bookmarkStart w:id="39" w:name="_Toc440006850"/>
      <w:r>
        <w:t>Overview of the model</w:t>
      </w:r>
      <w:bookmarkEnd w:id="39"/>
      <w:r>
        <w:t xml:space="preserve"> </w:t>
      </w:r>
    </w:p>
    <w:p w:rsidR="00803673" w:rsidRDefault="00803673" w:rsidP="00803673">
      <w:r>
        <w:t xml:space="preserve">As allocation </w:t>
      </w:r>
      <w:r w:rsidR="00BC5E0E">
        <w:t xml:space="preserve">market participants’ </w:t>
      </w:r>
      <w:r>
        <w:t xml:space="preserve">trading decisions are complex and influenced by a range of factors, it is appropriate to examine aggregate level drivers of allocation prices, such as total water </w:t>
      </w:r>
      <w:r w:rsidR="002760F5">
        <w:t>allocated that is available for consumptive</w:t>
      </w:r>
      <w:r>
        <w:t xml:space="preserve"> use, </w:t>
      </w:r>
      <w:r w:rsidR="00BC5E0E">
        <w:t>rather than</w:t>
      </w:r>
      <w:r>
        <w:t xml:space="preserve"> trying to develop detailed models of </w:t>
      </w:r>
      <w:r w:rsidR="00BC5E0E">
        <w:t xml:space="preserve">individual </w:t>
      </w:r>
      <w:r>
        <w:t xml:space="preserve">economic decisions. </w:t>
      </w:r>
      <w:r w:rsidR="0004527F">
        <w:t>It effectively provides an aggregate demand curve for water allocations.</w:t>
      </w:r>
    </w:p>
    <w:p w:rsidR="00C64AB4" w:rsidRDefault="00C07943" w:rsidP="00676C2F">
      <w:r>
        <w:t>The</w:t>
      </w:r>
      <w:r w:rsidR="003B1FF1" w:rsidRPr="0090717A">
        <w:t xml:space="preserve"> water allocation price model </w:t>
      </w:r>
      <w:r w:rsidR="00803673">
        <w:t xml:space="preserve">adopts this aggregate level approach. It </w:t>
      </w:r>
      <w:r w:rsidR="003B1FF1" w:rsidRPr="003B1FF1">
        <w:t xml:space="preserve">generates </w:t>
      </w:r>
      <w:r w:rsidR="008E44EB">
        <w:t>estimated</w:t>
      </w:r>
      <w:r w:rsidR="003B1FF1" w:rsidRPr="003B1FF1">
        <w:t xml:space="preserve"> annual median </w:t>
      </w:r>
      <w:r w:rsidR="00FB14B0" w:rsidRPr="003B1FF1">
        <w:t xml:space="preserve">per ML </w:t>
      </w:r>
      <w:r w:rsidR="00FB14B0">
        <w:t xml:space="preserve">water </w:t>
      </w:r>
      <w:r w:rsidR="003B1FF1" w:rsidRPr="003B1FF1">
        <w:t xml:space="preserve">allocation prices for the whole of the </w:t>
      </w:r>
      <w:proofErr w:type="spellStart"/>
      <w:r w:rsidR="003B1FF1" w:rsidRPr="003B1FF1">
        <w:t>sMDB</w:t>
      </w:r>
      <w:proofErr w:type="spellEnd"/>
      <w:r w:rsidR="00803673">
        <w:t xml:space="preserve"> based on key overarching drivers, as opposed to attempting to model individual decisions by market participants</w:t>
      </w:r>
      <w:r w:rsidR="00C64AB4">
        <w:t xml:space="preserve">. </w:t>
      </w:r>
      <w:r w:rsidR="000D7D51">
        <w:t>Since</w:t>
      </w:r>
      <w:r w:rsidR="000D7D51" w:rsidRPr="00C64AB4">
        <w:t xml:space="preserve"> water allocation prices tend to equalise across connected trading zones </w:t>
      </w:r>
      <w:r w:rsidR="00C64AB4" w:rsidRPr="00C64AB4">
        <w:t xml:space="preserve">in the </w:t>
      </w:r>
      <w:proofErr w:type="spellStart"/>
      <w:r w:rsidR="00C64AB4" w:rsidRPr="00C64AB4">
        <w:t>sMDB</w:t>
      </w:r>
      <w:proofErr w:type="spellEnd"/>
      <w:r w:rsidR="00C64AB4">
        <w:t xml:space="preserve">, </w:t>
      </w:r>
      <w:r w:rsidR="00CA6A70">
        <w:t>t</w:t>
      </w:r>
      <w:r>
        <w:t xml:space="preserve">he </w:t>
      </w:r>
      <w:r w:rsidR="00C64AB4">
        <w:t>model generate</w:t>
      </w:r>
      <w:r w:rsidR="00E730C2">
        <w:t>s a</w:t>
      </w:r>
      <w:r w:rsidR="003B1FF1" w:rsidRPr="003B1FF1">
        <w:t xml:space="preserve"> system</w:t>
      </w:r>
      <w:r w:rsidR="00E730C2">
        <w:t xml:space="preserve"> wide allocation price (i.e. it is not </w:t>
      </w:r>
      <w:r w:rsidR="00FB14B0">
        <w:t xml:space="preserve">trading zone </w:t>
      </w:r>
      <w:r w:rsidR="003B1FF1" w:rsidRPr="003B1FF1">
        <w:t>specific</w:t>
      </w:r>
      <w:r w:rsidR="00E730C2">
        <w:t>).</w:t>
      </w:r>
      <w:r w:rsidR="00FB226F" w:rsidRPr="00FB226F">
        <w:t xml:space="preserve"> </w:t>
      </w:r>
      <w:r>
        <w:t>The</w:t>
      </w:r>
      <w:r w:rsidRPr="00FB226F">
        <w:t xml:space="preserve"> </w:t>
      </w:r>
      <w:r w:rsidR="00FB226F" w:rsidRPr="00FB226F">
        <w:t xml:space="preserve">model expands on the approach introduced by </w:t>
      </w:r>
      <w:proofErr w:type="spellStart"/>
      <w:r w:rsidR="00FB226F" w:rsidRPr="00FB226F">
        <w:t>Wittwer</w:t>
      </w:r>
      <w:proofErr w:type="spellEnd"/>
      <w:r w:rsidR="00FB226F" w:rsidRPr="00FB226F">
        <w:t xml:space="preserve"> &amp; Dixon (2011).</w:t>
      </w:r>
    </w:p>
    <w:p w:rsidR="00676C2F" w:rsidRDefault="003B1FF1">
      <w:r>
        <w:t>The</w:t>
      </w:r>
      <w:r w:rsidRPr="003B1FF1">
        <w:t xml:space="preserve"> model </w:t>
      </w:r>
      <w:r w:rsidR="00C64AB4">
        <w:t xml:space="preserve">is calibrated based on </w:t>
      </w:r>
      <w:r w:rsidRPr="003B1FF1">
        <w:t>historical</w:t>
      </w:r>
      <w:r w:rsidR="00C64AB4">
        <w:t xml:space="preserve"> observed </w:t>
      </w:r>
      <w:r w:rsidR="00232D9C">
        <w:t xml:space="preserve">annual median </w:t>
      </w:r>
      <w:r w:rsidR="00C64AB4">
        <w:t>water allocation</w:t>
      </w:r>
      <w:r w:rsidRPr="003B1FF1">
        <w:t xml:space="preserve"> prices and </w:t>
      </w:r>
      <w:r w:rsidR="00C64AB4">
        <w:t xml:space="preserve">generates estimates </w:t>
      </w:r>
      <w:r w:rsidR="00E730C2">
        <w:t xml:space="preserve">of </w:t>
      </w:r>
      <w:r w:rsidR="00C64AB4">
        <w:t xml:space="preserve">future allocation </w:t>
      </w:r>
      <w:r w:rsidR="00232D9C">
        <w:t xml:space="preserve">annual median </w:t>
      </w:r>
      <w:r w:rsidRPr="003B1FF1">
        <w:t xml:space="preserve">prices </w:t>
      </w:r>
      <w:r w:rsidR="00C64AB4">
        <w:t xml:space="preserve">based on </w:t>
      </w:r>
      <w:r w:rsidR="00FB14B0">
        <w:t xml:space="preserve">assumptions about </w:t>
      </w:r>
      <w:r w:rsidRPr="003B1FF1">
        <w:t>hypothetical future water year</w:t>
      </w:r>
      <w:r w:rsidR="00C64AB4">
        <w:t>s</w:t>
      </w:r>
      <w:r w:rsidRPr="003B1FF1">
        <w:t xml:space="preserve">. </w:t>
      </w:r>
      <w:r w:rsidR="00306798">
        <w:fldChar w:fldCharType="begin"/>
      </w:r>
      <w:r w:rsidR="0090717A">
        <w:instrText xml:space="preserve"> REF _Ref430337438 \h </w:instrText>
      </w:r>
      <w:r w:rsidR="00306798">
        <w:fldChar w:fldCharType="separate"/>
      </w:r>
      <w:r w:rsidR="00EB2418">
        <w:t xml:space="preserve">Figure </w:t>
      </w:r>
      <w:r w:rsidR="00EB2418">
        <w:rPr>
          <w:noProof/>
        </w:rPr>
        <w:t>5</w:t>
      </w:r>
      <w:r w:rsidR="00306798">
        <w:fldChar w:fldCharType="end"/>
      </w:r>
      <w:r w:rsidR="0090717A" w:rsidRPr="0090717A">
        <w:t xml:space="preserve"> shows the close correlation between actual </w:t>
      </w:r>
      <w:r w:rsidR="00FB14B0">
        <w:t xml:space="preserve">median </w:t>
      </w:r>
      <w:r w:rsidR="0090717A" w:rsidRPr="0090717A">
        <w:t xml:space="preserve">allocation prices </w:t>
      </w:r>
      <w:r w:rsidR="0090717A">
        <w:t>since 1998-</w:t>
      </w:r>
      <w:r w:rsidR="001E458F">
        <w:t>99</w:t>
      </w:r>
      <w:r w:rsidR="001E458F" w:rsidRPr="0090717A">
        <w:t xml:space="preserve"> </w:t>
      </w:r>
      <w:r w:rsidR="0090717A" w:rsidRPr="0090717A">
        <w:t xml:space="preserve">and the prices estimated by </w:t>
      </w:r>
      <w:r w:rsidR="00C07943">
        <w:t>the</w:t>
      </w:r>
      <w:r w:rsidR="00C07943" w:rsidRPr="0090717A">
        <w:t xml:space="preserve"> </w:t>
      </w:r>
      <w:r w:rsidR="0090717A" w:rsidRPr="0090717A">
        <w:t>model.</w:t>
      </w:r>
      <w:r w:rsidR="00BB2292" w:rsidRPr="00BB2292">
        <w:t xml:space="preserve"> </w:t>
      </w:r>
      <w:r w:rsidR="00306798">
        <w:fldChar w:fldCharType="begin"/>
      </w:r>
      <w:r w:rsidR="00BB2292">
        <w:instrText xml:space="preserve"> REF _Ref430337438 \h </w:instrText>
      </w:r>
      <w:r w:rsidR="00306798">
        <w:fldChar w:fldCharType="separate"/>
      </w:r>
      <w:r w:rsidR="00EB2418">
        <w:t xml:space="preserve">Figure </w:t>
      </w:r>
      <w:r w:rsidR="00EB2418">
        <w:rPr>
          <w:noProof/>
        </w:rPr>
        <w:t>5</w:t>
      </w:r>
      <w:r w:rsidR="00306798">
        <w:fldChar w:fldCharType="end"/>
      </w:r>
      <w:r w:rsidR="00BB2292" w:rsidRPr="0090717A">
        <w:t xml:space="preserve"> </w:t>
      </w:r>
      <w:r w:rsidR="00BB2292">
        <w:t xml:space="preserve">also </w:t>
      </w:r>
      <w:r w:rsidR="00BB2292" w:rsidRPr="0090717A">
        <w:t xml:space="preserve">shows </w:t>
      </w:r>
      <w:r w:rsidR="00BB2292">
        <w:t>a 95 per cent upper and lower confidence interval for the modelled historical prices.</w:t>
      </w:r>
      <w:r w:rsidR="0090717A" w:rsidRPr="0090717A">
        <w:t xml:space="preserve"> In particular, the model has performed </w:t>
      </w:r>
      <w:r w:rsidR="001E458F">
        <w:t xml:space="preserve">particularly </w:t>
      </w:r>
      <w:r w:rsidR="0090717A" w:rsidRPr="0090717A">
        <w:t xml:space="preserve">well in estimating </w:t>
      </w:r>
      <w:r w:rsidR="000D7D51">
        <w:t xml:space="preserve">annual median </w:t>
      </w:r>
      <w:r w:rsidR="0090717A" w:rsidRPr="0090717A">
        <w:t xml:space="preserve">allocation prices since </w:t>
      </w:r>
      <w:r w:rsidR="0090717A">
        <w:t>2005-06</w:t>
      </w:r>
      <w:r w:rsidR="0090717A" w:rsidRPr="0090717A">
        <w:t>.</w:t>
      </w:r>
    </w:p>
    <w:p w:rsidR="0090717A" w:rsidRDefault="00BB2292" w:rsidP="00756220">
      <w:pPr>
        <w:pStyle w:val="TFIHolderSmallSpace"/>
      </w:pPr>
      <w:r>
        <w:rPr>
          <w:noProof/>
        </w:rPr>
        <w:drawing>
          <wp:inline distT="0" distB="0" distL="0" distR="0">
            <wp:extent cx="5720316" cy="22528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2709" cy="2265612"/>
                    </a:xfrm>
                    <a:prstGeom prst="rect">
                      <a:avLst/>
                    </a:prstGeom>
                    <a:noFill/>
                  </pic:spPr>
                </pic:pic>
              </a:graphicData>
            </a:graphic>
          </wp:inline>
        </w:drawing>
      </w:r>
    </w:p>
    <w:p w:rsidR="00261F1A" w:rsidRDefault="00261F1A" w:rsidP="00382D62">
      <w:pPr>
        <w:pStyle w:val="TFNoteSourceTab"/>
      </w:pPr>
      <w:r>
        <w:t>Note:</w:t>
      </w:r>
      <w:r>
        <w:tab/>
        <w:t>Prices reported are annual medians and are real – adjusted for inflation ($ per ML).</w:t>
      </w:r>
    </w:p>
    <w:p w:rsidR="0090717A" w:rsidRDefault="0090717A" w:rsidP="00382D62">
      <w:pPr>
        <w:pStyle w:val="TFNoteSourceTab"/>
      </w:pPr>
      <w:r>
        <w:t>Source:</w:t>
      </w:r>
      <w:r>
        <w:tab/>
      </w:r>
      <w:proofErr w:type="spellStart"/>
      <w:r>
        <w:t>Aither</w:t>
      </w:r>
      <w:proofErr w:type="spellEnd"/>
      <w:r>
        <w:t xml:space="preserve"> 2015. </w:t>
      </w:r>
    </w:p>
    <w:p w:rsidR="0090717A" w:rsidRDefault="0090717A" w:rsidP="00756220">
      <w:pPr>
        <w:pStyle w:val="Caption"/>
      </w:pPr>
      <w:bookmarkStart w:id="40" w:name="_Ref430337438"/>
      <w:bookmarkStart w:id="41" w:name="_Toc440006875"/>
      <w:r>
        <w:t xml:space="preserve">Figure </w:t>
      </w:r>
      <w:r w:rsidR="00306798">
        <w:fldChar w:fldCharType="begin"/>
      </w:r>
      <w:r w:rsidR="00531166">
        <w:instrText xml:space="preserve"> SEQ Figure \* ARABIC </w:instrText>
      </w:r>
      <w:r w:rsidR="00306798">
        <w:fldChar w:fldCharType="separate"/>
      </w:r>
      <w:r w:rsidR="00EB2418">
        <w:rPr>
          <w:noProof/>
        </w:rPr>
        <w:t>5</w:t>
      </w:r>
      <w:r w:rsidR="00306798">
        <w:rPr>
          <w:noProof/>
        </w:rPr>
        <w:fldChar w:fldCharType="end"/>
      </w:r>
      <w:bookmarkEnd w:id="40"/>
      <w:r>
        <w:tab/>
      </w:r>
      <w:r w:rsidRPr="0090717A">
        <w:t xml:space="preserve">Performance of </w:t>
      </w:r>
      <w:r w:rsidR="00C07943">
        <w:t>the</w:t>
      </w:r>
      <w:r w:rsidR="00C07943" w:rsidRPr="0090717A">
        <w:t xml:space="preserve"> </w:t>
      </w:r>
      <w:r w:rsidRPr="0090717A">
        <w:t>model relative to actual allocation prices</w:t>
      </w:r>
      <w:r w:rsidR="00EB564F">
        <w:t>, 1998-99 to 2014-15</w:t>
      </w:r>
      <w:bookmarkEnd w:id="41"/>
    </w:p>
    <w:p w:rsidR="00BC5E0E" w:rsidRDefault="00BC5E0E" w:rsidP="000C39BA"/>
    <w:p w:rsidR="00554636" w:rsidRDefault="000C39BA" w:rsidP="000C39BA">
      <w:r>
        <w:lastRenderedPageBreak/>
        <w:t xml:space="preserve">The model is built using the Microsoft Excel™ platform and uses regression analysis to develop an estimated </w:t>
      </w:r>
      <w:r w:rsidR="00174C00">
        <w:t>future</w:t>
      </w:r>
      <w:r w:rsidR="00CA6A70">
        <w:t xml:space="preserve"> media</w:t>
      </w:r>
      <w:r w:rsidR="00C07943">
        <w:t>n</w:t>
      </w:r>
      <w:r w:rsidR="00174C00">
        <w:t xml:space="preserve"> </w:t>
      </w:r>
      <w:r>
        <w:t>allocation price based on a</w:t>
      </w:r>
      <w:r w:rsidR="00FB14B0">
        <w:t xml:space="preserve">ssumptions about </w:t>
      </w:r>
      <w:r w:rsidR="000D7D51">
        <w:t xml:space="preserve">a number of explanatory variables – particularly related to </w:t>
      </w:r>
      <w:r w:rsidR="00C07943">
        <w:t xml:space="preserve">water </w:t>
      </w:r>
      <w:r w:rsidR="002760F5">
        <w:t>allocated that is available for consumptive</w:t>
      </w:r>
      <w:r w:rsidR="000D7D51">
        <w:t xml:space="preserve"> </w:t>
      </w:r>
      <w:r w:rsidR="00C07943">
        <w:t>use</w:t>
      </w:r>
      <w:r w:rsidR="000D7D51">
        <w:t xml:space="preserve"> and prevailing climatic conditions in key </w:t>
      </w:r>
      <w:r w:rsidR="00C07943">
        <w:t>growing regions</w:t>
      </w:r>
      <w:r w:rsidR="000D7D51">
        <w:t xml:space="preserve"> (</w:t>
      </w:r>
      <w:proofErr w:type="spellStart"/>
      <w:r w:rsidR="000D7D51">
        <w:t>Wittwer</w:t>
      </w:r>
      <w:proofErr w:type="spellEnd"/>
      <w:r w:rsidR="000D7D51">
        <w:t xml:space="preserve"> &amp; Dixon 2011).</w:t>
      </w:r>
      <w:r w:rsidR="003B47CD">
        <w:rPr>
          <w:rStyle w:val="FootnoteReference"/>
        </w:rPr>
        <w:footnoteReference w:id="20"/>
      </w:r>
      <w:r w:rsidR="000D7D51" w:rsidRPr="00554636">
        <w:t xml:space="preserve"> </w:t>
      </w:r>
      <w:r w:rsidR="00554636" w:rsidRPr="00554636">
        <w:t xml:space="preserve">As </w:t>
      </w:r>
      <w:r w:rsidR="001E458F">
        <w:t xml:space="preserve">price is </w:t>
      </w:r>
      <w:r w:rsidR="00554636" w:rsidRPr="00554636">
        <w:t xml:space="preserve">a function of </w:t>
      </w:r>
      <w:r w:rsidR="00803673">
        <w:t xml:space="preserve">total </w:t>
      </w:r>
      <w:r w:rsidR="00554636" w:rsidRPr="00554636">
        <w:t xml:space="preserve">water availability, the model is also able to measure the potential impact of Commonwealth water </w:t>
      </w:r>
      <w:r w:rsidR="00C013CD">
        <w:t>purchases</w:t>
      </w:r>
      <w:r w:rsidR="00554636" w:rsidRPr="00554636">
        <w:t xml:space="preserve"> on historical and future </w:t>
      </w:r>
      <w:r w:rsidR="00232D9C">
        <w:t xml:space="preserve">annual median </w:t>
      </w:r>
      <w:r w:rsidR="00554636" w:rsidRPr="00554636">
        <w:t>water allocation prices</w:t>
      </w:r>
      <w:r w:rsidR="00554636">
        <w:t xml:space="preserve"> by calculating the difference between estimated </w:t>
      </w:r>
      <w:r w:rsidR="00232D9C">
        <w:t xml:space="preserve">annual median </w:t>
      </w:r>
      <w:r w:rsidR="00554636">
        <w:t xml:space="preserve">prices </w:t>
      </w:r>
      <w:r w:rsidR="000D7D51">
        <w:t xml:space="preserve">with and without </w:t>
      </w:r>
      <w:r w:rsidR="005742C2">
        <w:t xml:space="preserve">water </w:t>
      </w:r>
      <w:r w:rsidR="000D7D51">
        <w:t xml:space="preserve">allocations to </w:t>
      </w:r>
      <w:r w:rsidR="00232D9C">
        <w:t>Commonwealth</w:t>
      </w:r>
      <w:r w:rsidR="009E55E2">
        <w:t>-</w:t>
      </w:r>
      <w:r w:rsidR="00232D9C">
        <w:t>purchased environmental</w:t>
      </w:r>
      <w:r w:rsidR="000D7D51">
        <w:t xml:space="preserve"> entitlements </w:t>
      </w:r>
      <w:r w:rsidR="005742C2">
        <w:t xml:space="preserve">(i.e. assuming purchases hypothetically did or </w:t>
      </w:r>
      <w:r w:rsidR="005E541B">
        <w:t xml:space="preserve">did not </w:t>
      </w:r>
      <w:r w:rsidR="005742C2">
        <w:t>occur)</w:t>
      </w:r>
      <w:r w:rsidR="000D7D51">
        <w:t xml:space="preserve">. </w:t>
      </w:r>
    </w:p>
    <w:p w:rsidR="00554636" w:rsidRDefault="000C39BA" w:rsidP="00524F7B">
      <w:r>
        <w:t>Using</w:t>
      </w:r>
      <w:r w:rsidR="00B62FE6">
        <w:t xml:space="preserve"> </w:t>
      </w:r>
      <w:r>
        <w:t>1998-99 as the start date</w:t>
      </w:r>
      <w:r w:rsidR="00554636">
        <w:t xml:space="preserve"> for the regression</w:t>
      </w:r>
      <w:r>
        <w:t>, the model has an R</w:t>
      </w:r>
      <w:r>
        <w:rPr>
          <w:vertAlign w:val="superscript"/>
        </w:rPr>
        <w:t>2</w:t>
      </w:r>
      <w:r w:rsidR="003B1FF1">
        <w:t xml:space="preserve"> value of 0.</w:t>
      </w:r>
      <w:r w:rsidR="009D1FBA">
        <w:t>90</w:t>
      </w:r>
      <w:r w:rsidR="00A3428F">
        <w:t xml:space="preserve"> (Adjusted R</w:t>
      </w:r>
      <w:r w:rsidR="00A3428F">
        <w:rPr>
          <w:vertAlign w:val="superscript"/>
        </w:rPr>
        <w:t>2</w:t>
      </w:r>
      <w:r w:rsidR="00A3428F">
        <w:t xml:space="preserve"> value of 0.89)</w:t>
      </w:r>
      <w:r w:rsidR="00C07943">
        <w:t>;</w:t>
      </w:r>
      <w:r w:rsidR="009D1FBA" w:rsidRPr="000C39BA">
        <w:t xml:space="preserve"> </w:t>
      </w:r>
      <w:r w:rsidRPr="000C39BA">
        <w:t xml:space="preserve">which </w:t>
      </w:r>
      <w:r>
        <w:t xml:space="preserve">means that the model explains </w:t>
      </w:r>
      <w:r w:rsidR="009D1FBA">
        <w:t>90</w:t>
      </w:r>
      <w:r w:rsidR="00B62FE6">
        <w:t xml:space="preserve"> per cent</w:t>
      </w:r>
      <w:r w:rsidRPr="000C39BA">
        <w:t xml:space="preserve"> of the historical variation in water allocation prices. </w:t>
      </w:r>
    </w:p>
    <w:p w:rsidR="00837014" w:rsidRDefault="00837014" w:rsidP="00837014">
      <w:pPr>
        <w:pStyle w:val="BoxText"/>
        <w:rPr>
          <w:b/>
          <w:bCs/>
        </w:rPr>
      </w:pPr>
      <w:r>
        <w:rPr>
          <w:b/>
          <w:bCs/>
        </w:rPr>
        <w:t>T</w:t>
      </w:r>
      <w:r w:rsidRPr="00837014">
        <w:rPr>
          <w:b/>
          <w:bCs/>
        </w:rPr>
        <w:t xml:space="preserve">echnical description </w:t>
      </w:r>
      <w:r>
        <w:rPr>
          <w:b/>
          <w:bCs/>
        </w:rPr>
        <w:t>of model</w:t>
      </w:r>
    </w:p>
    <w:p w:rsidR="000D7D51" w:rsidRDefault="000D7D51" w:rsidP="00837014">
      <w:pPr>
        <w:pStyle w:val="BoxText"/>
      </w:pPr>
      <w:bookmarkStart w:id="42" w:name="_Ref431404233"/>
      <w:r>
        <w:t xml:space="preserve">A draft version of this report, along with a technical </w:t>
      </w:r>
      <w:r w:rsidRPr="00B62FE6">
        <w:t xml:space="preserve">description of </w:t>
      </w:r>
      <w:r>
        <w:t>the</w:t>
      </w:r>
      <w:r w:rsidRPr="00B62FE6">
        <w:t xml:space="preserve"> model </w:t>
      </w:r>
      <w:r>
        <w:t xml:space="preserve">was provided in-confidence to the two peer reviewers engaged to quality </w:t>
      </w:r>
      <w:proofErr w:type="gramStart"/>
      <w:r>
        <w:t>assure</w:t>
      </w:r>
      <w:proofErr w:type="gramEnd"/>
      <w:r>
        <w:t xml:space="preserve"> this report. Given the confidential nature and intellectual property </w:t>
      </w:r>
      <w:r w:rsidRPr="00554636">
        <w:t xml:space="preserve">vested in the model which </w:t>
      </w:r>
      <w:r>
        <w:t xml:space="preserve">remains with </w:t>
      </w:r>
      <w:proofErr w:type="spellStart"/>
      <w:r>
        <w:t>Aither</w:t>
      </w:r>
      <w:proofErr w:type="spellEnd"/>
      <w:r>
        <w:t xml:space="preserve">, the technical </w:t>
      </w:r>
      <w:r w:rsidRPr="00837014">
        <w:t>description of the model</w:t>
      </w:r>
      <w:r>
        <w:t xml:space="preserve"> and the model itself remains confidential. </w:t>
      </w:r>
    </w:p>
    <w:p w:rsidR="00676C2F" w:rsidRDefault="005A301A" w:rsidP="00676C2F">
      <w:pPr>
        <w:pStyle w:val="Heading2"/>
      </w:pPr>
      <w:bookmarkStart w:id="43" w:name="_Ref432683733"/>
      <w:bookmarkStart w:id="44" w:name="_Toc440006851"/>
      <w:r>
        <w:t>Caveats</w:t>
      </w:r>
      <w:bookmarkEnd w:id="42"/>
      <w:bookmarkEnd w:id="43"/>
      <w:bookmarkEnd w:id="44"/>
    </w:p>
    <w:p w:rsidR="00C07943" w:rsidRDefault="00FB226F" w:rsidP="00592F62">
      <w:pPr>
        <w:keepNext/>
      </w:pPr>
      <w:proofErr w:type="spellStart"/>
      <w:r>
        <w:t>Aither</w:t>
      </w:r>
      <w:proofErr w:type="spellEnd"/>
      <w:r>
        <w:t xml:space="preserve"> </w:t>
      </w:r>
      <w:r w:rsidR="0004527F">
        <w:t>believes</w:t>
      </w:r>
      <w:r w:rsidR="00BC5E0E">
        <w:t xml:space="preserve"> t</w:t>
      </w:r>
      <w:r>
        <w:t xml:space="preserve">hat the approach to the modelling presented in this report is fit for purpose in that it is based on economic principles, reflects the underlying available data and focuses on the key drivers of allocation prices in any particular year. However, a </w:t>
      </w:r>
      <w:r w:rsidR="00E70A83">
        <w:t xml:space="preserve">number of important caveats apply to </w:t>
      </w:r>
      <w:r w:rsidR="00C07943">
        <w:t xml:space="preserve">the </w:t>
      </w:r>
      <w:r w:rsidR="00E70A83" w:rsidRPr="00E70A83">
        <w:t>allocation price model</w:t>
      </w:r>
      <w:r w:rsidR="00E70A83">
        <w:t xml:space="preserve"> and the outputs that it generat</w:t>
      </w:r>
      <w:r w:rsidR="00554636">
        <w:t>es</w:t>
      </w:r>
      <w:r w:rsidR="00E70A83">
        <w:t xml:space="preserve">. These </w:t>
      </w:r>
      <w:r w:rsidR="00E70A83" w:rsidRPr="00E70A83">
        <w:t xml:space="preserve">caveats </w:t>
      </w:r>
      <w:r w:rsidR="00E70A83">
        <w:t xml:space="preserve">are </w:t>
      </w:r>
      <w:r w:rsidR="00EC2040">
        <w:t xml:space="preserve">presented </w:t>
      </w:r>
      <w:r w:rsidR="00E70A83">
        <w:t>in</w:t>
      </w:r>
      <w:r w:rsidR="00554636">
        <w:t xml:space="preserve"> </w:t>
      </w:r>
      <w:r w:rsidR="00306798">
        <w:fldChar w:fldCharType="begin"/>
      </w:r>
      <w:r w:rsidR="00EC2040">
        <w:instrText xml:space="preserve"> REF _Ref430952932 \h </w:instrText>
      </w:r>
      <w:r w:rsidR="00306798">
        <w:fldChar w:fldCharType="separate"/>
      </w:r>
      <w:r w:rsidR="00EB2418" w:rsidRPr="00894869">
        <w:t xml:space="preserve">Table </w:t>
      </w:r>
      <w:r w:rsidR="00EB2418">
        <w:rPr>
          <w:noProof/>
        </w:rPr>
        <w:t>3</w:t>
      </w:r>
      <w:r w:rsidR="00306798">
        <w:fldChar w:fldCharType="end"/>
      </w:r>
      <w:r w:rsidR="00E70A83">
        <w:t>.</w:t>
      </w:r>
      <w:r w:rsidR="001E458F">
        <w:t xml:space="preserve"> </w:t>
      </w:r>
    </w:p>
    <w:p w:rsidR="00554636" w:rsidRDefault="00FB226F" w:rsidP="00592F62">
      <w:pPr>
        <w:keepNext/>
      </w:pPr>
      <w:r>
        <w:t>It is important to recognise that a</w:t>
      </w:r>
      <w:r w:rsidR="001E458F">
        <w:t>ll modelling is an approximation of reality</w:t>
      </w:r>
      <w:r>
        <w:t xml:space="preserve"> and is based on best available information at the time</w:t>
      </w:r>
      <w:r w:rsidR="001E458F">
        <w:t xml:space="preserve">. </w:t>
      </w:r>
      <w:r w:rsidR="00524F7B">
        <w:t>The model</w:t>
      </w:r>
      <w:r w:rsidR="001E458F">
        <w:t xml:space="preserve"> should be viewed as providing a </w:t>
      </w:r>
      <w:r w:rsidR="00803673">
        <w:t xml:space="preserve">relatively </w:t>
      </w:r>
      <w:r w:rsidR="001E458F">
        <w:t xml:space="preserve">robust indication of </w:t>
      </w:r>
      <w:r w:rsidR="005C321D">
        <w:t xml:space="preserve">median </w:t>
      </w:r>
      <w:r w:rsidR="001E458F">
        <w:t xml:space="preserve">annual prices under specific seasonal conditions, and can approximate the </w:t>
      </w:r>
      <w:r>
        <w:t xml:space="preserve">potential </w:t>
      </w:r>
      <w:r w:rsidR="00232D9C">
        <w:t xml:space="preserve">annual median </w:t>
      </w:r>
      <w:r>
        <w:t xml:space="preserve">price </w:t>
      </w:r>
      <w:r w:rsidR="001E458F">
        <w:t>impact of the</w:t>
      </w:r>
      <w:r>
        <w:t xml:space="preserve"> </w:t>
      </w:r>
      <w:r w:rsidR="001E458F">
        <w:t xml:space="preserve">Commonwealth </w:t>
      </w:r>
      <w:r w:rsidR="00043651">
        <w:t xml:space="preserve">water </w:t>
      </w:r>
      <w:r w:rsidR="00C013CD">
        <w:t>purchases</w:t>
      </w:r>
      <w:r w:rsidR="001E458F">
        <w:t xml:space="preserve"> in any particular year, subject to the points described below.</w:t>
      </w:r>
      <w:r w:rsidR="00803673">
        <w:t xml:space="preserve"> </w:t>
      </w:r>
    </w:p>
    <w:p w:rsidR="00232D9C" w:rsidRDefault="000D749B" w:rsidP="00E70A83">
      <w:pPr>
        <w:sectPr w:rsidR="00232D9C" w:rsidSect="00CD59A5">
          <w:headerReference w:type="even" r:id="rId25"/>
          <w:headerReference w:type="default" r:id="rId26"/>
          <w:footerReference w:type="default" r:id="rId27"/>
          <w:headerReference w:type="first" r:id="rId28"/>
          <w:pgSz w:w="11906" w:h="16838" w:code="9"/>
          <w:pgMar w:top="1440" w:right="1440" w:bottom="1440" w:left="1440" w:header="578" w:footer="567" w:gutter="0"/>
          <w:pgNumType w:start="1"/>
          <w:cols w:space="720"/>
          <w:docGrid w:linePitch="299"/>
        </w:sectPr>
      </w:pPr>
      <w:r>
        <w:t xml:space="preserve">It is important to understand that the estimate of the </w:t>
      </w:r>
      <w:r w:rsidR="00232D9C">
        <w:t xml:space="preserve">Commonwealth’s water purchase </w:t>
      </w:r>
      <w:r>
        <w:t xml:space="preserve">impact on </w:t>
      </w:r>
      <w:r w:rsidR="00232D9C">
        <w:t>annual median price</w:t>
      </w:r>
      <w:r>
        <w:t>s is a stylised modelled effect that is not supposed to reflect actual prices experienced by market participants on a day to day basis. It nevertheless is useful to estimate the overall impact of the Commonwealth’s program on an annual basis.</w:t>
      </w:r>
    </w:p>
    <w:p w:rsidR="00554636" w:rsidRPr="00CC1CF7" w:rsidRDefault="00554636" w:rsidP="00CC1CF7">
      <w:pPr>
        <w:pStyle w:val="Caption"/>
      </w:pPr>
      <w:bookmarkStart w:id="45" w:name="_Ref430952932"/>
      <w:bookmarkStart w:id="46" w:name="_Toc419470264"/>
      <w:bookmarkStart w:id="47" w:name="_Toc440006861"/>
      <w:r w:rsidRPr="00894869">
        <w:lastRenderedPageBreak/>
        <w:t xml:space="preserve">Table </w:t>
      </w:r>
      <w:r w:rsidR="00306798">
        <w:fldChar w:fldCharType="begin"/>
      </w:r>
      <w:r w:rsidR="00531166">
        <w:instrText xml:space="preserve"> SEQ Table \* ARABIC </w:instrText>
      </w:r>
      <w:r w:rsidR="00306798">
        <w:fldChar w:fldCharType="separate"/>
      </w:r>
      <w:r w:rsidR="00EB2418">
        <w:rPr>
          <w:noProof/>
        </w:rPr>
        <w:t>3</w:t>
      </w:r>
      <w:r w:rsidR="00306798">
        <w:rPr>
          <w:noProof/>
        </w:rPr>
        <w:fldChar w:fldCharType="end"/>
      </w:r>
      <w:bookmarkEnd w:id="45"/>
      <w:r>
        <w:tab/>
      </w:r>
      <w:bookmarkEnd w:id="46"/>
      <w:r>
        <w:t xml:space="preserve">Caveats to </w:t>
      </w:r>
      <w:r w:rsidR="0004527F">
        <w:t>t</w:t>
      </w:r>
      <w:r w:rsidR="00C07943">
        <w:t>he</w:t>
      </w:r>
      <w:r>
        <w:t xml:space="preserve"> allocation price model</w:t>
      </w:r>
      <w:bookmarkEnd w:id="47"/>
      <w:r>
        <w:t xml:space="preserve"> </w:t>
      </w:r>
    </w:p>
    <w:tbl>
      <w:tblPr>
        <w:tblStyle w:val="Aither"/>
        <w:tblW w:w="14220" w:type="dxa"/>
        <w:tblInd w:w="108" w:type="dxa"/>
        <w:tblLook w:val="04A0"/>
      </w:tblPr>
      <w:tblGrid>
        <w:gridCol w:w="1530"/>
        <w:gridCol w:w="3060"/>
        <w:gridCol w:w="5670"/>
        <w:gridCol w:w="3960"/>
      </w:tblGrid>
      <w:tr w:rsidR="00EC2040" w:rsidTr="008B204E">
        <w:trPr>
          <w:cnfStyle w:val="100000000000"/>
          <w:tblHeader/>
        </w:trPr>
        <w:tc>
          <w:tcPr>
            <w:tcW w:w="1530" w:type="dxa"/>
          </w:tcPr>
          <w:p w:rsidR="00554636" w:rsidRDefault="00554636" w:rsidP="00AA49F6">
            <w:pPr>
              <w:pStyle w:val="TableHeading"/>
              <w:keepNext w:val="0"/>
            </w:pPr>
            <w:r>
              <w:t xml:space="preserve">Issue </w:t>
            </w:r>
          </w:p>
        </w:tc>
        <w:tc>
          <w:tcPr>
            <w:tcW w:w="3060" w:type="dxa"/>
          </w:tcPr>
          <w:p w:rsidR="00554636" w:rsidRDefault="00554636" w:rsidP="00AA49F6">
            <w:pPr>
              <w:pStyle w:val="TableHeading"/>
              <w:keepNext w:val="0"/>
            </w:pPr>
            <w:r>
              <w:t>Treatment</w:t>
            </w:r>
          </w:p>
        </w:tc>
        <w:tc>
          <w:tcPr>
            <w:tcW w:w="5670" w:type="dxa"/>
          </w:tcPr>
          <w:p w:rsidR="00554636" w:rsidRDefault="00554636" w:rsidP="00AA49F6">
            <w:pPr>
              <w:pStyle w:val="TableHeading"/>
              <w:keepNext w:val="0"/>
            </w:pPr>
            <w:r>
              <w:t>Justification</w:t>
            </w:r>
          </w:p>
        </w:tc>
        <w:tc>
          <w:tcPr>
            <w:tcW w:w="3960" w:type="dxa"/>
          </w:tcPr>
          <w:p w:rsidR="00554636" w:rsidRDefault="00554636" w:rsidP="00AA49F6">
            <w:pPr>
              <w:pStyle w:val="TableHeading"/>
              <w:keepNext w:val="0"/>
            </w:pPr>
            <w:r>
              <w:t>Implications</w:t>
            </w:r>
          </w:p>
        </w:tc>
      </w:tr>
      <w:tr w:rsidR="00EC2040" w:rsidTr="00EC2040">
        <w:trPr>
          <w:cnfStyle w:val="000000100000"/>
        </w:trPr>
        <w:tc>
          <w:tcPr>
            <w:tcW w:w="1530" w:type="dxa"/>
          </w:tcPr>
          <w:p w:rsidR="00554636" w:rsidRPr="00592F62" w:rsidRDefault="00554636" w:rsidP="00AA49F6">
            <w:pPr>
              <w:pStyle w:val="TableText"/>
              <w:keepNext w:val="0"/>
              <w:rPr>
                <w:sz w:val="16"/>
                <w:szCs w:val="16"/>
              </w:rPr>
            </w:pPr>
            <w:r w:rsidRPr="00592F62">
              <w:rPr>
                <w:sz w:val="16"/>
                <w:szCs w:val="16"/>
              </w:rPr>
              <w:t>Estimate of annual median price</w:t>
            </w:r>
            <w:r w:rsidR="00D81A60" w:rsidRPr="00592F62">
              <w:rPr>
                <w:sz w:val="16"/>
                <w:szCs w:val="16"/>
              </w:rPr>
              <w:t xml:space="preserve"> for whole of </w:t>
            </w:r>
            <w:proofErr w:type="spellStart"/>
            <w:r w:rsidR="00D81A60" w:rsidRPr="00592F62">
              <w:rPr>
                <w:sz w:val="16"/>
                <w:szCs w:val="16"/>
              </w:rPr>
              <w:t>sMDB</w:t>
            </w:r>
            <w:proofErr w:type="spellEnd"/>
          </w:p>
        </w:tc>
        <w:tc>
          <w:tcPr>
            <w:tcW w:w="3060" w:type="dxa"/>
          </w:tcPr>
          <w:p w:rsidR="00554636" w:rsidRPr="00592F62" w:rsidRDefault="00C07943" w:rsidP="00AA49F6">
            <w:pPr>
              <w:pStyle w:val="TFNoteSourceTab"/>
              <w:keepLines w:val="0"/>
              <w:spacing w:before="60"/>
              <w:ind w:left="0" w:firstLine="0"/>
              <w:rPr>
                <w:szCs w:val="16"/>
              </w:rPr>
            </w:pPr>
            <w:r>
              <w:rPr>
                <w:szCs w:val="16"/>
              </w:rPr>
              <w:t>The</w:t>
            </w:r>
            <w:r w:rsidR="00D81A60" w:rsidRPr="00592F62">
              <w:rPr>
                <w:szCs w:val="16"/>
              </w:rPr>
              <w:t xml:space="preserve"> allocation price model generates estimates of annual median allocation per ML prices for the whole of </w:t>
            </w:r>
            <w:proofErr w:type="spellStart"/>
            <w:r w:rsidR="00D81A60" w:rsidRPr="00592F62">
              <w:rPr>
                <w:szCs w:val="16"/>
              </w:rPr>
              <w:t>sMDB</w:t>
            </w:r>
            <w:proofErr w:type="spellEnd"/>
            <w:r w:rsidR="00D81A60" w:rsidRPr="00592F62">
              <w:rPr>
                <w:szCs w:val="16"/>
              </w:rPr>
              <w:t xml:space="preserve"> – i.e. it does not generate trading zone specific median allocation prices nor does it </w:t>
            </w:r>
            <w:r w:rsidR="001E458F">
              <w:rPr>
                <w:szCs w:val="16"/>
              </w:rPr>
              <w:t xml:space="preserve">account for </w:t>
            </w:r>
            <w:r w:rsidR="00D81A60" w:rsidRPr="00592F62">
              <w:rPr>
                <w:szCs w:val="16"/>
              </w:rPr>
              <w:t xml:space="preserve">within season allocation price </w:t>
            </w:r>
            <w:r w:rsidR="001E458F">
              <w:rPr>
                <w:szCs w:val="16"/>
              </w:rPr>
              <w:t>movements</w:t>
            </w:r>
            <w:r w:rsidR="00D81A60" w:rsidRPr="00592F62">
              <w:rPr>
                <w:szCs w:val="16"/>
              </w:rPr>
              <w:t>.</w:t>
            </w:r>
          </w:p>
        </w:tc>
        <w:tc>
          <w:tcPr>
            <w:tcW w:w="5670" w:type="dxa"/>
          </w:tcPr>
          <w:p w:rsidR="00554636" w:rsidRPr="000D7D51" w:rsidRDefault="00D81A60" w:rsidP="00AA49F6">
            <w:pPr>
              <w:pStyle w:val="TableText"/>
              <w:keepNext w:val="0"/>
              <w:rPr>
                <w:sz w:val="16"/>
                <w:szCs w:val="16"/>
              </w:rPr>
            </w:pPr>
            <w:r w:rsidRPr="000D7D51">
              <w:rPr>
                <w:sz w:val="16"/>
                <w:szCs w:val="16"/>
              </w:rPr>
              <w:t xml:space="preserve">In general, </w:t>
            </w:r>
            <w:r w:rsidR="000D7D51" w:rsidRPr="000D7D51">
              <w:rPr>
                <w:sz w:val="16"/>
                <w:szCs w:val="16"/>
              </w:rPr>
              <w:t xml:space="preserve">water allocation prices tend to equalise across connected trading zones in the </w:t>
            </w:r>
            <w:proofErr w:type="spellStart"/>
            <w:r w:rsidR="000D7D51" w:rsidRPr="000D7D51">
              <w:rPr>
                <w:sz w:val="16"/>
                <w:szCs w:val="16"/>
              </w:rPr>
              <w:t>sMDB</w:t>
            </w:r>
            <w:proofErr w:type="spellEnd"/>
            <w:r w:rsidR="000D7D51" w:rsidRPr="000D7D51">
              <w:rPr>
                <w:sz w:val="16"/>
                <w:szCs w:val="16"/>
              </w:rPr>
              <w:t xml:space="preserve">. </w:t>
            </w:r>
            <w:r w:rsidRPr="000D7D51">
              <w:rPr>
                <w:sz w:val="16"/>
                <w:szCs w:val="16"/>
              </w:rPr>
              <w:t>There may be some instances where local trading constraints create a price differential</w:t>
            </w:r>
            <w:r w:rsidR="0004527F">
              <w:rPr>
                <w:sz w:val="16"/>
                <w:szCs w:val="16"/>
              </w:rPr>
              <w:t xml:space="preserve"> (e.g. constraints on trade out of the Murrumbidgee system)</w:t>
            </w:r>
            <w:r w:rsidRPr="000D7D51">
              <w:rPr>
                <w:sz w:val="16"/>
                <w:szCs w:val="16"/>
              </w:rPr>
              <w:t xml:space="preserve">; however, these are </w:t>
            </w:r>
            <w:r w:rsidR="0004527F">
              <w:rPr>
                <w:sz w:val="16"/>
                <w:szCs w:val="16"/>
              </w:rPr>
              <w:t xml:space="preserve">hard to model and usually </w:t>
            </w:r>
            <w:r w:rsidRPr="000D7D51">
              <w:rPr>
                <w:sz w:val="16"/>
                <w:szCs w:val="16"/>
              </w:rPr>
              <w:t>not highly significant. As such, the assumption of a single price generated by the model is appropriate for the purposes of this annualised modelling exercise.</w:t>
            </w:r>
          </w:p>
          <w:p w:rsidR="00D81A60" w:rsidRPr="000D7D51" w:rsidRDefault="00D81A60" w:rsidP="00AA49F6">
            <w:pPr>
              <w:pStyle w:val="TFNoteSourceTab"/>
              <w:keepLines w:val="0"/>
              <w:spacing w:before="60"/>
              <w:ind w:left="0" w:firstLine="0"/>
              <w:rPr>
                <w:szCs w:val="16"/>
              </w:rPr>
            </w:pPr>
            <w:r w:rsidRPr="000D7D51">
              <w:rPr>
                <w:szCs w:val="16"/>
              </w:rPr>
              <w:t xml:space="preserve">This version of </w:t>
            </w:r>
            <w:r w:rsidR="00C07943">
              <w:rPr>
                <w:szCs w:val="16"/>
              </w:rPr>
              <w:t>the</w:t>
            </w:r>
            <w:r w:rsidRPr="000D7D51">
              <w:rPr>
                <w:szCs w:val="16"/>
              </w:rPr>
              <w:t xml:space="preserve"> model is not calibrated to address within season allocation price movements or changes to within season climatic conditions. All inputs to the model are based on end of water year outcomes.</w:t>
            </w:r>
          </w:p>
        </w:tc>
        <w:tc>
          <w:tcPr>
            <w:tcW w:w="3960" w:type="dxa"/>
          </w:tcPr>
          <w:p w:rsidR="00554636" w:rsidRDefault="00D81A60" w:rsidP="00AA49F6">
            <w:pPr>
              <w:pStyle w:val="TFNoteSourceTab"/>
              <w:keepLines w:val="0"/>
              <w:spacing w:before="60"/>
              <w:ind w:left="0" w:firstLine="0"/>
              <w:rPr>
                <w:szCs w:val="16"/>
              </w:rPr>
            </w:pPr>
            <w:r w:rsidRPr="00592F62">
              <w:rPr>
                <w:szCs w:val="16"/>
              </w:rPr>
              <w:t xml:space="preserve">Results of </w:t>
            </w:r>
            <w:r w:rsidR="00C07943">
              <w:rPr>
                <w:szCs w:val="16"/>
              </w:rPr>
              <w:t>the</w:t>
            </w:r>
            <w:r w:rsidRPr="00592F62">
              <w:rPr>
                <w:szCs w:val="16"/>
              </w:rPr>
              <w:t xml:space="preserve"> allocation price model need to be interpreted on the basis that they represent whole of </w:t>
            </w:r>
            <w:proofErr w:type="spellStart"/>
            <w:r w:rsidRPr="00592F62">
              <w:rPr>
                <w:szCs w:val="16"/>
              </w:rPr>
              <w:t>sMDB</w:t>
            </w:r>
            <w:proofErr w:type="spellEnd"/>
            <w:r w:rsidRPr="00592F62">
              <w:rPr>
                <w:szCs w:val="16"/>
              </w:rPr>
              <w:t xml:space="preserve"> allocation prices and are based on annual outcomes</w:t>
            </w:r>
            <w:r w:rsidR="009D75F2">
              <w:rPr>
                <w:szCs w:val="16"/>
              </w:rPr>
              <w:t xml:space="preserve"> across the course of the year</w:t>
            </w:r>
            <w:r w:rsidRPr="00592F62">
              <w:rPr>
                <w:szCs w:val="16"/>
              </w:rPr>
              <w:t>, and do not reflect within season allocation price movements.</w:t>
            </w:r>
          </w:p>
          <w:p w:rsidR="0004527F" w:rsidRPr="00592F62" w:rsidRDefault="0004527F" w:rsidP="00AA49F6">
            <w:pPr>
              <w:pStyle w:val="TFNoteSourceTab"/>
              <w:keepLines w:val="0"/>
              <w:spacing w:before="60"/>
              <w:ind w:left="0" w:firstLine="0"/>
              <w:rPr>
                <w:szCs w:val="16"/>
              </w:rPr>
            </w:pPr>
            <w:r>
              <w:rPr>
                <w:szCs w:val="16"/>
              </w:rPr>
              <w:t>The price modelling effectively assumes that trade constraints are not binding in any material manner.</w:t>
            </w:r>
          </w:p>
        </w:tc>
      </w:tr>
      <w:tr w:rsidR="00042819" w:rsidTr="00592F62">
        <w:tc>
          <w:tcPr>
            <w:tcW w:w="1530" w:type="dxa"/>
          </w:tcPr>
          <w:p w:rsidR="00C40C69" w:rsidRPr="00592F62" w:rsidRDefault="009D75F2" w:rsidP="00AA49F6">
            <w:pPr>
              <w:pStyle w:val="TableText"/>
              <w:keepNext w:val="0"/>
              <w:rPr>
                <w:sz w:val="16"/>
                <w:szCs w:val="16"/>
              </w:rPr>
            </w:pPr>
            <w:r>
              <w:rPr>
                <w:sz w:val="16"/>
                <w:szCs w:val="16"/>
              </w:rPr>
              <w:t>Long</w:t>
            </w:r>
            <w:r w:rsidR="001B2F69">
              <w:rPr>
                <w:sz w:val="16"/>
                <w:szCs w:val="16"/>
              </w:rPr>
              <w:t>-</w:t>
            </w:r>
            <w:r>
              <w:rPr>
                <w:sz w:val="16"/>
                <w:szCs w:val="16"/>
              </w:rPr>
              <w:t xml:space="preserve">term structural </w:t>
            </w:r>
            <w:r w:rsidR="001B2F69">
              <w:rPr>
                <w:sz w:val="16"/>
                <w:szCs w:val="16"/>
              </w:rPr>
              <w:t xml:space="preserve">water </w:t>
            </w:r>
            <w:r>
              <w:rPr>
                <w:sz w:val="16"/>
                <w:szCs w:val="16"/>
              </w:rPr>
              <w:t>d</w:t>
            </w:r>
            <w:r w:rsidR="00C40C69" w:rsidRPr="00592F62">
              <w:rPr>
                <w:sz w:val="16"/>
                <w:szCs w:val="16"/>
              </w:rPr>
              <w:t>emand</w:t>
            </w:r>
          </w:p>
        </w:tc>
        <w:tc>
          <w:tcPr>
            <w:tcW w:w="3060" w:type="dxa"/>
          </w:tcPr>
          <w:p w:rsidR="00C40C69" w:rsidRPr="00592F62" w:rsidRDefault="00C07943" w:rsidP="00AA49F6">
            <w:pPr>
              <w:pStyle w:val="TFNoteSourceTab"/>
              <w:keepLines w:val="0"/>
              <w:spacing w:before="60"/>
              <w:ind w:left="0" w:firstLine="0"/>
              <w:rPr>
                <w:szCs w:val="16"/>
              </w:rPr>
            </w:pPr>
            <w:r>
              <w:rPr>
                <w:szCs w:val="16"/>
              </w:rPr>
              <w:t>The</w:t>
            </w:r>
            <w:r w:rsidR="00C40C69" w:rsidRPr="00592F62">
              <w:rPr>
                <w:szCs w:val="16"/>
              </w:rPr>
              <w:t xml:space="preserve"> allocation price model does not account for any </w:t>
            </w:r>
            <w:r w:rsidR="009D75F2">
              <w:rPr>
                <w:szCs w:val="16"/>
              </w:rPr>
              <w:t>long</w:t>
            </w:r>
            <w:r w:rsidR="001B2F69">
              <w:rPr>
                <w:szCs w:val="16"/>
              </w:rPr>
              <w:t>-</w:t>
            </w:r>
            <w:r w:rsidR="009D75F2">
              <w:rPr>
                <w:szCs w:val="16"/>
              </w:rPr>
              <w:t xml:space="preserve">term structural changes in </w:t>
            </w:r>
            <w:r w:rsidR="001B2F69">
              <w:rPr>
                <w:szCs w:val="16"/>
              </w:rPr>
              <w:t xml:space="preserve">water </w:t>
            </w:r>
            <w:r w:rsidR="00C40C69" w:rsidRPr="00592F62">
              <w:rPr>
                <w:szCs w:val="16"/>
              </w:rPr>
              <w:t>demand</w:t>
            </w:r>
            <w:r w:rsidR="009D75F2">
              <w:rPr>
                <w:szCs w:val="16"/>
              </w:rPr>
              <w:t xml:space="preserve"> and the resultant impacts on</w:t>
            </w:r>
            <w:r w:rsidR="00C40C69" w:rsidRPr="00592F62">
              <w:rPr>
                <w:szCs w:val="16"/>
              </w:rPr>
              <w:t xml:space="preserve"> water allocation prices.</w:t>
            </w:r>
            <w:r w:rsidR="00A038E0" w:rsidRPr="00592F62">
              <w:rPr>
                <w:szCs w:val="16"/>
              </w:rPr>
              <w:t xml:space="preserve"> </w:t>
            </w:r>
            <w:r>
              <w:rPr>
                <w:szCs w:val="16"/>
              </w:rPr>
              <w:t>The</w:t>
            </w:r>
            <w:r w:rsidR="00A038E0" w:rsidRPr="00592F62">
              <w:rPr>
                <w:szCs w:val="16"/>
              </w:rPr>
              <w:t xml:space="preserve"> model assumes that </w:t>
            </w:r>
            <w:r w:rsidR="009D75F2">
              <w:rPr>
                <w:szCs w:val="16"/>
              </w:rPr>
              <w:t xml:space="preserve">underlying </w:t>
            </w:r>
            <w:r w:rsidR="00A038E0" w:rsidRPr="00592F62">
              <w:rPr>
                <w:szCs w:val="16"/>
              </w:rPr>
              <w:t xml:space="preserve">demand is </w:t>
            </w:r>
            <w:r w:rsidR="00011847">
              <w:rPr>
                <w:szCs w:val="16"/>
              </w:rPr>
              <w:t>stable over the years modelled.</w:t>
            </w:r>
          </w:p>
        </w:tc>
        <w:tc>
          <w:tcPr>
            <w:tcW w:w="5670" w:type="dxa"/>
          </w:tcPr>
          <w:p w:rsidR="00C40C69" w:rsidRPr="00592F62" w:rsidRDefault="00C40C69" w:rsidP="0004527F">
            <w:pPr>
              <w:pStyle w:val="TFNoteSourceTab"/>
              <w:keepLines w:val="0"/>
              <w:spacing w:before="60"/>
              <w:ind w:left="0" w:firstLine="0"/>
              <w:rPr>
                <w:szCs w:val="16"/>
              </w:rPr>
            </w:pPr>
            <w:r w:rsidRPr="00592F62">
              <w:rPr>
                <w:szCs w:val="16"/>
              </w:rPr>
              <w:t xml:space="preserve">Data to underpin </w:t>
            </w:r>
            <w:r w:rsidR="009D75F2">
              <w:rPr>
                <w:szCs w:val="16"/>
              </w:rPr>
              <w:t>structural changes in demand</w:t>
            </w:r>
            <w:r w:rsidRPr="00592F62">
              <w:rPr>
                <w:szCs w:val="16"/>
              </w:rPr>
              <w:t xml:space="preserve"> is </w:t>
            </w:r>
            <w:r w:rsidR="00A038E0" w:rsidRPr="00592F62">
              <w:rPr>
                <w:szCs w:val="16"/>
              </w:rPr>
              <w:t xml:space="preserve">either </w:t>
            </w:r>
            <w:r w:rsidRPr="00592F62">
              <w:rPr>
                <w:szCs w:val="16"/>
              </w:rPr>
              <w:t>not</w:t>
            </w:r>
            <w:r w:rsidR="00A038E0" w:rsidRPr="00592F62">
              <w:rPr>
                <w:szCs w:val="16"/>
              </w:rPr>
              <w:t xml:space="preserve"> </w:t>
            </w:r>
            <w:r w:rsidRPr="00592F62">
              <w:rPr>
                <w:szCs w:val="16"/>
              </w:rPr>
              <w:t xml:space="preserve">publically available </w:t>
            </w:r>
            <w:r w:rsidR="00A038E0" w:rsidRPr="00592F62">
              <w:rPr>
                <w:szCs w:val="16"/>
              </w:rPr>
              <w:t xml:space="preserve">or is disparately held by individual industries and irrigation corporations across the </w:t>
            </w:r>
            <w:proofErr w:type="spellStart"/>
            <w:r w:rsidR="00A038E0" w:rsidRPr="00592F62">
              <w:rPr>
                <w:szCs w:val="16"/>
              </w:rPr>
              <w:t>sMDB</w:t>
            </w:r>
            <w:proofErr w:type="spellEnd"/>
            <w:r w:rsidR="00A038E0" w:rsidRPr="00592F62">
              <w:rPr>
                <w:szCs w:val="16"/>
              </w:rPr>
              <w:t xml:space="preserve">. Therefore, </w:t>
            </w:r>
            <w:r w:rsidR="00C07943">
              <w:rPr>
                <w:szCs w:val="16"/>
              </w:rPr>
              <w:t>the</w:t>
            </w:r>
            <w:r w:rsidRPr="00592F62">
              <w:rPr>
                <w:szCs w:val="16"/>
              </w:rPr>
              <w:t xml:space="preserve"> model is not </w:t>
            </w:r>
            <w:r w:rsidR="00A038E0" w:rsidRPr="00592F62">
              <w:rPr>
                <w:szCs w:val="16"/>
              </w:rPr>
              <w:t xml:space="preserve">currently </w:t>
            </w:r>
            <w:r w:rsidRPr="00592F62">
              <w:rPr>
                <w:szCs w:val="16"/>
              </w:rPr>
              <w:t xml:space="preserve">calibrated to address </w:t>
            </w:r>
            <w:r w:rsidR="0004527F">
              <w:rPr>
                <w:szCs w:val="16"/>
              </w:rPr>
              <w:t>any</w:t>
            </w:r>
            <w:r w:rsidR="0004527F" w:rsidRPr="00592F62">
              <w:rPr>
                <w:szCs w:val="16"/>
              </w:rPr>
              <w:t xml:space="preserve"> </w:t>
            </w:r>
            <w:r w:rsidR="009D75F2">
              <w:rPr>
                <w:szCs w:val="16"/>
              </w:rPr>
              <w:t>structural changes</w:t>
            </w:r>
            <w:r w:rsidR="00A038E0" w:rsidRPr="00592F62">
              <w:rPr>
                <w:szCs w:val="16"/>
              </w:rPr>
              <w:t xml:space="preserve">. </w:t>
            </w:r>
          </w:p>
        </w:tc>
        <w:tc>
          <w:tcPr>
            <w:tcW w:w="3960" w:type="dxa"/>
          </w:tcPr>
          <w:p w:rsidR="00C40C69" w:rsidRPr="00592F62" w:rsidRDefault="00A038E0" w:rsidP="00AA49F6">
            <w:pPr>
              <w:pStyle w:val="TFNoteSourceTab"/>
              <w:keepLines w:val="0"/>
              <w:spacing w:before="60"/>
              <w:ind w:left="0" w:firstLine="0"/>
              <w:rPr>
                <w:szCs w:val="16"/>
              </w:rPr>
            </w:pPr>
            <w:r w:rsidRPr="00592F62">
              <w:rPr>
                <w:szCs w:val="16"/>
              </w:rPr>
              <w:t xml:space="preserve">Results of </w:t>
            </w:r>
            <w:r w:rsidR="00C07943">
              <w:rPr>
                <w:szCs w:val="16"/>
              </w:rPr>
              <w:t>the</w:t>
            </w:r>
            <w:r w:rsidRPr="00592F62">
              <w:rPr>
                <w:szCs w:val="16"/>
              </w:rPr>
              <w:t xml:space="preserve"> allocation price model need to be interpreted on the basis that </w:t>
            </w:r>
            <w:r w:rsidR="009D75F2">
              <w:rPr>
                <w:szCs w:val="16"/>
              </w:rPr>
              <w:t xml:space="preserve">the structure of </w:t>
            </w:r>
            <w:r w:rsidRPr="00592F62">
              <w:rPr>
                <w:szCs w:val="16"/>
              </w:rPr>
              <w:t>demand is assumed to</w:t>
            </w:r>
            <w:r w:rsidR="00CE23C3">
              <w:rPr>
                <w:szCs w:val="16"/>
              </w:rPr>
              <w:t xml:space="preserve"> be</w:t>
            </w:r>
            <w:r w:rsidRPr="00592F62">
              <w:rPr>
                <w:szCs w:val="16"/>
              </w:rPr>
              <w:t xml:space="preserve"> </w:t>
            </w:r>
            <w:r w:rsidR="00CE23C3">
              <w:rPr>
                <w:szCs w:val="16"/>
              </w:rPr>
              <w:t>stable</w:t>
            </w:r>
            <w:r w:rsidRPr="00592F62">
              <w:rPr>
                <w:szCs w:val="16"/>
              </w:rPr>
              <w:t xml:space="preserve">. This may reduce the accuracy of </w:t>
            </w:r>
            <w:r w:rsidR="00C07943">
              <w:rPr>
                <w:szCs w:val="16"/>
              </w:rPr>
              <w:t>the</w:t>
            </w:r>
            <w:r w:rsidRPr="00592F62">
              <w:rPr>
                <w:szCs w:val="16"/>
              </w:rPr>
              <w:t xml:space="preserve"> price estimates in </w:t>
            </w:r>
            <w:r w:rsidR="009D75F2">
              <w:rPr>
                <w:szCs w:val="16"/>
              </w:rPr>
              <w:t xml:space="preserve">assessing the impacts of </w:t>
            </w:r>
            <w:r w:rsidR="00C013CD">
              <w:rPr>
                <w:szCs w:val="16"/>
              </w:rPr>
              <w:t xml:space="preserve">Commonwealth </w:t>
            </w:r>
            <w:r w:rsidR="00043651">
              <w:rPr>
                <w:szCs w:val="16"/>
              </w:rPr>
              <w:t xml:space="preserve">water </w:t>
            </w:r>
            <w:r w:rsidR="00C013CD">
              <w:rPr>
                <w:szCs w:val="16"/>
              </w:rPr>
              <w:t>purchases</w:t>
            </w:r>
            <w:r w:rsidRPr="00592F62">
              <w:rPr>
                <w:szCs w:val="16"/>
              </w:rPr>
              <w:t>.</w:t>
            </w:r>
            <w:r w:rsidR="009D75F2">
              <w:rPr>
                <w:szCs w:val="16"/>
              </w:rPr>
              <w:t xml:space="preserve"> In particular, if entitlement purchases led to adjustment and a</w:t>
            </w:r>
            <w:r w:rsidR="005E541B">
              <w:rPr>
                <w:szCs w:val="16"/>
              </w:rPr>
              <w:t>n</w:t>
            </w:r>
            <w:r w:rsidR="009D75F2">
              <w:rPr>
                <w:szCs w:val="16"/>
              </w:rPr>
              <w:t xml:space="preserve"> </w:t>
            </w:r>
            <w:r w:rsidR="005E541B">
              <w:rPr>
                <w:szCs w:val="16"/>
              </w:rPr>
              <w:t>exit from</w:t>
            </w:r>
            <w:r w:rsidR="009D75F2">
              <w:rPr>
                <w:szCs w:val="16"/>
              </w:rPr>
              <w:t xml:space="preserve"> irrigation altogether, then this adjustment may ameliorate the impacts of </w:t>
            </w:r>
            <w:r w:rsidR="00C013CD">
              <w:rPr>
                <w:szCs w:val="16"/>
              </w:rPr>
              <w:t>purchases</w:t>
            </w:r>
            <w:r w:rsidR="009D75F2">
              <w:rPr>
                <w:szCs w:val="16"/>
              </w:rPr>
              <w:t xml:space="preserve"> on allocation prices. Our </w:t>
            </w:r>
            <w:r w:rsidR="00AA49F6">
              <w:rPr>
                <w:szCs w:val="16"/>
              </w:rPr>
              <w:t>‘</w:t>
            </w:r>
            <w:r w:rsidR="005E541B">
              <w:rPr>
                <w:szCs w:val="16"/>
              </w:rPr>
              <w:t>sh</w:t>
            </w:r>
            <w:r w:rsidR="00AA49F6">
              <w:rPr>
                <w:szCs w:val="16"/>
              </w:rPr>
              <w:t>ort run’</w:t>
            </w:r>
            <w:r w:rsidR="005E541B">
              <w:rPr>
                <w:szCs w:val="16"/>
              </w:rPr>
              <w:t xml:space="preserve"> </w:t>
            </w:r>
            <w:r w:rsidR="009D75F2">
              <w:rPr>
                <w:szCs w:val="16"/>
              </w:rPr>
              <w:t xml:space="preserve">approach assumes that there is no adjustment out of irrigation in conjunction with </w:t>
            </w:r>
            <w:r w:rsidR="00C013CD">
              <w:rPr>
                <w:szCs w:val="16"/>
              </w:rPr>
              <w:t>purchases</w:t>
            </w:r>
            <w:r w:rsidR="009D75F2">
              <w:rPr>
                <w:szCs w:val="16"/>
              </w:rPr>
              <w:t xml:space="preserve"> (i.e. irrigators remain connected to the network and could purchase water again if viable to do so).</w:t>
            </w:r>
          </w:p>
        </w:tc>
      </w:tr>
      <w:tr w:rsidR="00EC2040" w:rsidTr="00EC2040">
        <w:trPr>
          <w:cnfStyle w:val="000000100000"/>
        </w:trPr>
        <w:tc>
          <w:tcPr>
            <w:tcW w:w="1530" w:type="dxa"/>
          </w:tcPr>
          <w:p w:rsidR="00554636" w:rsidRPr="00592F62" w:rsidRDefault="00554636" w:rsidP="00AA49F6">
            <w:pPr>
              <w:pStyle w:val="TableText"/>
              <w:keepNext w:val="0"/>
              <w:rPr>
                <w:sz w:val="16"/>
                <w:szCs w:val="16"/>
              </w:rPr>
            </w:pPr>
            <w:r w:rsidRPr="00592F62">
              <w:rPr>
                <w:sz w:val="16"/>
                <w:szCs w:val="16"/>
              </w:rPr>
              <w:t>Sample size</w:t>
            </w:r>
          </w:p>
        </w:tc>
        <w:tc>
          <w:tcPr>
            <w:tcW w:w="3060" w:type="dxa"/>
          </w:tcPr>
          <w:p w:rsidR="00554636" w:rsidRPr="00592F62" w:rsidRDefault="00D81A60" w:rsidP="00AA49F6">
            <w:pPr>
              <w:pStyle w:val="TableText"/>
              <w:keepNext w:val="0"/>
              <w:rPr>
                <w:sz w:val="16"/>
                <w:szCs w:val="16"/>
              </w:rPr>
            </w:pPr>
            <w:r w:rsidRPr="00592F62">
              <w:rPr>
                <w:sz w:val="16"/>
                <w:szCs w:val="16"/>
              </w:rPr>
              <w:t>Using 1998-99 as the start date for the model, the model is based on 17 observations (water years).</w:t>
            </w:r>
          </w:p>
        </w:tc>
        <w:tc>
          <w:tcPr>
            <w:tcW w:w="5670" w:type="dxa"/>
          </w:tcPr>
          <w:p w:rsidR="001B2F69" w:rsidRDefault="00D81A60" w:rsidP="00AA49F6">
            <w:pPr>
              <w:pStyle w:val="TableText"/>
              <w:keepNext w:val="0"/>
              <w:rPr>
                <w:sz w:val="16"/>
                <w:szCs w:val="16"/>
              </w:rPr>
            </w:pPr>
            <w:r w:rsidRPr="00592F62">
              <w:rPr>
                <w:sz w:val="16"/>
                <w:szCs w:val="16"/>
              </w:rPr>
              <w:t xml:space="preserve">Given the limited number of years that water allocation trade in the </w:t>
            </w:r>
            <w:proofErr w:type="spellStart"/>
            <w:r w:rsidRPr="00592F62">
              <w:rPr>
                <w:sz w:val="16"/>
                <w:szCs w:val="16"/>
              </w:rPr>
              <w:t>sMDB</w:t>
            </w:r>
            <w:proofErr w:type="spellEnd"/>
            <w:r w:rsidRPr="00592F62">
              <w:rPr>
                <w:sz w:val="16"/>
                <w:szCs w:val="16"/>
              </w:rPr>
              <w:t xml:space="preserve"> has existed in a formal sense and accurate price data has been collected, the sample size that </w:t>
            </w:r>
            <w:r w:rsidR="00C07943">
              <w:rPr>
                <w:sz w:val="16"/>
                <w:szCs w:val="16"/>
              </w:rPr>
              <w:t>the</w:t>
            </w:r>
            <w:r w:rsidRPr="00592F62">
              <w:rPr>
                <w:sz w:val="16"/>
                <w:szCs w:val="16"/>
              </w:rPr>
              <w:t xml:space="preserve"> model is based on is relatively small. Based on the paucity of data prior to this date, it is not possible to increase this number of observations (i.e. further back historically) nor in </w:t>
            </w:r>
            <w:proofErr w:type="spellStart"/>
            <w:r w:rsidRPr="00592F62">
              <w:rPr>
                <w:sz w:val="16"/>
                <w:szCs w:val="16"/>
              </w:rPr>
              <w:t>Aither’s</w:t>
            </w:r>
            <w:proofErr w:type="spellEnd"/>
            <w:r w:rsidRPr="00592F62">
              <w:rPr>
                <w:sz w:val="16"/>
                <w:szCs w:val="16"/>
              </w:rPr>
              <w:t xml:space="preserve"> opinion would this likely improve the accuracy of the model. </w:t>
            </w:r>
            <w:r w:rsidR="009D75F2">
              <w:rPr>
                <w:sz w:val="16"/>
                <w:szCs w:val="16"/>
              </w:rPr>
              <w:t xml:space="preserve">Similarly, the structure of demand may have changed over this period. </w:t>
            </w:r>
          </w:p>
          <w:p w:rsidR="00554636" w:rsidRPr="00592F62" w:rsidRDefault="009D75F2" w:rsidP="00AA49F6">
            <w:pPr>
              <w:pStyle w:val="TableText"/>
              <w:keepNext w:val="0"/>
              <w:rPr>
                <w:sz w:val="16"/>
                <w:szCs w:val="16"/>
              </w:rPr>
            </w:pPr>
            <w:r>
              <w:rPr>
                <w:sz w:val="16"/>
                <w:szCs w:val="16"/>
              </w:rPr>
              <w:t xml:space="preserve">However, it was important to include as many data points as possible to ensure the statistical </w:t>
            </w:r>
            <w:r w:rsidR="00CE23C3">
              <w:rPr>
                <w:sz w:val="16"/>
                <w:szCs w:val="16"/>
              </w:rPr>
              <w:t xml:space="preserve">power </w:t>
            </w:r>
            <w:r>
              <w:rPr>
                <w:sz w:val="16"/>
                <w:szCs w:val="16"/>
              </w:rPr>
              <w:t xml:space="preserve">of the model. </w:t>
            </w:r>
            <w:proofErr w:type="spellStart"/>
            <w:r w:rsidR="00C07943">
              <w:rPr>
                <w:sz w:val="16"/>
                <w:szCs w:val="16"/>
              </w:rPr>
              <w:t>Aither</w:t>
            </w:r>
            <w:proofErr w:type="spellEnd"/>
            <w:r w:rsidR="00C07943">
              <w:rPr>
                <w:sz w:val="16"/>
                <w:szCs w:val="16"/>
              </w:rPr>
              <w:t xml:space="preserve"> has </w:t>
            </w:r>
            <w:r>
              <w:rPr>
                <w:sz w:val="16"/>
                <w:szCs w:val="16"/>
              </w:rPr>
              <w:t xml:space="preserve">tested the model over the last </w:t>
            </w:r>
            <w:r w:rsidR="001B2F69">
              <w:rPr>
                <w:sz w:val="16"/>
                <w:szCs w:val="16"/>
              </w:rPr>
              <w:t>five to ten</w:t>
            </w:r>
            <w:r>
              <w:rPr>
                <w:sz w:val="16"/>
                <w:szCs w:val="16"/>
              </w:rPr>
              <w:t xml:space="preserve"> years of data only, and it remains statistically significant. </w:t>
            </w:r>
          </w:p>
        </w:tc>
        <w:tc>
          <w:tcPr>
            <w:tcW w:w="3960" w:type="dxa"/>
          </w:tcPr>
          <w:p w:rsidR="00554636" w:rsidRPr="00592F62" w:rsidRDefault="00D81A60" w:rsidP="00AA49F6">
            <w:pPr>
              <w:pStyle w:val="TFNoteSourceTab"/>
              <w:keepLines w:val="0"/>
              <w:spacing w:before="60"/>
              <w:ind w:left="0" w:firstLine="0"/>
              <w:rPr>
                <w:szCs w:val="16"/>
              </w:rPr>
            </w:pPr>
            <w:r w:rsidRPr="00592F62">
              <w:rPr>
                <w:szCs w:val="16"/>
              </w:rPr>
              <w:t xml:space="preserve">Results of </w:t>
            </w:r>
            <w:r w:rsidR="00C07943">
              <w:rPr>
                <w:szCs w:val="16"/>
              </w:rPr>
              <w:t>the</w:t>
            </w:r>
            <w:r w:rsidRPr="00592F62">
              <w:rPr>
                <w:szCs w:val="16"/>
              </w:rPr>
              <w:t xml:space="preserve"> allocation price model need to be interpreted on the basis that they represent analysis of a smaller than ideal sample size. As future water years conclude, </w:t>
            </w:r>
            <w:proofErr w:type="spellStart"/>
            <w:r w:rsidRPr="00592F62">
              <w:rPr>
                <w:szCs w:val="16"/>
              </w:rPr>
              <w:t>Aither</w:t>
            </w:r>
            <w:proofErr w:type="spellEnd"/>
            <w:r w:rsidRPr="00592F62">
              <w:rPr>
                <w:szCs w:val="16"/>
              </w:rPr>
              <w:t xml:space="preserve"> adds actual outcomes to the model, and over time the model has increased in accuracy.</w:t>
            </w:r>
            <w:r w:rsidR="009D75F2">
              <w:rPr>
                <w:szCs w:val="16"/>
              </w:rPr>
              <w:t xml:space="preserve"> It is not possible to add </w:t>
            </w:r>
            <w:r w:rsidR="000D7D51">
              <w:rPr>
                <w:szCs w:val="16"/>
              </w:rPr>
              <w:t xml:space="preserve">more </w:t>
            </w:r>
            <w:r w:rsidR="009D75F2">
              <w:rPr>
                <w:szCs w:val="16"/>
              </w:rPr>
              <w:t>data points to the analysis.</w:t>
            </w:r>
          </w:p>
        </w:tc>
      </w:tr>
      <w:tr w:rsidR="00EC2040" w:rsidTr="00EC2040">
        <w:tc>
          <w:tcPr>
            <w:tcW w:w="1530" w:type="dxa"/>
          </w:tcPr>
          <w:p w:rsidR="00554636" w:rsidRPr="00592F62" w:rsidRDefault="00554636" w:rsidP="0054025A">
            <w:pPr>
              <w:pStyle w:val="TFNoteSourceTab"/>
              <w:keepNext/>
              <w:keepLines w:val="0"/>
              <w:ind w:left="0" w:firstLine="0"/>
              <w:rPr>
                <w:szCs w:val="16"/>
              </w:rPr>
            </w:pPr>
            <w:r w:rsidRPr="00592F62">
              <w:rPr>
                <w:szCs w:val="16"/>
              </w:rPr>
              <w:lastRenderedPageBreak/>
              <w:t xml:space="preserve">Data quality </w:t>
            </w:r>
          </w:p>
        </w:tc>
        <w:tc>
          <w:tcPr>
            <w:tcW w:w="3060" w:type="dxa"/>
          </w:tcPr>
          <w:p w:rsidR="00554636" w:rsidRPr="00592F62" w:rsidRDefault="00D81A60" w:rsidP="0054025A">
            <w:pPr>
              <w:pStyle w:val="TFNoteSourceTab"/>
              <w:keepNext/>
              <w:keepLines w:val="0"/>
              <w:spacing w:before="60"/>
              <w:ind w:left="0" w:firstLine="0"/>
              <w:rPr>
                <w:szCs w:val="16"/>
              </w:rPr>
            </w:pPr>
            <w:proofErr w:type="spellStart"/>
            <w:r w:rsidRPr="00592F62">
              <w:rPr>
                <w:szCs w:val="16"/>
              </w:rPr>
              <w:t>Aither</w:t>
            </w:r>
            <w:proofErr w:type="spellEnd"/>
            <w:r w:rsidRPr="00592F62">
              <w:rPr>
                <w:szCs w:val="16"/>
              </w:rPr>
              <w:t xml:space="preserve"> has used </w:t>
            </w:r>
            <w:r w:rsidR="00CB01BD" w:rsidRPr="00592F62">
              <w:rPr>
                <w:szCs w:val="16"/>
              </w:rPr>
              <w:t xml:space="preserve">the most reliable publically available historical data that is available to inform the various inputs to the model. </w:t>
            </w:r>
          </w:p>
        </w:tc>
        <w:tc>
          <w:tcPr>
            <w:tcW w:w="5670" w:type="dxa"/>
          </w:tcPr>
          <w:p w:rsidR="00CB01BD" w:rsidRPr="00592F62" w:rsidRDefault="00CB01BD" w:rsidP="0054025A">
            <w:pPr>
              <w:pStyle w:val="TableText"/>
              <w:rPr>
                <w:szCs w:val="16"/>
              </w:rPr>
            </w:pPr>
            <w:proofErr w:type="spellStart"/>
            <w:r w:rsidRPr="000D7D51">
              <w:rPr>
                <w:sz w:val="16"/>
                <w:szCs w:val="16"/>
              </w:rPr>
              <w:t>Aither</w:t>
            </w:r>
            <w:proofErr w:type="spellEnd"/>
            <w:r w:rsidRPr="000D7D51">
              <w:rPr>
                <w:sz w:val="16"/>
                <w:szCs w:val="16"/>
              </w:rPr>
              <w:t xml:space="preserve"> can only use the best publically available</w:t>
            </w:r>
            <w:r w:rsidR="000D7D51" w:rsidRPr="000D7D51">
              <w:rPr>
                <w:sz w:val="16"/>
                <w:szCs w:val="16"/>
              </w:rPr>
              <w:t xml:space="preserve"> data</w:t>
            </w:r>
            <w:r w:rsidRPr="000D7D51">
              <w:rPr>
                <w:sz w:val="16"/>
                <w:szCs w:val="16"/>
              </w:rPr>
              <w:t xml:space="preserve">, and </w:t>
            </w:r>
            <w:r w:rsidR="009D75F2" w:rsidRPr="000D7D51">
              <w:rPr>
                <w:sz w:val="16"/>
                <w:szCs w:val="16"/>
              </w:rPr>
              <w:t xml:space="preserve">the quality of this data </w:t>
            </w:r>
            <w:r w:rsidRPr="000D7D51">
              <w:rPr>
                <w:sz w:val="16"/>
                <w:szCs w:val="16"/>
              </w:rPr>
              <w:t xml:space="preserve">will be an unavoidable limitation of any similar approach to modelling water allocation prices in the </w:t>
            </w:r>
            <w:proofErr w:type="spellStart"/>
            <w:r w:rsidRPr="000D7D51">
              <w:rPr>
                <w:sz w:val="16"/>
                <w:szCs w:val="16"/>
              </w:rPr>
              <w:t>sMDB</w:t>
            </w:r>
            <w:proofErr w:type="spellEnd"/>
            <w:r w:rsidRPr="000D7D51">
              <w:rPr>
                <w:sz w:val="16"/>
                <w:szCs w:val="16"/>
              </w:rPr>
              <w:t xml:space="preserve">. </w:t>
            </w:r>
            <w:proofErr w:type="spellStart"/>
            <w:r w:rsidR="00C40C69" w:rsidRPr="000D7D51">
              <w:rPr>
                <w:sz w:val="16"/>
                <w:szCs w:val="16"/>
              </w:rPr>
              <w:t>Aither</w:t>
            </w:r>
            <w:proofErr w:type="spellEnd"/>
            <w:r w:rsidR="00C40C69" w:rsidRPr="000D7D51">
              <w:rPr>
                <w:sz w:val="16"/>
                <w:szCs w:val="16"/>
              </w:rPr>
              <w:t xml:space="preserve"> has made all attempts to quality assure and cross check data where appropriate. </w:t>
            </w:r>
            <w:proofErr w:type="spellStart"/>
            <w:r w:rsidR="009D75F2" w:rsidRPr="000D7D51">
              <w:rPr>
                <w:sz w:val="16"/>
                <w:szCs w:val="16"/>
              </w:rPr>
              <w:t>Aither</w:t>
            </w:r>
            <w:proofErr w:type="spellEnd"/>
            <w:r w:rsidR="009D75F2" w:rsidRPr="000D7D51">
              <w:rPr>
                <w:sz w:val="16"/>
                <w:szCs w:val="16"/>
              </w:rPr>
              <w:t xml:space="preserve"> also eliminates any $0 trades and </w:t>
            </w:r>
            <w:r w:rsidR="000D7D51" w:rsidRPr="000D7D51">
              <w:rPr>
                <w:sz w:val="16"/>
                <w:szCs w:val="16"/>
              </w:rPr>
              <w:t xml:space="preserve">other outliers </w:t>
            </w:r>
            <w:r w:rsidR="009D75F2" w:rsidRPr="000D7D51">
              <w:rPr>
                <w:sz w:val="16"/>
                <w:szCs w:val="16"/>
              </w:rPr>
              <w:t>when estimating observed prices.</w:t>
            </w:r>
          </w:p>
        </w:tc>
        <w:tc>
          <w:tcPr>
            <w:tcW w:w="3960" w:type="dxa"/>
          </w:tcPr>
          <w:p w:rsidR="00554636" w:rsidRPr="00592F62" w:rsidRDefault="00C07943" w:rsidP="0054025A">
            <w:pPr>
              <w:pStyle w:val="TFNoteSourceTab"/>
              <w:keepNext/>
              <w:keepLines w:val="0"/>
              <w:spacing w:before="60"/>
              <w:ind w:left="0" w:firstLine="0"/>
              <w:rPr>
                <w:szCs w:val="16"/>
              </w:rPr>
            </w:pPr>
            <w:r>
              <w:rPr>
                <w:szCs w:val="16"/>
              </w:rPr>
              <w:t>The</w:t>
            </w:r>
            <w:r w:rsidR="00CB01BD" w:rsidRPr="00592F62">
              <w:rPr>
                <w:szCs w:val="16"/>
              </w:rPr>
              <w:t xml:space="preserve"> allocation price model </w:t>
            </w:r>
            <w:r w:rsidR="009D75F2">
              <w:rPr>
                <w:szCs w:val="16"/>
              </w:rPr>
              <w:t xml:space="preserve">provides a reasonable indication of annual median prices but is affected by some of the inaccuracies in recorded allocation prices, particularly </w:t>
            </w:r>
            <w:r w:rsidR="001B2F69">
              <w:rPr>
                <w:szCs w:val="16"/>
              </w:rPr>
              <w:t>prior to 2006-07</w:t>
            </w:r>
            <w:r w:rsidR="00CB01BD" w:rsidRPr="00592F62">
              <w:rPr>
                <w:szCs w:val="16"/>
              </w:rPr>
              <w:t>.</w:t>
            </w:r>
            <w:r w:rsidR="009D75F2">
              <w:rPr>
                <w:szCs w:val="16"/>
              </w:rPr>
              <w:t xml:space="preserve"> </w:t>
            </w:r>
          </w:p>
        </w:tc>
      </w:tr>
      <w:tr w:rsidR="00EC2040" w:rsidTr="00EC2040">
        <w:trPr>
          <w:cnfStyle w:val="000000100000"/>
        </w:trPr>
        <w:tc>
          <w:tcPr>
            <w:tcW w:w="1530" w:type="dxa"/>
          </w:tcPr>
          <w:p w:rsidR="00554636" w:rsidRPr="00592F62" w:rsidRDefault="00554636" w:rsidP="00AA49F6">
            <w:pPr>
              <w:pStyle w:val="TFNoteSourceTab"/>
              <w:keepLines w:val="0"/>
              <w:ind w:left="0" w:firstLine="0"/>
              <w:rPr>
                <w:szCs w:val="16"/>
              </w:rPr>
            </w:pPr>
            <w:r w:rsidRPr="00592F62">
              <w:rPr>
                <w:szCs w:val="16"/>
              </w:rPr>
              <w:t>Trade of allocations from Commonwealth</w:t>
            </w:r>
            <w:r w:rsidR="00D81A60" w:rsidRPr="00592F62">
              <w:rPr>
                <w:szCs w:val="16"/>
              </w:rPr>
              <w:t xml:space="preserve"> </w:t>
            </w:r>
            <w:r w:rsidR="00043651">
              <w:rPr>
                <w:szCs w:val="16"/>
              </w:rPr>
              <w:t xml:space="preserve">water </w:t>
            </w:r>
            <w:r w:rsidR="00D81A60" w:rsidRPr="00592F62">
              <w:rPr>
                <w:szCs w:val="16"/>
              </w:rPr>
              <w:t>purchases</w:t>
            </w:r>
          </w:p>
        </w:tc>
        <w:tc>
          <w:tcPr>
            <w:tcW w:w="3060" w:type="dxa"/>
          </w:tcPr>
          <w:p w:rsidR="00554636" w:rsidRPr="00592F62" w:rsidRDefault="00C07943" w:rsidP="00AA49F6">
            <w:pPr>
              <w:pStyle w:val="TFNoteSourceTab"/>
              <w:keepLines w:val="0"/>
              <w:spacing w:before="60"/>
              <w:ind w:left="0" w:firstLine="0"/>
              <w:rPr>
                <w:szCs w:val="16"/>
              </w:rPr>
            </w:pPr>
            <w:r>
              <w:rPr>
                <w:szCs w:val="16"/>
              </w:rPr>
              <w:t>The</w:t>
            </w:r>
            <w:r w:rsidR="00C40C69" w:rsidRPr="00592F62">
              <w:rPr>
                <w:szCs w:val="16"/>
              </w:rPr>
              <w:t xml:space="preserve"> model and the future scenarios tested later in this report (Section </w:t>
            </w:r>
            <w:fldSimple w:instr=" REF _Ref430340072 \r \h  \* MERGEFORMAT ">
              <w:r w:rsidR="00EB2418">
                <w:rPr>
                  <w:szCs w:val="16"/>
                </w:rPr>
                <w:t>4.1</w:t>
              </w:r>
            </w:fldSimple>
            <w:r w:rsidR="00C40C69" w:rsidRPr="00592F62">
              <w:rPr>
                <w:szCs w:val="16"/>
              </w:rPr>
              <w:t xml:space="preserve">) assume that the all water made available to Commonwealth entitlement purchases </w:t>
            </w:r>
            <w:r w:rsidR="009D75F2">
              <w:rPr>
                <w:szCs w:val="16"/>
              </w:rPr>
              <w:t>is</w:t>
            </w:r>
            <w:r w:rsidR="009D75F2" w:rsidRPr="00592F62">
              <w:rPr>
                <w:szCs w:val="16"/>
              </w:rPr>
              <w:t xml:space="preserve"> </w:t>
            </w:r>
            <w:r w:rsidR="00C40C69" w:rsidRPr="00592F62">
              <w:rPr>
                <w:szCs w:val="16"/>
              </w:rPr>
              <w:t>not traded on the allocation market</w:t>
            </w:r>
            <w:r w:rsidR="009D75F2">
              <w:rPr>
                <w:szCs w:val="16"/>
              </w:rPr>
              <w:t xml:space="preserve"> (i.e. it is used for environmental purposes</w:t>
            </w:r>
            <w:r w:rsidR="001B2F69">
              <w:rPr>
                <w:szCs w:val="16"/>
              </w:rPr>
              <w:t xml:space="preserve"> only</w:t>
            </w:r>
            <w:r w:rsidR="009D75F2">
              <w:rPr>
                <w:szCs w:val="16"/>
              </w:rPr>
              <w:t>)</w:t>
            </w:r>
            <w:r w:rsidR="00C40C69" w:rsidRPr="00592F62">
              <w:rPr>
                <w:szCs w:val="16"/>
              </w:rPr>
              <w:t>.</w:t>
            </w:r>
          </w:p>
        </w:tc>
        <w:tc>
          <w:tcPr>
            <w:tcW w:w="5670" w:type="dxa"/>
          </w:tcPr>
          <w:p w:rsidR="00C40C69" w:rsidRPr="00592F62" w:rsidRDefault="009D75F2" w:rsidP="00AA49F6">
            <w:pPr>
              <w:pStyle w:val="TFNoteSourceTab"/>
              <w:keepLines w:val="0"/>
              <w:spacing w:before="60"/>
              <w:ind w:left="0" w:firstLine="0"/>
              <w:rPr>
                <w:szCs w:val="16"/>
              </w:rPr>
            </w:pPr>
            <w:r>
              <w:rPr>
                <w:szCs w:val="16"/>
              </w:rPr>
              <w:t xml:space="preserve">At the time of preparing this report, </w:t>
            </w:r>
            <w:r w:rsidR="00C40C69" w:rsidRPr="00592F62">
              <w:rPr>
                <w:szCs w:val="16"/>
              </w:rPr>
              <w:t>the CEWH ha</w:t>
            </w:r>
            <w:r>
              <w:rPr>
                <w:szCs w:val="16"/>
              </w:rPr>
              <w:t>d</w:t>
            </w:r>
            <w:r w:rsidR="00C40C69" w:rsidRPr="00592F62">
              <w:rPr>
                <w:szCs w:val="16"/>
              </w:rPr>
              <w:t xml:space="preserve"> not yet traded any water allocations from its water entitlement portfolio acquired </w:t>
            </w:r>
            <w:r w:rsidR="00864FF9">
              <w:rPr>
                <w:szCs w:val="16"/>
              </w:rPr>
              <w:t>through</w:t>
            </w:r>
            <w:r w:rsidR="00C40C69" w:rsidRPr="00592F62">
              <w:rPr>
                <w:szCs w:val="16"/>
              </w:rPr>
              <w:t xml:space="preserve"> Commonwealth</w:t>
            </w:r>
            <w:r w:rsidR="00043651">
              <w:rPr>
                <w:szCs w:val="16"/>
              </w:rPr>
              <w:t xml:space="preserve"> water</w:t>
            </w:r>
            <w:r w:rsidR="00C40C69" w:rsidRPr="00592F62">
              <w:rPr>
                <w:szCs w:val="16"/>
              </w:rPr>
              <w:t xml:space="preserve"> </w:t>
            </w:r>
            <w:r w:rsidR="00C013CD">
              <w:rPr>
                <w:szCs w:val="16"/>
              </w:rPr>
              <w:t>purchases</w:t>
            </w:r>
            <w:r w:rsidR="00C40C69" w:rsidRPr="00592F62">
              <w:rPr>
                <w:szCs w:val="16"/>
              </w:rPr>
              <w:t xml:space="preserve"> </w:t>
            </w:r>
            <w:r>
              <w:rPr>
                <w:szCs w:val="16"/>
              </w:rPr>
              <w:t xml:space="preserve">in the </w:t>
            </w:r>
            <w:proofErr w:type="spellStart"/>
            <w:r>
              <w:rPr>
                <w:szCs w:val="16"/>
              </w:rPr>
              <w:t>sMDB</w:t>
            </w:r>
            <w:proofErr w:type="spellEnd"/>
            <w:r w:rsidR="00C40C69" w:rsidRPr="00592F62">
              <w:rPr>
                <w:szCs w:val="16"/>
              </w:rPr>
              <w:t>.</w:t>
            </w:r>
          </w:p>
          <w:p w:rsidR="00554636" w:rsidRPr="00592F62" w:rsidRDefault="00C40C69" w:rsidP="00AA49F6">
            <w:pPr>
              <w:pStyle w:val="TFNoteSourceTab"/>
              <w:keepLines w:val="0"/>
              <w:spacing w:before="60"/>
              <w:ind w:left="0" w:firstLine="0"/>
              <w:rPr>
                <w:szCs w:val="16"/>
              </w:rPr>
            </w:pPr>
            <w:r w:rsidRPr="00592F62">
              <w:rPr>
                <w:szCs w:val="16"/>
              </w:rPr>
              <w:t xml:space="preserve">In September 2015, the CEWO announced that it intended to sell up to 20,000 ML of Victorian Goulburn allocations in the 2015-16 water </w:t>
            </w:r>
            <w:proofErr w:type="gramStart"/>
            <w:r w:rsidRPr="00592F62">
              <w:rPr>
                <w:szCs w:val="16"/>
              </w:rPr>
              <w:t>year</w:t>
            </w:r>
            <w:proofErr w:type="gramEnd"/>
            <w:r w:rsidRPr="00592F62">
              <w:rPr>
                <w:szCs w:val="16"/>
              </w:rPr>
              <w:t xml:space="preserve">. This will be the first allocation sale of Commonwealth environmental water in the </w:t>
            </w:r>
            <w:proofErr w:type="spellStart"/>
            <w:r w:rsidRPr="00592F62">
              <w:rPr>
                <w:szCs w:val="16"/>
              </w:rPr>
              <w:t>sMDB</w:t>
            </w:r>
            <w:proofErr w:type="spellEnd"/>
            <w:r w:rsidRPr="00592F62">
              <w:rPr>
                <w:szCs w:val="16"/>
              </w:rPr>
              <w:t xml:space="preserve"> to date, and will be the first instance where the Commonwealth will be selling </w:t>
            </w:r>
            <w:r w:rsidR="00864FF9" w:rsidRPr="00592F62">
              <w:rPr>
                <w:szCs w:val="16"/>
              </w:rPr>
              <w:t xml:space="preserve">water </w:t>
            </w:r>
            <w:r w:rsidRPr="00592F62">
              <w:rPr>
                <w:szCs w:val="16"/>
              </w:rPr>
              <w:t>allocation</w:t>
            </w:r>
            <w:r w:rsidR="00864FF9">
              <w:rPr>
                <w:szCs w:val="16"/>
              </w:rPr>
              <w:t>s</w:t>
            </w:r>
            <w:r w:rsidRPr="00592F62">
              <w:rPr>
                <w:szCs w:val="16"/>
              </w:rPr>
              <w:t xml:space="preserve"> back to the market and increasing the size of the consumptive pool of water. </w:t>
            </w:r>
          </w:p>
        </w:tc>
        <w:tc>
          <w:tcPr>
            <w:tcW w:w="3960" w:type="dxa"/>
          </w:tcPr>
          <w:p w:rsidR="00554636" w:rsidRPr="00592F62" w:rsidRDefault="00C07943" w:rsidP="00AA49F6">
            <w:pPr>
              <w:pStyle w:val="TFNoteSourceTab"/>
              <w:keepLines w:val="0"/>
              <w:spacing w:before="60"/>
              <w:ind w:left="0" w:firstLine="0"/>
              <w:rPr>
                <w:szCs w:val="16"/>
              </w:rPr>
            </w:pPr>
            <w:r>
              <w:rPr>
                <w:szCs w:val="16"/>
              </w:rPr>
              <w:t>The</w:t>
            </w:r>
            <w:r w:rsidR="00E8099E" w:rsidRPr="00592F62">
              <w:rPr>
                <w:szCs w:val="16"/>
              </w:rPr>
              <w:t xml:space="preserve"> model is capable of factoring in </w:t>
            </w:r>
            <w:r w:rsidR="009D75F2">
              <w:rPr>
                <w:szCs w:val="16"/>
              </w:rPr>
              <w:t>scenarios of allocation</w:t>
            </w:r>
            <w:r w:rsidR="009D75F2" w:rsidRPr="00592F62">
              <w:rPr>
                <w:szCs w:val="16"/>
              </w:rPr>
              <w:t xml:space="preserve"> trad</w:t>
            </w:r>
            <w:r w:rsidR="009D75F2">
              <w:rPr>
                <w:szCs w:val="16"/>
              </w:rPr>
              <w:t>ing by the CEWH but it was not within the scope of this report to do so</w:t>
            </w:r>
            <w:r w:rsidR="004878C3" w:rsidRPr="00592F62">
              <w:rPr>
                <w:szCs w:val="16"/>
              </w:rPr>
              <w:t>.</w:t>
            </w:r>
            <w:r w:rsidR="009D75F2">
              <w:rPr>
                <w:szCs w:val="16"/>
              </w:rPr>
              <w:t xml:space="preserve"> </w:t>
            </w:r>
            <w:r w:rsidR="001B2F69">
              <w:rPr>
                <w:szCs w:val="16"/>
              </w:rPr>
              <w:t>R</w:t>
            </w:r>
            <w:r w:rsidR="009D75F2">
              <w:rPr>
                <w:szCs w:val="16"/>
              </w:rPr>
              <w:t>esults assume no allocation sales by the CEWH</w:t>
            </w:r>
            <w:r w:rsidR="001B2F69">
              <w:rPr>
                <w:szCs w:val="16"/>
              </w:rPr>
              <w:t xml:space="preserve"> in future years</w:t>
            </w:r>
            <w:r w:rsidR="009D75F2">
              <w:rPr>
                <w:szCs w:val="16"/>
              </w:rPr>
              <w:t>.</w:t>
            </w:r>
            <w:r w:rsidR="004878C3" w:rsidRPr="00592F62">
              <w:rPr>
                <w:szCs w:val="16"/>
              </w:rPr>
              <w:t xml:space="preserve"> </w:t>
            </w:r>
          </w:p>
        </w:tc>
      </w:tr>
      <w:tr w:rsidR="00042819" w:rsidTr="00592F62">
        <w:tc>
          <w:tcPr>
            <w:tcW w:w="1530" w:type="dxa"/>
          </w:tcPr>
          <w:p w:rsidR="00554636" w:rsidRPr="00592F62" w:rsidRDefault="00D81A60" w:rsidP="00AA49F6">
            <w:pPr>
              <w:pStyle w:val="TableText"/>
              <w:keepNext w:val="0"/>
              <w:rPr>
                <w:sz w:val="16"/>
                <w:szCs w:val="16"/>
              </w:rPr>
            </w:pPr>
            <w:r w:rsidRPr="00592F62">
              <w:rPr>
                <w:sz w:val="16"/>
                <w:szCs w:val="16"/>
              </w:rPr>
              <w:t>Carryover</w:t>
            </w:r>
          </w:p>
        </w:tc>
        <w:tc>
          <w:tcPr>
            <w:tcW w:w="3060" w:type="dxa"/>
          </w:tcPr>
          <w:p w:rsidR="00554636" w:rsidRPr="00592F62" w:rsidRDefault="00C07943" w:rsidP="00AA49F6">
            <w:pPr>
              <w:pStyle w:val="TableText"/>
              <w:keepNext w:val="0"/>
              <w:rPr>
                <w:sz w:val="16"/>
                <w:szCs w:val="16"/>
              </w:rPr>
            </w:pPr>
            <w:r>
              <w:rPr>
                <w:sz w:val="16"/>
                <w:szCs w:val="16"/>
              </w:rPr>
              <w:t>The</w:t>
            </w:r>
            <w:r w:rsidR="004878C3" w:rsidRPr="00592F62">
              <w:rPr>
                <w:sz w:val="16"/>
                <w:szCs w:val="16"/>
              </w:rPr>
              <w:t xml:space="preserve"> model does not account for observed water carryover between water years. </w:t>
            </w:r>
          </w:p>
        </w:tc>
        <w:tc>
          <w:tcPr>
            <w:tcW w:w="5670" w:type="dxa"/>
          </w:tcPr>
          <w:p w:rsidR="00554636" w:rsidRPr="00592F62" w:rsidRDefault="004878C3" w:rsidP="0004527F">
            <w:pPr>
              <w:pStyle w:val="TableText"/>
              <w:keepNext w:val="0"/>
              <w:rPr>
                <w:sz w:val="16"/>
                <w:szCs w:val="16"/>
              </w:rPr>
            </w:pPr>
            <w:r w:rsidRPr="00592F62">
              <w:rPr>
                <w:sz w:val="16"/>
                <w:szCs w:val="16"/>
              </w:rPr>
              <w:t>Accurate historical carryover volumes are not publically available</w:t>
            </w:r>
            <w:r w:rsidR="001B2F69">
              <w:rPr>
                <w:sz w:val="16"/>
                <w:szCs w:val="16"/>
              </w:rPr>
              <w:t>,</w:t>
            </w:r>
            <w:r w:rsidRPr="00592F62">
              <w:rPr>
                <w:sz w:val="16"/>
                <w:szCs w:val="16"/>
              </w:rPr>
              <w:t xml:space="preserve"> so at this stage </w:t>
            </w:r>
            <w:proofErr w:type="spellStart"/>
            <w:r w:rsidRPr="00592F62">
              <w:rPr>
                <w:sz w:val="16"/>
                <w:szCs w:val="16"/>
              </w:rPr>
              <w:t>Aither</w:t>
            </w:r>
            <w:proofErr w:type="spellEnd"/>
            <w:r w:rsidRPr="00592F62">
              <w:rPr>
                <w:sz w:val="16"/>
                <w:szCs w:val="16"/>
              </w:rPr>
              <w:t xml:space="preserve"> cannot add this </w:t>
            </w:r>
            <w:r w:rsidR="00FB226F">
              <w:rPr>
                <w:sz w:val="16"/>
                <w:szCs w:val="16"/>
              </w:rPr>
              <w:t xml:space="preserve">explanatory </w:t>
            </w:r>
            <w:r w:rsidRPr="00592F62">
              <w:rPr>
                <w:sz w:val="16"/>
                <w:szCs w:val="16"/>
              </w:rPr>
              <w:t xml:space="preserve">variable to the model. </w:t>
            </w:r>
            <w:r w:rsidR="0004527F">
              <w:rPr>
                <w:sz w:val="16"/>
                <w:szCs w:val="16"/>
              </w:rPr>
              <w:t>Furthermore, we found that total allocations in a particular year explain a high proportion of the variability in the observed allocation price, so it was not necessary to make further adjustments for carryover.</w:t>
            </w:r>
          </w:p>
        </w:tc>
        <w:tc>
          <w:tcPr>
            <w:tcW w:w="3960" w:type="dxa"/>
          </w:tcPr>
          <w:p w:rsidR="00554636" w:rsidRPr="00592F62" w:rsidRDefault="004878C3" w:rsidP="00AA49F6">
            <w:pPr>
              <w:pStyle w:val="TableText"/>
              <w:keepNext w:val="0"/>
              <w:rPr>
                <w:sz w:val="16"/>
                <w:szCs w:val="16"/>
              </w:rPr>
            </w:pPr>
            <w:r w:rsidRPr="00592F62">
              <w:rPr>
                <w:sz w:val="16"/>
                <w:szCs w:val="16"/>
              </w:rPr>
              <w:t xml:space="preserve">Accounting for the practice of carryover could potentially smooth out </w:t>
            </w:r>
            <w:r w:rsidR="00E0091C">
              <w:rPr>
                <w:sz w:val="16"/>
                <w:szCs w:val="16"/>
              </w:rPr>
              <w:t xml:space="preserve">estimated </w:t>
            </w:r>
            <w:r w:rsidRPr="00592F62">
              <w:rPr>
                <w:sz w:val="16"/>
                <w:szCs w:val="16"/>
              </w:rPr>
              <w:t xml:space="preserve">allocation prices between irrigation seasons and water years because the model would account for the year in which the water was actually used. However, </w:t>
            </w:r>
            <w:proofErr w:type="spellStart"/>
            <w:r w:rsidRPr="00592F62">
              <w:rPr>
                <w:sz w:val="16"/>
                <w:szCs w:val="16"/>
              </w:rPr>
              <w:t>Aither</w:t>
            </w:r>
            <w:proofErr w:type="spellEnd"/>
            <w:r w:rsidRPr="00592F62">
              <w:rPr>
                <w:sz w:val="16"/>
                <w:szCs w:val="16"/>
              </w:rPr>
              <w:t xml:space="preserve"> does not believe that the model would be improved significantly if it accounted for or made assumptions about carryover. </w:t>
            </w:r>
          </w:p>
        </w:tc>
      </w:tr>
      <w:tr w:rsidR="00261F1A" w:rsidTr="00592F62">
        <w:trPr>
          <w:cnfStyle w:val="000000100000"/>
        </w:trPr>
        <w:tc>
          <w:tcPr>
            <w:tcW w:w="1530" w:type="dxa"/>
          </w:tcPr>
          <w:p w:rsidR="00261F1A" w:rsidRPr="00592F62" w:rsidRDefault="0004527F" w:rsidP="0004527F">
            <w:pPr>
              <w:pStyle w:val="TableText"/>
              <w:keepNext w:val="0"/>
              <w:rPr>
                <w:sz w:val="16"/>
                <w:szCs w:val="16"/>
              </w:rPr>
            </w:pPr>
            <w:r>
              <w:rPr>
                <w:sz w:val="16"/>
                <w:szCs w:val="16"/>
              </w:rPr>
              <w:t xml:space="preserve">Number of entitlement types </w:t>
            </w:r>
            <w:r w:rsidR="00261F1A">
              <w:rPr>
                <w:sz w:val="16"/>
                <w:szCs w:val="16"/>
              </w:rPr>
              <w:t>included</w:t>
            </w:r>
          </w:p>
        </w:tc>
        <w:tc>
          <w:tcPr>
            <w:tcW w:w="3060" w:type="dxa"/>
          </w:tcPr>
          <w:p w:rsidR="00261F1A" w:rsidRPr="00592F62" w:rsidRDefault="00C07943" w:rsidP="0004527F">
            <w:pPr>
              <w:pStyle w:val="TableText"/>
              <w:keepNext w:val="0"/>
              <w:rPr>
                <w:sz w:val="16"/>
                <w:szCs w:val="16"/>
              </w:rPr>
            </w:pPr>
            <w:r>
              <w:rPr>
                <w:sz w:val="16"/>
                <w:szCs w:val="16"/>
              </w:rPr>
              <w:t>The</w:t>
            </w:r>
            <w:r w:rsidR="00261F1A">
              <w:rPr>
                <w:sz w:val="16"/>
                <w:szCs w:val="16"/>
              </w:rPr>
              <w:t xml:space="preserve"> model</w:t>
            </w:r>
            <w:r w:rsidR="00261F1A" w:rsidRPr="00261F1A">
              <w:rPr>
                <w:sz w:val="16"/>
                <w:szCs w:val="16"/>
              </w:rPr>
              <w:t xml:space="preserve"> </w:t>
            </w:r>
            <w:r w:rsidR="00B30645">
              <w:rPr>
                <w:sz w:val="16"/>
                <w:szCs w:val="16"/>
              </w:rPr>
              <w:t xml:space="preserve">does </w:t>
            </w:r>
            <w:r w:rsidR="00261F1A" w:rsidRPr="00261F1A">
              <w:rPr>
                <w:sz w:val="16"/>
                <w:szCs w:val="16"/>
              </w:rPr>
              <w:t>not include a number of small</w:t>
            </w:r>
            <w:r w:rsidR="00261F1A">
              <w:rPr>
                <w:sz w:val="16"/>
                <w:szCs w:val="16"/>
              </w:rPr>
              <w:t>er</w:t>
            </w:r>
            <w:r w:rsidR="00261F1A" w:rsidRPr="00261F1A">
              <w:rPr>
                <w:sz w:val="16"/>
                <w:szCs w:val="16"/>
              </w:rPr>
              <w:t xml:space="preserve"> </w:t>
            </w:r>
            <w:proofErr w:type="spellStart"/>
            <w:r w:rsidR="00261F1A">
              <w:rPr>
                <w:sz w:val="16"/>
                <w:szCs w:val="16"/>
              </w:rPr>
              <w:t>sMDB</w:t>
            </w:r>
            <w:proofErr w:type="spellEnd"/>
            <w:r w:rsidR="00261F1A" w:rsidRPr="00261F1A">
              <w:rPr>
                <w:sz w:val="16"/>
                <w:szCs w:val="16"/>
              </w:rPr>
              <w:t xml:space="preserve"> water </w:t>
            </w:r>
            <w:r w:rsidR="0004527F">
              <w:rPr>
                <w:sz w:val="16"/>
                <w:szCs w:val="16"/>
              </w:rPr>
              <w:t>entitlement types</w:t>
            </w:r>
            <w:r w:rsidR="00261F1A">
              <w:rPr>
                <w:sz w:val="16"/>
                <w:szCs w:val="16"/>
              </w:rPr>
              <w:t>.</w:t>
            </w:r>
          </w:p>
        </w:tc>
        <w:tc>
          <w:tcPr>
            <w:tcW w:w="5670" w:type="dxa"/>
          </w:tcPr>
          <w:p w:rsidR="00261F1A" w:rsidRPr="00592F62" w:rsidRDefault="00261F1A" w:rsidP="0004527F">
            <w:pPr>
              <w:pStyle w:val="TableText"/>
              <w:keepNext w:val="0"/>
              <w:rPr>
                <w:sz w:val="16"/>
                <w:szCs w:val="16"/>
              </w:rPr>
            </w:pPr>
            <w:r>
              <w:rPr>
                <w:sz w:val="16"/>
                <w:szCs w:val="16"/>
              </w:rPr>
              <w:t xml:space="preserve">Based on the small relative volume of </w:t>
            </w:r>
            <w:r w:rsidR="0004527F">
              <w:rPr>
                <w:sz w:val="16"/>
                <w:szCs w:val="16"/>
              </w:rPr>
              <w:t xml:space="preserve">allocations </w:t>
            </w:r>
            <w:r>
              <w:rPr>
                <w:sz w:val="16"/>
                <w:szCs w:val="16"/>
              </w:rPr>
              <w:t xml:space="preserve">in these </w:t>
            </w:r>
            <w:r w:rsidRPr="00261F1A">
              <w:rPr>
                <w:sz w:val="16"/>
                <w:szCs w:val="16"/>
              </w:rPr>
              <w:t xml:space="preserve">smaller </w:t>
            </w:r>
            <w:proofErr w:type="spellStart"/>
            <w:r w:rsidRPr="00261F1A">
              <w:rPr>
                <w:sz w:val="16"/>
                <w:szCs w:val="16"/>
              </w:rPr>
              <w:t>sMDB</w:t>
            </w:r>
            <w:proofErr w:type="spellEnd"/>
            <w:r w:rsidRPr="00261F1A">
              <w:rPr>
                <w:sz w:val="16"/>
                <w:szCs w:val="16"/>
              </w:rPr>
              <w:t xml:space="preserve"> </w:t>
            </w:r>
            <w:r w:rsidR="0004527F">
              <w:rPr>
                <w:sz w:val="16"/>
                <w:szCs w:val="16"/>
              </w:rPr>
              <w:t>systems</w:t>
            </w:r>
            <w:r>
              <w:rPr>
                <w:sz w:val="16"/>
                <w:szCs w:val="16"/>
              </w:rPr>
              <w:t xml:space="preserve">, water availability and market outcomes in these smaller </w:t>
            </w:r>
            <w:r w:rsidR="0004527F">
              <w:rPr>
                <w:sz w:val="16"/>
                <w:szCs w:val="16"/>
              </w:rPr>
              <w:t xml:space="preserve">systems </w:t>
            </w:r>
            <w:r>
              <w:rPr>
                <w:sz w:val="16"/>
                <w:szCs w:val="16"/>
              </w:rPr>
              <w:t>are unlikely to</w:t>
            </w:r>
            <w:r w:rsidRPr="00261F1A">
              <w:rPr>
                <w:sz w:val="16"/>
                <w:szCs w:val="16"/>
              </w:rPr>
              <w:t xml:space="preserve"> </w:t>
            </w:r>
            <w:r>
              <w:rPr>
                <w:sz w:val="16"/>
                <w:szCs w:val="16"/>
              </w:rPr>
              <w:t xml:space="preserve">impact on broader </w:t>
            </w:r>
            <w:proofErr w:type="spellStart"/>
            <w:r>
              <w:rPr>
                <w:sz w:val="16"/>
                <w:szCs w:val="16"/>
              </w:rPr>
              <w:t>sMDB</w:t>
            </w:r>
            <w:proofErr w:type="spellEnd"/>
            <w:r>
              <w:rPr>
                <w:sz w:val="16"/>
                <w:szCs w:val="16"/>
              </w:rPr>
              <w:t xml:space="preserve"> market outcomes</w:t>
            </w:r>
            <w:r w:rsidR="00B30645">
              <w:rPr>
                <w:sz w:val="16"/>
                <w:szCs w:val="16"/>
              </w:rPr>
              <w:t xml:space="preserve"> – including price</w:t>
            </w:r>
            <w:r>
              <w:rPr>
                <w:sz w:val="16"/>
                <w:szCs w:val="16"/>
              </w:rPr>
              <w:t>. For this reason</w:t>
            </w:r>
            <w:r w:rsidR="00B30645">
              <w:rPr>
                <w:sz w:val="16"/>
                <w:szCs w:val="16"/>
              </w:rPr>
              <w:t>,</w:t>
            </w:r>
            <w:r>
              <w:rPr>
                <w:sz w:val="16"/>
                <w:szCs w:val="16"/>
              </w:rPr>
              <w:t xml:space="preserve"> </w:t>
            </w:r>
            <w:proofErr w:type="spellStart"/>
            <w:r>
              <w:rPr>
                <w:sz w:val="16"/>
                <w:szCs w:val="16"/>
              </w:rPr>
              <w:t>Aither</w:t>
            </w:r>
            <w:proofErr w:type="spellEnd"/>
            <w:r>
              <w:rPr>
                <w:sz w:val="16"/>
                <w:szCs w:val="16"/>
              </w:rPr>
              <w:t xml:space="preserve"> has chosen to exclude </w:t>
            </w:r>
            <w:r w:rsidR="0004527F">
              <w:rPr>
                <w:sz w:val="16"/>
                <w:szCs w:val="16"/>
              </w:rPr>
              <w:t xml:space="preserve">allocations to </w:t>
            </w:r>
            <w:r>
              <w:rPr>
                <w:sz w:val="16"/>
                <w:szCs w:val="16"/>
              </w:rPr>
              <w:t xml:space="preserve">these </w:t>
            </w:r>
            <w:r w:rsidR="0004527F">
              <w:rPr>
                <w:sz w:val="16"/>
                <w:szCs w:val="16"/>
              </w:rPr>
              <w:t xml:space="preserve">smaller entitlement types </w:t>
            </w:r>
            <w:r>
              <w:rPr>
                <w:sz w:val="16"/>
                <w:szCs w:val="16"/>
              </w:rPr>
              <w:t>from the model</w:t>
            </w:r>
            <w:r w:rsidR="00B30645">
              <w:rPr>
                <w:sz w:val="16"/>
                <w:szCs w:val="16"/>
              </w:rPr>
              <w:t xml:space="preserve"> to reduce complexity</w:t>
            </w:r>
            <w:r>
              <w:rPr>
                <w:sz w:val="16"/>
                <w:szCs w:val="16"/>
              </w:rPr>
              <w:t xml:space="preserve">. </w:t>
            </w:r>
          </w:p>
        </w:tc>
        <w:tc>
          <w:tcPr>
            <w:tcW w:w="3960" w:type="dxa"/>
          </w:tcPr>
          <w:p w:rsidR="00261F1A" w:rsidRPr="00592F62" w:rsidRDefault="00261F1A" w:rsidP="00AA49F6">
            <w:pPr>
              <w:pStyle w:val="TableText"/>
              <w:keepNext w:val="0"/>
              <w:rPr>
                <w:sz w:val="16"/>
                <w:szCs w:val="16"/>
              </w:rPr>
            </w:pPr>
            <w:r w:rsidRPr="00592F62">
              <w:rPr>
                <w:sz w:val="16"/>
                <w:szCs w:val="16"/>
              </w:rPr>
              <w:t>No significant implications.</w:t>
            </w:r>
          </w:p>
        </w:tc>
      </w:tr>
      <w:tr w:rsidR="00042819" w:rsidTr="00592F62">
        <w:tc>
          <w:tcPr>
            <w:tcW w:w="1530" w:type="dxa"/>
          </w:tcPr>
          <w:p w:rsidR="00D81A60" w:rsidRPr="00592F62" w:rsidRDefault="004878C3" w:rsidP="00AA49F6">
            <w:pPr>
              <w:pStyle w:val="TableText"/>
              <w:keepNext w:val="0"/>
              <w:rPr>
                <w:sz w:val="16"/>
                <w:szCs w:val="16"/>
              </w:rPr>
            </w:pPr>
            <w:r w:rsidRPr="00592F62">
              <w:rPr>
                <w:sz w:val="16"/>
                <w:szCs w:val="16"/>
              </w:rPr>
              <w:t xml:space="preserve">Value of </w:t>
            </w:r>
            <w:r w:rsidR="00D81A60" w:rsidRPr="00592F62">
              <w:rPr>
                <w:sz w:val="16"/>
                <w:szCs w:val="16"/>
              </w:rPr>
              <w:t xml:space="preserve">Australian dollar </w:t>
            </w:r>
          </w:p>
        </w:tc>
        <w:tc>
          <w:tcPr>
            <w:tcW w:w="3060" w:type="dxa"/>
          </w:tcPr>
          <w:p w:rsidR="00D81A60" w:rsidRPr="00592F62" w:rsidRDefault="00C07943" w:rsidP="00AA49F6">
            <w:pPr>
              <w:pStyle w:val="TableText"/>
              <w:keepNext w:val="0"/>
              <w:rPr>
                <w:sz w:val="16"/>
                <w:szCs w:val="16"/>
              </w:rPr>
            </w:pPr>
            <w:r>
              <w:rPr>
                <w:sz w:val="16"/>
                <w:szCs w:val="16"/>
              </w:rPr>
              <w:t>The</w:t>
            </w:r>
            <w:r w:rsidR="004878C3" w:rsidRPr="00592F62">
              <w:rPr>
                <w:sz w:val="16"/>
                <w:szCs w:val="16"/>
              </w:rPr>
              <w:t xml:space="preserve"> model does not account for shifts in the Australian dollar value between water years.</w:t>
            </w:r>
          </w:p>
        </w:tc>
        <w:tc>
          <w:tcPr>
            <w:tcW w:w="5670" w:type="dxa"/>
          </w:tcPr>
          <w:p w:rsidR="00D81A60" w:rsidRPr="00592F62" w:rsidRDefault="004878C3" w:rsidP="00AA49F6">
            <w:pPr>
              <w:pStyle w:val="TableText"/>
              <w:keepNext w:val="0"/>
              <w:rPr>
                <w:sz w:val="16"/>
                <w:szCs w:val="16"/>
              </w:rPr>
            </w:pPr>
            <w:proofErr w:type="spellStart"/>
            <w:r w:rsidRPr="00592F62">
              <w:rPr>
                <w:sz w:val="16"/>
                <w:szCs w:val="16"/>
              </w:rPr>
              <w:t>Aither</w:t>
            </w:r>
            <w:proofErr w:type="spellEnd"/>
            <w:r w:rsidRPr="00592F62">
              <w:rPr>
                <w:sz w:val="16"/>
                <w:szCs w:val="16"/>
              </w:rPr>
              <w:t xml:space="preserve"> has undertaken regression analysis of the Australian dollar value against the value of the United States dollar. </w:t>
            </w:r>
            <w:r w:rsidR="00C07943">
              <w:rPr>
                <w:sz w:val="16"/>
                <w:szCs w:val="16"/>
              </w:rPr>
              <w:t>The</w:t>
            </w:r>
            <w:r w:rsidRPr="00592F62">
              <w:rPr>
                <w:sz w:val="16"/>
                <w:szCs w:val="16"/>
              </w:rPr>
              <w:t xml:space="preserve"> analysis showed little or no significant relationship between the value of the Australian dollar and water allocation prices in the </w:t>
            </w:r>
            <w:proofErr w:type="spellStart"/>
            <w:r w:rsidRPr="00592F62">
              <w:rPr>
                <w:sz w:val="16"/>
                <w:szCs w:val="16"/>
              </w:rPr>
              <w:t>sMDB</w:t>
            </w:r>
            <w:proofErr w:type="spellEnd"/>
            <w:r w:rsidRPr="00592F62">
              <w:rPr>
                <w:sz w:val="16"/>
                <w:szCs w:val="16"/>
              </w:rPr>
              <w:t>.</w:t>
            </w:r>
          </w:p>
        </w:tc>
        <w:tc>
          <w:tcPr>
            <w:tcW w:w="3960" w:type="dxa"/>
          </w:tcPr>
          <w:p w:rsidR="00D81A60" w:rsidRPr="00592F62" w:rsidRDefault="004878C3" w:rsidP="00AA49F6">
            <w:pPr>
              <w:pStyle w:val="TableText"/>
              <w:keepNext w:val="0"/>
              <w:rPr>
                <w:sz w:val="16"/>
                <w:szCs w:val="16"/>
              </w:rPr>
            </w:pPr>
            <w:r w:rsidRPr="00592F62">
              <w:rPr>
                <w:sz w:val="16"/>
                <w:szCs w:val="16"/>
              </w:rPr>
              <w:t xml:space="preserve">No significant implications. </w:t>
            </w:r>
          </w:p>
        </w:tc>
      </w:tr>
      <w:tr w:rsidR="00042819" w:rsidTr="00592F62">
        <w:trPr>
          <w:cnfStyle w:val="000000100000"/>
        </w:trPr>
        <w:tc>
          <w:tcPr>
            <w:tcW w:w="1530" w:type="dxa"/>
          </w:tcPr>
          <w:p w:rsidR="00554636" w:rsidRPr="00592F62" w:rsidRDefault="00D81A60" w:rsidP="0054025A">
            <w:pPr>
              <w:pStyle w:val="TableText"/>
              <w:rPr>
                <w:sz w:val="16"/>
                <w:szCs w:val="16"/>
              </w:rPr>
            </w:pPr>
            <w:r w:rsidRPr="00592F62">
              <w:rPr>
                <w:sz w:val="16"/>
                <w:szCs w:val="16"/>
              </w:rPr>
              <w:lastRenderedPageBreak/>
              <w:t>Global commodity prices</w:t>
            </w:r>
          </w:p>
        </w:tc>
        <w:tc>
          <w:tcPr>
            <w:tcW w:w="3060" w:type="dxa"/>
          </w:tcPr>
          <w:p w:rsidR="00554636" w:rsidRPr="00592F62" w:rsidRDefault="00C07943" w:rsidP="0054025A">
            <w:pPr>
              <w:pStyle w:val="TableText"/>
              <w:rPr>
                <w:sz w:val="16"/>
                <w:szCs w:val="16"/>
              </w:rPr>
            </w:pPr>
            <w:r>
              <w:rPr>
                <w:sz w:val="16"/>
                <w:szCs w:val="16"/>
              </w:rPr>
              <w:t>The</w:t>
            </w:r>
            <w:r w:rsidR="004878C3" w:rsidRPr="00592F62">
              <w:rPr>
                <w:sz w:val="16"/>
                <w:szCs w:val="16"/>
              </w:rPr>
              <w:t xml:space="preserve"> model does not account for shifts in commodity prices.</w:t>
            </w:r>
          </w:p>
        </w:tc>
        <w:tc>
          <w:tcPr>
            <w:tcW w:w="5670" w:type="dxa"/>
          </w:tcPr>
          <w:p w:rsidR="00554636" w:rsidRPr="00592F62" w:rsidRDefault="004878C3" w:rsidP="0054025A">
            <w:pPr>
              <w:pStyle w:val="TableText"/>
              <w:rPr>
                <w:sz w:val="16"/>
                <w:szCs w:val="16"/>
              </w:rPr>
            </w:pPr>
            <w:r w:rsidRPr="00592F62">
              <w:rPr>
                <w:sz w:val="16"/>
                <w:szCs w:val="16"/>
              </w:rPr>
              <w:t xml:space="preserve">It is commonly accepted that changes in commodity prices in the short and long-term will to some extent affect the value of water for irrigation purposes in the </w:t>
            </w:r>
            <w:proofErr w:type="spellStart"/>
            <w:r w:rsidRPr="00592F62">
              <w:rPr>
                <w:sz w:val="16"/>
                <w:szCs w:val="16"/>
              </w:rPr>
              <w:t>sMDB</w:t>
            </w:r>
            <w:proofErr w:type="spellEnd"/>
            <w:r w:rsidRPr="00592F62">
              <w:rPr>
                <w:sz w:val="16"/>
                <w:szCs w:val="16"/>
              </w:rPr>
              <w:t xml:space="preserve">. Given global population forecasts and climate change impacts within and outside of Australia, there is potential for increased demand for Australian food and fibre products (e.g. dairy, rice, cotton) which may increase commodity prices and thus the value of water entitlements. However, </w:t>
            </w:r>
            <w:r w:rsidR="00D6647E">
              <w:rPr>
                <w:sz w:val="16"/>
                <w:szCs w:val="16"/>
              </w:rPr>
              <w:t xml:space="preserve">changes in </w:t>
            </w:r>
            <w:r w:rsidR="009D75F2">
              <w:rPr>
                <w:sz w:val="16"/>
                <w:szCs w:val="16"/>
              </w:rPr>
              <w:t>these</w:t>
            </w:r>
            <w:r w:rsidRPr="00592F62">
              <w:rPr>
                <w:sz w:val="16"/>
                <w:szCs w:val="16"/>
              </w:rPr>
              <w:t xml:space="preserve"> variables have not been included in </w:t>
            </w:r>
            <w:r w:rsidR="00C07943">
              <w:rPr>
                <w:sz w:val="16"/>
                <w:szCs w:val="16"/>
              </w:rPr>
              <w:t>the</w:t>
            </w:r>
            <w:r w:rsidRPr="00592F62">
              <w:rPr>
                <w:sz w:val="16"/>
                <w:szCs w:val="16"/>
              </w:rPr>
              <w:t xml:space="preserve"> model</w:t>
            </w:r>
            <w:r w:rsidR="009D75F2">
              <w:rPr>
                <w:sz w:val="16"/>
                <w:szCs w:val="16"/>
              </w:rPr>
              <w:t xml:space="preserve"> following testing which showed that they were not statistically significant</w:t>
            </w:r>
            <w:r w:rsidRPr="00592F62">
              <w:rPr>
                <w:sz w:val="16"/>
                <w:szCs w:val="16"/>
              </w:rPr>
              <w:t>.</w:t>
            </w:r>
            <w:r w:rsidR="00D6647E">
              <w:rPr>
                <w:sz w:val="16"/>
                <w:szCs w:val="16"/>
              </w:rPr>
              <w:t xml:space="preserve"> In the future, further material changes in these variables could affect observed water demand and allocation prices.</w:t>
            </w:r>
          </w:p>
        </w:tc>
        <w:tc>
          <w:tcPr>
            <w:tcW w:w="3960" w:type="dxa"/>
          </w:tcPr>
          <w:p w:rsidR="00554636" w:rsidRPr="00592F62" w:rsidRDefault="004878C3" w:rsidP="0054025A">
            <w:pPr>
              <w:pStyle w:val="TableText"/>
              <w:rPr>
                <w:sz w:val="16"/>
                <w:szCs w:val="16"/>
              </w:rPr>
            </w:pPr>
            <w:r w:rsidRPr="00592F62">
              <w:rPr>
                <w:sz w:val="16"/>
                <w:szCs w:val="16"/>
              </w:rPr>
              <w:t>No significant implications.</w:t>
            </w:r>
          </w:p>
        </w:tc>
      </w:tr>
      <w:tr w:rsidR="00042819" w:rsidTr="00592F62">
        <w:trPr>
          <w:cantSplit/>
        </w:trPr>
        <w:tc>
          <w:tcPr>
            <w:tcW w:w="1530" w:type="dxa"/>
          </w:tcPr>
          <w:p w:rsidR="00554636" w:rsidRPr="00592F62" w:rsidRDefault="00D6647E" w:rsidP="00AA49F6">
            <w:pPr>
              <w:pStyle w:val="TableText"/>
              <w:keepNext w:val="0"/>
              <w:rPr>
                <w:sz w:val="16"/>
                <w:szCs w:val="16"/>
              </w:rPr>
            </w:pPr>
            <w:r>
              <w:rPr>
                <w:sz w:val="16"/>
                <w:szCs w:val="16"/>
              </w:rPr>
              <w:t>Changing ownership of entitlements</w:t>
            </w:r>
          </w:p>
        </w:tc>
        <w:tc>
          <w:tcPr>
            <w:tcW w:w="3060" w:type="dxa"/>
          </w:tcPr>
          <w:p w:rsidR="00554636" w:rsidRPr="00592F62" w:rsidRDefault="00C07943" w:rsidP="00D6647E">
            <w:pPr>
              <w:pStyle w:val="TableText"/>
              <w:keepNext w:val="0"/>
              <w:rPr>
                <w:sz w:val="16"/>
                <w:szCs w:val="16"/>
              </w:rPr>
            </w:pPr>
            <w:r>
              <w:rPr>
                <w:sz w:val="16"/>
                <w:szCs w:val="16"/>
              </w:rPr>
              <w:t>The</w:t>
            </w:r>
            <w:r w:rsidR="004878C3" w:rsidRPr="00592F62">
              <w:rPr>
                <w:sz w:val="16"/>
                <w:szCs w:val="16"/>
              </w:rPr>
              <w:t xml:space="preserve"> model does not account for </w:t>
            </w:r>
            <w:r w:rsidR="00D6647E" w:rsidRPr="00592F62">
              <w:rPr>
                <w:sz w:val="16"/>
                <w:szCs w:val="16"/>
              </w:rPr>
              <w:t>chang</w:t>
            </w:r>
            <w:r w:rsidR="00D6647E">
              <w:rPr>
                <w:sz w:val="16"/>
                <w:szCs w:val="16"/>
              </w:rPr>
              <w:t>es</w:t>
            </w:r>
            <w:r w:rsidR="00D6647E" w:rsidRPr="00592F62">
              <w:rPr>
                <w:sz w:val="16"/>
                <w:szCs w:val="16"/>
              </w:rPr>
              <w:t xml:space="preserve"> </w:t>
            </w:r>
            <w:r w:rsidR="00D6647E">
              <w:rPr>
                <w:sz w:val="16"/>
                <w:szCs w:val="16"/>
              </w:rPr>
              <w:t xml:space="preserve">in entitlement ownership </w:t>
            </w:r>
            <w:r w:rsidR="004878C3" w:rsidRPr="00592F62">
              <w:rPr>
                <w:sz w:val="16"/>
                <w:szCs w:val="16"/>
              </w:rPr>
              <w:t xml:space="preserve">in the </w:t>
            </w:r>
            <w:proofErr w:type="spellStart"/>
            <w:r w:rsidR="004878C3" w:rsidRPr="00592F62">
              <w:rPr>
                <w:sz w:val="16"/>
                <w:szCs w:val="16"/>
              </w:rPr>
              <w:t>sMDB</w:t>
            </w:r>
            <w:proofErr w:type="spellEnd"/>
            <w:r w:rsidR="004878C3" w:rsidRPr="00592F62">
              <w:rPr>
                <w:sz w:val="16"/>
                <w:szCs w:val="16"/>
              </w:rPr>
              <w:t>.</w:t>
            </w:r>
          </w:p>
        </w:tc>
        <w:tc>
          <w:tcPr>
            <w:tcW w:w="5670" w:type="dxa"/>
          </w:tcPr>
          <w:p w:rsidR="00554636" w:rsidRPr="00592F62" w:rsidRDefault="004878C3" w:rsidP="00D6647E">
            <w:pPr>
              <w:pStyle w:val="TableText"/>
              <w:keepNext w:val="0"/>
              <w:rPr>
                <w:sz w:val="16"/>
                <w:szCs w:val="16"/>
              </w:rPr>
            </w:pPr>
            <w:r w:rsidRPr="00592F62">
              <w:rPr>
                <w:sz w:val="16"/>
                <w:szCs w:val="16"/>
              </w:rPr>
              <w:t xml:space="preserve">Historically, tax-effective Managed investment Schemes </w:t>
            </w:r>
            <w:r w:rsidR="00D6647E">
              <w:rPr>
                <w:sz w:val="16"/>
                <w:szCs w:val="16"/>
              </w:rPr>
              <w:t xml:space="preserve">drove </w:t>
            </w:r>
            <w:r w:rsidRPr="00592F62">
              <w:rPr>
                <w:sz w:val="16"/>
                <w:szCs w:val="16"/>
              </w:rPr>
              <w:t>investment in new irrigation developments (e.g. wine</w:t>
            </w:r>
            <w:r w:rsidR="006349F8">
              <w:rPr>
                <w:sz w:val="16"/>
                <w:szCs w:val="16"/>
              </w:rPr>
              <w:t xml:space="preserve"> </w:t>
            </w:r>
            <w:r w:rsidRPr="00592F62">
              <w:rPr>
                <w:sz w:val="16"/>
                <w:szCs w:val="16"/>
              </w:rPr>
              <w:t xml:space="preserve">grapes, almonds, and olives) across the </w:t>
            </w:r>
            <w:proofErr w:type="spellStart"/>
            <w:r w:rsidRPr="00592F62">
              <w:rPr>
                <w:sz w:val="16"/>
                <w:szCs w:val="16"/>
              </w:rPr>
              <w:t>sMDB</w:t>
            </w:r>
            <w:proofErr w:type="spellEnd"/>
            <w:r w:rsidRPr="00592F62">
              <w:rPr>
                <w:sz w:val="16"/>
                <w:szCs w:val="16"/>
              </w:rPr>
              <w:t xml:space="preserve">. </w:t>
            </w:r>
            <w:r w:rsidR="00D6647E">
              <w:rPr>
                <w:sz w:val="16"/>
                <w:szCs w:val="16"/>
              </w:rPr>
              <w:t xml:space="preserve">More recently, investors have purchased entitlements with the aim of obtaining returns on allocation sales and capital growth. </w:t>
            </w:r>
            <w:proofErr w:type="spellStart"/>
            <w:r w:rsidR="00D6647E">
              <w:rPr>
                <w:sz w:val="16"/>
                <w:szCs w:val="16"/>
              </w:rPr>
              <w:t>Aither’s</w:t>
            </w:r>
            <w:proofErr w:type="spellEnd"/>
            <w:r w:rsidR="00D6647E">
              <w:rPr>
                <w:sz w:val="16"/>
                <w:szCs w:val="16"/>
              </w:rPr>
              <w:t xml:space="preserve"> economic modelling does not factor in these changes in ownership as it is assumed that water allocations move to the highest value use, as determined by the market. Any underlying changes in the future structure of the demand for water in irrigation may affect the water allocation price in the future</w:t>
            </w:r>
            <w:r w:rsidR="00042819" w:rsidRPr="00592F62">
              <w:rPr>
                <w:sz w:val="16"/>
                <w:szCs w:val="16"/>
              </w:rPr>
              <w:t xml:space="preserve">. </w:t>
            </w:r>
          </w:p>
        </w:tc>
        <w:tc>
          <w:tcPr>
            <w:tcW w:w="3960" w:type="dxa"/>
          </w:tcPr>
          <w:p w:rsidR="00554636" w:rsidRPr="00592F62" w:rsidRDefault="00042819" w:rsidP="00AA49F6">
            <w:pPr>
              <w:pStyle w:val="TableText"/>
              <w:keepNext w:val="0"/>
              <w:rPr>
                <w:sz w:val="16"/>
                <w:szCs w:val="16"/>
              </w:rPr>
            </w:pPr>
            <w:r w:rsidRPr="00592F62">
              <w:rPr>
                <w:sz w:val="16"/>
                <w:szCs w:val="16"/>
              </w:rPr>
              <w:t>No significant implications.</w:t>
            </w:r>
          </w:p>
        </w:tc>
      </w:tr>
    </w:tbl>
    <w:p w:rsidR="00554636" w:rsidRDefault="00554636" w:rsidP="00592F62">
      <w:pPr>
        <w:pStyle w:val="TFIHolderSmallSpace"/>
        <w:keepNext w:val="0"/>
        <w:keepLines w:val="0"/>
      </w:pPr>
    </w:p>
    <w:p w:rsidR="00554636" w:rsidRPr="00803673" w:rsidRDefault="00554636" w:rsidP="00592F62">
      <w:pPr>
        <w:pStyle w:val="TFNoteSourceTab"/>
        <w:ind w:left="619" w:hanging="619"/>
      </w:pPr>
      <w:r w:rsidRPr="00803673">
        <w:t>Source:</w:t>
      </w:r>
      <w:r w:rsidRPr="00803673">
        <w:tab/>
      </w:r>
      <w:proofErr w:type="spellStart"/>
      <w:r w:rsidR="00B30645" w:rsidRPr="00803673">
        <w:t>Aither</w:t>
      </w:r>
      <w:proofErr w:type="spellEnd"/>
      <w:r w:rsidR="00B30645" w:rsidRPr="00803673">
        <w:t xml:space="preserve"> 2015</w:t>
      </w:r>
      <w:r w:rsidRPr="00803673">
        <w:t>.</w:t>
      </w:r>
    </w:p>
    <w:p w:rsidR="00EC2040" w:rsidRDefault="00EC2040" w:rsidP="00E70A83"/>
    <w:p w:rsidR="00EC2040" w:rsidRDefault="00EC2040" w:rsidP="00E70A83">
      <w:pPr>
        <w:sectPr w:rsidR="00EC2040" w:rsidSect="00592F62">
          <w:pgSz w:w="16838" w:h="11906" w:orient="landscape" w:code="9"/>
          <w:pgMar w:top="1440" w:right="1440" w:bottom="1440" w:left="1440" w:header="578" w:footer="567" w:gutter="0"/>
          <w:cols w:space="720"/>
          <w:docGrid w:linePitch="299"/>
        </w:sectPr>
      </w:pPr>
    </w:p>
    <w:p w:rsidR="005A301A" w:rsidRDefault="005A301A" w:rsidP="00592F62">
      <w:pPr>
        <w:pStyle w:val="Heading1"/>
        <w:pageBreakBefore w:val="0"/>
        <w:ind w:left="850" w:hanging="850"/>
      </w:pPr>
      <w:bookmarkStart w:id="48" w:name="_Toc431207305"/>
      <w:bookmarkStart w:id="49" w:name="_Toc431207306"/>
      <w:bookmarkStart w:id="50" w:name="_Toc431207307"/>
      <w:bookmarkStart w:id="51" w:name="_Toc431207308"/>
      <w:bookmarkStart w:id="52" w:name="_Toc431207309"/>
      <w:bookmarkStart w:id="53" w:name="_Toc431207310"/>
      <w:bookmarkStart w:id="54" w:name="_Toc431207311"/>
      <w:bookmarkStart w:id="55" w:name="_Toc431207312"/>
      <w:bookmarkStart w:id="56" w:name="_Toc431207313"/>
      <w:bookmarkStart w:id="57" w:name="_Toc431207314"/>
      <w:bookmarkStart w:id="58" w:name="_Toc431207315"/>
      <w:bookmarkStart w:id="59" w:name="_Toc431207316"/>
      <w:bookmarkStart w:id="60" w:name="_Toc431207317"/>
      <w:bookmarkStart w:id="61" w:name="_Toc431207318"/>
      <w:bookmarkStart w:id="62" w:name="_Toc431207319"/>
      <w:bookmarkStart w:id="63" w:name="_Toc431207320"/>
      <w:bookmarkStart w:id="64" w:name="_Toc431207321"/>
      <w:bookmarkStart w:id="65" w:name="_Toc431207322"/>
      <w:bookmarkStart w:id="66" w:name="_Toc431207323"/>
      <w:bookmarkStart w:id="67" w:name="_Toc431207324"/>
      <w:bookmarkStart w:id="68" w:name="_Toc431207325"/>
      <w:bookmarkStart w:id="69" w:name="_Toc431207326"/>
      <w:bookmarkStart w:id="70" w:name="_Ref430938364"/>
      <w:bookmarkStart w:id="71" w:name="_Toc44000685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lastRenderedPageBreak/>
        <w:t>Application of model and results</w:t>
      </w:r>
      <w:bookmarkEnd w:id="70"/>
      <w:bookmarkEnd w:id="71"/>
    </w:p>
    <w:p w:rsidR="005A301A" w:rsidRDefault="005A301A" w:rsidP="005A301A">
      <w:pPr>
        <w:pStyle w:val="Heading2"/>
      </w:pPr>
      <w:bookmarkStart w:id="72" w:name="_Ref430335706"/>
      <w:bookmarkStart w:id="73" w:name="_Ref430340072"/>
      <w:bookmarkStart w:id="74" w:name="_Toc440006853"/>
      <w:r>
        <w:t>Scenarios</w:t>
      </w:r>
      <w:bookmarkEnd w:id="72"/>
      <w:bookmarkEnd w:id="73"/>
      <w:bookmarkEnd w:id="74"/>
    </w:p>
    <w:p w:rsidR="00BE49DA" w:rsidRDefault="009D75F2" w:rsidP="00BE49DA">
      <w:r>
        <w:t>A</w:t>
      </w:r>
      <w:r w:rsidR="00BE49DA">
        <w:t xml:space="preserve"> number of scenarios were developed to be tested through </w:t>
      </w:r>
      <w:r w:rsidR="00C07943">
        <w:t>the</w:t>
      </w:r>
      <w:r w:rsidR="00BE49DA">
        <w:t xml:space="preserve"> allocation price model</w:t>
      </w:r>
      <w:r w:rsidR="00D6647E">
        <w:t>ling</w:t>
      </w:r>
      <w:r w:rsidR="00BE49DA">
        <w:t>. These scenarios were developed based primarily on assumptions about future water availability in hypothetical future years</w:t>
      </w:r>
      <w:r w:rsidR="009D6F0C">
        <w:t>. T</w:t>
      </w:r>
      <w:r w:rsidR="00BE49DA">
        <w:t>he development and testing of these scenarios allow</w:t>
      </w:r>
      <w:r w:rsidR="00E730C2">
        <w:t>s</w:t>
      </w:r>
      <w:r w:rsidR="00BE49DA">
        <w:t xml:space="preserve"> for an estimate of the potential change in allocation prices under future conditions</w:t>
      </w:r>
      <w:r w:rsidR="009D6F0C">
        <w:t xml:space="preserve"> </w:t>
      </w:r>
      <w:r w:rsidR="000D749B">
        <w:t>that may or may not eventuate</w:t>
      </w:r>
      <w:r w:rsidR="00BE49DA">
        <w:t xml:space="preserve">. </w:t>
      </w:r>
    </w:p>
    <w:p w:rsidR="00BE49DA" w:rsidRDefault="00BE49DA" w:rsidP="00BE49DA">
      <w:r>
        <w:t>The scenarios were developed to specifically test</w:t>
      </w:r>
      <w:r w:rsidR="00E730C2">
        <w:t xml:space="preserve"> for </w:t>
      </w:r>
      <w:r>
        <w:t xml:space="preserve">the potential </w:t>
      </w:r>
      <w:r w:rsidR="009D6F0C">
        <w:t xml:space="preserve">allocation </w:t>
      </w:r>
      <w:r>
        <w:t>price impact of:</w:t>
      </w:r>
    </w:p>
    <w:p w:rsidR="00864FF9" w:rsidRDefault="00864FF9" w:rsidP="00864FF9">
      <w:pPr>
        <w:pStyle w:val="Bullet"/>
      </w:pPr>
      <w:r>
        <w:t>water availability on historical allocation prices</w:t>
      </w:r>
    </w:p>
    <w:p w:rsidR="00AA49F6" w:rsidRPr="00F06B16" w:rsidRDefault="00AA49F6" w:rsidP="00AA49F6">
      <w:pPr>
        <w:pStyle w:val="Bullet"/>
      </w:pPr>
      <w:r w:rsidRPr="00F06B16">
        <w:t xml:space="preserve">Commonwealth water purchases on </w:t>
      </w:r>
      <w:r>
        <w:t xml:space="preserve">water </w:t>
      </w:r>
      <w:r w:rsidRPr="00F06B16">
        <w:t>allocation prices between 2007-08 and 2014-15</w:t>
      </w:r>
    </w:p>
    <w:p w:rsidR="00AA49F6" w:rsidRPr="00F06B16" w:rsidRDefault="00AA49F6" w:rsidP="00AA49F6">
      <w:pPr>
        <w:pStyle w:val="Bullet"/>
      </w:pPr>
      <w:r>
        <w:t xml:space="preserve">the </w:t>
      </w:r>
      <w:r w:rsidRPr="00F06B16">
        <w:t>current volume</w:t>
      </w:r>
      <w:r>
        <w:t xml:space="preserve"> of</w:t>
      </w:r>
      <w:r w:rsidRPr="00F06B16">
        <w:t xml:space="preserve"> Commonwealth water purchases on future </w:t>
      </w:r>
      <w:r>
        <w:t xml:space="preserve">water </w:t>
      </w:r>
      <w:r w:rsidRPr="00F06B16">
        <w:t xml:space="preserve">allocation </w:t>
      </w:r>
      <w:r>
        <w:t>prices</w:t>
      </w:r>
    </w:p>
    <w:p w:rsidR="00AA49F6" w:rsidRPr="00F06B16" w:rsidRDefault="00AA49F6" w:rsidP="00AA49F6">
      <w:pPr>
        <w:pStyle w:val="Bullet"/>
      </w:pPr>
      <w:proofErr w:type="gramStart"/>
      <w:r w:rsidRPr="00F06B16">
        <w:t>a</w:t>
      </w:r>
      <w:proofErr w:type="gramEnd"/>
      <w:r w:rsidR="005A4C20">
        <w:t xml:space="preserve"> hypothetical </w:t>
      </w:r>
      <w:r w:rsidRPr="00F06B16">
        <w:t xml:space="preserve">additional 200 </w:t>
      </w:r>
      <w:proofErr w:type="spellStart"/>
      <w:r w:rsidRPr="00F06B16">
        <w:t>Gigalitres</w:t>
      </w:r>
      <w:proofErr w:type="spellEnd"/>
      <w:r w:rsidRPr="00F06B16">
        <w:t xml:space="preserve"> (GL) of Commonwealth water purchases in the </w:t>
      </w:r>
      <w:proofErr w:type="spellStart"/>
      <w:r w:rsidRPr="00F06B16">
        <w:t>sMDB</w:t>
      </w:r>
      <w:proofErr w:type="spellEnd"/>
      <w:r w:rsidRPr="00F06B16">
        <w:t>.</w:t>
      </w:r>
    </w:p>
    <w:p w:rsidR="00BE49DA" w:rsidRPr="00592F62" w:rsidRDefault="00BE49DA" w:rsidP="00592F62">
      <w:r>
        <w:t xml:space="preserve">These scenarios are described in further detail in the below subsections. </w:t>
      </w:r>
    </w:p>
    <w:p w:rsidR="00EC7653" w:rsidRDefault="00864FF9" w:rsidP="00592F62">
      <w:pPr>
        <w:pStyle w:val="Heading3"/>
      </w:pPr>
      <w:r>
        <w:t xml:space="preserve">Scenario 1 – </w:t>
      </w:r>
      <w:r w:rsidR="00EC7653">
        <w:t>Impact of water availability on historical allocation prices</w:t>
      </w:r>
    </w:p>
    <w:p w:rsidR="00563080" w:rsidRDefault="00563080">
      <w:r>
        <w:t xml:space="preserve">The first scenario was developed to </w:t>
      </w:r>
      <w:r w:rsidR="008D55E4">
        <w:t xml:space="preserve">demonstrate </w:t>
      </w:r>
      <w:r>
        <w:t xml:space="preserve">the impact that changes to water availability over time have had on historical allocation prices. Testing this scenario involved running </w:t>
      </w:r>
      <w:r w:rsidR="00C07943">
        <w:t xml:space="preserve">the </w:t>
      </w:r>
      <w:r>
        <w:t xml:space="preserve">allocation price model over the available time series (1998-99 to 2014-15), and comparing </w:t>
      </w:r>
      <w:r w:rsidR="00EC7653">
        <w:t xml:space="preserve">actual and modelled prices for past years to demonstrate the significant impact water availability </w:t>
      </w:r>
      <w:r>
        <w:t xml:space="preserve">has </w:t>
      </w:r>
      <w:r w:rsidR="00EC7653">
        <w:t xml:space="preserve">on </w:t>
      </w:r>
      <w:r>
        <w:t xml:space="preserve">annual median </w:t>
      </w:r>
      <w:r w:rsidR="00864FF9">
        <w:t xml:space="preserve">water </w:t>
      </w:r>
      <w:r w:rsidR="00EC7653">
        <w:t>allocation price</w:t>
      </w:r>
      <w:r w:rsidR="00864FF9">
        <w:t>s</w:t>
      </w:r>
      <w:r w:rsidR="00EC7653">
        <w:t xml:space="preserve">. This </w:t>
      </w:r>
      <w:r w:rsidR="008D55E4">
        <w:t xml:space="preserve">modelled </w:t>
      </w:r>
      <w:r>
        <w:t xml:space="preserve">scenario is used as the </w:t>
      </w:r>
      <w:r w:rsidR="00623D48">
        <w:t>base</w:t>
      </w:r>
      <w:r w:rsidR="005E541B">
        <w:t xml:space="preserve"> </w:t>
      </w:r>
      <w:r w:rsidR="00EC7653">
        <w:t xml:space="preserve">case for </w:t>
      </w:r>
      <w:r>
        <w:t xml:space="preserve">measuring the potential </w:t>
      </w:r>
      <w:r w:rsidR="00EC7653">
        <w:t xml:space="preserve">impacts </w:t>
      </w:r>
      <w:r>
        <w:t xml:space="preserve">that Commonwealth </w:t>
      </w:r>
      <w:r w:rsidR="00585E5A">
        <w:t xml:space="preserve">water </w:t>
      </w:r>
      <w:r w:rsidR="00C013CD">
        <w:t>purchases</w:t>
      </w:r>
      <w:r>
        <w:t xml:space="preserve"> </w:t>
      </w:r>
      <w:r w:rsidR="00043651">
        <w:t>have</w:t>
      </w:r>
      <w:r>
        <w:t xml:space="preserve"> had on allocation prices</w:t>
      </w:r>
      <w:r w:rsidR="00EC7653">
        <w:t>.</w:t>
      </w:r>
      <w:r w:rsidR="00853D2F">
        <w:t xml:space="preserve"> </w:t>
      </w:r>
      <w:r>
        <w:t xml:space="preserve">See Section </w:t>
      </w:r>
      <w:r w:rsidR="00306798">
        <w:fldChar w:fldCharType="begin"/>
      </w:r>
      <w:r>
        <w:instrText xml:space="preserve"> REF _Ref431191502 \r \h </w:instrText>
      </w:r>
      <w:r w:rsidR="00306798">
        <w:fldChar w:fldCharType="separate"/>
      </w:r>
      <w:r w:rsidR="00EB2418">
        <w:t>4.2.1</w:t>
      </w:r>
      <w:r w:rsidR="00306798">
        <w:fldChar w:fldCharType="end"/>
      </w:r>
      <w:r>
        <w:t xml:space="preserve"> for the results of </w:t>
      </w:r>
      <w:r w:rsidR="00742EF6">
        <w:t>Scenario 1</w:t>
      </w:r>
      <w:r>
        <w:t xml:space="preserve">. </w:t>
      </w:r>
    </w:p>
    <w:p w:rsidR="00EC7653" w:rsidRDefault="00864FF9" w:rsidP="00592F62">
      <w:pPr>
        <w:pStyle w:val="Heading3"/>
      </w:pPr>
      <w:r>
        <w:t xml:space="preserve">Scenario 2 – </w:t>
      </w:r>
      <w:r w:rsidR="00EC7653">
        <w:t>Impact of</w:t>
      </w:r>
      <w:r>
        <w:t xml:space="preserve"> cumulative</w:t>
      </w:r>
      <w:r w:rsidR="00167D4C">
        <w:t xml:space="preserve"> Commonwealth</w:t>
      </w:r>
      <w:r w:rsidR="00585E5A">
        <w:t xml:space="preserve"> water</w:t>
      </w:r>
      <w:r w:rsidR="00EC7653">
        <w:t xml:space="preserve"> </w:t>
      </w:r>
      <w:r w:rsidR="00167D4C">
        <w:t>purchases</w:t>
      </w:r>
      <w:r w:rsidR="00EC7653">
        <w:t xml:space="preserve"> on historical allocation prices</w:t>
      </w:r>
      <w:r w:rsidR="00563080">
        <w:t xml:space="preserve"> </w:t>
      </w:r>
      <w:r>
        <w:t xml:space="preserve">between </w:t>
      </w:r>
      <w:r w:rsidR="00563080">
        <w:t>2007-08 to 2014-15</w:t>
      </w:r>
    </w:p>
    <w:p w:rsidR="00742EF6" w:rsidRDefault="00EC7653">
      <w:r>
        <w:t xml:space="preserve">To test the </w:t>
      </w:r>
      <w:r w:rsidR="00563080">
        <w:t xml:space="preserve">impact that </w:t>
      </w:r>
      <w:r w:rsidR="00864FF9">
        <w:t xml:space="preserve">cumulative </w:t>
      </w:r>
      <w:r w:rsidR="00563080">
        <w:t xml:space="preserve">Commonwealth </w:t>
      </w:r>
      <w:r w:rsidR="00585E5A">
        <w:t xml:space="preserve">water </w:t>
      </w:r>
      <w:r w:rsidR="00167D4C">
        <w:t>purchases</w:t>
      </w:r>
      <w:r w:rsidR="00563080">
        <w:t xml:space="preserve"> </w:t>
      </w:r>
      <w:r w:rsidR="0024794E">
        <w:t xml:space="preserve">have </w:t>
      </w:r>
      <w:r w:rsidR="00563080">
        <w:t>had on historical allocation prices, a second scenario was developed. This scenario compar</w:t>
      </w:r>
      <w:r w:rsidR="00742EF6">
        <w:t>es</w:t>
      </w:r>
      <w:r w:rsidR="00563080">
        <w:t xml:space="preserve"> modelled </w:t>
      </w:r>
      <w:r w:rsidR="00742EF6">
        <w:t>historical alloc</w:t>
      </w:r>
      <w:r w:rsidR="00623D48">
        <w:t>ation prices (Scenario 1 – base-</w:t>
      </w:r>
      <w:r w:rsidR="00742EF6">
        <w:t xml:space="preserve">case) against modelled historical allocation prices if </w:t>
      </w:r>
      <w:r w:rsidR="00167D4C">
        <w:t>purchases</w:t>
      </w:r>
      <w:r w:rsidR="00742EF6">
        <w:t xml:space="preserve"> (from 2007-08 to 2014-15) had not occurred and </w:t>
      </w:r>
      <w:r w:rsidR="008D55E4">
        <w:t xml:space="preserve">allocations to </w:t>
      </w:r>
      <w:r w:rsidR="00742EF6">
        <w:t xml:space="preserve">water purchased by the Commonwealth </w:t>
      </w:r>
      <w:r w:rsidR="00C86966">
        <w:t xml:space="preserve">were </w:t>
      </w:r>
      <w:r w:rsidR="00742EF6">
        <w:t xml:space="preserve">still available for consumptive use. </w:t>
      </w:r>
      <w:r>
        <w:t>This</w:t>
      </w:r>
      <w:r w:rsidR="00242A93">
        <w:t xml:space="preserve"> </w:t>
      </w:r>
      <w:r w:rsidR="00742EF6">
        <w:t>comparison</w:t>
      </w:r>
      <w:r>
        <w:t xml:space="preserve"> establish</w:t>
      </w:r>
      <w:r w:rsidR="00742EF6">
        <w:t>es</w:t>
      </w:r>
      <w:r>
        <w:t xml:space="preserve"> annual price differentials and thus the </w:t>
      </w:r>
      <w:r w:rsidR="00742EF6">
        <w:t xml:space="preserve">potential </w:t>
      </w:r>
      <w:r>
        <w:t xml:space="preserve">impact of </w:t>
      </w:r>
      <w:r w:rsidR="00585E5A">
        <w:t xml:space="preserve">water </w:t>
      </w:r>
      <w:r w:rsidR="00167D4C">
        <w:t>purchases</w:t>
      </w:r>
      <w:r>
        <w:t xml:space="preserve"> on historical allocation prices</w:t>
      </w:r>
      <w:r w:rsidR="00742EF6">
        <w:t xml:space="preserve"> can be estimated</w:t>
      </w:r>
      <w:r>
        <w:t>.</w:t>
      </w:r>
      <w:r w:rsidR="00853D2F">
        <w:t xml:space="preserve"> </w:t>
      </w:r>
      <w:r w:rsidR="00742EF6">
        <w:t xml:space="preserve">See Section </w:t>
      </w:r>
      <w:r w:rsidR="00306798">
        <w:fldChar w:fldCharType="begin"/>
      </w:r>
      <w:r w:rsidR="00742EF6">
        <w:instrText xml:space="preserve"> REF _Ref431191945 \r \h </w:instrText>
      </w:r>
      <w:r w:rsidR="00306798">
        <w:fldChar w:fldCharType="separate"/>
      </w:r>
      <w:r w:rsidR="00EB2418">
        <w:t>4.2.2</w:t>
      </w:r>
      <w:r w:rsidR="00306798">
        <w:fldChar w:fldCharType="end"/>
      </w:r>
      <w:r w:rsidR="00742EF6">
        <w:t xml:space="preserve"> for the results of Scenario 2. </w:t>
      </w:r>
    </w:p>
    <w:p w:rsidR="00EC7653" w:rsidRDefault="00864FF9" w:rsidP="00864FF9">
      <w:pPr>
        <w:pStyle w:val="Heading3"/>
      </w:pPr>
      <w:r>
        <w:t xml:space="preserve">Scenario 3 – </w:t>
      </w:r>
      <w:r w:rsidR="00EC7653">
        <w:t xml:space="preserve">Impact of </w:t>
      </w:r>
      <w:r w:rsidRPr="00864FF9">
        <w:t>the current cumulative volume of Commonwealth water purchases on future water allocation prices</w:t>
      </w:r>
    </w:p>
    <w:p w:rsidR="00742EF6" w:rsidRPr="00742EF6" w:rsidRDefault="00742EF6">
      <w:r>
        <w:t xml:space="preserve">To test the impact of </w:t>
      </w:r>
      <w:r w:rsidR="000E7FBB">
        <w:t xml:space="preserve">the </w:t>
      </w:r>
      <w:r w:rsidRPr="00742EF6">
        <w:t xml:space="preserve">current </w:t>
      </w:r>
      <w:r w:rsidR="000E7FBB">
        <w:t xml:space="preserve">cumulative </w:t>
      </w:r>
      <w:r w:rsidRPr="00742EF6">
        <w:t>volume</w:t>
      </w:r>
      <w:r w:rsidR="000E7FBB">
        <w:t xml:space="preserve"> </w:t>
      </w:r>
      <w:r>
        <w:t>of Commonwealth</w:t>
      </w:r>
      <w:r w:rsidR="00585E5A">
        <w:t xml:space="preserve"> water</w:t>
      </w:r>
      <w:r>
        <w:t xml:space="preserve"> </w:t>
      </w:r>
      <w:r w:rsidR="00167D4C">
        <w:t>purchases</w:t>
      </w:r>
      <w:r w:rsidR="0080291C">
        <w:t xml:space="preserve"> </w:t>
      </w:r>
      <w:r>
        <w:t xml:space="preserve">on future water allocation prices, </w:t>
      </w:r>
      <w:proofErr w:type="spellStart"/>
      <w:r>
        <w:t>Aither</w:t>
      </w:r>
      <w:proofErr w:type="spellEnd"/>
      <w:r>
        <w:t xml:space="preserve"> tested the potential impact under a number of hypothetical future water years. These future water years were not developed to represent likely future conditions, but rather to highlight the potential impact of </w:t>
      </w:r>
      <w:r w:rsidRPr="00742EF6">
        <w:t xml:space="preserve">current Commonwealth </w:t>
      </w:r>
      <w:r w:rsidR="00585E5A">
        <w:t xml:space="preserve">water </w:t>
      </w:r>
      <w:r w:rsidR="00167D4C">
        <w:t>purchases</w:t>
      </w:r>
      <w:r>
        <w:t xml:space="preserve"> on allocation prices if the hypothetical future water year did occur. </w:t>
      </w:r>
    </w:p>
    <w:p w:rsidR="00EC7653" w:rsidRDefault="00742EF6" w:rsidP="00EC7653">
      <w:r>
        <w:lastRenderedPageBreak/>
        <w:t xml:space="preserve">The hypothetical future water years tested are based on </w:t>
      </w:r>
      <w:r w:rsidR="0080291C">
        <w:t xml:space="preserve">the outlook for 2015-16 and </w:t>
      </w:r>
      <w:r>
        <w:t>known past water years – namely</w:t>
      </w:r>
      <w:r w:rsidR="00EC7653">
        <w:t>:</w:t>
      </w:r>
    </w:p>
    <w:p w:rsidR="00EC7653" w:rsidRDefault="00EC7653" w:rsidP="00EC7653">
      <w:pPr>
        <w:pStyle w:val="Bullet"/>
      </w:pPr>
      <w:r>
        <w:t xml:space="preserve">expected water availability using water resource manager outlooks for 2015-16 (tracking at </w:t>
      </w:r>
      <w:r w:rsidR="0080291C">
        <w:t>‘</w:t>
      </w:r>
      <w:r>
        <w:t>dry</w:t>
      </w:r>
      <w:r w:rsidR="0080291C">
        <w:t>’</w:t>
      </w:r>
      <w:r w:rsidR="000522C9">
        <w:t xml:space="preserve"> conditions</w:t>
      </w:r>
      <w:r w:rsidR="00D6647E">
        <w:t xml:space="preserve"> at the time of the analysis</w:t>
      </w:r>
      <w:r>
        <w:t>)</w:t>
      </w:r>
      <w:r w:rsidR="000E7FBB">
        <w:rPr>
          <w:rStyle w:val="FootnoteReference"/>
        </w:rPr>
        <w:footnoteReference w:id="21"/>
      </w:r>
    </w:p>
    <w:p w:rsidR="00EC7653" w:rsidRDefault="00EC7653" w:rsidP="00EC7653">
      <w:pPr>
        <w:pStyle w:val="Bullet"/>
      </w:pPr>
      <w:r>
        <w:t>repeat of water availability in worst Millennium Drought year (replicating 2008-09 water year)</w:t>
      </w:r>
    </w:p>
    <w:p w:rsidR="00EC7653" w:rsidRDefault="00EC7653" w:rsidP="00546EED">
      <w:pPr>
        <w:pStyle w:val="Bullet"/>
      </w:pPr>
      <w:r>
        <w:t xml:space="preserve">repeat of water availability in average year (replicating the </w:t>
      </w:r>
      <w:r w:rsidR="00546EED" w:rsidRPr="00546EED">
        <w:t xml:space="preserve">2005-06 </w:t>
      </w:r>
      <w:r>
        <w:t>water year)</w:t>
      </w:r>
    </w:p>
    <w:p w:rsidR="00EC7653" w:rsidRDefault="00EC7653" w:rsidP="00EC7653">
      <w:pPr>
        <w:pStyle w:val="Bullet"/>
      </w:pPr>
      <w:proofErr w:type="gramStart"/>
      <w:r>
        <w:t>repeat</w:t>
      </w:r>
      <w:proofErr w:type="gramEnd"/>
      <w:r>
        <w:t xml:space="preserve"> of water availability in wet year (replicating 2011-12 water year)</w:t>
      </w:r>
      <w:r w:rsidR="00546EED">
        <w:t>.</w:t>
      </w:r>
    </w:p>
    <w:p w:rsidR="00742EF6" w:rsidRDefault="00742EF6" w:rsidP="00592F62">
      <w:r>
        <w:t xml:space="preserve">To test the potential impact of </w:t>
      </w:r>
      <w:r w:rsidR="00546EED" w:rsidRPr="00546EED">
        <w:t xml:space="preserve">current Commonwealth </w:t>
      </w:r>
      <w:r w:rsidR="00585E5A">
        <w:t xml:space="preserve">water </w:t>
      </w:r>
      <w:r w:rsidR="00167D4C">
        <w:t>purchases</w:t>
      </w:r>
      <w:r w:rsidR="00546EED">
        <w:t xml:space="preserve"> on future allocation prices, </w:t>
      </w:r>
      <w:proofErr w:type="spellStart"/>
      <w:r w:rsidR="00546EED">
        <w:t>Aither</w:t>
      </w:r>
      <w:proofErr w:type="spellEnd"/>
      <w:r w:rsidR="00546EED">
        <w:t xml:space="preserve"> ran the above scenarios through </w:t>
      </w:r>
      <w:r w:rsidR="00C07943">
        <w:t>the</w:t>
      </w:r>
      <w:r w:rsidR="00546EED">
        <w:t xml:space="preserve"> allocation price model twice – once with Commonwealth</w:t>
      </w:r>
      <w:r w:rsidR="00585E5A">
        <w:t xml:space="preserve"> water</w:t>
      </w:r>
      <w:r w:rsidR="00546EED">
        <w:t xml:space="preserve"> </w:t>
      </w:r>
      <w:r w:rsidR="00167D4C">
        <w:t>purchases</w:t>
      </w:r>
      <w:r w:rsidR="00546EED">
        <w:t xml:space="preserve"> and once assuming that </w:t>
      </w:r>
      <w:r w:rsidR="00546EED" w:rsidRPr="00546EED">
        <w:t xml:space="preserve">Commonwealth </w:t>
      </w:r>
      <w:r w:rsidR="00585E5A">
        <w:t xml:space="preserve">water </w:t>
      </w:r>
      <w:r w:rsidR="00167D4C">
        <w:t>purchases</w:t>
      </w:r>
      <w:r w:rsidR="00546EED">
        <w:t xml:space="preserve"> had not occurred. The outputs of this scenario allow</w:t>
      </w:r>
      <w:r w:rsidR="0080291C">
        <w:t xml:space="preserve"> the</w:t>
      </w:r>
      <w:r w:rsidR="00546EED">
        <w:t xml:space="preserve"> </w:t>
      </w:r>
      <w:r w:rsidR="0080291C" w:rsidRPr="0080291C">
        <w:t xml:space="preserve">potential impact of current Commonwealth </w:t>
      </w:r>
      <w:r w:rsidR="00585E5A">
        <w:t xml:space="preserve">water </w:t>
      </w:r>
      <w:r w:rsidR="00167D4C">
        <w:t>purchases</w:t>
      </w:r>
      <w:r w:rsidR="0080291C" w:rsidRPr="0080291C">
        <w:t xml:space="preserve"> on future allocation prices</w:t>
      </w:r>
      <w:r w:rsidR="0080291C">
        <w:t xml:space="preserve"> to be established</w:t>
      </w:r>
      <w:r w:rsidR="00546EED">
        <w:t xml:space="preserve">. </w:t>
      </w:r>
    </w:p>
    <w:p w:rsidR="00546EED" w:rsidRDefault="00546EED" w:rsidP="00592F62">
      <w:r>
        <w:t>The outputs of this</w:t>
      </w:r>
      <w:r w:rsidRPr="00546EED">
        <w:t xml:space="preserve"> scenario </w:t>
      </w:r>
      <w:r>
        <w:t>are</w:t>
      </w:r>
      <w:r w:rsidR="00623D48">
        <w:t xml:space="preserve"> used as the base-</w:t>
      </w:r>
      <w:r w:rsidRPr="00546EED">
        <w:t xml:space="preserve">case for measuring the potential impacts </w:t>
      </w:r>
      <w:r>
        <w:t>if additional</w:t>
      </w:r>
      <w:r w:rsidRPr="00546EED">
        <w:t xml:space="preserve"> Commonwealth </w:t>
      </w:r>
      <w:r w:rsidR="00585E5A">
        <w:t xml:space="preserve">water </w:t>
      </w:r>
      <w:r w:rsidR="00167D4C">
        <w:t>purchases</w:t>
      </w:r>
      <w:r>
        <w:t xml:space="preserve"> occur (above that of current volumes)</w:t>
      </w:r>
      <w:r w:rsidRPr="00546EED">
        <w:t>.</w:t>
      </w:r>
      <w:r w:rsidR="00853D2F">
        <w:t xml:space="preserve"> </w:t>
      </w:r>
      <w:r>
        <w:t xml:space="preserve">See Section </w:t>
      </w:r>
      <w:r w:rsidR="00306798">
        <w:fldChar w:fldCharType="begin"/>
      </w:r>
      <w:r>
        <w:instrText xml:space="preserve"> REF _Ref431192535 \r \h </w:instrText>
      </w:r>
      <w:r w:rsidR="00306798">
        <w:fldChar w:fldCharType="separate"/>
      </w:r>
      <w:r w:rsidR="00EB2418">
        <w:t>4.2.3</w:t>
      </w:r>
      <w:r w:rsidR="00306798">
        <w:fldChar w:fldCharType="end"/>
      </w:r>
      <w:r w:rsidRPr="00546EED">
        <w:t xml:space="preserve"> for the results of Scenario </w:t>
      </w:r>
      <w:r>
        <w:t>3</w:t>
      </w:r>
      <w:r w:rsidRPr="00546EED">
        <w:t>.</w:t>
      </w:r>
    </w:p>
    <w:p w:rsidR="00EC7653" w:rsidRDefault="00864FF9" w:rsidP="00592F62">
      <w:pPr>
        <w:pStyle w:val="Heading3"/>
      </w:pPr>
      <w:r>
        <w:t xml:space="preserve">Scenario 4 – </w:t>
      </w:r>
      <w:r w:rsidR="00EC7653">
        <w:t xml:space="preserve">Impact of additional </w:t>
      </w:r>
      <w:r w:rsidR="00167D4C">
        <w:t>Commonwealth water purchases</w:t>
      </w:r>
      <w:r w:rsidR="00EC7653">
        <w:t xml:space="preserve"> on future allocation prices </w:t>
      </w:r>
    </w:p>
    <w:p w:rsidR="00FF53DB" w:rsidRDefault="00762E4F" w:rsidP="00FF53DB">
      <w:r>
        <w:t xml:space="preserve">Based on progress to date </w:t>
      </w:r>
      <w:r w:rsidR="00F1381A">
        <w:t>with</w:t>
      </w:r>
      <w:r>
        <w:t xml:space="preserve"> </w:t>
      </w:r>
      <w:r w:rsidRPr="00762E4F">
        <w:t>recovering water for the environment in the Murray-Darling Basin</w:t>
      </w:r>
      <w:r>
        <w:t xml:space="preserve">, </w:t>
      </w:r>
      <w:r w:rsidR="00FB5FA1">
        <w:t xml:space="preserve">there is the potential that further Commonwealth water </w:t>
      </w:r>
      <w:r w:rsidR="00167D4C">
        <w:t>purchases</w:t>
      </w:r>
      <w:r w:rsidR="00FB5FA1">
        <w:t xml:space="preserve"> </w:t>
      </w:r>
      <w:r w:rsidR="00FF53DB">
        <w:t>would be required to meet targets under the Basin Plan. The purchase of additional water for the environment would increase the volume of water held by the Commonwealth</w:t>
      </w:r>
      <w:r w:rsidR="00FF53DB" w:rsidRPr="0080291C">
        <w:t xml:space="preserve"> </w:t>
      </w:r>
      <w:r w:rsidR="00FF53DB">
        <w:t xml:space="preserve">Government (above current volumes), and as a result, further reduce the volume of water </w:t>
      </w:r>
      <w:r w:rsidR="002760F5">
        <w:t>allocated that is available for consumptive</w:t>
      </w:r>
      <w:r w:rsidR="00FF53DB">
        <w:t xml:space="preserve"> use. As a result of this reduction in consumptive water</w:t>
      </w:r>
      <w:r w:rsidR="000E7FBB">
        <w:t xml:space="preserve"> allocation</w:t>
      </w:r>
      <w:r w:rsidR="00FF53DB">
        <w:t>, any future purchase of water entitlements by the Commonwealth</w:t>
      </w:r>
      <w:r w:rsidR="00FF53DB" w:rsidRPr="0080291C">
        <w:t xml:space="preserve"> </w:t>
      </w:r>
      <w:r w:rsidR="00FF53DB">
        <w:t xml:space="preserve">Government in the </w:t>
      </w:r>
      <w:proofErr w:type="spellStart"/>
      <w:r w:rsidR="00FF53DB">
        <w:t>sMDB</w:t>
      </w:r>
      <w:proofErr w:type="spellEnd"/>
      <w:r w:rsidR="00FF53DB">
        <w:t xml:space="preserve"> is likely to have an additional impact on allocation prices.</w:t>
      </w:r>
    </w:p>
    <w:p w:rsidR="009252DC" w:rsidRDefault="00762E4F" w:rsidP="00762E4F">
      <w:r>
        <w:t xml:space="preserve">Based on the </w:t>
      </w:r>
      <w:r w:rsidR="0080291C">
        <w:t xml:space="preserve">possibility </w:t>
      </w:r>
      <w:r>
        <w:t xml:space="preserve">that the Commonwealth </w:t>
      </w:r>
      <w:r w:rsidR="0080291C">
        <w:t xml:space="preserve">Government </w:t>
      </w:r>
      <w:r>
        <w:t xml:space="preserve">may need to re-enter the water market in the </w:t>
      </w:r>
      <w:proofErr w:type="spellStart"/>
      <w:r>
        <w:t>sMDB</w:t>
      </w:r>
      <w:proofErr w:type="spellEnd"/>
      <w:r>
        <w:t xml:space="preserve"> to purchase additional water for the environment, </w:t>
      </w:r>
      <w:proofErr w:type="spellStart"/>
      <w:r w:rsidR="00FF53DB">
        <w:t>Aither</w:t>
      </w:r>
      <w:proofErr w:type="spellEnd"/>
      <w:r w:rsidR="00FF53DB">
        <w:t xml:space="preserve"> developed</w:t>
      </w:r>
      <w:r>
        <w:t xml:space="preserve"> a </w:t>
      </w:r>
      <w:r w:rsidR="00063948">
        <w:t xml:space="preserve">plausible </w:t>
      </w:r>
      <w:r>
        <w:t xml:space="preserve">scenario </w:t>
      </w:r>
      <w:r w:rsidR="00FF53DB">
        <w:t>to</w:t>
      </w:r>
      <w:r>
        <w:t xml:space="preserve"> estimate the impact that </w:t>
      </w:r>
      <w:r w:rsidR="00FF53DB">
        <w:t xml:space="preserve">any </w:t>
      </w:r>
      <w:r w:rsidR="00A371C4">
        <w:t>further</w:t>
      </w:r>
      <w:r w:rsidR="00A371C4" w:rsidRPr="00762E4F">
        <w:t xml:space="preserve"> </w:t>
      </w:r>
      <w:r w:rsidRPr="00762E4F">
        <w:t xml:space="preserve">Commonwealth </w:t>
      </w:r>
      <w:r w:rsidR="00585E5A">
        <w:t xml:space="preserve">water </w:t>
      </w:r>
      <w:r w:rsidR="00167D4C">
        <w:t>purchases</w:t>
      </w:r>
      <w:r w:rsidRPr="00762E4F">
        <w:t xml:space="preserve"> </w:t>
      </w:r>
      <w:r w:rsidR="00FF53DB">
        <w:t xml:space="preserve">would </w:t>
      </w:r>
      <w:r>
        <w:t>have on</w:t>
      </w:r>
      <w:r w:rsidRPr="00762E4F">
        <w:t xml:space="preserve"> water allocation prices in future years</w:t>
      </w:r>
      <w:r>
        <w:t xml:space="preserve">. </w:t>
      </w:r>
      <w:r w:rsidR="009252DC">
        <w:t>To test the</w:t>
      </w:r>
      <w:r>
        <w:t xml:space="preserve"> potential impact</w:t>
      </w:r>
      <w:r w:rsidR="009252DC">
        <w:t xml:space="preserve"> of additional Commonwealth</w:t>
      </w:r>
      <w:r w:rsidR="00585E5A">
        <w:t xml:space="preserve"> water</w:t>
      </w:r>
      <w:r w:rsidR="009252DC">
        <w:t xml:space="preserve"> </w:t>
      </w:r>
      <w:r w:rsidR="00167D4C">
        <w:t>purchases</w:t>
      </w:r>
      <w:r>
        <w:t xml:space="preserve">, </w:t>
      </w:r>
      <w:proofErr w:type="spellStart"/>
      <w:r>
        <w:t>Aither</w:t>
      </w:r>
      <w:proofErr w:type="spellEnd"/>
      <w:r>
        <w:t xml:space="preserve"> replicated </w:t>
      </w:r>
      <w:r w:rsidR="0080291C">
        <w:t xml:space="preserve">a selection of </w:t>
      </w:r>
      <w:r>
        <w:t xml:space="preserve">the model runs undertaken for Scenario 3, </w:t>
      </w:r>
      <w:r w:rsidR="009252DC">
        <w:t xml:space="preserve">but assumed that an additional 200 GL of water is purchased by the Commonwealth in the </w:t>
      </w:r>
      <w:proofErr w:type="spellStart"/>
      <w:r w:rsidR="009252DC">
        <w:t>sMDB</w:t>
      </w:r>
      <w:proofErr w:type="spellEnd"/>
      <w:r w:rsidR="009252DC">
        <w:t>.</w:t>
      </w:r>
      <w:r w:rsidR="009252DC">
        <w:rPr>
          <w:rStyle w:val="FootnoteReference"/>
        </w:rPr>
        <w:footnoteReference w:id="22"/>
      </w:r>
      <w:r w:rsidR="00A371C4">
        <w:t xml:space="preserve">. These purchases would fall within the legislated 1,500 GL cap on water purchases. </w:t>
      </w:r>
      <w:proofErr w:type="spellStart"/>
      <w:r w:rsidR="009252DC">
        <w:t>Aither</w:t>
      </w:r>
      <w:proofErr w:type="spellEnd"/>
      <w:r w:rsidR="009252DC">
        <w:t xml:space="preserve"> assumed that this additional water would be purchased </w:t>
      </w:r>
      <w:r w:rsidRPr="00762E4F">
        <w:t xml:space="preserve">on a proportional basis to current </w:t>
      </w:r>
      <w:r w:rsidR="009252DC">
        <w:t>entitlements held</w:t>
      </w:r>
      <w:r w:rsidRPr="00762E4F">
        <w:t xml:space="preserve">. </w:t>
      </w:r>
    </w:p>
    <w:p w:rsidR="0080291C" w:rsidRDefault="009252DC" w:rsidP="0080291C">
      <w:r w:rsidRPr="009252DC">
        <w:t xml:space="preserve">To test the potential impact of </w:t>
      </w:r>
      <w:r>
        <w:t>additional</w:t>
      </w:r>
      <w:r w:rsidRPr="009252DC">
        <w:t xml:space="preserve"> Commonwealth </w:t>
      </w:r>
      <w:r w:rsidR="00585E5A">
        <w:t xml:space="preserve">water </w:t>
      </w:r>
      <w:r w:rsidR="00167D4C">
        <w:t>purchases</w:t>
      </w:r>
      <w:r w:rsidRPr="009252DC">
        <w:t xml:space="preserve"> on future allocation prices, </w:t>
      </w:r>
      <w:proofErr w:type="spellStart"/>
      <w:r w:rsidRPr="009252DC">
        <w:t>Aither</w:t>
      </w:r>
      <w:proofErr w:type="spellEnd"/>
      <w:r w:rsidRPr="009252DC">
        <w:t xml:space="preserve"> ran the scenarios </w:t>
      </w:r>
      <w:r>
        <w:t xml:space="preserve">developed in Scenario 3 </w:t>
      </w:r>
      <w:r w:rsidRPr="009252DC">
        <w:t xml:space="preserve">through </w:t>
      </w:r>
      <w:r w:rsidR="00C07943">
        <w:t>the</w:t>
      </w:r>
      <w:r w:rsidR="00C07943" w:rsidRPr="009252DC">
        <w:t xml:space="preserve"> </w:t>
      </w:r>
      <w:r w:rsidRPr="009252DC">
        <w:t>allocation price model twice – once with Commonwealth</w:t>
      </w:r>
      <w:r w:rsidR="00585E5A">
        <w:t xml:space="preserve"> water</w:t>
      </w:r>
      <w:r w:rsidRPr="009252DC">
        <w:t xml:space="preserve"> </w:t>
      </w:r>
      <w:r w:rsidR="00167D4C">
        <w:t>purchases</w:t>
      </w:r>
      <w:r>
        <w:t xml:space="preserve"> (including additional volumes of </w:t>
      </w:r>
      <w:r w:rsidR="00585E5A">
        <w:t xml:space="preserve">water </w:t>
      </w:r>
      <w:r w:rsidR="00167D4C">
        <w:t>purchases</w:t>
      </w:r>
      <w:r>
        <w:t>)</w:t>
      </w:r>
      <w:r w:rsidRPr="009252DC">
        <w:t xml:space="preserve"> and once assuming that Commonwealth </w:t>
      </w:r>
      <w:r w:rsidR="00585E5A">
        <w:t xml:space="preserve">water </w:t>
      </w:r>
      <w:r w:rsidR="00167D4C">
        <w:t>purchases</w:t>
      </w:r>
      <w:r w:rsidRPr="009252DC">
        <w:t xml:space="preserve"> had not occurred. The outputs of this scenario allow </w:t>
      </w:r>
      <w:r w:rsidR="0080291C">
        <w:t xml:space="preserve">the </w:t>
      </w:r>
      <w:r w:rsidR="0080291C" w:rsidRPr="0080291C">
        <w:t xml:space="preserve">potential </w:t>
      </w:r>
      <w:r w:rsidR="0080291C">
        <w:t xml:space="preserve">additional and total impact of future Commonwealth </w:t>
      </w:r>
      <w:r w:rsidR="00585E5A">
        <w:t xml:space="preserve">water </w:t>
      </w:r>
      <w:r w:rsidR="00167D4C">
        <w:t>purchases</w:t>
      </w:r>
      <w:r w:rsidR="0080291C">
        <w:t xml:space="preserve"> on future water allocation prices in the </w:t>
      </w:r>
      <w:proofErr w:type="spellStart"/>
      <w:r w:rsidR="0080291C">
        <w:t>sMDB</w:t>
      </w:r>
      <w:proofErr w:type="spellEnd"/>
      <w:r w:rsidR="0080291C">
        <w:t xml:space="preserve"> to be established. See Section </w:t>
      </w:r>
      <w:r w:rsidR="00306798">
        <w:fldChar w:fldCharType="begin"/>
      </w:r>
      <w:r w:rsidR="0080291C">
        <w:instrText xml:space="preserve"> REF _Ref431195995 \r \h </w:instrText>
      </w:r>
      <w:r w:rsidR="00306798">
        <w:fldChar w:fldCharType="separate"/>
      </w:r>
      <w:r w:rsidR="00EB2418">
        <w:t>4.2.4</w:t>
      </w:r>
      <w:r w:rsidR="00306798">
        <w:fldChar w:fldCharType="end"/>
      </w:r>
      <w:r w:rsidR="0080291C" w:rsidRPr="00546EED">
        <w:t xml:space="preserve"> for the results of Scenario </w:t>
      </w:r>
      <w:r w:rsidR="0080291C">
        <w:t>4</w:t>
      </w:r>
      <w:r w:rsidR="0080291C" w:rsidRPr="00546EED">
        <w:t>.</w:t>
      </w:r>
    </w:p>
    <w:p w:rsidR="005A301A" w:rsidRDefault="005A301A" w:rsidP="005A301A">
      <w:pPr>
        <w:pStyle w:val="Heading2"/>
      </w:pPr>
      <w:bookmarkStart w:id="75" w:name="_Toc431395691"/>
      <w:bookmarkStart w:id="76" w:name="_Toc431207329"/>
      <w:bookmarkStart w:id="77" w:name="_Toc431207330"/>
      <w:bookmarkStart w:id="78" w:name="_Toc440006854"/>
      <w:bookmarkEnd w:id="75"/>
      <w:bookmarkEnd w:id="76"/>
      <w:bookmarkEnd w:id="77"/>
      <w:r>
        <w:lastRenderedPageBreak/>
        <w:t>Results</w:t>
      </w:r>
      <w:r w:rsidR="0035237B">
        <w:t xml:space="preserve"> and discussion</w:t>
      </w:r>
      <w:bookmarkEnd w:id="78"/>
    </w:p>
    <w:p w:rsidR="00334758" w:rsidRDefault="0035237B" w:rsidP="00334758">
      <w:r>
        <w:t xml:space="preserve">This section presents the results of running the above described four scenarios through </w:t>
      </w:r>
      <w:r w:rsidR="00C07943">
        <w:t xml:space="preserve">the </w:t>
      </w:r>
      <w:r>
        <w:t>allocation price m</w:t>
      </w:r>
      <w:r w:rsidR="00F1381A">
        <w:t xml:space="preserve">odel. </w:t>
      </w:r>
      <w:r w:rsidR="00E730C2">
        <w:t>A</w:t>
      </w:r>
      <w:r>
        <w:t xml:space="preserve"> discussion of the results is also presented.</w:t>
      </w:r>
    </w:p>
    <w:p w:rsidR="00EA04A2" w:rsidRDefault="000E7FBB" w:rsidP="00EA04A2">
      <w:pPr>
        <w:pStyle w:val="Heading3"/>
      </w:pPr>
      <w:bookmarkStart w:id="79" w:name="_Ref431213215"/>
      <w:bookmarkStart w:id="80" w:name="_Ref431191502"/>
      <w:r w:rsidRPr="000E7FBB">
        <w:t>Scenario 1 – Impact of water availability on historical allocation prices</w:t>
      </w:r>
      <w:bookmarkEnd w:id="79"/>
    </w:p>
    <w:p w:rsidR="003901D3" w:rsidRDefault="003901D3" w:rsidP="003901D3">
      <w:pPr>
        <w:pStyle w:val="BoxHeading"/>
      </w:pPr>
      <w:r>
        <w:t>Scenario 1</w:t>
      </w:r>
    </w:p>
    <w:p w:rsidR="003901D3" w:rsidRDefault="003901D3" w:rsidP="003901D3">
      <w:pPr>
        <w:pStyle w:val="BoxText"/>
      </w:pPr>
      <w:r>
        <w:t>S</w:t>
      </w:r>
      <w:r w:rsidRPr="003901D3">
        <w:t xml:space="preserve">cenario </w:t>
      </w:r>
      <w:r>
        <w:t>1 tests</w:t>
      </w:r>
      <w:r w:rsidRPr="003901D3">
        <w:t xml:space="preserve"> the impact that changes to water availability </w:t>
      </w:r>
      <w:r w:rsidR="006503B8">
        <w:t>has</w:t>
      </w:r>
      <w:r w:rsidR="006503B8" w:rsidRPr="003901D3">
        <w:t xml:space="preserve"> </w:t>
      </w:r>
      <w:r w:rsidRPr="003901D3">
        <w:t xml:space="preserve">on historical allocation prices. Testing this scenario involved comparing actual and modelled prices for past years to demonstrate the significant impact </w:t>
      </w:r>
      <w:r w:rsidR="006503B8">
        <w:t>that</w:t>
      </w:r>
      <w:r w:rsidR="006503B8" w:rsidRPr="003901D3">
        <w:t xml:space="preserve"> </w:t>
      </w:r>
      <w:r w:rsidRPr="003901D3">
        <w:t>water availability has on annual median allocation price</w:t>
      </w:r>
      <w:r w:rsidR="006503B8">
        <w:t>s</w:t>
      </w:r>
      <w:r w:rsidRPr="003901D3">
        <w:t xml:space="preserve">. </w:t>
      </w:r>
    </w:p>
    <w:p w:rsidR="003B4E7E" w:rsidRDefault="00EA04A2" w:rsidP="00592F62">
      <w:r>
        <w:t xml:space="preserve">As discussed in Section </w:t>
      </w:r>
      <w:r w:rsidR="00306798">
        <w:fldChar w:fldCharType="begin"/>
      </w:r>
      <w:r>
        <w:instrText xml:space="preserve"> REF _Ref431196703 \r \h </w:instrText>
      </w:r>
      <w:r w:rsidR="00306798">
        <w:fldChar w:fldCharType="separate"/>
      </w:r>
      <w:r w:rsidR="00EB2418">
        <w:t>2.2</w:t>
      </w:r>
      <w:r w:rsidR="00306798">
        <w:fldChar w:fldCharType="end"/>
      </w:r>
      <w:r>
        <w:t xml:space="preserve">, </w:t>
      </w:r>
      <w:r w:rsidRPr="00EA04A2">
        <w:t xml:space="preserve">water availability </w:t>
      </w:r>
      <w:r>
        <w:t xml:space="preserve">is a major driver of water allocation prices in the </w:t>
      </w:r>
      <w:proofErr w:type="spellStart"/>
      <w:r>
        <w:t>sMDB</w:t>
      </w:r>
      <w:proofErr w:type="spellEnd"/>
      <w:r>
        <w:t xml:space="preserve">. </w:t>
      </w:r>
      <w:r w:rsidR="00306798">
        <w:fldChar w:fldCharType="begin"/>
      </w:r>
      <w:r w:rsidR="00AF3557">
        <w:instrText xml:space="preserve"> REF _Ref431482632 \h </w:instrText>
      </w:r>
      <w:r w:rsidR="00306798">
        <w:fldChar w:fldCharType="separate"/>
      </w:r>
      <w:r w:rsidR="00EB2418">
        <w:t xml:space="preserve">Figure </w:t>
      </w:r>
      <w:r w:rsidR="00EB2418">
        <w:rPr>
          <w:noProof/>
        </w:rPr>
        <w:t>6</w:t>
      </w:r>
      <w:r w:rsidR="00306798">
        <w:fldChar w:fldCharType="end"/>
      </w:r>
      <w:r w:rsidR="00AF3557">
        <w:t xml:space="preserve"> </w:t>
      </w:r>
      <w:r>
        <w:t xml:space="preserve">below plots observed historical allocation prices against </w:t>
      </w:r>
      <w:r w:rsidR="00C07943">
        <w:t xml:space="preserve">the </w:t>
      </w:r>
      <w:r>
        <w:t>modelled historical allocation prices</w:t>
      </w:r>
      <w:r w:rsidR="00DC1F93">
        <w:t xml:space="preserve">, </w:t>
      </w:r>
      <w:r>
        <w:t xml:space="preserve">total water </w:t>
      </w:r>
      <w:r w:rsidR="002760F5">
        <w:t>allocated that is available for consumptive</w:t>
      </w:r>
      <w:r>
        <w:t xml:space="preserve"> use</w:t>
      </w:r>
      <w:r w:rsidR="00DC1F93">
        <w:t xml:space="preserve"> and water allocated to Commonwealth </w:t>
      </w:r>
      <w:r w:rsidR="00585E5A">
        <w:t xml:space="preserve">water </w:t>
      </w:r>
      <w:r w:rsidR="00167D4C">
        <w:t>purchases</w:t>
      </w:r>
      <w:r>
        <w:t xml:space="preserve">. </w:t>
      </w:r>
      <w:r w:rsidR="00F1381A">
        <w:t xml:space="preserve">Observed </w:t>
      </w:r>
      <w:r w:rsidR="00063948">
        <w:t xml:space="preserve">and modelled </w:t>
      </w:r>
      <w:r w:rsidR="00F1381A">
        <w:t xml:space="preserve">changes in allocation prices in </w:t>
      </w:r>
      <w:r w:rsidR="00306798">
        <w:fldChar w:fldCharType="begin"/>
      </w:r>
      <w:r w:rsidR="00AF3557">
        <w:instrText xml:space="preserve"> REF _Ref431482632 \h </w:instrText>
      </w:r>
      <w:r w:rsidR="00306798">
        <w:fldChar w:fldCharType="separate"/>
      </w:r>
      <w:r w:rsidR="00EB2418">
        <w:t xml:space="preserve">Figure </w:t>
      </w:r>
      <w:r w:rsidR="00EB2418">
        <w:rPr>
          <w:noProof/>
        </w:rPr>
        <w:t>6</w:t>
      </w:r>
      <w:r w:rsidR="00306798">
        <w:fldChar w:fldCharType="end"/>
      </w:r>
      <w:r w:rsidR="00AF3557">
        <w:t xml:space="preserve"> </w:t>
      </w:r>
      <w:r w:rsidR="00F1381A">
        <w:t>reinforce</w:t>
      </w:r>
      <w:r>
        <w:t xml:space="preserve"> the strong correlation between water </w:t>
      </w:r>
      <w:r w:rsidR="002760F5">
        <w:t>allocated that is available for consumptive</w:t>
      </w:r>
      <w:r>
        <w:t xml:space="preserve"> use and </w:t>
      </w:r>
      <w:r w:rsidR="008F37A4">
        <w:t xml:space="preserve">water </w:t>
      </w:r>
      <w:r>
        <w:t xml:space="preserve">allocation prices. </w:t>
      </w:r>
    </w:p>
    <w:p w:rsidR="000522C9" w:rsidRDefault="000E7FBB" w:rsidP="000522C9">
      <w:r>
        <w:rPr>
          <w:noProof/>
        </w:rPr>
        <w:drawing>
          <wp:inline distT="0" distB="0" distL="0" distR="0">
            <wp:extent cx="5727700" cy="2240202"/>
            <wp:effectExtent l="0" t="0" r="635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011" cy="2241497"/>
                    </a:xfrm>
                    <a:prstGeom prst="rect">
                      <a:avLst/>
                    </a:prstGeom>
                    <a:noFill/>
                  </pic:spPr>
                </pic:pic>
              </a:graphicData>
            </a:graphic>
          </wp:inline>
        </w:drawing>
      </w:r>
    </w:p>
    <w:p w:rsidR="000E7FBB" w:rsidRDefault="000E7FBB" w:rsidP="000E7FBB">
      <w:pPr>
        <w:pStyle w:val="TFNoteSourceTab"/>
      </w:pPr>
      <w:r w:rsidRPr="00776F13">
        <w:t>Note:</w:t>
      </w:r>
      <w:r w:rsidRPr="00776F13">
        <w:tab/>
        <w:t>Prices reported are annual medians and are real – adjusted for inflation</w:t>
      </w:r>
      <w:r>
        <w:t xml:space="preserve"> based on annual CPI data from the Australian Bureau of Statistics</w:t>
      </w:r>
      <w:r w:rsidRPr="00776F13">
        <w:t xml:space="preserve"> ($ per ML).</w:t>
      </w:r>
      <w:r w:rsidRPr="00D46A1C">
        <w:t xml:space="preserve"> </w:t>
      </w:r>
      <w:r>
        <w:t>The total volume of water allocated to Commonwealth water purchases is reported based on the year to year cumulative portfolio growth (i.e. it is not just purchases in that year).</w:t>
      </w:r>
    </w:p>
    <w:p w:rsidR="000E7FBB" w:rsidRDefault="000E7FBB" w:rsidP="000E7FBB">
      <w:pPr>
        <w:pStyle w:val="TFNoteSourceTab"/>
      </w:pPr>
      <w:r w:rsidRPr="00776F13">
        <w:t>Source:</w:t>
      </w:r>
      <w:r w:rsidRPr="00776F13">
        <w:tab/>
      </w:r>
      <w:proofErr w:type="spellStart"/>
      <w:r w:rsidRPr="00776F13">
        <w:t>Aither</w:t>
      </w:r>
      <w:proofErr w:type="spellEnd"/>
      <w:r w:rsidRPr="00776F13">
        <w:t xml:space="preserve"> 2015. </w:t>
      </w:r>
      <w:proofErr w:type="gramStart"/>
      <w:r w:rsidRPr="00776F13">
        <w:t>New South Wales Water Register, South Australian Water Register and Victorian Water Register.</w:t>
      </w:r>
      <w:proofErr w:type="gramEnd"/>
      <w:r w:rsidRPr="00776F13">
        <w:t xml:space="preserve"> Based on Commonwealth water purchase data provided to </w:t>
      </w:r>
      <w:proofErr w:type="spellStart"/>
      <w:r w:rsidRPr="00776F13">
        <w:t>Aither</w:t>
      </w:r>
      <w:proofErr w:type="spellEnd"/>
      <w:r w:rsidRPr="00776F13">
        <w:t xml:space="preserve"> by the Department of the Environment.</w:t>
      </w:r>
      <w:r w:rsidRPr="00776F13" w:rsidDel="00C64D7C">
        <w:t xml:space="preserve"> </w:t>
      </w:r>
    </w:p>
    <w:p w:rsidR="000522C9" w:rsidRDefault="000522C9" w:rsidP="000522C9">
      <w:pPr>
        <w:pStyle w:val="Caption"/>
      </w:pPr>
      <w:bookmarkStart w:id="81" w:name="_Ref431482632"/>
      <w:bookmarkStart w:id="82" w:name="_Toc440006876"/>
      <w:r>
        <w:t xml:space="preserve">Figure </w:t>
      </w:r>
      <w:r w:rsidR="00306798">
        <w:fldChar w:fldCharType="begin"/>
      </w:r>
      <w:r w:rsidR="00531166">
        <w:instrText xml:space="preserve"> SEQ Figure \* ARABIC </w:instrText>
      </w:r>
      <w:r w:rsidR="00306798">
        <w:fldChar w:fldCharType="separate"/>
      </w:r>
      <w:r w:rsidR="00EB2418">
        <w:rPr>
          <w:noProof/>
        </w:rPr>
        <w:t>6</w:t>
      </w:r>
      <w:r w:rsidR="00306798">
        <w:rPr>
          <w:noProof/>
        </w:rPr>
        <w:fldChar w:fldCharType="end"/>
      </w:r>
      <w:bookmarkEnd w:id="81"/>
      <w:r>
        <w:tab/>
      </w:r>
      <w:r w:rsidR="000E7FBB" w:rsidRPr="000E7FBB">
        <w:t>Observed and modelled historical water allocation prices against water allocated to all consumptive and Commonwealth purchased entitlements, 1998-99 to 2014-15</w:t>
      </w:r>
      <w:bookmarkEnd w:id="82"/>
      <w:r>
        <w:t xml:space="preserve"> </w:t>
      </w:r>
    </w:p>
    <w:p w:rsidR="000E7FBB" w:rsidRDefault="000E7FBB">
      <w:pPr>
        <w:spacing w:after="0" w:line="240" w:lineRule="auto"/>
      </w:pPr>
    </w:p>
    <w:p w:rsidR="00667330" w:rsidRDefault="000522C9" w:rsidP="00592F62">
      <w:r>
        <w:t>As shown in</w:t>
      </w:r>
      <w:r w:rsidR="00AF3557">
        <w:t xml:space="preserve"> </w:t>
      </w:r>
      <w:r w:rsidR="00306798">
        <w:fldChar w:fldCharType="begin"/>
      </w:r>
      <w:r w:rsidR="00AF3557">
        <w:instrText xml:space="preserve"> REF _Ref431482632 \h </w:instrText>
      </w:r>
      <w:r w:rsidR="00306798">
        <w:fldChar w:fldCharType="separate"/>
      </w:r>
      <w:r w:rsidR="00EB2418">
        <w:t xml:space="preserve">Figure </w:t>
      </w:r>
      <w:r w:rsidR="00EB2418">
        <w:rPr>
          <w:noProof/>
        </w:rPr>
        <w:t>6</w:t>
      </w:r>
      <w:r w:rsidR="00306798">
        <w:fldChar w:fldCharType="end"/>
      </w:r>
      <w:r>
        <w:t>, o</w:t>
      </w:r>
      <w:r w:rsidR="003B4E7E">
        <w:t xml:space="preserve">bserved allocation prices climbed dramatically from 2005-06 to 2006-07 based on </w:t>
      </w:r>
      <w:r w:rsidR="00E730C2">
        <w:t xml:space="preserve">deteriorating </w:t>
      </w:r>
      <w:r w:rsidR="00E730C2" w:rsidRPr="003B4E7E">
        <w:t xml:space="preserve">water </w:t>
      </w:r>
      <w:r w:rsidR="000E7FBB">
        <w:t>allocated to all entitlements and rainfall</w:t>
      </w:r>
      <w:r w:rsidR="003B4E7E">
        <w:t>.</w:t>
      </w:r>
      <w:r w:rsidR="003B4E7E">
        <w:rPr>
          <w:rStyle w:val="FootnoteReference"/>
        </w:rPr>
        <w:footnoteReference w:id="23"/>
      </w:r>
      <w:r w:rsidR="003B4E7E">
        <w:t xml:space="preserve"> </w:t>
      </w:r>
      <w:r w:rsidR="00EA04A2">
        <w:t>Th</w:t>
      </w:r>
      <w:r w:rsidR="003B4E7E">
        <w:t>e</w:t>
      </w:r>
      <w:r w:rsidR="00853D2F">
        <w:t xml:space="preserve"> </w:t>
      </w:r>
      <w:r w:rsidR="008F37A4">
        <w:t>continuing</w:t>
      </w:r>
      <w:r w:rsidR="00EA04A2">
        <w:t xml:space="preserve"> </w:t>
      </w:r>
      <w:r w:rsidR="00853D2F">
        <w:t>high</w:t>
      </w:r>
      <w:r w:rsidR="00EA04A2">
        <w:t xml:space="preserve"> </w:t>
      </w:r>
      <w:r w:rsidR="008F37A4">
        <w:t xml:space="preserve">prices from 2006-07 </w:t>
      </w:r>
      <w:r w:rsidR="00063948">
        <w:t xml:space="preserve">and </w:t>
      </w:r>
      <w:r w:rsidR="008F37A4">
        <w:t>2008-09 reflect</w:t>
      </w:r>
      <w:r w:rsidR="00EA04A2">
        <w:t xml:space="preserve"> the extremely poor </w:t>
      </w:r>
      <w:r w:rsidR="00667330">
        <w:t xml:space="preserve">water availability </w:t>
      </w:r>
      <w:r w:rsidR="00EA04A2">
        <w:t xml:space="preserve">experienced during the Millennium drought. </w:t>
      </w:r>
      <w:r w:rsidR="00667330">
        <w:t xml:space="preserve">While water availability was arguably lower in 2007-08 and 2008-09 than 2006-07, which </w:t>
      </w:r>
      <w:r w:rsidR="00667330">
        <w:lastRenderedPageBreak/>
        <w:t>should push prices higher, rainfall</w:t>
      </w:r>
      <w:r w:rsidR="00585E5A">
        <w:t xml:space="preserve"> in </w:t>
      </w:r>
      <w:proofErr w:type="spellStart"/>
      <w:r w:rsidR="00585E5A">
        <w:t>sMDB</w:t>
      </w:r>
      <w:proofErr w:type="spellEnd"/>
      <w:r w:rsidR="00585E5A">
        <w:t xml:space="preserve"> growing regions</w:t>
      </w:r>
      <w:r w:rsidR="00667330">
        <w:t xml:space="preserve"> was lower in 2006-07 than the two years following which pushed more irrigators into the market and</w:t>
      </w:r>
      <w:r w:rsidR="00A3428F">
        <w:t>,</w:t>
      </w:r>
      <w:r w:rsidR="00667330">
        <w:t xml:space="preserve"> thus</w:t>
      </w:r>
      <w:r w:rsidR="00A3428F">
        <w:t>,</w:t>
      </w:r>
      <w:r w:rsidR="00667330">
        <w:t xml:space="preserve"> drove high prices in the 2006-07 water </w:t>
      </w:r>
      <w:proofErr w:type="gramStart"/>
      <w:r w:rsidR="00667330">
        <w:t>year</w:t>
      </w:r>
      <w:proofErr w:type="gramEnd"/>
      <w:r w:rsidR="00667330">
        <w:t xml:space="preserve">. </w:t>
      </w:r>
    </w:p>
    <w:p w:rsidR="0035237B" w:rsidRDefault="00EA04A2" w:rsidP="00592F62">
      <w:r>
        <w:t>The subsequent drop in allocation prices from 2010-11 reflects the breaking of the drought and successive wet years</w:t>
      </w:r>
      <w:r w:rsidR="006A01FA">
        <w:t xml:space="preserve"> (i.e. high </w:t>
      </w:r>
      <w:r w:rsidR="000E7FBB">
        <w:t>water availability</w:t>
      </w:r>
      <w:r w:rsidR="006A01FA">
        <w:t xml:space="preserve"> in</w:t>
      </w:r>
      <w:r w:rsidR="00585E5A">
        <w:t xml:space="preserve"> </w:t>
      </w:r>
      <w:proofErr w:type="spellStart"/>
      <w:r w:rsidR="00585E5A">
        <w:t>sMDB</w:t>
      </w:r>
      <w:proofErr w:type="spellEnd"/>
      <w:r w:rsidR="006A01FA">
        <w:t xml:space="preserve"> growing </w:t>
      </w:r>
      <w:r w:rsidR="00585E5A">
        <w:t>regions</w:t>
      </w:r>
      <w:r w:rsidR="006A01FA">
        <w:t>)</w:t>
      </w:r>
      <w:r>
        <w:t xml:space="preserve">. Since 2011-12, allocation prices have been gradually trending upwards, but that increase intensified in 2014-15 with a more marked reduction in water </w:t>
      </w:r>
      <w:r w:rsidR="002760F5">
        <w:t>allocated that is available for consumptive</w:t>
      </w:r>
      <w:r>
        <w:t xml:space="preserve"> use from 2013-14 to 2014-15, than was the case from 2012-13 to 2013-14.</w:t>
      </w:r>
      <w:r w:rsidDel="00EA04A2">
        <w:t xml:space="preserve"> </w:t>
      </w:r>
      <w:bookmarkEnd w:id="80"/>
    </w:p>
    <w:p w:rsidR="00A3428F" w:rsidRPr="00592F62" w:rsidRDefault="00F6467F" w:rsidP="00A3428F">
      <w:r>
        <w:t>The total volume of water allocated to all entitlements (i.e. including Commonwealth</w:t>
      </w:r>
      <w:r w:rsidR="005A4C20">
        <w:t xml:space="preserve">-held </w:t>
      </w:r>
      <w:r>
        <w:t>water) has been declining since 2012-13, contributing to rising prices</w:t>
      </w:r>
      <w:r w:rsidR="00E407FF">
        <w:t xml:space="preserve"> over that period of time</w:t>
      </w:r>
      <w:r>
        <w:t xml:space="preserve">. </w:t>
      </w:r>
      <w:r w:rsidR="00A3428F">
        <w:t xml:space="preserve">Given that the proportion of the total volume of </w:t>
      </w:r>
      <w:r w:rsidR="00A3428F" w:rsidRPr="00C64D7C">
        <w:t xml:space="preserve">water </w:t>
      </w:r>
      <w:r w:rsidR="002760F5">
        <w:t>allocated that is available for consumptive</w:t>
      </w:r>
      <w:r w:rsidR="00A3428F" w:rsidRPr="00C64D7C">
        <w:t xml:space="preserve"> use</w:t>
      </w:r>
      <w:r w:rsidR="00A3428F">
        <w:t xml:space="preserve"> has fallen since 2008-09 because of Commonwealth water purchases</w:t>
      </w:r>
      <w:r w:rsidR="001475DB">
        <w:t>, it is important to understand</w:t>
      </w:r>
      <w:r w:rsidR="00A3428F">
        <w:t xml:space="preserve"> how allocation prices have reacted (</w:t>
      </w:r>
      <w:r w:rsidR="00306798">
        <w:fldChar w:fldCharType="begin"/>
      </w:r>
      <w:r w:rsidR="00A3428F">
        <w:instrText xml:space="preserve"> REF _Ref431482632 \h </w:instrText>
      </w:r>
      <w:r w:rsidR="00306798">
        <w:fldChar w:fldCharType="separate"/>
      </w:r>
      <w:r w:rsidR="00EB2418">
        <w:t xml:space="preserve">Figure </w:t>
      </w:r>
      <w:r w:rsidR="00EB2418">
        <w:rPr>
          <w:noProof/>
        </w:rPr>
        <w:t>6</w:t>
      </w:r>
      <w:r w:rsidR="00306798">
        <w:fldChar w:fldCharType="end"/>
      </w:r>
      <w:r w:rsidR="00A3428F">
        <w:t xml:space="preserve">). The following section models the extent to which </w:t>
      </w:r>
      <w:r w:rsidR="001475DB">
        <w:t xml:space="preserve">Commonwealth </w:t>
      </w:r>
      <w:r w:rsidR="00A3428F">
        <w:t xml:space="preserve">water purchases have </w:t>
      </w:r>
      <w:r w:rsidR="001475DB">
        <w:t>impacted</w:t>
      </w:r>
      <w:r w:rsidR="00A3428F">
        <w:t xml:space="preserve"> historical</w:t>
      </w:r>
      <w:r w:rsidR="001475DB">
        <w:t xml:space="preserve"> water allocation</w:t>
      </w:r>
      <w:r w:rsidR="00A3428F">
        <w:t xml:space="preserve"> prices</w:t>
      </w:r>
      <w:r w:rsidR="00F20AF8">
        <w:t xml:space="preserve"> as compared to broader climatic conditions</w:t>
      </w:r>
      <w:r w:rsidR="00A3428F">
        <w:t>.</w:t>
      </w:r>
    </w:p>
    <w:p w:rsidR="00EA04A2" w:rsidRDefault="000E7FBB" w:rsidP="00EA04A2">
      <w:pPr>
        <w:pStyle w:val="Heading3"/>
      </w:pPr>
      <w:r w:rsidRPr="000E7FBB">
        <w:t>Scenario 2 – Impact of cumulative Commonwealth water purchases on historical allocation prices between 2007-08 to 2014-15</w:t>
      </w:r>
      <w:bookmarkStart w:id="83" w:name="_Ref431191945"/>
    </w:p>
    <w:p w:rsidR="00667330" w:rsidRDefault="00667330" w:rsidP="0024794E">
      <w:pPr>
        <w:pStyle w:val="BoxHeading"/>
      </w:pPr>
      <w:r>
        <w:t>Scenario 2</w:t>
      </w:r>
    </w:p>
    <w:p w:rsidR="00C62ED2" w:rsidRDefault="00667330" w:rsidP="0024794E">
      <w:pPr>
        <w:pStyle w:val="BoxText"/>
      </w:pPr>
      <w:r>
        <w:t xml:space="preserve">Scenario 2 </w:t>
      </w:r>
      <w:r w:rsidR="0024794E" w:rsidRPr="0024794E">
        <w:t>test</w:t>
      </w:r>
      <w:r w:rsidR="0024794E">
        <w:t>s</w:t>
      </w:r>
      <w:r w:rsidR="0024794E" w:rsidRPr="0024794E">
        <w:t xml:space="preserve"> the potential impact that Commonwealth</w:t>
      </w:r>
      <w:r w:rsidR="00585E5A">
        <w:t xml:space="preserve"> water</w:t>
      </w:r>
      <w:r w:rsidR="0024794E" w:rsidRPr="0024794E">
        <w:t xml:space="preserve"> purchases </w:t>
      </w:r>
      <w:r w:rsidR="0024794E">
        <w:t>have</w:t>
      </w:r>
      <w:r w:rsidR="0024794E" w:rsidRPr="0024794E">
        <w:t xml:space="preserve"> had on historical allocation prices</w:t>
      </w:r>
      <w:r w:rsidR="0024794E">
        <w:t xml:space="preserve">. </w:t>
      </w:r>
      <w:r w:rsidR="0024794E" w:rsidRPr="0024794E">
        <w:t>Testing this scenario involved compar</w:t>
      </w:r>
      <w:r w:rsidR="0024794E">
        <w:t>ing</w:t>
      </w:r>
      <w:r w:rsidR="0024794E" w:rsidRPr="0024794E">
        <w:t xml:space="preserve"> modelled historical allocation prices (Scenario 1 – base-case) against modelled historical allocation prices if purchases (from 2007-08 to 2014-15) had not occurred and allocations to water purchased by the Commonwealth </w:t>
      </w:r>
      <w:r w:rsidR="00E2734B">
        <w:t>were</w:t>
      </w:r>
      <w:r w:rsidR="0024794E" w:rsidRPr="0024794E">
        <w:t xml:space="preserve"> still available for consumptive use. </w:t>
      </w:r>
    </w:p>
    <w:p w:rsidR="00AD46E7" w:rsidRDefault="00AD46E7" w:rsidP="00C62ED2">
      <w:r>
        <w:t>The outputs of this scenario</w:t>
      </w:r>
      <w:r w:rsidR="00447E59">
        <w:t>,</w:t>
      </w:r>
      <w:r>
        <w:t xml:space="preserve"> </w:t>
      </w:r>
      <w:r w:rsidR="0057692C">
        <w:t xml:space="preserve">as presented in </w:t>
      </w:r>
      <w:r w:rsidR="00306798">
        <w:fldChar w:fldCharType="begin"/>
      </w:r>
      <w:r w:rsidR="005F3012">
        <w:instrText xml:space="preserve"> REF _Ref431212925 \h </w:instrText>
      </w:r>
      <w:r w:rsidR="00306798">
        <w:fldChar w:fldCharType="separate"/>
      </w:r>
      <w:r w:rsidR="00EB2418">
        <w:t xml:space="preserve">Figure </w:t>
      </w:r>
      <w:r w:rsidR="00EB2418">
        <w:rPr>
          <w:noProof/>
        </w:rPr>
        <w:t>7</w:t>
      </w:r>
      <w:r w:rsidR="00306798">
        <w:fldChar w:fldCharType="end"/>
      </w:r>
      <w:r w:rsidR="00447E59">
        <w:t>,</w:t>
      </w:r>
      <w:r w:rsidR="005F3012">
        <w:t xml:space="preserve"> </w:t>
      </w:r>
      <w:r>
        <w:t xml:space="preserve">show that as the </w:t>
      </w:r>
      <w:r w:rsidR="001475DB" w:rsidRPr="000E7FBB">
        <w:t xml:space="preserve">cumulative </w:t>
      </w:r>
      <w:r>
        <w:t xml:space="preserve">portfolio of Commonwealth </w:t>
      </w:r>
      <w:r w:rsidR="00585E5A">
        <w:t xml:space="preserve">water </w:t>
      </w:r>
      <w:r w:rsidR="00167D4C">
        <w:t>purchases</w:t>
      </w:r>
      <w:r>
        <w:t xml:space="preserve"> </w:t>
      </w:r>
      <w:r w:rsidR="001475DB">
        <w:t xml:space="preserve">has </w:t>
      </w:r>
      <w:r>
        <w:t>increased</w:t>
      </w:r>
      <w:r w:rsidR="00447E59">
        <w:t xml:space="preserve"> </w:t>
      </w:r>
      <w:r w:rsidR="005F3012">
        <w:t>since</w:t>
      </w:r>
      <w:r>
        <w:t xml:space="preserve"> </w:t>
      </w:r>
      <w:r w:rsidR="005F3012">
        <w:t>2008-09</w:t>
      </w:r>
      <w:r>
        <w:t>, the potential price impact</w:t>
      </w:r>
      <w:r w:rsidR="005F3012" w:rsidRPr="005F3012">
        <w:t xml:space="preserve"> </w:t>
      </w:r>
      <w:r>
        <w:t>in a given year has also increased</w:t>
      </w:r>
      <w:r w:rsidR="005F3012">
        <w:t xml:space="preserve"> –</w:t>
      </w:r>
      <w:r w:rsidR="00447E59">
        <w:t xml:space="preserve"> </w:t>
      </w:r>
      <w:r w:rsidR="005F3012">
        <w:t xml:space="preserve">reflected by the price difference between the two </w:t>
      </w:r>
      <w:r w:rsidR="006503B8">
        <w:t>annual estimates, with and without Commonwealth purchases</w:t>
      </w:r>
      <w:r w:rsidR="00E407FF">
        <w:t>, in</w:t>
      </w:r>
      <w:r w:rsidR="00447E59">
        <w:t xml:space="preserve"> </w:t>
      </w:r>
      <w:r w:rsidR="00306798">
        <w:fldChar w:fldCharType="begin"/>
      </w:r>
      <w:r w:rsidR="00447E59">
        <w:instrText xml:space="preserve"> REF _Ref431212925 \h </w:instrText>
      </w:r>
      <w:r w:rsidR="00306798">
        <w:fldChar w:fldCharType="separate"/>
      </w:r>
      <w:r w:rsidR="00EB2418">
        <w:t xml:space="preserve">Figure </w:t>
      </w:r>
      <w:r w:rsidR="00EB2418">
        <w:rPr>
          <w:noProof/>
        </w:rPr>
        <w:t>7</w:t>
      </w:r>
      <w:r w:rsidR="00306798">
        <w:fldChar w:fldCharType="end"/>
      </w:r>
      <w:r>
        <w:t xml:space="preserve">. This </w:t>
      </w:r>
      <w:r w:rsidR="005F3012">
        <w:t xml:space="preserve">growth in </w:t>
      </w:r>
      <w:r w:rsidR="00447E59">
        <w:t xml:space="preserve">potential </w:t>
      </w:r>
      <w:r w:rsidR="005F3012">
        <w:t>price impact is</w:t>
      </w:r>
      <w:r>
        <w:t xml:space="preserve"> expected</w:t>
      </w:r>
      <w:r w:rsidR="005F3012">
        <w:t xml:space="preserve"> in that</w:t>
      </w:r>
      <w:r>
        <w:t xml:space="preserve"> as the total</w:t>
      </w:r>
      <w:r w:rsidR="00F906FC">
        <w:t xml:space="preserve"> volume</w:t>
      </w:r>
      <w:r>
        <w:t xml:space="preserve"> of water purchases on behalf of the environment by the Commonwealth</w:t>
      </w:r>
      <w:r w:rsidR="00BC5E0E">
        <w:t xml:space="preserve"> Government</w:t>
      </w:r>
      <w:r>
        <w:t xml:space="preserve"> increases, so does the total volume of water being removed from </w:t>
      </w:r>
      <w:r w:rsidR="00447E59">
        <w:t xml:space="preserve">the volume of water </w:t>
      </w:r>
      <w:r w:rsidR="002760F5">
        <w:t>allocated that is available for consumptive</w:t>
      </w:r>
      <w:r>
        <w:t xml:space="preserve"> </w:t>
      </w:r>
      <w:r w:rsidR="00447E59">
        <w:t xml:space="preserve">use </w:t>
      </w:r>
      <w:r>
        <w:t>(i.e. supply is decreasing</w:t>
      </w:r>
      <w:r w:rsidR="00F906FC">
        <w:t xml:space="preserve"> as </w:t>
      </w:r>
      <w:r w:rsidR="006503B8">
        <w:t xml:space="preserve">Commonwealth </w:t>
      </w:r>
      <w:r w:rsidR="00F906FC">
        <w:t>purchases increase</w:t>
      </w:r>
      <w:r>
        <w:t xml:space="preserve">). </w:t>
      </w:r>
    </w:p>
    <w:p w:rsidR="005F3012" w:rsidRDefault="00306798" w:rsidP="00592F62">
      <w:r>
        <w:fldChar w:fldCharType="begin"/>
      </w:r>
      <w:r w:rsidR="005F3012">
        <w:instrText xml:space="preserve"> REF _Ref431212925 \h </w:instrText>
      </w:r>
      <w:r>
        <w:fldChar w:fldCharType="separate"/>
      </w:r>
      <w:r w:rsidR="00EB2418">
        <w:t xml:space="preserve">Figure </w:t>
      </w:r>
      <w:r w:rsidR="00EB2418">
        <w:rPr>
          <w:noProof/>
        </w:rPr>
        <w:t>7</w:t>
      </w:r>
      <w:r>
        <w:fldChar w:fldCharType="end"/>
      </w:r>
      <w:r w:rsidR="005F3012">
        <w:t xml:space="preserve"> also highlights the large shifts in allocation prices between years </w:t>
      </w:r>
      <w:r w:rsidR="000522C9">
        <w:t xml:space="preserve">as a result of water availability </w:t>
      </w:r>
      <w:r w:rsidR="005F3012">
        <w:t xml:space="preserve">in comparison to the potential price impact that </w:t>
      </w:r>
      <w:r w:rsidR="005F3012" w:rsidRPr="005F3012">
        <w:t xml:space="preserve">Commonwealth </w:t>
      </w:r>
      <w:r w:rsidR="00585E5A">
        <w:t xml:space="preserve">water </w:t>
      </w:r>
      <w:r w:rsidR="00167D4C">
        <w:t>purchases</w:t>
      </w:r>
      <w:r w:rsidR="005F3012" w:rsidRPr="005F3012">
        <w:t xml:space="preserve"> </w:t>
      </w:r>
      <w:r w:rsidR="00167D4C">
        <w:t xml:space="preserve">have </w:t>
      </w:r>
      <w:r w:rsidR="005F3012">
        <w:t xml:space="preserve">in a given year. </w:t>
      </w:r>
      <w:r w:rsidR="000522C9">
        <w:t xml:space="preserve">As previously </w:t>
      </w:r>
      <w:r w:rsidR="009D7D1E">
        <w:t xml:space="preserve">explained in Section </w:t>
      </w:r>
      <w:r>
        <w:fldChar w:fldCharType="begin"/>
      </w:r>
      <w:r w:rsidR="009D7D1E">
        <w:instrText xml:space="preserve"> REF _Ref431213215 \r \h </w:instrText>
      </w:r>
      <w:r>
        <w:fldChar w:fldCharType="separate"/>
      </w:r>
      <w:r w:rsidR="00EB2418">
        <w:t>4.2.1</w:t>
      </w:r>
      <w:r>
        <w:fldChar w:fldCharType="end"/>
      </w:r>
      <w:r w:rsidR="009D7D1E">
        <w:t xml:space="preserve">, </w:t>
      </w:r>
      <w:r w:rsidR="001475DB">
        <w:t xml:space="preserve">the total volume of water </w:t>
      </w:r>
      <w:r w:rsidR="002760F5">
        <w:t xml:space="preserve">allocated </w:t>
      </w:r>
      <w:r w:rsidR="006503B8">
        <w:t xml:space="preserve">to </w:t>
      </w:r>
      <w:r w:rsidR="002760F5">
        <w:t>consumptive</w:t>
      </w:r>
      <w:r w:rsidR="001475DB">
        <w:t xml:space="preserve"> use </w:t>
      </w:r>
      <w:r w:rsidR="001C1491">
        <w:t xml:space="preserve">has fluctuated substantially and </w:t>
      </w:r>
      <w:r w:rsidR="00C1314E">
        <w:t xml:space="preserve">that </w:t>
      </w:r>
      <w:r w:rsidR="000522C9">
        <w:t xml:space="preserve">has </w:t>
      </w:r>
      <w:r w:rsidR="001C1491">
        <w:t>primarily</w:t>
      </w:r>
      <w:r w:rsidR="000522C9">
        <w:t xml:space="preserve"> driven</w:t>
      </w:r>
      <w:r w:rsidR="005F3012">
        <w:t xml:space="preserve"> </w:t>
      </w:r>
      <w:r w:rsidR="001C1491">
        <w:t xml:space="preserve">the </w:t>
      </w:r>
      <w:r w:rsidR="005F3012">
        <w:t xml:space="preserve">large </w:t>
      </w:r>
      <w:r w:rsidR="001C1491">
        <w:t xml:space="preserve">allocation </w:t>
      </w:r>
      <w:r w:rsidR="005F3012">
        <w:t xml:space="preserve">price shifts </w:t>
      </w:r>
      <w:r w:rsidR="001C1491">
        <w:t xml:space="preserve">observed </w:t>
      </w:r>
      <w:r w:rsidR="005F3012">
        <w:t xml:space="preserve">between years. In this context, the </w:t>
      </w:r>
      <w:r w:rsidR="005F3012" w:rsidRPr="005F3012">
        <w:t xml:space="preserve">potential </w:t>
      </w:r>
      <w:r w:rsidR="005F3012">
        <w:t xml:space="preserve">historical </w:t>
      </w:r>
      <w:r w:rsidR="005F3012" w:rsidRPr="005F3012">
        <w:t xml:space="preserve">price impact that Commonwealth </w:t>
      </w:r>
      <w:r w:rsidR="00585E5A">
        <w:t xml:space="preserve">water </w:t>
      </w:r>
      <w:r w:rsidR="00167D4C">
        <w:t>purchases</w:t>
      </w:r>
      <w:r w:rsidR="005F3012" w:rsidRPr="005F3012">
        <w:t xml:space="preserve"> </w:t>
      </w:r>
      <w:r w:rsidR="00167D4C">
        <w:t xml:space="preserve">have </w:t>
      </w:r>
      <w:r w:rsidR="00447E59">
        <w:t xml:space="preserve">had </w:t>
      </w:r>
      <w:r w:rsidR="005F3012">
        <w:t xml:space="preserve">is relatively </w:t>
      </w:r>
      <w:r w:rsidR="00D6647E">
        <w:t xml:space="preserve">modest </w:t>
      </w:r>
      <w:r w:rsidR="005F3012">
        <w:t xml:space="preserve">compared to </w:t>
      </w:r>
      <w:proofErr w:type="gramStart"/>
      <w:r w:rsidR="005F3012">
        <w:t xml:space="preserve">the </w:t>
      </w:r>
      <w:r w:rsidR="00F6467F">
        <w:t xml:space="preserve"> </w:t>
      </w:r>
      <w:r w:rsidR="00D6647E">
        <w:t>impact</w:t>
      </w:r>
      <w:proofErr w:type="gramEnd"/>
      <w:r w:rsidR="00D6647E">
        <w:t xml:space="preserve"> of drying climatic conditions and the resultant reduction in </w:t>
      </w:r>
      <w:r w:rsidR="00F6467F">
        <w:t>water availability</w:t>
      </w:r>
      <w:r w:rsidR="005F3012">
        <w:t xml:space="preserve">. </w:t>
      </w:r>
    </w:p>
    <w:p w:rsidR="005F3012" w:rsidRDefault="001475DB" w:rsidP="001475DB">
      <w:r>
        <w:rPr>
          <w:noProof/>
        </w:rPr>
        <w:lastRenderedPageBreak/>
        <w:drawing>
          <wp:inline distT="0" distB="0" distL="0" distR="0">
            <wp:extent cx="5721350" cy="2876541"/>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6210" cy="2878985"/>
                    </a:xfrm>
                    <a:prstGeom prst="rect">
                      <a:avLst/>
                    </a:prstGeom>
                    <a:noFill/>
                  </pic:spPr>
                </pic:pic>
              </a:graphicData>
            </a:graphic>
          </wp:inline>
        </w:drawing>
      </w:r>
    </w:p>
    <w:p w:rsidR="00742C11" w:rsidRDefault="00742C11" w:rsidP="00382D62">
      <w:pPr>
        <w:pStyle w:val="TFNoteSourceTab"/>
      </w:pPr>
      <w:r>
        <w:t>Note:</w:t>
      </w:r>
      <w:r w:rsidR="001475DB">
        <w:tab/>
      </w:r>
      <w:r w:rsidR="001475DB" w:rsidRPr="0073036E">
        <w:t>The total volume of water allocated to Commonwealth water purchases is reported based on the year to year cumulative portfolio</w:t>
      </w:r>
      <w:r w:rsidR="001475DB">
        <w:t xml:space="preserve"> growth</w:t>
      </w:r>
      <w:r w:rsidR="001475DB" w:rsidRPr="0073036E">
        <w:t xml:space="preserve"> (i.e. it is not just purchases in that year).</w:t>
      </w:r>
    </w:p>
    <w:p w:rsidR="005F3012" w:rsidRDefault="005F3012" w:rsidP="00382D62">
      <w:pPr>
        <w:pStyle w:val="TFNoteSourceTab"/>
      </w:pPr>
      <w:r w:rsidRPr="00776F13">
        <w:t>Source:</w:t>
      </w:r>
      <w:r w:rsidRPr="00776F13">
        <w:tab/>
      </w:r>
      <w:proofErr w:type="spellStart"/>
      <w:r w:rsidR="001C1491" w:rsidRPr="00776F13">
        <w:t>Aither</w:t>
      </w:r>
      <w:proofErr w:type="spellEnd"/>
      <w:r w:rsidR="001C1491" w:rsidRPr="00776F13">
        <w:t xml:space="preserve"> 2015. </w:t>
      </w:r>
      <w:proofErr w:type="gramStart"/>
      <w:r w:rsidR="001C1491" w:rsidRPr="00776F13">
        <w:t>New South Wales Water Register, South Australian Water Register and Victorian Water Register.</w:t>
      </w:r>
      <w:proofErr w:type="gramEnd"/>
      <w:r w:rsidR="001C1491" w:rsidRPr="00776F13">
        <w:t xml:space="preserve"> Based on Commonwealth</w:t>
      </w:r>
      <w:r w:rsidR="001C1491" w:rsidRPr="001C1491">
        <w:t xml:space="preserve"> water purchase data provided to </w:t>
      </w:r>
      <w:proofErr w:type="spellStart"/>
      <w:r w:rsidR="001C1491" w:rsidRPr="001C1491">
        <w:t>Aither</w:t>
      </w:r>
      <w:proofErr w:type="spellEnd"/>
      <w:r w:rsidR="001C1491" w:rsidRPr="001C1491">
        <w:t xml:space="preserve"> by the Department of the Environment.</w:t>
      </w:r>
    </w:p>
    <w:p w:rsidR="005F3012" w:rsidRDefault="005F3012" w:rsidP="00756220">
      <w:pPr>
        <w:pStyle w:val="Caption"/>
      </w:pPr>
      <w:bookmarkStart w:id="84" w:name="_Ref431212925"/>
      <w:bookmarkStart w:id="85" w:name="_Toc440006877"/>
      <w:r>
        <w:t xml:space="preserve">Figure </w:t>
      </w:r>
      <w:r w:rsidR="00306798">
        <w:fldChar w:fldCharType="begin"/>
      </w:r>
      <w:r w:rsidR="00531166">
        <w:instrText xml:space="preserve"> SEQ Figure \* ARABIC </w:instrText>
      </w:r>
      <w:r w:rsidR="00306798">
        <w:fldChar w:fldCharType="separate"/>
      </w:r>
      <w:r w:rsidR="00EB2418">
        <w:rPr>
          <w:noProof/>
        </w:rPr>
        <w:t>7</w:t>
      </w:r>
      <w:r w:rsidR="00306798">
        <w:rPr>
          <w:noProof/>
        </w:rPr>
        <w:fldChar w:fldCharType="end"/>
      </w:r>
      <w:bookmarkEnd w:id="84"/>
      <w:r>
        <w:tab/>
      </w:r>
      <w:r w:rsidR="001475DB" w:rsidRPr="001475DB">
        <w:t>Historical water allocation price impact of Commonwealth water purchases, 2008-09 to 2014-15</w:t>
      </w:r>
      <w:bookmarkEnd w:id="85"/>
    </w:p>
    <w:p w:rsidR="00447E59" w:rsidRDefault="00447E59" w:rsidP="00C62ED2"/>
    <w:p w:rsidR="001475DB" w:rsidRDefault="003F114A" w:rsidP="00592F62">
      <w:r>
        <w:t>T</w:t>
      </w:r>
      <w:r w:rsidR="008D55E4">
        <w:t>he</w:t>
      </w:r>
      <w:r w:rsidR="000522C9">
        <w:t xml:space="preserve"> </w:t>
      </w:r>
      <w:r w:rsidR="008D55E4">
        <w:t xml:space="preserve">modelling results </w:t>
      </w:r>
      <w:r w:rsidR="000522C9">
        <w:t xml:space="preserve">confirm </w:t>
      </w:r>
      <w:r w:rsidR="008D55E4">
        <w:t xml:space="preserve">that </w:t>
      </w:r>
      <w:r w:rsidR="00447E59" w:rsidRPr="00447E59">
        <w:t xml:space="preserve">Commonwealth </w:t>
      </w:r>
      <w:r w:rsidR="00585E5A">
        <w:t xml:space="preserve">water </w:t>
      </w:r>
      <w:r w:rsidR="00167D4C">
        <w:t>purchases</w:t>
      </w:r>
      <w:r w:rsidR="00447E59">
        <w:t xml:space="preserve"> ha</w:t>
      </w:r>
      <w:r w:rsidR="00167D4C">
        <w:t>ve</w:t>
      </w:r>
      <w:r w:rsidR="00447E59">
        <w:t xml:space="preserve"> increased allocation prices above </w:t>
      </w:r>
      <w:r w:rsidR="00855EA4">
        <w:t>what</w:t>
      </w:r>
      <w:r w:rsidR="00447E59">
        <w:t xml:space="preserve"> </w:t>
      </w:r>
      <w:r w:rsidR="00C1314E">
        <w:t xml:space="preserve">they </w:t>
      </w:r>
      <w:r w:rsidR="00447E59">
        <w:t xml:space="preserve">would </w:t>
      </w:r>
      <w:r w:rsidR="00855EA4">
        <w:t xml:space="preserve">have </w:t>
      </w:r>
      <w:r w:rsidR="00447E59">
        <w:t>be</w:t>
      </w:r>
      <w:r w:rsidR="00855EA4">
        <w:t>en</w:t>
      </w:r>
      <w:r w:rsidR="00447E59">
        <w:t xml:space="preserve"> had </w:t>
      </w:r>
      <w:r w:rsidR="00C1314E">
        <w:t xml:space="preserve">Commonwealth </w:t>
      </w:r>
      <w:r w:rsidR="00585E5A">
        <w:t xml:space="preserve">water </w:t>
      </w:r>
      <w:r w:rsidR="00167D4C">
        <w:t>purchases</w:t>
      </w:r>
      <w:r w:rsidR="00447E59">
        <w:t xml:space="preserve"> not occurred. </w:t>
      </w:r>
      <w:r w:rsidR="001475DB">
        <w:t>The p</w:t>
      </w:r>
      <w:r w:rsidR="001475DB" w:rsidRPr="005D48E6">
        <w:t xml:space="preserve">otential price impact of </w:t>
      </w:r>
      <w:r w:rsidR="001475DB">
        <w:t>water purchases have increased in dollar terms year on year as the total cumulative volume of water purchased by the Commonwealth has grown.</w:t>
      </w:r>
      <w:r w:rsidR="001475DB" w:rsidRPr="001475DB">
        <w:t xml:space="preserve"> </w:t>
      </w:r>
      <w:r w:rsidR="00D6647E">
        <w:t>As stated above, t</w:t>
      </w:r>
      <w:r w:rsidR="001475DB">
        <w:t xml:space="preserve">his is expected as the growing portfolio of Commonwealth water purchases has gradually reduced the volume of water </w:t>
      </w:r>
      <w:r w:rsidR="002760F5">
        <w:t>allocated that is available for consumptive</w:t>
      </w:r>
      <w:r w:rsidR="001475DB">
        <w:t xml:space="preserve"> use (</w:t>
      </w:r>
      <w:r w:rsidR="00306798">
        <w:fldChar w:fldCharType="begin"/>
      </w:r>
      <w:r w:rsidR="001475DB">
        <w:instrText xml:space="preserve"> REF _Ref431201915 \h </w:instrText>
      </w:r>
      <w:r w:rsidR="00306798">
        <w:fldChar w:fldCharType="separate"/>
      </w:r>
      <w:r w:rsidR="00EB2418" w:rsidRPr="00894869">
        <w:t xml:space="preserve">Table </w:t>
      </w:r>
      <w:r w:rsidR="00EB2418">
        <w:rPr>
          <w:noProof/>
        </w:rPr>
        <w:t>4</w:t>
      </w:r>
      <w:r w:rsidR="00306798">
        <w:fldChar w:fldCharType="end"/>
      </w:r>
      <w:r w:rsidR="001475DB">
        <w:t xml:space="preserve">). </w:t>
      </w:r>
      <w:r w:rsidR="00306798">
        <w:fldChar w:fldCharType="begin"/>
      </w:r>
      <w:r w:rsidR="00447E59">
        <w:instrText xml:space="preserve"> REF _Ref431201915 \h </w:instrText>
      </w:r>
      <w:r w:rsidR="00306798">
        <w:fldChar w:fldCharType="separate"/>
      </w:r>
      <w:r w:rsidR="00EB2418" w:rsidRPr="00894869">
        <w:t xml:space="preserve">Table </w:t>
      </w:r>
      <w:r w:rsidR="00EB2418">
        <w:rPr>
          <w:noProof/>
        </w:rPr>
        <w:t>4</w:t>
      </w:r>
      <w:r w:rsidR="00306798">
        <w:fldChar w:fldCharType="end"/>
      </w:r>
      <w:r w:rsidR="00447E59">
        <w:t xml:space="preserve"> shows the</w:t>
      </w:r>
      <w:r w:rsidR="00AD46E7">
        <w:t xml:space="preserve"> </w:t>
      </w:r>
      <w:r w:rsidR="00C1314E">
        <w:t xml:space="preserve">modelled </w:t>
      </w:r>
      <w:r w:rsidR="00242FFA">
        <w:t>past</w:t>
      </w:r>
      <w:r w:rsidR="00C1314E">
        <w:t xml:space="preserve"> </w:t>
      </w:r>
      <w:r w:rsidR="00AD46E7">
        <w:t xml:space="preserve">impact of Commonwealth </w:t>
      </w:r>
      <w:r w:rsidR="00585E5A">
        <w:t xml:space="preserve">water </w:t>
      </w:r>
      <w:r w:rsidR="00167D4C">
        <w:t>purchases</w:t>
      </w:r>
      <w:r w:rsidR="00AD46E7">
        <w:t xml:space="preserve"> </w:t>
      </w:r>
      <w:r w:rsidR="00447E59">
        <w:t xml:space="preserve">on </w:t>
      </w:r>
      <w:r w:rsidR="00C1314E">
        <w:t xml:space="preserve">annual median </w:t>
      </w:r>
      <w:r w:rsidR="00447E59">
        <w:t xml:space="preserve">allocation prices in the </w:t>
      </w:r>
      <w:proofErr w:type="spellStart"/>
      <w:r w:rsidR="00447E59">
        <w:t>sMDB</w:t>
      </w:r>
      <w:proofErr w:type="spellEnd"/>
      <w:r w:rsidR="005D48E6">
        <w:t xml:space="preserve">.  </w:t>
      </w:r>
    </w:p>
    <w:p w:rsidR="00853D2F" w:rsidRDefault="00063948" w:rsidP="00592F62">
      <w:r>
        <w:t xml:space="preserve">The </w:t>
      </w:r>
      <w:r w:rsidR="001475DB">
        <w:t xml:space="preserve">portfolio of </w:t>
      </w:r>
      <w:r>
        <w:t xml:space="preserve">Commonwealth </w:t>
      </w:r>
      <w:r w:rsidR="00585E5A">
        <w:t xml:space="preserve">water </w:t>
      </w:r>
      <w:r w:rsidR="00167D4C">
        <w:t>purchases</w:t>
      </w:r>
      <w:r>
        <w:t xml:space="preserve"> is dominated by higher reliability entitlements which means </w:t>
      </w:r>
      <w:r w:rsidR="00855EA4">
        <w:t xml:space="preserve">that as </w:t>
      </w:r>
      <w:r w:rsidR="001475DB">
        <w:t xml:space="preserve">the </w:t>
      </w:r>
      <w:r w:rsidR="00855EA4">
        <w:t>total</w:t>
      </w:r>
      <w:r w:rsidR="001475DB">
        <w:t xml:space="preserve"> volume of</w:t>
      </w:r>
      <w:r w:rsidR="00855EA4">
        <w:t xml:space="preserve"> water </w:t>
      </w:r>
      <w:r w:rsidR="001475DB">
        <w:t>allocated to all entitlements declines</w:t>
      </w:r>
      <w:r w:rsidR="00825360">
        <w:t xml:space="preserve"> (especially </w:t>
      </w:r>
      <w:r w:rsidR="00C1314E">
        <w:t xml:space="preserve">allocations to </w:t>
      </w:r>
      <w:r w:rsidR="00825360">
        <w:t>low reliability entitlements)</w:t>
      </w:r>
      <w:r w:rsidR="00855EA4">
        <w:t xml:space="preserve">, total </w:t>
      </w:r>
      <w:r w:rsidR="001475DB">
        <w:t>w</w:t>
      </w:r>
      <w:r w:rsidR="001475DB" w:rsidRPr="001475DB">
        <w:t>ater allocated to Commonwealth water purchases</w:t>
      </w:r>
      <w:r w:rsidR="001475DB" w:rsidRPr="001475DB" w:rsidDel="001475DB">
        <w:t xml:space="preserve"> </w:t>
      </w:r>
      <w:r w:rsidR="00855EA4">
        <w:t>also decline</w:t>
      </w:r>
      <w:r w:rsidR="001475DB">
        <w:t>s</w:t>
      </w:r>
      <w:r>
        <w:t>, but not by as much in percentage terms</w:t>
      </w:r>
      <w:r w:rsidR="00825360">
        <w:t xml:space="preserve"> because the </w:t>
      </w:r>
      <w:r w:rsidR="00825360" w:rsidRPr="00825360">
        <w:t>Commonwealth</w:t>
      </w:r>
      <w:r w:rsidR="00D43155">
        <w:t>’s portfolio has a larger proportion of</w:t>
      </w:r>
      <w:r w:rsidR="00825360">
        <w:t xml:space="preserve"> high reliably entitlements</w:t>
      </w:r>
      <w:r>
        <w:t>.</w:t>
      </w:r>
    </w:p>
    <w:p w:rsidR="0023649F" w:rsidRPr="00592F62" w:rsidRDefault="0023649F" w:rsidP="00592F62">
      <w:r>
        <w:t xml:space="preserve">These results are consistent with the </w:t>
      </w:r>
      <w:r w:rsidR="007C5180">
        <w:t xml:space="preserve">existing estimates </w:t>
      </w:r>
      <w:r w:rsidR="001361C6">
        <w:t xml:space="preserve">of the impact of </w:t>
      </w:r>
      <w:r w:rsidR="001361C6" w:rsidRPr="00447E59">
        <w:t xml:space="preserve">Commonwealth </w:t>
      </w:r>
      <w:r w:rsidR="00585E5A">
        <w:t xml:space="preserve">water </w:t>
      </w:r>
      <w:r w:rsidR="00167D4C">
        <w:t>purchases</w:t>
      </w:r>
      <w:r w:rsidR="001361C6">
        <w:t xml:space="preserve"> in the </w:t>
      </w:r>
      <w:proofErr w:type="spellStart"/>
      <w:r w:rsidR="007C5180">
        <w:t>sMDB</w:t>
      </w:r>
      <w:proofErr w:type="spellEnd"/>
      <w:r>
        <w:t xml:space="preserve">. </w:t>
      </w:r>
      <w:r w:rsidR="006349F8">
        <w:t>Elasticity</w:t>
      </w:r>
      <w:r>
        <w:t xml:space="preserve"> can be calculated for each year in </w:t>
      </w:r>
      <w:r w:rsidR="00306798">
        <w:fldChar w:fldCharType="begin"/>
      </w:r>
      <w:r>
        <w:instrText xml:space="preserve"> REF _Ref431201915 \h </w:instrText>
      </w:r>
      <w:r w:rsidR="00306798">
        <w:fldChar w:fldCharType="separate"/>
      </w:r>
      <w:r w:rsidR="00EB2418" w:rsidRPr="00894869">
        <w:t xml:space="preserve">Table </w:t>
      </w:r>
      <w:r w:rsidR="00EB2418">
        <w:rPr>
          <w:noProof/>
        </w:rPr>
        <w:t>4</w:t>
      </w:r>
      <w:r w:rsidR="00306798">
        <w:fldChar w:fldCharType="end"/>
      </w:r>
      <w:r>
        <w:t>, showing the percent</w:t>
      </w:r>
      <w:r w:rsidR="00D43155">
        <w:t>age</w:t>
      </w:r>
      <w:r w:rsidR="00454245">
        <w:t xml:space="preserve"> </w:t>
      </w:r>
      <w:r w:rsidR="00A3428F">
        <w:t xml:space="preserve">change in quantity for a one per cent increase in price. The smaller the elasticity, the larger the price effects of a given reduction in water availability. Between 2010-11 and 2014-15 the estimated elasticity was between -0.5 and -0.7. This is larger than the elasticity of -0.3 estimated by Hone et al. (2010), but smaller than the </w:t>
      </w:r>
      <w:proofErr w:type="spellStart"/>
      <w:r w:rsidR="00A3428F">
        <w:t>elasticities</w:t>
      </w:r>
      <w:proofErr w:type="spellEnd"/>
      <w:r w:rsidR="00A3428F">
        <w:t xml:space="preserve"> of -0.8 to -1.9 estimated by Bell et al. (2007).</w:t>
      </w:r>
      <w:r w:rsidR="00742C11">
        <w:rPr>
          <w:rStyle w:val="FootnoteReference"/>
        </w:rPr>
        <w:footnoteReference w:id="24"/>
      </w:r>
      <w:r w:rsidR="00A3428F">
        <w:t xml:space="preserve"> This means that </w:t>
      </w:r>
      <w:r w:rsidR="00C07943">
        <w:t>the</w:t>
      </w:r>
      <w:r w:rsidR="00A3428F">
        <w:t xml:space="preserve"> modelling approach returns a result that likely does not overstate the impact of Commonwealth water purchases in these years. </w:t>
      </w:r>
    </w:p>
    <w:p w:rsidR="009A6323" w:rsidRPr="00CC1CF7" w:rsidRDefault="009A6323" w:rsidP="009A6323">
      <w:pPr>
        <w:pStyle w:val="Caption"/>
      </w:pPr>
      <w:bookmarkStart w:id="86" w:name="_Ref431201915"/>
      <w:bookmarkStart w:id="87" w:name="_Toc440006862"/>
      <w:bookmarkEnd w:id="83"/>
      <w:r w:rsidRPr="00894869">
        <w:lastRenderedPageBreak/>
        <w:t xml:space="preserve">Table </w:t>
      </w:r>
      <w:r w:rsidR="00306798">
        <w:fldChar w:fldCharType="begin"/>
      </w:r>
      <w:r w:rsidR="00531166">
        <w:instrText xml:space="preserve"> SEQ Table \* ARABIC </w:instrText>
      </w:r>
      <w:r w:rsidR="00306798">
        <w:fldChar w:fldCharType="separate"/>
      </w:r>
      <w:r w:rsidR="00EB2418">
        <w:rPr>
          <w:noProof/>
        </w:rPr>
        <w:t>4</w:t>
      </w:r>
      <w:r w:rsidR="00306798">
        <w:rPr>
          <w:noProof/>
        </w:rPr>
        <w:fldChar w:fldCharType="end"/>
      </w:r>
      <w:bookmarkEnd w:id="86"/>
      <w:r>
        <w:tab/>
      </w:r>
      <w:r w:rsidR="001475DB" w:rsidRPr="001475DB">
        <w:t>Historical water allocation price impact of Commonwealth water purchases, 2008-09 to 2014-15</w:t>
      </w:r>
      <w:bookmarkEnd w:id="87"/>
    </w:p>
    <w:tbl>
      <w:tblPr>
        <w:tblStyle w:val="Aither"/>
        <w:tblW w:w="9090" w:type="dxa"/>
        <w:tblInd w:w="108" w:type="dxa"/>
        <w:tblLayout w:type="fixed"/>
        <w:tblLook w:val="04A0"/>
      </w:tblPr>
      <w:tblGrid>
        <w:gridCol w:w="1080"/>
        <w:gridCol w:w="2002"/>
        <w:gridCol w:w="2003"/>
        <w:gridCol w:w="2002"/>
        <w:gridCol w:w="2003"/>
      </w:tblGrid>
      <w:tr w:rsidR="00454245" w:rsidTr="00BD4F6B">
        <w:trPr>
          <w:cnfStyle w:val="100000000000"/>
        </w:trPr>
        <w:tc>
          <w:tcPr>
            <w:tcW w:w="1080" w:type="dxa"/>
          </w:tcPr>
          <w:p w:rsidR="00454245" w:rsidRDefault="00454245" w:rsidP="006E653A">
            <w:pPr>
              <w:pStyle w:val="TableHeading"/>
            </w:pPr>
            <w:r>
              <w:t>Year</w:t>
            </w:r>
          </w:p>
        </w:tc>
        <w:tc>
          <w:tcPr>
            <w:tcW w:w="2002" w:type="dxa"/>
          </w:tcPr>
          <w:p w:rsidR="00454245" w:rsidRDefault="00454245">
            <w:pPr>
              <w:pStyle w:val="TableHeading"/>
            </w:pPr>
            <w:r>
              <w:t>Modelled price – without purchases ($/ML)</w:t>
            </w:r>
          </w:p>
        </w:tc>
        <w:tc>
          <w:tcPr>
            <w:tcW w:w="2003" w:type="dxa"/>
          </w:tcPr>
          <w:p w:rsidR="00454245" w:rsidRDefault="00454245">
            <w:pPr>
              <w:pStyle w:val="TableHeading"/>
            </w:pPr>
            <w:r>
              <w:t>Modelled price – with purchases ($/ML)</w:t>
            </w:r>
          </w:p>
        </w:tc>
        <w:tc>
          <w:tcPr>
            <w:tcW w:w="2002" w:type="dxa"/>
          </w:tcPr>
          <w:p w:rsidR="00454245" w:rsidRPr="00742C11" w:rsidRDefault="00454245" w:rsidP="006E653A">
            <w:pPr>
              <w:pStyle w:val="TableHeading"/>
              <w:rPr>
                <w:vertAlign w:val="superscript"/>
              </w:rPr>
            </w:pPr>
            <w:r>
              <w:t>Potential price impact of purchases ($/ML)</w:t>
            </w:r>
            <w:r>
              <w:rPr>
                <w:vertAlign w:val="superscript"/>
              </w:rPr>
              <w:t>1</w:t>
            </w:r>
          </w:p>
        </w:tc>
        <w:tc>
          <w:tcPr>
            <w:tcW w:w="2003" w:type="dxa"/>
          </w:tcPr>
          <w:p w:rsidR="00454245" w:rsidRDefault="00454245" w:rsidP="006E653A">
            <w:pPr>
              <w:pStyle w:val="TableHeading"/>
            </w:pPr>
            <w:r>
              <w:t>Reduction in consumptive pool as a result of purchases (%)</w:t>
            </w:r>
          </w:p>
        </w:tc>
      </w:tr>
      <w:tr w:rsidR="00454245" w:rsidTr="00BD4F6B">
        <w:trPr>
          <w:cnfStyle w:val="000000100000"/>
          <w:trHeight w:val="386"/>
        </w:trPr>
        <w:tc>
          <w:tcPr>
            <w:tcW w:w="1080" w:type="dxa"/>
          </w:tcPr>
          <w:p w:rsidR="00454245" w:rsidRPr="005D48E6" w:rsidRDefault="00454245" w:rsidP="00623D48">
            <w:pPr>
              <w:pStyle w:val="TableText"/>
            </w:pPr>
            <w:r w:rsidRPr="005D48E6">
              <w:t>2008–09</w:t>
            </w:r>
          </w:p>
        </w:tc>
        <w:tc>
          <w:tcPr>
            <w:tcW w:w="2002" w:type="dxa"/>
          </w:tcPr>
          <w:p w:rsidR="00454245" w:rsidRPr="00727872" w:rsidRDefault="00454245" w:rsidP="00623D48">
            <w:pPr>
              <w:pStyle w:val="TableText"/>
            </w:pPr>
            <w:r>
              <w:t>$398</w:t>
            </w:r>
          </w:p>
        </w:tc>
        <w:tc>
          <w:tcPr>
            <w:tcW w:w="2003" w:type="dxa"/>
          </w:tcPr>
          <w:p w:rsidR="00454245" w:rsidRPr="005D48E6" w:rsidRDefault="00454245" w:rsidP="00623D48">
            <w:pPr>
              <w:pStyle w:val="TableText"/>
            </w:pPr>
            <w:r>
              <w:t>$399</w:t>
            </w:r>
          </w:p>
        </w:tc>
        <w:tc>
          <w:tcPr>
            <w:tcW w:w="2002" w:type="dxa"/>
          </w:tcPr>
          <w:p w:rsidR="00454245" w:rsidRPr="005D48E6" w:rsidRDefault="00454245" w:rsidP="00623D48">
            <w:pPr>
              <w:pStyle w:val="TableText"/>
            </w:pPr>
            <w:r>
              <w:t>$1</w:t>
            </w:r>
          </w:p>
        </w:tc>
        <w:tc>
          <w:tcPr>
            <w:tcW w:w="2003" w:type="dxa"/>
          </w:tcPr>
          <w:p w:rsidR="00454245" w:rsidRPr="00A62C06" w:rsidRDefault="00454245" w:rsidP="00623D48">
            <w:pPr>
              <w:pStyle w:val="TableText"/>
            </w:pPr>
            <w:r w:rsidRPr="00A62C06">
              <w:t>0.3%</w:t>
            </w:r>
          </w:p>
        </w:tc>
      </w:tr>
      <w:tr w:rsidR="00454245" w:rsidTr="00BD4F6B">
        <w:trPr>
          <w:trHeight w:val="386"/>
        </w:trPr>
        <w:tc>
          <w:tcPr>
            <w:tcW w:w="1080" w:type="dxa"/>
          </w:tcPr>
          <w:p w:rsidR="00454245" w:rsidRPr="005D48E6" w:rsidRDefault="00454245" w:rsidP="00623D48">
            <w:pPr>
              <w:pStyle w:val="TableText"/>
            </w:pPr>
            <w:r w:rsidRPr="005D48E6">
              <w:t>2009–10</w:t>
            </w:r>
          </w:p>
        </w:tc>
        <w:tc>
          <w:tcPr>
            <w:tcW w:w="2002" w:type="dxa"/>
          </w:tcPr>
          <w:p w:rsidR="00454245" w:rsidRPr="00727872" w:rsidRDefault="00454245" w:rsidP="00623D48">
            <w:pPr>
              <w:pStyle w:val="TableText"/>
            </w:pPr>
            <w:r>
              <w:t>$184</w:t>
            </w:r>
          </w:p>
        </w:tc>
        <w:tc>
          <w:tcPr>
            <w:tcW w:w="2003" w:type="dxa"/>
          </w:tcPr>
          <w:p w:rsidR="00454245" w:rsidRPr="005D48E6" w:rsidRDefault="00454245" w:rsidP="00623D48">
            <w:pPr>
              <w:pStyle w:val="TableText"/>
            </w:pPr>
            <w:r>
              <w:t>$195</w:t>
            </w:r>
          </w:p>
        </w:tc>
        <w:tc>
          <w:tcPr>
            <w:tcW w:w="2002" w:type="dxa"/>
          </w:tcPr>
          <w:p w:rsidR="00454245" w:rsidRPr="005D48E6" w:rsidRDefault="00454245" w:rsidP="00623D48">
            <w:pPr>
              <w:pStyle w:val="TableText"/>
            </w:pPr>
            <w:r>
              <w:t>$11</w:t>
            </w:r>
          </w:p>
        </w:tc>
        <w:tc>
          <w:tcPr>
            <w:tcW w:w="2003" w:type="dxa"/>
          </w:tcPr>
          <w:p w:rsidR="00454245" w:rsidRPr="00A62C06" w:rsidRDefault="00454245" w:rsidP="00623D48">
            <w:pPr>
              <w:pStyle w:val="TableText"/>
            </w:pPr>
            <w:r w:rsidRPr="00A62C06">
              <w:t>5%</w:t>
            </w:r>
          </w:p>
        </w:tc>
      </w:tr>
      <w:tr w:rsidR="00454245" w:rsidTr="00BD4F6B">
        <w:trPr>
          <w:cnfStyle w:val="000000100000"/>
          <w:trHeight w:val="386"/>
        </w:trPr>
        <w:tc>
          <w:tcPr>
            <w:tcW w:w="1080" w:type="dxa"/>
          </w:tcPr>
          <w:p w:rsidR="00454245" w:rsidRPr="005D48E6" w:rsidRDefault="00454245" w:rsidP="00623D48">
            <w:pPr>
              <w:pStyle w:val="TableText"/>
            </w:pPr>
            <w:r w:rsidRPr="005D48E6">
              <w:t>2010–11</w:t>
            </w:r>
          </w:p>
        </w:tc>
        <w:tc>
          <w:tcPr>
            <w:tcW w:w="2002" w:type="dxa"/>
          </w:tcPr>
          <w:p w:rsidR="00454245" w:rsidRPr="00727872" w:rsidRDefault="00454245" w:rsidP="00623D48">
            <w:pPr>
              <w:pStyle w:val="TableText"/>
            </w:pPr>
            <w:r>
              <w:t>$24</w:t>
            </w:r>
          </w:p>
        </w:tc>
        <w:tc>
          <w:tcPr>
            <w:tcW w:w="2003" w:type="dxa"/>
          </w:tcPr>
          <w:p w:rsidR="00454245" w:rsidRPr="005D48E6" w:rsidRDefault="00454245" w:rsidP="00623D48">
            <w:pPr>
              <w:pStyle w:val="TableText"/>
            </w:pPr>
            <w:r>
              <w:t>$29</w:t>
            </w:r>
          </w:p>
        </w:tc>
        <w:tc>
          <w:tcPr>
            <w:tcW w:w="2002" w:type="dxa"/>
          </w:tcPr>
          <w:p w:rsidR="00454245" w:rsidRPr="005D48E6" w:rsidRDefault="00454245" w:rsidP="00623D48">
            <w:pPr>
              <w:pStyle w:val="TableText"/>
            </w:pPr>
            <w:r>
              <w:t>$5</w:t>
            </w:r>
          </w:p>
        </w:tc>
        <w:tc>
          <w:tcPr>
            <w:tcW w:w="2003" w:type="dxa"/>
          </w:tcPr>
          <w:p w:rsidR="00454245" w:rsidRPr="00A62C06" w:rsidRDefault="00454245" w:rsidP="00623D48">
            <w:pPr>
              <w:pStyle w:val="TableText"/>
            </w:pPr>
            <w:r w:rsidRPr="00A62C06">
              <w:t>9%</w:t>
            </w:r>
          </w:p>
        </w:tc>
      </w:tr>
      <w:tr w:rsidR="00454245" w:rsidTr="00BD4F6B">
        <w:trPr>
          <w:trHeight w:val="386"/>
        </w:trPr>
        <w:tc>
          <w:tcPr>
            <w:tcW w:w="1080" w:type="dxa"/>
          </w:tcPr>
          <w:p w:rsidR="00454245" w:rsidRPr="005D48E6" w:rsidRDefault="00454245" w:rsidP="00623D48">
            <w:pPr>
              <w:pStyle w:val="TableText"/>
            </w:pPr>
            <w:r w:rsidRPr="005D48E6">
              <w:t>2011–12</w:t>
            </w:r>
          </w:p>
        </w:tc>
        <w:tc>
          <w:tcPr>
            <w:tcW w:w="2002" w:type="dxa"/>
          </w:tcPr>
          <w:p w:rsidR="00454245" w:rsidRPr="00727872" w:rsidRDefault="00454245" w:rsidP="00623D48">
            <w:pPr>
              <w:pStyle w:val="TableText"/>
            </w:pPr>
            <w:r>
              <w:t>$25</w:t>
            </w:r>
          </w:p>
        </w:tc>
        <w:tc>
          <w:tcPr>
            <w:tcW w:w="2003" w:type="dxa"/>
          </w:tcPr>
          <w:p w:rsidR="00454245" w:rsidRPr="005D48E6" w:rsidRDefault="00454245" w:rsidP="00623D48">
            <w:pPr>
              <w:pStyle w:val="TableText"/>
            </w:pPr>
            <w:r>
              <w:t>$33</w:t>
            </w:r>
          </w:p>
        </w:tc>
        <w:tc>
          <w:tcPr>
            <w:tcW w:w="2002" w:type="dxa"/>
          </w:tcPr>
          <w:p w:rsidR="00454245" w:rsidRPr="005D48E6" w:rsidRDefault="00454245" w:rsidP="00623D48">
            <w:pPr>
              <w:pStyle w:val="TableText"/>
            </w:pPr>
            <w:r>
              <w:t>$8</w:t>
            </w:r>
          </w:p>
        </w:tc>
        <w:tc>
          <w:tcPr>
            <w:tcW w:w="2003" w:type="dxa"/>
          </w:tcPr>
          <w:p w:rsidR="00454245" w:rsidRPr="00A62C06" w:rsidRDefault="00454245" w:rsidP="00623D48">
            <w:pPr>
              <w:pStyle w:val="TableText"/>
            </w:pPr>
            <w:r w:rsidRPr="00A62C06">
              <w:t>13%</w:t>
            </w:r>
          </w:p>
        </w:tc>
      </w:tr>
      <w:tr w:rsidR="00454245" w:rsidTr="00BD4F6B">
        <w:trPr>
          <w:cnfStyle w:val="000000100000"/>
          <w:trHeight w:val="386"/>
        </w:trPr>
        <w:tc>
          <w:tcPr>
            <w:tcW w:w="1080" w:type="dxa"/>
          </w:tcPr>
          <w:p w:rsidR="00454245" w:rsidRPr="005D48E6" w:rsidRDefault="00454245" w:rsidP="00623D48">
            <w:pPr>
              <w:pStyle w:val="TableText"/>
            </w:pPr>
            <w:r w:rsidRPr="005D48E6">
              <w:t>2012-13</w:t>
            </w:r>
          </w:p>
        </w:tc>
        <w:tc>
          <w:tcPr>
            <w:tcW w:w="2002" w:type="dxa"/>
          </w:tcPr>
          <w:p w:rsidR="00454245" w:rsidRPr="00727872" w:rsidRDefault="00454245" w:rsidP="00623D48">
            <w:pPr>
              <w:pStyle w:val="TableText"/>
            </w:pPr>
            <w:r>
              <w:t>$47</w:t>
            </w:r>
          </w:p>
        </w:tc>
        <w:tc>
          <w:tcPr>
            <w:tcW w:w="2003" w:type="dxa"/>
          </w:tcPr>
          <w:p w:rsidR="00454245" w:rsidRPr="005D48E6" w:rsidRDefault="00454245" w:rsidP="00623D48">
            <w:pPr>
              <w:pStyle w:val="TableText"/>
            </w:pPr>
            <w:r>
              <w:t>$64</w:t>
            </w:r>
          </w:p>
        </w:tc>
        <w:tc>
          <w:tcPr>
            <w:tcW w:w="2002" w:type="dxa"/>
          </w:tcPr>
          <w:p w:rsidR="00454245" w:rsidRPr="005D48E6" w:rsidRDefault="00454245" w:rsidP="00623D48">
            <w:pPr>
              <w:pStyle w:val="TableText"/>
            </w:pPr>
            <w:r>
              <w:t>$17</w:t>
            </w:r>
          </w:p>
        </w:tc>
        <w:tc>
          <w:tcPr>
            <w:tcW w:w="2003" w:type="dxa"/>
          </w:tcPr>
          <w:p w:rsidR="00454245" w:rsidRPr="00A62C06" w:rsidRDefault="00454245" w:rsidP="00623D48">
            <w:pPr>
              <w:pStyle w:val="TableText"/>
            </w:pPr>
            <w:r w:rsidRPr="00A62C06">
              <w:t>14%</w:t>
            </w:r>
          </w:p>
        </w:tc>
      </w:tr>
      <w:tr w:rsidR="00454245" w:rsidTr="00BD4F6B">
        <w:trPr>
          <w:trHeight w:val="386"/>
        </w:trPr>
        <w:tc>
          <w:tcPr>
            <w:tcW w:w="1080" w:type="dxa"/>
          </w:tcPr>
          <w:p w:rsidR="00454245" w:rsidRPr="005D48E6" w:rsidRDefault="00454245" w:rsidP="00623D48">
            <w:pPr>
              <w:pStyle w:val="TableText"/>
            </w:pPr>
            <w:r w:rsidRPr="005D48E6">
              <w:t>2013-14</w:t>
            </w:r>
          </w:p>
        </w:tc>
        <w:tc>
          <w:tcPr>
            <w:tcW w:w="2002" w:type="dxa"/>
          </w:tcPr>
          <w:p w:rsidR="00454245" w:rsidRPr="00727872" w:rsidRDefault="00454245" w:rsidP="00623D48">
            <w:pPr>
              <w:pStyle w:val="TableText"/>
            </w:pPr>
            <w:r>
              <w:t>$73</w:t>
            </w:r>
          </w:p>
        </w:tc>
        <w:tc>
          <w:tcPr>
            <w:tcW w:w="2003" w:type="dxa"/>
          </w:tcPr>
          <w:p w:rsidR="00454245" w:rsidRPr="005D48E6" w:rsidRDefault="00454245" w:rsidP="00623D48">
            <w:pPr>
              <w:pStyle w:val="TableText"/>
            </w:pPr>
            <w:r>
              <w:t>$97</w:t>
            </w:r>
          </w:p>
        </w:tc>
        <w:tc>
          <w:tcPr>
            <w:tcW w:w="2002" w:type="dxa"/>
          </w:tcPr>
          <w:p w:rsidR="00454245" w:rsidRPr="005D48E6" w:rsidRDefault="00454245" w:rsidP="00623D48">
            <w:pPr>
              <w:pStyle w:val="TableText"/>
            </w:pPr>
            <w:r>
              <w:t>$24</w:t>
            </w:r>
          </w:p>
        </w:tc>
        <w:tc>
          <w:tcPr>
            <w:tcW w:w="2003" w:type="dxa"/>
          </w:tcPr>
          <w:p w:rsidR="00454245" w:rsidRPr="00A62C06" w:rsidRDefault="00454245" w:rsidP="00623D48">
            <w:pPr>
              <w:pStyle w:val="TableText"/>
            </w:pPr>
            <w:r w:rsidRPr="00A62C06">
              <w:t>15%</w:t>
            </w:r>
          </w:p>
        </w:tc>
      </w:tr>
      <w:tr w:rsidR="00454245" w:rsidTr="00BD4F6B">
        <w:trPr>
          <w:cnfStyle w:val="000000100000"/>
          <w:trHeight w:val="386"/>
        </w:trPr>
        <w:tc>
          <w:tcPr>
            <w:tcW w:w="1080" w:type="dxa"/>
          </w:tcPr>
          <w:p w:rsidR="00454245" w:rsidRPr="005D48E6" w:rsidRDefault="00454245" w:rsidP="00623D48">
            <w:pPr>
              <w:pStyle w:val="TableText"/>
            </w:pPr>
            <w:r w:rsidRPr="005D48E6">
              <w:t>2014-15</w:t>
            </w:r>
          </w:p>
        </w:tc>
        <w:tc>
          <w:tcPr>
            <w:tcW w:w="2002" w:type="dxa"/>
          </w:tcPr>
          <w:p w:rsidR="00454245" w:rsidRDefault="00454245" w:rsidP="00623D48">
            <w:pPr>
              <w:pStyle w:val="TableText"/>
            </w:pPr>
            <w:r>
              <w:t>$88</w:t>
            </w:r>
          </w:p>
        </w:tc>
        <w:tc>
          <w:tcPr>
            <w:tcW w:w="2003" w:type="dxa"/>
          </w:tcPr>
          <w:p w:rsidR="00454245" w:rsidRPr="005D48E6" w:rsidRDefault="00454245" w:rsidP="00623D48">
            <w:pPr>
              <w:pStyle w:val="TableText"/>
            </w:pPr>
            <w:r>
              <w:t>$112</w:t>
            </w:r>
          </w:p>
        </w:tc>
        <w:tc>
          <w:tcPr>
            <w:tcW w:w="2002" w:type="dxa"/>
          </w:tcPr>
          <w:p w:rsidR="00454245" w:rsidRPr="005D48E6" w:rsidRDefault="00454245" w:rsidP="00623D48">
            <w:pPr>
              <w:pStyle w:val="TableText"/>
            </w:pPr>
            <w:r>
              <w:t>$24</w:t>
            </w:r>
          </w:p>
        </w:tc>
        <w:tc>
          <w:tcPr>
            <w:tcW w:w="2003" w:type="dxa"/>
          </w:tcPr>
          <w:p w:rsidR="00454245" w:rsidRDefault="00454245" w:rsidP="00623D48">
            <w:pPr>
              <w:pStyle w:val="TableText"/>
            </w:pPr>
            <w:r w:rsidRPr="00A62C06">
              <w:t>15%</w:t>
            </w:r>
          </w:p>
        </w:tc>
      </w:tr>
    </w:tbl>
    <w:p w:rsidR="009A6323" w:rsidRDefault="009A6323" w:rsidP="009A6323">
      <w:pPr>
        <w:pStyle w:val="TFIHolderSmallSpace"/>
      </w:pPr>
    </w:p>
    <w:p w:rsidR="009A6323" w:rsidRDefault="009A6323" w:rsidP="009A6323">
      <w:pPr>
        <w:pStyle w:val="TFNoteSourceTab"/>
      </w:pPr>
      <w:r w:rsidRPr="00776F13">
        <w:t>Source:</w:t>
      </w:r>
      <w:r w:rsidRPr="00776F13">
        <w:tab/>
      </w:r>
      <w:proofErr w:type="spellStart"/>
      <w:r w:rsidR="009F60D1" w:rsidRPr="00776F13">
        <w:t>Aither</w:t>
      </w:r>
      <w:proofErr w:type="spellEnd"/>
      <w:r w:rsidR="009F60D1" w:rsidRPr="00776F13">
        <w:t xml:space="preserve"> 2015. </w:t>
      </w:r>
      <w:proofErr w:type="gramStart"/>
      <w:r w:rsidR="009F60D1" w:rsidRPr="00776F13">
        <w:t>New South Wales Water Register, South Australian Water Register and Victorian Water Register.</w:t>
      </w:r>
      <w:proofErr w:type="gramEnd"/>
      <w:r w:rsidR="009F60D1" w:rsidRPr="00776F13">
        <w:t xml:space="preserve"> Based on Commonwealth</w:t>
      </w:r>
      <w:r w:rsidR="009F60D1" w:rsidRPr="001C1491">
        <w:t xml:space="preserve"> water purchase data provided to </w:t>
      </w:r>
      <w:proofErr w:type="spellStart"/>
      <w:r w:rsidR="009F60D1" w:rsidRPr="001C1491">
        <w:t>Aither</w:t>
      </w:r>
      <w:proofErr w:type="spellEnd"/>
      <w:r w:rsidR="009F60D1" w:rsidRPr="001C1491">
        <w:t xml:space="preserve"> by the Department of the Environment.</w:t>
      </w:r>
    </w:p>
    <w:p w:rsidR="00BB2292" w:rsidRPr="00592F62" w:rsidRDefault="00BB2292" w:rsidP="009A6323">
      <w:pPr>
        <w:pStyle w:val="TFNoteSourceTab"/>
        <w:rPr>
          <w:highlight w:val="yellow"/>
        </w:rPr>
      </w:pPr>
      <w:r>
        <w:t xml:space="preserve">Note: </w:t>
      </w:r>
      <w:r>
        <w:tab/>
      </w:r>
      <w:r w:rsidR="00F643F9">
        <w:t xml:space="preserve">1) Please see Appendix </w:t>
      </w:r>
      <w:r w:rsidR="00AA49F6">
        <w:t>B</w:t>
      </w:r>
      <w:r w:rsidR="00F643F9">
        <w:t xml:space="preserve"> for 95 percent confidence intervals of the</w:t>
      </w:r>
      <w:r w:rsidR="00F643F9" w:rsidRPr="00F643F9">
        <w:t xml:space="preserve"> </w:t>
      </w:r>
      <w:r w:rsidR="00F643F9">
        <w:t>p</w:t>
      </w:r>
      <w:r w:rsidR="00F643F9" w:rsidRPr="00F643F9">
        <w:t>otential price impact of purchases</w:t>
      </w:r>
      <w:r w:rsidR="00F643F9">
        <w:t>.</w:t>
      </w:r>
      <w:r>
        <w:t xml:space="preserve"> </w:t>
      </w:r>
    </w:p>
    <w:p w:rsidR="00EA04A2" w:rsidRDefault="000E7FBB" w:rsidP="00EA04A2">
      <w:pPr>
        <w:pStyle w:val="Heading3"/>
      </w:pPr>
      <w:bookmarkStart w:id="88" w:name="_Ref431192535"/>
      <w:r w:rsidRPr="000E7FBB">
        <w:t>Scenario 3 – Impact of the current cumulative volume of Commonwealth water purchases on future water allocation prices</w:t>
      </w:r>
    </w:p>
    <w:p w:rsidR="00825360" w:rsidRDefault="00825360" w:rsidP="00825360">
      <w:pPr>
        <w:pStyle w:val="BoxHeading"/>
      </w:pPr>
      <w:r>
        <w:t>Scenario 3</w:t>
      </w:r>
    </w:p>
    <w:p w:rsidR="008E79AF" w:rsidRDefault="00825360" w:rsidP="00825360">
      <w:pPr>
        <w:pStyle w:val="BoxText"/>
      </w:pPr>
      <w:r w:rsidRPr="00825360">
        <w:t xml:space="preserve">Scenario </w:t>
      </w:r>
      <w:r>
        <w:t>3</w:t>
      </w:r>
      <w:r w:rsidRPr="00825360">
        <w:t xml:space="preserve"> tests the impact of current volumes of Commonwealth </w:t>
      </w:r>
      <w:r w:rsidR="00585E5A">
        <w:t xml:space="preserve">water </w:t>
      </w:r>
      <w:r w:rsidRPr="00825360">
        <w:t xml:space="preserve">purchases on </w:t>
      </w:r>
      <w:r>
        <w:t xml:space="preserve">future water allocation prices. </w:t>
      </w:r>
      <w:proofErr w:type="spellStart"/>
      <w:r w:rsidR="003F114A">
        <w:t>Aither</w:t>
      </w:r>
      <w:proofErr w:type="spellEnd"/>
      <w:r w:rsidR="003F114A">
        <w:t xml:space="preserve"> tested the following scenarios t</w:t>
      </w:r>
      <w:r w:rsidR="008E79AF">
        <w:t xml:space="preserve">o </w:t>
      </w:r>
      <w:r w:rsidR="003F114A">
        <w:t xml:space="preserve">examine </w:t>
      </w:r>
      <w:r w:rsidR="008E79AF">
        <w:t xml:space="preserve">the impact of </w:t>
      </w:r>
      <w:r w:rsidR="008E79AF" w:rsidRPr="00742EF6">
        <w:t>current volumes</w:t>
      </w:r>
      <w:r w:rsidR="008E79AF">
        <w:t xml:space="preserve"> of Commonwealth </w:t>
      </w:r>
      <w:r w:rsidR="00585E5A">
        <w:t xml:space="preserve">water </w:t>
      </w:r>
      <w:r w:rsidR="00167D4C">
        <w:t>purchases</w:t>
      </w:r>
      <w:r w:rsidR="008E79AF">
        <w:t xml:space="preserve"> on future water allocation prices: </w:t>
      </w:r>
    </w:p>
    <w:p w:rsidR="008E79AF" w:rsidRDefault="008E79AF" w:rsidP="00825360">
      <w:pPr>
        <w:pStyle w:val="BoxBullet"/>
      </w:pPr>
      <w:r>
        <w:t xml:space="preserve">the expected water availability using </w:t>
      </w:r>
      <w:r w:rsidR="003F114A">
        <w:t>state</w:t>
      </w:r>
      <w:r w:rsidR="009F60D1">
        <w:t>-</w:t>
      </w:r>
      <w:r w:rsidR="003F114A">
        <w:t xml:space="preserve">based </w:t>
      </w:r>
      <w:r>
        <w:t xml:space="preserve">water resource manager outlooks for 2015-16 (currently tracking at </w:t>
      </w:r>
      <w:r w:rsidR="009F60D1">
        <w:t>‘</w:t>
      </w:r>
      <w:r>
        <w:t>dry</w:t>
      </w:r>
      <w:r w:rsidR="009F60D1">
        <w:t>’ conditions</w:t>
      </w:r>
      <w:r>
        <w:t>)</w:t>
      </w:r>
      <w:r w:rsidR="006D0FEF">
        <w:rPr>
          <w:rStyle w:val="FootnoteReference"/>
        </w:rPr>
        <w:footnoteReference w:id="25"/>
      </w:r>
    </w:p>
    <w:p w:rsidR="008E79AF" w:rsidRDefault="008E79AF" w:rsidP="00825360">
      <w:pPr>
        <w:pStyle w:val="BoxBullet"/>
      </w:pPr>
      <w:r>
        <w:t>a repeat of water availability in worst Millennium Drought year (replicating 2008-09 water year)</w:t>
      </w:r>
    </w:p>
    <w:p w:rsidR="008E79AF" w:rsidRDefault="008E79AF" w:rsidP="00825360">
      <w:pPr>
        <w:pStyle w:val="BoxBullet"/>
      </w:pPr>
      <w:r>
        <w:t xml:space="preserve">a repeat of water availability in average year (replicating the </w:t>
      </w:r>
      <w:r w:rsidRPr="00546EED">
        <w:t xml:space="preserve">2005-06 </w:t>
      </w:r>
      <w:r>
        <w:t>water year)</w:t>
      </w:r>
    </w:p>
    <w:p w:rsidR="008E79AF" w:rsidRDefault="008E79AF" w:rsidP="00825360">
      <w:pPr>
        <w:pStyle w:val="BoxBullet"/>
      </w:pPr>
      <w:proofErr w:type="gramStart"/>
      <w:r>
        <w:t>a</w:t>
      </w:r>
      <w:proofErr w:type="gramEnd"/>
      <w:r>
        <w:t xml:space="preserve"> repeat of water availability in wet year (replicating 2011-12 water year).</w:t>
      </w:r>
    </w:p>
    <w:p w:rsidR="004B3FEC" w:rsidRDefault="00306798" w:rsidP="008E79AF">
      <w:r>
        <w:fldChar w:fldCharType="begin"/>
      </w:r>
      <w:r w:rsidR="004B3FEC">
        <w:instrText xml:space="preserve"> REF _Ref431214791 \h </w:instrText>
      </w:r>
      <w:r>
        <w:fldChar w:fldCharType="separate"/>
      </w:r>
      <w:r w:rsidR="00EB2418">
        <w:t xml:space="preserve">Figure </w:t>
      </w:r>
      <w:r w:rsidR="00EB2418">
        <w:rPr>
          <w:noProof/>
        </w:rPr>
        <w:t>8</w:t>
      </w:r>
      <w:r>
        <w:fldChar w:fldCharType="end"/>
      </w:r>
      <w:r w:rsidR="004B3FEC">
        <w:t xml:space="preserve"> presents the outputs of these scenarios, and </w:t>
      </w:r>
      <w:proofErr w:type="gramStart"/>
      <w:r w:rsidR="004B3FEC">
        <w:t xml:space="preserve">shows that in dollar terms, </w:t>
      </w:r>
      <w:r w:rsidR="003F03D3">
        <w:t xml:space="preserve">in </w:t>
      </w:r>
      <w:r w:rsidR="004B3FEC">
        <w:t xml:space="preserve">years </w:t>
      </w:r>
      <w:r w:rsidR="003F03D3">
        <w:t xml:space="preserve">when </w:t>
      </w:r>
      <w:r w:rsidR="004B3FEC">
        <w:t xml:space="preserve">water </w:t>
      </w:r>
      <w:r w:rsidR="002760F5">
        <w:t xml:space="preserve">allocated </w:t>
      </w:r>
      <w:r w:rsidR="003F03D3">
        <w:t>to</w:t>
      </w:r>
      <w:r w:rsidR="002760F5">
        <w:t xml:space="preserve"> consumptive</w:t>
      </w:r>
      <w:r w:rsidR="004B3FEC">
        <w:t xml:space="preserve"> use is</w:t>
      </w:r>
      <w:proofErr w:type="gramEnd"/>
      <w:r w:rsidR="004B3FEC">
        <w:t xml:space="preserve"> low</w:t>
      </w:r>
      <w:r w:rsidR="00242799">
        <w:t xml:space="preserve"> (dry years)</w:t>
      </w:r>
      <w:r w:rsidR="004B3FEC">
        <w:t xml:space="preserve">, the </w:t>
      </w:r>
      <w:r w:rsidR="004B3FEC" w:rsidRPr="004B3FEC">
        <w:t xml:space="preserve">impact of </w:t>
      </w:r>
      <w:r w:rsidR="004B3FEC">
        <w:t xml:space="preserve">current Commonwealth </w:t>
      </w:r>
      <w:r w:rsidR="00585E5A">
        <w:t xml:space="preserve">water </w:t>
      </w:r>
      <w:r w:rsidR="00167D4C">
        <w:t>purchases</w:t>
      </w:r>
      <w:r w:rsidR="004B3FEC">
        <w:t xml:space="preserve"> on </w:t>
      </w:r>
      <w:r w:rsidR="004B3FEC" w:rsidRPr="004B3FEC">
        <w:t>water allocation prices</w:t>
      </w:r>
      <w:r w:rsidR="004B3FEC">
        <w:t xml:space="preserve"> is highe</w:t>
      </w:r>
      <w:r w:rsidR="003F03D3">
        <w:t>r</w:t>
      </w:r>
      <w:r w:rsidR="00242799">
        <w:t xml:space="preserve"> in dollar terms</w:t>
      </w:r>
      <w:r w:rsidR="004B3FEC">
        <w:t xml:space="preserve">. </w:t>
      </w:r>
      <w:r w:rsidR="00870E77">
        <w:t>Alternatively, in wet year</w:t>
      </w:r>
      <w:r w:rsidR="00BC5E0E">
        <w:t>s</w:t>
      </w:r>
      <w:r w:rsidR="00870E77">
        <w:t xml:space="preserve">, while the </w:t>
      </w:r>
      <w:r w:rsidR="00870E77" w:rsidRPr="004B3FEC">
        <w:t xml:space="preserve">impact of </w:t>
      </w:r>
      <w:r w:rsidR="00870E77">
        <w:t xml:space="preserve">current Commonwealth </w:t>
      </w:r>
      <w:r w:rsidR="00585E5A">
        <w:t xml:space="preserve">water </w:t>
      </w:r>
      <w:r w:rsidR="00167D4C">
        <w:t>purchases</w:t>
      </w:r>
      <w:r w:rsidR="00870E77">
        <w:t xml:space="preserve"> in dollar terms is low, as a percentage of total </w:t>
      </w:r>
      <w:proofErr w:type="gramStart"/>
      <w:r w:rsidR="00870E77">
        <w:t>price</w:t>
      </w:r>
      <w:proofErr w:type="gramEnd"/>
      <w:r w:rsidR="00870E77">
        <w:t xml:space="preserve"> it is high</w:t>
      </w:r>
      <w:r w:rsidR="003F03D3">
        <w:t>er</w:t>
      </w:r>
      <w:r w:rsidR="00870E77">
        <w:t>.</w:t>
      </w:r>
    </w:p>
    <w:p w:rsidR="006D0FEF" w:rsidRDefault="006D0FEF" w:rsidP="008E79AF"/>
    <w:p w:rsidR="00870E77" w:rsidRDefault="006D0FEF" w:rsidP="006D0FEF">
      <w:r>
        <w:rPr>
          <w:noProof/>
        </w:rPr>
        <w:lastRenderedPageBreak/>
        <w:drawing>
          <wp:inline distT="0" distB="0" distL="0" distR="0">
            <wp:extent cx="5721350" cy="274833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111" cy="2751107"/>
                    </a:xfrm>
                    <a:prstGeom prst="rect">
                      <a:avLst/>
                    </a:prstGeom>
                    <a:noFill/>
                  </pic:spPr>
                </pic:pic>
              </a:graphicData>
            </a:graphic>
          </wp:inline>
        </w:drawing>
      </w:r>
    </w:p>
    <w:p w:rsidR="004B3FEC" w:rsidRDefault="004B3FEC" w:rsidP="00382D62">
      <w:pPr>
        <w:pStyle w:val="TFNoteSourceTab"/>
      </w:pPr>
      <w:r w:rsidRPr="00776F13">
        <w:t>Source:</w:t>
      </w:r>
      <w:r w:rsidRPr="00776F13">
        <w:tab/>
      </w:r>
      <w:proofErr w:type="spellStart"/>
      <w:r w:rsidR="004627CD" w:rsidRPr="00776F13">
        <w:t>Aither</w:t>
      </w:r>
      <w:proofErr w:type="spellEnd"/>
      <w:r w:rsidR="004627CD" w:rsidRPr="00776F13">
        <w:t xml:space="preserve"> 2015. </w:t>
      </w:r>
      <w:proofErr w:type="gramStart"/>
      <w:r w:rsidR="004627CD" w:rsidRPr="00776F13">
        <w:t>New South Wales Water Register, South Australian Water Register and Victorian Water Register.</w:t>
      </w:r>
      <w:proofErr w:type="gramEnd"/>
      <w:r w:rsidR="004627CD" w:rsidRPr="00776F13">
        <w:t xml:space="preserve"> Based on Commonwealth water</w:t>
      </w:r>
      <w:r w:rsidR="004627CD" w:rsidRPr="001C1491">
        <w:t xml:space="preserve"> purchase data provided to </w:t>
      </w:r>
      <w:proofErr w:type="spellStart"/>
      <w:r w:rsidR="004627CD" w:rsidRPr="001C1491">
        <w:t>Aither</w:t>
      </w:r>
      <w:proofErr w:type="spellEnd"/>
      <w:r w:rsidR="004627CD" w:rsidRPr="001C1491">
        <w:t xml:space="preserve"> by the Department of the Environment.</w:t>
      </w:r>
    </w:p>
    <w:p w:rsidR="00BC5E0E" w:rsidRDefault="004B3FEC" w:rsidP="00164DF8">
      <w:pPr>
        <w:pStyle w:val="Caption"/>
      </w:pPr>
      <w:bookmarkStart w:id="89" w:name="_Ref431214791"/>
      <w:bookmarkStart w:id="90" w:name="_Toc440006878"/>
      <w:r>
        <w:t xml:space="preserve">Figure </w:t>
      </w:r>
      <w:r w:rsidR="00306798">
        <w:fldChar w:fldCharType="begin"/>
      </w:r>
      <w:r w:rsidR="00531166">
        <w:instrText xml:space="preserve"> SEQ Figure \* ARABIC </w:instrText>
      </w:r>
      <w:r w:rsidR="00306798">
        <w:fldChar w:fldCharType="separate"/>
      </w:r>
      <w:r w:rsidR="00EB2418">
        <w:rPr>
          <w:noProof/>
        </w:rPr>
        <w:t>8</w:t>
      </w:r>
      <w:r w:rsidR="00306798">
        <w:rPr>
          <w:noProof/>
        </w:rPr>
        <w:fldChar w:fldCharType="end"/>
      </w:r>
      <w:bookmarkEnd w:id="89"/>
      <w:r>
        <w:tab/>
      </w:r>
      <w:r w:rsidR="006D0FEF" w:rsidRPr="006D0FEF">
        <w:t>Estimated water allocation price impacts of Commonwealth water purchases for hypothetical future water years</w:t>
      </w:r>
      <w:bookmarkEnd w:id="90"/>
    </w:p>
    <w:p w:rsidR="006D0FEF" w:rsidRDefault="006D0FEF" w:rsidP="00592F62"/>
    <w:p w:rsidR="00242799" w:rsidRDefault="00306798" w:rsidP="00592F62">
      <w:r>
        <w:fldChar w:fldCharType="begin"/>
      </w:r>
      <w:r w:rsidR="00242799">
        <w:instrText xml:space="preserve"> REF _Ref432689315 \h </w:instrText>
      </w:r>
      <w:r>
        <w:fldChar w:fldCharType="separate"/>
      </w:r>
      <w:r w:rsidR="00EB2418">
        <w:t xml:space="preserve">Figure </w:t>
      </w:r>
      <w:r w:rsidR="00EB2418">
        <w:rPr>
          <w:noProof/>
        </w:rPr>
        <w:t>9</w:t>
      </w:r>
      <w:r>
        <w:fldChar w:fldCharType="end"/>
      </w:r>
      <w:r w:rsidR="00242799">
        <w:t xml:space="preserve"> illustrates why</w:t>
      </w:r>
      <w:r w:rsidR="00242799" w:rsidRPr="00242799">
        <w:t xml:space="preserve"> </w:t>
      </w:r>
      <w:r w:rsidR="00242799">
        <w:t>in</w:t>
      </w:r>
      <w:r w:rsidR="00242799" w:rsidRPr="00242799">
        <w:t xml:space="preserve"> </w:t>
      </w:r>
      <w:r w:rsidR="00242799">
        <w:t xml:space="preserve">water </w:t>
      </w:r>
      <w:r w:rsidR="00242799" w:rsidRPr="00242799">
        <w:t xml:space="preserve">years </w:t>
      </w:r>
      <w:r w:rsidR="003F03D3">
        <w:t>when</w:t>
      </w:r>
      <w:r w:rsidR="003F03D3" w:rsidRPr="00242799">
        <w:t xml:space="preserve"> </w:t>
      </w:r>
      <w:r w:rsidR="00242799" w:rsidRPr="00242799">
        <w:t xml:space="preserve">water </w:t>
      </w:r>
      <w:r w:rsidR="002760F5">
        <w:t xml:space="preserve">allocated </w:t>
      </w:r>
      <w:r w:rsidR="003F03D3">
        <w:t xml:space="preserve">to </w:t>
      </w:r>
      <w:r w:rsidR="002760F5">
        <w:t>consumptive</w:t>
      </w:r>
      <w:r w:rsidR="00242799">
        <w:t xml:space="preserve"> use is low (dry years)</w:t>
      </w:r>
      <w:r w:rsidR="00242799" w:rsidRPr="00242799">
        <w:t xml:space="preserve"> the impact of current Commonwealth water purchases on water allocation prices is highe</w:t>
      </w:r>
      <w:r w:rsidR="003F03D3">
        <w:t>r</w:t>
      </w:r>
      <w:r w:rsidR="00242799" w:rsidRPr="00242799">
        <w:t xml:space="preserve"> </w:t>
      </w:r>
      <w:r w:rsidR="00242799">
        <w:t xml:space="preserve">in dollar terms compared to wet years. </w:t>
      </w:r>
      <w:r w:rsidR="0047596C">
        <w:t xml:space="preserve">As the volume of water allocated decreases, the </w:t>
      </w:r>
      <w:r w:rsidR="00F20AF8">
        <w:t xml:space="preserve">elasticity of </w:t>
      </w:r>
      <w:r w:rsidR="0047596C">
        <w:t xml:space="preserve">demand for water allocations increases and thus the price impact of water allocated to </w:t>
      </w:r>
      <w:r w:rsidR="0047596C" w:rsidRPr="00242799">
        <w:t>Commonwealth water purchases</w:t>
      </w:r>
      <w:r w:rsidR="0047596C">
        <w:t xml:space="preserve"> also increases.</w:t>
      </w:r>
      <w:r w:rsidR="00F20AF8">
        <w:t xml:space="preserve"> However, while the price response increases in dry years, the volume of water allocated to the Commonwealth in dry years also reduces. This means that the difference in volume allocated with and without Commonwealth purchases decreases in dry periods as compared to wet and average conditions, offsetting the higher price elasticity.</w:t>
      </w:r>
    </w:p>
    <w:p w:rsidR="00242799" w:rsidRDefault="0047596C" w:rsidP="00592F62">
      <w:r>
        <w:rPr>
          <w:noProof/>
        </w:rPr>
        <w:lastRenderedPageBreak/>
        <w:drawing>
          <wp:inline distT="0" distB="0" distL="0" distR="0">
            <wp:extent cx="5727802" cy="361913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2566" cy="3628463"/>
                    </a:xfrm>
                    <a:prstGeom prst="rect">
                      <a:avLst/>
                    </a:prstGeom>
                    <a:noFill/>
                  </pic:spPr>
                </pic:pic>
              </a:graphicData>
            </a:graphic>
          </wp:inline>
        </w:drawing>
      </w:r>
    </w:p>
    <w:p w:rsidR="00242799" w:rsidRDefault="00242799" w:rsidP="00242799">
      <w:pPr>
        <w:pStyle w:val="TFNoteSourceTab"/>
      </w:pPr>
      <w:r w:rsidRPr="00776F13">
        <w:t>Source:</w:t>
      </w:r>
      <w:r w:rsidRPr="00776F13">
        <w:tab/>
      </w:r>
      <w:proofErr w:type="spellStart"/>
      <w:r>
        <w:t>Aither</w:t>
      </w:r>
      <w:proofErr w:type="spellEnd"/>
      <w:r>
        <w:t xml:space="preserve"> 2015. </w:t>
      </w:r>
    </w:p>
    <w:p w:rsidR="00242799" w:rsidRDefault="00242799" w:rsidP="00242799">
      <w:pPr>
        <w:pStyle w:val="Caption"/>
      </w:pPr>
      <w:bookmarkStart w:id="91" w:name="_Ref432689315"/>
      <w:bookmarkStart w:id="92" w:name="_Toc440006879"/>
      <w:r>
        <w:t xml:space="preserve">Figure </w:t>
      </w:r>
      <w:r w:rsidR="00306798">
        <w:fldChar w:fldCharType="begin"/>
      </w:r>
      <w:r w:rsidR="00531166">
        <w:instrText xml:space="preserve"> SEQ Figure \* ARABIC </w:instrText>
      </w:r>
      <w:r w:rsidR="00306798">
        <w:fldChar w:fldCharType="separate"/>
      </w:r>
      <w:r w:rsidR="00EB2418">
        <w:rPr>
          <w:noProof/>
        </w:rPr>
        <w:t>9</w:t>
      </w:r>
      <w:r w:rsidR="00306798">
        <w:rPr>
          <w:noProof/>
        </w:rPr>
        <w:fldChar w:fldCharType="end"/>
      </w:r>
      <w:bookmarkEnd w:id="91"/>
      <w:r>
        <w:tab/>
        <w:t>Impact of Commonwealth water purchases in a dry and wet year</w:t>
      </w:r>
      <w:bookmarkEnd w:id="92"/>
    </w:p>
    <w:p w:rsidR="00164DF8" w:rsidRDefault="00164DF8" w:rsidP="00592F62"/>
    <w:p w:rsidR="006D0FEF" w:rsidRDefault="00306798" w:rsidP="00592F62">
      <w:r>
        <w:fldChar w:fldCharType="begin"/>
      </w:r>
      <w:r w:rsidR="006D0FEF">
        <w:instrText xml:space="preserve"> REF _Ref431201915 \h </w:instrText>
      </w:r>
      <w:r>
        <w:fldChar w:fldCharType="separate"/>
      </w:r>
      <w:r w:rsidR="00EB2418" w:rsidRPr="00894869">
        <w:t xml:space="preserve">Table </w:t>
      </w:r>
      <w:r w:rsidR="00EB2418">
        <w:rPr>
          <w:noProof/>
        </w:rPr>
        <w:t>4</w:t>
      </w:r>
      <w:r>
        <w:fldChar w:fldCharType="end"/>
      </w:r>
      <w:r w:rsidR="006D0FEF">
        <w:t xml:space="preserve"> provides a detailed breakdown of the e</w:t>
      </w:r>
      <w:r w:rsidR="006D0FEF" w:rsidRPr="006D0FEF">
        <w:t xml:space="preserve">stimated water allocation price impacts of </w:t>
      </w:r>
      <w:r w:rsidR="006D0FEF">
        <w:t xml:space="preserve">current </w:t>
      </w:r>
      <w:r w:rsidR="006D0FEF" w:rsidRPr="006D0FEF">
        <w:t>Commonwealth water purchases for hypothetical future water years</w:t>
      </w:r>
      <w:r w:rsidR="006D0FEF">
        <w:t xml:space="preserve">. </w:t>
      </w:r>
    </w:p>
    <w:p w:rsidR="00E621BA" w:rsidRPr="00CC1CF7" w:rsidRDefault="00E621BA" w:rsidP="00CC1CF7">
      <w:pPr>
        <w:pStyle w:val="Caption"/>
      </w:pPr>
      <w:bookmarkStart w:id="93" w:name="_Ref431203295"/>
      <w:bookmarkStart w:id="94" w:name="_Toc440006863"/>
      <w:bookmarkEnd w:id="88"/>
      <w:r w:rsidRPr="00894869">
        <w:t xml:space="preserve">Table </w:t>
      </w:r>
      <w:r w:rsidR="00306798">
        <w:fldChar w:fldCharType="begin"/>
      </w:r>
      <w:r w:rsidR="00531166">
        <w:instrText xml:space="preserve"> SEQ Table \* ARABIC </w:instrText>
      </w:r>
      <w:r w:rsidR="00306798">
        <w:fldChar w:fldCharType="separate"/>
      </w:r>
      <w:r w:rsidR="00EB2418">
        <w:rPr>
          <w:noProof/>
        </w:rPr>
        <w:t>5</w:t>
      </w:r>
      <w:r w:rsidR="00306798">
        <w:rPr>
          <w:noProof/>
        </w:rPr>
        <w:fldChar w:fldCharType="end"/>
      </w:r>
      <w:bookmarkEnd w:id="93"/>
      <w:r>
        <w:tab/>
      </w:r>
      <w:r w:rsidR="006D0FEF" w:rsidRPr="006D0FEF">
        <w:t>Estimated water allocation price impacts of Commonwealth water purchases for hypothetical future water years</w:t>
      </w:r>
      <w:bookmarkEnd w:id="94"/>
    </w:p>
    <w:tbl>
      <w:tblPr>
        <w:tblStyle w:val="Aither"/>
        <w:tblW w:w="9090" w:type="dxa"/>
        <w:tblInd w:w="108" w:type="dxa"/>
        <w:tblLayout w:type="fixed"/>
        <w:tblLook w:val="04A0"/>
      </w:tblPr>
      <w:tblGrid>
        <w:gridCol w:w="1980"/>
        <w:gridCol w:w="2520"/>
        <w:gridCol w:w="2220"/>
        <w:gridCol w:w="2370"/>
      </w:tblGrid>
      <w:tr w:rsidR="00BD4F6B" w:rsidTr="00BD4F6B">
        <w:trPr>
          <w:cnfStyle w:val="100000000000"/>
        </w:trPr>
        <w:tc>
          <w:tcPr>
            <w:tcW w:w="1980" w:type="dxa"/>
          </w:tcPr>
          <w:p w:rsidR="00BD4F6B" w:rsidRDefault="00BD4F6B" w:rsidP="008A1494">
            <w:pPr>
              <w:pStyle w:val="TableHeading"/>
            </w:pPr>
            <w:r>
              <w:t xml:space="preserve">Scenario </w:t>
            </w:r>
          </w:p>
        </w:tc>
        <w:tc>
          <w:tcPr>
            <w:tcW w:w="2520" w:type="dxa"/>
          </w:tcPr>
          <w:p w:rsidR="00BD4F6B" w:rsidRDefault="00BD4F6B" w:rsidP="00A93F1D">
            <w:pPr>
              <w:pStyle w:val="TableHeading"/>
            </w:pPr>
            <w:r>
              <w:t>Modelled price – without purchases ($/ML)</w:t>
            </w:r>
          </w:p>
        </w:tc>
        <w:tc>
          <w:tcPr>
            <w:tcW w:w="2220" w:type="dxa"/>
          </w:tcPr>
          <w:p w:rsidR="00BD4F6B" w:rsidRDefault="00BD4F6B" w:rsidP="00F643F9">
            <w:pPr>
              <w:pStyle w:val="TableHeading"/>
            </w:pPr>
            <w:r>
              <w:t>Modelled price – with purchases ($/ML)</w:t>
            </w:r>
          </w:p>
        </w:tc>
        <w:tc>
          <w:tcPr>
            <w:tcW w:w="2370" w:type="dxa"/>
          </w:tcPr>
          <w:p w:rsidR="00BD4F6B" w:rsidRPr="00F643F9" w:rsidRDefault="00BD4F6B" w:rsidP="00F643F9">
            <w:pPr>
              <w:pStyle w:val="TableHeading"/>
              <w:rPr>
                <w:vertAlign w:val="superscript"/>
              </w:rPr>
            </w:pPr>
            <w:r w:rsidRPr="00A92496">
              <w:t>Potential</w:t>
            </w:r>
            <w:r>
              <w:t xml:space="preserve"> price</w:t>
            </w:r>
            <w:r w:rsidRPr="00A92496">
              <w:t xml:space="preserve"> impact of </w:t>
            </w:r>
            <w:r>
              <w:t>purchases</w:t>
            </w:r>
            <w:r w:rsidRPr="00A92496">
              <w:t xml:space="preserve"> ($/ML)</w:t>
            </w:r>
            <w:r>
              <w:rPr>
                <w:vertAlign w:val="superscript"/>
              </w:rPr>
              <w:t>1</w:t>
            </w:r>
          </w:p>
        </w:tc>
      </w:tr>
      <w:tr w:rsidR="00BD4F6B" w:rsidTr="00BD4F6B">
        <w:trPr>
          <w:cnfStyle w:val="000000100000"/>
        </w:trPr>
        <w:tc>
          <w:tcPr>
            <w:tcW w:w="1980" w:type="dxa"/>
          </w:tcPr>
          <w:p w:rsidR="00BD4F6B" w:rsidRDefault="00BD4F6B" w:rsidP="008A1494">
            <w:pPr>
              <w:pStyle w:val="TableText"/>
            </w:pPr>
            <w:r>
              <w:t>Expected 2015-16</w:t>
            </w:r>
          </w:p>
        </w:tc>
        <w:tc>
          <w:tcPr>
            <w:tcW w:w="2520" w:type="dxa"/>
          </w:tcPr>
          <w:p w:rsidR="00BD4F6B" w:rsidRPr="005138CF" w:rsidRDefault="00BD4F6B" w:rsidP="004627CD">
            <w:pPr>
              <w:pStyle w:val="TableText"/>
            </w:pPr>
            <w:r w:rsidRPr="005138CF">
              <w:t xml:space="preserve">$127 </w:t>
            </w:r>
          </w:p>
        </w:tc>
        <w:tc>
          <w:tcPr>
            <w:tcW w:w="2220" w:type="dxa"/>
          </w:tcPr>
          <w:p w:rsidR="00BD4F6B" w:rsidRPr="00FE690C" w:rsidRDefault="00BD4F6B" w:rsidP="004627CD">
            <w:pPr>
              <w:pStyle w:val="TableText"/>
            </w:pPr>
            <w:r w:rsidRPr="00FE690C">
              <w:t xml:space="preserve">$157 </w:t>
            </w:r>
          </w:p>
        </w:tc>
        <w:tc>
          <w:tcPr>
            <w:tcW w:w="2370" w:type="dxa"/>
          </w:tcPr>
          <w:p w:rsidR="00BD4F6B" w:rsidRPr="004627CD" w:rsidRDefault="00BD4F6B" w:rsidP="004627CD">
            <w:pPr>
              <w:pStyle w:val="TableText"/>
            </w:pPr>
            <w:r w:rsidRPr="004627CD">
              <w:t xml:space="preserve">$30 </w:t>
            </w:r>
          </w:p>
        </w:tc>
      </w:tr>
      <w:tr w:rsidR="00BD4F6B" w:rsidTr="00BD4F6B">
        <w:tc>
          <w:tcPr>
            <w:tcW w:w="1980" w:type="dxa"/>
          </w:tcPr>
          <w:p w:rsidR="00BD4F6B" w:rsidRDefault="00BD4F6B" w:rsidP="00164DF8">
            <w:pPr>
              <w:pStyle w:val="TableText"/>
            </w:pPr>
            <w:r>
              <w:t>Repeat of extreme dry year (2008-09)</w:t>
            </w:r>
          </w:p>
        </w:tc>
        <w:tc>
          <w:tcPr>
            <w:tcW w:w="2520" w:type="dxa"/>
          </w:tcPr>
          <w:p w:rsidR="00BD4F6B" w:rsidRPr="005138CF" w:rsidRDefault="00BD4F6B" w:rsidP="004627CD">
            <w:pPr>
              <w:pStyle w:val="TableText"/>
            </w:pPr>
            <w:r w:rsidRPr="005138CF">
              <w:t xml:space="preserve">$398 </w:t>
            </w:r>
          </w:p>
        </w:tc>
        <w:tc>
          <w:tcPr>
            <w:tcW w:w="2220" w:type="dxa"/>
          </w:tcPr>
          <w:p w:rsidR="00BD4F6B" w:rsidRPr="00FE690C" w:rsidRDefault="00BD4F6B" w:rsidP="004627CD">
            <w:pPr>
              <w:pStyle w:val="TableText"/>
            </w:pPr>
            <w:r w:rsidRPr="00FE690C">
              <w:t xml:space="preserve">$429 </w:t>
            </w:r>
          </w:p>
        </w:tc>
        <w:tc>
          <w:tcPr>
            <w:tcW w:w="2370" w:type="dxa"/>
          </w:tcPr>
          <w:p w:rsidR="00BD4F6B" w:rsidRPr="004627CD" w:rsidRDefault="00BD4F6B" w:rsidP="004627CD">
            <w:pPr>
              <w:pStyle w:val="TableText"/>
            </w:pPr>
            <w:r w:rsidRPr="004627CD">
              <w:t xml:space="preserve">$31 </w:t>
            </w:r>
          </w:p>
        </w:tc>
      </w:tr>
      <w:tr w:rsidR="00BD4F6B" w:rsidTr="00BD4F6B">
        <w:trPr>
          <w:cnfStyle w:val="000000100000"/>
        </w:trPr>
        <w:tc>
          <w:tcPr>
            <w:tcW w:w="1980" w:type="dxa"/>
          </w:tcPr>
          <w:p w:rsidR="00BD4F6B" w:rsidRDefault="00BD4F6B" w:rsidP="00A0381D">
            <w:pPr>
              <w:pStyle w:val="TableText"/>
            </w:pPr>
            <w:r>
              <w:t>Repeat of average year (</w:t>
            </w:r>
            <w:r w:rsidRPr="00546EED">
              <w:t>2005-06</w:t>
            </w:r>
            <w:r>
              <w:t>)</w:t>
            </w:r>
          </w:p>
        </w:tc>
        <w:tc>
          <w:tcPr>
            <w:tcW w:w="2520" w:type="dxa"/>
          </w:tcPr>
          <w:p w:rsidR="00BD4F6B" w:rsidRPr="005138CF" w:rsidRDefault="00BD4F6B" w:rsidP="004627CD">
            <w:pPr>
              <w:pStyle w:val="TableText"/>
            </w:pPr>
            <w:r w:rsidRPr="005138CF">
              <w:t xml:space="preserve">$71 </w:t>
            </w:r>
          </w:p>
        </w:tc>
        <w:tc>
          <w:tcPr>
            <w:tcW w:w="2220" w:type="dxa"/>
          </w:tcPr>
          <w:p w:rsidR="00BD4F6B" w:rsidRPr="00FE690C" w:rsidRDefault="00BD4F6B" w:rsidP="004627CD">
            <w:pPr>
              <w:pStyle w:val="TableText"/>
            </w:pPr>
            <w:r w:rsidRPr="00FE690C">
              <w:t xml:space="preserve">$92 </w:t>
            </w:r>
          </w:p>
        </w:tc>
        <w:tc>
          <w:tcPr>
            <w:tcW w:w="2370" w:type="dxa"/>
          </w:tcPr>
          <w:p w:rsidR="00BD4F6B" w:rsidRPr="004627CD" w:rsidRDefault="00BD4F6B" w:rsidP="004627CD">
            <w:pPr>
              <w:pStyle w:val="TableText"/>
            </w:pPr>
            <w:r w:rsidRPr="004627CD">
              <w:t xml:space="preserve">$21 </w:t>
            </w:r>
          </w:p>
        </w:tc>
      </w:tr>
      <w:tr w:rsidR="00BD4F6B" w:rsidTr="00BD4F6B">
        <w:tc>
          <w:tcPr>
            <w:tcW w:w="1980" w:type="dxa"/>
          </w:tcPr>
          <w:p w:rsidR="00BD4F6B" w:rsidRDefault="00BD4F6B" w:rsidP="00720F3E">
            <w:pPr>
              <w:pStyle w:val="TableText"/>
            </w:pPr>
            <w:r>
              <w:t>Repeat of wet year (</w:t>
            </w:r>
            <w:r w:rsidRPr="00A0381D">
              <w:t>2011-12</w:t>
            </w:r>
            <w:r>
              <w:t>)</w:t>
            </w:r>
          </w:p>
        </w:tc>
        <w:tc>
          <w:tcPr>
            <w:tcW w:w="2520" w:type="dxa"/>
          </w:tcPr>
          <w:p w:rsidR="00BD4F6B" w:rsidRDefault="00BD4F6B" w:rsidP="004627CD">
            <w:pPr>
              <w:pStyle w:val="TableText"/>
            </w:pPr>
            <w:r w:rsidRPr="005138CF">
              <w:t xml:space="preserve">$25 </w:t>
            </w:r>
          </w:p>
        </w:tc>
        <w:tc>
          <w:tcPr>
            <w:tcW w:w="2220" w:type="dxa"/>
          </w:tcPr>
          <w:p w:rsidR="00BD4F6B" w:rsidRDefault="00BD4F6B" w:rsidP="004627CD">
            <w:pPr>
              <w:pStyle w:val="TableText"/>
            </w:pPr>
            <w:r w:rsidRPr="00FE690C">
              <w:t xml:space="preserve">$34 </w:t>
            </w:r>
          </w:p>
        </w:tc>
        <w:tc>
          <w:tcPr>
            <w:tcW w:w="2370" w:type="dxa"/>
          </w:tcPr>
          <w:p w:rsidR="00BD4F6B" w:rsidRPr="004627CD" w:rsidRDefault="00BD4F6B" w:rsidP="004627CD">
            <w:pPr>
              <w:pStyle w:val="TableText"/>
            </w:pPr>
            <w:r w:rsidRPr="004627CD">
              <w:t xml:space="preserve">$9 </w:t>
            </w:r>
          </w:p>
        </w:tc>
      </w:tr>
    </w:tbl>
    <w:p w:rsidR="00E621BA" w:rsidRDefault="00E621BA" w:rsidP="008A1494">
      <w:pPr>
        <w:pStyle w:val="TFIHolderSmallSpace"/>
      </w:pPr>
    </w:p>
    <w:p w:rsidR="00E621BA" w:rsidRDefault="00E621BA" w:rsidP="00C21848">
      <w:pPr>
        <w:pStyle w:val="TFNoteSourceTab"/>
      </w:pPr>
      <w:r w:rsidRPr="00776F13">
        <w:t>Source:</w:t>
      </w:r>
      <w:r w:rsidRPr="00776F13">
        <w:tab/>
      </w:r>
      <w:proofErr w:type="spellStart"/>
      <w:r w:rsidR="004627CD" w:rsidRPr="00776F13">
        <w:t>Aither</w:t>
      </w:r>
      <w:proofErr w:type="spellEnd"/>
      <w:r w:rsidR="004627CD" w:rsidRPr="00776F13">
        <w:t xml:space="preserve"> 2015. </w:t>
      </w:r>
      <w:proofErr w:type="gramStart"/>
      <w:r w:rsidR="004627CD" w:rsidRPr="00776F13">
        <w:t>New South Wales Water Register, South Australian Water Register and Victorian Water Register.</w:t>
      </w:r>
      <w:proofErr w:type="gramEnd"/>
      <w:r w:rsidR="004627CD" w:rsidRPr="00776F13">
        <w:t xml:space="preserve"> Based on Commonwealth</w:t>
      </w:r>
      <w:r w:rsidR="004627CD" w:rsidRPr="004627CD">
        <w:t xml:space="preserve"> water purchase data provided to </w:t>
      </w:r>
      <w:proofErr w:type="spellStart"/>
      <w:r w:rsidR="004627CD" w:rsidRPr="004627CD">
        <w:t>Aither</w:t>
      </w:r>
      <w:proofErr w:type="spellEnd"/>
      <w:r w:rsidR="004627CD" w:rsidRPr="004627CD">
        <w:t xml:space="preserve"> by the Department of the Environment.</w:t>
      </w:r>
    </w:p>
    <w:p w:rsidR="00F643F9" w:rsidRDefault="00F643F9" w:rsidP="00C21848">
      <w:pPr>
        <w:pStyle w:val="TFNoteSourceTab"/>
      </w:pPr>
      <w:r>
        <w:t xml:space="preserve">Note: </w:t>
      </w:r>
      <w:r>
        <w:tab/>
      </w:r>
      <w:r w:rsidR="00AA49F6">
        <w:t>1) Please see Appendix B</w:t>
      </w:r>
      <w:r>
        <w:t xml:space="preserve"> for 95 percent confidence intervals of the</w:t>
      </w:r>
      <w:r w:rsidRPr="00F643F9">
        <w:t xml:space="preserve"> </w:t>
      </w:r>
      <w:r>
        <w:t>p</w:t>
      </w:r>
      <w:r w:rsidRPr="00F643F9">
        <w:t>otential price impact of purchases</w:t>
      </w:r>
      <w:r>
        <w:t>.</w:t>
      </w:r>
    </w:p>
    <w:p w:rsidR="00EA04A2" w:rsidRDefault="000E7FBB" w:rsidP="00167D4C">
      <w:pPr>
        <w:pStyle w:val="Heading3"/>
      </w:pPr>
      <w:bookmarkStart w:id="95" w:name="_Ref431195995"/>
      <w:r w:rsidRPr="000E7FBB">
        <w:lastRenderedPageBreak/>
        <w:t>Scenario 4 – Impact of additional Commonwealth water purchases on future allocation prices</w:t>
      </w:r>
    </w:p>
    <w:p w:rsidR="00164DF8" w:rsidRDefault="00164DF8" w:rsidP="00164DF8">
      <w:pPr>
        <w:pStyle w:val="BoxHeading"/>
      </w:pPr>
      <w:r>
        <w:t>Scenario 4</w:t>
      </w:r>
    </w:p>
    <w:p w:rsidR="00164DF8" w:rsidRPr="00164DF8" w:rsidRDefault="00164DF8" w:rsidP="00164DF8">
      <w:pPr>
        <w:pStyle w:val="BoxText"/>
      </w:pPr>
      <w:r w:rsidRPr="00825360">
        <w:t xml:space="preserve">Scenario </w:t>
      </w:r>
      <w:r>
        <w:t>4</w:t>
      </w:r>
      <w:r w:rsidRPr="00825360">
        <w:t xml:space="preserve"> tests</w:t>
      </w:r>
      <w:r>
        <w:t xml:space="preserve"> </w:t>
      </w:r>
      <w:r w:rsidRPr="00164DF8">
        <w:t xml:space="preserve">the potential impact of additional Commonwealth </w:t>
      </w:r>
      <w:r w:rsidR="006A01FA">
        <w:t xml:space="preserve">water </w:t>
      </w:r>
      <w:r w:rsidRPr="00164DF8">
        <w:t>purchases on future allocation prices</w:t>
      </w:r>
      <w:r>
        <w:t>.</w:t>
      </w:r>
      <w:r w:rsidRPr="00164DF8">
        <w:t xml:space="preserve"> </w:t>
      </w:r>
      <w:proofErr w:type="spellStart"/>
      <w:r>
        <w:t>Aither</w:t>
      </w:r>
      <w:proofErr w:type="spellEnd"/>
      <w:r>
        <w:t xml:space="preserve"> tested three of </w:t>
      </w:r>
      <w:r w:rsidR="00520132" w:rsidRPr="00164DF8">
        <w:t>the</w:t>
      </w:r>
      <w:r w:rsidR="00520132">
        <w:t xml:space="preserve"> future </w:t>
      </w:r>
      <w:r w:rsidR="006D0FEF">
        <w:t>hypothetical water years</w:t>
      </w:r>
      <w:r w:rsidR="006D0FEF" w:rsidRPr="00164DF8">
        <w:t xml:space="preserve"> </w:t>
      </w:r>
      <w:r w:rsidRPr="00164DF8">
        <w:t xml:space="preserve">developed in Scenario 3 through </w:t>
      </w:r>
      <w:r w:rsidR="00C07943">
        <w:t>the</w:t>
      </w:r>
      <w:r w:rsidR="00C07943" w:rsidRPr="00164DF8">
        <w:t xml:space="preserve"> </w:t>
      </w:r>
      <w:r w:rsidRPr="00164DF8">
        <w:t>allocation price model twice – once with Commonwealth</w:t>
      </w:r>
      <w:r w:rsidR="00585E5A">
        <w:t xml:space="preserve"> water</w:t>
      </w:r>
      <w:r w:rsidRPr="00164DF8">
        <w:t xml:space="preserve"> purchases (including additional volumes of purchases) and once assuming that Commonwealth </w:t>
      </w:r>
      <w:r w:rsidR="00043651">
        <w:t xml:space="preserve">water </w:t>
      </w:r>
      <w:r w:rsidRPr="00164DF8">
        <w:t xml:space="preserve">purchases </w:t>
      </w:r>
      <w:r w:rsidR="003F03D3">
        <w:t>do</w:t>
      </w:r>
      <w:r w:rsidR="003F03D3" w:rsidRPr="00164DF8">
        <w:t xml:space="preserve"> </w:t>
      </w:r>
      <w:r w:rsidRPr="00164DF8">
        <w:t xml:space="preserve">not occur. </w:t>
      </w:r>
      <w:r w:rsidRPr="008E79AF">
        <w:t xml:space="preserve">The outputs of </w:t>
      </w:r>
      <w:r>
        <w:t>S</w:t>
      </w:r>
      <w:r w:rsidRPr="008E79AF">
        <w:t>cenario</w:t>
      </w:r>
      <w:r>
        <w:t xml:space="preserve"> 3</w:t>
      </w:r>
      <w:r w:rsidRPr="008E79AF">
        <w:t xml:space="preserve"> </w:t>
      </w:r>
      <w:r w:rsidR="006D0FEF">
        <w:t>are</w:t>
      </w:r>
      <w:r>
        <w:t xml:space="preserve"> </w:t>
      </w:r>
      <w:r w:rsidRPr="008E79AF">
        <w:t xml:space="preserve">used as </w:t>
      </w:r>
      <w:r>
        <w:t>a base-</w:t>
      </w:r>
      <w:r w:rsidRPr="008E79AF">
        <w:t xml:space="preserve">case for </w:t>
      </w:r>
      <w:r w:rsidR="003F03D3">
        <w:t>estimating</w:t>
      </w:r>
      <w:r w:rsidR="003F03D3" w:rsidRPr="008E79AF">
        <w:t xml:space="preserve"> </w:t>
      </w:r>
      <w:r w:rsidRPr="008E79AF">
        <w:t xml:space="preserve">potential impacts if </w:t>
      </w:r>
      <w:proofErr w:type="gramStart"/>
      <w:r w:rsidRPr="008E79AF">
        <w:t>additional Commonwealth</w:t>
      </w:r>
      <w:r w:rsidR="00043651">
        <w:t xml:space="preserve"> water</w:t>
      </w:r>
      <w:r w:rsidRPr="008E79AF">
        <w:t xml:space="preserve"> </w:t>
      </w:r>
      <w:r>
        <w:t>purchases</w:t>
      </w:r>
      <w:r w:rsidRPr="008E79AF">
        <w:t xml:space="preserve"> occur</w:t>
      </w:r>
      <w:r w:rsidR="003F03D3">
        <w:t>s</w:t>
      </w:r>
      <w:proofErr w:type="gramEnd"/>
      <w:r w:rsidR="003F03D3">
        <w:t xml:space="preserve"> in the future</w:t>
      </w:r>
      <w:r w:rsidRPr="008E79AF">
        <w:t>.</w:t>
      </w:r>
    </w:p>
    <w:p w:rsidR="00FB5FA1" w:rsidRDefault="00FB5FA1">
      <w:r>
        <w:t xml:space="preserve">Based on progress to date with recovering water for the environment in the Murray-Darling Basin, there is the potential that further Commonwealth water </w:t>
      </w:r>
      <w:r w:rsidR="00167D4C">
        <w:t>purchases</w:t>
      </w:r>
      <w:r>
        <w:t xml:space="preserve"> in the </w:t>
      </w:r>
      <w:proofErr w:type="spellStart"/>
      <w:r>
        <w:t>sMDB</w:t>
      </w:r>
      <w:proofErr w:type="spellEnd"/>
      <w:r>
        <w:t xml:space="preserve"> </w:t>
      </w:r>
      <w:r w:rsidR="003F03D3">
        <w:t xml:space="preserve">may </w:t>
      </w:r>
      <w:r>
        <w:t xml:space="preserve">be required. To test the potential price impact of these additional Commonwealth </w:t>
      </w:r>
      <w:r w:rsidR="00043651">
        <w:t xml:space="preserve">water </w:t>
      </w:r>
      <w:r>
        <w:t xml:space="preserve">purchases, </w:t>
      </w:r>
      <w:proofErr w:type="spellStart"/>
      <w:r>
        <w:t>Aither</w:t>
      </w:r>
      <w:proofErr w:type="spellEnd"/>
      <w:r>
        <w:t xml:space="preserve"> replicated the model runs also undertaken for Scenario 3.</w:t>
      </w:r>
      <w:r>
        <w:rPr>
          <w:rStyle w:val="FootnoteReference"/>
        </w:rPr>
        <w:footnoteReference w:id="26"/>
      </w:r>
      <w:r w:rsidR="00EF1479">
        <w:t xml:space="preserve"> </w:t>
      </w:r>
      <w:r>
        <w:t xml:space="preserve">For these model runs </w:t>
      </w:r>
      <w:proofErr w:type="spellStart"/>
      <w:r w:rsidR="00855EA4">
        <w:t>Aither</w:t>
      </w:r>
      <w:proofErr w:type="spellEnd"/>
      <w:r w:rsidR="00855EA4">
        <w:t xml:space="preserve"> assumed that the additional 200 GL of water entitlements are purchased by the Commonwealth Government in the </w:t>
      </w:r>
      <w:proofErr w:type="spellStart"/>
      <w:r w:rsidR="00855EA4">
        <w:t>sMDB</w:t>
      </w:r>
      <w:proofErr w:type="spellEnd"/>
      <w:r w:rsidR="00855EA4">
        <w:t xml:space="preserve"> on a proportional basis to </w:t>
      </w:r>
      <w:r w:rsidR="00164DF8">
        <w:t xml:space="preserve">the volumes </w:t>
      </w:r>
      <w:r w:rsidR="00855EA4">
        <w:t>current entitlements held</w:t>
      </w:r>
      <w:r w:rsidR="00164DF8">
        <w:t xml:space="preserve"> for each entitlement type</w:t>
      </w:r>
      <w:r w:rsidR="00855EA4">
        <w:t>.</w:t>
      </w:r>
      <w:r w:rsidR="00164DF8">
        <w:t xml:space="preserve"> All 200 GL of water is assumed to have been purchased before the</w:t>
      </w:r>
      <w:r w:rsidR="00164DF8" w:rsidRPr="00164DF8">
        <w:t xml:space="preserve"> </w:t>
      </w:r>
      <w:r w:rsidR="00164DF8">
        <w:t>hypothetical future water year is tested</w:t>
      </w:r>
      <w:r w:rsidR="00164DF8" w:rsidRPr="00164DF8">
        <w:t>.</w:t>
      </w:r>
    </w:p>
    <w:p w:rsidR="00441E5B" w:rsidRDefault="006D0FEF" w:rsidP="00592F62">
      <w:r>
        <w:t>The</w:t>
      </w:r>
      <w:r w:rsidR="00441E5B">
        <w:t xml:space="preserve"> results under an </w:t>
      </w:r>
      <w:r w:rsidR="00441E5B" w:rsidRPr="00441E5B">
        <w:t xml:space="preserve">additional </w:t>
      </w:r>
      <w:r w:rsidR="00167D4C">
        <w:t>purchase</w:t>
      </w:r>
      <w:r w:rsidR="00441E5B">
        <w:t xml:space="preserve"> scenario for future water years are very similar to that seen under current </w:t>
      </w:r>
      <w:r w:rsidR="00164DF8">
        <w:t xml:space="preserve">volumes </w:t>
      </w:r>
      <w:r w:rsidR="00441E5B">
        <w:t xml:space="preserve">of </w:t>
      </w:r>
      <w:r w:rsidR="00167D4C">
        <w:t xml:space="preserve">Commonwealth </w:t>
      </w:r>
      <w:r w:rsidR="00585E5A">
        <w:t xml:space="preserve">water </w:t>
      </w:r>
      <w:r w:rsidR="00167D4C">
        <w:t>purchase</w:t>
      </w:r>
      <w:r w:rsidR="00164DF8">
        <w:t>s</w:t>
      </w:r>
      <w:r w:rsidR="00167D4C">
        <w:t xml:space="preserve"> </w:t>
      </w:r>
      <w:r w:rsidR="00441E5B">
        <w:t>(</w:t>
      </w:r>
      <w:r w:rsidR="00306798">
        <w:fldChar w:fldCharType="begin"/>
      </w:r>
      <w:r>
        <w:instrText xml:space="preserve"> REF _Ref431218583 \h </w:instrText>
      </w:r>
      <w:r w:rsidR="00306798">
        <w:fldChar w:fldCharType="separate"/>
      </w:r>
      <w:r w:rsidR="00EB2418">
        <w:t xml:space="preserve">Figure </w:t>
      </w:r>
      <w:r w:rsidR="00EB2418">
        <w:rPr>
          <w:noProof/>
        </w:rPr>
        <w:t>10</w:t>
      </w:r>
      <w:r w:rsidR="00306798">
        <w:fldChar w:fldCharType="end"/>
      </w:r>
      <w:r>
        <w:t xml:space="preserve"> </w:t>
      </w:r>
      <w:r w:rsidR="00441E5B">
        <w:t>compare</w:t>
      </w:r>
      <w:r>
        <w:t>d</w:t>
      </w:r>
      <w:r w:rsidR="00441E5B">
        <w:t xml:space="preserve"> to </w:t>
      </w:r>
      <w:r w:rsidR="00306798">
        <w:fldChar w:fldCharType="begin"/>
      </w:r>
      <w:r w:rsidR="00441E5B">
        <w:instrText xml:space="preserve"> REF _Ref431214791 \h </w:instrText>
      </w:r>
      <w:r w:rsidR="00306798">
        <w:fldChar w:fldCharType="separate"/>
      </w:r>
      <w:r w:rsidR="00EB2418">
        <w:t xml:space="preserve">Figure </w:t>
      </w:r>
      <w:r w:rsidR="00EB2418">
        <w:rPr>
          <w:noProof/>
        </w:rPr>
        <w:t>8</w:t>
      </w:r>
      <w:r w:rsidR="00306798">
        <w:fldChar w:fldCharType="end"/>
      </w:r>
      <w:r w:rsidR="00441E5B">
        <w:t>).</w:t>
      </w:r>
      <w:r w:rsidR="00D46D3B">
        <w:t xml:space="preserve"> Only minor price rises in under all hypothetical water years can be attributed to additional </w:t>
      </w:r>
      <w:r w:rsidR="000D2E3D">
        <w:t xml:space="preserve">200 GL of </w:t>
      </w:r>
      <w:r w:rsidR="00D46D3B">
        <w:t xml:space="preserve">Commonwealth </w:t>
      </w:r>
      <w:r w:rsidR="00585E5A">
        <w:t xml:space="preserve">water </w:t>
      </w:r>
      <w:r w:rsidR="00167D4C">
        <w:t>purchases</w:t>
      </w:r>
      <w:r w:rsidR="00EF1479">
        <w:t xml:space="preserve"> in the </w:t>
      </w:r>
      <w:proofErr w:type="spellStart"/>
      <w:r w:rsidR="00EF1479">
        <w:t>sMDB</w:t>
      </w:r>
      <w:proofErr w:type="spellEnd"/>
      <w:r w:rsidR="00D46D3B">
        <w:t>.</w:t>
      </w:r>
      <w:r w:rsidR="00441E5B">
        <w:t xml:space="preserve"> </w:t>
      </w:r>
    </w:p>
    <w:p w:rsidR="00441E5B" w:rsidRDefault="006D0FEF" w:rsidP="006D0FEF">
      <w:r>
        <w:rPr>
          <w:noProof/>
        </w:rPr>
        <w:drawing>
          <wp:inline distT="0" distB="0" distL="0" distR="0">
            <wp:extent cx="5702300" cy="266842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2300" cy="2668422"/>
                    </a:xfrm>
                    <a:prstGeom prst="rect">
                      <a:avLst/>
                    </a:prstGeom>
                    <a:noFill/>
                  </pic:spPr>
                </pic:pic>
              </a:graphicData>
            </a:graphic>
          </wp:inline>
        </w:drawing>
      </w:r>
    </w:p>
    <w:p w:rsidR="00441E5B" w:rsidRDefault="00441E5B" w:rsidP="00382D62">
      <w:pPr>
        <w:pStyle w:val="TFNoteSourceTab"/>
      </w:pPr>
      <w:r w:rsidRPr="00776F13">
        <w:t>Source:</w:t>
      </w:r>
      <w:r w:rsidRPr="00776F13">
        <w:tab/>
      </w:r>
      <w:proofErr w:type="spellStart"/>
      <w:r w:rsidR="00623D48" w:rsidRPr="00776F13">
        <w:t>Aither</w:t>
      </w:r>
      <w:proofErr w:type="spellEnd"/>
      <w:r w:rsidR="00623D48" w:rsidRPr="00776F13">
        <w:t xml:space="preserve"> 2015. </w:t>
      </w:r>
      <w:proofErr w:type="gramStart"/>
      <w:r w:rsidR="00623D48" w:rsidRPr="00776F13">
        <w:t>New</w:t>
      </w:r>
      <w:r w:rsidR="00623D48" w:rsidRPr="00623D48">
        <w:t xml:space="preserve"> South Wales Water Register, South Australian Water Register and Victorian Water Register.</w:t>
      </w:r>
      <w:proofErr w:type="gramEnd"/>
      <w:r w:rsidR="00623D48" w:rsidRPr="00623D48">
        <w:t xml:space="preserve"> Based on Commonwealth water purchase data provided to </w:t>
      </w:r>
      <w:proofErr w:type="spellStart"/>
      <w:r w:rsidR="00623D48" w:rsidRPr="00623D48">
        <w:t>Aither</w:t>
      </w:r>
      <w:proofErr w:type="spellEnd"/>
      <w:r w:rsidR="00623D48" w:rsidRPr="00623D48">
        <w:t xml:space="preserve"> by the Department of the Environment.</w:t>
      </w:r>
    </w:p>
    <w:p w:rsidR="00441E5B" w:rsidRDefault="00441E5B" w:rsidP="00756220">
      <w:pPr>
        <w:pStyle w:val="Caption"/>
      </w:pPr>
      <w:bookmarkStart w:id="96" w:name="_Ref431218583"/>
      <w:bookmarkStart w:id="97" w:name="_Toc440006880"/>
      <w:r>
        <w:t xml:space="preserve">Figure </w:t>
      </w:r>
      <w:r w:rsidR="00306798">
        <w:fldChar w:fldCharType="begin"/>
      </w:r>
      <w:r w:rsidR="00531166">
        <w:instrText xml:space="preserve"> SEQ Figure \* ARABIC </w:instrText>
      </w:r>
      <w:r w:rsidR="00306798">
        <w:fldChar w:fldCharType="separate"/>
      </w:r>
      <w:r w:rsidR="00EB2418">
        <w:rPr>
          <w:noProof/>
        </w:rPr>
        <w:t>10</w:t>
      </w:r>
      <w:r w:rsidR="00306798">
        <w:rPr>
          <w:noProof/>
        </w:rPr>
        <w:fldChar w:fldCharType="end"/>
      </w:r>
      <w:bookmarkEnd w:id="96"/>
      <w:r>
        <w:tab/>
      </w:r>
      <w:r w:rsidR="006D0FEF">
        <w:t>Estimated water a</w:t>
      </w:r>
      <w:r>
        <w:t xml:space="preserve">llocation price impacts of additional Commonwealth </w:t>
      </w:r>
      <w:r w:rsidR="00585E5A">
        <w:t xml:space="preserve">water </w:t>
      </w:r>
      <w:r w:rsidR="00167D4C">
        <w:t>purchases</w:t>
      </w:r>
      <w:r>
        <w:t xml:space="preserve"> for hypothetical future water year</w:t>
      </w:r>
      <w:r w:rsidR="006D0FEF">
        <w:t>s</w:t>
      </w:r>
      <w:bookmarkEnd w:id="97"/>
    </w:p>
    <w:p w:rsidR="00441E5B" w:rsidRDefault="00441E5B" w:rsidP="00592F62"/>
    <w:p w:rsidR="00766238" w:rsidRDefault="00441E5B" w:rsidP="00592F62">
      <w:r w:rsidRPr="00441E5B">
        <w:lastRenderedPageBreak/>
        <w:t>The</w:t>
      </w:r>
      <w:r w:rsidR="008B204E">
        <w:t xml:space="preserve"> </w:t>
      </w:r>
      <w:r>
        <w:t>price</w:t>
      </w:r>
      <w:r w:rsidRPr="00441E5B">
        <w:t xml:space="preserve"> impact</w:t>
      </w:r>
      <w:r w:rsidR="00D46D3B">
        <w:t xml:space="preserve">s </w:t>
      </w:r>
      <w:r w:rsidRPr="00441E5B">
        <w:t xml:space="preserve">(on top of the impact of current </w:t>
      </w:r>
      <w:r w:rsidR="00167D4C">
        <w:t xml:space="preserve">Commonwealth </w:t>
      </w:r>
      <w:r w:rsidR="00EF1479">
        <w:t xml:space="preserve">water </w:t>
      </w:r>
      <w:r w:rsidR="00167D4C">
        <w:t>purchase</w:t>
      </w:r>
      <w:r w:rsidR="00EF1479">
        <w:t>s</w:t>
      </w:r>
      <w:r w:rsidRPr="00441E5B">
        <w:t xml:space="preserve">) of </w:t>
      </w:r>
      <w:r>
        <w:t>additional</w:t>
      </w:r>
      <w:r w:rsidRPr="00441E5B">
        <w:t xml:space="preserve"> water </w:t>
      </w:r>
      <w:r w:rsidR="00D46D3B" w:rsidRPr="00441E5B">
        <w:t>purchase</w:t>
      </w:r>
      <w:r w:rsidR="00D46D3B">
        <w:t>d</w:t>
      </w:r>
      <w:r w:rsidR="00D46D3B" w:rsidRPr="00441E5B">
        <w:t xml:space="preserve"> </w:t>
      </w:r>
      <w:r w:rsidRPr="00441E5B">
        <w:t>by the Commonwealth</w:t>
      </w:r>
      <w:r w:rsidR="00D46D3B">
        <w:t xml:space="preserve"> Government are</w:t>
      </w:r>
      <w:r w:rsidRPr="00441E5B">
        <w:t xml:space="preserve"> </w:t>
      </w:r>
      <w:r>
        <w:t xml:space="preserve">presented in </w:t>
      </w:r>
      <w:r w:rsidR="00306798">
        <w:fldChar w:fldCharType="begin"/>
      </w:r>
      <w:r>
        <w:instrText xml:space="preserve"> REF _Ref431203295 \h </w:instrText>
      </w:r>
      <w:r w:rsidR="00306798">
        <w:fldChar w:fldCharType="separate"/>
      </w:r>
      <w:r w:rsidR="00EB2418" w:rsidRPr="00894869">
        <w:t xml:space="preserve">Table </w:t>
      </w:r>
      <w:r w:rsidR="00EB2418">
        <w:rPr>
          <w:noProof/>
        </w:rPr>
        <w:t>5</w:t>
      </w:r>
      <w:r w:rsidR="00306798">
        <w:fldChar w:fldCharType="end"/>
      </w:r>
      <w:r>
        <w:t xml:space="preserve">. In comparison to the </w:t>
      </w:r>
      <w:r w:rsidR="00766238">
        <w:t xml:space="preserve">total </w:t>
      </w:r>
      <w:r>
        <w:t>potential price impact of current Commonwealth</w:t>
      </w:r>
      <w:r w:rsidR="00585E5A">
        <w:t xml:space="preserve"> water</w:t>
      </w:r>
      <w:r>
        <w:t xml:space="preserve"> </w:t>
      </w:r>
      <w:r w:rsidR="00167D4C">
        <w:t>purchases</w:t>
      </w:r>
      <w:r>
        <w:t>, t</w:t>
      </w:r>
      <w:r w:rsidRPr="00441E5B">
        <w:t>he added price impact</w:t>
      </w:r>
      <w:r>
        <w:t xml:space="preserve"> of additional purchases is </w:t>
      </w:r>
      <w:r w:rsidR="00022610">
        <w:t xml:space="preserve">relatively </w:t>
      </w:r>
      <w:r>
        <w:t xml:space="preserve">small – </w:t>
      </w:r>
      <w:r w:rsidRPr="00441E5B">
        <w:t>2 per cent in a</w:t>
      </w:r>
      <w:r w:rsidR="00766238">
        <w:t xml:space="preserve"> repeat of a</w:t>
      </w:r>
      <w:r w:rsidRPr="00441E5B">
        <w:t xml:space="preserve"> dry year, </w:t>
      </w:r>
      <w:r w:rsidR="00766238">
        <w:t>4</w:t>
      </w:r>
      <w:r w:rsidR="00766238" w:rsidRPr="00441E5B">
        <w:t xml:space="preserve"> </w:t>
      </w:r>
      <w:r w:rsidRPr="00441E5B">
        <w:t xml:space="preserve">per cent in an average year and </w:t>
      </w:r>
      <w:r w:rsidR="00766238">
        <w:t>6</w:t>
      </w:r>
      <w:r w:rsidR="00766238" w:rsidRPr="00441E5B">
        <w:t xml:space="preserve"> </w:t>
      </w:r>
      <w:r w:rsidRPr="00441E5B">
        <w:t xml:space="preserve">per cent in a wet year. </w:t>
      </w:r>
    </w:p>
    <w:p w:rsidR="00334758" w:rsidRPr="00CC1CF7" w:rsidRDefault="00334758" w:rsidP="00334758">
      <w:pPr>
        <w:pStyle w:val="Caption"/>
      </w:pPr>
      <w:bookmarkStart w:id="98" w:name="_Toc440006864"/>
      <w:bookmarkEnd w:id="95"/>
      <w:r w:rsidRPr="00894869">
        <w:t xml:space="preserve">Table </w:t>
      </w:r>
      <w:r w:rsidR="00306798">
        <w:fldChar w:fldCharType="begin"/>
      </w:r>
      <w:r w:rsidR="00531166">
        <w:instrText xml:space="preserve"> SEQ Table \* ARABIC </w:instrText>
      </w:r>
      <w:r w:rsidR="00306798">
        <w:fldChar w:fldCharType="separate"/>
      </w:r>
      <w:r w:rsidR="00EB2418">
        <w:rPr>
          <w:noProof/>
        </w:rPr>
        <w:t>6</w:t>
      </w:r>
      <w:r w:rsidR="00306798">
        <w:rPr>
          <w:noProof/>
        </w:rPr>
        <w:fldChar w:fldCharType="end"/>
      </w:r>
      <w:r>
        <w:tab/>
        <w:t xml:space="preserve">Allocation price impacts of additional Commonwealth </w:t>
      </w:r>
      <w:r w:rsidR="00585E5A">
        <w:t xml:space="preserve">water </w:t>
      </w:r>
      <w:r w:rsidR="00167D4C">
        <w:t>purchases</w:t>
      </w:r>
      <w:r>
        <w:t xml:space="preserve"> for hypothetical future </w:t>
      </w:r>
      <w:r w:rsidR="00477F89">
        <w:t>water year</w:t>
      </w:r>
      <w:bookmarkEnd w:id="98"/>
    </w:p>
    <w:tbl>
      <w:tblPr>
        <w:tblStyle w:val="Aither"/>
        <w:tblW w:w="9090" w:type="dxa"/>
        <w:tblInd w:w="108" w:type="dxa"/>
        <w:tblLayout w:type="fixed"/>
        <w:tblLook w:val="04A0"/>
      </w:tblPr>
      <w:tblGrid>
        <w:gridCol w:w="2070"/>
        <w:gridCol w:w="1620"/>
        <w:gridCol w:w="1530"/>
        <w:gridCol w:w="1890"/>
        <w:gridCol w:w="1980"/>
      </w:tblGrid>
      <w:tr w:rsidR="00FE5456" w:rsidTr="0054025A">
        <w:trPr>
          <w:cnfStyle w:val="100000000000"/>
        </w:trPr>
        <w:tc>
          <w:tcPr>
            <w:tcW w:w="2070" w:type="dxa"/>
          </w:tcPr>
          <w:p w:rsidR="00FE5456" w:rsidRDefault="00FE5456" w:rsidP="006E653A">
            <w:pPr>
              <w:pStyle w:val="TableHeading"/>
            </w:pPr>
            <w:r>
              <w:t xml:space="preserve">Scenario </w:t>
            </w:r>
          </w:p>
        </w:tc>
        <w:tc>
          <w:tcPr>
            <w:tcW w:w="1620" w:type="dxa"/>
          </w:tcPr>
          <w:p w:rsidR="00FE5456" w:rsidRDefault="00FE5456" w:rsidP="00334758">
            <w:pPr>
              <w:pStyle w:val="TableHeading"/>
            </w:pPr>
            <w:r>
              <w:t>Modelled price –without purchases ($/ML)</w:t>
            </w:r>
          </w:p>
        </w:tc>
        <w:tc>
          <w:tcPr>
            <w:tcW w:w="1530" w:type="dxa"/>
          </w:tcPr>
          <w:p w:rsidR="00FE5456" w:rsidRDefault="00FE5456" w:rsidP="00334758">
            <w:pPr>
              <w:pStyle w:val="TableHeading"/>
            </w:pPr>
            <w:r>
              <w:t>Modelled price – with purchases ($/ML)</w:t>
            </w:r>
          </w:p>
        </w:tc>
        <w:tc>
          <w:tcPr>
            <w:tcW w:w="1890" w:type="dxa"/>
          </w:tcPr>
          <w:p w:rsidR="00FE5456" w:rsidRDefault="00FE5456">
            <w:pPr>
              <w:pStyle w:val="TableHeading"/>
            </w:pPr>
            <w:r w:rsidRPr="00995A40">
              <w:t xml:space="preserve">Modelled </w:t>
            </w:r>
            <w:r>
              <w:t>price – with additional purchases($/ML)</w:t>
            </w:r>
          </w:p>
        </w:tc>
        <w:tc>
          <w:tcPr>
            <w:tcW w:w="1980" w:type="dxa"/>
          </w:tcPr>
          <w:p w:rsidR="00FE5456" w:rsidRDefault="00FE5456" w:rsidP="00F643F9">
            <w:pPr>
              <w:pStyle w:val="TableHeading"/>
            </w:pPr>
            <w:r>
              <w:t>P</w:t>
            </w:r>
            <w:r w:rsidRPr="00A92496">
              <w:t xml:space="preserve">otential </w:t>
            </w:r>
            <w:r>
              <w:t xml:space="preserve">price </w:t>
            </w:r>
            <w:r w:rsidRPr="00A92496">
              <w:t xml:space="preserve">impact of </w:t>
            </w:r>
            <w:r>
              <w:t>additional purchases</w:t>
            </w:r>
            <w:r w:rsidRPr="00A92496">
              <w:t xml:space="preserve"> ($/ML)</w:t>
            </w:r>
            <w:r>
              <w:rPr>
                <w:vertAlign w:val="superscript"/>
              </w:rPr>
              <w:t>1</w:t>
            </w:r>
          </w:p>
        </w:tc>
      </w:tr>
      <w:tr w:rsidR="00FE5456" w:rsidTr="0054025A">
        <w:trPr>
          <w:cnfStyle w:val="000000100000"/>
        </w:trPr>
        <w:tc>
          <w:tcPr>
            <w:tcW w:w="2070" w:type="dxa"/>
          </w:tcPr>
          <w:p w:rsidR="00FE5456" w:rsidRDefault="00FE5456" w:rsidP="006E653A">
            <w:pPr>
              <w:pStyle w:val="TableText"/>
            </w:pPr>
            <w:r>
              <w:t>Repeat of extreme dry year (2008-09)</w:t>
            </w:r>
          </w:p>
        </w:tc>
        <w:tc>
          <w:tcPr>
            <w:tcW w:w="1620" w:type="dxa"/>
          </w:tcPr>
          <w:p w:rsidR="00FE5456" w:rsidRPr="00766238" w:rsidRDefault="00FE5456" w:rsidP="00766238">
            <w:pPr>
              <w:pStyle w:val="TableText"/>
            </w:pPr>
            <w:r w:rsidRPr="00766238">
              <w:t xml:space="preserve">$398 </w:t>
            </w:r>
          </w:p>
        </w:tc>
        <w:tc>
          <w:tcPr>
            <w:tcW w:w="1530" w:type="dxa"/>
          </w:tcPr>
          <w:p w:rsidR="00FE5456" w:rsidRPr="00766238" w:rsidRDefault="00FE5456" w:rsidP="00766238">
            <w:pPr>
              <w:pStyle w:val="TableText"/>
            </w:pPr>
            <w:r w:rsidRPr="00766238">
              <w:t xml:space="preserve">$429 </w:t>
            </w:r>
          </w:p>
        </w:tc>
        <w:tc>
          <w:tcPr>
            <w:tcW w:w="1890" w:type="dxa"/>
          </w:tcPr>
          <w:p w:rsidR="00FE5456" w:rsidRPr="00766238" w:rsidRDefault="00FE5456" w:rsidP="00766238">
            <w:pPr>
              <w:pStyle w:val="TableText"/>
            </w:pPr>
            <w:r w:rsidRPr="00766238">
              <w:t xml:space="preserve">$436 </w:t>
            </w:r>
          </w:p>
        </w:tc>
        <w:tc>
          <w:tcPr>
            <w:tcW w:w="1980" w:type="dxa"/>
          </w:tcPr>
          <w:p w:rsidR="00FE5456" w:rsidRPr="00766238" w:rsidRDefault="00FE5456" w:rsidP="00766238">
            <w:pPr>
              <w:pStyle w:val="TableText"/>
            </w:pPr>
            <w:r w:rsidRPr="00766238">
              <w:t>$7</w:t>
            </w:r>
          </w:p>
        </w:tc>
      </w:tr>
      <w:tr w:rsidR="00FE5456" w:rsidTr="0054025A">
        <w:tc>
          <w:tcPr>
            <w:tcW w:w="2070" w:type="dxa"/>
          </w:tcPr>
          <w:p w:rsidR="00FE5456" w:rsidRDefault="00FE5456" w:rsidP="006E653A">
            <w:pPr>
              <w:pStyle w:val="TableText"/>
            </w:pPr>
            <w:r>
              <w:t>Repeat of average year (</w:t>
            </w:r>
            <w:r w:rsidRPr="00546EED">
              <w:t>2005-06</w:t>
            </w:r>
            <w:r>
              <w:t>)</w:t>
            </w:r>
          </w:p>
        </w:tc>
        <w:tc>
          <w:tcPr>
            <w:tcW w:w="1620" w:type="dxa"/>
          </w:tcPr>
          <w:p w:rsidR="00FE5456" w:rsidRPr="00766238" w:rsidRDefault="00FE5456" w:rsidP="00766238">
            <w:pPr>
              <w:pStyle w:val="TableText"/>
            </w:pPr>
            <w:r w:rsidRPr="00766238">
              <w:t xml:space="preserve">$71 </w:t>
            </w:r>
          </w:p>
        </w:tc>
        <w:tc>
          <w:tcPr>
            <w:tcW w:w="1530" w:type="dxa"/>
          </w:tcPr>
          <w:p w:rsidR="00FE5456" w:rsidRPr="00766238" w:rsidRDefault="00FE5456" w:rsidP="00766238">
            <w:pPr>
              <w:pStyle w:val="TableText"/>
            </w:pPr>
            <w:r w:rsidRPr="00766238">
              <w:t xml:space="preserve">$92 </w:t>
            </w:r>
          </w:p>
        </w:tc>
        <w:tc>
          <w:tcPr>
            <w:tcW w:w="1890" w:type="dxa"/>
          </w:tcPr>
          <w:p w:rsidR="00FE5456" w:rsidRPr="00766238" w:rsidRDefault="00FE5456" w:rsidP="00766238">
            <w:pPr>
              <w:pStyle w:val="TableText"/>
            </w:pPr>
            <w:r w:rsidRPr="00766238">
              <w:t xml:space="preserve">$96 </w:t>
            </w:r>
          </w:p>
        </w:tc>
        <w:tc>
          <w:tcPr>
            <w:tcW w:w="1980" w:type="dxa"/>
          </w:tcPr>
          <w:p w:rsidR="00FE5456" w:rsidRPr="00766238" w:rsidRDefault="00FE5456" w:rsidP="00766238">
            <w:pPr>
              <w:pStyle w:val="TableText"/>
            </w:pPr>
            <w:r w:rsidRPr="00766238">
              <w:t>$4</w:t>
            </w:r>
          </w:p>
        </w:tc>
      </w:tr>
      <w:tr w:rsidR="00FE5456" w:rsidTr="0054025A">
        <w:trPr>
          <w:cnfStyle w:val="000000100000"/>
        </w:trPr>
        <w:tc>
          <w:tcPr>
            <w:tcW w:w="2070" w:type="dxa"/>
          </w:tcPr>
          <w:p w:rsidR="00FE5456" w:rsidRDefault="00FE5456" w:rsidP="006E653A">
            <w:pPr>
              <w:pStyle w:val="TableText"/>
            </w:pPr>
            <w:r>
              <w:t>Repeat of wet year (</w:t>
            </w:r>
            <w:r w:rsidRPr="00A0381D">
              <w:t>2011-12</w:t>
            </w:r>
            <w:r>
              <w:t>)</w:t>
            </w:r>
          </w:p>
        </w:tc>
        <w:tc>
          <w:tcPr>
            <w:tcW w:w="1620" w:type="dxa"/>
          </w:tcPr>
          <w:p w:rsidR="00FE5456" w:rsidRPr="00766238" w:rsidRDefault="00FE5456" w:rsidP="00766238">
            <w:pPr>
              <w:pStyle w:val="TableText"/>
            </w:pPr>
            <w:r w:rsidRPr="00766238">
              <w:t xml:space="preserve">$25 </w:t>
            </w:r>
          </w:p>
        </w:tc>
        <w:tc>
          <w:tcPr>
            <w:tcW w:w="1530" w:type="dxa"/>
          </w:tcPr>
          <w:p w:rsidR="00FE5456" w:rsidRPr="00766238" w:rsidRDefault="00FE5456" w:rsidP="00766238">
            <w:pPr>
              <w:pStyle w:val="TableText"/>
            </w:pPr>
            <w:r w:rsidRPr="00766238">
              <w:t xml:space="preserve">$34 </w:t>
            </w:r>
          </w:p>
        </w:tc>
        <w:tc>
          <w:tcPr>
            <w:tcW w:w="1890" w:type="dxa"/>
          </w:tcPr>
          <w:p w:rsidR="00FE5456" w:rsidRPr="00766238" w:rsidRDefault="00FE5456" w:rsidP="00766238">
            <w:pPr>
              <w:pStyle w:val="TableText"/>
            </w:pPr>
            <w:r w:rsidRPr="00766238">
              <w:t xml:space="preserve">$36 </w:t>
            </w:r>
          </w:p>
        </w:tc>
        <w:tc>
          <w:tcPr>
            <w:tcW w:w="1980" w:type="dxa"/>
          </w:tcPr>
          <w:p w:rsidR="00FE5456" w:rsidRPr="00766238" w:rsidRDefault="00FE5456" w:rsidP="00766238">
            <w:pPr>
              <w:pStyle w:val="TableText"/>
            </w:pPr>
            <w:r w:rsidRPr="00766238">
              <w:t>$2</w:t>
            </w:r>
          </w:p>
        </w:tc>
      </w:tr>
    </w:tbl>
    <w:p w:rsidR="00334758" w:rsidRDefault="00334758" w:rsidP="00334758">
      <w:pPr>
        <w:pStyle w:val="TFIHolderSmallSpace"/>
      </w:pPr>
    </w:p>
    <w:p w:rsidR="00334758" w:rsidRDefault="00334758" w:rsidP="00334758">
      <w:pPr>
        <w:pStyle w:val="TFNoteSourceTab"/>
      </w:pPr>
      <w:r w:rsidRPr="00776F13">
        <w:t>Source:</w:t>
      </w:r>
      <w:r w:rsidRPr="00776F13">
        <w:tab/>
      </w:r>
      <w:proofErr w:type="spellStart"/>
      <w:r w:rsidR="00766238" w:rsidRPr="00776F13">
        <w:t>Aither</w:t>
      </w:r>
      <w:proofErr w:type="spellEnd"/>
      <w:r w:rsidR="00766238" w:rsidRPr="00766238">
        <w:t xml:space="preserve"> 2015. </w:t>
      </w:r>
      <w:proofErr w:type="gramStart"/>
      <w:r w:rsidR="00766238" w:rsidRPr="00766238">
        <w:t>New South Wales Water Register, South Australian Water Register and Victorian Water Register.</w:t>
      </w:r>
      <w:proofErr w:type="gramEnd"/>
      <w:r w:rsidR="00766238" w:rsidRPr="00766238">
        <w:t xml:space="preserve"> Based on Commonwealth water purchase data provided to </w:t>
      </w:r>
      <w:proofErr w:type="spellStart"/>
      <w:r w:rsidR="00766238" w:rsidRPr="00766238">
        <w:t>Aither</w:t>
      </w:r>
      <w:proofErr w:type="spellEnd"/>
      <w:r w:rsidR="00766238" w:rsidRPr="00766238">
        <w:t xml:space="preserve"> by the Department of the Environment.</w:t>
      </w:r>
    </w:p>
    <w:p w:rsidR="00F643F9" w:rsidRDefault="00F643F9" w:rsidP="00F643F9">
      <w:pPr>
        <w:pStyle w:val="TFNoteSourceTab"/>
      </w:pPr>
      <w:r>
        <w:t xml:space="preserve">Note: </w:t>
      </w:r>
      <w:r>
        <w:tab/>
      </w:r>
      <w:r w:rsidR="00AA49F6">
        <w:t>1) Please see Appendix B</w:t>
      </w:r>
      <w:r>
        <w:t xml:space="preserve"> for 95 percent confidence intervals of the</w:t>
      </w:r>
      <w:r w:rsidRPr="00F643F9">
        <w:t xml:space="preserve"> </w:t>
      </w:r>
      <w:r>
        <w:t>p</w:t>
      </w:r>
      <w:r w:rsidRPr="00F643F9">
        <w:t>otential price impact of purchases</w:t>
      </w:r>
      <w:r>
        <w:t xml:space="preserve">. </w:t>
      </w:r>
    </w:p>
    <w:p w:rsidR="00817728" w:rsidRDefault="00817728" w:rsidP="00592F62"/>
    <w:p w:rsidR="005A301A" w:rsidRDefault="005A301A" w:rsidP="005A301A">
      <w:pPr>
        <w:pStyle w:val="Heading1"/>
      </w:pPr>
      <w:bookmarkStart w:id="99" w:name="_Toc431207332"/>
      <w:bookmarkStart w:id="100" w:name="_Toc440006855"/>
      <w:bookmarkEnd w:id="99"/>
      <w:r>
        <w:lastRenderedPageBreak/>
        <w:t>Conclusions</w:t>
      </w:r>
      <w:bookmarkEnd w:id="100"/>
    </w:p>
    <w:p w:rsidR="003F114A" w:rsidRDefault="00115DD6" w:rsidP="00115DD6">
      <w:r>
        <w:t xml:space="preserve">Modelling of </w:t>
      </w:r>
      <w:r w:rsidR="00AC5D85">
        <w:t xml:space="preserve">past </w:t>
      </w:r>
      <w:r>
        <w:t xml:space="preserve">water allocation prices </w:t>
      </w:r>
      <w:r w:rsidR="007B7AEA">
        <w:t>since 1998-99</w:t>
      </w:r>
      <w:r>
        <w:t xml:space="preserve"> suggests that</w:t>
      </w:r>
      <w:r w:rsidR="003F114A">
        <w:t xml:space="preserve"> </w:t>
      </w:r>
      <w:r>
        <w:t xml:space="preserve">water availability – including both </w:t>
      </w:r>
      <w:r w:rsidR="003F114A">
        <w:t xml:space="preserve">total </w:t>
      </w:r>
      <w:r w:rsidR="000D2E3D">
        <w:t>w</w:t>
      </w:r>
      <w:r w:rsidR="002D004F">
        <w:t xml:space="preserve">ater </w:t>
      </w:r>
      <w:r w:rsidR="002760F5">
        <w:t xml:space="preserve">allocated </w:t>
      </w:r>
      <w:r w:rsidR="00AC5D85">
        <w:t xml:space="preserve">to </w:t>
      </w:r>
      <w:r w:rsidR="002760F5">
        <w:t>consumptive</w:t>
      </w:r>
      <w:r w:rsidR="002D004F">
        <w:t xml:space="preserve"> use and </w:t>
      </w:r>
      <w:r>
        <w:t xml:space="preserve">prevailing climatic conditions </w:t>
      </w:r>
      <w:r w:rsidR="00D6647E">
        <w:t xml:space="preserve">(i.e. rainfall) </w:t>
      </w:r>
      <w:r>
        <w:t>in growing regions – is</w:t>
      </w:r>
      <w:r w:rsidR="002D004F">
        <w:t xml:space="preserve"> the </w:t>
      </w:r>
      <w:r>
        <w:t>primary driver</w:t>
      </w:r>
      <w:r w:rsidR="002D004F">
        <w:t xml:space="preserve"> of </w:t>
      </w:r>
      <w:r w:rsidR="003F114A">
        <w:t xml:space="preserve">annual </w:t>
      </w:r>
      <w:r w:rsidR="005C321D">
        <w:t xml:space="preserve">median </w:t>
      </w:r>
      <w:r>
        <w:t xml:space="preserve">water </w:t>
      </w:r>
      <w:r w:rsidR="002D004F">
        <w:t>allocation price</w:t>
      </w:r>
      <w:r w:rsidR="003F114A">
        <w:t>s</w:t>
      </w:r>
      <w:r>
        <w:t xml:space="preserve"> in the </w:t>
      </w:r>
      <w:proofErr w:type="spellStart"/>
      <w:r>
        <w:t>sMDB</w:t>
      </w:r>
      <w:proofErr w:type="spellEnd"/>
      <w:r w:rsidR="003732A2">
        <w:t>.</w:t>
      </w:r>
      <w:r w:rsidR="006A01FA">
        <w:t xml:space="preserve"> </w:t>
      </w:r>
      <w:r>
        <w:t xml:space="preserve">Comparing both observed and modelled allocation prices against water </w:t>
      </w:r>
      <w:r w:rsidR="002760F5">
        <w:t>allocated that is available for consumptive</w:t>
      </w:r>
      <w:r>
        <w:t xml:space="preserve"> use has shown very clearly that a</w:t>
      </w:r>
      <w:r w:rsidR="000D2E3D">
        <w:t xml:space="preserve">llocation </w:t>
      </w:r>
      <w:r w:rsidR="003F114A">
        <w:t>pric</w:t>
      </w:r>
      <w:r>
        <w:t xml:space="preserve">es vary dramatically due to inter-annual shifts in water availability. </w:t>
      </w:r>
    </w:p>
    <w:p w:rsidR="00B9656A" w:rsidRDefault="00B9656A" w:rsidP="00B9656A">
      <w:r>
        <w:t xml:space="preserve">In parallel to </w:t>
      </w:r>
      <w:r w:rsidR="007B7AEA">
        <w:t>historical</w:t>
      </w:r>
      <w:r>
        <w:t xml:space="preserve"> movements in water availability and allocation price</w:t>
      </w:r>
      <w:r w:rsidR="007B7AEA">
        <w:t>s</w:t>
      </w:r>
      <w:r>
        <w:t xml:space="preserve">, the Commonwealth Government has purchased </w:t>
      </w:r>
      <w:r w:rsidRPr="00B9656A">
        <w:t>approximately 996 GL</w:t>
      </w:r>
      <w:r>
        <w:t xml:space="preserve"> of water entitlements </w:t>
      </w:r>
      <w:r w:rsidRPr="00B9656A">
        <w:t xml:space="preserve">in the major trading zones in the </w:t>
      </w:r>
      <w:proofErr w:type="spellStart"/>
      <w:r w:rsidRPr="00B9656A">
        <w:t>sMDB</w:t>
      </w:r>
      <w:proofErr w:type="spellEnd"/>
      <w:r w:rsidRPr="00B9656A">
        <w:t xml:space="preserve"> </w:t>
      </w:r>
      <w:r>
        <w:t xml:space="preserve">cumulatively </w:t>
      </w:r>
      <w:r w:rsidRPr="00B9656A">
        <w:t>since 2007-08.</w:t>
      </w:r>
      <w:r>
        <w:t xml:space="preserve"> This water purchased by the Commonwealth is used for environmental purposes and</w:t>
      </w:r>
      <w:r w:rsidR="00F20AF8">
        <w:t xml:space="preserve">, </w:t>
      </w:r>
      <w:r w:rsidR="00365FEB">
        <w:t>up to the time of analysis for this report (</w:t>
      </w:r>
      <w:r w:rsidR="00AD7421">
        <w:t xml:space="preserve">October </w:t>
      </w:r>
      <w:r w:rsidR="00365FEB">
        <w:t>20</w:t>
      </w:r>
      <w:r w:rsidR="00FF6879">
        <w:t>15</w:t>
      </w:r>
      <w:r w:rsidR="00365FEB">
        <w:t>)</w:t>
      </w:r>
      <w:r w:rsidR="00F20AF8">
        <w:t>, ha</w:t>
      </w:r>
      <w:r>
        <w:t xml:space="preserve">s not </w:t>
      </w:r>
      <w:r w:rsidR="00F20AF8">
        <w:t xml:space="preserve">been </w:t>
      </w:r>
      <w:r>
        <w:t xml:space="preserve">traded back to market participants, whereas prior to purchase it was available to be used in production or sold on the allocation market. In effect, </w:t>
      </w:r>
      <w:r w:rsidRPr="00B9656A">
        <w:t>Commonwealth</w:t>
      </w:r>
      <w:r>
        <w:t xml:space="preserve"> water purchases have reduced the volume of water </w:t>
      </w:r>
      <w:r w:rsidR="002760F5">
        <w:t>that is available for consumptive</w:t>
      </w:r>
      <w:r>
        <w:t xml:space="preserve"> use in any given year</w:t>
      </w:r>
      <w:r w:rsidR="00FF6879">
        <w:t>.</w:t>
      </w:r>
      <w:r>
        <w:t xml:space="preserve"> </w:t>
      </w:r>
      <w:r w:rsidR="00F20AF8">
        <w:t>However, Commonwealth purchases do not affect in-crop rainfall</w:t>
      </w:r>
      <w:r w:rsidR="00D6647E">
        <w:t>, the other key determinant of water allocation prices</w:t>
      </w:r>
      <w:r w:rsidR="00F20AF8">
        <w:t>.</w:t>
      </w:r>
    </w:p>
    <w:p w:rsidR="00855EA4" w:rsidRDefault="00B9656A" w:rsidP="007506E0">
      <w:r>
        <w:t xml:space="preserve">Modelling undertaken for this report </w:t>
      </w:r>
      <w:r w:rsidR="00AD7421">
        <w:t xml:space="preserve">suggests </w:t>
      </w:r>
      <w:r>
        <w:t xml:space="preserve">that </w:t>
      </w:r>
      <w:r w:rsidR="00043651">
        <w:t xml:space="preserve">Commonwealth water purchases have </w:t>
      </w:r>
      <w:r w:rsidR="002D004F">
        <w:t xml:space="preserve">had a </w:t>
      </w:r>
      <w:r w:rsidR="004E788F">
        <w:t>short</w:t>
      </w:r>
      <w:r w:rsidR="001A1E34">
        <w:t>-</w:t>
      </w:r>
      <w:r w:rsidR="004E788F">
        <w:t>run</w:t>
      </w:r>
      <w:r w:rsidR="002D004F">
        <w:t xml:space="preserve"> impact on allocation prices in the </w:t>
      </w:r>
      <w:proofErr w:type="spellStart"/>
      <w:r w:rsidR="002D004F">
        <w:t>sMDB</w:t>
      </w:r>
      <w:proofErr w:type="spellEnd"/>
      <w:r w:rsidR="002D004F">
        <w:t xml:space="preserve"> – which has grown over time as the portfolio has grown</w:t>
      </w:r>
      <w:r w:rsidR="00043651">
        <w:t xml:space="preserve"> (although remained relatively consistent over recent years as the portfolio has not grown significantly</w:t>
      </w:r>
      <w:r w:rsidR="007506E0">
        <w:t xml:space="preserve"> </w:t>
      </w:r>
      <w:r w:rsidR="00F20AF8">
        <w:t>since 2012-13</w:t>
      </w:r>
      <w:r w:rsidR="00043651">
        <w:t>)</w:t>
      </w:r>
      <w:r w:rsidR="003732A2">
        <w:t>.</w:t>
      </w:r>
      <w:r w:rsidR="0076577B">
        <w:t xml:space="preserve"> </w:t>
      </w:r>
      <w:r w:rsidR="007506E0">
        <w:t>In future water years,</w:t>
      </w:r>
      <w:r w:rsidR="00E47536">
        <w:t xml:space="preserve"> </w:t>
      </w:r>
      <w:r w:rsidR="000D2E3D">
        <w:t xml:space="preserve">the </w:t>
      </w:r>
      <w:r w:rsidR="007506E0">
        <w:t>water allocated to</w:t>
      </w:r>
      <w:r w:rsidR="000D2E3D">
        <w:t xml:space="preserve"> </w:t>
      </w:r>
      <w:r w:rsidR="00E47536" w:rsidRPr="00E47536">
        <w:t>Commonwealth</w:t>
      </w:r>
      <w:r w:rsidR="00043651">
        <w:t xml:space="preserve"> water</w:t>
      </w:r>
      <w:r w:rsidR="00E47536" w:rsidRPr="00E47536">
        <w:t xml:space="preserve"> </w:t>
      </w:r>
      <w:r w:rsidR="00167D4C">
        <w:t>purchases</w:t>
      </w:r>
      <w:r w:rsidR="00E47536">
        <w:t xml:space="preserve"> will </w:t>
      </w:r>
      <w:r w:rsidR="004420B2">
        <w:t xml:space="preserve">tend to have larger </w:t>
      </w:r>
      <w:r w:rsidR="004E788F">
        <w:t>short</w:t>
      </w:r>
      <w:r w:rsidR="007506E0">
        <w:t>-</w:t>
      </w:r>
      <w:r w:rsidR="004E788F">
        <w:t xml:space="preserve">run </w:t>
      </w:r>
      <w:r w:rsidR="004420B2">
        <w:t xml:space="preserve">price effects in </w:t>
      </w:r>
      <w:r w:rsidR="007506E0">
        <w:t xml:space="preserve">extreme </w:t>
      </w:r>
      <w:r w:rsidR="004420B2">
        <w:t>dry years</w:t>
      </w:r>
      <w:r w:rsidR="00FB43B4">
        <w:t xml:space="preserve"> ($31 per ML) than wet years ($9 per ML)</w:t>
      </w:r>
      <w:r w:rsidR="004420B2">
        <w:t xml:space="preserve">. </w:t>
      </w:r>
    </w:p>
    <w:p w:rsidR="00B7688B" w:rsidRDefault="00D6647E" w:rsidP="00D83662">
      <w:r>
        <w:t>W</w:t>
      </w:r>
      <w:r w:rsidR="00D83662">
        <w:t xml:space="preserve">hen modelled, </w:t>
      </w:r>
      <w:r w:rsidR="00761215">
        <w:t xml:space="preserve">hypothetical </w:t>
      </w:r>
      <w:r w:rsidR="00D83662">
        <w:t xml:space="preserve">additional </w:t>
      </w:r>
      <w:r w:rsidR="00D83662" w:rsidRPr="00E47536">
        <w:t xml:space="preserve">Commonwealth </w:t>
      </w:r>
      <w:r w:rsidR="00D83662">
        <w:t xml:space="preserve">water purchases (200 GL) in the </w:t>
      </w:r>
      <w:proofErr w:type="spellStart"/>
      <w:r w:rsidR="00D83662">
        <w:t>sMDB</w:t>
      </w:r>
      <w:proofErr w:type="spellEnd"/>
      <w:r w:rsidR="00D83662">
        <w:t xml:space="preserve"> are only likely to have a marginal price impact in addition to the impact that water allocated to current </w:t>
      </w:r>
      <w:r w:rsidR="00D83662" w:rsidRPr="007506E0">
        <w:t>Commonwealth water purchases</w:t>
      </w:r>
      <w:r w:rsidR="00D83662">
        <w:t xml:space="preserve"> is </w:t>
      </w:r>
      <w:r w:rsidR="00F36483">
        <w:t xml:space="preserve">already </w:t>
      </w:r>
      <w:r w:rsidR="00D83662">
        <w:t xml:space="preserve">having. </w:t>
      </w:r>
    </w:p>
    <w:p w:rsidR="00D83662" w:rsidRDefault="00F20AF8" w:rsidP="00D83662">
      <w:r>
        <w:t>Overall</w:t>
      </w:r>
      <w:r w:rsidR="00D83662">
        <w:t xml:space="preserve">, modelling suggests that </w:t>
      </w:r>
      <w:r>
        <w:t xml:space="preserve">climatic conditions, particularly </w:t>
      </w:r>
      <w:r w:rsidR="00D83662">
        <w:t>total water availability</w:t>
      </w:r>
      <w:r>
        <w:t>,</w:t>
      </w:r>
      <w:r w:rsidR="00D83662">
        <w:t xml:space="preserve"> will continue to be a more significant driver of </w:t>
      </w:r>
      <w:r>
        <w:t xml:space="preserve">variability in </w:t>
      </w:r>
      <w:r w:rsidR="00D83662">
        <w:t>allocation prices</w:t>
      </w:r>
      <w:r w:rsidR="007B7AEA">
        <w:t xml:space="preserve"> across the </w:t>
      </w:r>
      <w:proofErr w:type="spellStart"/>
      <w:r w:rsidR="007B7AEA">
        <w:t>sMDB</w:t>
      </w:r>
      <w:proofErr w:type="spellEnd"/>
      <w:r>
        <w:t xml:space="preserve"> compared with</w:t>
      </w:r>
      <w:r w:rsidR="00AA49F6">
        <w:t xml:space="preserve"> the price impact of</w:t>
      </w:r>
      <w:r>
        <w:t xml:space="preserve"> Commonwealth </w:t>
      </w:r>
      <w:r w:rsidR="00AA49F6">
        <w:t xml:space="preserve">water </w:t>
      </w:r>
      <w:r>
        <w:t>purchases</w:t>
      </w:r>
      <w:r w:rsidR="00D83662">
        <w:t xml:space="preserve">. </w:t>
      </w:r>
    </w:p>
    <w:p w:rsidR="00D83662" w:rsidRDefault="00D83662" w:rsidP="00D83662">
      <w:r>
        <w:t xml:space="preserve">It is important to note that the price impact estimates presented in this report are short-run impacts, which assume no structural changes to demand for water in </w:t>
      </w:r>
      <w:proofErr w:type="spellStart"/>
      <w:r>
        <w:t>sMDB</w:t>
      </w:r>
      <w:proofErr w:type="spellEnd"/>
      <w:r>
        <w:t xml:space="preserve">. Over the longer-term, increased water prices could force some irrigators to </w:t>
      </w:r>
      <w:r w:rsidR="00F36483">
        <w:t xml:space="preserve">further </w:t>
      </w:r>
      <w:r>
        <w:t>adjust or cease production</w:t>
      </w:r>
      <w:r w:rsidR="00D22634">
        <w:t xml:space="preserve"> altogether</w:t>
      </w:r>
      <w:r>
        <w:t>.</w:t>
      </w:r>
      <w:r w:rsidRPr="00D83662">
        <w:t xml:space="preserve"> All else being equal, these price impacts are likely to moderate over time as the irrigation sector continues to adjust to</w:t>
      </w:r>
      <w:r w:rsidR="00D22634">
        <w:t xml:space="preserve"> a</w:t>
      </w:r>
      <w:r w:rsidRPr="00D83662">
        <w:t xml:space="preserve"> reduced water </w:t>
      </w:r>
      <w:r w:rsidR="00D22634">
        <w:t xml:space="preserve">volume </w:t>
      </w:r>
      <w:r w:rsidR="002760F5">
        <w:t>available for consumptive</w:t>
      </w:r>
      <w:r w:rsidRPr="00D83662">
        <w:t xml:space="preserve"> use.</w:t>
      </w:r>
      <w:r>
        <w:t xml:space="preserve"> If this structural adjustment occurs (i.e. irrigators ceased to irrigate permanently), the underlying demand for water in the </w:t>
      </w:r>
      <w:proofErr w:type="spellStart"/>
      <w:r>
        <w:t>sMDB</w:t>
      </w:r>
      <w:proofErr w:type="spellEnd"/>
      <w:r>
        <w:t xml:space="preserve"> may decrease, placing downward pressure on allocation prices more generally. </w:t>
      </w:r>
    </w:p>
    <w:p w:rsidR="00C21848" w:rsidRDefault="00C21848" w:rsidP="00C21848">
      <w:pPr>
        <w:pStyle w:val="Heading1"/>
      </w:pPr>
      <w:bookmarkStart w:id="101" w:name="_Toc440006856"/>
      <w:r>
        <w:lastRenderedPageBreak/>
        <w:t>References</w:t>
      </w:r>
      <w:bookmarkEnd w:id="101"/>
    </w:p>
    <w:p w:rsidR="008B204E" w:rsidRDefault="008B204E" w:rsidP="008B204E">
      <w:r>
        <w:t>Australian Bureau of Statistics (ABS) 2013,</w:t>
      </w:r>
      <w:r w:rsidRPr="008B204E">
        <w:t xml:space="preserve"> </w:t>
      </w:r>
      <w:r w:rsidRPr="008B204E">
        <w:rPr>
          <w:i/>
        </w:rPr>
        <w:t>7503.0 - Value of Agricultural Commodities Produced, Australia, 2013-14</w:t>
      </w:r>
      <w:r>
        <w:t>, accessed September 2015, available at &lt;</w:t>
      </w:r>
      <w:hyperlink r:id="rId32" w:history="1">
        <w:r w:rsidRPr="00FD553C">
          <w:rPr>
            <w:rStyle w:val="Hyperlink"/>
          </w:rPr>
          <w:t>http://www.abs.gov.au/ausstats/abs@.nsf/mf/7503.0</w:t>
        </w:r>
      </w:hyperlink>
      <w:r>
        <w:t>&gt;.</w:t>
      </w:r>
    </w:p>
    <w:p w:rsidR="00AE7879" w:rsidRDefault="00AE7879" w:rsidP="008B204E">
      <w:r>
        <w:t xml:space="preserve">Bell et al. 2007, </w:t>
      </w:r>
      <w:proofErr w:type="gramStart"/>
      <w:r w:rsidRPr="00AE7879">
        <w:rPr>
          <w:i/>
        </w:rPr>
        <w:t>The</w:t>
      </w:r>
      <w:proofErr w:type="gramEnd"/>
      <w:r w:rsidRPr="00AE7879">
        <w:rPr>
          <w:i/>
        </w:rPr>
        <w:t xml:space="preserve"> responsiveness of Australian farm performance to changes in irrigation water use and trade</w:t>
      </w:r>
      <w:r>
        <w:t xml:space="preserve">, </w:t>
      </w:r>
      <w:r w:rsidRPr="00AE7879">
        <w:t>accessed September 2015, available at &lt;</w:t>
      </w:r>
      <w:hyperlink r:id="rId33" w:history="1">
        <w:r w:rsidRPr="00FD553C">
          <w:rPr>
            <w:rStyle w:val="Hyperlink"/>
          </w:rPr>
          <w:t>http://econpapers.repec.org/paper/agsaare07/9454.htm</w:t>
        </w:r>
      </w:hyperlink>
      <w:r w:rsidRPr="00AE7879">
        <w:t>&gt;.</w:t>
      </w:r>
    </w:p>
    <w:p w:rsidR="00CF7274" w:rsidRDefault="00CF7274" w:rsidP="008B204E">
      <w:r>
        <w:t xml:space="preserve">Commonwealth Environmental Water Office (CEWO) 2015, </w:t>
      </w:r>
      <w:r w:rsidRPr="00CF7274">
        <w:rPr>
          <w:i/>
        </w:rPr>
        <w:t>Trading Outcomes</w:t>
      </w:r>
      <w:r>
        <w:t>, accessed October 2015, available at &lt;</w:t>
      </w:r>
      <w:hyperlink r:id="rId34" w:history="1">
        <w:r w:rsidRPr="00FD553C">
          <w:rPr>
            <w:rStyle w:val="Hyperlink"/>
          </w:rPr>
          <w:t>https://www.environment.gov.au/water/cewo/trade/trading-outcomes</w:t>
        </w:r>
      </w:hyperlink>
      <w:hyperlink r:id="rId35" w:history="1">
        <w:r w:rsidR="00043651" w:rsidRPr="00043651">
          <w:rPr>
            <w:rStyle w:val="Hyperlink"/>
          </w:rPr>
          <w:t>http://www.abs.gov.au/ausstats/abs@.nsf/mf/7503.0</w:t>
        </w:r>
      </w:hyperlink>
      <w:r>
        <w:t>&gt;.</w:t>
      </w:r>
    </w:p>
    <w:p w:rsidR="008B204E" w:rsidRDefault="008B204E" w:rsidP="008B204E">
      <w:r w:rsidRPr="008B204E">
        <w:t>Commonwealth Scientific and Industrial Research Organisation (CSIRO)</w:t>
      </w:r>
      <w:r>
        <w:t xml:space="preserve"> 2011, </w:t>
      </w:r>
      <w:r w:rsidRPr="008B204E">
        <w:rPr>
          <w:i/>
        </w:rPr>
        <w:t>A Summary of Water Trade and Price Data for the Southern Murray-Darling Basin</w:t>
      </w:r>
      <w:r>
        <w:t>, accessed September 2015, available at &lt;</w:t>
      </w:r>
      <w:hyperlink r:id="rId36" w:history="1">
        <w:r w:rsidRPr="00FD553C">
          <w:rPr>
            <w:rStyle w:val="Hyperlink"/>
          </w:rPr>
          <w:t>http://www.clw.csiro.au/publications/waterforahealthycountry/2011/wfhc-water-trading-pricing-mdb.pdf</w:t>
        </w:r>
      </w:hyperlink>
      <w:r>
        <w:t>&gt;.</w:t>
      </w:r>
    </w:p>
    <w:p w:rsidR="003B47CD" w:rsidRPr="003B47CD" w:rsidRDefault="003B47CD" w:rsidP="008B204E">
      <w:r>
        <w:t>Grafton, Q and Horne J 2014, ‘</w:t>
      </w:r>
      <w:r w:rsidRPr="003B47CD">
        <w:t>Water markets in the Murray-Darling Basin</w:t>
      </w:r>
      <w:r>
        <w:t xml:space="preserve">’, </w:t>
      </w:r>
      <w:r w:rsidRPr="003B47CD">
        <w:rPr>
          <w:i/>
        </w:rPr>
        <w:t>Agricultural Water Management</w:t>
      </w:r>
      <w:r>
        <w:t xml:space="preserve">, </w:t>
      </w:r>
      <w:proofErr w:type="gramStart"/>
      <w:r>
        <w:t>vol</w:t>
      </w:r>
      <w:proofErr w:type="gramEnd"/>
      <w:r>
        <w:t xml:space="preserve">. 145, pp. 61-71. </w:t>
      </w:r>
    </w:p>
    <w:p w:rsidR="00AE7879" w:rsidRDefault="00AE7879" w:rsidP="008B204E">
      <w:r>
        <w:t>Hone et al. 2010,</w:t>
      </w:r>
      <w:r w:rsidRPr="00DE7977">
        <w:t xml:space="preserve"> </w:t>
      </w:r>
      <w:proofErr w:type="gramStart"/>
      <w:r w:rsidRPr="00AE7879">
        <w:rPr>
          <w:i/>
        </w:rPr>
        <w:t>Assessing</w:t>
      </w:r>
      <w:proofErr w:type="gramEnd"/>
      <w:r w:rsidRPr="00AE7879">
        <w:rPr>
          <w:i/>
        </w:rPr>
        <w:t xml:space="preserve"> the future impact of the Australian Government environmental water purchase program</w:t>
      </w:r>
      <w:r>
        <w:t>, accessed September 2015, available at &lt;</w:t>
      </w:r>
      <w:hyperlink r:id="rId37" w:history="1">
        <w:r w:rsidRPr="00FD553C">
          <w:rPr>
            <w:rStyle w:val="Hyperlink"/>
          </w:rPr>
          <w:t>http://data.daff.gov.au/data/warehouse/pe_abarebrs99014438/waterbuyback.pdf</w:t>
        </w:r>
      </w:hyperlink>
      <w:r>
        <w:t>&gt;.</w:t>
      </w:r>
    </w:p>
    <w:p w:rsidR="003B47CD" w:rsidRPr="003B47CD" w:rsidRDefault="003B47CD" w:rsidP="008B204E">
      <w:r>
        <w:t xml:space="preserve">Kirby et al. 2006, ‘Catchment </w:t>
      </w:r>
      <w:proofErr w:type="spellStart"/>
      <w:r>
        <w:t>behavior</w:t>
      </w:r>
      <w:proofErr w:type="spellEnd"/>
      <w:r>
        <w:t xml:space="preserve"> and counter-</w:t>
      </w:r>
      <w:proofErr w:type="spellStart"/>
      <w:r>
        <w:t>cylical</w:t>
      </w:r>
      <w:proofErr w:type="spellEnd"/>
      <w:r>
        <w:t xml:space="preserve"> water trade: an integrated model’, </w:t>
      </w:r>
      <w:r>
        <w:rPr>
          <w:i/>
        </w:rPr>
        <w:t xml:space="preserve">Natural Resource </w:t>
      </w:r>
      <w:proofErr w:type="spellStart"/>
      <w:r>
        <w:rPr>
          <w:i/>
        </w:rPr>
        <w:t>Modeling</w:t>
      </w:r>
      <w:proofErr w:type="spellEnd"/>
      <w:r>
        <w:t xml:space="preserve">, vol. 19:4, pp. 483-510. </w:t>
      </w:r>
    </w:p>
    <w:p w:rsidR="009B2B4B" w:rsidRDefault="009B2B4B" w:rsidP="009B2B4B">
      <w:r>
        <w:t xml:space="preserve">National Water Commission (NWC) 2010, </w:t>
      </w:r>
      <w:proofErr w:type="gramStart"/>
      <w:r w:rsidRPr="009B2B4B">
        <w:rPr>
          <w:i/>
        </w:rPr>
        <w:t>The</w:t>
      </w:r>
      <w:proofErr w:type="gramEnd"/>
      <w:r w:rsidRPr="009B2B4B">
        <w:rPr>
          <w:i/>
        </w:rPr>
        <w:t xml:space="preserve"> impacts of water trading in the southern Murray–Darling Basin; An economic, social and environmental assessment</w:t>
      </w:r>
      <w:r>
        <w:t>, accessed October 2015, available at &lt;</w:t>
      </w:r>
      <w:hyperlink r:id="rId38" w:history="1">
        <w:r w:rsidRPr="00FD553C">
          <w:rPr>
            <w:rStyle w:val="Hyperlink"/>
          </w:rPr>
          <w:t>http://archive.nwc.gov.au/__data/assets/pdf_file/0019/10783/681-NWC_ImpactsofTrade_web.pdf</w:t>
        </w:r>
      </w:hyperlink>
      <w:r>
        <w:t>&gt;.</w:t>
      </w:r>
    </w:p>
    <w:p w:rsidR="00EF1479" w:rsidRDefault="009B2B4B" w:rsidP="00524F7B">
      <w:r>
        <w:t>Former Victorian Department</w:t>
      </w:r>
      <w:r w:rsidRPr="008B204E">
        <w:t xml:space="preserve"> of Sustainability &amp; Environment </w:t>
      </w:r>
      <w:r>
        <w:t xml:space="preserve">(DSE) 2001, </w:t>
      </w:r>
      <w:proofErr w:type="gramStart"/>
      <w:r w:rsidRPr="00091891">
        <w:rPr>
          <w:i/>
        </w:rPr>
        <w:t>The</w:t>
      </w:r>
      <w:proofErr w:type="gramEnd"/>
      <w:r w:rsidRPr="00091891">
        <w:rPr>
          <w:i/>
        </w:rPr>
        <w:t xml:space="preserve"> value of water, </w:t>
      </w:r>
      <w:r>
        <w:rPr>
          <w:i/>
        </w:rPr>
        <w:t>P</w:t>
      </w:r>
      <w:r w:rsidRPr="00091891">
        <w:rPr>
          <w:i/>
        </w:rPr>
        <w:t>art 1</w:t>
      </w:r>
      <w:r>
        <w:t>.</w:t>
      </w:r>
    </w:p>
    <w:p w:rsidR="00EF1479" w:rsidRPr="00EF1479" w:rsidRDefault="00EF1479" w:rsidP="00EF1479">
      <w:r>
        <w:t xml:space="preserve">Wheeler et al. 2009, ‘Who trades water allocations? </w:t>
      </w:r>
      <w:proofErr w:type="gramStart"/>
      <w:r>
        <w:t xml:space="preserve">Evidence of the characteristics of early adopters in the Goulburn–Murray Irrigation District, Australia 1998–1999’, </w:t>
      </w:r>
      <w:r>
        <w:rPr>
          <w:i/>
        </w:rPr>
        <w:t xml:space="preserve">Agricultural Economics, </w:t>
      </w:r>
      <w:r>
        <w:t>vol. 40, pp. 631-643.</w:t>
      </w:r>
      <w:proofErr w:type="gramEnd"/>
      <w:r>
        <w:t xml:space="preserve"> </w:t>
      </w:r>
    </w:p>
    <w:p w:rsidR="00C21848" w:rsidRDefault="00524F7B" w:rsidP="00524F7B">
      <w:proofErr w:type="spellStart"/>
      <w:r>
        <w:t>Wittwer</w:t>
      </w:r>
      <w:proofErr w:type="spellEnd"/>
      <w:r>
        <w:t xml:space="preserve"> G. and Dixon P. 2011, </w:t>
      </w:r>
      <w:r w:rsidRPr="00524F7B">
        <w:rPr>
          <w:i/>
        </w:rPr>
        <w:t>Water Trading, Buybacks and Drought in the Murray-Darling Basin: Lessons from Economic Modelling</w:t>
      </w:r>
      <w:r>
        <w:t>, accessed September 2015, available at &lt;</w:t>
      </w:r>
      <w:hyperlink r:id="rId39" w:history="1">
        <w:r w:rsidRPr="00FD553C">
          <w:rPr>
            <w:rStyle w:val="Hyperlink"/>
          </w:rPr>
          <w:t>http://www.copsmodels.com/ftp/workpapr/g-222.pdf</w:t>
        </w:r>
      </w:hyperlink>
      <w:r>
        <w:t xml:space="preserve">&gt;. </w:t>
      </w:r>
    </w:p>
    <w:p w:rsidR="00EF1479" w:rsidRDefault="00EF1479" w:rsidP="00EF1479">
      <w:proofErr w:type="spellStart"/>
      <w:r>
        <w:t>Zuo</w:t>
      </w:r>
      <w:proofErr w:type="spellEnd"/>
      <w:r>
        <w:t xml:space="preserve"> et al. 2015, ‘Measuring price </w:t>
      </w:r>
      <w:proofErr w:type="spellStart"/>
      <w:r>
        <w:t>elasticities</w:t>
      </w:r>
      <w:proofErr w:type="spellEnd"/>
      <w:r>
        <w:t xml:space="preserve"> of demand and supply of water entitlements based on stated and revealed preference data’, </w:t>
      </w:r>
      <w:r w:rsidRPr="00EF1479">
        <w:rPr>
          <w:i/>
        </w:rPr>
        <w:t>American Journal of Agricultural Economics</w:t>
      </w:r>
      <w:r w:rsidRPr="00EF1479">
        <w:t xml:space="preserve">, </w:t>
      </w:r>
      <w:r>
        <w:t>advanced online access</w:t>
      </w:r>
      <w:r w:rsidRPr="00EF1479">
        <w:t>.</w:t>
      </w:r>
    </w:p>
    <w:p w:rsidR="001A1E34" w:rsidRDefault="001A1E34" w:rsidP="00AE7879"/>
    <w:p w:rsidR="00246022" w:rsidRDefault="00246022" w:rsidP="005A301A">
      <w:pPr>
        <w:sectPr w:rsidR="00246022" w:rsidSect="00EA04A2">
          <w:pgSz w:w="11906" w:h="16838" w:code="9"/>
          <w:pgMar w:top="1440" w:right="1440" w:bottom="1440" w:left="1440" w:header="578" w:footer="567" w:gutter="0"/>
          <w:cols w:space="720"/>
          <w:docGrid w:linePitch="299"/>
        </w:sectPr>
      </w:pPr>
    </w:p>
    <w:p w:rsidR="00246022" w:rsidRDefault="00246022" w:rsidP="005A301A"/>
    <w:p w:rsidR="00AA49F6" w:rsidRDefault="00AA49F6" w:rsidP="009155E1">
      <w:pPr>
        <w:pStyle w:val="Heading1"/>
        <w:numPr>
          <w:ilvl w:val="0"/>
          <w:numId w:val="0"/>
        </w:numPr>
        <w:ind w:left="851" w:hanging="851"/>
      </w:pPr>
      <w:bookmarkStart w:id="102" w:name="_Toc440006857"/>
      <w:r>
        <w:lastRenderedPageBreak/>
        <w:t>Appendix A – Peer review comments</w:t>
      </w:r>
      <w:bookmarkEnd w:id="102"/>
    </w:p>
    <w:p w:rsidR="00AA49F6" w:rsidRDefault="00AA49F6" w:rsidP="00AA49F6">
      <w:pPr>
        <w:pStyle w:val="Heading2a"/>
      </w:pPr>
      <w:r>
        <w:t xml:space="preserve">Professor Lin </w:t>
      </w:r>
      <w:proofErr w:type="spellStart"/>
      <w:r>
        <w:t>Crase</w:t>
      </w:r>
      <w:proofErr w:type="spellEnd"/>
      <w:r>
        <w:t xml:space="preserve"> - </w:t>
      </w:r>
      <w:r w:rsidRPr="00AA49F6">
        <w:t>La</w:t>
      </w:r>
      <w:r w:rsidR="00372CCD">
        <w:t xml:space="preserve"> T</w:t>
      </w:r>
      <w:r w:rsidR="00372CCD" w:rsidRPr="00AA49F6">
        <w:t xml:space="preserve">robe </w:t>
      </w:r>
      <w:r w:rsidRPr="00AA49F6">
        <w:t>University</w:t>
      </w:r>
    </w:p>
    <w:p w:rsidR="00756BF4" w:rsidRDefault="00756BF4" w:rsidP="00756BF4">
      <w:pPr>
        <w:pStyle w:val="Heading3a"/>
      </w:pPr>
      <w:r>
        <w:t>Background</w:t>
      </w:r>
    </w:p>
    <w:p w:rsidR="00756BF4" w:rsidRDefault="00756BF4" w:rsidP="00756BF4">
      <w:r>
        <w:t xml:space="preserve">This review was commissioned to consider the general approach adopted by </w:t>
      </w:r>
      <w:proofErr w:type="spellStart"/>
      <w:r>
        <w:t>Aither</w:t>
      </w:r>
      <w:proofErr w:type="spellEnd"/>
      <w:r>
        <w:t xml:space="preserve"> in its consideration of the supply-side drivers of water allocation prices in the southern Murray-Darling Basin. In addition, the review considered the fit-for-purpose nature of the model developed by </w:t>
      </w:r>
      <w:proofErr w:type="spellStart"/>
      <w:r>
        <w:t>Aither</w:t>
      </w:r>
      <w:proofErr w:type="spellEnd"/>
      <w:r>
        <w:t>; the credibility of model outputs and related data; and the interpretation of results offered by the authors.</w:t>
      </w:r>
    </w:p>
    <w:p w:rsidR="00756BF4" w:rsidRDefault="00756BF4" w:rsidP="00756BF4">
      <w:pPr>
        <w:pStyle w:val="Heading3a"/>
      </w:pPr>
      <w:r>
        <w:t>Approach</w:t>
      </w:r>
    </w:p>
    <w:p w:rsidR="00756BF4" w:rsidRDefault="00756BF4" w:rsidP="00756BF4">
      <w:r>
        <w:t xml:space="preserve">The paper developed by </w:t>
      </w:r>
      <w:proofErr w:type="spellStart"/>
      <w:r>
        <w:t>Aither</w:t>
      </w:r>
      <w:proofErr w:type="spellEnd"/>
      <w:r>
        <w:t xml:space="preserve"> explains the development and application of an empirical model that can be used to estimate likely impacts on water allocation prices. More specially, the model uses data from the previous 17 years to estimate the effects of water availability and climatic factors on water allocation prices. The model is designed at a large scale and does not consider localised market conditions – the unit of analysis is the markets that interact across the entire southern MDB.</w:t>
      </w:r>
    </w:p>
    <w:p w:rsidR="00756BF4" w:rsidRDefault="00756BF4" w:rsidP="00756BF4">
      <w:r>
        <w:t>The general approach is sound and makes use of the available information. Ideally, more market data would be available but the limit to 17 observations is unavoidable given the longevity of reforms.</w:t>
      </w:r>
    </w:p>
    <w:p w:rsidR="00756BF4" w:rsidRDefault="00756BF4" w:rsidP="00756BF4">
      <w:r>
        <w:t>The approach is also balanced, insomuch as it is able to unbundle the impacts of buybacks on the allocation market, relative to other drivers. The decision to analyse the possible impacts of additional water purchases as part of this project is also appropriate. Whilst a limit has been placed on buybacks by Government, it seems unlikely that increases in the environmental reserve to meet the ambitions of the MDB Plan will be met without at least some additional entitlement purchases by the Commonwealth.</w:t>
      </w:r>
    </w:p>
    <w:p w:rsidR="00756BF4" w:rsidRDefault="00756BF4" w:rsidP="00756BF4">
      <w:pPr>
        <w:pStyle w:val="Heading3a"/>
      </w:pPr>
      <w:r>
        <w:t>Fit-for-purpose</w:t>
      </w:r>
    </w:p>
    <w:p w:rsidR="00756BF4" w:rsidRDefault="00756BF4" w:rsidP="00756BF4">
      <w:r>
        <w:t xml:space="preserve">As noted above, the data limitations of the model derive from the number of years over which water markets have operated in the basin. The authors have nonetheless undertaken appropriate steps to ensure that the model is capable of generating the information required by the Department – namely to establish the extent to which entitlement purchases materially impact allocation prices in different scenarios.  </w:t>
      </w:r>
    </w:p>
    <w:p w:rsidR="00756BF4" w:rsidRDefault="00756BF4" w:rsidP="00756BF4">
      <w:r>
        <w:t xml:space="preserve">The assumptions used by </w:t>
      </w:r>
      <w:proofErr w:type="spellStart"/>
      <w:r>
        <w:t>Aither</w:t>
      </w:r>
      <w:proofErr w:type="spellEnd"/>
      <w:r>
        <w:t xml:space="preserve"> are plausible and pragmatic. For example, the authors note that structural change is occurring in the MDB but do not try to ‘second-guess’ the extent or form of that change. This approach means that the results are unlikely to be biased by imposing choices about uncertain future states.</w:t>
      </w:r>
    </w:p>
    <w:p w:rsidR="00756BF4" w:rsidRDefault="00756BF4" w:rsidP="00756BF4">
      <w:pPr>
        <w:pStyle w:val="Heading3a"/>
      </w:pPr>
      <w:r>
        <w:t>Model outputs and related data</w:t>
      </w:r>
    </w:p>
    <w:p w:rsidR="00756BF4" w:rsidRDefault="00756BF4" w:rsidP="00756BF4">
      <w:r>
        <w:t xml:space="preserve">As noted earlier the model generates a high R-square. This is not unexpected given the nature of the model. Importantly, the authors undertake a range of diagnostic tests to validate results. This includes </w:t>
      </w:r>
      <w:r>
        <w:lastRenderedPageBreak/>
        <w:t xml:space="preserve">tests for </w:t>
      </w:r>
      <w:proofErr w:type="spellStart"/>
      <w:r>
        <w:t>stationarity</w:t>
      </w:r>
      <w:proofErr w:type="spellEnd"/>
      <w:r>
        <w:t xml:space="preserve">, </w:t>
      </w:r>
      <w:proofErr w:type="spellStart"/>
      <w:r>
        <w:t>collinearity</w:t>
      </w:r>
      <w:proofErr w:type="spellEnd"/>
      <w:r>
        <w:t xml:space="preserve">, </w:t>
      </w:r>
      <w:proofErr w:type="spellStart"/>
      <w:r>
        <w:t>heteroscedasticity</w:t>
      </w:r>
      <w:proofErr w:type="spellEnd"/>
      <w:r>
        <w:t xml:space="preserve"> and trialling alternative functional forms.  Each of these tests is competently undertaken and the interpretation of outputs is sound.</w:t>
      </w:r>
    </w:p>
    <w:p w:rsidR="00756BF4" w:rsidRDefault="00756BF4" w:rsidP="00756BF4">
      <w:pPr>
        <w:pStyle w:val="Heading3a"/>
      </w:pPr>
      <w:r>
        <w:t>Interpretation of results</w:t>
      </w:r>
    </w:p>
    <w:p w:rsidR="00756BF4" w:rsidRDefault="00756BF4" w:rsidP="00756BF4">
      <w:r>
        <w:t>The results of the modelling support the view that buybacks by the Commonwealth gives rise to impacts on water allocation prices, but these are relatively minor when compared against other factors. Moreover, expanded buyback (as modelled) is unlikely to have dramatic impacts on allocation prices in $ terms.</w:t>
      </w:r>
    </w:p>
    <w:p w:rsidR="00756BF4" w:rsidRDefault="00756BF4" w:rsidP="00756BF4">
      <w:r>
        <w:t xml:space="preserve">The authors are silent on a number of contentious issues, which may or may not be appropriate. For example, the increased activity of so-called ‘speculators’ is noted but the likely ‘smoothing role’ of speculation is not addressed. Similarly, no mention is made of the benefits of higher allocation prices for those selling allocation. I leave these topics open for now as they may be considered outside of the engagement by </w:t>
      </w:r>
      <w:proofErr w:type="spellStart"/>
      <w:r>
        <w:t>Aither</w:t>
      </w:r>
      <w:proofErr w:type="spellEnd"/>
      <w:r>
        <w:t xml:space="preserve">. </w:t>
      </w:r>
    </w:p>
    <w:p w:rsidR="00756BF4" w:rsidRDefault="00756BF4" w:rsidP="00756BF4">
      <w:r>
        <w:t>Overall, I have few substantive criticisms of the work. I attach a copy of the draft with some suggested modifications to text.</w:t>
      </w:r>
    </w:p>
    <w:p w:rsidR="00756BF4" w:rsidRDefault="00756BF4" w:rsidP="00756BF4"/>
    <w:p w:rsidR="00756BF4" w:rsidRDefault="00756BF4" w:rsidP="00756BF4">
      <w:r>
        <w:t xml:space="preserve">Lin </w:t>
      </w:r>
      <w:proofErr w:type="spellStart"/>
      <w:r>
        <w:t>Crase</w:t>
      </w:r>
      <w:proofErr w:type="spellEnd"/>
    </w:p>
    <w:p w:rsidR="00AA49F6" w:rsidRDefault="00756BF4" w:rsidP="00756BF4">
      <w:r>
        <w:t>10th October 2015</w:t>
      </w:r>
    </w:p>
    <w:p w:rsidR="00756BF4" w:rsidRDefault="00756BF4">
      <w:pPr>
        <w:spacing w:after="0" w:line="240" w:lineRule="auto"/>
        <w:rPr>
          <w:rFonts w:cs="Arial"/>
          <w:b/>
          <w:bCs/>
          <w:iCs/>
          <w:color w:val="72929B" w:themeColor="background2"/>
          <w:sz w:val="28"/>
          <w:szCs w:val="28"/>
        </w:rPr>
      </w:pPr>
      <w:r>
        <w:br w:type="page"/>
      </w:r>
    </w:p>
    <w:p w:rsidR="00756BF4" w:rsidRDefault="00756BF4" w:rsidP="00756BF4">
      <w:pPr>
        <w:pStyle w:val="Heading2a"/>
      </w:pPr>
      <w:r>
        <w:lastRenderedPageBreak/>
        <w:t xml:space="preserve">Professor </w:t>
      </w:r>
      <w:r w:rsidRPr="00756BF4">
        <w:t>Quentin Grafton</w:t>
      </w:r>
      <w:r>
        <w:t xml:space="preserve"> – Australian National University </w:t>
      </w:r>
    </w:p>
    <w:p w:rsidR="00756BF4" w:rsidRDefault="00756BF4" w:rsidP="00756BF4">
      <w:pPr>
        <w:pStyle w:val="Heading3a"/>
      </w:pPr>
      <w:r>
        <w:t>Introduction</w:t>
      </w:r>
    </w:p>
    <w:p w:rsidR="00756BF4" w:rsidRDefault="00756BF4" w:rsidP="00756BF4">
      <w:r>
        <w:t xml:space="preserve">Detailed comments and suggested revisions, focussed on interpretation and diagnostics of the estimated model, are provided in tracked changes to the document. Based on the information provided by </w:t>
      </w:r>
      <w:proofErr w:type="spellStart"/>
      <w:r>
        <w:t>Aither</w:t>
      </w:r>
      <w:proofErr w:type="spellEnd"/>
      <w:r>
        <w:t xml:space="preserve">, noting that I did not have access to the data and was not able to undertake a detailed review and quality assurance of the inputs to the model or individual calculations to replicate </w:t>
      </w:r>
      <w:proofErr w:type="spellStart"/>
      <w:r>
        <w:t>Aither’s</w:t>
      </w:r>
      <w:proofErr w:type="spellEnd"/>
      <w:r>
        <w:t xml:space="preserve"> analysis, it is my view that their general approach is robust and that their use of the model to compare counterfactuals is appropriate. Further, their results (such as estimated price </w:t>
      </w:r>
      <w:proofErr w:type="spellStart"/>
      <w:r>
        <w:t>elasticities</w:t>
      </w:r>
      <w:proofErr w:type="spellEnd"/>
      <w:r>
        <w:t>) are consistent with the existing literature and what I would expect the likely results would be.</w:t>
      </w:r>
    </w:p>
    <w:p w:rsidR="00756BF4" w:rsidRDefault="00756BF4" w:rsidP="00756BF4">
      <w:pPr>
        <w:pStyle w:val="Heading3a"/>
      </w:pPr>
      <w:proofErr w:type="spellStart"/>
      <w:r>
        <w:t>Aither’s</w:t>
      </w:r>
      <w:proofErr w:type="spellEnd"/>
      <w:r>
        <w:t xml:space="preserve"> Estimated Model</w:t>
      </w:r>
    </w:p>
    <w:p w:rsidR="00756BF4" w:rsidRDefault="00756BF4" w:rsidP="00756BF4">
      <w:r>
        <w:t xml:space="preserve">As highlighted in their report, </w:t>
      </w:r>
      <w:proofErr w:type="spellStart"/>
      <w:r>
        <w:t>Aither</w:t>
      </w:r>
      <w:proofErr w:type="spellEnd"/>
      <w:r>
        <w:t xml:space="preserve"> has estimated its own econometric model of the water allocation price in the </w:t>
      </w:r>
      <w:proofErr w:type="spellStart"/>
      <w:r>
        <w:t>sMDB</w:t>
      </w:r>
      <w:proofErr w:type="spellEnd"/>
      <w:r>
        <w:t xml:space="preserve">. This estimated model appears to track the historical data well (with a high adjusted R-squared), as shown in Figure 5. </w:t>
      </w:r>
      <w:proofErr w:type="spellStart"/>
      <w:r>
        <w:t>Aither</w:t>
      </w:r>
      <w:proofErr w:type="spellEnd"/>
      <w:r>
        <w:t xml:space="preserve"> has also tested the model out of sample (see p. 33) and, according to </w:t>
      </w:r>
      <w:proofErr w:type="gramStart"/>
      <w:r>
        <w:t>them,</w:t>
      </w:r>
      <w:proofErr w:type="gramEnd"/>
      <w:r>
        <w:t xml:space="preserve"> it provides ‘strong predictive ability’ although evidence to support this claim (such as </w:t>
      </w:r>
      <w:proofErr w:type="spellStart"/>
      <w:r>
        <w:t>Thiel’s</w:t>
      </w:r>
      <w:proofErr w:type="spellEnd"/>
      <w:r>
        <w:t xml:space="preserve"> U statistic) is not provided. With the exception of: (1) formal test for autocorrelation that would affect the standard errors, but not the coefficients of the estimated parameter estimates and (2) reset statistics for model misspecification, the standard diagnostic tests of their estimated model have been undertaken.</w:t>
      </w:r>
    </w:p>
    <w:p w:rsidR="00756BF4" w:rsidRDefault="00756BF4" w:rsidP="00756BF4">
      <w:r>
        <w:t xml:space="preserve">The estimated coefficients are all highly statistically significant from zero (p values less than 0.002) and with the appropriate signs. The model also provides a good historical predictive power for the median annual water allocation price. </w:t>
      </w:r>
    </w:p>
    <w:p w:rsidR="00756BF4" w:rsidRDefault="00756BF4" w:rsidP="00756BF4">
      <w:pPr>
        <w:pStyle w:val="Heading3a"/>
      </w:pPr>
      <w:r>
        <w:t xml:space="preserve">Model Outputs </w:t>
      </w:r>
    </w:p>
    <w:p w:rsidR="00756BF4" w:rsidRDefault="00756BF4" w:rsidP="00756BF4">
      <w:r>
        <w:t xml:space="preserve">The outputs are appropriate based on their model and also for the questions required by the Department of the Environment. The correct approach, and which </w:t>
      </w:r>
      <w:proofErr w:type="spellStart"/>
      <w:r>
        <w:t>Aither</w:t>
      </w:r>
      <w:proofErr w:type="spellEnd"/>
      <w:r>
        <w:t xml:space="preserve"> has done, is to estimate the effect on median water allocation prices with-and-without CEWH water entitlement holdings. As is appropriate, this comparison should be done under various scenarios (dry, average and wet years) because the magnitude of the effect will differ depending on relative water availability.</w:t>
      </w:r>
    </w:p>
    <w:p w:rsidR="00756BF4" w:rsidRDefault="00756BF4" w:rsidP="00756BF4">
      <w:r>
        <w:t xml:space="preserve">Four scenarios are provided in section 4 of the report. In addition to point estimate, confidence intervals should be provided for modelled prices where relevant. Scenario 1 shows the historical water allocation to entitlements is a major driver of water allocation prices. Scenario 2 compares water allocation prices historically. In particular, it assesses the outcome if there had been no water entitlement purchases by the Commonwealth with the actual water allocation prices (with CEWH holdings) over the period 2008-09 to 2014-15. Results are summarised in Table 4 (see p. 24) in both absolute dollar terms and also as a proportion of modelled prices. In recent years, CEWH holdings are estimated to have raised the modelled annual median water allocation price by some 20% or more. </w:t>
      </w:r>
    </w:p>
    <w:p w:rsidR="00756BF4" w:rsidRDefault="00756BF4" w:rsidP="00756BF4">
      <w:r>
        <w:t xml:space="preserve">Scenario 3 examines the effect of current volumes of water entitlements held by the CEWH in: expected 2015-16; a repeat of an extreme dry year of 2008-09; a repeat of ‘average’ year in 2005-06; and repeat of a wet year in 2011-12. As expected, the relative impact on absolute level of prices (in $) is greatest in a dry year, but the relative impact is greatest in a wet year (26% of modelled allocation price). Scenario 4 replicates Scenario 3, but assumes there is an additional 200Gl/yr of long-term cap equivalent held by the CEWH over and above its current holdings. In this scenario, the effect on the </w:t>
      </w:r>
      <w:r>
        <w:lastRenderedPageBreak/>
        <w:t xml:space="preserve">median annual water allocation price is minimal such that, even in a wet year, the extra increase in allocation price represents 6% of the modelled price. </w:t>
      </w:r>
    </w:p>
    <w:p w:rsidR="00756BF4" w:rsidRDefault="00756BF4" w:rsidP="00756BF4">
      <w:pPr>
        <w:pStyle w:val="Heading3a"/>
      </w:pPr>
      <w:r>
        <w:t>Interpretations and Conclusions</w:t>
      </w:r>
    </w:p>
    <w:p w:rsidR="00756BF4" w:rsidRDefault="00756BF4" w:rsidP="00756BF4">
      <w:proofErr w:type="spellStart"/>
      <w:r>
        <w:t>Aither’s</w:t>
      </w:r>
      <w:proofErr w:type="spellEnd"/>
      <w:r>
        <w:t xml:space="preserve"> outputs show that current holdings of CEWH have moderately raised the median allocation prices in the </w:t>
      </w:r>
      <w:proofErr w:type="spellStart"/>
      <w:r>
        <w:t>sMDB</w:t>
      </w:r>
      <w:proofErr w:type="spellEnd"/>
      <w:r>
        <w:t xml:space="preserve">. The impact, in relative terms, is highest in wet years, but the absolute price effect (in $) is greatest in dry years. As noted by </w:t>
      </w:r>
      <w:proofErr w:type="spellStart"/>
      <w:r>
        <w:t>Aither</w:t>
      </w:r>
      <w:proofErr w:type="spellEnd"/>
      <w:r>
        <w:t xml:space="preserve">, by far the biggest influence or driver of median annual allocation prices is the overall water allocations to water entitlements. In other words, the successive decreases in water allocations from 2012-13 to 2014-15 due to drying conditions explains almost all of the more than doubling of the increase in median allocation prices over that period. Overall, </w:t>
      </w:r>
      <w:proofErr w:type="spellStart"/>
      <w:r>
        <w:t>Aither’s</w:t>
      </w:r>
      <w:proofErr w:type="spellEnd"/>
      <w:r>
        <w:t xml:space="preserve"> findings conform to economic theory and, where relevant, are consistent with findings in the literature. </w:t>
      </w:r>
    </w:p>
    <w:p w:rsidR="00756BF4" w:rsidRDefault="00756BF4" w:rsidP="00756BF4"/>
    <w:p w:rsidR="00756BF4" w:rsidRDefault="00756BF4" w:rsidP="00756BF4">
      <w:r>
        <w:t>13 October 2015</w:t>
      </w:r>
    </w:p>
    <w:p w:rsidR="00756BF4" w:rsidRDefault="00756BF4" w:rsidP="00756BF4">
      <w:r>
        <w:t>R. Quentin Grafton</w:t>
      </w:r>
    </w:p>
    <w:p w:rsidR="00F643F9" w:rsidRDefault="00F643F9" w:rsidP="009155E1">
      <w:pPr>
        <w:pStyle w:val="Heading1"/>
        <w:numPr>
          <w:ilvl w:val="0"/>
          <w:numId w:val="0"/>
        </w:numPr>
        <w:ind w:left="851" w:hanging="851"/>
      </w:pPr>
      <w:bookmarkStart w:id="103" w:name="_Toc440006858"/>
      <w:r>
        <w:lastRenderedPageBreak/>
        <w:t>A</w:t>
      </w:r>
      <w:r w:rsidR="00AA49F6">
        <w:t>ppendix B</w:t>
      </w:r>
      <w:r>
        <w:t xml:space="preserve"> – </w:t>
      </w:r>
      <w:r w:rsidR="002B0AF8">
        <w:t>Sensitivity analysis</w:t>
      </w:r>
      <w:bookmarkEnd w:id="103"/>
    </w:p>
    <w:p w:rsidR="00FA3A55" w:rsidRPr="00CC1CF7" w:rsidRDefault="00FA3A55" w:rsidP="00FA3A55">
      <w:pPr>
        <w:pStyle w:val="Caption"/>
      </w:pPr>
      <w:bookmarkStart w:id="104" w:name="_Toc440006865"/>
      <w:r w:rsidRPr="00894869">
        <w:t xml:space="preserve">Table </w:t>
      </w:r>
      <w:r w:rsidR="00306798">
        <w:fldChar w:fldCharType="begin"/>
      </w:r>
      <w:r w:rsidR="00531166">
        <w:instrText xml:space="preserve"> SEQ Table \* ARABIC </w:instrText>
      </w:r>
      <w:r w:rsidR="00306798">
        <w:fldChar w:fldCharType="separate"/>
      </w:r>
      <w:r w:rsidR="00EB2418">
        <w:rPr>
          <w:noProof/>
        </w:rPr>
        <w:t>7</w:t>
      </w:r>
      <w:r w:rsidR="00306798">
        <w:rPr>
          <w:noProof/>
        </w:rPr>
        <w:fldChar w:fldCharType="end"/>
      </w:r>
      <w:r>
        <w:tab/>
      </w:r>
      <w:r w:rsidRPr="001475DB">
        <w:t>Historical water allocation price impact of Commonwealth water purchases, 2008-09 to 2014-15</w:t>
      </w:r>
      <w:r>
        <w:t xml:space="preserve"> – </w:t>
      </w:r>
      <w:r w:rsidR="00AA49F6">
        <w:t>95 percent</w:t>
      </w:r>
      <w:r w:rsidR="00AA49F6" w:rsidRPr="00AA49F6">
        <w:t xml:space="preserve"> confidence limits </w:t>
      </w:r>
      <w:r w:rsidR="002E2745">
        <w:t>s</w:t>
      </w:r>
      <w:r w:rsidR="002E2745" w:rsidRPr="002E2745">
        <w:t>ensitivity analysis</w:t>
      </w:r>
      <w:bookmarkEnd w:id="104"/>
    </w:p>
    <w:tbl>
      <w:tblPr>
        <w:tblStyle w:val="Aither"/>
        <w:tblW w:w="9180" w:type="dxa"/>
        <w:tblInd w:w="108" w:type="dxa"/>
        <w:tblLayout w:type="fixed"/>
        <w:tblLook w:val="04A0"/>
      </w:tblPr>
      <w:tblGrid>
        <w:gridCol w:w="1080"/>
        <w:gridCol w:w="2700"/>
        <w:gridCol w:w="2700"/>
        <w:gridCol w:w="2700"/>
      </w:tblGrid>
      <w:tr w:rsidR="00FA3A55" w:rsidTr="00FA3A55">
        <w:trPr>
          <w:cnfStyle w:val="100000000000"/>
        </w:trPr>
        <w:tc>
          <w:tcPr>
            <w:tcW w:w="1080" w:type="dxa"/>
          </w:tcPr>
          <w:p w:rsidR="00FA3A55" w:rsidRDefault="00FA3A55" w:rsidP="00FA3A55">
            <w:pPr>
              <w:pStyle w:val="TableHeading"/>
            </w:pPr>
            <w:r>
              <w:t>Year</w:t>
            </w:r>
          </w:p>
        </w:tc>
        <w:tc>
          <w:tcPr>
            <w:tcW w:w="2700" w:type="dxa"/>
          </w:tcPr>
          <w:p w:rsidR="00FA3A55" w:rsidRDefault="00FA3A55" w:rsidP="00FA3A55">
            <w:pPr>
              <w:pStyle w:val="TableHeading"/>
            </w:pPr>
            <w:r>
              <w:t>Potential price impact of purchases ($/ML) – lower</w:t>
            </w:r>
          </w:p>
        </w:tc>
        <w:tc>
          <w:tcPr>
            <w:tcW w:w="2700" w:type="dxa"/>
          </w:tcPr>
          <w:p w:rsidR="00FA3A55" w:rsidRDefault="00FA3A55" w:rsidP="00FA3A55">
            <w:pPr>
              <w:pStyle w:val="TableHeading"/>
            </w:pPr>
            <w:r>
              <w:t>Potential price impact of purchases ($/ML)</w:t>
            </w:r>
          </w:p>
        </w:tc>
        <w:tc>
          <w:tcPr>
            <w:tcW w:w="2700" w:type="dxa"/>
          </w:tcPr>
          <w:p w:rsidR="00FA3A55" w:rsidRPr="00742C11" w:rsidRDefault="00FA3A55" w:rsidP="00FA3A55">
            <w:pPr>
              <w:pStyle w:val="TableHeading"/>
              <w:rPr>
                <w:vertAlign w:val="superscript"/>
              </w:rPr>
            </w:pPr>
            <w:r>
              <w:t>Potential price impact of purchases ($/ML) – upper</w:t>
            </w:r>
          </w:p>
        </w:tc>
      </w:tr>
      <w:tr w:rsidR="00FA3A55" w:rsidTr="001B019B">
        <w:trPr>
          <w:cnfStyle w:val="000000100000"/>
          <w:trHeight w:val="386"/>
        </w:trPr>
        <w:tc>
          <w:tcPr>
            <w:tcW w:w="1080" w:type="dxa"/>
          </w:tcPr>
          <w:p w:rsidR="00FA3A55" w:rsidRPr="005D48E6" w:rsidRDefault="00FA3A55" w:rsidP="00FA3A55">
            <w:pPr>
              <w:pStyle w:val="TableText"/>
            </w:pPr>
            <w:r w:rsidRPr="005D48E6">
              <w:t>2008–09</w:t>
            </w:r>
          </w:p>
        </w:tc>
        <w:tc>
          <w:tcPr>
            <w:tcW w:w="2700" w:type="dxa"/>
            <w:vAlign w:val="top"/>
          </w:tcPr>
          <w:p w:rsidR="00FA3A55" w:rsidRPr="00727872" w:rsidRDefault="00FA3A55" w:rsidP="00FA3A55">
            <w:pPr>
              <w:pStyle w:val="TableText"/>
            </w:pPr>
            <w:r w:rsidRPr="000F78D5">
              <w:t xml:space="preserve">$1 </w:t>
            </w:r>
          </w:p>
        </w:tc>
        <w:tc>
          <w:tcPr>
            <w:tcW w:w="2700" w:type="dxa"/>
          </w:tcPr>
          <w:p w:rsidR="00FA3A55" w:rsidRPr="005D48E6" w:rsidRDefault="00FA3A55" w:rsidP="00FA3A55">
            <w:pPr>
              <w:pStyle w:val="TableText"/>
            </w:pPr>
            <w:r>
              <w:t>$1</w:t>
            </w:r>
          </w:p>
        </w:tc>
        <w:tc>
          <w:tcPr>
            <w:tcW w:w="2700" w:type="dxa"/>
            <w:vAlign w:val="top"/>
          </w:tcPr>
          <w:p w:rsidR="00FA3A55" w:rsidRPr="005D48E6" w:rsidRDefault="00FA3A55" w:rsidP="00FA3A55">
            <w:pPr>
              <w:pStyle w:val="TableText"/>
            </w:pPr>
            <w:r w:rsidRPr="003F4C19">
              <w:t xml:space="preserve">$1 </w:t>
            </w:r>
          </w:p>
        </w:tc>
      </w:tr>
      <w:tr w:rsidR="00FA3A55" w:rsidTr="001B019B">
        <w:trPr>
          <w:trHeight w:val="386"/>
        </w:trPr>
        <w:tc>
          <w:tcPr>
            <w:tcW w:w="1080" w:type="dxa"/>
          </w:tcPr>
          <w:p w:rsidR="00FA3A55" w:rsidRPr="005D48E6" w:rsidRDefault="00FA3A55" w:rsidP="00FA3A55">
            <w:pPr>
              <w:pStyle w:val="TableText"/>
            </w:pPr>
            <w:r w:rsidRPr="005D48E6">
              <w:t>2009–10</w:t>
            </w:r>
          </w:p>
        </w:tc>
        <w:tc>
          <w:tcPr>
            <w:tcW w:w="2700" w:type="dxa"/>
            <w:vAlign w:val="top"/>
          </w:tcPr>
          <w:p w:rsidR="00FA3A55" w:rsidRPr="00727872" w:rsidRDefault="00FA3A55" w:rsidP="00FA3A55">
            <w:pPr>
              <w:pStyle w:val="TableText"/>
            </w:pPr>
            <w:r w:rsidRPr="000F78D5">
              <w:t xml:space="preserve">$10 </w:t>
            </w:r>
          </w:p>
        </w:tc>
        <w:tc>
          <w:tcPr>
            <w:tcW w:w="2700" w:type="dxa"/>
          </w:tcPr>
          <w:p w:rsidR="00FA3A55" w:rsidRPr="005D48E6" w:rsidRDefault="00FA3A55" w:rsidP="00FA3A55">
            <w:pPr>
              <w:pStyle w:val="TableText"/>
            </w:pPr>
            <w:r>
              <w:t>$11</w:t>
            </w:r>
          </w:p>
        </w:tc>
        <w:tc>
          <w:tcPr>
            <w:tcW w:w="2700" w:type="dxa"/>
            <w:vAlign w:val="top"/>
          </w:tcPr>
          <w:p w:rsidR="00FA3A55" w:rsidRPr="005D48E6" w:rsidRDefault="00FA3A55" w:rsidP="00FA3A55">
            <w:pPr>
              <w:pStyle w:val="TableText"/>
            </w:pPr>
            <w:r w:rsidRPr="003F4C19">
              <w:t xml:space="preserve">$11 </w:t>
            </w:r>
          </w:p>
        </w:tc>
      </w:tr>
      <w:tr w:rsidR="00FA3A55" w:rsidTr="001B019B">
        <w:trPr>
          <w:cnfStyle w:val="000000100000"/>
          <w:trHeight w:val="386"/>
        </w:trPr>
        <w:tc>
          <w:tcPr>
            <w:tcW w:w="1080" w:type="dxa"/>
          </w:tcPr>
          <w:p w:rsidR="00FA3A55" w:rsidRPr="005D48E6" w:rsidRDefault="00FA3A55" w:rsidP="00FA3A55">
            <w:pPr>
              <w:pStyle w:val="TableText"/>
            </w:pPr>
            <w:r w:rsidRPr="005D48E6">
              <w:t>2010–11</w:t>
            </w:r>
          </w:p>
        </w:tc>
        <w:tc>
          <w:tcPr>
            <w:tcW w:w="2700" w:type="dxa"/>
            <w:vAlign w:val="top"/>
          </w:tcPr>
          <w:p w:rsidR="00FA3A55" w:rsidRPr="00727872" w:rsidRDefault="00FA3A55" w:rsidP="00FA3A55">
            <w:pPr>
              <w:pStyle w:val="TableText"/>
            </w:pPr>
            <w:r w:rsidRPr="000F78D5">
              <w:t xml:space="preserve">$3 </w:t>
            </w:r>
          </w:p>
        </w:tc>
        <w:tc>
          <w:tcPr>
            <w:tcW w:w="2700" w:type="dxa"/>
          </w:tcPr>
          <w:p w:rsidR="00FA3A55" w:rsidRPr="005D48E6" w:rsidRDefault="00FA3A55" w:rsidP="00FA3A55">
            <w:pPr>
              <w:pStyle w:val="TableText"/>
            </w:pPr>
            <w:r>
              <w:t>$5</w:t>
            </w:r>
          </w:p>
        </w:tc>
        <w:tc>
          <w:tcPr>
            <w:tcW w:w="2700" w:type="dxa"/>
            <w:vAlign w:val="top"/>
          </w:tcPr>
          <w:p w:rsidR="00FA3A55" w:rsidRPr="005D48E6" w:rsidRDefault="00FA3A55" w:rsidP="00FA3A55">
            <w:pPr>
              <w:pStyle w:val="TableText"/>
            </w:pPr>
            <w:r w:rsidRPr="003F4C19">
              <w:t xml:space="preserve">$6 </w:t>
            </w:r>
          </w:p>
        </w:tc>
      </w:tr>
      <w:tr w:rsidR="00FA3A55" w:rsidTr="001B019B">
        <w:trPr>
          <w:trHeight w:val="386"/>
        </w:trPr>
        <w:tc>
          <w:tcPr>
            <w:tcW w:w="1080" w:type="dxa"/>
          </w:tcPr>
          <w:p w:rsidR="00FA3A55" w:rsidRPr="005D48E6" w:rsidRDefault="00FA3A55" w:rsidP="00FA3A55">
            <w:pPr>
              <w:pStyle w:val="TableText"/>
            </w:pPr>
            <w:r w:rsidRPr="005D48E6">
              <w:t>2011–12</w:t>
            </w:r>
          </w:p>
        </w:tc>
        <w:tc>
          <w:tcPr>
            <w:tcW w:w="2700" w:type="dxa"/>
            <w:vAlign w:val="top"/>
          </w:tcPr>
          <w:p w:rsidR="00FA3A55" w:rsidRPr="00727872" w:rsidRDefault="00FA3A55" w:rsidP="00FA3A55">
            <w:pPr>
              <w:pStyle w:val="TableText"/>
            </w:pPr>
            <w:r w:rsidRPr="000F78D5">
              <w:t xml:space="preserve">$5 </w:t>
            </w:r>
          </w:p>
        </w:tc>
        <w:tc>
          <w:tcPr>
            <w:tcW w:w="2700" w:type="dxa"/>
          </w:tcPr>
          <w:p w:rsidR="00FA3A55" w:rsidRPr="005D48E6" w:rsidRDefault="00FA3A55" w:rsidP="00FA3A55">
            <w:pPr>
              <w:pStyle w:val="TableText"/>
            </w:pPr>
            <w:r>
              <w:t>$8</w:t>
            </w:r>
          </w:p>
        </w:tc>
        <w:tc>
          <w:tcPr>
            <w:tcW w:w="2700" w:type="dxa"/>
            <w:vAlign w:val="top"/>
          </w:tcPr>
          <w:p w:rsidR="00FA3A55" w:rsidRPr="005D48E6" w:rsidRDefault="00FA3A55" w:rsidP="00FA3A55">
            <w:pPr>
              <w:pStyle w:val="TableText"/>
            </w:pPr>
            <w:r w:rsidRPr="003F4C19">
              <w:t xml:space="preserve">$11 </w:t>
            </w:r>
          </w:p>
        </w:tc>
      </w:tr>
      <w:tr w:rsidR="00FA3A55" w:rsidTr="001B019B">
        <w:trPr>
          <w:cnfStyle w:val="000000100000"/>
          <w:trHeight w:val="386"/>
        </w:trPr>
        <w:tc>
          <w:tcPr>
            <w:tcW w:w="1080" w:type="dxa"/>
          </w:tcPr>
          <w:p w:rsidR="00FA3A55" w:rsidRPr="005D48E6" w:rsidRDefault="00FA3A55" w:rsidP="00FA3A55">
            <w:pPr>
              <w:pStyle w:val="TableText"/>
            </w:pPr>
            <w:r w:rsidRPr="005D48E6">
              <w:t>2012-13</w:t>
            </w:r>
          </w:p>
        </w:tc>
        <w:tc>
          <w:tcPr>
            <w:tcW w:w="2700" w:type="dxa"/>
            <w:vAlign w:val="top"/>
          </w:tcPr>
          <w:p w:rsidR="00FA3A55" w:rsidRPr="00727872" w:rsidRDefault="00FA3A55" w:rsidP="00FA3A55">
            <w:pPr>
              <w:pStyle w:val="TableText"/>
            </w:pPr>
            <w:r w:rsidRPr="000F78D5">
              <w:t xml:space="preserve">$10 </w:t>
            </w:r>
          </w:p>
        </w:tc>
        <w:tc>
          <w:tcPr>
            <w:tcW w:w="2700" w:type="dxa"/>
          </w:tcPr>
          <w:p w:rsidR="00FA3A55" w:rsidRPr="005D48E6" w:rsidRDefault="00FA3A55" w:rsidP="00FA3A55">
            <w:pPr>
              <w:pStyle w:val="TableText"/>
            </w:pPr>
            <w:r>
              <w:t>$17</w:t>
            </w:r>
          </w:p>
        </w:tc>
        <w:tc>
          <w:tcPr>
            <w:tcW w:w="2700" w:type="dxa"/>
            <w:vAlign w:val="top"/>
          </w:tcPr>
          <w:p w:rsidR="00FA3A55" w:rsidRPr="005D48E6" w:rsidRDefault="00FA3A55" w:rsidP="00FA3A55">
            <w:pPr>
              <w:pStyle w:val="TableText"/>
            </w:pPr>
            <w:r w:rsidRPr="003F4C19">
              <w:t xml:space="preserve">$22 </w:t>
            </w:r>
          </w:p>
        </w:tc>
      </w:tr>
      <w:tr w:rsidR="00FA3A55" w:rsidTr="001B019B">
        <w:trPr>
          <w:trHeight w:val="386"/>
        </w:trPr>
        <w:tc>
          <w:tcPr>
            <w:tcW w:w="1080" w:type="dxa"/>
          </w:tcPr>
          <w:p w:rsidR="00FA3A55" w:rsidRPr="005D48E6" w:rsidRDefault="00FA3A55" w:rsidP="00FA3A55">
            <w:pPr>
              <w:pStyle w:val="TableText"/>
            </w:pPr>
            <w:r w:rsidRPr="005D48E6">
              <w:t>2013-14</w:t>
            </w:r>
          </w:p>
        </w:tc>
        <w:tc>
          <w:tcPr>
            <w:tcW w:w="2700" w:type="dxa"/>
            <w:vAlign w:val="top"/>
          </w:tcPr>
          <w:p w:rsidR="00FA3A55" w:rsidRPr="00727872" w:rsidRDefault="00FA3A55" w:rsidP="00FA3A55">
            <w:pPr>
              <w:pStyle w:val="TableText"/>
            </w:pPr>
            <w:r w:rsidRPr="000F78D5">
              <w:t xml:space="preserve">$16 </w:t>
            </w:r>
          </w:p>
        </w:tc>
        <w:tc>
          <w:tcPr>
            <w:tcW w:w="2700" w:type="dxa"/>
          </w:tcPr>
          <w:p w:rsidR="00FA3A55" w:rsidRPr="005D48E6" w:rsidRDefault="00FA3A55" w:rsidP="00FA3A55">
            <w:pPr>
              <w:pStyle w:val="TableText"/>
            </w:pPr>
            <w:r>
              <w:t>$24</w:t>
            </w:r>
          </w:p>
        </w:tc>
        <w:tc>
          <w:tcPr>
            <w:tcW w:w="2700" w:type="dxa"/>
            <w:vAlign w:val="top"/>
          </w:tcPr>
          <w:p w:rsidR="00FA3A55" w:rsidRPr="005D48E6" w:rsidRDefault="00FA3A55" w:rsidP="00FA3A55">
            <w:pPr>
              <w:pStyle w:val="TableText"/>
            </w:pPr>
            <w:r w:rsidRPr="003F4C19">
              <w:t xml:space="preserve">$29 </w:t>
            </w:r>
          </w:p>
        </w:tc>
      </w:tr>
      <w:tr w:rsidR="00FA3A55" w:rsidTr="001B019B">
        <w:trPr>
          <w:cnfStyle w:val="000000100000"/>
          <w:trHeight w:val="386"/>
        </w:trPr>
        <w:tc>
          <w:tcPr>
            <w:tcW w:w="1080" w:type="dxa"/>
          </w:tcPr>
          <w:p w:rsidR="00FA3A55" w:rsidRPr="005D48E6" w:rsidRDefault="00FA3A55" w:rsidP="00FA3A55">
            <w:pPr>
              <w:pStyle w:val="TableText"/>
            </w:pPr>
            <w:r w:rsidRPr="005D48E6">
              <w:t>2014-15</w:t>
            </w:r>
          </w:p>
        </w:tc>
        <w:tc>
          <w:tcPr>
            <w:tcW w:w="2700" w:type="dxa"/>
            <w:vAlign w:val="top"/>
          </w:tcPr>
          <w:p w:rsidR="00FA3A55" w:rsidRDefault="00FA3A55" w:rsidP="00FA3A55">
            <w:pPr>
              <w:pStyle w:val="TableText"/>
            </w:pPr>
            <w:r w:rsidRPr="000F78D5">
              <w:t xml:space="preserve">$18 </w:t>
            </w:r>
          </w:p>
        </w:tc>
        <w:tc>
          <w:tcPr>
            <w:tcW w:w="2700" w:type="dxa"/>
          </w:tcPr>
          <w:p w:rsidR="00FA3A55" w:rsidRPr="005D48E6" w:rsidRDefault="00FA3A55" w:rsidP="00FA3A55">
            <w:pPr>
              <w:pStyle w:val="TableText"/>
            </w:pPr>
            <w:r>
              <w:t>$24</w:t>
            </w:r>
          </w:p>
        </w:tc>
        <w:tc>
          <w:tcPr>
            <w:tcW w:w="2700" w:type="dxa"/>
            <w:vAlign w:val="top"/>
          </w:tcPr>
          <w:p w:rsidR="00FA3A55" w:rsidRPr="005D48E6" w:rsidRDefault="00FA3A55" w:rsidP="00FA3A55">
            <w:pPr>
              <w:pStyle w:val="TableText"/>
            </w:pPr>
            <w:r w:rsidRPr="003F4C19">
              <w:t xml:space="preserve">$27 </w:t>
            </w:r>
          </w:p>
        </w:tc>
      </w:tr>
    </w:tbl>
    <w:p w:rsidR="00FA3A55" w:rsidRDefault="00FA3A55" w:rsidP="00FA3A55">
      <w:pPr>
        <w:pStyle w:val="TFIHolderSmallSpace"/>
      </w:pPr>
    </w:p>
    <w:p w:rsidR="00FA3A55" w:rsidRDefault="00FA3A55" w:rsidP="00FA3A55">
      <w:pPr>
        <w:pStyle w:val="TFNoteSourceTab"/>
      </w:pPr>
      <w:r w:rsidRPr="00776F13">
        <w:t>Source:</w:t>
      </w:r>
      <w:r w:rsidRPr="00776F13">
        <w:tab/>
      </w:r>
      <w:proofErr w:type="spellStart"/>
      <w:r w:rsidRPr="00776F13">
        <w:t>Aither</w:t>
      </w:r>
      <w:proofErr w:type="spellEnd"/>
      <w:r w:rsidRPr="00776F13">
        <w:t xml:space="preserve"> 2015. </w:t>
      </w:r>
      <w:proofErr w:type="gramStart"/>
      <w:r w:rsidRPr="00776F13">
        <w:t>New South Wales Water Register, South Australian Water Register and Victorian Water Register.</w:t>
      </w:r>
      <w:proofErr w:type="gramEnd"/>
      <w:r w:rsidRPr="00776F13">
        <w:t xml:space="preserve"> Based on Commonwealth</w:t>
      </w:r>
      <w:r w:rsidRPr="001C1491">
        <w:t xml:space="preserve"> water purchase data provided to </w:t>
      </w:r>
      <w:proofErr w:type="spellStart"/>
      <w:r w:rsidRPr="001C1491">
        <w:t>Aither</w:t>
      </w:r>
      <w:proofErr w:type="spellEnd"/>
      <w:r w:rsidRPr="001C1491">
        <w:t xml:space="preserve"> by the Department of the Environment.</w:t>
      </w:r>
    </w:p>
    <w:p w:rsidR="00742C11" w:rsidRDefault="00742C11" w:rsidP="00742C11"/>
    <w:p w:rsidR="00FA3A55" w:rsidRPr="00CC1CF7" w:rsidRDefault="00FA3A55" w:rsidP="00FA3A55">
      <w:pPr>
        <w:pStyle w:val="Caption"/>
      </w:pPr>
      <w:bookmarkStart w:id="105" w:name="_Toc440006866"/>
      <w:r w:rsidRPr="00894869">
        <w:t xml:space="preserve">Table </w:t>
      </w:r>
      <w:r w:rsidR="00306798">
        <w:fldChar w:fldCharType="begin"/>
      </w:r>
      <w:r w:rsidR="00531166">
        <w:instrText xml:space="preserve"> SEQ Table \* ARABIC </w:instrText>
      </w:r>
      <w:r w:rsidR="00306798">
        <w:fldChar w:fldCharType="separate"/>
      </w:r>
      <w:r w:rsidR="00EB2418">
        <w:rPr>
          <w:noProof/>
        </w:rPr>
        <w:t>8</w:t>
      </w:r>
      <w:r w:rsidR="00306798">
        <w:rPr>
          <w:noProof/>
        </w:rPr>
        <w:fldChar w:fldCharType="end"/>
      </w:r>
      <w:r>
        <w:tab/>
      </w:r>
      <w:r w:rsidRPr="006D0FEF">
        <w:t>Estimated water allocation price impacts of Commonwealth water purchases for hypothetical future water years</w:t>
      </w:r>
      <w:r>
        <w:t xml:space="preserve"> – </w:t>
      </w:r>
      <w:r w:rsidR="00AA49F6" w:rsidRPr="00AA49F6">
        <w:t>95 percent confidence limits sensitivity analysis</w:t>
      </w:r>
      <w:bookmarkEnd w:id="105"/>
    </w:p>
    <w:tbl>
      <w:tblPr>
        <w:tblStyle w:val="Aither"/>
        <w:tblW w:w="9180" w:type="dxa"/>
        <w:tblInd w:w="108" w:type="dxa"/>
        <w:tblLayout w:type="fixed"/>
        <w:tblLook w:val="04A0"/>
      </w:tblPr>
      <w:tblGrid>
        <w:gridCol w:w="1980"/>
        <w:gridCol w:w="2400"/>
        <w:gridCol w:w="2400"/>
        <w:gridCol w:w="2400"/>
      </w:tblGrid>
      <w:tr w:rsidR="00FA3A55" w:rsidTr="00FA3A55">
        <w:trPr>
          <w:cnfStyle w:val="100000000000"/>
        </w:trPr>
        <w:tc>
          <w:tcPr>
            <w:tcW w:w="1980" w:type="dxa"/>
          </w:tcPr>
          <w:p w:rsidR="00FA3A55" w:rsidRDefault="00FA3A55" w:rsidP="00FA3A55">
            <w:pPr>
              <w:pStyle w:val="TableHeading"/>
            </w:pPr>
            <w:r>
              <w:t xml:space="preserve">Scenario </w:t>
            </w:r>
          </w:p>
        </w:tc>
        <w:tc>
          <w:tcPr>
            <w:tcW w:w="2400" w:type="dxa"/>
          </w:tcPr>
          <w:p w:rsidR="00FA3A55" w:rsidRDefault="00FA3A55" w:rsidP="00FA3A55">
            <w:pPr>
              <w:pStyle w:val="TableHeading"/>
            </w:pPr>
            <w:r>
              <w:t>Potential price impact of purchases ($/ML) – lower</w:t>
            </w:r>
          </w:p>
        </w:tc>
        <w:tc>
          <w:tcPr>
            <w:tcW w:w="2400" w:type="dxa"/>
          </w:tcPr>
          <w:p w:rsidR="00FA3A55" w:rsidRDefault="00FA3A55" w:rsidP="00FA3A55">
            <w:pPr>
              <w:pStyle w:val="TableHeading"/>
            </w:pPr>
            <w:r>
              <w:t>Potential price impact of purchases ($/ML)</w:t>
            </w:r>
          </w:p>
        </w:tc>
        <w:tc>
          <w:tcPr>
            <w:tcW w:w="2400" w:type="dxa"/>
          </w:tcPr>
          <w:p w:rsidR="00FA3A55" w:rsidRPr="00F643F9" w:rsidRDefault="00FA3A55" w:rsidP="00FA3A55">
            <w:pPr>
              <w:pStyle w:val="TableHeading"/>
              <w:rPr>
                <w:vertAlign w:val="superscript"/>
              </w:rPr>
            </w:pPr>
            <w:r>
              <w:t>Potential price impact of purchases ($/ML) – upper</w:t>
            </w:r>
          </w:p>
        </w:tc>
      </w:tr>
      <w:tr w:rsidR="00FA3A55" w:rsidTr="00FA3A55">
        <w:trPr>
          <w:cnfStyle w:val="000000100000"/>
        </w:trPr>
        <w:tc>
          <w:tcPr>
            <w:tcW w:w="1980" w:type="dxa"/>
          </w:tcPr>
          <w:p w:rsidR="00FA3A55" w:rsidRDefault="00FA3A55" w:rsidP="00FA3A55">
            <w:pPr>
              <w:pStyle w:val="TableText"/>
            </w:pPr>
            <w:r>
              <w:t>Expected 2015-16</w:t>
            </w:r>
          </w:p>
        </w:tc>
        <w:tc>
          <w:tcPr>
            <w:tcW w:w="2400" w:type="dxa"/>
          </w:tcPr>
          <w:p w:rsidR="00FA3A55" w:rsidRPr="005138CF" w:rsidRDefault="00D918CA" w:rsidP="00FA3A55">
            <w:pPr>
              <w:pStyle w:val="TableText"/>
            </w:pPr>
            <w:r w:rsidRPr="00D918CA">
              <w:t>$25</w:t>
            </w:r>
          </w:p>
        </w:tc>
        <w:tc>
          <w:tcPr>
            <w:tcW w:w="2400" w:type="dxa"/>
          </w:tcPr>
          <w:p w:rsidR="00FA3A55" w:rsidRPr="00FE690C" w:rsidRDefault="00FA3A55" w:rsidP="00FA3A55">
            <w:pPr>
              <w:pStyle w:val="TableText"/>
            </w:pPr>
            <w:r w:rsidRPr="004627CD">
              <w:t xml:space="preserve">$30 </w:t>
            </w:r>
          </w:p>
        </w:tc>
        <w:tc>
          <w:tcPr>
            <w:tcW w:w="2400" w:type="dxa"/>
          </w:tcPr>
          <w:p w:rsidR="00FA3A55" w:rsidRPr="004627CD" w:rsidRDefault="00D918CA" w:rsidP="00FA3A55">
            <w:pPr>
              <w:pStyle w:val="TableText"/>
            </w:pPr>
            <w:r w:rsidRPr="00D918CA">
              <w:t>$30</w:t>
            </w:r>
          </w:p>
        </w:tc>
      </w:tr>
      <w:tr w:rsidR="00FA3A55" w:rsidTr="00FA3A55">
        <w:tc>
          <w:tcPr>
            <w:tcW w:w="1980" w:type="dxa"/>
          </w:tcPr>
          <w:p w:rsidR="00FA3A55" w:rsidRDefault="00FA3A55" w:rsidP="00FA3A55">
            <w:pPr>
              <w:pStyle w:val="TableText"/>
            </w:pPr>
            <w:r>
              <w:t xml:space="preserve">Repeat of </w:t>
            </w:r>
            <w:r w:rsidR="00D918CA">
              <w:t xml:space="preserve">extreme </w:t>
            </w:r>
            <w:r>
              <w:t>dry year (2008-09)</w:t>
            </w:r>
          </w:p>
        </w:tc>
        <w:tc>
          <w:tcPr>
            <w:tcW w:w="2400" w:type="dxa"/>
          </w:tcPr>
          <w:p w:rsidR="00FA3A55" w:rsidRPr="005138CF" w:rsidRDefault="002B0AF8" w:rsidP="00FA3A55">
            <w:pPr>
              <w:pStyle w:val="TableText"/>
            </w:pPr>
            <w:r w:rsidRPr="00D918CA">
              <w:t>$23</w:t>
            </w:r>
          </w:p>
        </w:tc>
        <w:tc>
          <w:tcPr>
            <w:tcW w:w="2400" w:type="dxa"/>
          </w:tcPr>
          <w:p w:rsidR="00FA3A55" w:rsidRPr="00FE690C" w:rsidRDefault="00FA3A55" w:rsidP="00FA3A55">
            <w:pPr>
              <w:pStyle w:val="TableText"/>
            </w:pPr>
            <w:r w:rsidRPr="004627CD">
              <w:t xml:space="preserve">$31 </w:t>
            </w:r>
          </w:p>
        </w:tc>
        <w:tc>
          <w:tcPr>
            <w:tcW w:w="2400" w:type="dxa"/>
          </w:tcPr>
          <w:p w:rsidR="00FA3A55" w:rsidRPr="004627CD" w:rsidRDefault="002B0AF8" w:rsidP="00FA3A55">
            <w:pPr>
              <w:pStyle w:val="TableText"/>
            </w:pPr>
            <w:r w:rsidRPr="00D918CA">
              <w:t>$35</w:t>
            </w:r>
          </w:p>
        </w:tc>
      </w:tr>
      <w:tr w:rsidR="00FA3A55" w:rsidTr="00FA3A55">
        <w:trPr>
          <w:cnfStyle w:val="000000100000"/>
        </w:trPr>
        <w:tc>
          <w:tcPr>
            <w:tcW w:w="1980" w:type="dxa"/>
          </w:tcPr>
          <w:p w:rsidR="00FA3A55" w:rsidRDefault="00FA3A55" w:rsidP="00FA3A55">
            <w:pPr>
              <w:pStyle w:val="TableText"/>
            </w:pPr>
            <w:r>
              <w:t>Repeat of average year (</w:t>
            </w:r>
            <w:r w:rsidRPr="00546EED">
              <w:t>2005-06</w:t>
            </w:r>
            <w:r>
              <w:t>)</w:t>
            </w:r>
          </w:p>
        </w:tc>
        <w:tc>
          <w:tcPr>
            <w:tcW w:w="2400" w:type="dxa"/>
          </w:tcPr>
          <w:p w:rsidR="00FA3A55" w:rsidRPr="005138CF" w:rsidRDefault="00D918CA" w:rsidP="00FA3A55">
            <w:pPr>
              <w:pStyle w:val="TableText"/>
            </w:pPr>
            <w:r w:rsidRPr="00D918CA">
              <w:t>$15</w:t>
            </w:r>
          </w:p>
        </w:tc>
        <w:tc>
          <w:tcPr>
            <w:tcW w:w="2400" w:type="dxa"/>
          </w:tcPr>
          <w:p w:rsidR="00FA3A55" w:rsidRPr="00FE690C" w:rsidRDefault="00FA3A55" w:rsidP="00FA3A55">
            <w:pPr>
              <w:pStyle w:val="TableText"/>
            </w:pPr>
            <w:r w:rsidRPr="004627CD">
              <w:t xml:space="preserve">$21 </w:t>
            </w:r>
          </w:p>
        </w:tc>
        <w:tc>
          <w:tcPr>
            <w:tcW w:w="2400" w:type="dxa"/>
          </w:tcPr>
          <w:p w:rsidR="00FA3A55" w:rsidRPr="004627CD" w:rsidRDefault="00D918CA" w:rsidP="00FA3A55">
            <w:pPr>
              <w:pStyle w:val="TableText"/>
            </w:pPr>
            <w:r w:rsidRPr="00D918CA">
              <w:t>$22</w:t>
            </w:r>
          </w:p>
        </w:tc>
      </w:tr>
      <w:tr w:rsidR="00FA3A55" w:rsidTr="00FA3A55">
        <w:tc>
          <w:tcPr>
            <w:tcW w:w="1980" w:type="dxa"/>
          </w:tcPr>
          <w:p w:rsidR="00FA3A55" w:rsidRDefault="00FA3A55" w:rsidP="00FA3A55">
            <w:pPr>
              <w:pStyle w:val="TableText"/>
            </w:pPr>
            <w:r>
              <w:t>Repeat of wet year (</w:t>
            </w:r>
            <w:r w:rsidRPr="00A0381D">
              <w:t>2011-12</w:t>
            </w:r>
            <w:r>
              <w:t>)</w:t>
            </w:r>
          </w:p>
        </w:tc>
        <w:tc>
          <w:tcPr>
            <w:tcW w:w="2400" w:type="dxa"/>
          </w:tcPr>
          <w:p w:rsidR="00FA3A55" w:rsidRDefault="00D918CA" w:rsidP="00FA3A55">
            <w:pPr>
              <w:pStyle w:val="TableText"/>
            </w:pPr>
            <w:r w:rsidRPr="00D918CA">
              <w:t>$5</w:t>
            </w:r>
          </w:p>
        </w:tc>
        <w:tc>
          <w:tcPr>
            <w:tcW w:w="2400" w:type="dxa"/>
          </w:tcPr>
          <w:p w:rsidR="00FA3A55" w:rsidRDefault="00FA3A55" w:rsidP="00FA3A55">
            <w:pPr>
              <w:pStyle w:val="TableText"/>
            </w:pPr>
            <w:r w:rsidRPr="004627CD">
              <w:t xml:space="preserve">$9 </w:t>
            </w:r>
          </w:p>
        </w:tc>
        <w:tc>
          <w:tcPr>
            <w:tcW w:w="2400" w:type="dxa"/>
          </w:tcPr>
          <w:p w:rsidR="00FA3A55" w:rsidRPr="004627CD" w:rsidRDefault="00D918CA" w:rsidP="00FA3A55">
            <w:pPr>
              <w:pStyle w:val="TableText"/>
            </w:pPr>
            <w:r w:rsidRPr="00D918CA">
              <w:t>$12</w:t>
            </w:r>
          </w:p>
        </w:tc>
      </w:tr>
    </w:tbl>
    <w:p w:rsidR="00FA3A55" w:rsidRDefault="00FA3A55" w:rsidP="00FA3A55">
      <w:pPr>
        <w:pStyle w:val="TFIHolderSmallSpace"/>
      </w:pPr>
    </w:p>
    <w:p w:rsidR="00FA3A55" w:rsidRDefault="00FA3A55" w:rsidP="00FA3A55">
      <w:pPr>
        <w:pStyle w:val="TFNoteSourceTab"/>
      </w:pPr>
      <w:r w:rsidRPr="00776F13">
        <w:t>Source:</w:t>
      </w:r>
      <w:r w:rsidRPr="00776F13">
        <w:tab/>
      </w:r>
      <w:proofErr w:type="spellStart"/>
      <w:r w:rsidRPr="00776F13">
        <w:t>Aither</w:t>
      </w:r>
      <w:proofErr w:type="spellEnd"/>
      <w:r w:rsidRPr="00776F13">
        <w:t xml:space="preserve"> 2015. </w:t>
      </w:r>
      <w:proofErr w:type="gramStart"/>
      <w:r w:rsidRPr="00776F13">
        <w:t>New South Wales Water Register, South Australian Water Register and Victorian Water Register.</w:t>
      </w:r>
      <w:proofErr w:type="gramEnd"/>
      <w:r w:rsidRPr="00776F13">
        <w:t xml:space="preserve"> Based on Commonwealth</w:t>
      </w:r>
      <w:r w:rsidRPr="004627CD">
        <w:t xml:space="preserve"> water purchase data provided to </w:t>
      </w:r>
      <w:proofErr w:type="spellStart"/>
      <w:r w:rsidRPr="004627CD">
        <w:t>Aither</w:t>
      </w:r>
      <w:proofErr w:type="spellEnd"/>
      <w:r w:rsidRPr="004627CD">
        <w:t xml:space="preserve"> by the Department of the Environment.</w:t>
      </w:r>
    </w:p>
    <w:p w:rsidR="00FA3A55" w:rsidRDefault="00FA3A55" w:rsidP="00742C11"/>
    <w:p w:rsidR="00FA3A55" w:rsidRPr="00CC1CF7" w:rsidRDefault="00FA3A55" w:rsidP="00FA3A55">
      <w:pPr>
        <w:pStyle w:val="Caption"/>
      </w:pPr>
      <w:bookmarkStart w:id="106" w:name="_Toc440006867"/>
      <w:r w:rsidRPr="00894869">
        <w:lastRenderedPageBreak/>
        <w:t xml:space="preserve">Table </w:t>
      </w:r>
      <w:r w:rsidR="00306798">
        <w:fldChar w:fldCharType="begin"/>
      </w:r>
      <w:r w:rsidR="00531166">
        <w:instrText xml:space="preserve"> SEQ Table \* ARABIC </w:instrText>
      </w:r>
      <w:r w:rsidR="00306798">
        <w:fldChar w:fldCharType="separate"/>
      </w:r>
      <w:r w:rsidR="00EB2418">
        <w:rPr>
          <w:noProof/>
        </w:rPr>
        <w:t>9</w:t>
      </w:r>
      <w:r w:rsidR="00306798">
        <w:rPr>
          <w:noProof/>
        </w:rPr>
        <w:fldChar w:fldCharType="end"/>
      </w:r>
      <w:r>
        <w:tab/>
        <w:t xml:space="preserve">Allocation price impacts of additional Commonwealth water purchases for hypothetical future water year – </w:t>
      </w:r>
      <w:r w:rsidR="00AA49F6" w:rsidRPr="00AA49F6">
        <w:t>95 percent confidence limits sensitivity analysis</w:t>
      </w:r>
      <w:bookmarkEnd w:id="106"/>
    </w:p>
    <w:tbl>
      <w:tblPr>
        <w:tblStyle w:val="Aither"/>
        <w:tblW w:w="9180" w:type="dxa"/>
        <w:tblInd w:w="108" w:type="dxa"/>
        <w:tblLayout w:type="fixed"/>
        <w:tblLook w:val="04A0"/>
      </w:tblPr>
      <w:tblGrid>
        <w:gridCol w:w="2070"/>
        <w:gridCol w:w="2370"/>
        <w:gridCol w:w="2370"/>
        <w:gridCol w:w="2370"/>
      </w:tblGrid>
      <w:tr w:rsidR="00FA3A55" w:rsidTr="00FA3A55">
        <w:trPr>
          <w:cnfStyle w:val="100000000000"/>
        </w:trPr>
        <w:tc>
          <w:tcPr>
            <w:tcW w:w="2070" w:type="dxa"/>
          </w:tcPr>
          <w:p w:rsidR="00FA3A55" w:rsidRDefault="00FA3A55" w:rsidP="00FA3A55">
            <w:pPr>
              <w:pStyle w:val="TableHeading"/>
            </w:pPr>
            <w:r>
              <w:t xml:space="preserve">Scenario </w:t>
            </w:r>
          </w:p>
        </w:tc>
        <w:tc>
          <w:tcPr>
            <w:tcW w:w="2370" w:type="dxa"/>
          </w:tcPr>
          <w:p w:rsidR="00FA3A55" w:rsidRDefault="00FA3A55" w:rsidP="00FA3A55">
            <w:pPr>
              <w:pStyle w:val="TableHeading"/>
            </w:pPr>
            <w:r>
              <w:t>Potential price impact of additional purchases ($/ML) – lower</w:t>
            </w:r>
          </w:p>
        </w:tc>
        <w:tc>
          <w:tcPr>
            <w:tcW w:w="2370" w:type="dxa"/>
          </w:tcPr>
          <w:p w:rsidR="00FA3A55" w:rsidRDefault="00FA3A55" w:rsidP="00FA3A55">
            <w:pPr>
              <w:pStyle w:val="TableHeading"/>
            </w:pPr>
            <w:r>
              <w:t>Potential price impact of additional purchases ($/ML)</w:t>
            </w:r>
          </w:p>
        </w:tc>
        <w:tc>
          <w:tcPr>
            <w:tcW w:w="2370" w:type="dxa"/>
          </w:tcPr>
          <w:p w:rsidR="00FA3A55" w:rsidRDefault="00FA3A55" w:rsidP="00FA3A55">
            <w:pPr>
              <w:pStyle w:val="TableHeading"/>
            </w:pPr>
            <w:r>
              <w:t>Potential price impact of additional purchases ($/ML) – upper</w:t>
            </w:r>
          </w:p>
        </w:tc>
      </w:tr>
      <w:tr w:rsidR="00FA3A55" w:rsidTr="00FA3A55">
        <w:trPr>
          <w:cnfStyle w:val="000000100000"/>
        </w:trPr>
        <w:tc>
          <w:tcPr>
            <w:tcW w:w="2070" w:type="dxa"/>
          </w:tcPr>
          <w:p w:rsidR="00FA3A55" w:rsidRDefault="00FA3A55" w:rsidP="00FA3A55">
            <w:pPr>
              <w:pStyle w:val="TableText"/>
            </w:pPr>
            <w:r>
              <w:t xml:space="preserve">Repeat of </w:t>
            </w:r>
            <w:r w:rsidR="00D918CA">
              <w:t xml:space="preserve">extreme </w:t>
            </w:r>
            <w:r>
              <w:t>dry year (2008-09)</w:t>
            </w:r>
          </w:p>
        </w:tc>
        <w:tc>
          <w:tcPr>
            <w:tcW w:w="2370" w:type="dxa"/>
          </w:tcPr>
          <w:p w:rsidR="00FA3A55" w:rsidRPr="00766238" w:rsidRDefault="002B0AF8" w:rsidP="00FA3A55">
            <w:pPr>
              <w:pStyle w:val="TableText"/>
            </w:pPr>
            <w:r w:rsidRPr="00E409C7">
              <w:t>$5</w:t>
            </w:r>
          </w:p>
        </w:tc>
        <w:tc>
          <w:tcPr>
            <w:tcW w:w="2370" w:type="dxa"/>
          </w:tcPr>
          <w:p w:rsidR="00FA3A55" w:rsidRPr="00766238" w:rsidRDefault="00FA3A55" w:rsidP="00FA3A55">
            <w:pPr>
              <w:pStyle w:val="TableText"/>
            </w:pPr>
            <w:r w:rsidRPr="00766238">
              <w:t>$7</w:t>
            </w:r>
          </w:p>
        </w:tc>
        <w:tc>
          <w:tcPr>
            <w:tcW w:w="2370" w:type="dxa"/>
          </w:tcPr>
          <w:p w:rsidR="00FA3A55" w:rsidRPr="00766238" w:rsidRDefault="002B0AF8" w:rsidP="00FA3A55">
            <w:pPr>
              <w:pStyle w:val="TableText"/>
            </w:pPr>
            <w:r w:rsidRPr="00E409C7">
              <w:t>$7</w:t>
            </w:r>
          </w:p>
        </w:tc>
      </w:tr>
      <w:tr w:rsidR="00FA3A55" w:rsidTr="00FA3A55">
        <w:tc>
          <w:tcPr>
            <w:tcW w:w="2070" w:type="dxa"/>
          </w:tcPr>
          <w:p w:rsidR="00FA3A55" w:rsidRDefault="00FA3A55" w:rsidP="00FA3A55">
            <w:pPr>
              <w:pStyle w:val="TableText"/>
            </w:pPr>
            <w:r>
              <w:t>Repeat of average year (</w:t>
            </w:r>
            <w:r w:rsidRPr="00546EED">
              <w:t>2005-06</w:t>
            </w:r>
            <w:r>
              <w:t>)</w:t>
            </w:r>
          </w:p>
        </w:tc>
        <w:tc>
          <w:tcPr>
            <w:tcW w:w="2370" w:type="dxa"/>
          </w:tcPr>
          <w:p w:rsidR="00FA3A55" w:rsidRPr="00766238" w:rsidRDefault="00E409C7" w:rsidP="00FA3A55">
            <w:pPr>
              <w:pStyle w:val="TableText"/>
            </w:pPr>
            <w:r w:rsidRPr="00E409C7">
              <w:t>$4</w:t>
            </w:r>
          </w:p>
        </w:tc>
        <w:tc>
          <w:tcPr>
            <w:tcW w:w="2370" w:type="dxa"/>
          </w:tcPr>
          <w:p w:rsidR="00FA3A55" w:rsidRPr="00766238" w:rsidRDefault="00FA3A55" w:rsidP="00FA3A55">
            <w:pPr>
              <w:pStyle w:val="TableText"/>
            </w:pPr>
            <w:r w:rsidRPr="00766238">
              <w:t>$4</w:t>
            </w:r>
          </w:p>
        </w:tc>
        <w:tc>
          <w:tcPr>
            <w:tcW w:w="2370" w:type="dxa"/>
          </w:tcPr>
          <w:p w:rsidR="00FA3A55" w:rsidRPr="00766238" w:rsidRDefault="00E409C7" w:rsidP="00FA3A55">
            <w:pPr>
              <w:pStyle w:val="TableText"/>
            </w:pPr>
            <w:r w:rsidRPr="00E409C7">
              <w:t>$5</w:t>
            </w:r>
          </w:p>
        </w:tc>
      </w:tr>
      <w:tr w:rsidR="00FA3A55" w:rsidTr="00FA3A55">
        <w:trPr>
          <w:cnfStyle w:val="000000100000"/>
        </w:trPr>
        <w:tc>
          <w:tcPr>
            <w:tcW w:w="2070" w:type="dxa"/>
          </w:tcPr>
          <w:p w:rsidR="00FA3A55" w:rsidRDefault="00FA3A55" w:rsidP="00FA3A55">
            <w:pPr>
              <w:pStyle w:val="TableText"/>
            </w:pPr>
            <w:r>
              <w:t>Repeat of wet year (</w:t>
            </w:r>
            <w:r w:rsidRPr="00A0381D">
              <w:t>2011-12</w:t>
            </w:r>
            <w:r>
              <w:t>)</w:t>
            </w:r>
          </w:p>
        </w:tc>
        <w:tc>
          <w:tcPr>
            <w:tcW w:w="2370" w:type="dxa"/>
          </w:tcPr>
          <w:p w:rsidR="00FA3A55" w:rsidRPr="00766238" w:rsidRDefault="00E409C7" w:rsidP="00FA3A55">
            <w:pPr>
              <w:pStyle w:val="TableText"/>
            </w:pPr>
            <w:r w:rsidRPr="00E409C7">
              <w:t>$1</w:t>
            </w:r>
          </w:p>
        </w:tc>
        <w:tc>
          <w:tcPr>
            <w:tcW w:w="2370" w:type="dxa"/>
          </w:tcPr>
          <w:p w:rsidR="00FA3A55" w:rsidRPr="00766238" w:rsidRDefault="00FA3A55" w:rsidP="00FA3A55">
            <w:pPr>
              <w:pStyle w:val="TableText"/>
            </w:pPr>
            <w:r w:rsidRPr="00766238">
              <w:t>$2</w:t>
            </w:r>
          </w:p>
        </w:tc>
        <w:tc>
          <w:tcPr>
            <w:tcW w:w="2370" w:type="dxa"/>
          </w:tcPr>
          <w:p w:rsidR="00FA3A55" w:rsidRPr="00766238" w:rsidRDefault="00E409C7" w:rsidP="00FA3A55">
            <w:pPr>
              <w:pStyle w:val="TableText"/>
            </w:pPr>
            <w:r w:rsidRPr="00E409C7">
              <w:t>$3</w:t>
            </w:r>
          </w:p>
        </w:tc>
      </w:tr>
    </w:tbl>
    <w:p w:rsidR="00FA3A55" w:rsidRDefault="00FA3A55" w:rsidP="00FA3A55">
      <w:pPr>
        <w:pStyle w:val="TFIHolderSmallSpace"/>
      </w:pPr>
    </w:p>
    <w:p w:rsidR="00FA3A55" w:rsidRDefault="00FA3A55" w:rsidP="00FA3A55">
      <w:pPr>
        <w:pStyle w:val="TFNoteSourceTab"/>
      </w:pPr>
      <w:r w:rsidRPr="00776F13">
        <w:t>Source:</w:t>
      </w:r>
      <w:r w:rsidRPr="00776F13">
        <w:tab/>
      </w:r>
      <w:proofErr w:type="spellStart"/>
      <w:r w:rsidRPr="00776F13">
        <w:t>Aither</w:t>
      </w:r>
      <w:proofErr w:type="spellEnd"/>
      <w:r w:rsidRPr="00766238">
        <w:t xml:space="preserve"> 2015. </w:t>
      </w:r>
      <w:proofErr w:type="gramStart"/>
      <w:r w:rsidRPr="00766238">
        <w:t>New South Wales Water Register, South Australian Water Register and Victorian Water Register.</w:t>
      </w:r>
      <w:proofErr w:type="gramEnd"/>
      <w:r w:rsidRPr="00766238">
        <w:t xml:space="preserve"> Based on Commonwealth water purchase data provided to </w:t>
      </w:r>
      <w:proofErr w:type="spellStart"/>
      <w:r w:rsidRPr="00766238">
        <w:t>Aither</w:t>
      </w:r>
      <w:proofErr w:type="spellEnd"/>
      <w:r w:rsidRPr="00766238">
        <w:t xml:space="preserve"> by the Department of the Environment.</w:t>
      </w:r>
    </w:p>
    <w:p w:rsidR="00FA3A55" w:rsidRPr="00742C11" w:rsidRDefault="00FA3A55" w:rsidP="00742C11"/>
    <w:p w:rsidR="00FC5C5C" w:rsidRPr="00FC5C5C" w:rsidRDefault="00FC5C5C" w:rsidP="00803673">
      <w:pPr>
        <w:sectPr w:rsidR="00FC5C5C" w:rsidRPr="00FC5C5C" w:rsidSect="00246022">
          <w:type w:val="continuous"/>
          <w:pgSz w:w="11906" w:h="16838" w:code="9"/>
          <w:pgMar w:top="1440" w:right="1440" w:bottom="1440" w:left="1440" w:header="578" w:footer="567" w:gutter="0"/>
          <w:cols w:space="720"/>
          <w:docGrid w:linePitch="299"/>
        </w:sectPr>
      </w:pPr>
      <w:bookmarkStart w:id="107" w:name="_Toc147142596"/>
      <w:bookmarkStart w:id="108" w:name="_Toc147745151"/>
      <w:bookmarkStart w:id="109" w:name="_Toc147745227"/>
      <w:bookmarkStart w:id="110" w:name="_Toc220830824"/>
    </w:p>
    <w:p w:rsidR="006B52C9" w:rsidRPr="00827527" w:rsidRDefault="006B52C9" w:rsidP="00C03EF5">
      <w:pPr>
        <w:pStyle w:val="Heading1a"/>
      </w:pPr>
      <w:r w:rsidRPr="00827527">
        <w:lastRenderedPageBreak/>
        <w:t xml:space="preserve">Document </w:t>
      </w:r>
      <w:r w:rsidRPr="00AD75FE">
        <w:t>history</w:t>
      </w:r>
      <w:bookmarkEnd w:id="107"/>
      <w:bookmarkEnd w:id="108"/>
      <w:bookmarkEnd w:id="109"/>
      <w:bookmarkEnd w:id="110"/>
    </w:p>
    <w:p w:rsidR="006B52C9" w:rsidRPr="00977018" w:rsidRDefault="006B52C9" w:rsidP="00C03EF5">
      <w:pPr>
        <w:pStyle w:val="Heading2a"/>
      </w:pPr>
      <w:r w:rsidRPr="00977018">
        <w:t>Revision:</w:t>
      </w:r>
    </w:p>
    <w:tbl>
      <w:tblPr>
        <w:tblStyle w:val="Aither"/>
        <w:tblW w:w="9072" w:type="dxa"/>
        <w:tblInd w:w="108" w:type="dxa"/>
        <w:tblLook w:val="0480"/>
      </w:tblPr>
      <w:tblGrid>
        <w:gridCol w:w="1560"/>
        <w:gridCol w:w="7512"/>
      </w:tblGrid>
      <w:tr w:rsidR="006B52C9" w:rsidRPr="005A301A" w:rsidTr="009B747A">
        <w:trPr>
          <w:cnfStyle w:val="000000100000"/>
        </w:trPr>
        <w:tc>
          <w:tcPr>
            <w:tcW w:w="1560" w:type="dxa"/>
          </w:tcPr>
          <w:p w:rsidR="006B52C9" w:rsidRPr="005A301A" w:rsidRDefault="006B52C9" w:rsidP="00C03EF5">
            <w:pPr>
              <w:pStyle w:val="TableText"/>
            </w:pPr>
            <w:r w:rsidRPr="005A301A">
              <w:t>Revision no.</w:t>
            </w:r>
          </w:p>
        </w:tc>
        <w:tc>
          <w:tcPr>
            <w:tcW w:w="7512" w:type="dxa"/>
          </w:tcPr>
          <w:p w:rsidR="006B52C9" w:rsidRPr="005A301A" w:rsidRDefault="00B7688B" w:rsidP="00C03EF5">
            <w:pPr>
              <w:pStyle w:val="TableText"/>
            </w:pPr>
            <w:r>
              <w:t>2</w:t>
            </w:r>
          </w:p>
        </w:tc>
      </w:tr>
      <w:tr w:rsidR="006B52C9" w:rsidRPr="005A301A" w:rsidTr="009B747A">
        <w:trPr>
          <w:trHeight w:val="144"/>
        </w:trPr>
        <w:tc>
          <w:tcPr>
            <w:tcW w:w="1560" w:type="dxa"/>
          </w:tcPr>
          <w:p w:rsidR="006B52C9" w:rsidRPr="005A301A" w:rsidRDefault="006B52C9" w:rsidP="00C03EF5">
            <w:pPr>
              <w:pStyle w:val="TableText"/>
            </w:pPr>
            <w:r w:rsidRPr="005A301A">
              <w:t>Author/s</w:t>
            </w:r>
          </w:p>
        </w:tc>
        <w:tc>
          <w:tcPr>
            <w:tcW w:w="7512" w:type="dxa"/>
          </w:tcPr>
          <w:p w:rsidR="006B52C9" w:rsidRPr="005A301A" w:rsidRDefault="005A301A" w:rsidP="00855EA4">
            <w:pPr>
              <w:pStyle w:val="TableText"/>
            </w:pPr>
            <w:r w:rsidRPr="005A301A">
              <w:t xml:space="preserve">Daniel Baker, Chris </w:t>
            </w:r>
            <w:proofErr w:type="spellStart"/>
            <w:r w:rsidRPr="005A301A">
              <w:t>Olszak</w:t>
            </w:r>
            <w:proofErr w:type="spellEnd"/>
            <w:r w:rsidRPr="005A301A">
              <w:t xml:space="preserve">, </w:t>
            </w:r>
            <w:r w:rsidR="00855EA4">
              <w:t>Simon Hone</w:t>
            </w:r>
            <w:r w:rsidRPr="005A301A">
              <w:t xml:space="preserve"> and Will </w:t>
            </w:r>
            <w:proofErr w:type="spellStart"/>
            <w:r w:rsidRPr="005A301A">
              <w:t>Fargher</w:t>
            </w:r>
            <w:proofErr w:type="spellEnd"/>
          </w:p>
        </w:tc>
      </w:tr>
      <w:tr w:rsidR="006B52C9" w:rsidRPr="005A301A" w:rsidTr="009B747A">
        <w:trPr>
          <w:cnfStyle w:val="000000100000"/>
        </w:trPr>
        <w:tc>
          <w:tcPr>
            <w:tcW w:w="1560" w:type="dxa"/>
          </w:tcPr>
          <w:p w:rsidR="006B52C9" w:rsidRPr="005A301A" w:rsidRDefault="006B52C9" w:rsidP="00C03EF5">
            <w:pPr>
              <w:pStyle w:val="TableText"/>
            </w:pPr>
            <w:r w:rsidRPr="005A301A">
              <w:t>Checked</w:t>
            </w:r>
          </w:p>
        </w:tc>
        <w:tc>
          <w:tcPr>
            <w:tcW w:w="7512" w:type="dxa"/>
          </w:tcPr>
          <w:p w:rsidR="006B52C9" w:rsidRPr="005A301A" w:rsidRDefault="005A301A" w:rsidP="00C03EF5">
            <w:pPr>
              <w:pStyle w:val="TableText"/>
            </w:pPr>
            <w:r w:rsidRPr="005A301A">
              <w:t xml:space="preserve">Will </w:t>
            </w:r>
            <w:proofErr w:type="spellStart"/>
            <w:r w:rsidRPr="005A301A">
              <w:t>Fargher</w:t>
            </w:r>
            <w:proofErr w:type="spellEnd"/>
          </w:p>
        </w:tc>
      </w:tr>
      <w:tr w:rsidR="006B52C9" w:rsidRPr="005A301A" w:rsidTr="009B747A">
        <w:tc>
          <w:tcPr>
            <w:tcW w:w="1560" w:type="dxa"/>
          </w:tcPr>
          <w:p w:rsidR="006B52C9" w:rsidRPr="005A301A" w:rsidRDefault="006B52C9" w:rsidP="00C03EF5">
            <w:pPr>
              <w:pStyle w:val="TableText"/>
            </w:pPr>
            <w:r w:rsidRPr="005A301A">
              <w:t>Approved</w:t>
            </w:r>
          </w:p>
        </w:tc>
        <w:tc>
          <w:tcPr>
            <w:tcW w:w="7512" w:type="dxa"/>
          </w:tcPr>
          <w:p w:rsidR="006B52C9" w:rsidRPr="005A301A" w:rsidRDefault="005A301A" w:rsidP="00C03EF5">
            <w:pPr>
              <w:pStyle w:val="TableText"/>
            </w:pPr>
            <w:r w:rsidRPr="005A301A">
              <w:t xml:space="preserve">Chris </w:t>
            </w:r>
            <w:proofErr w:type="spellStart"/>
            <w:r w:rsidRPr="005A301A">
              <w:t>Olszak</w:t>
            </w:r>
            <w:proofErr w:type="spellEnd"/>
            <w:r w:rsidRPr="005A301A">
              <w:t xml:space="preserve"> </w:t>
            </w:r>
          </w:p>
        </w:tc>
      </w:tr>
    </w:tbl>
    <w:p w:rsidR="006B52C9" w:rsidRPr="005A301A" w:rsidRDefault="006B52C9" w:rsidP="00C03EF5">
      <w:pPr>
        <w:pStyle w:val="TFIHolderLargeSpace"/>
      </w:pPr>
    </w:p>
    <w:p w:rsidR="006B52C9" w:rsidRPr="005A301A" w:rsidRDefault="006B52C9" w:rsidP="00C03EF5">
      <w:pPr>
        <w:pStyle w:val="Heading2a"/>
      </w:pPr>
      <w:r w:rsidRPr="005A301A">
        <w:t>Distribution:</w:t>
      </w:r>
    </w:p>
    <w:tbl>
      <w:tblPr>
        <w:tblStyle w:val="Aither"/>
        <w:tblW w:w="0" w:type="auto"/>
        <w:tblInd w:w="108" w:type="dxa"/>
        <w:tblLook w:val="0480"/>
      </w:tblPr>
      <w:tblGrid>
        <w:gridCol w:w="1560"/>
        <w:gridCol w:w="7512"/>
      </w:tblGrid>
      <w:tr w:rsidR="006B52C9" w:rsidRPr="005A301A" w:rsidTr="005C04C0">
        <w:trPr>
          <w:cnfStyle w:val="000000100000"/>
        </w:trPr>
        <w:tc>
          <w:tcPr>
            <w:tcW w:w="1560" w:type="dxa"/>
          </w:tcPr>
          <w:p w:rsidR="006B52C9" w:rsidRPr="005A301A" w:rsidRDefault="006B52C9" w:rsidP="00C03EF5">
            <w:pPr>
              <w:pStyle w:val="TableText"/>
            </w:pPr>
            <w:r w:rsidRPr="005A301A">
              <w:t>Issue date</w:t>
            </w:r>
          </w:p>
        </w:tc>
        <w:tc>
          <w:tcPr>
            <w:tcW w:w="7512" w:type="dxa"/>
          </w:tcPr>
          <w:p w:rsidR="006B52C9" w:rsidRPr="005A301A" w:rsidRDefault="00C05289" w:rsidP="0054025A">
            <w:pPr>
              <w:pStyle w:val="TableText"/>
            </w:pPr>
            <w:r>
              <w:t>Friday 8</w:t>
            </w:r>
            <w:r w:rsidR="005F48EA" w:rsidRPr="005A301A">
              <w:t xml:space="preserve"> </w:t>
            </w:r>
            <w:r w:rsidR="00B7688B">
              <w:t>January</w:t>
            </w:r>
            <w:r w:rsidR="00B7688B" w:rsidRPr="005A301A">
              <w:t xml:space="preserve"> </w:t>
            </w:r>
            <w:r w:rsidR="00C21848" w:rsidRPr="005A301A">
              <w:t>201</w:t>
            </w:r>
            <w:r w:rsidR="00B7688B">
              <w:t>6</w:t>
            </w:r>
          </w:p>
        </w:tc>
      </w:tr>
      <w:tr w:rsidR="006B52C9" w:rsidRPr="005A301A" w:rsidTr="005C04C0">
        <w:trPr>
          <w:trHeight w:val="89"/>
        </w:trPr>
        <w:tc>
          <w:tcPr>
            <w:tcW w:w="1560" w:type="dxa"/>
          </w:tcPr>
          <w:p w:rsidR="006B52C9" w:rsidRPr="005A301A" w:rsidRDefault="006B52C9" w:rsidP="00C03EF5">
            <w:pPr>
              <w:pStyle w:val="TableText"/>
            </w:pPr>
            <w:r w:rsidRPr="005A301A">
              <w:t>Issued to</w:t>
            </w:r>
          </w:p>
        </w:tc>
        <w:tc>
          <w:tcPr>
            <w:tcW w:w="7512" w:type="dxa"/>
          </w:tcPr>
          <w:p w:rsidR="006B52C9" w:rsidRPr="005A301A" w:rsidRDefault="005F48EA" w:rsidP="00C03EF5">
            <w:pPr>
              <w:pStyle w:val="TableText"/>
            </w:pPr>
            <w:r>
              <w:t xml:space="preserve">Commonwealth Department of the Environment </w:t>
            </w:r>
          </w:p>
        </w:tc>
      </w:tr>
      <w:tr w:rsidR="006B52C9" w:rsidRPr="006D0DF9" w:rsidTr="005C04C0">
        <w:trPr>
          <w:cnfStyle w:val="000000100000"/>
        </w:trPr>
        <w:tc>
          <w:tcPr>
            <w:tcW w:w="1560" w:type="dxa"/>
          </w:tcPr>
          <w:p w:rsidR="006B52C9" w:rsidRPr="005A301A" w:rsidRDefault="008800A3" w:rsidP="00C03EF5">
            <w:pPr>
              <w:pStyle w:val="TableText"/>
            </w:pPr>
            <w:r w:rsidRPr="005A301A">
              <w:t>Description</w:t>
            </w:r>
          </w:p>
        </w:tc>
        <w:tc>
          <w:tcPr>
            <w:tcW w:w="7512" w:type="dxa"/>
          </w:tcPr>
          <w:p w:rsidR="006B52C9" w:rsidRPr="005A301A" w:rsidRDefault="005F48EA" w:rsidP="00B7688B">
            <w:pPr>
              <w:pStyle w:val="TableText"/>
            </w:pPr>
            <w:r>
              <w:t xml:space="preserve">Final </w:t>
            </w:r>
            <w:r w:rsidR="005A301A" w:rsidRPr="005A301A">
              <w:t xml:space="preserve">report for </w:t>
            </w:r>
            <w:r w:rsidR="00B7688B">
              <w:t>publication</w:t>
            </w:r>
          </w:p>
        </w:tc>
      </w:tr>
    </w:tbl>
    <w:p w:rsidR="006B52C9" w:rsidRPr="00B66B9D" w:rsidRDefault="006B52C9" w:rsidP="00C03EF5">
      <w:pPr>
        <w:pStyle w:val="TFIHolderLargeSpace"/>
      </w:pPr>
    </w:p>
    <w:p w:rsidR="006B52C9" w:rsidRPr="00986A61" w:rsidRDefault="006B52C9" w:rsidP="00C03EF5">
      <w:pPr>
        <w:pStyle w:val="Heading2a"/>
      </w:pPr>
      <w:r w:rsidRPr="00986A61">
        <w:t>Citation:</w:t>
      </w:r>
    </w:p>
    <w:p w:rsidR="006B52C9" w:rsidRPr="005A301A" w:rsidRDefault="00B7688B" w:rsidP="00C03EF5">
      <w:proofErr w:type="spellStart"/>
      <w:proofErr w:type="gramStart"/>
      <w:r>
        <w:t>Aither</w:t>
      </w:r>
      <w:proofErr w:type="spellEnd"/>
      <w:r>
        <w:t xml:space="preserve"> (2016) Supply-side drivers of water allocation prices.</w:t>
      </w:r>
      <w:proofErr w:type="gramEnd"/>
      <w:r>
        <w:t xml:space="preserve"> </w:t>
      </w:r>
      <w:r w:rsidRPr="00B7688B">
        <w:t>Identifying and modelling supply-side drivers of water allocation prices in the southern Murray-Darling Basin</w:t>
      </w:r>
      <w:r>
        <w:t>. A report prepared for the Department of Agriculture and Water Resources, January.</w:t>
      </w:r>
    </w:p>
    <w:p w:rsidR="00766238" w:rsidRDefault="006B52C9" w:rsidP="00C03EF5">
      <w:pPr>
        <w:pStyle w:val="Heading2a"/>
      </w:pPr>
      <w:r w:rsidRPr="00766238">
        <w:t>Acknowledgements:</w:t>
      </w:r>
    </w:p>
    <w:p w:rsidR="00766238" w:rsidRDefault="00766238" w:rsidP="00766238">
      <w:proofErr w:type="spellStart"/>
      <w:r>
        <w:t>Aither</w:t>
      </w:r>
      <w:proofErr w:type="spellEnd"/>
      <w:r>
        <w:t xml:space="preserve"> would like to acknowledge the Commonwealth Department of the Environment</w:t>
      </w:r>
      <w:r w:rsidR="00B7688B">
        <w:t xml:space="preserve"> (now Agriculture and Water Resources)</w:t>
      </w:r>
      <w:r>
        <w:t xml:space="preserve"> for its assistance throughout this engagement – including providing data and information as requested, and providing feedback on drafts of the report.</w:t>
      </w:r>
    </w:p>
    <w:p w:rsidR="006B52C9" w:rsidRPr="00C21848" w:rsidRDefault="00766238" w:rsidP="00766238">
      <w:pPr>
        <w:rPr>
          <w:highlight w:val="yellow"/>
        </w:rPr>
      </w:pPr>
      <w:proofErr w:type="spellStart"/>
      <w:r>
        <w:t>Aither</w:t>
      </w:r>
      <w:proofErr w:type="spellEnd"/>
      <w:r>
        <w:t xml:space="preserve"> would also like to acknowledge the valuable input from Professor Lin </w:t>
      </w:r>
      <w:proofErr w:type="spellStart"/>
      <w:r>
        <w:t>Crase</w:t>
      </w:r>
      <w:proofErr w:type="spellEnd"/>
      <w:r>
        <w:t xml:space="preserve"> and Professor Quentin Grafton for their work peer reviewing the </w:t>
      </w:r>
      <w:r w:rsidR="0092557E">
        <w:t xml:space="preserve">draft </w:t>
      </w:r>
      <w:r>
        <w:t>report.</w:t>
      </w:r>
    </w:p>
    <w:p w:rsidR="006B52C9" w:rsidRPr="00CC7290" w:rsidRDefault="006B52C9" w:rsidP="008800A3">
      <w:pPr>
        <w:pStyle w:val="Heading2a"/>
      </w:pPr>
      <w:r w:rsidRPr="00CC7290">
        <w:t>For information on this report:</w:t>
      </w:r>
    </w:p>
    <w:p w:rsidR="006B52C9" w:rsidRPr="005A301A" w:rsidRDefault="006B52C9" w:rsidP="00C03EF5">
      <w:r>
        <w:t xml:space="preserve">Please contact: </w:t>
      </w:r>
      <w:r w:rsidR="008800A3">
        <w:tab/>
      </w:r>
      <w:r>
        <w:tab/>
      </w:r>
      <w:r w:rsidR="005A301A" w:rsidRPr="005A301A">
        <w:t>C</w:t>
      </w:r>
      <w:r w:rsidR="005A301A">
        <w:t xml:space="preserve">hris </w:t>
      </w:r>
      <w:proofErr w:type="spellStart"/>
      <w:r w:rsidR="005A301A">
        <w:t>Olszak</w:t>
      </w:r>
      <w:proofErr w:type="spellEnd"/>
    </w:p>
    <w:p w:rsidR="006B52C9" w:rsidRPr="005A301A" w:rsidRDefault="006B52C9" w:rsidP="00C03EF5">
      <w:r w:rsidRPr="005A301A">
        <w:t xml:space="preserve">Mobile: </w:t>
      </w:r>
      <w:r w:rsidRPr="005A301A">
        <w:tab/>
      </w:r>
      <w:r w:rsidRPr="005A301A">
        <w:tab/>
      </w:r>
      <w:r w:rsidR="008800A3" w:rsidRPr="005A301A">
        <w:tab/>
      </w:r>
      <w:r w:rsidR="005A301A" w:rsidRPr="005A301A">
        <w:t>0425</w:t>
      </w:r>
      <w:r w:rsidR="00C21848" w:rsidRPr="005A301A">
        <w:t xml:space="preserve"> </w:t>
      </w:r>
      <w:r w:rsidR="005A301A" w:rsidRPr="005A301A">
        <w:t>707</w:t>
      </w:r>
      <w:r w:rsidR="00C21848" w:rsidRPr="005A301A">
        <w:t xml:space="preserve"> </w:t>
      </w:r>
      <w:r w:rsidR="005A301A" w:rsidRPr="005A301A">
        <w:t>170</w:t>
      </w:r>
    </w:p>
    <w:p w:rsidR="00A5234C" w:rsidRDefault="006B52C9" w:rsidP="00C03EF5">
      <w:r w:rsidRPr="005A301A">
        <w:t xml:space="preserve">Email: </w:t>
      </w:r>
      <w:r w:rsidRPr="005A301A">
        <w:tab/>
      </w:r>
      <w:r w:rsidRPr="005A301A">
        <w:tab/>
      </w:r>
      <w:r w:rsidR="008800A3" w:rsidRPr="005A301A">
        <w:tab/>
      </w:r>
      <w:r w:rsidR="005A301A" w:rsidRPr="005A301A">
        <w:t>chris.olszak</w:t>
      </w:r>
      <w:r w:rsidR="00C21848" w:rsidRPr="005A301A">
        <w:t>@aither.com.au</w:t>
      </w:r>
    </w:p>
    <w:p w:rsidR="00A5234C" w:rsidRDefault="00A5234C" w:rsidP="00C03EF5">
      <w:pPr>
        <w:sectPr w:rsidR="00A5234C" w:rsidSect="00246022">
          <w:headerReference w:type="even" r:id="rId40"/>
          <w:headerReference w:type="default" r:id="rId41"/>
          <w:headerReference w:type="first" r:id="rId42"/>
          <w:type w:val="continuous"/>
          <w:pgSz w:w="11906" w:h="16838" w:code="9"/>
          <w:pgMar w:top="1440" w:right="1440" w:bottom="1440" w:left="1440" w:header="578" w:footer="567" w:gutter="0"/>
          <w:cols w:space="720"/>
          <w:docGrid w:linePitch="299"/>
        </w:sectPr>
      </w:pPr>
    </w:p>
    <w:p w:rsidR="008800A3" w:rsidRPr="000A7B26" w:rsidRDefault="008800A3" w:rsidP="008800A3">
      <w:pPr>
        <w:pStyle w:val="ImprintText"/>
      </w:pPr>
      <w:r w:rsidRPr="000A7B26">
        <w:lastRenderedPageBreak/>
        <w:t xml:space="preserve">© 2015 </w:t>
      </w:r>
      <w:proofErr w:type="spellStart"/>
      <w:r w:rsidRPr="000A7B26">
        <w:t>Aither</w:t>
      </w:r>
      <w:proofErr w:type="spellEnd"/>
      <w:r w:rsidRPr="000A7B26">
        <w:t xml:space="preserve"> Pty Ltd. All rights reserved.</w:t>
      </w:r>
    </w:p>
    <w:p w:rsidR="008800A3" w:rsidRPr="000A7B26" w:rsidRDefault="008800A3" w:rsidP="008800A3">
      <w:pPr>
        <w:pStyle w:val="ImprintText"/>
      </w:pPr>
      <w:r w:rsidRPr="000A7B26">
        <w:t xml:space="preserve">This document has been prepared on the basis of information available to </w:t>
      </w:r>
      <w:proofErr w:type="spellStart"/>
      <w:r w:rsidRPr="000A7B26">
        <w:t>Aither</w:t>
      </w:r>
      <w:proofErr w:type="spellEnd"/>
      <w:r w:rsidRPr="000A7B26">
        <w:t xml:space="preserve"> Pty Ltd at the date of publication. </w:t>
      </w:r>
      <w:proofErr w:type="spellStart"/>
      <w:r w:rsidRPr="000A7B26">
        <w:t>Aither</w:t>
      </w:r>
      <w:proofErr w:type="spellEnd"/>
      <w:r w:rsidRPr="000A7B26">
        <w:t xml:space="preserve"> Pty Ltd makes no warranties, expressed or implied, in relation to any information contained in this document. This document does not purport to represent commercial, financial or legal advice, and should not be relied upon as such. </w:t>
      </w:r>
      <w:proofErr w:type="spellStart"/>
      <w:r w:rsidRPr="000A7B26">
        <w:t>Aither</w:t>
      </w:r>
      <w:proofErr w:type="spellEnd"/>
      <w:r w:rsidRPr="000A7B26">
        <w:t xml:space="preserve"> Pty Ltd does not accept responsibility or liability for any loss, damage, cost or expense incurred or arising by reason of any party using or relying on information provided in this document. Any party that uses information contained in this document for any purpose does so at its own risk.</w:t>
      </w:r>
    </w:p>
    <w:p w:rsidR="00CC1CF7" w:rsidRDefault="008800A3" w:rsidP="00C24D29">
      <w:pPr>
        <w:pStyle w:val="ImprintText"/>
      </w:pPr>
      <w:r w:rsidRPr="000A7B26">
        <w:t xml:space="preserve">The information contained in this document is confidential and must not be reproduced, distributed, referred to or used, in whole or in part, for any purpose without the express written permission of </w:t>
      </w:r>
      <w:proofErr w:type="spellStart"/>
      <w:r w:rsidRPr="000A7B26">
        <w:t>Aither</w:t>
      </w:r>
      <w:proofErr w:type="spellEnd"/>
      <w:r w:rsidRPr="000A7B26">
        <w:t xml:space="preserve"> Pty Ltd.</w:t>
      </w:r>
    </w:p>
    <w:p w:rsidR="0072565F" w:rsidRPr="005C7D6B" w:rsidRDefault="0072565F" w:rsidP="00C24D29">
      <w:pPr>
        <w:spacing w:after="0" w:line="240" w:lineRule="auto"/>
      </w:pPr>
    </w:p>
    <w:sectPr w:rsidR="0072565F" w:rsidRPr="005C7D6B" w:rsidSect="00FA7964">
      <w:headerReference w:type="even" r:id="rId43"/>
      <w:headerReference w:type="default" r:id="rId44"/>
      <w:footerReference w:type="default" r:id="rId45"/>
      <w:headerReference w:type="first" r:id="rId46"/>
      <w:pgSz w:w="11906" w:h="16838" w:code="9"/>
      <w:pgMar w:top="1440" w:right="1440" w:bottom="1440" w:left="1440" w:header="578"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166" w:rsidRDefault="00531166" w:rsidP="00C03EF5">
      <w:r>
        <w:separator/>
      </w:r>
    </w:p>
  </w:endnote>
  <w:endnote w:type="continuationSeparator" w:id="0">
    <w:p w:rsidR="00531166" w:rsidRDefault="00531166" w:rsidP="00C03E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Pr="003F3553" w:rsidRDefault="0049132C" w:rsidP="005E4138">
    <w:pPr>
      <w:pStyle w:val="Footerline"/>
      <w:spacing w:before="120"/>
    </w:pPr>
  </w:p>
  <w:p w:rsidR="0049132C" w:rsidRDefault="0049132C" w:rsidP="00B3488B">
    <w:pPr>
      <w:pStyle w:val="Footer"/>
      <w:rPr>
        <w:noProof/>
      </w:rPr>
    </w:pPr>
    <w:r w:rsidRPr="00DF15AE">
      <w:rPr>
        <w:rStyle w:val="Aitherfooter"/>
      </w:rPr>
      <w:t>AITHER</w:t>
    </w:r>
    <w:r>
      <w:rPr>
        <w:rStyle w:val="PageNumber"/>
      </w:rPr>
      <w:t xml:space="preserve"> | </w:t>
    </w:r>
    <w:sdt>
      <w:sdtPr>
        <w:alias w:val="Status"/>
        <w:tag w:val=""/>
        <w:id w:val="656355834"/>
        <w:dataBinding w:prefixMappings="xmlns:ns0='http://purl.org/dc/elements/1.1/' xmlns:ns1='http://schemas.openxmlformats.org/package/2006/metadata/core-properties' " w:xpath="/ns1:coreProperties[1]/ns1:contentStatus[1]" w:storeItemID="{6C3C8BC8-F283-45AE-878A-BAB7291924A1}"/>
        <w:text/>
      </w:sdtPr>
      <w:sdtContent>
        <w:r>
          <w:t>Final Report</w:t>
        </w:r>
      </w:sdtContent>
    </w:sdt>
    <w:r>
      <w:rPr>
        <w:rStyle w:val="PageNumber"/>
      </w:rPr>
      <w:ptab w:relativeTo="margin" w:alignment="right" w:leader="none"/>
    </w:r>
    <w:r w:rsidRPr="00A85E68">
      <w:t xml:space="preserve"> </w:t>
    </w:r>
    <w:sdt>
      <w:sdtPr>
        <w:id w:val="-1781801216"/>
        <w:docPartObj>
          <w:docPartGallery w:val="Page Numbers (Bottom of Page)"/>
          <w:docPartUnique/>
        </w:docPartObj>
      </w:sdtPr>
      <w:sdtEndPr>
        <w:rPr>
          <w:noProof/>
        </w:rPr>
      </w:sdtEndPr>
      <w:sdtContent>
        <w:r w:rsidR="00306798">
          <w:fldChar w:fldCharType="begin"/>
        </w:r>
        <w:r>
          <w:instrText xml:space="preserve"> PAGE   \* MERGEFORMAT </w:instrText>
        </w:r>
        <w:r w:rsidR="00306798">
          <w:fldChar w:fldCharType="separate"/>
        </w:r>
        <w:r w:rsidR="00AE0076">
          <w:rPr>
            <w:noProof/>
          </w:rPr>
          <w:t>x</w:t>
        </w:r>
        <w:r w:rsidR="00306798">
          <w:rPr>
            <w:noProof/>
          </w:rPr>
          <w:fldChar w:fldCharType="end"/>
        </w:r>
      </w:sdtContent>
    </w:sdt>
  </w:p>
  <w:sdt>
    <w:sdtPr>
      <w:rPr>
        <w:noProof/>
      </w:rPr>
      <w:alias w:val="Title"/>
      <w:tag w:val=""/>
      <w:id w:val="2072924818"/>
      <w:dataBinding w:prefixMappings="xmlns:ns0='http://purl.org/dc/elements/1.1/' xmlns:ns1='http://schemas.openxmlformats.org/package/2006/metadata/core-properties' " w:xpath="/ns1:coreProperties[1]/ns0:title[1]" w:storeItemID="{6C3C8BC8-F283-45AE-878A-BAB7291924A1}"/>
      <w:text/>
    </w:sdtPr>
    <w:sdtContent>
      <w:p w:rsidR="0049132C" w:rsidRPr="002266AD" w:rsidRDefault="0049132C" w:rsidP="00B3488B">
        <w:pPr>
          <w:pStyle w:val="FooterTitle"/>
          <w:rPr>
            <w:noProof/>
          </w:rPr>
        </w:pPr>
        <w:r>
          <w:rPr>
            <w:noProof/>
            <w:lang w:val="en-US"/>
          </w:rPr>
          <w:t>Supply-side drivers of water allocation prices</w:t>
        </w:r>
      </w:p>
    </w:sdtContent>
  </w:sdt>
  <w:p w:rsidR="0049132C" w:rsidRDefault="004913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Pr="003F3553" w:rsidRDefault="0049132C" w:rsidP="005E4138">
    <w:pPr>
      <w:pStyle w:val="Footerline"/>
      <w:spacing w:before="120"/>
    </w:pPr>
  </w:p>
  <w:p w:rsidR="0049132C" w:rsidRDefault="0049132C" w:rsidP="00B3488B">
    <w:pPr>
      <w:pStyle w:val="Footer"/>
      <w:rPr>
        <w:noProof/>
      </w:rPr>
    </w:pPr>
    <w:r>
      <w:rPr>
        <w:noProof/>
      </w:rPr>
      <w:ptab w:relativeTo="margin" w:alignment="left" w:leader="none"/>
    </w:r>
    <w:r w:rsidRPr="00DF15AE">
      <w:rPr>
        <w:rStyle w:val="Aitherfooter"/>
      </w:rPr>
      <w:t>AITHER</w:t>
    </w:r>
    <w:r>
      <w:rPr>
        <w:rStyle w:val="PageNumber"/>
      </w:rPr>
      <w:t xml:space="preserve"> | </w:t>
    </w:r>
    <w:sdt>
      <w:sdtPr>
        <w:rPr>
          <w:rStyle w:val="PageNumber"/>
        </w:rPr>
        <w:alias w:val="Status"/>
        <w:tag w:val=""/>
        <w:id w:val="-1508203167"/>
        <w:dataBinding w:prefixMappings="xmlns:ns0='http://purl.org/dc/elements/1.1/' xmlns:ns1='http://schemas.openxmlformats.org/package/2006/metadata/core-properties' " w:xpath="/ns1:coreProperties[1]/ns1:contentStatus[1]" w:storeItemID="{6C3C8BC8-F283-45AE-878A-BAB7291924A1}"/>
        <w:text/>
      </w:sdtPr>
      <w:sdtContent>
        <w:r>
          <w:rPr>
            <w:rStyle w:val="PageNumber"/>
          </w:rPr>
          <w:t>Final Report</w:t>
        </w:r>
      </w:sdtContent>
    </w:sdt>
    <w:r>
      <w:rPr>
        <w:rStyle w:val="PageNumber"/>
      </w:rPr>
      <w:ptab w:relativeTo="margin" w:alignment="right" w:leader="none"/>
    </w:r>
    <w:r w:rsidRPr="00A85E68">
      <w:t xml:space="preserve"> </w:t>
    </w:r>
    <w:sdt>
      <w:sdtPr>
        <w:id w:val="-648594074"/>
        <w:docPartObj>
          <w:docPartGallery w:val="Page Numbers (Bottom of Page)"/>
          <w:docPartUnique/>
        </w:docPartObj>
      </w:sdtPr>
      <w:sdtEndPr>
        <w:rPr>
          <w:noProof/>
        </w:rPr>
      </w:sdtEndPr>
      <w:sdtContent>
        <w:r w:rsidR="00306798">
          <w:fldChar w:fldCharType="begin"/>
        </w:r>
        <w:r>
          <w:instrText xml:space="preserve"> PAGE   \* MERGEFORMAT </w:instrText>
        </w:r>
        <w:r w:rsidR="00306798">
          <w:fldChar w:fldCharType="separate"/>
        </w:r>
        <w:r w:rsidR="00AE0076">
          <w:rPr>
            <w:noProof/>
          </w:rPr>
          <w:t>16</w:t>
        </w:r>
        <w:r w:rsidR="00306798">
          <w:rPr>
            <w:noProof/>
          </w:rPr>
          <w:fldChar w:fldCharType="end"/>
        </w:r>
      </w:sdtContent>
    </w:sdt>
  </w:p>
  <w:sdt>
    <w:sdtPr>
      <w:rPr>
        <w:noProof/>
      </w:rPr>
      <w:alias w:val="Title"/>
      <w:tag w:val=""/>
      <w:id w:val="-1249730636"/>
      <w:dataBinding w:prefixMappings="xmlns:ns0='http://purl.org/dc/elements/1.1/' xmlns:ns1='http://schemas.openxmlformats.org/package/2006/metadata/core-properties' " w:xpath="/ns1:coreProperties[1]/ns0:title[1]" w:storeItemID="{6C3C8BC8-F283-45AE-878A-BAB7291924A1}"/>
      <w:text/>
    </w:sdtPr>
    <w:sdtContent>
      <w:p w:rsidR="0049132C" w:rsidRPr="002266AD" w:rsidRDefault="0049132C" w:rsidP="00B3488B">
        <w:pPr>
          <w:pStyle w:val="FooterTitle"/>
          <w:rPr>
            <w:noProof/>
          </w:rPr>
        </w:pPr>
        <w:r>
          <w:rPr>
            <w:noProof/>
            <w:lang w:val="en-US"/>
          </w:rPr>
          <w:t>Supply-side drivers of water allocation prices</w:t>
        </w:r>
      </w:p>
    </w:sdtContent>
  </w:sdt>
  <w:p w:rsidR="0049132C" w:rsidRPr="00B3488B" w:rsidRDefault="0049132C" w:rsidP="00B348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Pr="002266AD" w:rsidRDefault="0049132C" w:rsidP="00C864AF">
    <w:pPr>
      <w:pStyle w:val="FooterTitle"/>
      <w:jc w:val="center"/>
      <w:rPr>
        <w:noProof/>
      </w:rPr>
    </w:pPr>
    <w:r>
      <w:rPr>
        <w:noProof/>
      </w:rPr>
      <w:drawing>
        <wp:inline distT="0" distB="0" distL="0" distR="0">
          <wp:extent cx="2083981" cy="29207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ther-stone.w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99477" cy="29424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166" w:rsidRDefault="00531166" w:rsidP="00C03EF5">
      <w:r>
        <w:separator/>
      </w:r>
    </w:p>
  </w:footnote>
  <w:footnote w:type="continuationSeparator" w:id="0">
    <w:p w:rsidR="00531166" w:rsidRDefault="00531166" w:rsidP="00C03EF5">
      <w:r>
        <w:continuationSeparator/>
      </w:r>
    </w:p>
  </w:footnote>
  <w:footnote w:id="1">
    <w:p w:rsidR="0049132C" w:rsidRDefault="0049132C">
      <w:pPr>
        <w:pStyle w:val="FootnoteText"/>
      </w:pPr>
      <w:r>
        <w:rPr>
          <w:rStyle w:val="FootnoteReference"/>
        </w:rPr>
        <w:footnoteRef/>
      </w:r>
      <w:r>
        <w:t xml:space="preserve"> </w:t>
      </w:r>
      <w:r>
        <w:tab/>
        <w:t>The Water Division of the Department of the Environment, which commissioned this report, is now located in the Department of Agriculture and Water Resources.</w:t>
      </w:r>
    </w:p>
  </w:footnote>
  <w:footnote w:id="2">
    <w:p w:rsidR="0049132C" w:rsidRPr="002B7D6C" w:rsidRDefault="0049132C" w:rsidP="000614CD">
      <w:pPr>
        <w:pStyle w:val="FootnoteText"/>
        <w:rPr>
          <w:lang w:val="en-US"/>
        </w:rPr>
      </w:pPr>
      <w:r>
        <w:rPr>
          <w:rStyle w:val="FootnoteReference"/>
        </w:rPr>
        <w:footnoteRef/>
      </w:r>
      <w:r>
        <w:t xml:space="preserve"> </w:t>
      </w:r>
      <w:r>
        <w:rPr>
          <w:lang w:val="en-US"/>
        </w:rPr>
        <w:tab/>
      </w:r>
      <w:r w:rsidRPr="002B7D6C">
        <w:rPr>
          <w:lang w:val="en-US"/>
        </w:rPr>
        <w:t xml:space="preserve">In addition to Commonwealth water purchases, </w:t>
      </w:r>
      <w:r>
        <w:rPr>
          <w:lang w:val="en-US"/>
        </w:rPr>
        <w:t>other</w:t>
      </w:r>
      <w:r w:rsidRPr="002B7D6C">
        <w:rPr>
          <w:lang w:val="en-US"/>
        </w:rPr>
        <w:t xml:space="preserve"> wate</w:t>
      </w:r>
      <w:r>
        <w:rPr>
          <w:lang w:val="en-US"/>
        </w:rPr>
        <w:t xml:space="preserve">r entitlements are owned by </w:t>
      </w:r>
      <w:r w:rsidRPr="002B7D6C">
        <w:rPr>
          <w:lang w:val="en-US"/>
        </w:rPr>
        <w:t xml:space="preserve">governments and contribute to water recovery objectives of the Basin Plan. </w:t>
      </w:r>
      <w:r>
        <w:rPr>
          <w:lang w:val="en-US"/>
        </w:rPr>
        <w:t>Some</w:t>
      </w:r>
      <w:r w:rsidRPr="002B7D6C">
        <w:rPr>
          <w:lang w:val="en-US"/>
        </w:rPr>
        <w:t xml:space="preserve"> of this water was never included as part of the consumptive pool before it was secured on behalf of the environment</w:t>
      </w:r>
      <w:r>
        <w:rPr>
          <w:lang w:val="en-US"/>
        </w:rPr>
        <w:t xml:space="preserve"> so it has not been included in our assessment. </w:t>
      </w:r>
      <w:r w:rsidRPr="002B7D6C">
        <w:rPr>
          <w:lang w:val="en-US"/>
        </w:rPr>
        <w:t xml:space="preserve">It is possible that some water recovered through on-farm water efficiency programs removed water from the consumptive pool. However, </w:t>
      </w:r>
      <w:proofErr w:type="spellStart"/>
      <w:r w:rsidRPr="002B7D6C">
        <w:rPr>
          <w:lang w:val="en-US"/>
        </w:rPr>
        <w:t>Aither</w:t>
      </w:r>
      <w:proofErr w:type="spellEnd"/>
      <w:r w:rsidRPr="002B7D6C">
        <w:rPr>
          <w:lang w:val="en-US"/>
        </w:rPr>
        <w:t xml:space="preserve"> </w:t>
      </w:r>
      <w:r>
        <w:rPr>
          <w:lang w:val="en-US"/>
        </w:rPr>
        <w:t xml:space="preserve">was not provided with sufficient data that would enable robust assumptions to be made about how much water has been recovered through these </w:t>
      </w:r>
      <w:r w:rsidRPr="002B7D6C">
        <w:rPr>
          <w:lang w:val="en-US"/>
        </w:rPr>
        <w:t>on-farm water efficiency programs. For this reason</w:t>
      </w:r>
      <w:r>
        <w:rPr>
          <w:lang w:val="en-US"/>
        </w:rPr>
        <w:t>,</w:t>
      </w:r>
      <w:r w:rsidRPr="002B7D6C">
        <w:rPr>
          <w:lang w:val="en-US"/>
        </w:rPr>
        <w:t xml:space="preserve"> </w:t>
      </w:r>
      <w:proofErr w:type="spellStart"/>
      <w:r w:rsidRPr="002B7D6C">
        <w:rPr>
          <w:lang w:val="en-US"/>
        </w:rPr>
        <w:t>Aither</w:t>
      </w:r>
      <w:proofErr w:type="spellEnd"/>
      <w:r w:rsidRPr="002B7D6C">
        <w:rPr>
          <w:lang w:val="en-US"/>
        </w:rPr>
        <w:t xml:space="preserve"> has excluded these volumes of water from calculations of water removed from the consumptive pool by the Commonwealth Government.</w:t>
      </w:r>
    </w:p>
  </w:footnote>
  <w:footnote w:id="3">
    <w:p w:rsidR="0049132C" w:rsidRDefault="0049132C">
      <w:pPr>
        <w:pStyle w:val="FootnoteText"/>
      </w:pPr>
      <w:r>
        <w:rPr>
          <w:rStyle w:val="FootnoteReference"/>
        </w:rPr>
        <w:footnoteRef/>
      </w:r>
      <w:r>
        <w:t xml:space="preserve"> </w:t>
      </w:r>
      <w:r>
        <w:tab/>
        <w:t>The CEWH subsequently sold 20 GL of water allocations in the Goulburn system later in 2015. This was not included in the analysis in this report.</w:t>
      </w:r>
    </w:p>
  </w:footnote>
  <w:footnote w:id="4">
    <w:p w:rsidR="0049132C" w:rsidRPr="00B85828" w:rsidRDefault="0049132C" w:rsidP="000614CD">
      <w:pPr>
        <w:pStyle w:val="FootnoteText"/>
        <w:rPr>
          <w:lang w:val="en-US"/>
        </w:rPr>
      </w:pPr>
      <w:r>
        <w:rPr>
          <w:rStyle w:val="FootnoteReference"/>
        </w:rPr>
        <w:footnoteRef/>
      </w:r>
      <w:r>
        <w:t xml:space="preserve"> </w:t>
      </w:r>
      <w:r>
        <w:tab/>
        <w:t xml:space="preserve">The total volume of cumulative Commonwealth water purchases </w:t>
      </w:r>
      <w:r w:rsidRPr="00B85828">
        <w:t>has not grown significantly</w:t>
      </w:r>
      <w:r>
        <w:t xml:space="preserve"> </w:t>
      </w:r>
      <w:r w:rsidRPr="00B85828">
        <w:t>since 2012-13</w:t>
      </w:r>
      <w:r>
        <w:t>.</w:t>
      </w:r>
    </w:p>
  </w:footnote>
  <w:footnote w:id="5">
    <w:p w:rsidR="0049132C" w:rsidRDefault="0049132C" w:rsidP="001B716D">
      <w:pPr>
        <w:pStyle w:val="FootnoteText"/>
      </w:pPr>
      <w:r>
        <w:rPr>
          <w:rStyle w:val="FootnoteReference"/>
        </w:rPr>
        <w:footnoteRef/>
      </w:r>
      <w:r>
        <w:t xml:space="preserve"> </w:t>
      </w:r>
      <w:r>
        <w:tab/>
        <w:t xml:space="preserve">Please see Section </w:t>
      </w:r>
      <w:r w:rsidR="00306798">
        <w:fldChar w:fldCharType="begin"/>
      </w:r>
      <w:r>
        <w:instrText xml:space="preserve"> REF _Ref432683733 \r \h </w:instrText>
      </w:r>
      <w:r w:rsidR="00306798">
        <w:fldChar w:fldCharType="separate"/>
      </w:r>
      <w:r w:rsidR="00EB2418">
        <w:t>3.2</w:t>
      </w:r>
      <w:r w:rsidR="00306798">
        <w:fldChar w:fldCharType="end"/>
      </w:r>
      <w:r>
        <w:t xml:space="preserve"> for model assumptions. </w:t>
      </w:r>
    </w:p>
  </w:footnote>
  <w:footnote w:id="6">
    <w:p w:rsidR="0049132C" w:rsidRDefault="0049132C">
      <w:pPr>
        <w:pStyle w:val="FootnoteText"/>
      </w:pPr>
      <w:r>
        <w:rPr>
          <w:rStyle w:val="FootnoteReference"/>
        </w:rPr>
        <w:footnoteRef/>
      </w:r>
      <w:r>
        <w:t xml:space="preserve"> </w:t>
      </w:r>
      <w:r>
        <w:tab/>
        <w:t>The Water Division of the Department of the Environment, which commissioned this report, is now located in the Department of Agriculture and Water Resources.</w:t>
      </w:r>
    </w:p>
  </w:footnote>
  <w:footnote w:id="7">
    <w:p w:rsidR="0049132C" w:rsidRPr="008773B3" w:rsidRDefault="0049132C">
      <w:pPr>
        <w:pStyle w:val="FootnoteText"/>
        <w:rPr>
          <w:lang w:val="en-US"/>
        </w:rPr>
      </w:pPr>
      <w:r>
        <w:rPr>
          <w:rStyle w:val="FootnoteReference"/>
        </w:rPr>
        <w:footnoteRef/>
      </w:r>
      <w:r>
        <w:t xml:space="preserve"> </w:t>
      </w:r>
      <w:r>
        <w:tab/>
      </w:r>
      <w:r>
        <w:rPr>
          <w:lang w:val="en-US"/>
        </w:rPr>
        <w:t>Please see &lt;</w:t>
      </w:r>
      <w:hyperlink r:id="rId1" w:history="1">
        <w:r w:rsidRPr="00CB0B9F">
          <w:rPr>
            <w:rStyle w:val="Hyperlink"/>
            <w:lang w:val="en-US"/>
          </w:rPr>
          <w:t>https://www.environment.gov.au/water/rural-water/restoring-balance-murray-darling-basin/progress-water-recovery</w:t>
        </w:r>
      </w:hyperlink>
      <w:r>
        <w:rPr>
          <w:lang w:val="en-US"/>
        </w:rPr>
        <w:t xml:space="preserve">&gt;. </w:t>
      </w:r>
    </w:p>
  </w:footnote>
  <w:footnote w:id="8">
    <w:p w:rsidR="0049132C" w:rsidRPr="00F269B3" w:rsidRDefault="0049132C" w:rsidP="00F269B3">
      <w:pPr>
        <w:pStyle w:val="FootnoteText"/>
        <w:rPr>
          <w:lang w:val="en-US"/>
        </w:rPr>
      </w:pPr>
      <w:r>
        <w:rPr>
          <w:rStyle w:val="FootnoteReference"/>
        </w:rPr>
        <w:footnoteRef/>
      </w:r>
      <w:r>
        <w:t xml:space="preserve"> </w:t>
      </w:r>
      <w:r>
        <w:tab/>
        <w:t xml:space="preserve">Some urban water authorities have used water markets to purchase water entitlements (and in some cases water allocations) to improve water security in drought periods, but also over the longer-term. Adelaide and Melbourne, as well as regional towns such as Bendigo and Ballarat, provide examples of this (NWC 2010). </w:t>
      </w:r>
    </w:p>
  </w:footnote>
  <w:footnote w:id="9">
    <w:p w:rsidR="0049132C" w:rsidRPr="006D610D" w:rsidRDefault="0049132C">
      <w:pPr>
        <w:pStyle w:val="FootnoteText"/>
        <w:rPr>
          <w:lang w:val="en-US"/>
        </w:rPr>
      </w:pPr>
      <w:r>
        <w:rPr>
          <w:rStyle w:val="FootnoteReference"/>
        </w:rPr>
        <w:footnoteRef/>
      </w:r>
      <w:r>
        <w:t xml:space="preserve"> </w:t>
      </w:r>
      <w:r>
        <w:tab/>
        <w:t>P</w:t>
      </w:r>
      <w:r w:rsidRPr="006D610D">
        <w:t xml:space="preserve">rices for water </w:t>
      </w:r>
      <w:r>
        <w:t>entitlements</w:t>
      </w:r>
      <w:r w:rsidRPr="006D610D">
        <w:t xml:space="preserve"> across</w:t>
      </w:r>
      <w:r>
        <w:t xml:space="preserve"> connected</w:t>
      </w:r>
      <w:r w:rsidRPr="006D610D">
        <w:t xml:space="preserve"> markets</w:t>
      </w:r>
      <w:r>
        <w:t xml:space="preserve"> do not generally</w:t>
      </w:r>
      <w:r w:rsidRPr="006D610D">
        <w:t xml:space="preserve"> tend to equalise </w:t>
      </w:r>
      <w:r>
        <w:t xml:space="preserve">because the products are catchment or system specific and have different conditions related to them – mainly water reliability.  </w:t>
      </w:r>
    </w:p>
  </w:footnote>
  <w:footnote w:id="10">
    <w:p w:rsidR="0049132C" w:rsidRPr="00CD5E3C" w:rsidRDefault="0049132C">
      <w:pPr>
        <w:pStyle w:val="FootnoteText"/>
        <w:rPr>
          <w:lang w:val="en-US"/>
        </w:rPr>
      </w:pPr>
      <w:r>
        <w:rPr>
          <w:rStyle w:val="FootnoteReference"/>
        </w:rPr>
        <w:footnoteRef/>
      </w:r>
      <w:r>
        <w:t xml:space="preserve"> </w:t>
      </w:r>
      <w:r>
        <w:tab/>
        <w:t>A</w:t>
      </w:r>
      <w:r w:rsidRPr="006244F6">
        <w:t>lthough this is changing to some extent as some irrigation enterprises are now fully or highly reliant on allocation purchases</w:t>
      </w:r>
      <w:r>
        <w:t>.</w:t>
      </w:r>
    </w:p>
  </w:footnote>
  <w:footnote w:id="11">
    <w:p w:rsidR="0049132C" w:rsidRPr="00C21485" w:rsidRDefault="0049132C">
      <w:pPr>
        <w:pStyle w:val="FootnoteText"/>
        <w:rPr>
          <w:lang w:val="en-US"/>
        </w:rPr>
      </w:pPr>
      <w:r>
        <w:rPr>
          <w:rStyle w:val="FootnoteReference"/>
        </w:rPr>
        <w:footnoteRef/>
      </w:r>
      <w:r>
        <w:t xml:space="preserve"> </w:t>
      </w:r>
      <w:r>
        <w:tab/>
      </w:r>
      <w:r w:rsidRPr="00C21485">
        <w:t>While a cost to irrigators who are required to buy water at a price more than the average gross,</w:t>
      </w:r>
      <w:r>
        <w:t xml:space="preserve"> it is also important to consider that</w:t>
      </w:r>
      <w:r w:rsidRPr="00C21485">
        <w:t xml:space="preserve"> this higher price paid </w:t>
      </w:r>
      <w:r>
        <w:t xml:space="preserve">for water </w:t>
      </w:r>
      <w:r w:rsidRPr="00C21485">
        <w:t>will benefit the seller of that water.</w:t>
      </w:r>
    </w:p>
  </w:footnote>
  <w:footnote w:id="12">
    <w:p w:rsidR="0049132C" w:rsidRPr="00803673" w:rsidRDefault="0049132C">
      <w:pPr>
        <w:pStyle w:val="FootnoteText"/>
        <w:rPr>
          <w:lang w:val="en-US"/>
        </w:rPr>
      </w:pPr>
      <w:r>
        <w:rPr>
          <w:rStyle w:val="FootnoteReference"/>
        </w:rPr>
        <w:footnoteRef/>
      </w:r>
      <w:r>
        <w:t xml:space="preserve"> </w:t>
      </w:r>
      <w:r w:rsidRPr="003F6E05">
        <w:t>As a result, fodder prices play an important role in influencing water allocation market prices.</w:t>
      </w:r>
    </w:p>
  </w:footnote>
  <w:footnote w:id="13">
    <w:p w:rsidR="0049132C" w:rsidRPr="004C5CCF" w:rsidRDefault="0049132C">
      <w:pPr>
        <w:pStyle w:val="FootnoteText"/>
        <w:rPr>
          <w:lang w:val="en-US"/>
        </w:rPr>
      </w:pPr>
      <w:r>
        <w:rPr>
          <w:rStyle w:val="FootnoteReference"/>
        </w:rPr>
        <w:footnoteRef/>
      </w:r>
      <w:r>
        <w:t xml:space="preserve"> </w:t>
      </w:r>
      <w:r>
        <w:tab/>
      </w:r>
      <w:r w:rsidRPr="00C24986">
        <w:t>The volume</w:t>
      </w:r>
      <w:r>
        <w:t xml:space="preserve"> of water</w:t>
      </w:r>
      <w:r w:rsidRPr="00C24986">
        <w:t xml:space="preserve"> allocated to Commonwealth entitlements varies based on allocations to each of the held entitlement types.</w:t>
      </w:r>
      <w:r>
        <w:rPr>
          <w:lang w:val="en-US"/>
        </w:rPr>
        <w:t xml:space="preserve">All </w:t>
      </w:r>
      <w:r w:rsidRPr="004C5CCF">
        <w:rPr>
          <w:lang w:val="en-US"/>
        </w:rPr>
        <w:t xml:space="preserve">entitlements held by the </w:t>
      </w:r>
      <w:r>
        <w:rPr>
          <w:lang w:val="en-US"/>
        </w:rPr>
        <w:t>Commonwealth Government</w:t>
      </w:r>
      <w:r w:rsidRPr="004C5CCF">
        <w:rPr>
          <w:lang w:val="en-US"/>
        </w:rPr>
        <w:t xml:space="preserve"> for environmental purposes </w:t>
      </w:r>
      <w:r>
        <w:rPr>
          <w:lang w:val="en-US"/>
        </w:rPr>
        <w:t xml:space="preserve">(including purchases) </w:t>
      </w:r>
      <w:r w:rsidRPr="004C5CCF">
        <w:rPr>
          <w:lang w:val="en-US"/>
        </w:rPr>
        <w:t xml:space="preserve">are subject to the same </w:t>
      </w:r>
      <w:r>
        <w:rPr>
          <w:lang w:val="en-US"/>
        </w:rPr>
        <w:t xml:space="preserve">water </w:t>
      </w:r>
      <w:r w:rsidRPr="004C5CCF">
        <w:rPr>
          <w:lang w:val="en-US"/>
        </w:rPr>
        <w:t>allocation processes as any other</w:t>
      </w:r>
      <w:r>
        <w:rPr>
          <w:lang w:val="en-US"/>
        </w:rPr>
        <w:t xml:space="preserve"> water entitlements</w:t>
      </w:r>
      <w:r w:rsidRPr="004C5CCF">
        <w:rPr>
          <w:lang w:val="en-US"/>
        </w:rPr>
        <w:t>.</w:t>
      </w:r>
    </w:p>
  </w:footnote>
  <w:footnote w:id="14">
    <w:p w:rsidR="0049132C" w:rsidRPr="00CF7274" w:rsidRDefault="0049132C">
      <w:pPr>
        <w:pStyle w:val="FootnoteText"/>
        <w:rPr>
          <w:lang w:val="en-US"/>
        </w:rPr>
      </w:pPr>
      <w:r>
        <w:rPr>
          <w:rStyle w:val="FootnoteReference"/>
        </w:rPr>
        <w:footnoteRef/>
      </w:r>
      <w:r>
        <w:t xml:space="preserve"> </w:t>
      </w:r>
      <w:r>
        <w:tab/>
        <w:t>V</w:t>
      </w:r>
      <w:proofErr w:type="spellStart"/>
      <w:r>
        <w:rPr>
          <w:lang w:val="en-US"/>
        </w:rPr>
        <w:t>olumes</w:t>
      </w:r>
      <w:proofErr w:type="spellEnd"/>
      <w:r>
        <w:rPr>
          <w:lang w:val="en-US"/>
        </w:rPr>
        <w:t xml:space="preserve"> of environmental water have been traded back to market participants in the northern Murray-Darling Basin. 3</w:t>
      </w:r>
      <w:r w:rsidRPr="00CF7274">
        <w:rPr>
          <w:lang w:val="en-US"/>
        </w:rPr>
        <w:t xml:space="preserve">40 </w:t>
      </w:r>
      <w:r>
        <w:rPr>
          <w:lang w:val="en-US"/>
        </w:rPr>
        <w:t>ML</w:t>
      </w:r>
      <w:r w:rsidRPr="00CF7274">
        <w:rPr>
          <w:lang w:val="en-US"/>
        </w:rPr>
        <w:t xml:space="preserve"> of Commonwealth environmental </w:t>
      </w:r>
      <w:r>
        <w:rPr>
          <w:lang w:val="en-US"/>
        </w:rPr>
        <w:t xml:space="preserve">allocation </w:t>
      </w:r>
      <w:r w:rsidRPr="00CF7274">
        <w:rPr>
          <w:lang w:val="en-US"/>
        </w:rPr>
        <w:t>water</w:t>
      </w:r>
      <w:r>
        <w:rPr>
          <w:lang w:val="en-US"/>
        </w:rPr>
        <w:t xml:space="preserve"> was sold</w:t>
      </w:r>
      <w:r w:rsidRPr="00CF7274">
        <w:rPr>
          <w:lang w:val="en-US"/>
        </w:rPr>
        <w:t xml:space="preserve"> in the Peel</w:t>
      </w:r>
      <w:r>
        <w:rPr>
          <w:lang w:val="en-US"/>
        </w:rPr>
        <w:t xml:space="preserve"> system in 2014 and </w:t>
      </w:r>
      <w:r w:rsidRPr="00CF7274">
        <w:rPr>
          <w:lang w:val="en-US"/>
        </w:rPr>
        <w:t xml:space="preserve">10 </w:t>
      </w:r>
      <w:r>
        <w:rPr>
          <w:lang w:val="en-US"/>
        </w:rPr>
        <w:t>GL</w:t>
      </w:r>
      <w:r w:rsidRPr="00CF7274">
        <w:rPr>
          <w:lang w:val="en-US"/>
        </w:rPr>
        <w:t xml:space="preserve"> of Commonwealth environmental </w:t>
      </w:r>
      <w:r>
        <w:rPr>
          <w:lang w:val="en-US"/>
        </w:rPr>
        <w:t xml:space="preserve">allocation </w:t>
      </w:r>
      <w:r w:rsidRPr="00CF7274">
        <w:rPr>
          <w:lang w:val="en-US"/>
        </w:rPr>
        <w:t>water</w:t>
      </w:r>
      <w:r>
        <w:rPr>
          <w:lang w:val="en-US"/>
        </w:rPr>
        <w:t xml:space="preserve"> was sold</w:t>
      </w:r>
      <w:r w:rsidRPr="00CF7274">
        <w:rPr>
          <w:lang w:val="en-US"/>
        </w:rPr>
        <w:t xml:space="preserve"> in the </w:t>
      </w:r>
      <w:proofErr w:type="spellStart"/>
      <w:r w:rsidRPr="00CF7274">
        <w:rPr>
          <w:lang w:val="en-US"/>
        </w:rPr>
        <w:t>Gwydir</w:t>
      </w:r>
      <w:proofErr w:type="spellEnd"/>
      <w:r w:rsidRPr="00CF7274">
        <w:rPr>
          <w:lang w:val="en-US"/>
        </w:rPr>
        <w:t xml:space="preserve"> </w:t>
      </w:r>
      <w:r>
        <w:rPr>
          <w:lang w:val="en-US"/>
        </w:rPr>
        <w:t xml:space="preserve">system in 2014 (CEWO 2015). </w:t>
      </w:r>
    </w:p>
  </w:footnote>
  <w:footnote w:id="15">
    <w:p w:rsidR="0049132C" w:rsidRPr="00A210E8" w:rsidRDefault="0049132C">
      <w:pPr>
        <w:pStyle w:val="FootnoteText"/>
        <w:rPr>
          <w:lang w:val="en-US"/>
        </w:rPr>
      </w:pPr>
      <w:r>
        <w:rPr>
          <w:rStyle w:val="FootnoteReference"/>
        </w:rPr>
        <w:footnoteRef/>
      </w:r>
      <w:r>
        <w:t xml:space="preserve"> </w:t>
      </w:r>
      <w:r>
        <w:rPr>
          <w:lang w:val="en-US"/>
        </w:rPr>
        <w:tab/>
        <w:t xml:space="preserve">See Kirby et al. 2006. </w:t>
      </w:r>
    </w:p>
  </w:footnote>
  <w:footnote w:id="16">
    <w:p w:rsidR="0049132C" w:rsidRPr="008F28E9" w:rsidRDefault="0049132C">
      <w:pPr>
        <w:pStyle w:val="FootnoteText"/>
        <w:rPr>
          <w:lang w:val="en-US"/>
        </w:rPr>
      </w:pPr>
      <w:r>
        <w:rPr>
          <w:rStyle w:val="FootnoteReference"/>
        </w:rPr>
        <w:footnoteRef/>
      </w:r>
      <w:r>
        <w:t xml:space="preserve"> </w:t>
      </w:r>
      <w:r>
        <w:tab/>
      </w:r>
      <w:r>
        <w:rPr>
          <w:lang w:val="en-US"/>
        </w:rPr>
        <w:t xml:space="preserve">This does not rule out the possibility that water allocation prices could fall, due to factors other than Commonwealth Government entitlement purchases.  </w:t>
      </w:r>
    </w:p>
  </w:footnote>
  <w:footnote w:id="17">
    <w:p w:rsidR="0049132C" w:rsidRDefault="0049132C">
      <w:pPr>
        <w:pStyle w:val="FootnoteText"/>
      </w:pPr>
      <w:r>
        <w:rPr>
          <w:rStyle w:val="FootnoteReference"/>
        </w:rPr>
        <w:footnoteRef/>
      </w:r>
      <w:r>
        <w:t xml:space="preserve"> </w:t>
      </w:r>
      <w:r>
        <w:tab/>
      </w:r>
      <w:r w:rsidR="0004527F">
        <w:t>Subsequently, t</w:t>
      </w:r>
      <w:r>
        <w:t>he CEWH traded just over 20 GL of allocation water in late November 2015 from entitlements in Vic 1A Greater Goulburn, which was after the analysis for this study had been completed.</w:t>
      </w:r>
    </w:p>
  </w:footnote>
  <w:footnote w:id="18">
    <w:p w:rsidR="0049132C" w:rsidRPr="00F2792F" w:rsidRDefault="0049132C">
      <w:pPr>
        <w:pStyle w:val="FootnoteText"/>
        <w:rPr>
          <w:lang w:val="en-US"/>
        </w:rPr>
      </w:pPr>
      <w:r>
        <w:rPr>
          <w:rStyle w:val="FootnoteReference"/>
        </w:rPr>
        <w:footnoteRef/>
      </w:r>
      <w:r>
        <w:t xml:space="preserve"> </w:t>
      </w:r>
      <w:r>
        <w:tab/>
      </w:r>
      <w:r w:rsidRPr="00F2792F">
        <w:t>It is also noted that investigating the potential future sale of water allocations by the Commonwealth Government is beyond the scope of this report.</w:t>
      </w:r>
    </w:p>
  </w:footnote>
  <w:footnote w:id="19">
    <w:p w:rsidR="0049132C" w:rsidRPr="00C15473" w:rsidRDefault="0049132C" w:rsidP="00A210E8">
      <w:pPr>
        <w:pStyle w:val="FootnoteText"/>
        <w:rPr>
          <w:lang w:val="en-US"/>
        </w:rPr>
      </w:pPr>
      <w:r>
        <w:rPr>
          <w:rStyle w:val="FootnoteReference"/>
        </w:rPr>
        <w:footnoteRef/>
      </w:r>
      <w:r>
        <w:t xml:space="preserve"> </w:t>
      </w:r>
      <w:r>
        <w:rPr>
          <w:lang w:val="en-US"/>
        </w:rPr>
        <w:tab/>
        <w:t>It is possible that some water recovered through</w:t>
      </w:r>
      <w:r w:rsidRPr="00C15473">
        <w:t xml:space="preserve"> </w:t>
      </w:r>
      <w:r w:rsidRPr="00C15473">
        <w:rPr>
          <w:lang w:val="en-US"/>
        </w:rPr>
        <w:t>on-farm</w:t>
      </w:r>
      <w:r>
        <w:rPr>
          <w:lang w:val="en-US"/>
        </w:rPr>
        <w:t xml:space="preserve"> water efficiency</w:t>
      </w:r>
      <w:r w:rsidRPr="00C15473">
        <w:rPr>
          <w:lang w:val="en-US"/>
        </w:rPr>
        <w:t xml:space="preserve"> programs</w:t>
      </w:r>
      <w:r>
        <w:rPr>
          <w:lang w:val="en-US"/>
        </w:rPr>
        <w:t xml:space="preserve"> removed water from the consumptive pool. However</w:t>
      </w:r>
      <w:r w:rsidRPr="00A210E8">
        <w:rPr>
          <w:lang w:val="en-US"/>
        </w:rPr>
        <w:t xml:space="preserve">, </w:t>
      </w:r>
      <w:proofErr w:type="spellStart"/>
      <w:r w:rsidRPr="00A210E8">
        <w:rPr>
          <w:lang w:val="en-US"/>
        </w:rPr>
        <w:t>Aither</w:t>
      </w:r>
      <w:proofErr w:type="spellEnd"/>
      <w:r w:rsidRPr="00A210E8">
        <w:rPr>
          <w:lang w:val="en-US"/>
        </w:rPr>
        <w:t xml:space="preserve"> was not provided with sufficient data that would enable robust assumptions to be made about how much water has been recovered through these on-farm water efficiency programs</w:t>
      </w:r>
      <w:r>
        <w:rPr>
          <w:lang w:val="en-US"/>
        </w:rPr>
        <w:t>.</w:t>
      </w:r>
      <w:r w:rsidRPr="00A210E8">
        <w:rPr>
          <w:lang w:val="en-US"/>
        </w:rPr>
        <w:t xml:space="preserve"> </w:t>
      </w:r>
      <w:r>
        <w:rPr>
          <w:lang w:val="en-US"/>
        </w:rPr>
        <w:t xml:space="preserve">For this reason </w:t>
      </w:r>
      <w:proofErr w:type="spellStart"/>
      <w:r>
        <w:rPr>
          <w:lang w:val="en-US"/>
        </w:rPr>
        <w:t>Aither</w:t>
      </w:r>
      <w:proofErr w:type="spellEnd"/>
      <w:r>
        <w:rPr>
          <w:lang w:val="en-US"/>
        </w:rPr>
        <w:t xml:space="preserve"> has excluded these volumes of water from calculations of water removed from the consumptive pool of water by the Commonwealth Government. </w:t>
      </w:r>
    </w:p>
  </w:footnote>
  <w:footnote w:id="20">
    <w:p w:rsidR="0049132C" w:rsidRPr="003B47CD" w:rsidRDefault="0049132C">
      <w:pPr>
        <w:pStyle w:val="FootnoteText"/>
        <w:rPr>
          <w:lang w:val="en-US"/>
        </w:rPr>
      </w:pPr>
      <w:r>
        <w:rPr>
          <w:rStyle w:val="FootnoteReference"/>
        </w:rPr>
        <w:footnoteRef/>
      </w:r>
      <w:r>
        <w:t xml:space="preserve"> </w:t>
      </w:r>
      <w:r>
        <w:rPr>
          <w:lang w:val="en-US"/>
        </w:rPr>
        <w:tab/>
      </w:r>
      <w:r w:rsidRPr="003B47CD">
        <w:rPr>
          <w:lang w:val="en-US"/>
        </w:rPr>
        <w:t xml:space="preserve">See also Bell et al. 2007, Hone et al. 2010, Wheeler et al. 2009 and </w:t>
      </w:r>
      <w:proofErr w:type="spellStart"/>
      <w:r w:rsidRPr="003B47CD">
        <w:rPr>
          <w:lang w:val="en-US"/>
        </w:rPr>
        <w:t>Zuo</w:t>
      </w:r>
      <w:proofErr w:type="spellEnd"/>
      <w:r w:rsidRPr="003B47CD">
        <w:rPr>
          <w:lang w:val="en-US"/>
        </w:rPr>
        <w:t xml:space="preserve"> et al. 2015 that were used to inform thinking </w:t>
      </w:r>
      <w:r>
        <w:rPr>
          <w:lang w:val="en-US"/>
        </w:rPr>
        <w:t>around</w:t>
      </w:r>
      <w:r w:rsidRPr="003B47CD">
        <w:rPr>
          <w:lang w:val="en-US"/>
        </w:rPr>
        <w:t xml:space="preserve"> the ongoing improvement of </w:t>
      </w:r>
      <w:r>
        <w:rPr>
          <w:lang w:val="en-US"/>
        </w:rPr>
        <w:t>the</w:t>
      </w:r>
      <w:r w:rsidRPr="003B47CD">
        <w:rPr>
          <w:lang w:val="en-US"/>
        </w:rPr>
        <w:t xml:space="preserve"> </w:t>
      </w:r>
      <w:proofErr w:type="spellStart"/>
      <w:r w:rsidRPr="003B47CD">
        <w:rPr>
          <w:lang w:val="en-US"/>
        </w:rPr>
        <w:t>model</w:t>
      </w:r>
      <w:r>
        <w:rPr>
          <w:lang w:val="en-US"/>
        </w:rPr>
        <w:t>ling</w:t>
      </w:r>
      <w:proofErr w:type="spellEnd"/>
      <w:r>
        <w:rPr>
          <w:lang w:val="en-US"/>
        </w:rPr>
        <w:t xml:space="preserve"> approach</w:t>
      </w:r>
      <w:r w:rsidRPr="003B47CD">
        <w:rPr>
          <w:lang w:val="en-US"/>
        </w:rPr>
        <w:t>.</w:t>
      </w:r>
    </w:p>
  </w:footnote>
  <w:footnote w:id="21">
    <w:p w:rsidR="0049132C" w:rsidRPr="000E7FBB" w:rsidRDefault="0049132C">
      <w:pPr>
        <w:pStyle w:val="FootnoteText"/>
        <w:rPr>
          <w:lang w:val="en-US"/>
        </w:rPr>
      </w:pPr>
      <w:r>
        <w:rPr>
          <w:rStyle w:val="FootnoteReference"/>
        </w:rPr>
        <w:footnoteRef/>
      </w:r>
      <w:r>
        <w:t xml:space="preserve"> </w:t>
      </w:r>
      <w:r>
        <w:rPr>
          <w:lang w:val="en-US"/>
        </w:rPr>
        <w:tab/>
        <w:t xml:space="preserve">Note, this scenario and assumptions were developed prior to the October 2015 outlook. </w:t>
      </w:r>
    </w:p>
  </w:footnote>
  <w:footnote w:id="22">
    <w:p w:rsidR="0049132C" w:rsidRPr="00592F62" w:rsidRDefault="0049132C">
      <w:pPr>
        <w:pStyle w:val="FootnoteText"/>
        <w:rPr>
          <w:lang w:val="en-US"/>
        </w:rPr>
      </w:pPr>
      <w:r>
        <w:rPr>
          <w:rStyle w:val="FootnoteReference"/>
        </w:rPr>
        <w:footnoteRef/>
      </w:r>
      <w:r>
        <w:t xml:space="preserve"> </w:t>
      </w:r>
      <w:r>
        <w:tab/>
      </w:r>
      <w:proofErr w:type="spellStart"/>
      <w:r>
        <w:rPr>
          <w:lang w:val="en-US"/>
        </w:rPr>
        <w:t>Aither</w:t>
      </w:r>
      <w:proofErr w:type="spellEnd"/>
      <w:r>
        <w:rPr>
          <w:lang w:val="en-US"/>
        </w:rPr>
        <w:t xml:space="preserve"> checked this assumption with the Commonwealth Department of the Environment. The Department of the Environment indicated that this assumption was plausible if the Commonwealth was required to re-enter the water market in the </w:t>
      </w:r>
      <w:proofErr w:type="spellStart"/>
      <w:r>
        <w:rPr>
          <w:lang w:val="en-US"/>
        </w:rPr>
        <w:t>sMDB</w:t>
      </w:r>
      <w:proofErr w:type="spellEnd"/>
      <w:r>
        <w:rPr>
          <w:lang w:val="en-US"/>
        </w:rPr>
        <w:t xml:space="preserve">. However, we note that this scenario was developed by </w:t>
      </w:r>
      <w:proofErr w:type="spellStart"/>
      <w:r>
        <w:rPr>
          <w:lang w:val="en-US"/>
        </w:rPr>
        <w:t>Aither</w:t>
      </w:r>
      <w:proofErr w:type="spellEnd"/>
      <w:r>
        <w:rPr>
          <w:lang w:val="en-US"/>
        </w:rPr>
        <w:t xml:space="preserve"> and we have no knowledge as to whether or not this will actually occur. It is simply posited to explore the impacts if it did occur. </w:t>
      </w:r>
    </w:p>
  </w:footnote>
  <w:footnote w:id="23">
    <w:p w:rsidR="0049132C" w:rsidRPr="00592F62" w:rsidRDefault="0049132C">
      <w:pPr>
        <w:pStyle w:val="FootnoteText"/>
        <w:rPr>
          <w:lang w:val="en-US"/>
        </w:rPr>
      </w:pPr>
      <w:r>
        <w:rPr>
          <w:rStyle w:val="FootnoteReference"/>
        </w:rPr>
        <w:footnoteRef/>
      </w:r>
      <w:r>
        <w:t xml:space="preserve"> </w:t>
      </w:r>
      <w:r>
        <w:tab/>
      </w:r>
      <w:r>
        <w:rPr>
          <w:lang w:val="en-US"/>
        </w:rPr>
        <w:t>While allocation prices also climbed dramatically in 2002-03, this price rise was primarily due to a ‘</w:t>
      </w:r>
      <w:proofErr w:type="spellStart"/>
      <w:r>
        <w:rPr>
          <w:lang w:val="en-US"/>
        </w:rPr>
        <w:t>dryland</w:t>
      </w:r>
      <w:proofErr w:type="spellEnd"/>
      <w:r>
        <w:rPr>
          <w:lang w:val="en-US"/>
        </w:rPr>
        <w:t xml:space="preserve"> drought’ where poor rainfall eventuated and irrigators were forced to enter the water market to supplement water requirements that had been expected to be fulfilled by rainfall (i.e. the observed price does not only reflect the water availability in that year).  </w:t>
      </w:r>
    </w:p>
  </w:footnote>
  <w:footnote w:id="24">
    <w:p w:rsidR="0049132C" w:rsidRPr="00742C11" w:rsidRDefault="0049132C">
      <w:pPr>
        <w:pStyle w:val="FootnoteText"/>
        <w:rPr>
          <w:lang w:val="en-US"/>
        </w:rPr>
      </w:pPr>
      <w:r>
        <w:rPr>
          <w:rStyle w:val="FootnoteReference"/>
        </w:rPr>
        <w:footnoteRef/>
      </w:r>
      <w:r>
        <w:t xml:space="preserve"> </w:t>
      </w:r>
      <w:r>
        <w:rPr>
          <w:lang w:val="en-US"/>
        </w:rPr>
        <w:t xml:space="preserve">See also </w:t>
      </w:r>
      <w:proofErr w:type="spellStart"/>
      <w:r>
        <w:rPr>
          <w:lang w:val="en-US"/>
        </w:rPr>
        <w:t>Wheler</w:t>
      </w:r>
      <w:proofErr w:type="spellEnd"/>
      <w:r>
        <w:rPr>
          <w:lang w:val="en-US"/>
        </w:rPr>
        <w:t xml:space="preserve"> et al. 2009 and </w:t>
      </w:r>
      <w:proofErr w:type="spellStart"/>
      <w:r w:rsidRPr="00742C11">
        <w:rPr>
          <w:lang w:val="en-US"/>
        </w:rPr>
        <w:t>Zuo</w:t>
      </w:r>
      <w:proofErr w:type="spellEnd"/>
      <w:r w:rsidRPr="00742C11">
        <w:rPr>
          <w:lang w:val="en-US"/>
        </w:rPr>
        <w:t xml:space="preserve"> et al.</w:t>
      </w:r>
      <w:r>
        <w:rPr>
          <w:lang w:val="en-US"/>
        </w:rPr>
        <w:t xml:space="preserve"> 2015. </w:t>
      </w:r>
    </w:p>
  </w:footnote>
  <w:footnote w:id="25">
    <w:p w:rsidR="0049132C" w:rsidRPr="006D0FEF" w:rsidRDefault="0049132C">
      <w:pPr>
        <w:pStyle w:val="FootnoteText"/>
        <w:rPr>
          <w:lang w:val="en-US"/>
        </w:rPr>
      </w:pPr>
      <w:r>
        <w:rPr>
          <w:rStyle w:val="FootnoteReference"/>
        </w:rPr>
        <w:footnoteRef/>
      </w:r>
      <w:r>
        <w:t xml:space="preserve"> </w:t>
      </w:r>
      <w:r>
        <w:tab/>
      </w:r>
      <w:r w:rsidRPr="006D0FEF">
        <w:t>Note, this scenario and assumptions were developed prior to the October 2015 outlook.</w:t>
      </w:r>
    </w:p>
  </w:footnote>
  <w:footnote w:id="26">
    <w:p w:rsidR="0049132C" w:rsidRPr="00592F62" w:rsidRDefault="0049132C">
      <w:pPr>
        <w:pStyle w:val="FootnoteText"/>
        <w:rPr>
          <w:lang w:val="en-US"/>
        </w:rPr>
      </w:pPr>
      <w:r>
        <w:rPr>
          <w:rStyle w:val="FootnoteReference"/>
        </w:rPr>
        <w:footnoteRef/>
      </w:r>
      <w:r>
        <w:t xml:space="preserve"> </w:t>
      </w:r>
      <w:r>
        <w:tab/>
        <w:t>T</w:t>
      </w:r>
      <w:r w:rsidRPr="00FB5FA1">
        <w:t xml:space="preserve">he expected water availability using water resource manager outlooks for 2015-16 </w:t>
      </w:r>
      <w:r>
        <w:t xml:space="preserve">was not tested under Scenario 4 because it is not plausible that the Commonwealth could purchase an additional 200 GL of water in the </w:t>
      </w:r>
      <w:proofErr w:type="spellStart"/>
      <w:r>
        <w:t>sMDB</w:t>
      </w:r>
      <w:proofErr w:type="spellEnd"/>
      <w:r>
        <w:t xml:space="preserve"> before the conclusion of the 2015-16 water </w:t>
      </w:r>
      <w:proofErr w:type="gramStart"/>
      <w:r>
        <w:t>year</w:t>
      </w:r>
      <w:proofErr w:type="gramEnd"/>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306798">
    <w:pPr>
      <w:pStyle w:val="Header"/>
    </w:pPr>
    <w:r>
      <w:rPr>
        <w:noProof/>
      </w:rPr>
      <w:pict>
        <v:shapetype id="_x0000_t202" coordsize="21600,21600" o:spt="202" path="m,l,21600r21600,l21600,xe">
          <v:stroke joinstyle="miter"/>
          <v:path gradientshapeok="t" o:connecttype="rect"/>
        </v:shapetype>
        <v:shape id="WordArt 53" o:spid="_x0000_s4105" type="#_x0000_t202" style="position:absolute;left:0;text-align:left;margin-left:0;margin-top:0;width:589.1pt;height:47.1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" o:allowincell="f" filled="f" stroked="f">
          <v:stroke joinstyle="round"/>
          <o:lock v:ext="edit" shapetype="t"/>
          <v:textbox style="mso-fit-shape-to-text:t">
            <w:txbxContent>
              <w:p w:rsidR="0049132C" w:rsidRDefault="0049132C" w:rsidP="00FB203C">
                <w:pPr>
                  <w:pStyle w:val="NormalWeb"/>
                  <w:spacing w:before="0" w:beforeAutospacing="0" w:after="0" w:afterAutospacing="0"/>
                  <w:jc w:val="center"/>
                </w:pPr>
                <w:r>
                  <w:rPr>
                    <w:rFonts w:ascii="Arial" w:hAnsi="Arial" w:cs="Arial"/>
                    <w:color w:val="7F7F7F" w:themeColor="text1" w:themeTint="80"/>
                    <w:sz w:val="2"/>
                    <w:szCs w:val="2"/>
                  </w:rPr>
                  <w:t>CONFIDENTIAL FINAL DRAFT</w:t>
                </w:r>
              </w:p>
            </w:txbxContent>
          </v:textbox>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306798">
    <w:pPr>
      <w:pStyle w:val="Header"/>
    </w:pPr>
    <w:r>
      <w:rPr>
        <w:noProof/>
      </w:rPr>
      <w:pict>
        <v:shapetype id="_x0000_t202" coordsize="21600,21600" o:spt="202" path="m,l,21600r21600,l21600,xe">
          <v:stroke joinstyle="miter"/>
          <v:path gradientshapeok="t" o:connecttype="rect"/>
        </v:shapetype>
        <v:shape id="WordArt 61" o:spid="_x0000_s4099" type="#_x0000_t202" style="position:absolute;left:0;text-align:left;margin-left:0;margin-top:0;width:589.1pt;height:47.1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" o:allowincell="f" filled="f" stroked="f">
          <v:stroke joinstyle="round"/>
          <o:lock v:ext="edit" shapetype="t"/>
          <v:textbox style="mso-fit-shape-to-text:t">
            <w:txbxContent>
              <w:p w:rsidR="0049132C" w:rsidRDefault="0049132C" w:rsidP="00FB203C">
                <w:pPr>
                  <w:pStyle w:val="NormalWeb"/>
                  <w:spacing w:before="0" w:beforeAutospacing="0" w:after="0" w:afterAutospacing="0"/>
                  <w:jc w:val="center"/>
                </w:pPr>
                <w:r>
                  <w:rPr>
                    <w:rFonts w:ascii="Arial" w:hAnsi="Arial" w:cs="Arial"/>
                    <w:color w:val="7F7F7F" w:themeColor="text1" w:themeTint="80"/>
                    <w:sz w:val="2"/>
                    <w:szCs w:val="2"/>
                  </w:rPr>
                  <w:t>CONFIDENTIAL FINAL DRAFT</w:t>
                </w:r>
              </w:p>
            </w:txbxContent>
          </v:textbox>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306798">
    <w:pPr>
      <w:pStyle w:val="Header"/>
    </w:pPr>
    <w:r>
      <w:rPr>
        <w:noProof/>
      </w:rPr>
      <w:pict>
        <v:shapetype id="_x0000_t202" coordsize="21600,21600" o:spt="202" path="m,l,21600r21600,l21600,xe">
          <v:stroke joinstyle="miter"/>
          <v:path gradientshapeok="t" o:connecttype="rect"/>
        </v:shapetype>
        <v:shape id="WordArt 65" o:spid="_x0000_s4098" type="#_x0000_t202" style="position:absolute;left:0;text-align:left;margin-left:0;margin-top:0;width:589.1pt;height:47.1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" o:allowincell="f" filled="f" stroked="f">
          <v:stroke joinstyle="round"/>
          <o:lock v:ext="edit" shapetype="t"/>
          <v:textbox style="mso-fit-shape-to-text:t">
            <w:txbxContent>
              <w:p w:rsidR="0049132C" w:rsidRDefault="0049132C" w:rsidP="00FB203C">
                <w:pPr>
                  <w:pStyle w:val="NormalWeb"/>
                  <w:spacing w:before="0" w:beforeAutospacing="0" w:after="0" w:afterAutospacing="0"/>
                  <w:jc w:val="center"/>
                </w:pPr>
                <w:r>
                  <w:rPr>
                    <w:rFonts w:ascii="Arial" w:hAnsi="Arial" w:cs="Arial"/>
                    <w:color w:val="7F7F7F" w:themeColor="text1" w:themeTint="80"/>
                    <w:sz w:val="2"/>
                    <w:szCs w:val="2"/>
                  </w:rPr>
                  <w:t>CONFIDENTIAL FINAL DRAFT</w:t>
                </w:r>
              </w:p>
            </w:txbxContent>
          </v:textbox>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49132C">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306798">
    <w:pPr>
      <w:pStyle w:val="Header"/>
    </w:pPr>
    <w:r>
      <w:rPr>
        <w:noProof/>
      </w:rPr>
      <w:pict>
        <v:shapetype id="_x0000_t202" coordsize="21600,21600" o:spt="202" path="m,l,21600r21600,l21600,xe">
          <v:stroke joinstyle="miter"/>
          <v:path gradientshapeok="t" o:connecttype="rect"/>
        </v:shapetype>
        <v:shape id="WordArt 64" o:spid="_x0000_s4097" type="#_x0000_t202" style="position:absolute;left:0;text-align:left;margin-left:0;margin-top:0;width:589.1pt;height:47.1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" o:allowincell="f" filled="f" stroked="f">
          <v:stroke joinstyle="round"/>
          <o:lock v:ext="edit" shapetype="t"/>
          <v:textbox style="mso-fit-shape-to-text:t">
            <w:txbxContent>
              <w:p w:rsidR="0049132C" w:rsidRDefault="0049132C" w:rsidP="00FB203C">
                <w:pPr>
                  <w:pStyle w:val="NormalWeb"/>
                  <w:spacing w:before="0" w:beforeAutospacing="0" w:after="0" w:afterAutospacing="0"/>
                  <w:jc w:val="center"/>
                </w:pPr>
                <w:r>
                  <w:rPr>
                    <w:rFonts w:ascii="Arial" w:hAnsi="Arial" w:cs="Arial"/>
                    <w:color w:val="7F7F7F" w:themeColor="text1" w:themeTint="80"/>
                    <w:sz w:val="2"/>
                    <w:szCs w:val="2"/>
                  </w:rPr>
                  <w:t>CONFIDENTIAL FINAL DRAFT</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306798">
    <w:pPr>
      <w:pStyle w:val="Header"/>
    </w:pPr>
    <w:r>
      <w:rPr>
        <w:noProof/>
      </w:rPr>
      <w:pict>
        <v:shapetype id="_x0000_t202" coordsize="21600,21600" o:spt="202" path="m,l,21600r21600,l21600,xe">
          <v:stroke joinstyle="miter"/>
          <v:path gradientshapeok="t" o:connecttype="rect"/>
        </v:shapetype>
        <v:shape id="WordArt 56" o:spid="_x0000_s4104" type="#_x0000_t202" style="position:absolute;left:0;text-align:left;margin-left:0;margin-top:0;width:589.1pt;height:47.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" o:allowincell="f" filled="f" stroked="f">
          <v:stroke joinstyle="round"/>
          <o:lock v:ext="edit" shapetype="t"/>
          <v:textbox style="mso-fit-shape-to-text:t">
            <w:txbxContent>
              <w:p w:rsidR="0049132C" w:rsidRDefault="0049132C" w:rsidP="00FB203C">
                <w:pPr>
                  <w:pStyle w:val="NormalWeb"/>
                  <w:spacing w:before="0" w:beforeAutospacing="0" w:after="0" w:afterAutospacing="0"/>
                  <w:jc w:val="center"/>
                </w:pPr>
                <w:r>
                  <w:rPr>
                    <w:rFonts w:ascii="Arial" w:hAnsi="Arial" w:cs="Arial"/>
                    <w:color w:val="7F7F7F" w:themeColor="text1" w:themeTint="80"/>
                    <w:sz w:val="2"/>
                    <w:szCs w:val="2"/>
                  </w:rPr>
                  <w:t>CONFIDENTIAL FINAL DRAFT</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49132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306798">
    <w:pPr>
      <w:pStyle w:val="Header"/>
    </w:pPr>
    <w:r>
      <w:rPr>
        <w:noProof/>
      </w:rPr>
      <w:pict>
        <v:shapetype id="_x0000_t202" coordsize="21600,21600" o:spt="202" path="m,l,21600r21600,l21600,xe">
          <v:stroke joinstyle="miter"/>
          <v:path gradientshapeok="t" o:connecttype="rect"/>
        </v:shapetype>
        <v:shape id="WordArt 55" o:spid="_x0000_s4103" type="#_x0000_t202" style="position:absolute;left:0;text-align:left;margin-left:0;margin-top:0;width:589.1pt;height:47.1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" o:allowincell="f" filled="f" stroked="f">
          <v:stroke joinstyle="round"/>
          <o:lock v:ext="edit" shapetype="t"/>
          <v:textbox style="mso-fit-shape-to-text:t">
            <w:txbxContent>
              <w:p w:rsidR="0049132C" w:rsidRDefault="0049132C" w:rsidP="00FB203C">
                <w:pPr>
                  <w:pStyle w:val="NormalWeb"/>
                  <w:spacing w:before="0" w:beforeAutospacing="0" w:after="0" w:afterAutospacing="0"/>
                  <w:jc w:val="center"/>
                </w:pPr>
                <w:r>
                  <w:rPr>
                    <w:rFonts w:ascii="Arial" w:hAnsi="Arial" w:cs="Arial"/>
                    <w:color w:val="7F7F7F" w:themeColor="text1" w:themeTint="80"/>
                    <w:sz w:val="2"/>
                    <w:szCs w:val="2"/>
                  </w:rPr>
                  <w:t>CONFIDENTIAL FINAL DRAFT</w:t>
                </w:r>
              </w:p>
            </w:txbxContent>
          </v:textbox>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306798">
    <w:pPr>
      <w:pStyle w:val="Header"/>
    </w:pPr>
    <w:r>
      <w:rPr>
        <w:noProof/>
      </w:rPr>
      <w:pict>
        <v:shapetype id="_x0000_t202" coordsize="21600,21600" o:spt="202" path="m,l,21600r21600,l21600,xe">
          <v:stroke joinstyle="miter"/>
          <v:path gradientshapeok="t" o:connecttype="rect"/>
        </v:shapetype>
        <v:shape id="WordArt 59" o:spid="_x0000_s4102" type="#_x0000_t202" style="position:absolute;left:0;text-align:left;margin-left:0;margin-top:0;width:589.1pt;height:47.1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" o:allowincell="f" filled="f" stroked="f">
          <v:stroke joinstyle="round"/>
          <o:lock v:ext="edit" shapetype="t"/>
          <v:textbox style="mso-fit-shape-to-text:t">
            <w:txbxContent>
              <w:p w:rsidR="0049132C" w:rsidRDefault="0049132C" w:rsidP="00FB203C">
                <w:pPr>
                  <w:pStyle w:val="NormalWeb"/>
                  <w:spacing w:before="0" w:beforeAutospacing="0" w:after="0" w:afterAutospacing="0"/>
                  <w:jc w:val="center"/>
                </w:pPr>
                <w:r>
                  <w:rPr>
                    <w:rFonts w:ascii="Arial" w:hAnsi="Arial" w:cs="Arial"/>
                    <w:color w:val="7F7F7F" w:themeColor="text1" w:themeTint="80"/>
                    <w:sz w:val="2"/>
                    <w:szCs w:val="2"/>
                  </w:rPr>
                  <w:t>CONFIDENTIAL FINAL DRAFT</w:t>
                </w:r>
              </w:p>
            </w:txbxContent>
          </v:textbox>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49132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306798">
    <w:pPr>
      <w:pStyle w:val="Header"/>
    </w:pPr>
    <w:r>
      <w:rPr>
        <w:noProof/>
      </w:rPr>
      <w:pict>
        <v:shapetype id="_x0000_t202" coordsize="21600,21600" o:spt="202" path="m,l,21600r21600,l21600,xe">
          <v:stroke joinstyle="miter"/>
          <v:path gradientshapeok="t" o:connecttype="rect"/>
        </v:shapetype>
        <v:shape id="WordArt 58" o:spid="_x0000_s4101" type="#_x0000_t202" style="position:absolute;left:0;text-align:left;margin-left:0;margin-top:0;width:589.1pt;height:47.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" o:allowincell="f" filled="f" stroked="f">
          <v:stroke joinstyle="round"/>
          <o:lock v:ext="edit" shapetype="t"/>
          <v:textbox style="mso-fit-shape-to-text:t">
            <w:txbxContent>
              <w:p w:rsidR="0049132C" w:rsidRDefault="0049132C" w:rsidP="00FB203C">
                <w:pPr>
                  <w:pStyle w:val="NormalWeb"/>
                  <w:spacing w:before="0" w:beforeAutospacing="0" w:after="0" w:afterAutospacing="0"/>
                  <w:jc w:val="center"/>
                </w:pPr>
                <w:r>
                  <w:rPr>
                    <w:rFonts w:ascii="Arial" w:hAnsi="Arial" w:cs="Arial"/>
                    <w:color w:val="7F7F7F" w:themeColor="text1" w:themeTint="80"/>
                    <w:sz w:val="2"/>
                    <w:szCs w:val="2"/>
                  </w:rPr>
                  <w:t>CONFIDENTIAL FINAL DRAFT</w:t>
                </w:r>
              </w:p>
            </w:txbxContent>
          </v:textbox>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306798">
    <w:pPr>
      <w:pStyle w:val="Header"/>
    </w:pPr>
    <w:r>
      <w:rPr>
        <w:noProof/>
      </w:rPr>
      <w:pict>
        <v:shapetype id="_x0000_t202" coordsize="21600,21600" o:spt="202" path="m,l,21600r21600,l21600,xe">
          <v:stroke joinstyle="miter"/>
          <v:path gradientshapeok="t" o:connecttype="rect"/>
        </v:shapetype>
        <v:shape id="WordArt 62" o:spid="_x0000_s4100" type="#_x0000_t202" style="position:absolute;left:0;text-align:left;margin-left:0;margin-top:0;width:589.1pt;height:47.1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" o:allowincell="f" filled="f" stroked="f">
          <v:stroke joinstyle="round"/>
          <o:lock v:ext="edit" shapetype="t"/>
          <v:textbox style="mso-fit-shape-to-text:t">
            <w:txbxContent>
              <w:p w:rsidR="0049132C" w:rsidRDefault="0049132C" w:rsidP="00FB203C">
                <w:pPr>
                  <w:pStyle w:val="NormalWeb"/>
                  <w:spacing w:before="0" w:beforeAutospacing="0" w:after="0" w:afterAutospacing="0"/>
                  <w:jc w:val="center"/>
                </w:pPr>
                <w:r>
                  <w:rPr>
                    <w:rFonts w:ascii="Arial" w:hAnsi="Arial" w:cs="Arial"/>
                    <w:color w:val="7F7F7F" w:themeColor="text1" w:themeTint="80"/>
                    <w:sz w:val="2"/>
                    <w:szCs w:val="2"/>
                  </w:rPr>
                  <w:t>CONFIDENTIAL FINAL DRAFT</w:t>
                </w:r>
              </w:p>
            </w:txbxContent>
          </v:textbox>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2C" w:rsidRDefault="004913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A8CD406"/>
    <w:lvl w:ilvl="0">
      <w:start w:val="1"/>
      <w:numFmt w:val="decimal"/>
      <w:lvlText w:val="%1."/>
      <w:lvlJc w:val="left"/>
      <w:pPr>
        <w:tabs>
          <w:tab w:val="num" w:pos="1492"/>
        </w:tabs>
        <w:ind w:left="1492" w:hanging="360"/>
      </w:pPr>
    </w:lvl>
  </w:abstractNum>
  <w:abstractNum w:abstractNumId="2">
    <w:nsid w:val="FFFFFF7D"/>
    <w:multiLevelType w:val="singleLevel"/>
    <w:tmpl w:val="3D36C4E6"/>
    <w:lvl w:ilvl="0">
      <w:start w:val="1"/>
      <w:numFmt w:val="decimal"/>
      <w:lvlText w:val="%1."/>
      <w:lvlJc w:val="left"/>
      <w:pPr>
        <w:tabs>
          <w:tab w:val="num" w:pos="1209"/>
        </w:tabs>
        <w:ind w:left="1209" w:hanging="360"/>
      </w:pPr>
    </w:lvl>
  </w:abstractNum>
  <w:abstractNum w:abstractNumId="3">
    <w:nsid w:val="FFFFFF7E"/>
    <w:multiLevelType w:val="singleLevel"/>
    <w:tmpl w:val="155CAFC0"/>
    <w:lvl w:ilvl="0">
      <w:start w:val="1"/>
      <w:numFmt w:val="decimal"/>
      <w:lvlText w:val="%1."/>
      <w:lvlJc w:val="left"/>
      <w:pPr>
        <w:tabs>
          <w:tab w:val="num" w:pos="926"/>
        </w:tabs>
        <w:ind w:left="926" w:hanging="360"/>
      </w:pPr>
    </w:lvl>
  </w:abstractNum>
  <w:abstractNum w:abstractNumId="4">
    <w:nsid w:val="FFFFFF7F"/>
    <w:multiLevelType w:val="singleLevel"/>
    <w:tmpl w:val="24DC96DE"/>
    <w:lvl w:ilvl="0">
      <w:start w:val="1"/>
      <w:numFmt w:val="decimal"/>
      <w:lvlText w:val="%1."/>
      <w:lvlJc w:val="left"/>
      <w:pPr>
        <w:tabs>
          <w:tab w:val="num" w:pos="643"/>
        </w:tabs>
        <w:ind w:left="643" w:hanging="360"/>
      </w:pPr>
    </w:lvl>
  </w:abstractNum>
  <w:abstractNum w:abstractNumId="5">
    <w:nsid w:val="FFFFFF80"/>
    <w:multiLevelType w:val="singleLevel"/>
    <w:tmpl w:val="FAFE8AD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0B412D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940A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4B0E36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A2C89CA"/>
    <w:lvl w:ilvl="0">
      <w:start w:val="1"/>
      <w:numFmt w:val="decimal"/>
      <w:lvlText w:val="%1."/>
      <w:lvlJc w:val="left"/>
      <w:pPr>
        <w:tabs>
          <w:tab w:val="num" w:pos="360"/>
        </w:tabs>
        <w:ind w:left="360" w:hanging="360"/>
      </w:pPr>
    </w:lvl>
  </w:abstractNum>
  <w:abstractNum w:abstractNumId="10">
    <w:nsid w:val="FFFFFF89"/>
    <w:multiLevelType w:val="singleLevel"/>
    <w:tmpl w:val="718A2082"/>
    <w:lvl w:ilvl="0">
      <w:start w:val="1"/>
      <w:numFmt w:val="bullet"/>
      <w:lvlText w:val=""/>
      <w:lvlJc w:val="left"/>
      <w:pPr>
        <w:tabs>
          <w:tab w:val="num" w:pos="360"/>
        </w:tabs>
        <w:ind w:left="360" w:hanging="360"/>
      </w:pPr>
      <w:rPr>
        <w:rFonts w:ascii="Symbol" w:hAnsi="Symbol" w:hint="default"/>
      </w:rPr>
    </w:lvl>
  </w:abstractNum>
  <w:abstractNum w:abstractNumId="11">
    <w:nsid w:val="006971CA"/>
    <w:multiLevelType w:val="hybridMultilevel"/>
    <w:tmpl w:val="C2F02C9C"/>
    <w:lvl w:ilvl="0" w:tplc="44303C18">
      <w:start w:val="1"/>
      <w:numFmt w:val="bullet"/>
      <w:pStyle w:val="BoxBullet2"/>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07E0B63"/>
    <w:multiLevelType w:val="hybridMultilevel"/>
    <w:tmpl w:val="A32A05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6105138"/>
    <w:multiLevelType w:val="hybridMultilevel"/>
    <w:tmpl w:val="88C6AA3E"/>
    <w:lvl w:ilvl="0" w:tplc="2CD8CBF2">
      <w:start w:val="4"/>
      <w:numFmt w:val="bullet"/>
      <w:pStyle w:val="Bullet2"/>
      <w:lvlText w:val="-"/>
      <w:lvlJc w:val="left"/>
      <w:pPr>
        <w:ind w:left="717" w:hanging="360"/>
      </w:pPr>
      <w:rPr>
        <w:rFonts w:ascii="Arial" w:eastAsia="Times New Roman" w:hAnsi="Arial" w:cs="Aria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B95130A"/>
    <w:multiLevelType w:val="hybridMultilevel"/>
    <w:tmpl w:val="A67C90B4"/>
    <w:lvl w:ilvl="0" w:tplc="840431B0">
      <w:start w:val="1"/>
      <w:numFmt w:val="decimal"/>
      <w:pStyle w:val="NumberList"/>
      <w:lvlText w:val="%1."/>
      <w:lvlJc w:val="left"/>
      <w:pPr>
        <w:ind w:left="644" w:hanging="360"/>
      </w:pPr>
      <w:rPr>
        <w:rFonts w:hint="default"/>
        <w:i w:val="0"/>
        <w:caps w:val="0"/>
        <w:smallCaps w:val="0"/>
        <w:strike w:val="0"/>
        <w:dstrike w:val="0"/>
        <w:noProof w:val="0"/>
        <w:vanish w:val="0"/>
        <w:color w:val="595959" w:themeColor="text1" w:themeTint="A6"/>
        <w:spacing w:val="0"/>
        <w:kern w:val="0"/>
        <w:position w:val="0"/>
        <w:u w:val="none"/>
        <w:effect w:val="none"/>
        <w:vertAlign w:val="baseline"/>
        <w:em w:val="none"/>
        <w:specVanish w:val="0"/>
      </w:rPr>
    </w:lvl>
    <w:lvl w:ilvl="1" w:tplc="C4AA328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28032A"/>
    <w:multiLevelType w:val="hybridMultilevel"/>
    <w:tmpl w:val="18245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AA613F"/>
    <w:multiLevelType w:val="hybridMultilevel"/>
    <w:tmpl w:val="72467972"/>
    <w:lvl w:ilvl="0" w:tplc="7A34BC7C">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FC5EFF"/>
    <w:multiLevelType w:val="hybridMultilevel"/>
    <w:tmpl w:val="38A0C8C6"/>
    <w:lvl w:ilvl="0" w:tplc="69FE925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B3F5208"/>
    <w:multiLevelType w:val="hybridMultilevel"/>
    <w:tmpl w:val="9B0819D8"/>
    <w:lvl w:ilvl="0" w:tplc="7108D382">
      <w:start w:val="1"/>
      <w:numFmt w:val="bullet"/>
      <w:lvlText w:val=""/>
      <w:lvlJc w:val="left"/>
      <w:pPr>
        <w:ind w:left="720" w:hanging="660"/>
      </w:pPr>
      <w:rPr>
        <w:rFonts w:ascii="Symbol" w:eastAsia="Times New Roman" w:hAnsi="Symbol"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F52A31"/>
    <w:multiLevelType w:val="multilevel"/>
    <w:tmpl w:val="55C83A4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4361" w:hanging="851"/>
      </w:pPr>
      <w:rPr>
        <w:rFonts w:hint="default"/>
      </w:rPr>
    </w:lvl>
    <w:lvl w:ilvl="2">
      <w:start w:val="1"/>
      <w:numFmt w:val="decimal"/>
      <w:pStyle w:val="Heading3"/>
      <w:lvlText w:val="%1.%2.%3."/>
      <w:lvlJc w:val="left"/>
      <w:pPr>
        <w:ind w:left="3402" w:hanging="851"/>
      </w:pPr>
      <w:rPr>
        <w:i w:val="0"/>
        <w:caps w:val="0"/>
        <w:smallCaps w:val="0"/>
        <w:strike w:val="0"/>
        <w:dstrike w:val="0"/>
        <w:noProof w:val="0"/>
        <w:vanish w:val="0"/>
        <w:color w:val="3583AA" w:themeColor="accent3"/>
        <w:spacing w:val="0"/>
        <w:kern w:val="0"/>
        <w:position w:val="0"/>
        <w:szCs w:val="20"/>
        <w:u w:val="none"/>
        <w:effect w:val="none"/>
        <w:vertAlign w:val="baseline"/>
        <w:em w:val="none"/>
        <w:specVanish w:val="0"/>
      </w:rPr>
    </w:lvl>
    <w:lvl w:ilvl="3">
      <w:start w:val="1"/>
      <w:numFmt w:val="decimal"/>
      <w:lvlText w:val="%1.%2.%3.%4."/>
      <w:lvlJc w:val="left"/>
      <w:pPr>
        <w:ind w:left="851" w:hanging="851"/>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2">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36C5660B"/>
    <w:multiLevelType w:val="hybridMultilevel"/>
    <w:tmpl w:val="2144AC04"/>
    <w:lvl w:ilvl="0" w:tplc="4D0655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3FD34042"/>
    <w:multiLevelType w:val="hybridMultilevel"/>
    <w:tmpl w:val="13E450A8"/>
    <w:lvl w:ilvl="0" w:tplc="C49E9A2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4EE23D9"/>
    <w:multiLevelType w:val="hybridMultilevel"/>
    <w:tmpl w:val="CB7CCE8C"/>
    <w:lvl w:ilvl="0" w:tplc="4D0655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8367AC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AC40A9B"/>
    <w:multiLevelType w:val="hybridMultilevel"/>
    <w:tmpl w:val="BB94D404"/>
    <w:lvl w:ilvl="0" w:tplc="76003964">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343773B"/>
    <w:multiLevelType w:val="hybridMultilevel"/>
    <w:tmpl w:val="D0C004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A952B7"/>
    <w:multiLevelType w:val="hybridMultilevel"/>
    <w:tmpl w:val="7B609DD6"/>
    <w:lvl w:ilvl="0" w:tplc="956E2C3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C617A2"/>
    <w:multiLevelType w:val="hybridMultilevel"/>
    <w:tmpl w:val="0CECFF2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nsid w:val="5C6264B4"/>
    <w:multiLevelType w:val="hybridMultilevel"/>
    <w:tmpl w:val="04C2F852"/>
    <w:lvl w:ilvl="0" w:tplc="2E5E2236">
      <w:start w:val="1"/>
      <w:numFmt w:val="bullet"/>
      <w:pStyle w:val="TableBullet2"/>
      <w:lvlText w:val="–"/>
      <w:lvlJc w:val="left"/>
      <w:pPr>
        <w:tabs>
          <w:tab w:val="num" w:pos="216"/>
        </w:tabs>
        <w:ind w:left="432" w:hanging="216"/>
      </w:pPr>
      <w:rPr>
        <w:rFonts w:ascii="Times New Roman" w:hAnsi="Times New Roman" w:cs="Times New Roman"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2C030B8"/>
    <w:multiLevelType w:val="hybridMultilevel"/>
    <w:tmpl w:val="11761F0A"/>
    <w:lvl w:ilvl="0" w:tplc="15C0CC68">
      <w:start w:val="1"/>
      <w:numFmt w:val="decimal"/>
      <w:lvlText w:val="%1."/>
      <w:lvlJc w:val="left"/>
      <w:pPr>
        <w:ind w:left="3447" w:hanging="360"/>
      </w:pPr>
    </w:lvl>
    <w:lvl w:ilvl="1" w:tplc="0C090019" w:tentative="1">
      <w:start w:val="1"/>
      <w:numFmt w:val="lowerLetter"/>
      <w:lvlText w:val="%2."/>
      <w:lvlJc w:val="left"/>
      <w:pPr>
        <w:ind w:left="4167" w:hanging="360"/>
      </w:pPr>
    </w:lvl>
    <w:lvl w:ilvl="2" w:tplc="0C09001B" w:tentative="1">
      <w:start w:val="1"/>
      <w:numFmt w:val="lowerRoman"/>
      <w:lvlText w:val="%3."/>
      <w:lvlJc w:val="right"/>
      <w:pPr>
        <w:ind w:left="4887" w:hanging="180"/>
      </w:pPr>
    </w:lvl>
    <w:lvl w:ilvl="3" w:tplc="0C09000F" w:tentative="1">
      <w:start w:val="1"/>
      <w:numFmt w:val="decimal"/>
      <w:lvlText w:val="%4."/>
      <w:lvlJc w:val="left"/>
      <w:pPr>
        <w:ind w:left="5607" w:hanging="360"/>
      </w:pPr>
    </w:lvl>
    <w:lvl w:ilvl="4" w:tplc="0C090019" w:tentative="1">
      <w:start w:val="1"/>
      <w:numFmt w:val="lowerLetter"/>
      <w:lvlText w:val="%5."/>
      <w:lvlJc w:val="left"/>
      <w:pPr>
        <w:ind w:left="6327" w:hanging="360"/>
      </w:pPr>
    </w:lvl>
    <w:lvl w:ilvl="5" w:tplc="0C09001B" w:tentative="1">
      <w:start w:val="1"/>
      <w:numFmt w:val="lowerRoman"/>
      <w:lvlText w:val="%6."/>
      <w:lvlJc w:val="right"/>
      <w:pPr>
        <w:ind w:left="7047" w:hanging="180"/>
      </w:pPr>
    </w:lvl>
    <w:lvl w:ilvl="6" w:tplc="0C09000F" w:tentative="1">
      <w:start w:val="1"/>
      <w:numFmt w:val="decimal"/>
      <w:lvlText w:val="%7."/>
      <w:lvlJc w:val="left"/>
      <w:pPr>
        <w:ind w:left="7767" w:hanging="360"/>
      </w:pPr>
    </w:lvl>
    <w:lvl w:ilvl="7" w:tplc="0C090019" w:tentative="1">
      <w:start w:val="1"/>
      <w:numFmt w:val="lowerLetter"/>
      <w:lvlText w:val="%8."/>
      <w:lvlJc w:val="left"/>
      <w:pPr>
        <w:ind w:left="8487" w:hanging="360"/>
      </w:pPr>
    </w:lvl>
    <w:lvl w:ilvl="8" w:tplc="0C09001B" w:tentative="1">
      <w:start w:val="1"/>
      <w:numFmt w:val="lowerRoman"/>
      <w:lvlText w:val="%9."/>
      <w:lvlJc w:val="right"/>
      <w:pPr>
        <w:ind w:left="9207" w:hanging="180"/>
      </w:pPr>
    </w:lvl>
  </w:abstractNum>
  <w:abstractNum w:abstractNumId="37">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B811A6"/>
    <w:multiLevelType w:val="hybridMultilevel"/>
    <w:tmpl w:val="A7E2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FCF172A"/>
    <w:multiLevelType w:val="hybridMultilevel"/>
    <w:tmpl w:val="784A3B54"/>
    <w:lvl w:ilvl="0" w:tplc="3FDC4892">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160844"/>
    <w:multiLevelType w:val="hybridMultilevel"/>
    <w:tmpl w:val="7078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E81FDC"/>
    <w:multiLevelType w:val="hybridMultilevel"/>
    <w:tmpl w:val="6206F784"/>
    <w:lvl w:ilvl="0" w:tplc="0C461D56">
      <w:start w:val="1"/>
      <w:numFmt w:val="bullet"/>
      <w:pStyle w:val="Bullet"/>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4"/>
  </w:num>
  <w:num w:numId="3">
    <w:abstractNumId w:val="42"/>
  </w:num>
  <w:num w:numId="4">
    <w:abstractNumId w:val="13"/>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37"/>
  </w:num>
  <w:num w:numId="17">
    <w:abstractNumId w:val="0"/>
  </w:num>
  <w:num w:numId="18">
    <w:abstractNumId w:val="18"/>
  </w:num>
  <w:num w:numId="19">
    <w:abstractNumId w:val="38"/>
  </w:num>
  <w:num w:numId="20">
    <w:abstractNumId w:val="20"/>
  </w:num>
  <w:num w:numId="21">
    <w:abstractNumId w:val="38"/>
  </w:num>
  <w:num w:numId="22">
    <w:abstractNumId w:val="24"/>
  </w:num>
  <w:num w:numId="23">
    <w:abstractNumId w:val="25"/>
  </w:num>
  <w:num w:numId="24">
    <w:abstractNumId w:val="16"/>
  </w:num>
  <w:num w:numId="25">
    <w:abstractNumId w:val="22"/>
  </w:num>
  <w:num w:numId="26">
    <w:abstractNumId w:val="35"/>
  </w:num>
  <w:num w:numId="27">
    <w:abstractNumId w:val="36"/>
  </w:num>
  <w:num w:numId="28">
    <w:abstractNumId w:val="30"/>
  </w:num>
  <w:num w:numId="29">
    <w:abstractNumId w:val="21"/>
  </w:num>
  <w:num w:numId="30">
    <w:abstractNumId w:val="2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7"/>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9"/>
  </w:num>
  <w:num w:numId="41">
    <w:abstractNumId w:val="40"/>
  </w:num>
  <w:num w:numId="42">
    <w:abstractNumId w:val="41"/>
  </w:num>
  <w:num w:numId="43">
    <w:abstractNumId w:val="27"/>
  </w:num>
  <w:num w:numId="44">
    <w:abstractNumId w:val="23"/>
  </w:num>
  <w:num w:numId="45">
    <w:abstractNumId w:val="26"/>
  </w:num>
  <w:num w:numId="46">
    <w:abstractNumId w:val="12"/>
  </w:num>
  <w:num w:numId="47">
    <w:abstractNumId w:val="15"/>
  </w:num>
  <w:num w:numId="48">
    <w:abstractNumId w:val="32"/>
  </w:num>
  <w:num w:numId="49">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Olszak">
    <w15:presenceInfo w15:providerId="None" w15:userId="Chris Olsz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4115"/>
    <o:shapelayout v:ext="edit">
      <o:idmap v:ext="edit" data="4"/>
    </o:shapelayout>
  </w:hdrShapeDefaults>
  <w:footnotePr>
    <w:footnote w:id="-1"/>
    <w:footnote w:id="0"/>
  </w:footnotePr>
  <w:endnotePr>
    <w:endnote w:id="-1"/>
    <w:endnote w:id="0"/>
  </w:endnotePr>
  <w:compat/>
  <w:rsids>
    <w:rsidRoot w:val="00FB7BEF"/>
    <w:rsid w:val="00006F00"/>
    <w:rsid w:val="00010F8A"/>
    <w:rsid w:val="00011847"/>
    <w:rsid w:val="00012BB5"/>
    <w:rsid w:val="00013A29"/>
    <w:rsid w:val="00020F91"/>
    <w:rsid w:val="00022586"/>
    <w:rsid w:val="00022610"/>
    <w:rsid w:val="00022E50"/>
    <w:rsid w:val="00026294"/>
    <w:rsid w:val="00031681"/>
    <w:rsid w:val="000348C1"/>
    <w:rsid w:val="00035199"/>
    <w:rsid w:val="0003591D"/>
    <w:rsid w:val="00042819"/>
    <w:rsid w:val="00043651"/>
    <w:rsid w:val="000451B3"/>
    <w:rsid w:val="0004527F"/>
    <w:rsid w:val="0005021D"/>
    <w:rsid w:val="000522C9"/>
    <w:rsid w:val="00056209"/>
    <w:rsid w:val="000569DF"/>
    <w:rsid w:val="000614CD"/>
    <w:rsid w:val="00063948"/>
    <w:rsid w:val="00063FB9"/>
    <w:rsid w:val="00072AF9"/>
    <w:rsid w:val="0007619D"/>
    <w:rsid w:val="00077095"/>
    <w:rsid w:val="00077133"/>
    <w:rsid w:val="000802E1"/>
    <w:rsid w:val="00080EA9"/>
    <w:rsid w:val="0008182F"/>
    <w:rsid w:val="00090F9B"/>
    <w:rsid w:val="000A2ABC"/>
    <w:rsid w:val="000A7B26"/>
    <w:rsid w:val="000A7EAC"/>
    <w:rsid w:val="000B0501"/>
    <w:rsid w:val="000B1733"/>
    <w:rsid w:val="000B2E34"/>
    <w:rsid w:val="000B570D"/>
    <w:rsid w:val="000C10BA"/>
    <w:rsid w:val="000C33B3"/>
    <w:rsid w:val="000C39BA"/>
    <w:rsid w:val="000C7C10"/>
    <w:rsid w:val="000D2E3D"/>
    <w:rsid w:val="000D42C3"/>
    <w:rsid w:val="000D7225"/>
    <w:rsid w:val="000D749B"/>
    <w:rsid w:val="000D74E1"/>
    <w:rsid w:val="000D7D51"/>
    <w:rsid w:val="000E0B0B"/>
    <w:rsid w:val="000E44B9"/>
    <w:rsid w:val="000E44D6"/>
    <w:rsid w:val="000E732F"/>
    <w:rsid w:val="000E7FBB"/>
    <w:rsid w:val="000F1020"/>
    <w:rsid w:val="000F1654"/>
    <w:rsid w:val="000F555E"/>
    <w:rsid w:val="000F727A"/>
    <w:rsid w:val="000F775B"/>
    <w:rsid w:val="00100070"/>
    <w:rsid w:val="00100909"/>
    <w:rsid w:val="00101D12"/>
    <w:rsid w:val="001029AB"/>
    <w:rsid w:val="001031E5"/>
    <w:rsid w:val="00104E39"/>
    <w:rsid w:val="00106DDD"/>
    <w:rsid w:val="0011224E"/>
    <w:rsid w:val="001134C2"/>
    <w:rsid w:val="00114212"/>
    <w:rsid w:val="00114BAC"/>
    <w:rsid w:val="00115DD6"/>
    <w:rsid w:val="001170E2"/>
    <w:rsid w:val="00123B95"/>
    <w:rsid w:val="001252AD"/>
    <w:rsid w:val="001264EA"/>
    <w:rsid w:val="001361C6"/>
    <w:rsid w:val="001368BE"/>
    <w:rsid w:val="00141306"/>
    <w:rsid w:val="00142EC9"/>
    <w:rsid w:val="00145460"/>
    <w:rsid w:val="00146CE7"/>
    <w:rsid w:val="001475DB"/>
    <w:rsid w:val="00147E45"/>
    <w:rsid w:val="00150C89"/>
    <w:rsid w:val="0015129A"/>
    <w:rsid w:val="00151AAB"/>
    <w:rsid w:val="00154714"/>
    <w:rsid w:val="00155BC6"/>
    <w:rsid w:val="00157610"/>
    <w:rsid w:val="00157C46"/>
    <w:rsid w:val="0016044A"/>
    <w:rsid w:val="00160CB7"/>
    <w:rsid w:val="00160D7D"/>
    <w:rsid w:val="00163E32"/>
    <w:rsid w:val="00164DF8"/>
    <w:rsid w:val="00167D4C"/>
    <w:rsid w:val="00173DF2"/>
    <w:rsid w:val="00174AD3"/>
    <w:rsid w:val="00174C00"/>
    <w:rsid w:val="00174DC8"/>
    <w:rsid w:val="00174FC5"/>
    <w:rsid w:val="001763E4"/>
    <w:rsid w:val="00181F21"/>
    <w:rsid w:val="00185AC2"/>
    <w:rsid w:val="001865A3"/>
    <w:rsid w:val="001A1059"/>
    <w:rsid w:val="001A1E34"/>
    <w:rsid w:val="001B019B"/>
    <w:rsid w:val="001B0ED7"/>
    <w:rsid w:val="001B2F69"/>
    <w:rsid w:val="001B5C5F"/>
    <w:rsid w:val="001B67FD"/>
    <w:rsid w:val="001B716D"/>
    <w:rsid w:val="001C1491"/>
    <w:rsid w:val="001C391C"/>
    <w:rsid w:val="001D0042"/>
    <w:rsid w:val="001D38FB"/>
    <w:rsid w:val="001D3DA0"/>
    <w:rsid w:val="001D4D1F"/>
    <w:rsid w:val="001E458F"/>
    <w:rsid w:val="001F161E"/>
    <w:rsid w:val="001F36F9"/>
    <w:rsid w:val="001F626F"/>
    <w:rsid w:val="0020319C"/>
    <w:rsid w:val="00205610"/>
    <w:rsid w:val="0021089F"/>
    <w:rsid w:val="00210A43"/>
    <w:rsid w:val="0021259E"/>
    <w:rsid w:val="00213768"/>
    <w:rsid w:val="00221637"/>
    <w:rsid w:val="00222498"/>
    <w:rsid w:val="00223521"/>
    <w:rsid w:val="002237E7"/>
    <w:rsid w:val="00223DA5"/>
    <w:rsid w:val="00224A0B"/>
    <w:rsid w:val="002266AD"/>
    <w:rsid w:val="00231012"/>
    <w:rsid w:val="00232D9C"/>
    <w:rsid w:val="0023649F"/>
    <w:rsid w:val="00240BBA"/>
    <w:rsid w:val="00241D7F"/>
    <w:rsid w:val="00242799"/>
    <w:rsid w:val="00242A93"/>
    <w:rsid w:val="00242FFA"/>
    <w:rsid w:val="002432C5"/>
    <w:rsid w:val="00246022"/>
    <w:rsid w:val="0024794E"/>
    <w:rsid w:val="002502E7"/>
    <w:rsid w:val="00251250"/>
    <w:rsid w:val="002546D1"/>
    <w:rsid w:val="00254A54"/>
    <w:rsid w:val="00261F1A"/>
    <w:rsid w:val="0026548D"/>
    <w:rsid w:val="00271B40"/>
    <w:rsid w:val="0027443F"/>
    <w:rsid w:val="00275472"/>
    <w:rsid w:val="0027564B"/>
    <w:rsid w:val="002760F5"/>
    <w:rsid w:val="00284611"/>
    <w:rsid w:val="002864D0"/>
    <w:rsid w:val="002868A9"/>
    <w:rsid w:val="0029345F"/>
    <w:rsid w:val="00297083"/>
    <w:rsid w:val="00297B5F"/>
    <w:rsid w:val="002A44CB"/>
    <w:rsid w:val="002A5E10"/>
    <w:rsid w:val="002B0AF8"/>
    <w:rsid w:val="002B1CD6"/>
    <w:rsid w:val="002B2256"/>
    <w:rsid w:val="002B4033"/>
    <w:rsid w:val="002C03BB"/>
    <w:rsid w:val="002C19BF"/>
    <w:rsid w:val="002C3F92"/>
    <w:rsid w:val="002C61F5"/>
    <w:rsid w:val="002C7311"/>
    <w:rsid w:val="002D004F"/>
    <w:rsid w:val="002D0313"/>
    <w:rsid w:val="002D6E00"/>
    <w:rsid w:val="002D7C78"/>
    <w:rsid w:val="002E2745"/>
    <w:rsid w:val="002E412E"/>
    <w:rsid w:val="002E52DD"/>
    <w:rsid w:val="002E6060"/>
    <w:rsid w:val="002E65BA"/>
    <w:rsid w:val="002F1481"/>
    <w:rsid w:val="00306798"/>
    <w:rsid w:val="00312C0E"/>
    <w:rsid w:val="00324278"/>
    <w:rsid w:val="00324CAE"/>
    <w:rsid w:val="0033188B"/>
    <w:rsid w:val="003326DE"/>
    <w:rsid w:val="00333B38"/>
    <w:rsid w:val="00334758"/>
    <w:rsid w:val="003375F1"/>
    <w:rsid w:val="00340072"/>
    <w:rsid w:val="00340F5C"/>
    <w:rsid w:val="00350BB2"/>
    <w:rsid w:val="0035202F"/>
    <w:rsid w:val="0035237B"/>
    <w:rsid w:val="003525E3"/>
    <w:rsid w:val="0035636B"/>
    <w:rsid w:val="003641BE"/>
    <w:rsid w:val="00364335"/>
    <w:rsid w:val="003650EF"/>
    <w:rsid w:val="00365FEB"/>
    <w:rsid w:val="00366641"/>
    <w:rsid w:val="00366DD6"/>
    <w:rsid w:val="003716E7"/>
    <w:rsid w:val="003725DB"/>
    <w:rsid w:val="00372B22"/>
    <w:rsid w:val="00372CCD"/>
    <w:rsid w:val="00372F75"/>
    <w:rsid w:val="003732A2"/>
    <w:rsid w:val="00374E25"/>
    <w:rsid w:val="003758C1"/>
    <w:rsid w:val="00382D62"/>
    <w:rsid w:val="00382EBD"/>
    <w:rsid w:val="0038406D"/>
    <w:rsid w:val="003901D3"/>
    <w:rsid w:val="00392264"/>
    <w:rsid w:val="0039361E"/>
    <w:rsid w:val="003957EF"/>
    <w:rsid w:val="003A0FC7"/>
    <w:rsid w:val="003A1FE7"/>
    <w:rsid w:val="003A5FF6"/>
    <w:rsid w:val="003B1FF1"/>
    <w:rsid w:val="003B43B3"/>
    <w:rsid w:val="003B47CD"/>
    <w:rsid w:val="003B4AB0"/>
    <w:rsid w:val="003B4C2F"/>
    <w:rsid w:val="003B4E7E"/>
    <w:rsid w:val="003B50DD"/>
    <w:rsid w:val="003C0E0E"/>
    <w:rsid w:val="003C13A1"/>
    <w:rsid w:val="003C4898"/>
    <w:rsid w:val="003C6B24"/>
    <w:rsid w:val="003D0620"/>
    <w:rsid w:val="003D1F8B"/>
    <w:rsid w:val="003D6123"/>
    <w:rsid w:val="003D7A7C"/>
    <w:rsid w:val="003E10E8"/>
    <w:rsid w:val="003E3EC5"/>
    <w:rsid w:val="003E6D18"/>
    <w:rsid w:val="003F03D3"/>
    <w:rsid w:val="003F114A"/>
    <w:rsid w:val="003F3553"/>
    <w:rsid w:val="003F50F1"/>
    <w:rsid w:val="003F6E05"/>
    <w:rsid w:val="003F6FF6"/>
    <w:rsid w:val="0040562A"/>
    <w:rsid w:val="00405F1D"/>
    <w:rsid w:val="00410B4A"/>
    <w:rsid w:val="004160F5"/>
    <w:rsid w:val="00421EF0"/>
    <w:rsid w:val="00422EF0"/>
    <w:rsid w:val="0044143B"/>
    <w:rsid w:val="00441E5B"/>
    <w:rsid w:val="004420B2"/>
    <w:rsid w:val="00444012"/>
    <w:rsid w:val="00444FF4"/>
    <w:rsid w:val="004468B5"/>
    <w:rsid w:val="00447E59"/>
    <w:rsid w:val="004516E8"/>
    <w:rsid w:val="004524CA"/>
    <w:rsid w:val="004528BA"/>
    <w:rsid w:val="00453AF3"/>
    <w:rsid w:val="00454245"/>
    <w:rsid w:val="004627CD"/>
    <w:rsid w:val="004650B4"/>
    <w:rsid w:val="00467F98"/>
    <w:rsid w:val="00473411"/>
    <w:rsid w:val="00474104"/>
    <w:rsid w:val="004758E1"/>
    <w:rsid w:val="0047596C"/>
    <w:rsid w:val="00477F89"/>
    <w:rsid w:val="00481916"/>
    <w:rsid w:val="004822BC"/>
    <w:rsid w:val="0048295D"/>
    <w:rsid w:val="00483199"/>
    <w:rsid w:val="00484254"/>
    <w:rsid w:val="00485601"/>
    <w:rsid w:val="00485DE0"/>
    <w:rsid w:val="0048618C"/>
    <w:rsid w:val="0048675D"/>
    <w:rsid w:val="0048716B"/>
    <w:rsid w:val="004875FB"/>
    <w:rsid w:val="004878C3"/>
    <w:rsid w:val="004900B9"/>
    <w:rsid w:val="0049132C"/>
    <w:rsid w:val="004957C3"/>
    <w:rsid w:val="004963C2"/>
    <w:rsid w:val="00497D20"/>
    <w:rsid w:val="00497F4D"/>
    <w:rsid w:val="004A2889"/>
    <w:rsid w:val="004A4C99"/>
    <w:rsid w:val="004B1823"/>
    <w:rsid w:val="004B3FEC"/>
    <w:rsid w:val="004C15AB"/>
    <w:rsid w:val="004C1719"/>
    <w:rsid w:val="004C23B6"/>
    <w:rsid w:val="004C5CCF"/>
    <w:rsid w:val="004D18EE"/>
    <w:rsid w:val="004D40B1"/>
    <w:rsid w:val="004D4B62"/>
    <w:rsid w:val="004D79BE"/>
    <w:rsid w:val="004E788F"/>
    <w:rsid w:val="004F00D0"/>
    <w:rsid w:val="004F0EEB"/>
    <w:rsid w:val="004F31B0"/>
    <w:rsid w:val="004F5F37"/>
    <w:rsid w:val="005001D1"/>
    <w:rsid w:val="00503C92"/>
    <w:rsid w:val="00503FE7"/>
    <w:rsid w:val="0050437B"/>
    <w:rsid w:val="00504A01"/>
    <w:rsid w:val="00505B0D"/>
    <w:rsid w:val="00506B12"/>
    <w:rsid w:val="00514040"/>
    <w:rsid w:val="0051779A"/>
    <w:rsid w:val="00520132"/>
    <w:rsid w:val="005235C6"/>
    <w:rsid w:val="0052473A"/>
    <w:rsid w:val="00524F7B"/>
    <w:rsid w:val="00531166"/>
    <w:rsid w:val="0053550D"/>
    <w:rsid w:val="0054025A"/>
    <w:rsid w:val="00546EED"/>
    <w:rsid w:val="00547420"/>
    <w:rsid w:val="00551209"/>
    <w:rsid w:val="005529A9"/>
    <w:rsid w:val="00554147"/>
    <w:rsid w:val="00554636"/>
    <w:rsid w:val="00560794"/>
    <w:rsid w:val="00563080"/>
    <w:rsid w:val="00565E8C"/>
    <w:rsid w:val="00570516"/>
    <w:rsid w:val="00570D63"/>
    <w:rsid w:val="005742C2"/>
    <w:rsid w:val="0057692C"/>
    <w:rsid w:val="005816F6"/>
    <w:rsid w:val="00582FFB"/>
    <w:rsid w:val="00585E5A"/>
    <w:rsid w:val="00592EA1"/>
    <w:rsid w:val="00592F62"/>
    <w:rsid w:val="0059575B"/>
    <w:rsid w:val="005A301A"/>
    <w:rsid w:val="005A3244"/>
    <w:rsid w:val="005A44C7"/>
    <w:rsid w:val="005A4C20"/>
    <w:rsid w:val="005A5DFD"/>
    <w:rsid w:val="005A72C4"/>
    <w:rsid w:val="005B188E"/>
    <w:rsid w:val="005B2F95"/>
    <w:rsid w:val="005B7395"/>
    <w:rsid w:val="005C04C0"/>
    <w:rsid w:val="005C1818"/>
    <w:rsid w:val="005C321D"/>
    <w:rsid w:val="005C45CC"/>
    <w:rsid w:val="005C7D6B"/>
    <w:rsid w:val="005D48E6"/>
    <w:rsid w:val="005E4138"/>
    <w:rsid w:val="005E53C1"/>
    <w:rsid w:val="005E541B"/>
    <w:rsid w:val="005E54F8"/>
    <w:rsid w:val="005E7733"/>
    <w:rsid w:val="005F1827"/>
    <w:rsid w:val="005F3012"/>
    <w:rsid w:val="005F48EA"/>
    <w:rsid w:val="005F5124"/>
    <w:rsid w:val="005F73B5"/>
    <w:rsid w:val="00600D0E"/>
    <w:rsid w:val="00600D70"/>
    <w:rsid w:val="006157D9"/>
    <w:rsid w:val="00615CE1"/>
    <w:rsid w:val="006200B7"/>
    <w:rsid w:val="00620B22"/>
    <w:rsid w:val="00622DA1"/>
    <w:rsid w:val="00623D48"/>
    <w:rsid w:val="006244F6"/>
    <w:rsid w:val="006349F8"/>
    <w:rsid w:val="00637823"/>
    <w:rsid w:val="00642841"/>
    <w:rsid w:val="006503B8"/>
    <w:rsid w:val="00651199"/>
    <w:rsid w:val="00665336"/>
    <w:rsid w:val="00667330"/>
    <w:rsid w:val="00667609"/>
    <w:rsid w:val="00667A5D"/>
    <w:rsid w:val="00676C2F"/>
    <w:rsid w:val="00681E0F"/>
    <w:rsid w:val="00686C96"/>
    <w:rsid w:val="00686D24"/>
    <w:rsid w:val="006928ED"/>
    <w:rsid w:val="00692B58"/>
    <w:rsid w:val="00695BBA"/>
    <w:rsid w:val="006962F9"/>
    <w:rsid w:val="00697080"/>
    <w:rsid w:val="006A01FA"/>
    <w:rsid w:val="006A0434"/>
    <w:rsid w:val="006A3A42"/>
    <w:rsid w:val="006A5261"/>
    <w:rsid w:val="006A638C"/>
    <w:rsid w:val="006A7C7F"/>
    <w:rsid w:val="006B4086"/>
    <w:rsid w:val="006B52C9"/>
    <w:rsid w:val="006C62B2"/>
    <w:rsid w:val="006C7909"/>
    <w:rsid w:val="006D07C6"/>
    <w:rsid w:val="006D0FEF"/>
    <w:rsid w:val="006D206C"/>
    <w:rsid w:val="006D610D"/>
    <w:rsid w:val="006D6970"/>
    <w:rsid w:val="006D7B77"/>
    <w:rsid w:val="006E5698"/>
    <w:rsid w:val="006E653A"/>
    <w:rsid w:val="006F031F"/>
    <w:rsid w:val="006F20FB"/>
    <w:rsid w:val="006F3E72"/>
    <w:rsid w:val="006F5743"/>
    <w:rsid w:val="006F5CFE"/>
    <w:rsid w:val="006F74EC"/>
    <w:rsid w:val="00700967"/>
    <w:rsid w:val="007009C3"/>
    <w:rsid w:val="0070265D"/>
    <w:rsid w:val="00702EFC"/>
    <w:rsid w:val="00704FE3"/>
    <w:rsid w:val="007061A7"/>
    <w:rsid w:val="00711B96"/>
    <w:rsid w:val="0071366B"/>
    <w:rsid w:val="00713BC1"/>
    <w:rsid w:val="0071642B"/>
    <w:rsid w:val="00720798"/>
    <w:rsid w:val="00720F3E"/>
    <w:rsid w:val="00721310"/>
    <w:rsid w:val="00723FF9"/>
    <w:rsid w:val="0072565F"/>
    <w:rsid w:val="0073036E"/>
    <w:rsid w:val="00730C48"/>
    <w:rsid w:val="00731FE7"/>
    <w:rsid w:val="00740FB6"/>
    <w:rsid w:val="00741A0D"/>
    <w:rsid w:val="00742C11"/>
    <w:rsid w:val="00742EF6"/>
    <w:rsid w:val="00743393"/>
    <w:rsid w:val="00744757"/>
    <w:rsid w:val="00747563"/>
    <w:rsid w:val="00747805"/>
    <w:rsid w:val="007506E0"/>
    <w:rsid w:val="00752623"/>
    <w:rsid w:val="007532F6"/>
    <w:rsid w:val="00756220"/>
    <w:rsid w:val="00756AED"/>
    <w:rsid w:val="00756BF4"/>
    <w:rsid w:val="007578F8"/>
    <w:rsid w:val="00761215"/>
    <w:rsid w:val="00762E4F"/>
    <w:rsid w:val="00763AF9"/>
    <w:rsid w:val="0076577B"/>
    <w:rsid w:val="00766238"/>
    <w:rsid w:val="00767007"/>
    <w:rsid w:val="00770969"/>
    <w:rsid w:val="00770E9D"/>
    <w:rsid w:val="00772D67"/>
    <w:rsid w:val="00773806"/>
    <w:rsid w:val="00774636"/>
    <w:rsid w:val="007754ED"/>
    <w:rsid w:val="00775999"/>
    <w:rsid w:val="00776CB8"/>
    <w:rsid w:val="00776F13"/>
    <w:rsid w:val="007778DE"/>
    <w:rsid w:val="00793655"/>
    <w:rsid w:val="00793721"/>
    <w:rsid w:val="00796108"/>
    <w:rsid w:val="007A12AA"/>
    <w:rsid w:val="007A2199"/>
    <w:rsid w:val="007B14D5"/>
    <w:rsid w:val="007B2A3A"/>
    <w:rsid w:val="007B5342"/>
    <w:rsid w:val="007B6376"/>
    <w:rsid w:val="007B7AEA"/>
    <w:rsid w:val="007C1D1B"/>
    <w:rsid w:val="007C3B62"/>
    <w:rsid w:val="007C5180"/>
    <w:rsid w:val="007D17E3"/>
    <w:rsid w:val="007D471D"/>
    <w:rsid w:val="007F14A8"/>
    <w:rsid w:val="00800AE5"/>
    <w:rsid w:val="00800CD9"/>
    <w:rsid w:val="00801493"/>
    <w:rsid w:val="00801CB5"/>
    <w:rsid w:val="0080291C"/>
    <w:rsid w:val="00803673"/>
    <w:rsid w:val="00807149"/>
    <w:rsid w:val="0081010E"/>
    <w:rsid w:val="00811310"/>
    <w:rsid w:val="0081304B"/>
    <w:rsid w:val="008160EE"/>
    <w:rsid w:val="00816D46"/>
    <w:rsid w:val="00817728"/>
    <w:rsid w:val="008206B8"/>
    <w:rsid w:val="00825360"/>
    <w:rsid w:val="00825901"/>
    <w:rsid w:val="008316A9"/>
    <w:rsid w:val="00833448"/>
    <w:rsid w:val="00835275"/>
    <w:rsid w:val="00837014"/>
    <w:rsid w:val="00841752"/>
    <w:rsid w:val="0084431B"/>
    <w:rsid w:val="00846BBA"/>
    <w:rsid w:val="008479D7"/>
    <w:rsid w:val="00851737"/>
    <w:rsid w:val="00851D45"/>
    <w:rsid w:val="00853D2F"/>
    <w:rsid w:val="00853EB3"/>
    <w:rsid w:val="00855EA4"/>
    <w:rsid w:val="008612BA"/>
    <w:rsid w:val="00862EF3"/>
    <w:rsid w:val="008645E0"/>
    <w:rsid w:val="00864FF9"/>
    <w:rsid w:val="0087019A"/>
    <w:rsid w:val="00870BCF"/>
    <w:rsid w:val="00870E77"/>
    <w:rsid w:val="00871CED"/>
    <w:rsid w:val="008730ED"/>
    <w:rsid w:val="008768FB"/>
    <w:rsid w:val="008773B3"/>
    <w:rsid w:val="008800A3"/>
    <w:rsid w:val="0088030E"/>
    <w:rsid w:val="0088450F"/>
    <w:rsid w:val="00886057"/>
    <w:rsid w:val="008862AB"/>
    <w:rsid w:val="00890CC1"/>
    <w:rsid w:val="0089430A"/>
    <w:rsid w:val="00894687"/>
    <w:rsid w:val="00894869"/>
    <w:rsid w:val="00894BE4"/>
    <w:rsid w:val="00896D0A"/>
    <w:rsid w:val="008A0311"/>
    <w:rsid w:val="008A1494"/>
    <w:rsid w:val="008A3906"/>
    <w:rsid w:val="008A3D49"/>
    <w:rsid w:val="008A6ADA"/>
    <w:rsid w:val="008B0A10"/>
    <w:rsid w:val="008B0CA1"/>
    <w:rsid w:val="008B204E"/>
    <w:rsid w:val="008B7077"/>
    <w:rsid w:val="008C5846"/>
    <w:rsid w:val="008C5C66"/>
    <w:rsid w:val="008C5CE0"/>
    <w:rsid w:val="008D09FB"/>
    <w:rsid w:val="008D2C6A"/>
    <w:rsid w:val="008D32BA"/>
    <w:rsid w:val="008D55E4"/>
    <w:rsid w:val="008D5825"/>
    <w:rsid w:val="008E44EB"/>
    <w:rsid w:val="008E79AF"/>
    <w:rsid w:val="008F0549"/>
    <w:rsid w:val="008F28E9"/>
    <w:rsid w:val="008F37A4"/>
    <w:rsid w:val="008F3AA8"/>
    <w:rsid w:val="00900E73"/>
    <w:rsid w:val="009026EB"/>
    <w:rsid w:val="00902EEC"/>
    <w:rsid w:val="00903D1F"/>
    <w:rsid w:val="0090717A"/>
    <w:rsid w:val="009155E1"/>
    <w:rsid w:val="00917A3C"/>
    <w:rsid w:val="009218B0"/>
    <w:rsid w:val="009252DC"/>
    <w:rsid w:val="0092557E"/>
    <w:rsid w:val="009257CB"/>
    <w:rsid w:val="00927A66"/>
    <w:rsid w:val="00932C6D"/>
    <w:rsid w:val="00933AAA"/>
    <w:rsid w:val="00945E3D"/>
    <w:rsid w:val="0094728B"/>
    <w:rsid w:val="00951C8F"/>
    <w:rsid w:val="00953801"/>
    <w:rsid w:val="00954708"/>
    <w:rsid w:val="00956FD4"/>
    <w:rsid w:val="0096081E"/>
    <w:rsid w:val="00961243"/>
    <w:rsid w:val="0097084E"/>
    <w:rsid w:val="009738AA"/>
    <w:rsid w:val="00976614"/>
    <w:rsid w:val="00976D59"/>
    <w:rsid w:val="00976EA4"/>
    <w:rsid w:val="00982EFF"/>
    <w:rsid w:val="009847DE"/>
    <w:rsid w:val="00991041"/>
    <w:rsid w:val="00991E5D"/>
    <w:rsid w:val="0099232F"/>
    <w:rsid w:val="00994F93"/>
    <w:rsid w:val="00995A40"/>
    <w:rsid w:val="00996AC6"/>
    <w:rsid w:val="009A2700"/>
    <w:rsid w:val="009A60B7"/>
    <w:rsid w:val="009A6323"/>
    <w:rsid w:val="009A686C"/>
    <w:rsid w:val="009B1EF6"/>
    <w:rsid w:val="009B2B4B"/>
    <w:rsid w:val="009B385E"/>
    <w:rsid w:val="009B38F7"/>
    <w:rsid w:val="009B747A"/>
    <w:rsid w:val="009C2918"/>
    <w:rsid w:val="009C37F1"/>
    <w:rsid w:val="009C7BA5"/>
    <w:rsid w:val="009D1FBA"/>
    <w:rsid w:val="009D6F0C"/>
    <w:rsid w:val="009D75F2"/>
    <w:rsid w:val="009D7D1E"/>
    <w:rsid w:val="009E03EA"/>
    <w:rsid w:val="009E04A0"/>
    <w:rsid w:val="009E0AEB"/>
    <w:rsid w:val="009E3B68"/>
    <w:rsid w:val="009E55E2"/>
    <w:rsid w:val="009E62C8"/>
    <w:rsid w:val="009F07ED"/>
    <w:rsid w:val="009F60D1"/>
    <w:rsid w:val="009F6456"/>
    <w:rsid w:val="00A0381D"/>
    <w:rsid w:val="00A038E0"/>
    <w:rsid w:val="00A07030"/>
    <w:rsid w:val="00A10C55"/>
    <w:rsid w:val="00A14F35"/>
    <w:rsid w:val="00A154AD"/>
    <w:rsid w:val="00A15CAC"/>
    <w:rsid w:val="00A16C25"/>
    <w:rsid w:val="00A17986"/>
    <w:rsid w:val="00A210E8"/>
    <w:rsid w:val="00A225F3"/>
    <w:rsid w:val="00A254BD"/>
    <w:rsid w:val="00A32660"/>
    <w:rsid w:val="00A32D0C"/>
    <w:rsid w:val="00A34255"/>
    <w:rsid w:val="00A3428F"/>
    <w:rsid w:val="00A34D16"/>
    <w:rsid w:val="00A368FA"/>
    <w:rsid w:val="00A36D1C"/>
    <w:rsid w:val="00A371C4"/>
    <w:rsid w:val="00A42904"/>
    <w:rsid w:val="00A5000A"/>
    <w:rsid w:val="00A51F25"/>
    <w:rsid w:val="00A5234C"/>
    <w:rsid w:val="00A54D7D"/>
    <w:rsid w:val="00A5637C"/>
    <w:rsid w:val="00A564A7"/>
    <w:rsid w:val="00A6253D"/>
    <w:rsid w:val="00A66938"/>
    <w:rsid w:val="00A66A1D"/>
    <w:rsid w:val="00A678D5"/>
    <w:rsid w:val="00A75267"/>
    <w:rsid w:val="00A77C8D"/>
    <w:rsid w:val="00A84F3F"/>
    <w:rsid w:val="00A85E68"/>
    <w:rsid w:val="00A865B6"/>
    <w:rsid w:val="00A87A9A"/>
    <w:rsid w:val="00A908DD"/>
    <w:rsid w:val="00A92496"/>
    <w:rsid w:val="00A9331B"/>
    <w:rsid w:val="00A93F1D"/>
    <w:rsid w:val="00A967B0"/>
    <w:rsid w:val="00AA3917"/>
    <w:rsid w:val="00AA49F6"/>
    <w:rsid w:val="00AA6707"/>
    <w:rsid w:val="00AB3179"/>
    <w:rsid w:val="00AB5C35"/>
    <w:rsid w:val="00AC1AD0"/>
    <w:rsid w:val="00AC5D85"/>
    <w:rsid w:val="00AD0311"/>
    <w:rsid w:val="00AD0CD0"/>
    <w:rsid w:val="00AD19AA"/>
    <w:rsid w:val="00AD3B23"/>
    <w:rsid w:val="00AD46E7"/>
    <w:rsid w:val="00AD7421"/>
    <w:rsid w:val="00AD75FE"/>
    <w:rsid w:val="00AD7677"/>
    <w:rsid w:val="00AE0076"/>
    <w:rsid w:val="00AE119A"/>
    <w:rsid w:val="00AE22DB"/>
    <w:rsid w:val="00AE7879"/>
    <w:rsid w:val="00AF134A"/>
    <w:rsid w:val="00AF3557"/>
    <w:rsid w:val="00AF4A83"/>
    <w:rsid w:val="00AF761F"/>
    <w:rsid w:val="00AF7D08"/>
    <w:rsid w:val="00B00161"/>
    <w:rsid w:val="00B02A27"/>
    <w:rsid w:val="00B02BC5"/>
    <w:rsid w:val="00B044C1"/>
    <w:rsid w:val="00B11324"/>
    <w:rsid w:val="00B1230D"/>
    <w:rsid w:val="00B1647E"/>
    <w:rsid w:val="00B177F0"/>
    <w:rsid w:val="00B26412"/>
    <w:rsid w:val="00B26CD5"/>
    <w:rsid w:val="00B30645"/>
    <w:rsid w:val="00B31102"/>
    <w:rsid w:val="00B34762"/>
    <w:rsid w:val="00B3488B"/>
    <w:rsid w:val="00B35D26"/>
    <w:rsid w:val="00B35E37"/>
    <w:rsid w:val="00B37EF6"/>
    <w:rsid w:val="00B472C6"/>
    <w:rsid w:val="00B47834"/>
    <w:rsid w:val="00B50D30"/>
    <w:rsid w:val="00B5232C"/>
    <w:rsid w:val="00B54DFF"/>
    <w:rsid w:val="00B555B9"/>
    <w:rsid w:val="00B55F41"/>
    <w:rsid w:val="00B56E1A"/>
    <w:rsid w:val="00B62EBC"/>
    <w:rsid w:val="00B62FE6"/>
    <w:rsid w:val="00B64994"/>
    <w:rsid w:val="00B64A41"/>
    <w:rsid w:val="00B7037D"/>
    <w:rsid w:val="00B72575"/>
    <w:rsid w:val="00B7327A"/>
    <w:rsid w:val="00B743B7"/>
    <w:rsid w:val="00B74F7B"/>
    <w:rsid w:val="00B755C0"/>
    <w:rsid w:val="00B7688B"/>
    <w:rsid w:val="00B838E5"/>
    <w:rsid w:val="00B83C0F"/>
    <w:rsid w:val="00B848B9"/>
    <w:rsid w:val="00B85828"/>
    <w:rsid w:val="00B859E2"/>
    <w:rsid w:val="00B86596"/>
    <w:rsid w:val="00B90184"/>
    <w:rsid w:val="00B95290"/>
    <w:rsid w:val="00B96361"/>
    <w:rsid w:val="00B9656A"/>
    <w:rsid w:val="00B9736B"/>
    <w:rsid w:val="00BA36A2"/>
    <w:rsid w:val="00BA4350"/>
    <w:rsid w:val="00BA5887"/>
    <w:rsid w:val="00BA7B25"/>
    <w:rsid w:val="00BA7CAC"/>
    <w:rsid w:val="00BB1162"/>
    <w:rsid w:val="00BB11C2"/>
    <w:rsid w:val="00BB1574"/>
    <w:rsid w:val="00BB2292"/>
    <w:rsid w:val="00BB24AF"/>
    <w:rsid w:val="00BB44AE"/>
    <w:rsid w:val="00BB5800"/>
    <w:rsid w:val="00BB71E0"/>
    <w:rsid w:val="00BB74CF"/>
    <w:rsid w:val="00BC5E0E"/>
    <w:rsid w:val="00BC6EDA"/>
    <w:rsid w:val="00BC76A7"/>
    <w:rsid w:val="00BD346C"/>
    <w:rsid w:val="00BD4F6B"/>
    <w:rsid w:val="00BD6C57"/>
    <w:rsid w:val="00BE49DA"/>
    <w:rsid w:val="00BE72AD"/>
    <w:rsid w:val="00BF0ADC"/>
    <w:rsid w:val="00BF45A0"/>
    <w:rsid w:val="00C00478"/>
    <w:rsid w:val="00C013CD"/>
    <w:rsid w:val="00C03EF5"/>
    <w:rsid w:val="00C049B6"/>
    <w:rsid w:val="00C05289"/>
    <w:rsid w:val="00C07943"/>
    <w:rsid w:val="00C102B6"/>
    <w:rsid w:val="00C1314E"/>
    <w:rsid w:val="00C15473"/>
    <w:rsid w:val="00C15CFF"/>
    <w:rsid w:val="00C21484"/>
    <w:rsid w:val="00C21485"/>
    <w:rsid w:val="00C21848"/>
    <w:rsid w:val="00C24986"/>
    <w:rsid w:val="00C24A83"/>
    <w:rsid w:val="00C24BAC"/>
    <w:rsid w:val="00C24D29"/>
    <w:rsid w:val="00C278AD"/>
    <w:rsid w:val="00C36466"/>
    <w:rsid w:val="00C40C69"/>
    <w:rsid w:val="00C42AFF"/>
    <w:rsid w:val="00C43C60"/>
    <w:rsid w:val="00C45C28"/>
    <w:rsid w:val="00C51FF7"/>
    <w:rsid w:val="00C527F0"/>
    <w:rsid w:val="00C5638B"/>
    <w:rsid w:val="00C62730"/>
    <w:rsid w:val="00C62ED2"/>
    <w:rsid w:val="00C64AB4"/>
    <w:rsid w:val="00C64D7C"/>
    <w:rsid w:val="00C722D4"/>
    <w:rsid w:val="00C7282B"/>
    <w:rsid w:val="00C73431"/>
    <w:rsid w:val="00C75DE5"/>
    <w:rsid w:val="00C8095C"/>
    <w:rsid w:val="00C81074"/>
    <w:rsid w:val="00C831DF"/>
    <w:rsid w:val="00C864AF"/>
    <w:rsid w:val="00C86966"/>
    <w:rsid w:val="00C908ED"/>
    <w:rsid w:val="00C90FCB"/>
    <w:rsid w:val="00C9181D"/>
    <w:rsid w:val="00C92341"/>
    <w:rsid w:val="00C92A3F"/>
    <w:rsid w:val="00C9562E"/>
    <w:rsid w:val="00CA15C8"/>
    <w:rsid w:val="00CA1CD1"/>
    <w:rsid w:val="00CA2D30"/>
    <w:rsid w:val="00CA6A70"/>
    <w:rsid w:val="00CA7C95"/>
    <w:rsid w:val="00CB0052"/>
    <w:rsid w:val="00CB01BD"/>
    <w:rsid w:val="00CB18AD"/>
    <w:rsid w:val="00CB5B28"/>
    <w:rsid w:val="00CB720F"/>
    <w:rsid w:val="00CC1CF7"/>
    <w:rsid w:val="00CC4B9B"/>
    <w:rsid w:val="00CC4F85"/>
    <w:rsid w:val="00CD3FD6"/>
    <w:rsid w:val="00CD4E02"/>
    <w:rsid w:val="00CD59A5"/>
    <w:rsid w:val="00CD5E3C"/>
    <w:rsid w:val="00CE0584"/>
    <w:rsid w:val="00CE23C3"/>
    <w:rsid w:val="00CE4F3E"/>
    <w:rsid w:val="00CE662A"/>
    <w:rsid w:val="00CF05C8"/>
    <w:rsid w:val="00CF2F2C"/>
    <w:rsid w:val="00CF4C32"/>
    <w:rsid w:val="00CF553C"/>
    <w:rsid w:val="00CF64D9"/>
    <w:rsid w:val="00CF6C64"/>
    <w:rsid w:val="00CF7274"/>
    <w:rsid w:val="00D007CA"/>
    <w:rsid w:val="00D0094C"/>
    <w:rsid w:val="00D0246B"/>
    <w:rsid w:val="00D03C40"/>
    <w:rsid w:val="00D06250"/>
    <w:rsid w:val="00D1069D"/>
    <w:rsid w:val="00D123DD"/>
    <w:rsid w:val="00D17D8D"/>
    <w:rsid w:val="00D20FD9"/>
    <w:rsid w:val="00D22634"/>
    <w:rsid w:val="00D2328C"/>
    <w:rsid w:val="00D348D7"/>
    <w:rsid w:val="00D34F83"/>
    <w:rsid w:val="00D36C08"/>
    <w:rsid w:val="00D36C63"/>
    <w:rsid w:val="00D40154"/>
    <w:rsid w:val="00D41C2B"/>
    <w:rsid w:val="00D43155"/>
    <w:rsid w:val="00D46A1C"/>
    <w:rsid w:val="00D46D3B"/>
    <w:rsid w:val="00D526CC"/>
    <w:rsid w:val="00D55E25"/>
    <w:rsid w:val="00D579D5"/>
    <w:rsid w:val="00D615DE"/>
    <w:rsid w:val="00D65308"/>
    <w:rsid w:val="00D65BF2"/>
    <w:rsid w:val="00D6647E"/>
    <w:rsid w:val="00D678D9"/>
    <w:rsid w:val="00D707F9"/>
    <w:rsid w:val="00D71EE5"/>
    <w:rsid w:val="00D720A5"/>
    <w:rsid w:val="00D81A60"/>
    <w:rsid w:val="00D8207A"/>
    <w:rsid w:val="00D82702"/>
    <w:rsid w:val="00D83662"/>
    <w:rsid w:val="00D85147"/>
    <w:rsid w:val="00D85D7F"/>
    <w:rsid w:val="00D90B89"/>
    <w:rsid w:val="00D90BA6"/>
    <w:rsid w:val="00D918CA"/>
    <w:rsid w:val="00D9198F"/>
    <w:rsid w:val="00D92BB0"/>
    <w:rsid w:val="00D95E12"/>
    <w:rsid w:val="00D96F7C"/>
    <w:rsid w:val="00D9725B"/>
    <w:rsid w:val="00D97B7E"/>
    <w:rsid w:val="00DA2DAD"/>
    <w:rsid w:val="00DB0AF7"/>
    <w:rsid w:val="00DB27E9"/>
    <w:rsid w:val="00DC122C"/>
    <w:rsid w:val="00DC1F93"/>
    <w:rsid w:val="00DC7D52"/>
    <w:rsid w:val="00DD0FFE"/>
    <w:rsid w:val="00DD12B4"/>
    <w:rsid w:val="00DD305F"/>
    <w:rsid w:val="00DD481C"/>
    <w:rsid w:val="00DE1319"/>
    <w:rsid w:val="00DE3281"/>
    <w:rsid w:val="00DE3FBF"/>
    <w:rsid w:val="00DE7977"/>
    <w:rsid w:val="00DF15AE"/>
    <w:rsid w:val="00DF3777"/>
    <w:rsid w:val="00DF56DD"/>
    <w:rsid w:val="00E0091C"/>
    <w:rsid w:val="00E02634"/>
    <w:rsid w:val="00E035C7"/>
    <w:rsid w:val="00E143C5"/>
    <w:rsid w:val="00E1496D"/>
    <w:rsid w:val="00E230C2"/>
    <w:rsid w:val="00E23432"/>
    <w:rsid w:val="00E23A72"/>
    <w:rsid w:val="00E24D49"/>
    <w:rsid w:val="00E2734B"/>
    <w:rsid w:val="00E31DDC"/>
    <w:rsid w:val="00E357E0"/>
    <w:rsid w:val="00E35DF1"/>
    <w:rsid w:val="00E407FF"/>
    <w:rsid w:val="00E409C7"/>
    <w:rsid w:val="00E41C2D"/>
    <w:rsid w:val="00E440DA"/>
    <w:rsid w:val="00E47536"/>
    <w:rsid w:val="00E50CBE"/>
    <w:rsid w:val="00E52A64"/>
    <w:rsid w:val="00E550D9"/>
    <w:rsid w:val="00E61CC5"/>
    <w:rsid w:val="00E621BA"/>
    <w:rsid w:val="00E64159"/>
    <w:rsid w:val="00E6585F"/>
    <w:rsid w:val="00E675E1"/>
    <w:rsid w:val="00E70A83"/>
    <w:rsid w:val="00E730C2"/>
    <w:rsid w:val="00E739FC"/>
    <w:rsid w:val="00E77354"/>
    <w:rsid w:val="00E8099E"/>
    <w:rsid w:val="00E81E24"/>
    <w:rsid w:val="00E843FD"/>
    <w:rsid w:val="00E85E27"/>
    <w:rsid w:val="00E914CA"/>
    <w:rsid w:val="00E95831"/>
    <w:rsid w:val="00E95A00"/>
    <w:rsid w:val="00EA04A2"/>
    <w:rsid w:val="00EA180E"/>
    <w:rsid w:val="00EA29B9"/>
    <w:rsid w:val="00EA5718"/>
    <w:rsid w:val="00EA57EA"/>
    <w:rsid w:val="00EA759A"/>
    <w:rsid w:val="00EB1802"/>
    <w:rsid w:val="00EB2418"/>
    <w:rsid w:val="00EB4A48"/>
    <w:rsid w:val="00EB564F"/>
    <w:rsid w:val="00EC2040"/>
    <w:rsid w:val="00EC64B9"/>
    <w:rsid w:val="00EC7653"/>
    <w:rsid w:val="00ED0CDC"/>
    <w:rsid w:val="00ED1D7F"/>
    <w:rsid w:val="00EE6B05"/>
    <w:rsid w:val="00EE7AFA"/>
    <w:rsid w:val="00EE7B06"/>
    <w:rsid w:val="00EF1479"/>
    <w:rsid w:val="00EF57D6"/>
    <w:rsid w:val="00F016BE"/>
    <w:rsid w:val="00F02A0B"/>
    <w:rsid w:val="00F05A32"/>
    <w:rsid w:val="00F06B16"/>
    <w:rsid w:val="00F0703F"/>
    <w:rsid w:val="00F07328"/>
    <w:rsid w:val="00F106B1"/>
    <w:rsid w:val="00F1161D"/>
    <w:rsid w:val="00F125CE"/>
    <w:rsid w:val="00F1381A"/>
    <w:rsid w:val="00F20A11"/>
    <w:rsid w:val="00F20AF8"/>
    <w:rsid w:val="00F21CF1"/>
    <w:rsid w:val="00F22009"/>
    <w:rsid w:val="00F23D57"/>
    <w:rsid w:val="00F246AD"/>
    <w:rsid w:val="00F269B3"/>
    <w:rsid w:val="00F2792F"/>
    <w:rsid w:val="00F27BB6"/>
    <w:rsid w:val="00F27C16"/>
    <w:rsid w:val="00F36483"/>
    <w:rsid w:val="00F430A7"/>
    <w:rsid w:val="00F443DA"/>
    <w:rsid w:val="00F50C14"/>
    <w:rsid w:val="00F643F9"/>
    <w:rsid w:val="00F6467F"/>
    <w:rsid w:val="00F72D6F"/>
    <w:rsid w:val="00F756A1"/>
    <w:rsid w:val="00F77C3D"/>
    <w:rsid w:val="00F82FD5"/>
    <w:rsid w:val="00F85AFD"/>
    <w:rsid w:val="00F8735F"/>
    <w:rsid w:val="00F906FC"/>
    <w:rsid w:val="00F936C7"/>
    <w:rsid w:val="00F944EE"/>
    <w:rsid w:val="00F9550C"/>
    <w:rsid w:val="00FA086E"/>
    <w:rsid w:val="00FA3A55"/>
    <w:rsid w:val="00FA3E8E"/>
    <w:rsid w:val="00FA5DE1"/>
    <w:rsid w:val="00FA7039"/>
    <w:rsid w:val="00FA7964"/>
    <w:rsid w:val="00FB0CAD"/>
    <w:rsid w:val="00FB14B0"/>
    <w:rsid w:val="00FB203C"/>
    <w:rsid w:val="00FB226F"/>
    <w:rsid w:val="00FB2918"/>
    <w:rsid w:val="00FB43B4"/>
    <w:rsid w:val="00FB4BEA"/>
    <w:rsid w:val="00FB51BE"/>
    <w:rsid w:val="00FB5C6F"/>
    <w:rsid w:val="00FB5FA1"/>
    <w:rsid w:val="00FB798A"/>
    <w:rsid w:val="00FB7BEF"/>
    <w:rsid w:val="00FC067E"/>
    <w:rsid w:val="00FC23F8"/>
    <w:rsid w:val="00FC4C9D"/>
    <w:rsid w:val="00FC5C5C"/>
    <w:rsid w:val="00FC5D38"/>
    <w:rsid w:val="00FD2039"/>
    <w:rsid w:val="00FD2FAD"/>
    <w:rsid w:val="00FD6010"/>
    <w:rsid w:val="00FD61CE"/>
    <w:rsid w:val="00FD7180"/>
    <w:rsid w:val="00FE0B83"/>
    <w:rsid w:val="00FE5456"/>
    <w:rsid w:val="00FF1315"/>
    <w:rsid w:val="00FF53DB"/>
    <w:rsid w:val="00FF6879"/>
    <w:rsid w:val="00FF7162"/>
    <w:rsid w:val="00FF7195"/>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77133"/>
    <w:pPr>
      <w:spacing w:after="240" w:line="264" w:lineRule="auto"/>
    </w:pPr>
    <w:rPr>
      <w:color w:val="595959" w:themeColor="text1" w:themeTint="A6"/>
    </w:rPr>
  </w:style>
  <w:style w:type="paragraph" w:styleId="Heading1">
    <w:name w:val="heading 1"/>
    <w:basedOn w:val="Normal"/>
    <w:next w:val="Normal"/>
    <w:qFormat/>
    <w:rsid w:val="00FB51BE"/>
    <w:pPr>
      <w:keepNext/>
      <w:pageBreakBefore/>
      <w:numPr>
        <w:numId w:val="34"/>
      </w:numPr>
      <w:pBdr>
        <w:bottom w:val="single" w:sz="18" w:space="8" w:color="495257" w:themeColor="text2"/>
      </w:pBdr>
      <w:spacing w:after="480"/>
      <w:outlineLvl w:val="0"/>
    </w:pPr>
    <w:rPr>
      <w:rFonts w:cs="Arial"/>
      <w:b/>
      <w:bCs/>
      <w:color w:val="4A5358" w:themeColor="accent1"/>
      <w:kern w:val="32"/>
      <w:sz w:val="40"/>
      <w:szCs w:val="32"/>
    </w:rPr>
  </w:style>
  <w:style w:type="paragraph" w:styleId="Heading2">
    <w:name w:val="heading 2"/>
    <w:basedOn w:val="Normal"/>
    <w:next w:val="Normal"/>
    <w:qFormat/>
    <w:rsid w:val="004C23B6"/>
    <w:pPr>
      <w:keepNext/>
      <w:numPr>
        <w:ilvl w:val="1"/>
        <w:numId w:val="34"/>
      </w:numPr>
      <w:spacing w:before="480"/>
      <w:ind w:left="851"/>
      <w:outlineLvl w:val="1"/>
    </w:pPr>
    <w:rPr>
      <w:rFonts w:cs="Arial"/>
      <w:b/>
      <w:bCs/>
      <w:iCs/>
      <w:color w:val="72929B" w:themeColor="background2"/>
      <w:sz w:val="28"/>
      <w:szCs w:val="28"/>
    </w:rPr>
  </w:style>
  <w:style w:type="paragraph" w:styleId="Heading3">
    <w:name w:val="heading 3"/>
    <w:basedOn w:val="Normal"/>
    <w:next w:val="Normal"/>
    <w:qFormat/>
    <w:rsid w:val="00B35E37"/>
    <w:pPr>
      <w:keepNext/>
      <w:numPr>
        <w:ilvl w:val="2"/>
        <w:numId w:val="34"/>
      </w:numPr>
      <w:spacing w:before="480"/>
      <w:ind w:left="851"/>
      <w:outlineLvl w:val="2"/>
    </w:pPr>
    <w:rPr>
      <w:rFonts w:cs="Arial"/>
      <w:b/>
      <w:bCs/>
      <w:color w:val="3583AA" w:themeColor="accent3"/>
      <w:szCs w:val="26"/>
    </w:rPr>
  </w:style>
  <w:style w:type="paragraph" w:styleId="Heading4">
    <w:name w:val="heading 4"/>
    <w:basedOn w:val="Normal"/>
    <w:next w:val="Normal"/>
    <w:rsid w:val="004963C2"/>
    <w:pPr>
      <w:keepNext/>
      <w:spacing w:before="360" w:after="120"/>
      <w:outlineLvl w:val="3"/>
    </w:pPr>
    <w:rPr>
      <w:b/>
      <w:bCs/>
      <w:i/>
      <w:color w:val="7DC0D1" w:themeColor="accent4"/>
      <w:szCs w:val="28"/>
    </w:rPr>
  </w:style>
  <w:style w:type="paragraph" w:styleId="Heading5">
    <w:name w:val="heading 5"/>
    <w:basedOn w:val="Normal"/>
    <w:next w:val="Normal"/>
    <w:rsid w:val="00BA5887"/>
    <w:pPr>
      <w:keepNext/>
      <w:spacing w:before="60" w:after="60"/>
      <w:outlineLvl w:val="4"/>
    </w:pPr>
    <w:rPr>
      <w:bCs/>
      <w:i/>
      <w:iCs/>
      <w:color w:val="7DC0D1" w:themeColor="accent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526CC"/>
    <w:pPr>
      <w:numPr>
        <w:ilvl w:val="1"/>
      </w:numPr>
      <w:spacing w:after="480"/>
    </w:pPr>
    <w:rPr>
      <w:rFonts w:ascii="Cambria" w:eastAsiaTheme="majorEastAsia" w:hAnsi="Cambria" w:cstheme="majorBidi"/>
      <w:b/>
      <w:i/>
      <w:iCs/>
      <w:color w:val="72929B" w:themeColor="background2"/>
      <w:sz w:val="40"/>
      <w:szCs w:val="24"/>
    </w:rPr>
  </w:style>
  <w:style w:type="character" w:customStyle="1" w:styleId="SubtitleChar">
    <w:name w:val="Subtitle Char"/>
    <w:basedOn w:val="DefaultParagraphFont"/>
    <w:link w:val="Subtitle"/>
    <w:uiPriority w:val="11"/>
    <w:rsid w:val="00D526CC"/>
    <w:rPr>
      <w:rFonts w:ascii="Cambria" w:eastAsiaTheme="majorEastAsia" w:hAnsi="Cambria" w:cstheme="majorBidi"/>
      <w:b/>
      <w:i/>
      <w:iCs/>
      <w:color w:val="72929B" w:themeColor="background2"/>
      <w:sz w:val="40"/>
      <w:szCs w:val="24"/>
    </w:rPr>
  </w:style>
  <w:style w:type="paragraph" w:customStyle="1" w:styleId="PullQuote">
    <w:name w:val="PullQuote"/>
    <w:basedOn w:val="Normal"/>
    <w:next w:val="Normal"/>
    <w:rsid w:val="00063FB9"/>
    <w:pPr>
      <w:spacing w:after="360"/>
      <w:ind w:left="567" w:right="567"/>
    </w:pPr>
    <w:rPr>
      <w:rFonts w:ascii="Cambria" w:hAnsi="Cambria"/>
      <w:b/>
      <w:i/>
      <w:color w:val="AD985F" w:themeColor="accent6" w:themeShade="BF"/>
      <w:sz w:val="28"/>
    </w:rPr>
  </w:style>
  <w:style w:type="paragraph" w:customStyle="1" w:styleId="Heading2a">
    <w:name w:val="Heading 2a"/>
    <w:basedOn w:val="Heading2"/>
    <w:next w:val="Normal"/>
    <w:rsid w:val="00150C89"/>
    <w:pPr>
      <w:numPr>
        <w:ilvl w:val="0"/>
        <w:numId w:val="0"/>
      </w:numPr>
      <w:outlineLvl w:val="9"/>
    </w:pPr>
  </w:style>
  <w:style w:type="paragraph" w:customStyle="1" w:styleId="Heading3a">
    <w:name w:val="Heading 3a"/>
    <w:basedOn w:val="Heading3"/>
    <w:next w:val="Normal"/>
    <w:rsid w:val="00150C89"/>
    <w:pPr>
      <w:numPr>
        <w:ilvl w:val="0"/>
        <w:numId w:val="0"/>
      </w:numPr>
      <w:outlineLvl w:val="9"/>
    </w:pPr>
  </w:style>
  <w:style w:type="paragraph" w:styleId="Header">
    <w:name w:val="header"/>
    <w:basedOn w:val="Normal"/>
    <w:semiHidden/>
    <w:rsid w:val="00667609"/>
    <w:pPr>
      <w:tabs>
        <w:tab w:val="right" w:pos="9000"/>
      </w:tabs>
      <w:spacing w:after="0"/>
      <w:jc w:val="right"/>
    </w:pPr>
    <w:rPr>
      <w:sz w:val="18"/>
    </w:rPr>
  </w:style>
  <w:style w:type="paragraph" w:styleId="Footer">
    <w:name w:val="footer"/>
    <w:basedOn w:val="Normal"/>
    <w:link w:val="FooterChar"/>
    <w:uiPriority w:val="99"/>
    <w:rsid w:val="003F3553"/>
    <w:pPr>
      <w:tabs>
        <w:tab w:val="right" w:pos="9000"/>
      </w:tabs>
      <w:spacing w:after="0"/>
    </w:pPr>
    <w:rPr>
      <w:sz w:val="18"/>
    </w:rPr>
  </w:style>
  <w:style w:type="character" w:customStyle="1" w:styleId="FooterChar">
    <w:name w:val="Footer Char"/>
    <w:basedOn w:val="DefaultParagraphFont"/>
    <w:link w:val="Footer"/>
    <w:uiPriority w:val="99"/>
    <w:rsid w:val="003F3553"/>
    <w:rPr>
      <w:rFonts w:ascii="Arial" w:hAnsi="Arial"/>
      <w:color w:val="404040" w:themeColor="text1" w:themeTint="BF"/>
      <w:sz w:val="18"/>
    </w:rPr>
  </w:style>
  <w:style w:type="character" w:styleId="PageNumber">
    <w:name w:val="page number"/>
    <w:basedOn w:val="DefaultParagraphFont"/>
    <w:semiHidden/>
    <w:rsid w:val="00E035C7"/>
    <w:rPr>
      <w:rFonts w:ascii="Arial" w:hAnsi="Arial"/>
      <w:b w:val="0"/>
      <w:color w:val="495257" w:themeColor="text2"/>
      <w:sz w:val="20"/>
    </w:rPr>
  </w:style>
  <w:style w:type="paragraph" w:customStyle="1" w:styleId="TableText">
    <w:name w:val="TableText"/>
    <w:basedOn w:val="Normal"/>
    <w:rsid w:val="00D65BF2"/>
    <w:pPr>
      <w:keepNext/>
      <w:spacing w:before="60" w:after="60"/>
    </w:pPr>
    <w:rPr>
      <w:color w:val="4A5358" w:themeColor="accent1"/>
      <w:szCs w:val="21"/>
    </w:rPr>
  </w:style>
  <w:style w:type="paragraph" w:customStyle="1" w:styleId="TFNoteSourceList">
    <w:name w:val="TFNoteSource List"/>
    <w:basedOn w:val="Normal"/>
    <w:rsid w:val="00F77C3D"/>
    <w:pPr>
      <w:keepNext/>
      <w:keepLines/>
      <w:spacing w:after="0"/>
      <w:ind w:left="170" w:hanging="170"/>
    </w:pPr>
    <w:rPr>
      <w:sz w:val="16"/>
      <w:szCs w:val="18"/>
    </w:rPr>
  </w:style>
  <w:style w:type="paragraph" w:customStyle="1" w:styleId="TableHeading">
    <w:name w:val="TableHeading"/>
    <w:basedOn w:val="TableText"/>
    <w:rsid w:val="001134C2"/>
    <w:rPr>
      <w:b/>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Bullet2">
    <w:name w:val="TableBullet2"/>
    <w:basedOn w:val="TableText"/>
    <w:rsid w:val="00D20FD9"/>
    <w:pPr>
      <w:numPr>
        <w:numId w:val="2"/>
      </w:numPr>
      <w:tabs>
        <w:tab w:val="clear" w:pos="216"/>
        <w:tab w:val="num" w:pos="432"/>
      </w:tabs>
    </w:pPr>
  </w:style>
  <w:style w:type="paragraph" w:styleId="Quote">
    <w:name w:val="Quote"/>
    <w:basedOn w:val="Normal"/>
    <w:rsid w:val="002868A9"/>
    <w:pPr>
      <w:ind w:left="720" w:right="720"/>
    </w:pPr>
    <w:rPr>
      <w:i/>
    </w:rPr>
  </w:style>
  <w:style w:type="paragraph" w:customStyle="1" w:styleId="References">
    <w:name w:val="References"/>
    <w:basedOn w:val="Normal"/>
    <w:rsid w:val="00BD346C"/>
    <w:pPr>
      <w:keepLines/>
      <w:ind w:left="720" w:hanging="720"/>
    </w:pPr>
  </w:style>
  <w:style w:type="paragraph" w:styleId="FootnoteText">
    <w:name w:val="footnote text"/>
    <w:basedOn w:val="Normal"/>
    <w:semiHidden/>
    <w:rsid w:val="006F74EC"/>
    <w:pPr>
      <w:spacing w:after="60" w:line="240" w:lineRule="auto"/>
      <w:ind w:left="357" w:hanging="357"/>
    </w:pPr>
    <w:rPr>
      <w:sz w:val="17"/>
    </w:rPr>
  </w:style>
  <w:style w:type="character" w:styleId="FootnoteReference">
    <w:name w:val="footnote reference"/>
    <w:basedOn w:val="DefaultParagraphFont"/>
    <w:semiHidden/>
    <w:rsid w:val="00D20FD9"/>
    <w:rPr>
      <w:vertAlign w:val="superscript"/>
    </w:rPr>
  </w:style>
  <w:style w:type="paragraph" w:customStyle="1" w:styleId="TFNoteSourceStandard">
    <w:name w:val="TFNoteSource Standard"/>
    <w:basedOn w:val="TFNoteSourceList"/>
    <w:rsid w:val="00951C8F"/>
    <w:pPr>
      <w:spacing w:after="60"/>
      <w:ind w:left="0" w:firstLine="0"/>
    </w:pPr>
  </w:style>
  <w:style w:type="paragraph" w:styleId="TOC1">
    <w:name w:val="toc 1"/>
    <w:basedOn w:val="Normal"/>
    <w:next w:val="Normal"/>
    <w:autoRedefine/>
    <w:uiPriority w:val="39"/>
    <w:rsid w:val="00DD0FFE"/>
    <w:pPr>
      <w:tabs>
        <w:tab w:val="left" w:pos="284"/>
        <w:tab w:val="right" w:leader="dot" w:pos="9072"/>
      </w:tabs>
      <w:spacing w:before="480" w:after="60"/>
      <w:ind w:left="567" w:right="567" w:hanging="567"/>
    </w:pPr>
    <w:rPr>
      <w:rFonts w:ascii="Cambria" w:hAnsi="Cambria"/>
      <w:b/>
      <w:bCs/>
      <w:i/>
      <w:noProof/>
      <w:color w:val="72929B" w:themeColor="background2"/>
      <w:sz w:val="24"/>
    </w:rPr>
  </w:style>
  <w:style w:type="paragraph" w:styleId="TOC2">
    <w:name w:val="toc 2"/>
    <w:basedOn w:val="Normal"/>
    <w:next w:val="Normal"/>
    <w:autoRedefine/>
    <w:uiPriority w:val="39"/>
    <w:rsid w:val="00E739FC"/>
    <w:pPr>
      <w:tabs>
        <w:tab w:val="right" w:pos="1247"/>
        <w:tab w:val="right" w:leader="dot" w:pos="9072"/>
      </w:tabs>
      <w:spacing w:before="60" w:after="60" w:line="240" w:lineRule="auto"/>
      <w:ind w:left="1021" w:right="567" w:hanging="567"/>
    </w:pPr>
    <w:rPr>
      <w:noProof/>
      <w:color w:val="4A5358" w:themeColor="accent1"/>
    </w:rPr>
  </w:style>
  <w:style w:type="paragraph" w:customStyle="1" w:styleId="Heading1a">
    <w:name w:val="Heading 1a"/>
    <w:basedOn w:val="Heading1"/>
    <w:rsid w:val="00C15CFF"/>
    <w:pPr>
      <w:numPr>
        <w:numId w:val="0"/>
      </w:numPr>
    </w:pPr>
  </w:style>
  <w:style w:type="paragraph" w:styleId="TableofFigures">
    <w:name w:val="table of figures"/>
    <w:basedOn w:val="Normal"/>
    <w:next w:val="Normal"/>
    <w:uiPriority w:val="99"/>
    <w:rsid w:val="00E739FC"/>
    <w:pPr>
      <w:tabs>
        <w:tab w:val="right" w:leader="dot" w:pos="9072"/>
      </w:tabs>
      <w:spacing w:after="120" w:line="240" w:lineRule="auto"/>
      <w:ind w:left="400" w:right="720" w:hangingChars="400" w:hanging="400"/>
    </w:pPr>
    <w:rPr>
      <w:noProof/>
    </w:rPr>
  </w:style>
  <w:style w:type="paragraph" w:customStyle="1" w:styleId="Bullet">
    <w:name w:val="Bullet"/>
    <w:basedOn w:val="Normal"/>
    <w:qFormat/>
    <w:rsid w:val="0071642B"/>
    <w:pPr>
      <w:numPr>
        <w:numId w:val="3"/>
      </w:numPr>
      <w:spacing w:after="160"/>
      <w:ind w:left="357" w:hanging="357"/>
    </w:pPr>
  </w:style>
  <w:style w:type="paragraph" w:customStyle="1" w:styleId="Bullet2">
    <w:name w:val="Bullet2"/>
    <w:basedOn w:val="Normal"/>
    <w:rsid w:val="00231012"/>
    <w:pPr>
      <w:numPr>
        <w:numId w:val="4"/>
      </w:numPr>
      <w:tabs>
        <w:tab w:val="left" w:pos="720"/>
      </w:tabs>
      <w:spacing w:after="120"/>
    </w:pPr>
  </w:style>
  <w:style w:type="character" w:styleId="PlaceholderText">
    <w:name w:val="Placeholder Text"/>
    <w:basedOn w:val="DefaultParagraphFont"/>
    <w:uiPriority w:val="99"/>
    <w:semiHidden/>
    <w:rsid w:val="00231012"/>
    <w:rPr>
      <w:color w:val="808080"/>
    </w:rPr>
  </w:style>
  <w:style w:type="paragraph" w:customStyle="1" w:styleId="BoxText">
    <w:name w:val="BoxText"/>
    <w:basedOn w:val="Normal"/>
    <w:rsid w:val="00C03EF5"/>
    <w:pPr>
      <w:pBdr>
        <w:top w:val="single" w:sz="4" w:space="8" w:color="F4F2EA" w:themeColor="accent6" w:themeTint="33"/>
        <w:left w:val="single" w:sz="4" w:space="8" w:color="F4F2EA" w:themeColor="accent6" w:themeTint="33"/>
        <w:bottom w:val="single" w:sz="4" w:space="8" w:color="F4F2EA" w:themeColor="accent6" w:themeTint="33"/>
        <w:right w:val="single" w:sz="4" w:space="8" w:color="F4F2EA" w:themeColor="accent6" w:themeTint="33"/>
      </w:pBdr>
      <w:shd w:val="clear" w:color="auto" w:fill="F4F2EA" w:themeFill="accent6" w:themeFillTint="33"/>
      <w:spacing w:after="120"/>
      <w:ind w:left="113" w:right="113"/>
    </w:pPr>
  </w:style>
  <w:style w:type="paragraph" w:customStyle="1" w:styleId="BoxNotes">
    <w:name w:val="BoxNotes"/>
    <w:basedOn w:val="BoxText"/>
    <w:rsid w:val="00851D45"/>
    <w:pPr>
      <w:spacing w:before="360" w:after="360"/>
    </w:pPr>
    <w:rPr>
      <w:sz w:val="18"/>
    </w:rPr>
  </w:style>
  <w:style w:type="paragraph" w:customStyle="1" w:styleId="BoxName">
    <w:name w:val="BoxName"/>
    <w:basedOn w:val="BoxText"/>
    <w:rsid w:val="00F77C3D"/>
    <w:pPr>
      <w:keepNext/>
      <w:spacing w:before="180" w:after="240"/>
      <w:ind w:left="1190" w:hanging="1077"/>
    </w:pPr>
    <w:rPr>
      <w:b/>
      <w:bCs/>
      <w:color w:val="77673C" w:themeColor="accent6" w:themeShade="80"/>
      <w:sz w:val="24"/>
    </w:rPr>
  </w:style>
  <w:style w:type="paragraph" w:customStyle="1" w:styleId="BoxHeading">
    <w:name w:val="BoxHeading"/>
    <w:basedOn w:val="BoxText"/>
    <w:rsid w:val="00C03EF5"/>
    <w:pPr>
      <w:keepNext/>
      <w:spacing w:before="120" w:after="60"/>
    </w:pPr>
    <w:rPr>
      <w:b/>
      <w:bCs/>
    </w:rPr>
  </w:style>
  <w:style w:type="paragraph" w:customStyle="1" w:styleId="BoxBullet">
    <w:name w:val="BoxBullet"/>
    <w:basedOn w:val="BoxText"/>
    <w:rsid w:val="00A5234C"/>
    <w:pPr>
      <w:numPr>
        <w:numId w:val="24"/>
      </w:numPr>
      <w:ind w:left="368" w:hanging="255"/>
    </w:pPr>
  </w:style>
  <w:style w:type="table" w:customStyle="1" w:styleId="LightShading-Accent11">
    <w:name w:val="Light Shading - Accent 11"/>
    <w:basedOn w:val="TableNormal"/>
    <w:uiPriority w:val="60"/>
    <w:rsid w:val="00410B4A"/>
    <w:rPr>
      <w:color w:val="373E41" w:themeColor="accent1" w:themeShade="BF"/>
    </w:rPr>
    <w:tblPr>
      <w:tblStyleRowBandSize w:val="1"/>
      <w:tblStyleColBandSize w:val="1"/>
      <w:tblInd w:w="0" w:type="dxa"/>
      <w:tblBorders>
        <w:top w:val="single" w:sz="8" w:space="0" w:color="4A5358" w:themeColor="accent1"/>
        <w:bottom w:val="single" w:sz="8" w:space="0" w:color="4A535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A5358" w:themeColor="accent1"/>
          <w:left w:val="nil"/>
          <w:bottom w:val="single" w:sz="8" w:space="0" w:color="4A5358" w:themeColor="accent1"/>
          <w:right w:val="nil"/>
          <w:insideH w:val="nil"/>
          <w:insideV w:val="nil"/>
        </w:tcBorders>
      </w:tcPr>
    </w:tblStylePr>
    <w:tblStylePr w:type="lastRow">
      <w:pPr>
        <w:spacing w:before="0" w:after="0" w:line="240" w:lineRule="auto"/>
      </w:pPr>
      <w:rPr>
        <w:b/>
        <w:bCs/>
      </w:rPr>
      <w:tblPr/>
      <w:tcPr>
        <w:tcBorders>
          <w:top w:val="single" w:sz="8" w:space="0" w:color="4A5358" w:themeColor="accent1"/>
          <w:left w:val="nil"/>
          <w:bottom w:val="single" w:sz="8" w:space="0" w:color="4A535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5D7" w:themeFill="accent1" w:themeFillTint="3F"/>
      </w:tcPr>
    </w:tblStylePr>
    <w:tblStylePr w:type="band1Horz">
      <w:tblPr/>
      <w:tcPr>
        <w:tcBorders>
          <w:left w:val="nil"/>
          <w:right w:val="nil"/>
          <w:insideH w:val="nil"/>
          <w:insideV w:val="nil"/>
        </w:tcBorders>
        <w:shd w:val="clear" w:color="auto" w:fill="D0D5D7" w:themeFill="accent1" w:themeFillTint="3F"/>
      </w:tcPr>
    </w:tblStylePr>
  </w:style>
  <w:style w:type="character" w:customStyle="1" w:styleId="Aitherfooter">
    <w:name w:val="Aither footer"/>
    <w:basedOn w:val="DefaultParagraphFont"/>
    <w:uiPriority w:val="1"/>
    <w:rsid w:val="00DF15AE"/>
    <w:rPr>
      <w:rFonts w:ascii="Arial" w:hAnsi="Arial"/>
      <w:b/>
      <w:color w:val="495257" w:themeColor="text2"/>
      <w:sz w:val="18"/>
    </w:rPr>
  </w:style>
  <w:style w:type="paragraph" w:customStyle="1" w:styleId="TFIHolderSmallSpace">
    <w:name w:val="TFIHolder SmallSpace"/>
    <w:basedOn w:val="TFIHolderLargeSpace"/>
    <w:qFormat/>
    <w:rsid w:val="00756220"/>
    <w:pPr>
      <w:keepNext/>
      <w:spacing w:after="0" w:line="192" w:lineRule="auto"/>
    </w:pPr>
  </w:style>
  <w:style w:type="paragraph" w:customStyle="1" w:styleId="TFIHolderLargeSpace">
    <w:name w:val="TFIHolder LargeSpace"/>
    <w:basedOn w:val="Normal"/>
    <w:qFormat/>
    <w:rsid w:val="005C7D6B"/>
    <w:pPr>
      <w:keepLines/>
      <w:spacing w:after="480" w:line="240" w:lineRule="auto"/>
    </w:pPr>
    <w:rPr>
      <w:sz w:val="12"/>
      <w:szCs w:val="18"/>
    </w:r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qFormat/>
    <w:rsid w:val="004516E8"/>
    <w:pPr>
      <w:numPr>
        <w:numId w:val="36"/>
      </w:numPr>
      <w:tabs>
        <w:tab w:val="left" w:pos="360"/>
      </w:tabs>
    </w:pPr>
  </w:style>
  <w:style w:type="paragraph" w:customStyle="1" w:styleId="TFNoteSourceTab">
    <w:name w:val="TFNoteSource Tab"/>
    <w:basedOn w:val="Normal"/>
    <w:rsid w:val="00951C8F"/>
    <w:pPr>
      <w:keepLines/>
      <w:spacing w:after="60"/>
      <w:ind w:left="624" w:hanging="624"/>
    </w:pPr>
    <w:rPr>
      <w:sz w:val="16"/>
      <w:szCs w:val="18"/>
    </w:rPr>
  </w:style>
  <w:style w:type="character" w:styleId="Strong">
    <w:name w:val="Strong"/>
    <w:basedOn w:val="DefaultParagraphFont"/>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077133"/>
    <w:rPr>
      <w:b w:val="0"/>
      <w:i w:val="0"/>
    </w:rPr>
  </w:style>
  <w:style w:type="table" w:styleId="TableGrid">
    <w:name w:val="Table Grid"/>
    <w:basedOn w:val="TableNormal"/>
    <w:uiPriority w:val="59"/>
    <w:rsid w:val="00BB1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560794"/>
    <w:pPr>
      <w:spacing w:after="120"/>
    </w:pPr>
    <w:rPr>
      <w:sz w:val="18"/>
    </w:rPr>
  </w:style>
  <w:style w:type="paragraph" w:styleId="Caption">
    <w:name w:val="caption"/>
    <w:basedOn w:val="Normal"/>
    <w:next w:val="ImageCredit"/>
    <w:rsid w:val="005C04C0"/>
    <w:pPr>
      <w:keepNext/>
      <w:spacing w:before="120" w:after="120"/>
      <w:ind w:left="1077" w:hanging="1077"/>
    </w:pPr>
    <w:rPr>
      <w:rFonts w:asciiTheme="minorHAnsi" w:hAnsiTheme="minorHAnsi" w:cstheme="minorHAnsi"/>
      <w:b/>
      <w:bCs/>
      <w:color w:val="495257" w:themeColor="text2"/>
    </w:rPr>
  </w:style>
  <w:style w:type="paragraph" w:customStyle="1" w:styleId="ImageCredit">
    <w:name w:val="ImageCredit"/>
    <w:basedOn w:val="Caption"/>
    <w:next w:val="Normal"/>
    <w:rsid w:val="000E732F"/>
    <w:pPr>
      <w:spacing w:after="360"/>
    </w:pPr>
    <w:rPr>
      <w:rFonts w:ascii="Arial" w:hAnsi="Arial"/>
      <w:b w:val="0"/>
      <w:i/>
      <w:noProof/>
      <w:sz w:val="16"/>
    </w:rPr>
  </w:style>
  <w:style w:type="paragraph" w:customStyle="1" w:styleId="TableHeadingCA">
    <w:name w:val="TableHeadingCA"/>
    <w:basedOn w:val="TableHeading"/>
    <w:rsid w:val="001134C2"/>
    <w:pPr>
      <w:jc w:val="center"/>
    </w:pPr>
  </w:style>
  <w:style w:type="paragraph" w:customStyle="1" w:styleId="TableTextCA">
    <w:name w:val="TableTextCA"/>
    <w:basedOn w:val="TableText"/>
    <w:rsid w:val="001134C2"/>
    <w:pPr>
      <w:jc w:val="center"/>
    </w:pPr>
  </w:style>
  <w:style w:type="paragraph" w:customStyle="1" w:styleId="TableTextDA">
    <w:name w:val="TableTextDA"/>
    <w:basedOn w:val="TableText"/>
    <w:rsid w:val="009C7BA5"/>
    <w:pPr>
      <w:tabs>
        <w:tab w:val="decimal" w:pos="1119"/>
      </w:tabs>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1031E5"/>
    <w:pPr>
      <w:spacing w:after="300"/>
      <w:contextualSpacing/>
    </w:pPr>
    <w:rPr>
      <w:rFonts w:eastAsiaTheme="majorEastAsia" w:cstheme="majorBidi"/>
      <w:b/>
      <w:color w:val="495257" w:themeColor="text2"/>
      <w:spacing w:val="5"/>
      <w:kern w:val="28"/>
      <w:sz w:val="56"/>
      <w:szCs w:val="52"/>
    </w:rPr>
  </w:style>
  <w:style w:type="character" w:customStyle="1" w:styleId="TitleChar">
    <w:name w:val="Title Char"/>
    <w:basedOn w:val="DefaultParagraphFont"/>
    <w:link w:val="Title"/>
    <w:uiPriority w:val="10"/>
    <w:rsid w:val="001031E5"/>
    <w:rPr>
      <w:rFonts w:ascii="Arial" w:eastAsiaTheme="majorEastAsia" w:hAnsi="Arial" w:cstheme="majorBidi"/>
      <w:b/>
      <w:color w:val="495257" w:themeColor="text2"/>
      <w:spacing w:val="5"/>
      <w:kern w:val="28"/>
      <w:sz w:val="56"/>
      <w:szCs w:val="52"/>
    </w:rPr>
  </w:style>
  <w:style w:type="table" w:customStyle="1" w:styleId="Aither">
    <w:name w:val="Aither"/>
    <w:basedOn w:val="TableNormal"/>
    <w:uiPriority w:val="99"/>
    <w:rsid w:val="00CB5B28"/>
    <w:rPr>
      <w:color w:val="404040" w:themeColor="text1" w:themeTint="BF"/>
    </w:rPr>
    <w:tblPr>
      <w:tblStyleRowBandSize w:val="1"/>
      <w:tblInd w:w="0" w:type="dxa"/>
      <w:tblBorders>
        <w:top w:val="single" w:sz="4" w:space="0" w:color="CCBF9B" w:themeColor="accent6"/>
        <w:left w:val="single" w:sz="4" w:space="0" w:color="CCBF9B" w:themeColor="accent6"/>
        <w:bottom w:val="single" w:sz="4" w:space="0" w:color="CCBF9B" w:themeColor="accent6"/>
        <w:right w:val="single" w:sz="4" w:space="0" w:color="CCBF9B" w:themeColor="accent6"/>
        <w:insideH w:val="single" w:sz="4" w:space="0" w:color="CCBF9B" w:themeColor="accent6"/>
        <w:insideV w:val="single" w:sz="4" w:space="0" w:color="CCBF9B" w:themeColor="accent6"/>
      </w:tblBorders>
      <w:tblCellMar>
        <w:top w:w="0" w:type="dxa"/>
        <w:left w:w="108" w:type="dxa"/>
        <w:bottom w:w="0" w:type="dxa"/>
        <w:right w:w="108" w:type="dxa"/>
      </w:tblCellMar>
    </w:tblPr>
    <w:tcPr>
      <w:shd w:val="clear" w:color="auto" w:fill="FCFCFA"/>
      <w:vAlign w:val="center"/>
    </w:tcPr>
    <w:tblStylePr w:type="firstRow">
      <w:pPr>
        <w:jc w:val="left"/>
      </w:pPr>
      <w:rPr>
        <w:rFonts w:ascii="Arial" w:hAnsi="Arial"/>
        <w:b w:val="0"/>
        <w:sz w:val="20"/>
      </w:rPr>
      <w:tblPr/>
      <w:tcPr>
        <w:shd w:val="clear" w:color="auto" w:fill="EAE5D6" w:themeFill="accent6" w:themeFillTint="66"/>
      </w:tcPr>
    </w:tblStylePr>
    <w:tblStylePr w:type="band1Horz">
      <w:pPr>
        <w:jc w:val="left"/>
      </w:pPr>
      <w:tblPr/>
      <w:tcPr>
        <w:tcBorders>
          <w:insideH w:val="nil"/>
        </w:tcBorders>
        <w:vAlign w:val="center"/>
      </w:tcPr>
    </w:tblStylePr>
  </w:style>
  <w:style w:type="paragraph" w:customStyle="1" w:styleId="FooterTitle">
    <w:name w:val="Footer Title"/>
    <w:basedOn w:val="Footer"/>
    <w:rsid w:val="00D123DD"/>
    <w:rPr>
      <w:rFonts w:ascii="Cambria" w:hAnsi="Cambria"/>
      <w:i/>
      <w:color w:val="72929B" w:themeColor="background2"/>
      <w:sz w:val="16"/>
    </w:rPr>
  </w:style>
  <w:style w:type="paragraph" w:customStyle="1" w:styleId="BoxBullet2">
    <w:name w:val="BoxBullet2"/>
    <w:basedOn w:val="BoxBullet"/>
    <w:rsid w:val="00E6585F"/>
    <w:pPr>
      <w:numPr>
        <w:numId w:val="5"/>
      </w:numPr>
      <w:ind w:left="470" w:hanging="357"/>
    </w:pPr>
  </w:style>
  <w:style w:type="character" w:customStyle="1" w:styleId="StrongEmphasis">
    <w:name w:val="StrongEmphasis"/>
    <w:basedOn w:val="DefaultParagraphFont"/>
    <w:rsid w:val="00D03C40"/>
    <w:rPr>
      <w:b/>
      <w:bCs/>
      <w:i/>
      <w:iCs/>
    </w:rPr>
  </w:style>
  <w:style w:type="paragraph" w:customStyle="1" w:styleId="Authornote">
    <w:name w:val="Author note"/>
    <w:basedOn w:val="Normal"/>
    <w:rsid w:val="00570516"/>
    <w:rPr>
      <w:rFonts w:ascii="Times" w:hAnsi="Times"/>
      <w:color w:val="9B2321"/>
    </w:rPr>
  </w:style>
  <w:style w:type="table" w:styleId="ColorfulList-Accent5">
    <w:name w:val="Colorful List Accent 5"/>
    <w:basedOn w:val="TableNormal"/>
    <w:uiPriority w:val="72"/>
    <w:rsid w:val="00410B4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7ED" w:themeFill="accent5" w:themeFillTint="19"/>
    </w:tcPr>
    <w:tblStylePr w:type="firstRow">
      <w:rPr>
        <w:b/>
        <w:bCs/>
        <w:color w:val="FFFFFF" w:themeColor="background1"/>
      </w:rPr>
      <w:tblPr/>
      <w:tcPr>
        <w:tcBorders>
          <w:bottom w:val="single" w:sz="12" w:space="0" w:color="FFFFFF" w:themeColor="background1"/>
        </w:tcBorders>
        <w:shd w:val="clear" w:color="auto" w:fill="B3A06B" w:themeFill="accent6" w:themeFillShade="CC"/>
      </w:tcPr>
    </w:tblStylePr>
    <w:tblStylePr w:type="lastRow">
      <w:rPr>
        <w:b/>
        <w:bCs/>
        <w:color w:val="B3A06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CD3" w:themeFill="accent5" w:themeFillTint="3F"/>
      </w:tcPr>
    </w:tblStylePr>
    <w:tblStylePr w:type="band1Horz">
      <w:tblPr/>
      <w:tcPr>
        <w:shd w:val="clear" w:color="auto" w:fill="F5F0DC" w:themeFill="accent5" w:themeFillTint="33"/>
      </w:tcPr>
    </w:tblStylePr>
  </w:style>
  <w:style w:type="table" w:styleId="ColorfulGrid-Accent6">
    <w:name w:val="Colorful Grid Accent 6"/>
    <w:basedOn w:val="TableNormal"/>
    <w:uiPriority w:val="73"/>
    <w:rsid w:val="00410B4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F2EA" w:themeFill="accent6" w:themeFillTint="33"/>
    </w:tcPr>
    <w:tblStylePr w:type="firstRow">
      <w:rPr>
        <w:b/>
        <w:bCs/>
      </w:rPr>
      <w:tblPr/>
      <w:tcPr>
        <w:shd w:val="clear" w:color="auto" w:fill="EAE5D6" w:themeFill="accent6" w:themeFillTint="66"/>
      </w:tcPr>
    </w:tblStylePr>
    <w:tblStylePr w:type="lastRow">
      <w:rPr>
        <w:b/>
        <w:bCs/>
        <w:color w:val="000000" w:themeColor="text1"/>
      </w:rPr>
      <w:tblPr/>
      <w:tcPr>
        <w:shd w:val="clear" w:color="auto" w:fill="EAE5D6" w:themeFill="accent6" w:themeFillTint="66"/>
      </w:tcPr>
    </w:tblStylePr>
    <w:tblStylePr w:type="firstCol">
      <w:rPr>
        <w:color w:val="FFFFFF" w:themeColor="background1"/>
      </w:rPr>
      <w:tblPr/>
      <w:tcPr>
        <w:shd w:val="clear" w:color="auto" w:fill="AD985F" w:themeFill="accent6" w:themeFillShade="BF"/>
      </w:tcPr>
    </w:tblStylePr>
    <w:tblStylePr w:type="lastCol">
      <w:rPr>
        <w:color w:val="FFFFFF" w:themeColor="background1"/>
      </w:rPr>
      <w:tblPr/>
      <w:tcPr>
        <w:shd w:val="clear" w:color="auto" w:fill="AD985F" w:themeFill="accent6" w:themeFillShade="BF"/>
      </w:tcPr>
    </w:tblStylePr>
    <w:tblStylePr w:type="band1Vert">
      <w:tblPr/>
      <w:tcPr>
        <w:shd w:val="clear" w:color="auto" w:fill="E5DFCD" w:themeFill="accent6" w:themeFillTint="7F"/>
      </w:tcPr>
    </w:tblStylePr>
    <w:tblStylePr w:type="band1Horz">
      <w:tblPr/>
      <w:tcPr>
        <w:shd w:val="clear" w:color="auto" w:fill="E5DFCD" w:themeFill="accent6" w:themeFillTint="7F"/>
      </w:tcPr>
    </w:tblStylePr>
  </w:style>
  <w:style w:type="table" w:styleId="ColorfulList-Accent6">
    <w:name w:val="Colorful List Accent 6"/>
    <w:basedOn w:val="TableNormal"/>
    <w:uiPriority w:val="72"/>
    <w:rsid w:val="00410B4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8F5" w:themeFill="accent6" w:themeFillTint="19"/>
    </w:tcPr>
    <w:tblStylePr w:type="firstRow">
      <w:rPr>
        <w:b/>
        <w:bCs/>
        <w:color w:val="FFFFFF" w:themeColor="background1"/>
      </w:rPr>
      <w:tblPr/>
      <w:tcPr>
        <w:tcBorders>
          <w:bottom w:val="single" w:sz="12" w:space="0" w:color="FFFFFF" w:themeColor="background1"/>
        </w:tcBorders>
        <w:shd w:val="clear" w:color="auto" w:fill="B29A32" w:themeFill="accent5" w:themeFillShade="CC"/>
      </w:tcPr>
    </w:tblStylePr>
    <w:tblStylePr w:type="lastRow">
      <w:rPr>
        <w:b/>
        <w:bCs/>
        <w:color w:val="B29A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FE6" w:themeFill="accent6" w:themeFillTint="3F"/>
      </w:tcPr>
    </w:tblStylePr>
    <w:tblStylePr w:type="band1Horz">
      <w:tblPr/>
      <w:tcPr>
        <w:shd w:val="clear" w:color="auto" w:fill="F4F2EA" w:themeFill="accent6" w:themeFillTint="33"/>
      </w:tcPr>
    </w:tblStylePr>
  </w:style>
  <w:style w:type="table" w:styleId="MediumList1-Accent6">
    <w:name w:val="Medium List 1 Accent 6"/>
    <w:basedOn w:val="TableNormal"/>
    <w:uiPriority w:val="65"/>
    <w:rsid w:val="00410B4A"/>
    <w:rPr>
      <w:color w:val="000000" w:themeColor="text1"/>
    </w:rPr>
    <w:tblPr>
      <w:tblStyleRowBandSize w:val="1"/>
      <w:tblStyleColBandSize w:val="1"/>
      <w:tblInd w:w="0" w:type="dxa"/>
      <w:tblBorders>
        <w:top w:val="single" w:sz="8" w:space="0" w:color="CCBF9B" w:themeColor="accent6"/>
        <w:bottom w:val="single" w:sz="8" w:space="0" w:color="CCBF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BF9B" w:themeColor="accent6"/>
        </w:tcBorders>
      </w:tcPr>
    </w:tblStylePr>
    <w:tblStylePr w:type="lastRow">
      <w:rPr>
        <w:b/>
        <w:bCs/>
        <w:color w:val="495257" w:themeColor="text2"/>
      </w:rPr>
      <w:tblPr/>
      <w:tcPr>
        <w:tcBorders>
          <w:top w:val="single" w:sz="8" w:space="0" w:color="CCBF9B" w:themeColor="accent6"/>
          <w:bottom w:val="single" w:sz="8" w:space="0" w:color="CCBF9B" w:themeColor="accent6"/>
        </w:tcBorders>
      </w:tcPr>
    </w:tblStylePr>
    <w:tblStylePr w:type="firstCol">
      <w:rPr>
        <w:b/>
        <w:bCs/>
      </w:rPr>
    </w:tblStylePr>
    <w:tblStylePr w:type="lastCol">
      <w:rPr>
        <w:b/>
        <w:bCs/>
      </w:rPr>
      <w:tblPr/>
      <w:tcPr>
        <w:tcBorders>
          <w:top w:val="single" w:sz="8" w:space="0" w:color="CCBF9B" w:themeColor="accent6"/>
          <w:bottom w:val="single" w:sz="8" w:space="0" w:color="CCBF9B" w:themeColor="accent6"/>
        </w:tcBorders>
      </w:tcPr>
    </w:tblStylePr>
    <w:tblStylePr w:type="band1Vert">
      <w:tblPr/>
      <w:tcPr>
        <w:shd w:val="clear" w:color="auto" w:fill="F2EFE6" w:themeFill="accent6" w:themeFillTint="3F"/>
      </w:tcPr>
    </w:tblStylePr>
    <w:tblStylePr w:type="band1Horz">
      <w:tblPr/>
      <w:tcPr>
        <w:shd w:val="clear" w:color="auto" w:fill="F2EFE6" w:themeFill="accent6" w:themeFillTint="3F"/>
      </w:tcPr>
    </w:tblStylePr>
  </w:style>
  <w:style w:type="character" w:customStyle="1" w:styleId="Whitetext">
    <w:name w:val="White text"/>
    <w:basedOn w:val="DefaultParagraphFont"/>
    <w:uiPriority w:val="1"/>
    <w:rsid w:val="00D526CC"/>
    <w:rPr>
      <w:color w:val="FFFFFF" w:themeColor="background1"/>
    </w:rPr>
  </w:style>
  <w:style w:type="paragraph" w:styleId="TOCHeading">
    <w:name w:val="TOC Heading"/>
    <w:basedOn w:val="Heading1a"/>
    <w:next w:val="Normal"/>
    <w:uiPriority w:val="39"/>
    <w:rsid w:val="00FD61CE"/>
    <w:pPr>
      <w:keepLines/>
      <w:pageBreakBefore w:val="0"/>
      <w:pBdr>
        <w:bottom w:val="single" w:sz="18" w:space="4" w:color="495257" w:themeColor="text2"/>
      </w:pBdr>
      <w:spacing w:before="480" w:after="0" w:line="276" w:lineRule="auto"/>
      <w:outlineLvl w:val="9"/>
    </w:pPr>
    <w:rPr>
      <w:rFonts w:asciiTheme="majorHAnsi" w:eastAsiaTheme="majorEastAsia" w:hAnsiTheme="majorHAnsi" w:cstheme="majorBidi"/>
      <w:kern w:val="0"/>
      <w:szCs w:val="28"/>
      <w:lang w:val="en-US" w:eastAsia="ja-JP"/>
    </w:rPr>
  </w:style>
  <w:style w:type="paragraph" w:styleId="TOC3">
    <w:name w:val="toc 3"/>
    <w:basedOn w:val="Normal"/>
    <w:next w:val="Normal"/>
    <w:autoRedefine/>
    <w:uiPriority w:val="39"/>
    <w:unhideWhenUsed/>
    <w:rsid w:val="00DD305F"/>
    <w:pPr>
      <w:tabs>
        <w:tab w:val="left" w:pos="1985"/>
        <w:tab w:val="right" w:leader="dot" w:pos="9072"/>
      </w:tabs>
      <w:spacing w:after="100"/>
      <w:ind w:left="1304"/>
    </w:pPr>
    <w:rPr>
      <w:i/>
      <w:noProof/>
    </w:rPr>
  </w:style>
  <w:style w:type="character" w:styleId="Hyperlink">
    <w:name w:val="Hyperlink"/>
    <w:basedOn w:val="DefaultParagraphFont"/>
    <w:uiPriority w:val="99"/>
    <w:unhideWhenUsed/>
    <w:rsid w:val="00A225F3"/>
    <w:rPr>
      <w:color w:val="3583AA" w:themeColor="hyperlink"/>
      <w:u w:val="single"/>
    </w:rPr>
  </w:style>
  <w:style w:type="paragraph" w:customStyle="1" w:styleId="ImageCaption">
    <w:name w:val="ImageCaption"/>
    <w:basedOn w:val="Normal"/>
    <w:link w:val="ImageCaptionChar"/>
    <w:qFormat/>
    <w:rsid w:val="00072AF9"/>
    <w:pPr>
      <w:spacing w:after="0"/>
    </w:pPr>
    <w:rPr>
      <w:rFonts w:ascii="Cambria" w:hAnsi="Cambria"/>
      <w:b/>
      <w:i/>
      <w:sz w:val="18"/>
      <w:szCs w:val="18"/>
    </w:rPr>
  </w:style>
  <w:style w:type="character" w:customStyle="1" w:styleId="ImageCaptionChar">
    <w:name w:val="ImageCaption Char"/>
    <w:basedOn w:val="DefaultParagraphFont"/>
    <w:link w:val="ImageCaption"/>
    <w:rsid w:val="00072AF9"/>
    <w:rPr>
      <w:rFonts w:ascii="Cambria" w:hAnsi="Cambria"/>
      <w:b/>
      <w:i/>
      <w:color w:val="404040" w:themeColor="text1" w:themeTint="BF"/>
      <w:sz w:val="18"/>
      <w:szCs w:val="18"/>
    </w:rPr>
  </w:style>
  <w:style w:type="paragraph" w:styleId="EndnoteText">
    <w:name w:val="endnote text"/>
    <w:basedOn w:val="Normal"/>
    <w:link w:val="EndnoteTextChar"/>
    <w:uiPriority w:val="99"/>
    <w:semiHidden/>
    <w:unhideWhenUsed/>
    <w:rsid w:val="0072565F"/>
    <w:pPr>
      <w:spacing w:after="0" w:line="240" w:lineRule="auto"/>
    </w:pPr>
  </w:style>
  <w:style w:type="character" w:customStyle="1" w:styleId="EndnoteTextChar">
    <w:name w:val="Endnote Text Char"/>
    <w:basedOn w:val="DefaultParagraphFont"/>
    <w:link w:val="EndnoteText"/>
    <w:uiPriority w:val="99"/>
    <w:semiHidden/>
    <w:rsid w:val="0072565F"/>
    <w:rPr>
      <w:rFonts w:ascii="Arial" w:hAnsi="Arial"/>
      <w:color w:val="404040" w:themeColor="text1" w:themeTint="BF"/>
    </w:rPr>
  </w:style>
  <w:style w:type="table" w:customStyle="1" w:styleId="TableGrid1">
    <w:name w:val="Table Grid1"/>
    <w:basedOn w:val="TableNormal"/>
    <w:uiPriority w:val="59"/>
    <w:rsid w:val="006B52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72565F"/>
    <w:rPr>
      <w:vertAlign w:val="superscript"/>
    </w:rPr>
  </w:style>
  <w:style w:type="paragraph" w:styleId="CommentText">
    <w:name w:val="annotation text"/>
    <w:basedOn w:val="Normal"/>
    <w:link w:val="CommentTextChar"/>
    <w:uiPriority w:val="99"/>
    <w:unhideWhenUsed/>
    <w:rsid w:val="008800A3"/>
    <w:pPr>
      <w:spacing w:line="240" w:lineRule="auto"/>
    </w:pPr>
  </w:style>
  <w:style w:type="character" w:customStyle="1" w:styleId="CommentTextChar">
    <w:name w:val="Comment Text Char"/>
    <w:basedOn w:val="DefaultParagraphFont"/>
    <w:link w:val="CommentText"/>
    <w:uiPriority w:val="99"/>
    <w:rsid w:val="008800A3"/>
    <w:rPr>
      <w:rFonts w:ascii="Arial" w:hAnsi="Arial"/>
      <w:color w:val="404040" w:themeColor="text1" w:themeTint="BF"/>
    </w:rPr>
  </w:style>
  <w:style w:type="character" w:styleId="CommentReference">
    <w:name w:val="annotation reference"/>
    <w:basedOn w:val="DefaultParagraphFont"/>
    <w:uiPriority w:val="99"/>
    <w:semiHidden/>
    <w:unhideWhenUsed/>
    <w:rsid w:val="008800A3"/>
    <w:rPr>
      <w:sz w:val="16"/>
      <w:szCs w:val="16"/>
    </w:rPr>
  </w:style>
  <w:style w:type="paragraph" w:customStyle="1" w:styleId="Footerline">
    <w:name w:val="Footer line"/>
    <w:basedOn w:val="Footer"/>
    <w:rsid w:val="00B3488B"/>
    <w:pPr>
      <w:pBdr>
        <w:top w:val="single" w:sz="8" w:space="1" w:color="4A5358" w:themeColor="accent1"/>
      </w:pBdr>
      <w:jc w:val="right"/>
    </w:pPr>
    <w:rPr>
      <w:noProof/>
      <w:color w:val="404040" w:themeColor="text1" w:themeTint="BF"/>
    </w:rPr>
  </w:style>
  <w:style w:type="paragraph" w:styleId="CommentSubject">
    <w:name w:val="annotation subject"/>
    <w:basedOn w:val="CommentText"/>
    <w:next w:val="CommentText"/>
    <w:link w:val="CommentSubjectChar"/>
    <w:uiPriority w:val="99"/>
    <w:semiHidden/>
    <w:unhideWhenUsed/>
    <w:rsid w:val="005A301A"/>
    <w:rPr>
      <w:b/>
      <w:bCs/>
    </w:rPr>
  </w:style>
  <w:style w:type="character" w:customStyle="1" w:styleId="CommentSubjectChar">
    <w:name w:val="Comment Subject Char"/>
    <w:basedOn w:val="CommentTextChar"/>
    <w:link w:val="CommentSubject"/>
    <w:uiPriority w:val="99"/>
    <w:semiHidden/>
    <w:rsid w:val="005A301A"/>
    <w:rPr>
      <w:rFonts w:ascii="Arial" w:hAnsi="Arial"/>
      <w:b/>
      <w:bCs/>
      <w:color w:val="595959" w:themeColor="text1" w:themeTint="A6"/>
    </w:rPr>
  </w:style>
  <w:style w:type="paragraph" w:styleId="ListParagraph">
    <w:name w:val="List Paragraph"/>
    <w:basedOn w:val="Normal"/>
    <w:uiPriority w:val="34"/>
    <w:qFormat/>
    <w:rsid w:val="006A0434"/>
    <w:pPr>
      <w:ind w:left="720"/>
      <w:contextualSpacing/>
    </w:pPr>
  </w:style>
  <w:style w:type="paragraph" w:styleId="Revision">
    <w:name w:val="Revision"/>
    <w:hidden/>
    <w:uiPriority w:val="99"/>
    <w:semiHidden/>
    <w:rsid w:val="00366641"/>
    <w:rPr>
      <w:color w:val="595959" w:themeColor="text1" w:themeTint="A6"/>
    </w:rPr>
  </w:style>
  <w:style w:type="character" w:styleId="FollowedHyperlink">
    <w:name w:val="FollowedHyperlink"/>
    <w:basedOn w:val="DefaultParagraphFont"/>
    <w:uiPriority w:val="99"/>
    <w:semiHidden/>
    <w:unhideWhenUsed/>
    <w:rsid w:val="008B204E"/>
    <w:rPr>
      <w:color w:val="7DC0D1" w:themeColor="followedHyperlink"/>
      <w:u w:val="single"/>
    </w:rPr>
  </w:style>
  <w:style w:type="paragraph" w:styleId="NormalWeb">
    <w:name w:val="Normal (Web)"/>
    <w:basedOn w:val="Normal"/>
    <w:uiPriority w:val="99"/>
    <w:semiHidden/>
    <w:unhideWhenUsed/>
    <w:rsid w:val="00FB203C"/>
    <w:pPr>
      <w:spacing w:before="100" w:beforeAutospacing="1" w:after="100" w:afterAutospacing="1" w:line="240" w:lineRule="auto"/>
    </w:pPr>
    <w:rPr>
      <w:rFonts w:ascii="Times New Roman" w:eastAsiaTheme="minorEastAsia"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66347968">
      <w:bodyDiv w:val="1"/>
      <w:marLeft w:val="0"/>
      <w:marRight w:val="0"/>
      <w:marTop w:val="0"/>
      <w:marBottom w:val="0"/>
      <w:divBdr>
        <w:top w:val="none" w:sz="0" w:space="0" w:color="auto"/>
        <w:left w:val="none" w:sz="0" w:space="0" w:color="auto"/>
        <w:bottom w:val="none" w:sz="0" w:space="0" w:color="auto"/>
        <w:right w:val="none" w:sz="0" w:space="0" w:color="auto"/>
      </w:divBdr>
    </w:div>
    <w:div w:id="721562074">
      <w:bodyDiv w:val="1"/>
      <w:marLeft w:val="0"/>
      <w:marRight w:val="0"/>
      <w:marTop w:val="0"/>
      <w:marBottom w:val="0"/>
      <w:divBdr>
        <w:top w:val="none" w:sz="0" w:space="0" w:color="auto"/>
        <w:left w:val="none" w:sz="0" w:space="0" w:color="auto"/>
        <w:bottom w:val="none" w:sz="0" w:space="0" w:color="auto"/>
        <w:right w:val="none" w:sz="0" w:space="0" w:color="auto"/>
      </w:divBdr>
    </w:div>
    <w:div w:id="844247236">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94596609">
      <w:bodyDiv w:val="1"/>
      <w:marLeft w:val="0"/>
      <w:marRight w:val="0"/>
      <w:marTop w:val="0"/>
      <w:marBottom w:val="0"/>
      <w:divBdr>
        <w:top w:val="none" w:sz="0" w:space="0" w:color="auto"/>
        <w:left w:val="none" w:sz="0" w:space="0" w:color="auto"/>
        <w:bottom w:val="none" w:sz="0" w:space="0" w:color="auto"/>
        <w:right w:val="none" w:sz="0" w:space="0" w:color="auto"/>
      </w:divBdr>
    </w:div>
    <w:div w:id="1192689764">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yperlink" Target="http://www.copsmodels.com/ftp/workpapr/g-222.pdf" TargetMode="External"/><Relationship Id="rId21" Type="http://schemas.openxmlformats.org/officeDocument/2006/relationships/image" Target="media/image6.png"/><Relationship Id="rId34" Type="http://schemas.openxmlformats.org/officeDocument/2006/relationships/hyperlink" Target="https://www.environment.gov.au/water/cewo/trade/trading-outcomes" TargetMode="External"/><Relationship Id="rId42" Type="http://schemas.openxmlformats.org/officeDocument/2006/relationships/header" Target="header10.xm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10.png"/><Relationship Id="rId11" Type="http://schemas.openxmlformats.org/officeDocument/2006/relationships/hyperlink" Target="http://www.aither.com.au" TargetMode="External"/><Relationship Id="rId24" Type="http://schemas.openxmlformats.org/officeDocument/2006/relationships/image" Target="media/image9.png"/><Relationship Id="rId32" Type="http://schemas.openxmlformats.org/officeDocument/2006/relationships/hyperlink" Target="http://www.abs.gov.au/ausstats/abs@.nsf/mf/7503.0" TargetMode="External"/><Relationship Id="rId37" Type="http://schemas.openxmlformats.org/officeDocument/2006/relationships/hyperlink" Target="http://data.daff.gov.au/data/warehouse/pe_abarebrs99014438/waterbuyback.pdf" TargetMode="External"/><Relationship Id="rId40" Type="http://schemas.openxmlformats.org/officeDocument/2006/relationships/header" Target="header8.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eader" Target="header7.xml"/><Relationship Id="rId36" Type="http://schemas.openxmlformats.org/officeDocument/2006/relationships/hyperlink" Target="http://www.clw.csiro.au/publications/waterforahealthycountry/2011/wfhc-water-trading-pricing-mdb.pdf" TargetMode="External"/><Relationship Id="rId49" Type="http://schemas.microsoft.com/office/2011/relationships/people" Target="people.xml"/><Relationship Id="rId10" Type="http://schemas.openxmlformats.org/officeDocument/2006/relationships/hyperlink" Target="http://www.aither.com.au/water-markets-reports/" TargetMode="External"/><Relationship Id="rId19" Type="http://schemas.openxmlformats.org/officeDocument/2006/relationships/header" Target="header4.xml"/><Relationship Id="rId31" Type="http://schemas.openxmlformats.org/officeDocument/2006/relationships/image" Target="media/image12.png"/><Relationship Id="rId44" Type="http://schemas.openxmlformats.org/officeDocument/2006/relationships/header" Target="header12.xml"/><Relationship Id="rId52"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image" Target="media/image11.png"/><Relationship Id="rId35" Type="http://schemas.openxmlformats.org/officeDocument/2006/relationships/hyperlink" Target="http://www.abs.gov.au/ausstats/abs@.nsf/mf/7503.0" TargetMode="External"/><Relationship Id="rId43" Type="http://schemas.openxmlformats.org/officeDocument/2006/relationships/header" Target="header11.xm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http://econpapers.repec.org/paper/agsaare07/9454.htm" TargetMode="External"/><Relationship Id="rId38" Type="http://schemas.openxmlformats.org/officeDocument/2006/relationships/hyperlink" Target="http://archive.nwc.gov.au/__data/assets/pdf_file/0019/10783/681-NWC_ImpactsofTrade_web.pdf" TargetMode="External"/><Relationship Id="rId46" Type="http://schemas.openxmlformats.org/officeDocument/2006/relationships/header" Target="header13.xml"/><Relationship Id="rId20" Type="http://schemas.openxmlformats.org/officeDocument/2006/relationships/image" Target="media/image5.png"/><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3.wmf"/></Relationships>
</file>

<file path=word/_rels/footnotes.xml.rels><?xml version="1.0" encoding="UTF-8" standalone="yes"?>
<Relationships xmlns="http://schemas.openxmlformats.org/package/2006/relationships"><Relationship Id="rId1" Type="http://schemas.openxmlformats.org/officeDocument/2006/relationships/hyperlink" Target="https://www.environment.gov.au/water/rural-water/restoring-balance-murray-darling-basin/progress-water-recovery" TargetMode="External"/></Relationships>
</file>

<file path=word/theme/theme1.xml><?xml version="1.0" encoding="utf-8"?>
<a:theme xmlns:a="http://schemas.openxmlformats.org/drawingml/2006/main" name="Aither-01">
  <a:themeElements>
    <a:clrScheme name="Aither">
      <a:dk1>
        <a:sysClr val="windowText" lastClr="000000"/>
      </a:dk1>
      <a:lt1>
        <a:sysClr val="window" lastClr="FFFFFF"/>
      </a:lt1>
      <a:dk2>
        <a:srgbClr val="495257"/>
      </a:dk2>
      <a:lt2>
        <a:srgbClr val="72929B"/>
      </a:lt2>
      <a:accent1>
        <a:srgbClr val="4A5358"/>
      </a:accent1>
      <a:accent2>
        <a:srgbClr val="72929B"/>
      </a:accent2>
      <a:accent3>
        <a:srgbClr val="3583AA"/>
      </a:accent3>
      <a:accent4>
        <a:srgbClr val="7DC0D1"/>
      </a:accent4>
      <a:accent5>
        <a:srgbClr val="CEB651"/>
      </a:accent5>
      <a:accent6>
        <a:srgbClr val="CCBF9B"/>
      </a:accent6>
      <a:hlink>
        <a:srgbClr val="3583AA"/>
      </a:hlink>
      <a:folHlink>
        <a:srgbClr val="7DC0D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
  <Abstract>Abstract/ancillary information</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A341E2F-9C7B-441E-8F43-D9AFE47519C8}"/>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16D887EB-8BF6-4F49-A99E-C4C0355347A7}"/>
</file>

<file path=customXml/itemProps4.xml><?xml version="1.0" encoding="utf-8"?>
<ds:datastoreItem xmlns:ds="http://schemas.openxmlformats.org/officeDocument/2006/customXml" ds:itemID="{E8D3F982-8019-4C9B-BA3F-1E6B60665D17}"/>
</file>

<file path=customXml/itemProps5.xml><?xml version="1.0" encoding="utf-8"?>
<ds:datastoreItem xmlns:ds="http://schemas.openxmlformats.org/officeDocument/2006/customXml" ds:itemID="{12D56F0C-3C48-4A24-B350-EF20ECE370A9}"/>
</file>

<file path=docProps/app.xml><?xml version="1.0" encoding="utf-8"?>
<Properties xmlns="http://schemas.openxmlformats.org/officeDocument/2006/extended-properties" xmlns:vt="http://schemas.openxmlformats.org/officeDocument/2006/docPropsVTypes">
  <Template>Normal</Template>
  <TotalTime>2</TotalTime>
  <Pages>52</Pages>
  <Words>17153</Words>
  <Characters>100108</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Supply-side drivers of water allocation prices</vt:lpstr>
    </vt:vector>
  </TitlesOfParts>
  <Company>dpplus</Company>
  <LinksUpToDate>false</LinksUpToDate>
  <CharactersWithSpaces>117027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Supply-side drivers of water allocation prices</dc:title>
  <dc:creator>Aither</dc:creator>
  <cp:lastModifiedBy>a01081</cp:lastModifiedBy>
  <cp:revision>2</cp:revision>
  <cp:lastPrinted>2016-01-07T21:59:00Z</cp:lastPrinted>
  <dcterms:created xsi:type="dcterms:W3CDTF">2016-04-01T04:31:00Z</dcterms:created>
  <dcterms:modified xsi:type="dcterms:W3CDTF">2016-04-01T04:31:00Z</dcterms:modified>
  <cp:contentStatus>Final Report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