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2AF" w:rsidRPr="007334C5" w:rsidRDefault="007F2D97" w:rsidP="00A93C43">
      <w:pPr>
        <w:tabs>
          <w:tab w:val="left" w:pos="9003"/>
        </w:tabs>
        <w:rPr>
          <w:rFonts w:cstheme="minorHAnsi"/>
        </w:rPr>
        <w:sectPr w:rsidR="000722AF" w:rsidRPr="007334C5" w:rsidSect="0031300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0" w:header="568" w:footer="708" w:gutter="0"/>
          <w:cols w:space="708"/>
          <w:docGrid w:linePitch="360"/>
        </w:sectPr>
      </w:pPr>
      <w:bookmarkStart w:id="0" w:name="_GoBack"/>
      <w:bookmarkEnd w:id="0"/>
      <w:r w:rsidRPr="007334C5">
        <w:rPr>
          <w:rFonts w:cstheme="minorHAnsi"/>
        </w:rPr>
        <w:tab/>
      </w:r>
      <w:r w:rsidR="00A93C43" w:rsidRPr="007334C5">
        <w:rPr>
          <w:rFonts w:cstheme="minorHAnsi"/>
        </w:rPr>
        <w:tab/>
      </w:r>
    </w:p>
    <w:p w:rsidR="00993478" w:rsidRPr="007334C5" w:rsidRDefault="007334C5" w:rsidP="007F2D97">
      <w:pPr>
        <w:tabs>
          <w:tab w:val="left" w:pos="9003"/>
        </w:tabs>
        <w:rPr>
          <w:rFonts w:cstheme="minorHAnsi"/>
        </w:rPr>
        <w:sectPr w:rsidR="00993478" w:rsidRPr="007334C5" w:rsidSect="00B86827">
          <w:type w:val="continuous"/>
          <w:pgSz w:w="11906" w:h="16838"/>
          <w:pgMar w:top="1440" w:right="1440" w:bottom="1440" w:left="0" w:header="567" w:footer="709" w:gutter="0"/>
          <w:cols w:space="708"/>
          <w:docGrid w:linePitch="360"/>
        </w:sectPr>
      </w:pPr>
      <w:r w:rsidRPr="007334C5">
        <w:rPr>
          <w:rFonts w:cstheme="minorHAnsi"/>
          <w:noProof/>
          <w:lang w:eastAsia="en-AU"/>
        </w:rPr>
        <mc:AlternateContent>
          <mc:Choice Requires="wps">
            <w:drawing>
              <wp:anchor distT="45720" distB="45720" distL="114300" distR="114300" simplePos="0" relativeHeight="251659264" behindDoc="1" locked="0" layoutInCell="1" allowOverlap="1" wp14:anchorId="45E7DAE1" wp14:editId="6AC4B377">
                <wp:simplePos x="0" y="0"/>
                <wp:positionH relativeFrom="margin">
                  <wp:posOffset>1115060</wp:posOffset>
                </wp:positionH>
                <wp:positionV relativeFrom="paragraph">
                  <wp:posOffset>151765</wp:posOffset>
                </wp:positionV>
                <wp:extent cx="6116320" cy="7203440"/>
                <wp:effectExtent l="0" t="0" r="0" b="0"/>
                <wp:wrapTight wrapText="bothSides">
                  <wp:wrapPolygon edited="0">
                    <wp:start x="0" y="0"/>
                    <wp:lineTo x="0" y="21600"/>
                    <wp:lineTo x="21600" y="21600"/>
                    <wp:lineTo x="2160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7203440"/>
                        </a:xfrm>
                        <a:prstGeom prst="rect">
                          <a:avLst/>
                        </a:prstGeom>
                        <a:solidFill>
                          <a:srgbClr val="FFFFFF">
                            <a:alpha val="0"/>
                          </a:srgbClr>
                        </a:solidFill>
                        <a:ln w="9525">
                          <a:noFill/>
                          <a:miter lim="800000"/>
                          <a:headEnd/>
                          <a:tailEnd/>
                        </a:ln>
                      </wps:spPr>
                      <wps:txbx>
                        <w:txbxContent>
                          <w:p w:rsidR="00305900" w:rsidRPr="007334C5" w:rsidRDefault="00305900" w:rsidP="00644B79">
                            <w:pPr>
                              <w:spacing w:line="240" w:lineRule="auto"/>
                              <w:rPr>
                                <w:rFonts w:cstheme="minorHAnsi"/>
                                <w:color w:val="FFFFFF" w:themeColor="background1"/>
                                <w:sz w:val="96"/>
                                <w:szCs w:val="120"/>
                              </w:rPr>
                            </w:pPr>
                            <w:r w:rsidRPr="007334C5">
                              <w:rPr>
                                <w:rFonts w:cstheme="minorHAnsi"/>
                                <w:color w:val="FFFFFF" w:themeColor="background1"/>
                                <w:sz w:val="96"/>
                                <w:szCs w:val="120"/>
                              </w:rPr>
                              <w:t>Review of State Priority Projects – Basin Pipe Project</w:t>
                            </w:r>
                          </w:p>
                          <w:p w:rsidR="00305900" w:rsidRPr="007334C5" w:rsidRDefault="00305900" w:rsidP="00644B79">
                            <w:pPr>
                              <w:rPr>
                                <w:rFonts w:cstheme="minorHAnsi"/>
                                <w:color w:val="FFFFFF" w:themeColor="background1"/>
                                <w:sz w:val="44"/>
                              </w:rPr>
                            </w:pPr>
                          </w:p>
                          <w:p w:rsidR="00305900" w:rsidRPr="007334C5" w:rsidRDefault="00305900" w:rsidP="00644B79">
                            <w:pPr>
                              <w:rPr>
                                <w:rFonts w:cstheme="minorHAnsi"/>
                                <w:color w:val="FFFFFF" w:themeColor="background1"/>
                                <w:sz w:val="44"/>
                              </w:rPr>
                            </w:pPr>
                            <w:r w:rsidRPr="007334C5">
                              <w:rPr>
                                <w:rFonts w:cstheme="minorHAnsi"/>
                                <w:color w:val="FFFFFF" w:themeColor="background1"/>
                                <w:sz w:val="44"/>
                              </w:rPr>
                              <w:t>Department of Agriculture and Water Resources</w:t>
                            </w:r>
                          </w:p>
                          <w:p w:rsidR="00305900" w:rsidRPr="007334C5" w:rsidRDefault="00305900" w:rsidP="00644B79">
                            <w:pPr>
                              <w:rPr>
                                <w:rFonts w:cstheme="minorHAnsi"/>
                                <w:b/>
                                <w:color w:val="FFFFFF" w:themeColor="background1"/>
                                <w:sz w:val="36"/>
                              </w:rPr>
                            </w:pPr>
                            <w:r w:rsidRPr="007334C5">
                              <w:rPr>
                                <w:rFonts w:cstheme="minorHAnsi"/>
                                <w:b/>
                                <w:color w:val="FFFFFF" w:themeColor="background1"/>
                                <w:sz w:val="36"/>
                              </w:rPr>
                              <w:t>Final Report</w:t>
                            </w:r>
                          </w:p>
                          <w:p w:rsidR="00305900" w:rsidRPr="007334C5" w:rsidRDefault="00305900" w:rsidP="00644B79">
                            <w:pPr>
                              <w:rPr>
                                <w:rFonts w:cstheme="minorHAnsi"/>
                                <w:color w:val="FFFFFF" w:themeColor="background1"/>
                                <w:sz w:val="32"/>
                              </w:rPr>
                            </w:pPr>
                            <w:r w:rsidRPr="007334C5">
                              <w:rPr>
                                <w:rFonts w:cstheme="minorHAnsi"/>
                                <w:color w:val="FFFFFF" w:themeColor="background1"/>
                                <w:sz w:val="32"/>
                              </w:rPr>
                              <w:t>January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E7DAE1" id="_x0000_t202" coordsize="21600,21600" o:spt="202" path="m,l,21600r21600,l21600,xe">
                <v:stroke joinstyle="miter"/>
                <v:path gradientshapeok="t" o:connecttype="rect"/>
              </v:shapetype>
              <v:shape id="Text Box 2" o:spid="_x0000_s1026" type="#_x0000_t202" style="position:absolute;margin-left:87.8pt;margin-top:11.95pt;width:481.6pt;height:567.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" stroked="f">
                <v:fill opacity="0"/>
                <v:textbox>
                  <w:txbxContent>
                    <w:p w:rsidR="00305900" w:rsidRPr="007334C5" w:rsidRDefault="00305900" w:rsidP="00644B79">
                      <w:pPr>
                        <w:spacing w:line="240" w:lineRule="auto"/>
                        <w:rPr>
                          <w:rFonts w:cstheme="minorHAnsi"/>
                          <w:color w:val="FFFFFF" w:themeColor="background1"/>
                          <w:sz w:val="96"/>
                          <w:szCs w:val="120"/>
                        </w:rPr>
                      </w:pPr>
                      <w:r w:rsidRPr="007334C5">
                        <w:rPr>
                          <w:rFonts w:cstheme="minorHAnsi"/>
                          <w:color w:val="FFFFFF" w:themeColor="background1"/>
                          <w:sz w:val="96"/>
                          <w:szCs w:val="120"/>
                        </w:rPr>
                        <w:t>Review of State Priority Projects – Basin Pipe Project</w:t>
                      </w:r>
                    </w:p>
                    <w:p w:rsidR="00305900" w:rsidRPr="007334C5" w:rsidRDefault="00305900" w:rsidP="00644B79">
                      <w:pPr>
                        <w:rPr>
                          <w:rFonts w:cstheme="minorHAnsi"/>
                          <w:color w:val="FFFFFF" w:themeColor="background1"/>
                          <w:sz w:val="44"/>
                        </w:rPr>
                      </w:pPr>
                    </w:p>
                    <w:p w:rsidR="00305900" w:rsidRPr="007334C5" w:rsidRDefault="00305900" w:rsidP="00644B79">
                      <w:pPr>
                        <w:rPr>
                          <w:rFonts w:cstheme="minorHAnsi"/>
                          <w:color w:val="FFFFFF" w:themeColor="background1"/>
                          <w:sz w:val="44"/>
                        </w:rPr>
                      </w:pPr>
                      <w:r w:rsidRPr="007334C5">
                        <w:rPr>
                          <w:rFonts w:cstheme="minorHAnsi"/>
                          <w:color w:val="FFFFFF" w:themeColor="background1"/>
                          <w:sz w:val="44"/>
                        </w:rPr>
                        <w:t>Department of Agriculture and Water Resources</w:t>
                      </w:r>
                    </w:p>
                    <w:p w:rsidR="00305900" w:rsidRPr="007334C5" w:rsidRDefault="00305900" w:rsidP="00644B79">
                      <w:pPr>
                        <w:rPr>
                          <w:rFonts w:cstheme="minorHAnsi"/>
                          <w:b/>
                          <w:color w:val="FFFFFF" w:themeColor="background1"/>
                          <w:sz w:val="36"/>
                        </w:rPr>
                      </w:pPr>
                      <w:r w:rsidRPr="007334C5">
                        <w:rPr>
                          <w:rFonts w:cstheme="minorHAnsi"/>
                          <w:b/>
                          <w:color w:val="FFFFFF" w:themeColor="background1"/>
                          <w:sz w:val="36"/>
                        </w:rPr>
                        <w:t>Final Report</w:t>
                      </w:r>
                    </w:p>
                    <w:p w:rsidR="00305900" w:rsidRPr="007334C5" w:rsidRDefault="00305900" w:rsidP="00644B79">
                      <w:pPr>
                        <w:rPr>
                          <w:rFonts w:cstheme="minorHAnsi"/>
                          <w:color w:val="FFFFFF" w:themeColor="background1"/>
                          <w:sz w:val="32"/>
                        </w:rPr>
                      </w:pPr>
                      <w:r w:rsidRPr="007334C5">
                        <w:rPr>
                          <w:rFonts w:cstheme="minorHAnsi"/>
                          <w:color w:val="FFFFFF" w:themeColor="background1"/>
                          <w:sz w:val="32"/>
                        </w:rPr>
                        <w:t>January 2019</w:t>
                      </w:r>
                    </w:p>
                  </w:txbxContent>
                </v:textbox>
                <w10:wrap type="tight" anchorx="margin"/>
              </v:shape>
            </w:pict>
          </mc:Fallback>
        </mc:AlternateContent>
      </w:r>
    </w:p>
    <w:bookmarkStart w:id="1" w:name="_Toc523310457" w:displacedByCustomXml="next"/>
    <w:bookmarkStart w:id="2" w:name="_Toc521604938" w:displacedByCustomXml="next"/>
    <w:bookmarkStart w:id="3" w:name="_Toc522868833" w:displacedByCustomXml="next"/>
    <w:bookmarkStart w:id="4" w:name="_Toc515451807" w:displacedByCustomXml="next"/>
    <w:sdt>
      <w:sdtPr>
        <w:rPr>
          <w:rFonts w:asciiTheme="minorHAnsi" w:eastAsiaTheme="minorEastAsia" w:hAnsiTheme="minorHAnsi" w:cstheme="minorHAnsi"/>
          <w:b/>
          <w:lang w:eastAsia="zh-CN"/>
        </w:rPr>
        <w:id w:val="1152488339"/>
        <w:docPartObj>
          <w:docPartGallery w:val="Table of Contents"/>
          <w:docPartUnique/>
        </w:docPartObj>
      </w:sdtPr>
      <w:sdtEndPr>
        <w:rPr>
          <w:b w:val="0"/>
          <w:bCs/>
          <w:noProof/>
        </w:rPr>
      </w:sdtEndPr>
      <w:sdtContent>
        <w:bookmarkEnd w:id="3" w:displacedByCustomXml="prev"/>
        <w:bookmarkEnd w:id="2" w:displacedByCustomXml="prev"/>
        <w:bookmarkEnd w:id="1" w:displacedByCustomXml="prev"/>
        <w:p w:rsidR="003E11BF" w:rsidRPr="007334C5" w:rsidRDefault="003E11BF" w:rsidP="003E11BF">
          <w:pPr>
            <w:pStyle w:val="BodyText1"/>
            <w:spacing w:after="240"/>
            <w:rPr>
              <w:rFonts w:asciiTheme="minorHAnsi" w:hAnsiTheme="minorHAnsi" w:cstheme="minorHAnsi"/>
              <w:sz w:val="20"/>
            </w:rPr>
          </w:pPr>
          <w:r w:rsidRPr="007334C5">
            <w:rPr>
              <w:rFonts w:asciiTheme="minorHAnsi" w:hAnsiTheme="minorHAnsi" w:cstheme="minorHAnsi"/>
              <w:color w:val="0070C0"/>
              <w:sz w:val="72"/>
              <w:szCs w:val="96"/>
            </w:rPr>
            <w:t>Contents</w:t>
          </w:r>
        </w:p>
        <w:p w:rsidR="0046219A" w:rsidRPr="007334C5" w:rsidRDefault="002A20A1">
          <w:pPr>
            <w:pStyle w:val="TOC1"/>
            <w:tabs>
              <w:tab w:val="left" w:pos="440"/>
              <w:tab w:val="right" w:leader="dot" w:pos="9485"/>
            </w:tabs>
            <w:rPr>
              <w:rFonts w:asciiTheme="minorHAnsi" w:hAnsiTheme="minorHAnsi" w:cstheme="minorHAnsi"/>
              <w:b w:val="0"/>
              <w:noProof/>
              <w:sz w:val="22"/>
              <w:lang w:eastAsia="en-AU"/>
            </w:rPr>
          </w:pPr>
          <w:r w:rsidRPr="007334C5">
            <w:rPr>
              <w:rFonts w:asciiTheme="minorHAnsi" w:hAnsiTheme="minorHAnsi" w:cstheme="minorHAnsi"/>
              <w:b w:val="0"/>
              <w:sz w:val="22"/>
            </w:rPr>
            <w:fldChar w:fldCharType="begin"/>
          </w:r>
          <w:r w:rsidRPr="007334C5">
            <w:rPr>
              <w:rFonts w:asciiTheme="minorHAnsi" w:hAnsiTheme="minorHAnsi" w:cstheme="minorHAnsi"/>
              <w:b w:val="0"/>
              <w:sz w:val="22"/>
            </w:rPr>
            <w:instrText xml:space="preserve"> TOC \o "1-2" \h \z \u </w:instrText>
          </w:r>
          <w:r w:rsidRPr="007334C5">
            <w:rPr>
              <w:rFonts w:asciiTheme="minorHAnsi" w:hAnsiTheme="minorHAnsi" w:cstheme="minorHAnsi"/>
              <w:b w:val="0"/>
              <w:sz w:val="22"/>
            </w:rPr>
            <w:fldChar w:fldCharType="separate"/>
          </w:r>
          <w:hyperlink w:anchor="_Toc535401126" w:history="1">
            <w:r w:rsidR="0046219A" w:rsidRPr="007334C5">
              <w:rPr>
                <w:rStyle w:val="Hyperlink"/>
                <w:rFonts w:asciiTheme="minorHAnsi" w:hAnsiTheme="minorHAnsi" w:cstheme="minorHAnsi"/>
                <w:noProof/>
              </w:rPr>
              <w:t>1</w:t>
            </w:r>
            <w:r w:rsidR="0046219A" w:rsidRPr="007334C5">
              <w:rPr>
                <w:rFonts w:asciiTheme="minorHAnsi" w:hAnsiTheme="minorHAnsi" w:cstheme="minorHAnsi"/>
                <w:b w:val="0"/>
                <w:noProof/>
                <w:sz w:val="22"/>
                <w:lang w:eastAsia="en-AU"/>
              </w:rPr>
              <w:tab/>
            </w:r>
            <w:r w:rsidR="0046219A" w:rsidRPr="007334C5">
              <w:rPr>
                <w:rStyle w:val="Hyperlink"/>
                <w:rFonts w:asciiTheme="minorHAnsi" w:hAnsiTheme="minorHAnsi" w:cstheme="minorHAnsi"/>
                <w:noProof/>
              </w:rPr>
              <w:t>Executive summary</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_Toc535401126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3</w:t>
            </w:r>
            <w:r w:rsidR="0046219A" w:rsidRPr="007334C5">
              <w:rPr>
                <w:rFonts w:asciiTheme="minorHAnsi" w:hAnsiTheme="minorHAnsi" w:cstheme="minorHAnsi"/>
                <w:noProof/>
                <w:webHidden/>
              </w:rPr>
              <w:fldChar w:fldCharType="end"/>
            </w:r>
          </w:hyperlink>
        </w:p>
        <w:p w:rsidR="0046219A" w:rsidRPr="007334C5" w:rsidRDefault="00767016">
          <w:pPr>
            <w:pStyle w:val="TOC1"/>
            <w:tabs>
              <w:tab w:val="left" w:pos="440"/>
              <w:tab w:val="right" w:leader="dot" w:pos="9485"/>
            </w:tabs>
            <w:rPr>
              <w:rFonts w:asciiTheme="minorHAnsi" w:hAnsiTheme="minorHAnsi" w:cstheme="minorHAnsi"/>
              <w:b w:val="0"/>
              <w:noProof/>
              <w:sz w:val="22"/>
              <w:lang w:eastAsia="en-AU"/>
            </w:rPr>
          </w:pPr>
          <w:hyperlink w:anchor="_Toc535401127" w:history="1">
            <w:r w:rsidR="0046219A" w:rsidRPr="007334C5">
              <w:rPr>
                <w:rStyle w:val="Hyperlink"/>
                <w:rFonts w:asciiTheme="minorHAnsi" w:hAnsiTheme="minorHAnsi" w:cstheme="minorHAnsi"/>
                <w:noProof/>
              </w:rPr>
              <w:t>2</w:t>
            </w:r>
            <w:r w:rsidR="0046219A" w:rsidRPr="007334C5">
              <w:rPr>
                <w:rFonts w:asciiTheme="minorHAnsi" w:hAnsiTheme="minorHAnsi" w:cstheme="minorHAnsi"/>
                <w:b w:val="0"/>
                <w:noProof/>
                <w:sz w:val="22"/>
                <w:lang w:eastAsia="en-AU"/>
              </w:rPr>
              <w:tab/>
            </w:r>
            <w:r w:rsidR="0046219A" w:rsidRPr="007334C5">
              <w:rPr>
                <w:rStyle w:val="Hyperlink"/>
                <w:rFonts w:asciiTheme="minorHAnsi" w:hAnsiTheme="minorHAnsi" w:cstheme="minorHAnsi"/>
                <w:noProof/>
              </w:rPr>
              <w:t>Introduction</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_Toc535401127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4</w:t>
            </w:r>
            <w:r w:rsidR="0046219A" w:rsidRPr="007334C5">
              <w:rPr>
                <w:rFonts w:asciiTheme="minorHAnsi" w:hAnsiTheme="minorHAnsi" w:cstheme="minorHAnsi"/>
                <w:noProof/>
                <w:webHidden/>
              </w:rPr>
              <w:fldChar w:fldCharType="end"/>
            </w:r>
          </w:hyperlink>
        </w:p>
        <w:p w:rsidR="0046219A" w:rsidRPr="007334C5" w:rsidRDefault="00767016">
          <w:pPr>
            <w:pStyle w:val="TOC2"/>
            <w:tabs>
              <w:tab w:val="left" w:pos="880"/>
              <w:tab w:val="right" w:leader="dot" w:pos="9485"/>
            </w:tabs>
            <w:rPr>
              <w:rFonts w:asciiTheme="minorHAnsi" w:hAnsiTheme="minorHAnsi" w:cstheme="minorHAnsi"/>
              <w:noProof/>
              <w:lang w:eastAsia="en-AU"/>
            </w:rPr>
          </w:pPr>
          <w:hyperlink w:anchor="_Toc535401128" w:history="1">
            <w:r w:rsidR="0046219A" w:rsidRPr="007334C5">
              <w:rPr>
                <w:rStyle w:val="Hyperlink"/>
                <w:rFonts w:asciiTheme="minorHAnsi" w:hAnsiTheme="minorHAnsi" w:cstheme="minorHAnsi"/>
                <w:noProof/>
              </w:rPr>
              <w:t>2.1</w:t>
            </w:r>
            <w:r w:rsidR="0046219A" w:rsidRPr="007334C5">
              <w:rPr>
                <w:rFonts w:asciiTheme="minorHAnsi" w:hAnsiTheme="minorHAnsi" w:cstheme="minorHAnsi"/>
                <w:noProof/>
                <w:lang w:eastAsia="en-AU"/>
              </w:rPr>
              <w:tab/>
            </w:r>
            <w:r w:rsidR="0046219A" w:rsidRPr="007334C5">
              <w:rPr>
                <w:rStyle w:val="Hyperlink"/>
                <w:rFonts w:asciiTheme="minorHAnsi" w:hAnsiTheme="minorHAnsi" w:cstheme="minorHAnsi"/>
                <w:noProof/>
              </w:rPr>
              <w:t>Background</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_Toc535401128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4</w:t>
            </w:r>
            <w:r w:rsidR="0046219A" w:rsidRPr="007334C5">
              <w:rPr>
                <w:rFonts w:asciiTheme="minorHAnsi" w:hAnsiTheme="minorHAnsi" w:cstheme="minorHAnsi"/>
                <w:noProof/>
                <w:webHidden/>
              </w:rPr>
              <w:fldChar w:fldCharType="end"/>
            </w:r>
          </w:hyperlink>
        </w:p>
        <w:p w:rsidR="0046219A" w:rsidRPr="007334C5" w:rsidRDefault="00767016">
          <w:pPr>
            <w:pStyle w:val="TOC2"/>
            <w:tabs>
              <w:tab w:val="left" w:pos="880"/>
              <w:tab w:val="right" w:leader="dot" w:pos="9485"/>
            </w:tabs>
            <w:rPr>
              <w:rFonts w:asciiTheme="minorHAnsi" w:hAnsiTheme="minorHAnsi" w:cstheme="minorHAnsi"/>
              <w:noProof/>
              <w:lang w:eastAsia="en-AU"/>
            </w:rPr>
          </w:pPr>
          <w:hyperlink w:anchor="_Toc535401129" w:history="1">
            <w:r w:rsidR="0046219A" w:rsidRPr="007334C5">
              <w:rPr>
                <w:rStyle w:val="Hyperlink"/>
                <w:rFonts w:asciiTheme="minorHAnsi" w:hAnsiTheme="minorHAnsi" w:cstheme="minorHAnsi"/>
                <w:noProof/>
              </w:rPr>
              <w:t>2.2</w:t>
            </w:r>
            <w:r w:rsidR="0046219A" w:rsidRPr="007334C5">
              <w:rPr>
                <w:rFonts w:asciiTheme="minorHAnsi" w:hAnsiTheme="minorHAnsi" w:cstheme="minorHAnsi"/>
                <w:noProof/>
                <w:lang w:eastAsia="en-AU"/>
              </w:rPr>
              <w:tab/>
            </w:r>
            <w:r w:rsidR="0046219A" w:rsidRPr="007334C5">
              <w:rPr>
                <w:rStyle w:val="Hyperlink"/>
                <w:rFonts w:asciiTheme="minorHAnsi" w:hAnsiTheme="minorHAnsi" w:cstheme="minorHAnsi"/>
                <w:noProof/>
              </w:rPr>
              <w:t>Purpose of this report</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_Toc535401129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4</w:t>
            </w:r>
            <w:r w:rsidR="0046219A" w:rsidRPr="007334C5">
              <w:rPr>
                <w:rFonts w:asciiTheme="minorHAnsi" w:hAnsiTheme="minorHAnsi" w:cstheme="minorHAnsi"/>
                <w:noProof/>
                <w:webHidden/>
              </w:rPr>
              <w:fldChar w:fldCharType="end"/>
            </w:r>
          </w:hyperlink>
        </w:p>
        <w:p w:rsidR="0046219A" w:rsidRPr="007334C5" w:rsidRDefault="00767016">
          <w:pPr>
            <w:pStyle w:val="TOC2"/>
            <w:tabs>
              <w:tab w:val="left" w:pos="880"/>
              <w:tab w:val="right" w:leader="dot" w:pos="9485"/>
            </w:tabs>
            <w:rPr>
              <w:rFonts w:asciiTheme="minorHAnsi" w:hAnsiTheme="minorHAnsi" w:cstheme="minorHAnsi"/>
              <w:noProof/>
              <w:lang w:eastAsia="en-AU"/>
            </w:rPr>
          </w:pPr>
          <w:hyperlink w:anchor="_Toc535401130" w:history="1">
            <w:r w:rsidR="0046219A" w:rsidRPr="007334C5">
              <w:rPr>
                <w:rStyle w:val="Hyperlink"/>
                <w:rFonts w:asciiTheme="minorHAnsi" w:hAnsiTheme="minorHAnsi" w:cstheme="minorHAnsi"/>
                <w:noProof/>
              </w:rPr>
              <w:t>2.3</w:t>
            </w:r>
            <w:r w:rsidR="0046219A" w:rsidRPr="007334C5">
              <w:rPr>
                <w:rFonts w:asciiTheme="minorHAnsi" w:hAnsiTheme="minorHAnsi" w:cstheme="minorHAnsi"/>
                <w:noProof/>
                <w:lang w:eastAsia="en-AU"/>
              </w:rPr>
              <w:tab/>
            </w:r>
            <w:r w:rsidR="0046219A" w:rsidRPr="007334C5">
              <w:rPr>
                <w:rStyle w:val="Hyperlink"/>
                <w:rFonts w:asciiTheme="minorHAnsi" w:hAnsiTheme="minorHAnsi" w:cstheme="minorHAnsi"/>
                <w:noProof/>
              </w:rPr>
              <w:t>Approach to this review</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_Toc535401130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5</w:t>
            </w:r>
            <w:r w:rsidR="0046219A" w:rsidRPr="007334C5">
              <w:rPr>
                <w:rFonts w:asciiTheme="minorHAnsi" w:hAnsiTheme="minorHAnsi" w:cstheme="minorHAnsi"/>
                <w:noProof/>
                <w:webHidden/>
              </w:rPr>
              <w:fldChar w:fldCharType="end"/>
            </w:r>
          </w:hyperlink>
        </w:p>
        <w:p w:rsidR="0046219A" w:rsidRPr="007334C5" w:rsidRDefault="00767016">
          <w:pPr>
            <w:pStyle w:val="TOC2"/>
            <w:tabs>
              <w:tab w:val="left" w:pos="880"/>
              <w:tab w:val="right" w:leader="dot" w:pos="9485"/>
            </w:tabs>
            <w:rPr>
              <w:rFonts w:asciiTheme="minorHAnsi" w:hAnsiTheme="minorHAnsi" w:cstheme="minorHAnsi"/>
              <w:noProof/>
              <w:lang w:eastAsia="en-AU"/>
            </w:rPr>
          </w:pPr>
          <w:hyperlink w:anchor="_Toc535401131" w:history="1">
            <w:r w:rsidR="0046219A" w:rsidRPr="007334C5">
              <w:rPr>
                <w:rStyle w:val="Hyperlink"/>
                <w:rFonts w:asciiTheme="minorHAnsi" w:hAnsiTheme="minorHAnsi" w:cstheme="minorHAnsi"/>
                <w:noProof/>
              </w:rPr>
              <w:t>2.4</w:t>
            </w:r>
            <w:r w:rsidR="0046219A" w:rsidRPr="007334C5">
              <w:rPr>
                <w:rFonts w:asciiTheme="minorHAnsi" w:hAnsiTheme="minorHAnsi" w:cstheme="minorHAnsi"/>
                <w:noProof/>
                <w:lang w:eastAsia="en-AU"/>
              </w:rPr>
              <w:tab/>
            </w:r>
            <w:r w:rsidR="0046219A" w:rsidRPr="007334C5">
              <w:rPr>
                <w:rStyle w:val="Hyperlink"/>
                <w:rFonts w:asciiTheme="minorHAnsi" w:hAnsiTheme="minorHAnsi" w:cstheme="minorHAnsi"/>
                <w:noProof/>
              </w:rPr>
              <w:t>Summary of assessment</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_Toc535401131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5</w:t>
            </w:r>
            <w:r w:rsidR="0046219A" w:rsidRPr="007334C5">
              <w:rPr>
                <w:rFonts w:asciiTheme="minorHAnsi" w:hAnsiTheme="minorHAnsi" w:cstheme="minorHAnsi"/>
                <w:noProof/>
                <w:webHidden/>
              </w:rPr>
              <w:fldChar w:fldCharType="end"/>
            </w:r>
          </w:hyperlink>
        </w:p>
        <w:p w:rsidR="0046219A" w:rsidRPr="007334C5" w:rsidRDefault="00767016">
          <w:pPr>
            <w:pStyle w:val="TOC1"/>
            <w:tabs>
              <w:tab w:val="left" w:pos="440"/>
              <w:tab w:val="right" w:leader="dot" w:pos="9485"/>
            </w:tabs>
            <w:rPr>
              <w:rFonts w:asciiTheme="minorHAnsi" w:hAnsiTheme="minorHAnsi" w:cstheme="minorHAnsi"/>
              <w:b w:val="0"/>
              <w:noProof/>
              <w:sz w:val="22"/>
              <w:lang w:eastAsia="en-AU"/>
            </w:rPr>
          </w:pPr>
          <w:hyperlink w:anchor="_Toc535401132" w:history="1">
            <w:r w:rsidR="0046219A" w:rsidRPr="007334C5">
              <w:rPr>
                <w:rStyle w:val="Hyperlink"/>
                <w:rFonts w:asciiTheme="minorHAnsi" w:hAnsiTheme="minorHAnsi" w:cstheme="minorHAnsi"/>
                <w:noProof/>
              </w:rPr>
              <w:t>3</w:t>
            </w:r>
            <w:r w:rsidR="0046219A" w:rsidRPr="007334C5">
              <w:rPr>
                <w:rFonts w:asciiTheme="minorHAnsi" w:hAnsiTheme="minorHAnsi" w:cstheme="minorHAnsi"/>
                <w:b w:val="0"/>
                <w:noProof/>
                <w:sz w:val="22"/>
                <w:lang w:eastAsia="en-AU"/>
              </w:rPr>
              <w:tab/>
            </w:r>
            <w:r w:rsidR="0046219A" w:rsidRPr="007334C5">
              <w:rPr>
                <w:rStyle w:val="Hyperlink"/>
                <w:rFonts w:asciiTheme="minorHAnsi" w:hAnsiTheme="minorHAnsi" w:cstheme="minorHAnsi"/>
                <w:noProof/>
              </w:rPr>
              <w:t>Findings and observations</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_Toc535401132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7</w:t>
            </w:r>
            <w:r w:rsidR="0046219A" w:rsidRPr="007334C5">
              <w:rPr>
                <w:rFonts w:asciiTheme="minorHAnsi" w:hAnsiTheme="minorHAnsi" w:cstheme="minorHAnsi"/>
                <w:noProof/>
                <w:webHidden/>
              </w:rPr>
              <w:fldChar w:fldCharType="end"/>
            </w:r>
          </w:hyperlink>
        </w:p>
        <w:p w:rsidR="0046219A" w:rsidRPr="007334C5" w:rsidRDefault="00767016">
          <w:pPr>
            <w:pStyle w:val="TOC2"/>
            <w:tabs>
              <w:tab w:val="left" w:pos="880"/>
              <w:tab w:val="right" w:leader="dot" w:pos="9485"/>
            </w:tabs>
            <w:rPr>
              <w:rFonts w:asciiTheme="minorHAnsi" w:hAnsiTheme="minorHAnsi" w:cstheme="minorHAnsi"/>
              <w:noProof/>
              <w:lang w:eastAsia="en-AU"/>
            </w:rPr>
          </w:pPr>
          <w:hyperlink w:anchor="_Toc535401133" w:history="1">
            <w:r w:rsidR="0046219A" w:rsidRPr="007334C5">
              <w:rPr>
                <w:rStyle w:val="Hyperlink"/>
                <w:rFonts w:asciiTheme="minorHAnsi" w:hAnsiTheme="minorHAnsi" w:cstheme="minorHAnsi"/>
                <w:noProof/>
              </w:rPr>
              <w:t>3.1</w:t>
            </w:r>
            <w:r w:rsidR="0046219A" w:rsidRPr="007334C5">
              <w:rPr>
                <w:rFonts w:asciiTheme="minorHAnsi" w:hAnsiTheme="minorHAnsi" w:cstheme="minorHAnsi"/>
                <w:noProof/>
                <w:lang w:eastAsia="en-AU"/>
              </w:rPr>
              <w:tab/>
            </w:r>
            <w:r w:rsidR="0046219A" w:rsidRPr="007334C5">
              <w:rPr>
                <w:rStyle w:val="Hyperlink"/>
                <w:rFonts w:asciiTheme="minorHAnsi" w:hAnsiTheme="minorHAnsi" w:cstheme="minorHAnsi"/>
                <w:noProof/>
              </w:rPr>
              <w:t>Governance and reporting</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_Toc535401133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7</w:t>
            </w:r>
            <w:r w:rsidR="0046219A" w:rsidRPr="007334C5">
              <w:rPr>
                <w:rFonts w:asciiTheme="minorHAnsi" w:hAnsiTheme="minorHAnsi" w:cstheme="minorHAnsi"/>
                <w:noProof/>
                <w:webHidden/>
              </w:rPr>
              <w:fldChar w:fldCharType="end"/>
            </w:r>
          </w:hyperlink>
        </w:p>
        <w:p w:rsidR="0046219A" w:rsidRPr="007334C5" w:rsidRDefault="00767016">
          <w:pPr>
            <w:pStyle w:val="TOC2"/>
            <w:tabs>
              <w:tab w:val="left" w:pos="880"/>
              <w:tab w:val="right" w:leader="dot" w:pos="9485"/>
            </w:tabs>
            <w:rPr>
              <w:rFonts w:asciiTheme="minorHAnsi" w:hAnsiTheme="minorHAnsi" w:cstheme="minorHAnsi"/>
              <w:noProof/>
              <w:lang w:eastAsia="en-AU"/>
            </w:rPr>
          </w:pPr>
          <w:hyperlink w:anchor="_Toc535401134" w:history="1">
            <w:r w:rsidR="0046219A" w:rsidRPr="007334C5">
              <w:rPr>
                <w:rStyle w:val="Hyperlink"/>
                <w:rFonts w:asciiTheme="minorHAnsi" w:hAnsiTheme="minorHAnsi" w:cstheme="minorHAnsi"/>
                <w:noProof/>
              </w:rPr>
              <w:t>3.2</w:t>
            </w:r>
            <w:r w:rsidR="0046219A" w:rsidRPr="007334C5">
              <w:rPr>
                <w:rFonts w:asciiTheme="minorHAnsi" w:hAnsiTheme="minorHAnsi" w:cstheme="minorHAnsi"/>
                <w:noProof/>
                <w:lang w:eastAsia="en-AU"/>
              </w:rPr>
              <w:tab/>
            </w:r>
            <w:r w:rsidR="0046219A" w:rsidRPr="007334C5">
              <w:rPr>
                <w:rStyle w:val="Hyperlink"/>
                <w:rFonts w:asciiTheme="minorHAnsi" w:hAnsiTheme="minorHAnsi" w:cstheme="minorHAnsi"/>
                <w:noProof/>
              </w:rPr>
              <w:t>Scheme design and approval</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_Toc535401134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8</w:t>
            </w:r>
            <w:r w:rsidR="0046219A" w:rsidRPr="007334C5">
              <w:rPr>
                <w:rFonts w:asciiTheme="minorHAnsi" w:hAnsiTheme="minorHAnsi" w:cstheme="minorHAnsi"/>
                <w:noProof/>
                <w:webHidden/>
              </w:rPr>
              <w:fldChar w:fldCharType="end"/>
            </w:r>
          </w:hyperlink>
        </w:p>
        <w:p w:rsidR="0046219A" w:rsidRPr="007334C5" w:rsidRDefault="00767016">
          <w:pPr>
            <w:pStyle w:val="TOC2"/>
            <w:tabs>
              <w:tab w:val="left" w:pos="880"/>
              <w:tab w:val="right" w:leader="dot" w:pos="9485"/>
            </w:tabs>
            <w:rPr>
              <w:rFonts w:asciiTheme="minorHAnsi" w:hAnsiTheme="minorHAnsi" w:cstheme="minorHAnsi"/>
              <w:noProof/>
              <w:lang w:eastAsia="en-AU"/>
            </w:rPr>
          </w:pPr>
          <w:hyperlink w:anchor="_Toc535401135" w:history="1">
            <w:r w:rsidR="0046219A" w:rsidRPr="007334C5">
              <w:rPr>
                <w:rStyle w:val="Hyperlink"/>
                <w:rFonts w:asciiTheme="minorHAnsi" w:hAnsiTheme="minorHAnsi" w:cstheme="minorHAnsi"/>
                <w:noProof/>
              </w:rPr>
              <w:t>3.3</w:t>
            </w:r>
            <w:r w:rsidR="0046219A" w:rsidRPr="007334C5">
              <w:rPr>
                <w:rFonts w:asciiTheme="minorHAnsi" w:hAnsiTheme="minorHAnsi" w:cstheme="minorHAnsi"/>
                <w:noProof/>
                <w:lang w:eastAsia="en-AU"/>
              </w:rPr>
              <w:tab/>
            </w:r>
            <w:r w:rsidR="0046219A" w:rsidRPr="007334C5">
              <w:rPr>
                <w:rStyle w:val="Hyperlink"/>
                <w:rFonts w:asciiTheme="minorHAnsi" w:hAnsiTheme="minorHAnsi" w:cstheme="minorHAnsi"/>
                <w:noProof/>
              </w:rPr>
              <w:t>Risk and issue management</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_Toc535401135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8</w:t>
            </w:r>
            <w:r w:rsidR="0046219A" w:rsidRPr="007334C5">
              <w:rPr>
                <w:rFonts w:asciiTheme="minorHAnsi" w:hAnsiTheme="minorHAnsi" w:cstheme="minorHAnsi"/>
                <w:noProof/>
                <w:webHidden/>
              </w:rPr>
              <w:fldChar w:fldCharType="end"/>
            </w:r>
          </w:hyperlink>
        </w:p>
        <w:p w:rsidR="0046219A" w:rsidRPr="007334C5" w:rsidRDefault="00767016">
          <w:pPr>
            <w:pStyle w:val="TOC2"/>
            <w:tabs>
              <w:tab w:val="left" w:pos="880"/>
              <w:tab w:val="right" w:leader="dot" w:pos="9485"/>
            </w:tabs>
            <w:rPr>
              <w:rFonts w:asciiTheme="minorHAnsi" w:hAnsiTheme="minorHAnsi" w:cstheme="minorHAnsi"/>
              <w:noProof/>
              <w:lang w:eastAsia="en-AU"/>
            </w:rPr>
          </w:pPr>
          <w:hyperlink w:anchor="_Toc535401136" w:history="1">
            <w:r w:rsidR="0046219A" w:rsidRPr="007334C5">
              <w:rPr>
                <w:rStyle w:val="Hyperlink"/>
                <w:rFonts w:asciiTheme="minorHAnsi" w:hAnsiTheme="minorHAnsi" w:cstheme="minorHAnsi"/>
                <w:noProof/>
              </w:rPr>
              <w:t>3.4</w:t>
            </w:r>
            <w:r w:rsidR="0046219A" w:rsidRPr="007334C5">
              <w:rPr>
                <w:rFonts w:asciiTheme="minorHAnsi" w:hAnsiTheme="minorHAnsi" w:cstheme="minorHAnsi"/>
                <w:noProof/>
                <w:lang w:eastAsia="en-AU"/>
              </w:rPr>
              <w:tab/>
            </w:r>
            <w:r w:rsidR="0046219A" w:rsidRPr="007334C5">
              <w:rPr>
                <w:rStyle w:val="Hyperlink"/>
                <w:rFonts w:asciiTheme="minorHAnsi" w:hAnsiTheme="minorHAnsi" w:cstheme="minorHAnsi"/>
                <w:noProof/>
              </w:rPr>
              <w:t>Financial management</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_Toc535401136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9</w:t>
            </w:r>
            <w:r w:rsidR="0046219A" w:rsidRPr="007334C5">
              <w:rPr>
                <w:rFonts w:asciiTheme="minorHAnsi" w:hAnsiTheme="minorHAnsi" w:cstheme="minorHAnsi"/>
                <w:noProof/>
                <w:webHidden/>
              </w:rPr>
              <w:fldChar w:fldCharType="end"/>
            </w:r>
          </w:hyperlink>
        </w:p>
        <w:p w:rsidR="0046219A" w:rsidRPr="007334C5" w:rsidRDefault="00767016">
          <w:pPr>
            <w:pStyle w:val="TOC2"/>
            <w:tabs>
              <w:tab w:val="left" w:pos="880"/>
              <w:tab w:val="right" w:leader="dot" w:pos="9485"/>
            </w:tabs>
            <w:rPr>
              <w:rFonts w:asciiTheme="minorHAnsi" w:hAnsiTheme="minorHAnsi" w:cstheme="minorHAnsi"/>
              <w:noProof/>
              <w:lang w:eastAsia="en-AU"/>
            </w:rPr>
          </w:pPr>
          <w:hyperlink w:anchor="_Toc535401137" w:history="1">
            <w:r w:rsidR="0046219A" w:rsidRPr="007334C5">
              <w:rPr>
                <w:rStyle w:val="Hyperlink"/>
                <w:rFonts w:asciiTheme="minorHAnsi" w:hAnsiTheme="minorHAnsi" w:cstheme="minorHAnsi"/>
                <w:noProof/>
              </w:rPr>
              <w:t>3.5</w:t>
            </w:r>
            <w:r w:rsidR="0046219A" w:rsidRPr="007334C5">
              <w:rPr>
                <w:rFonts w:asciiTheme="minorHAnsi" w:hAnsiTheme="minorHAnsi" w:cstheme="minorHAnsi"/>
                <w:noProof/>
                <w:lang w:eastAsia="en-AU"/>
              </w:rPr>
              <w:tab/>
            </w:r>
            <w:r w:rsidR="0046219A" w:rsidRPr="007334C5">
              <w:rPr>
                <w:rStyle w:val="Hyperlink"/>
                <w:rFonts w:asciiTheme="minorHAnsi" w:hAnsiTheme="minorHAnsi" w:cstheme="minorHAnsi"/>
                <w:noProof/>
              </w:rPr>
              <w:t>Stakeholder engagement</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_Toc535401137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10</w:t>
            </w:r>
            <w:r w:rsidR="0046219A" w:rsidRPr="007334C5">
              <w:rPr>
                <w:rFonts w:asciiTheme="minorHAnsi" w:hAnsiTheme="minorHAnsi" w:cstheme="minorHAnsi"/>
                <w:noProof/>
                <w:webHidden/>
              </w:rPr>
              <w:fldChar w:fldCharType="end"/>
            </w:r>
          </w:hyperlink>
        </w:p>
        <w:p w:rsidR="0046219A" w:rsidRPr="007334C5" w:rsidRDefault="00767016">
          <w:pPr>
            <w:pStyle w:val="TOC2"/>
            <w:tabs>
              <w:tab w:val="left" w:pos="880"/>
              <w:tab w:val="right" w:leader="dot" w:pos="9485"/>
            </w:tabs>
            <w:rPr>
              <w:rFonts w:asciiTheme="minorHAnsi" w:hAnsiTheme="minorHAnsi" w:cstheme="minorHAnsi"/>
              <w:noProof/>
              <w:lang w:eastAsia="en-AU"/>
            </w:rPr>
          </w:pPr>
          <w:hyperlink w:anchor="_Toc535401138" w:history="1">
            <w:r w:rsidR="0046219A" w:rsidRPr="007334C5">
              <w:rPr>
                <w:rStyle w:val="Hyperlink"/>
                <w:rFonts w:asciiTheme="minorHAnsi" w:hAnsiTheme="minorHAnsi" w:cstheme="minorHAnsi"/>
                <w:noProof/>
              </w:rPr>
              <w:t>3.6</w:t>
            </w:r>
            <w:r w:rsidR="0046219A" w:rsidRPr="007334C5">
              <w:rPr>
                <w:rFonts w:asciiTheme="minorHAnsi" w:hAnsiTheme="minorHAnsi" w:cstheme="minorHAnsi"/>
                <w:noProof/>
                <w:lang w:eastAsia="en-AU"/>
              </w:rPr>
              <w:tab/>
            </w:r>
            <w:r w:rsidR="0046219A" w:rsidRPr="007334C5">
              <w:rPr>
                <w:rStyle w:val="Hyperlink"/>
                <w:rFonts w:asciiTheme="minorHAnsi" w:hAnsiTheme="minorHAnsi" w:cstheme="minorHAnsi"/>
                <w:noProof/>
              </w:rPr>
              <w:t>Water transfer</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_Toc535401138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11</w:t>
            </w:r>
            <w:r w:rsidR="0046219A" w:rsidRPr="007334C5">
              <w:rPr>
                <w:rFonts w:asciiTheme="minorHAnsi" w:hAnsiTheme="minorHAnsi" w:cstheme="minorHAnsi"/>
                <w:noProof/>
                <w:webHidden/>
              </w:rPr>
              <w:fldChar w:fldCharType="end"/>
            </w:r>
          </w:hyperlink>
        </w:p>
        <w:p w:rsidR="0046219A" w:rsidRPr="007334C5" w:rsidRDefault="00767016">
          <w:pPr>
            <w:pStyle w:val="TOC2"/>
            <w:tabs>
              <w:tab w:val="left" w:pos="880"/>
              <w:tab w:val="right" w:leader="dot" w:pos="9485"/>
            </w:tabs>
            <w:rPr>
              <w:rFonts w:asciiTheme="minorHAnsi" w:hAnsiTheme="minorHAnsi" w:cstheme="minorHAnsi"/>
              <w:noProof/>
              <w:lang w:eastAsia="en-AU"/>
            </w:rPr>
          </w:pPr>
          <w:hyperlink w:anchor="_Toc535401139" w:history="1">
            <w:r w:rsidR="0046219A" w:rsidRPr="007334C5">
              <w:rPr>
                <w:rStyle w:val="Hyperlink"/>
                <w:rFonts w:asciiTheme="minorHAnsi" w:hAnsiTheme="minorHAnsi" w:cstheme="minorHAnsi"/>
                <w:noProof/>
              </w:rPr>
              <w:t>3.7</w:t>
            </w:r>
            <w:r w:rsidR="0046219A" w:rsidRPr="007334C5">
              <w:rPr>
                <w:rFonts w:asciiTheme="minorHAnsi" w:hAnsiTheme="minorHAnsi" w:cstheme="minorHAnsi"/>
                <w:noProof/>
                <w:lang w:eastAsia="en-AU"/>
              </w:rPr>
              <w:tab/>
            </w:r>
            <w:r w:rsidR="0046219A" w:rsidRPr="007334C5">
              <w:rPr>
                <w:rStyle w:val="Hyperlink"/>
                <w:rFonts w:asciiTheme="minorHAnsi" w:hAnsiTheme="minorHAnsi" w:cstheme="minorHAnsi"/>
                <w:noProof/>
              </w:rPr>
              <w:t>Scheme management</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_Toc535401139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12</w:t>
            </w:r>
            <w:r w:rsidR="0046219A" w:rsidRPr="007334C5">
              <w:rPr>
                <w:rFonts w:asciiTheme="minorHAnsi" w:hAnsiTheme="minorHAnsi" w:cstheme="minorHAnsi"/>
                <w:noProof/>
                <w:webHidden/>
              </w:rPr>
              <w:fldChar w:fldCharType="end"/>
            </w:r>
          </w:hyperlink>
        </w:p>
        <w:p w:rsidR="0046219A" w:rsidRPr="007334C5" w:rsidRDefault="00767016">
          <w:pPr>
            <w:pStyle w:val="TOC2"/>
            <w:tabs>
              <w:tab w:val="left" w:pos="880"/>
              <w:tab w:val="right" w:leader="dot" w:pos="9485"/>
            </w:tabs>
            <w:rPr>
              <w:rFonts w:asciiTheme="minorHAnsi" w:hAnsiTheme="minorHAnsi" w:cstheme="minorHAnsi"/>
              <w:noProof/>
              <w:lang w:eastAsia="en-AU"/>
            </w:rPr>
          </w:pPr>
          <w:hyperlink w:anchor="_Toc535401140" w:history="1">
            <w:r w:rsidR="0046219A" w:rsidRPr="007334C5">
              <w:rPr>
                <w:rStyle w:val="Hyperlink"/>
                <w:rFonts w:asciiTheme="minorHAnsi" w:hAnsiTheme="minorHAnsi" w:cstheme="minorHAnsi"/>
                <w:noProof/>
              </w:rPr>
              <w:t>3.8</w:t>
            </w:r>
            <w:r w:rsidR="0046219A" w:rsidRPr="007334C5">
              <w:rPr>
                <w:rFonts w:asciiTheme="minorHAnsi" w:hAnsiTheme="minorHAnsi" w:cstheme="minorHAnsi"/>
                <w:noProof/>
                <w:lang w:eastAsia="en-AU"/>
              </w:rPr>
              <w:tab/>
            </w:r>
            <w:r w:rsidR="0046219A" w:rsidRPr="007334C5">
              <w:rPr>
                <w:rStyle w:val="Hyperlink"/>
                <w:rFonts w:asciiTheme="minorHAnsi" w:hAnsiTheme="minorHAnsi" w:cstheme="minorHAnsi"/>
                <w:noProof/>
              </w:rPr>
              <w:t>On-ground verification</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_Toc535401140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15</w:t>
            </w:r>
            <w:r w:rsidR="0046219A" w:rsidRPr="007334C5">
              <w:rPr>
                <w:rFonts w:asciiTheme="minorHAnsi" w:hAnsiTheme="minorHAnsi" w:cstheme="minorHAnsi"/>
                <w:noProof/>
                <w:webHidden/>
              </w:rPr>
              <w:fldChar w:fldCharType="end"/>
            </w:r>
          </w:hyperlink>
        </w:p>
        <w:p w:rsidR="0046219A" w:rsidRPr="007334C5" w:rsidRDefault="00767016">
          <w:pPr>
            <w:pStyle w:val="TOC1"/>
            <w:tabs>
              <w:tab w:val="left" w:pos="440"/>
              <w:tab w:val="right" w:leader="dot" w:pos="9485"/>
            </w:tabs>
            <w:rPr>
              <w:rFonts w:asciiTheme="minorHAnsi" w:hAnsiTheme="minorHAnsi" w:cstheme="minorHAnsi"/>
              <w:b w:val="0"/>
              <w:noProof/>
              <w:sz w:val="22"/>
              <w:lang w:eastAsia="en-AU"/>
            </w:rPr>
          </w:pPr>
          <w:hyperlink w:anchor="_Toc535401141" w:history="1">
            <w:r w:rsidR="0046219A" w:rsidRPr="007334C5">
              <w:rPr>
                <w:rStyle w:val="Hyperlink"/>
                <w:rFonts w:asciiTheme="minorHAnsi" w:hAnsiTheme="minorHAnsi" w:cstheme="minorHAnsi"/>
                <w:noProof/>
              </w:rPr>
              <w:t>4</w:t>
            </w:r>
            <w:r w:rsidR="0046219A" w:rsidRPr="007334C5">
              <w:rPr>
                <w:rFonts w:asciiTheme="minorHAnsi" w:hAnsiTheme="minorHAnsi" w:cstheme="minorHAnsi"/>
                <w:b w:val="0"/>
                <w:noProof/>
                <w:sz w:val="22"/>
                <w:lang w:eastAsia="en-AU"/>
              </w:rPr>
              <w:tab/>
            </w:r>
            <w:r w:rsidR="0046219A" w:rsidRPr="007334C5">
              <w:rPr>
                <w:rStyle w:val="Hyperlink"/>
                <w:rFonts w:asciiTheme="minorHAnsi" w:hAnsiTheme="minorHAnsi" w:cstheme="minorHAnsi"/>
                <w:noProof/>
              </w:rPr>
              <w:t>Areas for improvement &amp; lessons learnt</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_Toc535401141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16</w:t>
            </w:r>
            <w:r w:rsidR="0046219A" w:rsidRPr="007334C5">
              <w:rPr>
                <w:rFonts w:asciiTheme="minorHAnsi" w:hAnsiTheme="minorHAnsi" w:cstheme="minorHAnsi"/>
                <w:noProof/>
                <w:webHidden/>
              </w:rPr>
              <w:fldChar w:fldCharType="end"/>
            </w:r>
          </w:hyperlink>
        </w:p>
        <w:p w:rsidR="0046219A" w:rsidRPr="007334C5" w:rsidRDefault="00767016">
          <w:pPr>
            <w:pStyle w:val="TOC2"/>
            <w:tabs>
              <w:tab w:val="left" w:pos="880"/>
              <w:tab w:val="right" w:leader="dot" w:pos="9485"/>
            </w:tabs>
            <w:rPr>
              <w:rFonts w:asciiTheme="minorHAnsi" w:hAnsiTheme="minorHAnsi" w:cstheme="minorHAnsi"/>
              <w:noProof/>
              <w:lang w:eastAsia="en-AU"/>
            </w:rPr>
          </w:pPr>
          <w:hyperlink w:anchor="_Toc535401142" w:history="1">
            <w:r w:rsidR="0046219A" w:rsidRPr="007334C5">
              <w:rPr>
                <w:rStyle w:val="Hyperlink"/>
                <w:rFonts w:asciiTheme="minorHAnsi" w:hAnsiTheme="minorHAnsi" w:cstheme="minorHAnsi"/>
                <w:noProof/>
              </w:rPr>
              <w:t>4.1</w:t>
            </w:r>
            <w:r w:rsidR="0046219A" w:rsidRPr="007334C5">
              <w:rPr>
                <w:rFonts w:asciiTheme="minorHAnsi" w:hAnsiTheme="minorHAnsi" w:cstheme="minorHAnsi"/>
                <w:noProof/>
                <w:lang w:eastAsia="en-AU"/>
              </w:rPr>
              <w:tab/>
            </w:r>
            <w:r w:rsidR="0046219A" w:rsidRPr="007334C5">
              <w:rPr>
                <w:rStyle w:val="Hyperlink"/>
                <w:rFonts w:asciiTheme="minorHAnsi" w:hAnsiTheme="minorHAnsi" w:cstheme="minorHAnsi"/>
                <w:noProof/>
              </w:rPr>
              <w:t>Project reporting</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_Toc535401142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16</w:t>
            </w:r>
            <w:r w:rsidR="0046219A" w:rsidRPr="007334C5">
              <w:rPr>
                <w:rFonts w:asciiTheme="minorHAnsi" w:hAnsiTheme="minorHAnsi" w:cstheme="minorHAnsi"/>
                <w:noProof/>
                <w:webHidden/>
              </w:rPr>
              <w:fldChar w:fldCharType="end"/>
            </w:r>
          </w:hyperlink>
        </w:p>
        <w:p w:rsidR="0046219A" w:rsidRPr="007334C5" w:rsidRDefault="00767016">
          <w:pPr>
            <w:pStyle w:val="TOC2"/>
            <w:tabs>
              <w:tab w:val="left" w:pos="880"/>
              <w:tab w:val="right" w:leader="dot" w:pos="9485"/>
            </w:tabs>
            <w:rPr>
              <w:rFonts w:asciiTheme="minorHAnsi" w:hAnsiTheme="minorHAnsi" w:cstheme="minorHAnsi"/>
              <w:noProof/>
              <w:lang w:eastAsia="en-AU"/>
            </w:rPr>
          </w:pPr>
          <w:hyperlink w:anchor="_Toc535401143" w:history="1">
            <w:r w:rsidR="0046219A" w:rsidRPr="007334C5">
              <w:rPr>
                <w:rStyle w:val="Hyperlink"/>
                <w:rFonts w:asciiTheme="minorHAnsi" w:hAnsiTheme="minorHAnsi" w:cstheme="minorHAnsi"/>
                <w:noProof/>
              </w:rPr>
              <w:t>4.2</w:t>
            </w:r>
            <w:r w:rsidR="0046219A" w:rsidRPr="007334C5">
              <w:rPr>
                <w:rFonts w:asciiTheme="minorHAnsi" w:hAnsiTheme="minorHAnsi" w:cstheme="minorHAnsi"/>
                <w:noProof/>
                <w:lang w:eastAsia="en-AU"/>
              </w:rPr>
              <w:tab/>
            </w:r>
            <w:r w:rsidR="0046219A" w:rsidRPr="007334C5">
              <w:rPr>
                <w:rStyle w:val="Hyperlink"/>
                <w:rFonts w:asciiTheme="minorHAnsi" w:hAnsiTheme="minorHAnsi" w:cstheme="minorHAnsi"/>
                <w:noProof/>
              </w:rPr>
              <w:t>Financial approvals</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_Toc535401143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16</w:t>
            </w:r>
            <w:r w:rsidR="0046219A" w:rsidRPr="007334C5">
              <w:rPr>
                <w:rFonts w:asciiTheme="minorHAnsi" w:hAnsiTheme="minorHAnsi" w:cstheme="minorHAnsi"/>
                <w:noProof/>
                <w:webHidden/>
              </w:rPr>
              <w:fldChar w:fldCharType="end"/>
            </w:r>
          </w:hyperlink>
        </w:p>
        <w:p w:rsidR="0046219A" w:rsidRPr="007334C5" w:rsidRDefault="00767016">
          <w:pPr>
            <w:pStyle w:val="TOC2"/>
            <w:tabs>
              <w:tab w:val="left" w:pos="880"/>
              <w:tab w:val="right" w:leader="dot" w:pos="9485"/>
            </w:tabs>
            <w:rPr>
              <w:rFonts w:asciiTheme="minorHAnsi" w:hAnsiTheme="minorHAnsi" w:cstheme="minorHAnsi"/>
              <w:noProof/>
              <w:lang w:eastAsia="en-AU"/>
            </w:rPr>
          </w:pPr>
          <w:hyperlink w:anchor="_Toc535401144" w:history="1">
            <w:r w:rsidR="0046219A" w:rsidRPr="007334C5">
              <w:rPr>
                <w:rStyle w:val="Hyperlink"/>
                <w:rFonts w:asciiTheme="minorHAnsi" w:hAnsiTheme="minorHAnsi" w:cstheme="minorHAnsi"/>
                <w:noProof/>
              </w:rPr>
              <w:t>4.3</w:t>
            </w:r>
            <w:r w:rsidR="0046219A" w:rsidRPr="007334C5">
              <w:rPr>
                <w:rFonts w:asciiTheme="minorHAnsi" w:hAnsiTheme="minorHAnsi" w:cstheme="minorHAnsi"/>
                <w:noProof/>
                <w:lang w:eastAsia="en-AU"/>
              </w:rPr>
              <w:tab/>
            </w:r>
            <w:r w:rsidR="0046219A" w:rsidRPr="007334C5">
              <w:rPr>
                <w:rStyle w:val="Hyperlink"/>
                <w:rFonts w:asciiTheme="minorHAnsi" w:hAnsiTheme="minorHAnsi" w:cstheme="minorHAnsi"/>
                <w:noProof/>
              </w:rPr>
              <w:t>Document management</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_Toc535401144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17</w:t>
            </w:r>
            <w:r w:rsidR="0046219A" w:rsidRPr="007334C5">
              <w:rPr>
                <w:rFonts w:asciiTheme="minorHAnsi" w:hAnsiTheme="minorHAnsi" w:cstheme="minorHAnsi"/>
                <w:noProof/>
                <w:webHidden/>
              </w:rPr>
              <w:fldChar w:fldCharType="end"/>
            </w:r>
          </w:hyperlink>
        </w:p>
        <w:p w:rsidR="0046219A" w:rsidRPr="007334C5" w:rsidRDefault="00767016">
          <w:pPr>
            <w:pStyle w:val="TOC2"/>
            <w:tabs>
              <w:tab w:val="left" w:pos="880"/>
              <w:tab w:val="right" w:leader="dot" w:pos="9485"/>
            </w:tabs>
            <w:rPr>
              <w:rFonts w:asciiTheme="minorHAnsi" w:hAnsiTheme="minorHAnsi" w:cstheme="minorHAnsi"/>
              <w:noProof/>
              <w:lang w:eastAsia="en-AU"/>
            </w:rPr>
          </w:pPr>
          <w:hyperlink w:anchor="_Toc535401145" w:history="1">
            <w:r w:rsidR="0046219A" w:rsidRPr="007334C5">
              <w:rPr>
                <w:rStyle w:val="Hyperlink"/>
                <w:rFonts w:asciiTheme="minorHAnsi" w:hAnsiTheme="minorHAnsi" w:cstheme="minorHAnsi"/>
                <w:noProof/>
              </w:rPr>
              <w:t>4.4</w:t>
            </w:r>
            <w:r w:rsidR="0046219A" w:rsidRPr="007334C5">
              <w:rPr>
                <w:rFonts w:asciiTheme="minorHAnsi" w:hAnsiTheme="minorHAnsi" w:cstheme="minorHAnsi"/>
                <w:noProof/>
                <w:lang w:eastAsia="en-AU"/>
              </w:rPr>
              <w:tab/>
            </w:r>
            <w:r w:rsidR="0046219A" w:rsidRPr="007334C5">
              <w:rPr>
                <w:rStyle w:val="Hyperlink"/>
                <w:rFonts w:asciiTheme="minorHAnsi" w:hAnsiTheme="minorHAnsi" w:cstheme="minorHAnsi"/>
                <w:noProof/>
              </w:rPr>
              <w:t>Staff guidance</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_Toc535401145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17</w:t>
            </w:r>
            <w:r w:rsidR="0046219A" w:rsidRPr="007334C5">
              <w:rPr>
                <w:rFonts w:asciiTheme="minorHAnsi" w:hAnsiTheme="minorHAnsi" w:cstheme="minorHAnsi"/>
                <w:noProof/>
                <w:webHidden/>
              </w:rPr>
              <w:fldChar w:fldCharType="end"/>
            </w:r>
          </w:hyperlink>
        </w:p>
        <w:p w:rsidR="0046219A" w:rsidRPr="007334C5" w:rsidRDefault="00767016">
          <w:pPr>
            <w:pStyle w:val="TOC2"/>
            <w:tabs>
              <w:tab w:val="left" w:pos="880"/>
              <w:tab w:val="right" w:leader="dot" w:pos="9485"/>
            </w:tabs>
            <w:rPr>
              <w:rFonts w:asciiTheme="minorHAnsi" w:hAnsiTheme="minorHAnsi" w:cstheme="minorHAnsi"/>
              <w:noProof/>
              <w:lang w:eastAsia="en-AU"/>
            </w:rPr>
          </w:pPr>
          <w:hyperlink w:anchor="_Toc535401146" w:history="1">
            <w:r w:rsidR="0046219A" w:rsidRPr="007334C5">
              <w:rPr>
                <w:rStyle w:val="Hyperlink"/>
                <w:rFonts w:asciiTheme="minorHAnsi" w:hAnsiTheme="minorHAnsi" w:cstheme="minorHAnsi"/>
                <w:noProof/>
              </w:rPr>
              <w:t>4.5</w:t>
            </w:r>
            <w:r w:rsidR="0046219A" w:rsidRPr="007334C5">
              <w:rPr>
                <w:rFonts w:asciiTheme="minorHAnsi" w:hAnsiTheme="minorHAnsi" w:cstheme="minorHAnsi"/>
                <w:noProof/>
                <w:lang w:eastAsia="en-AU"/>
              </w:rPr>
              <w:tab/>
            </w:r>
            <w:r w:rsidR="0046219A" w:rsidRPr="007334C5">
              <w:rPr>
                <w:rStyle w:val="Hyperlink"/>
                <w:rFonts w:asciiTheme="minorHAnsi" w:hAnsiTheme="minorHAnsi" w:cstheme="minorHAnsi"/>
                <w:noProof/>
              </w:rPr>
              <w:t>Inspection follow-up</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_Toc535401146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17</w:t>
            </w:r>
            <w:r w:rsidR="0046219A" w:rsidRPr="007334C5">
              <w:rPr>
                <w:rFonts w:asciiTheme="minorHAnsi" w:hAnsiTheme="minorHAnsi" w:cstheme="minorHAnsi"/>
                <w:noProof/>
                <w:webHidden/>
              </w:rPr>
              <w:fldChar w:fldCharType="end"/>
            </w:r>
          </w:hyperlink>
        </w:p>
        <w:p w:rsidR="0046219A" w:rsidRPr="007334C5" w:rsidRDefault="00767016">
          <w:pPr>
            <w:pStyle w:val="TOC1"/>
            <w:tabs>
              <w:tab w:val="right" w:leader="dot" w:pos="9485"/>
            </w:tabs>
            <w:rPr>
              <w:rFonts w:asciiTheme="minorHAnsi" w:hAnsiTheme="minorHAnsi" w:cstheme="minorHAnsi"/>
              <w:b w:val="0"/>
              <w:noProof/>
              <w:sz w:val="22"/>
              <w:lang w:eastAsia="en-AU"/>
            </w:rPr>
          </w:pPr>
          <w:hyperlink w:anchor="_Toc535401147" w:history="1">
            <w:r w:rsidR="0046219A" w:rsidRPr="007334C5">
              <w:rPr>
                <w:rStyle w:val="Hyperlink"/>
                <w:rFonts w:asciiTheme="minorHAnsi" w:hAnsiTheme="minorHAnsi" w:cstheme="minorHAnsi"/>
                <w:noProof/>
              </w:rPr>
              <w:t>Appendices</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_Toc535401147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18</w:t>
            </w:r>
            <w:r w:rsidR="0046219A" w:rsidRPr="007334C5">
              <w:rPr>
                <w:rFonts w:asciiTheme="minorHAnsi" w:hAnsiTheme="minorHAnsi" w:cstheme="minorHAnsi"/>
                <w:noProof/>
                <w:webHidden/>
              </w:rPr>
              <w:fldChar w:fldCharType="end"/>
            </w:r>
          </w:hyperlink>
        </w:p>
        <w:p w:rsidR="0046219A" w:rsidRPr="007334C5" w:rsidRDefault="00767016">
          <w:pPr>
            <w:pStyle w:val="TOC2"/>
            <w:tabs>
              <w:tab w:val="left" w:pos="660"/>
              <w:tab w:val="right" w:leader="dot" w:pos="9485"/>
            </w:tabs>
            <w:rPr>
              <w:rFonts w:asciiTheme="minorHAnsi" w:hAnsiTheme="minorHAnsi" w:cstheme="minorHAnsi"/>
              <w:noProof/>
              <w:lang w:eastAsia="en-AU"/>
            </w:rPr>
          </w:pPr>
          <w:hyperlink w:anchor="_Toc535401148" w:history="1">
            <w:r w:rsidR="0046219A" w:rsidRPr="007334C5">
              <w:rPr>
                <w:rStyle w:val="Hyperlink"/>
                <w:rFonts w:asciiTheme="minorHAnsi" w:hAnsiTheme="minorHAnsi" w:cstheme="minorHAnsi"/>
                <w:noProof/>
              </w:rPr>
              <w:t>A.</w:t>
            </w:r>
            <w:r w:rsidR="0046219A" w:rsidRPr="007334C5">
              <w:rPr>
                <w:rFonts w:asciiTheme="minorHAnsi" w:hAnsiTheme="minorHAnsi" w:cstheme="minorHAnsi"/>
                <w:noProof/>
                <w:lang w:eastAsia="en-AU"/>
              </w:rPr>
              <w:tab/>
            </w:r>
            <w:r w:rsidR="0046219A" w:rsidRPr="007334C5">
              <w:rPr>
                <w:rStyle w:val="Hyperlink"/>
                <w:rFonts w:asciiTheme="minorHAnsi" w:hAnsiTheme="minorHAnsi" w:cstheme="minorHAnsi"/>
                <w:noProof/>
              </w:rPr>
              <w:t>Engagement objectives and scope</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_Toc535401148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18</w:t>
            </w:r>
            <w:r w:rsidR="0046219A" w:rsidRPr="007334C5">
              <w:rPr>
                <w:rFonts w:asciiTheme="minorHAnsi" w:hAnsiTheme="minorHAnsi" w:cstheme="minorHAnsi"/>
                <w:noProof/>
                <w:webHidden/>
              </w:rPr>
              <w:fldChar w:fldCharType="end"/>
            </w:r>
          </w:hyperlink>
        </w:p>
        <w:p w:rsidR="0046219A" w:rsidRPr="007334C5" w:rsidRDefault="00767016">
          <w:pPr>
            <w:pStyle w:val="TOC2"/>
            <w:tabs>
              <w:tab w:val="left" w:pos="660"/>
              <w:tab w:val="right" w:leader="dot" w:pos="9485"/>
            </w:tabs>
            <w:rPr>
              <w:rFonts w:asciiTheme="minorHAnsi" w:hAnsiTheme="minorHAnsi" w:cstheme="minorHAnsi"/>
              <w:noProof/>
              <w:lang w:eastAsia="en-AU"/>
            </w:rPr>
          </w:pPr>
          <w:hyperlink w:anchor="_Toc535401149" w:history="1">
            <w:r w:rsidR="0046219A" w:rsidRPr="007334C5">
              <w:rPr>
                <w:rStyle w:val="Hyperlink"/>
                <w:rFonts w:asciiTheme="minorHAnsi" w:hAnsiTheme="minorHAnsi" w:cstheme="minorHAnsi"/>
                <w:noProof/>
              </w:rPr>
              <w:t>B.</w:t>
            </w:r>
            <w:r w:rsidR="0046219A" w:rsidRPr="007334C5">
              <w:rPr>
                <w:rFonts w:asciiTheme="minorHAnsi" w:hAnsiTheme="minorHAnsi" w:cstheme="minorHAnsi"/>
                <w:noProof/>
                <w:lang w:eastAsia="en-AU"/>
              </w:rPr>
              <w:tab/>
            </w:r>
            <w:r w:rsidR="0046219A" w:rsidRPr="007334C5">
              <w:rPr>
                <w:rStyle w:val="Hyperlink"/>
                <w:rFonts w:asciiTheme="minorHAnsi" w:hAnsiTheme="minorHAnsi" w:cstheme="minorHAnsi"/>
                <w:noProof/>
              </w:rPr>
              <w:t>Approach</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_Toc535401149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19</w:t>
            </w:r>
            <w:r w:rsidR="0046219A" w:rsidRPr="007334C5">
              <w:rPr>
                <w:rFonts w:asciiTheme="minorHAnsi" w:hAnsiTheme="minorHAnsi" w:cstheme="minorHAnsi"/>
                <w:noProof/>
                <w:webHidden/>
              </w:rPr>
              <w:fldChar w:fldCharType="end"/>
            </w:r>
          </w:hyperlink>
        </w:p>
        <w:p w:rsidR="0046219A" w:rsidRPr="007334C5" w:rsidRDefault="00767016">
          <w:pPr>
            <w:pStyle w:val="TOC2"/>
            <w:tabs>
              <w:tab w:val="left" w:pos="660"/>
              <w:tab w:val="right" w:leader="dot" w:pos="9485"/>
            </w:tabs>
            <w:rPr>
              <w:rFonts w:asciiTheme="minorHAnsi" w:hAnsiTheme="minorHAnsi" w:cstheme="minorHAnsi"/>
              <w:noProof/>
              <w:lang w:eastAsia="en-AU"/>
            </w:rPr>
          </w:pPr>
          <w:hyperlink w:anchor="_Toc535401150" w:history="1">
            <w:r w:rsidR="0046219A" w:rsidRPr="007334C5">
              <w:rPr>
                <w:rStyle w:val="Hyperlink"/>
                <w:rFonts w:asciiTheme="minorHAnsi" w:hAnsiTheme="minorHAnsi" w:cstheme="minorHAnsi"/>
                <w:noProof/>
              </w:rPr>
              <w:t>C.</w:t>
            </w:r>
            <w:r w:rsidR="0046219A" w:rsidRPr="007334C5">
              <w:rPr>
                <w:rFonts w:asciiTheme="minorHAnsi" w:hAnsiTheme="minorHAnsi" w:cstheme="minorHAnsi"/>
                <w:noProof/>
                <w:lang w:eastAsia="en-AU"/>
              </w:rPr>
              <w:tab/>
            </w:r>
            <w:r w:rsidR="0046219A" w:rsidRPr="007334C5">
              <w:rPr>
                <w:rStyle w:val="Hyperlink"/>
                <w:rFonts w:asciiTheme="minorHAnsi" w:hAnsiTheme="minorHAnsi" w:cstheme="minorHAnsi"/>
                <w:noProof/>
              </w:rPr>
              <w:t>Disclaimer</w:t>
            </w:r>
            <w:r w:rsidR="0046219A" w:rsidRPr="007334C5">
              <w:rPr>
                <w:rFonts w:asciiTheme="minorHAnsi" w:hAnsiTheme="minorHAnsi" w:cstheme="minorHAnsi"/>
                <w:noProof/>
                <w:webHidden/>
              </w:rPr>
              <w:tab/>
            </w:r>
            <w:r w:rsidR="0046219A" w:rsidRPr="007334C5">
              <w:rPr>
                <w:rFonts w:asciiTheme="minorHAnsi" w:hAnsiTheme="minorHAnsi" w:cstheme="minorHAnsi"/>
                <w:noProof/>
                <w:webHidden/>
              </w:rPr>
              <w:fldChar w:fldCharType="begin"/>
            </w:r>
            <w:r w:rsidR="0046219A" w:rsidRPr="007334C5">
              <w:rPr>
                <w:rFonts w:asciiTheme="minorHAnsi" w:hAnsiTheme="minorHAnsi" w:cstheme="minorHAnsi"/>
                <w:noProof/>
                <w:webHidden/>
              </w:rPr>
              <w:instrText xml:space="preserve"> PAGEREF _Toc535401150 \h </w:instrText>
            </w:r>
            <w:r w:rsidR="0046219A" w:rsidRPr="007334C5">
              <w:rPr>
                <w:rFonts w:asciiTheme="minorHAnsi" w:hAnsiTheme="minorHAnsi" w:cstheme="minorHAnsi"/>
                <w:noProof/>
                <w:webHidden/>
              </w:rPr>
            </w:r>
            <w:r w:rsidR="0046219A" w:rsidRPr="007334C5">
              <w:rPr>
                <w:rFonts w:asciiTheme="minorHAnsi" w:hAnsiTheme="minorHAnsi" w:cstheme="minorHAnsi"/>
                <w:noProof/>
                <w:webHidden/>
              </w:rPr>
              <w:fldChar w:fldCharType="separate"/>
            </w:r>
            <w:r w:rsidR="002807D5">
              <w:rPr>
                <w:rFonts w:asciiTheme="minorHAnsi" w:hAnsiTheme="minorHAnsi" w:cstheme="minorHAnsi"/>
                <w:noProof/>
                <w:webHidden/>
              </w:rPr>
              <w:t>20</w:t>
            </w:r>
            <w:r w:rsidR="0046219A" w:rsidRPr="007334C5">
              <w:rPr>
                <w:rFonts w:asciiTheme="minorHAnsi" w:hAnsiTheme="minorHAnsi" w:cstheme="minorHAnsi"/>
                <w:noProof/>
                <w:webHidden/>
              </w:rPr>
              <w:fldChar w:fldCharType="end"/>
            </w:r>
          </w:hyperlink>
        </w:p>
        <w:p w:rsidR="002A20A1" w:rsidRPr="007334C5" w:rsidRDefault="002A20A1" w:rsidP="002A20A1">
          <w:pPr>
            <w:spacing w:before="60" w:after="60" w:line="240" w:lineRule="auto"/>
            <w:rPr>
              <w:rFonts w:cstheme="minorHAnsi"/>
            </w:rPr>
          </w:pPr>
          <w:r w:rsidRPr="007334C5">
            <w:rPr>
              <w:rFonts w:cstheme="minorHAnsi"/>
              <w:b/>
            </w:rPr>
            <w:fldChar w:fldCharType="end"/>
          </w:r>
        </w:p>
      </w:sdtContent>
    </w:sdt>
    <w:p w:rsidR="002A20A1" w:rsidRPr="007334C5" w:rsidRDefault="002A20A1" w:rsidP="007334C5">
      <w:pPr>
        <w:pStyle w:val="Heading1"/>
        <w:sectPr w:rsidR="002A20A1" w:rsidRPr="007334C5" w:rsidSect="00313005">
          <w:headerReference w:type="default" r:id="rId14"/>
          <w:footerReference w:type="default" r:id="rId15"/>
          <w:pgSz w:w="11906" w:h="16838"/>
          <w:pgMar w:top="1387" w:right="851" w:bottom="1843" w:left="1560" w:header="568" w:footer="315" w:gutter="0"/>
          <w:cols w:space="425"/>
          <w:docGrid w:linePitch="360"/>
        </w:sectPr>
      </w:pPr>
    </w:p>
    <w:p w:rsidR="00336886" w:rsidRPr="007334C5" w:rsidRDefault="004E6817" w:rsidP="007334C5">
      <w:pPr>
        <w:pStyle w:val="Heading1"/>
      </w:pPr>
      <w:bookmarkStart w:id="5" w:name="_Toc535401126"/>
      <w:r w:rsidRPr="007334C5">
        <w:lastRenderedPageBreak/>
        <w:t>Executive s</w:t>
      </w:r>
      <w:r w:rsidR="00336886" w:rsidRPr="007334C5">
        <w:t>ummary</w:t>
      </w:r>
      <w:bookmarkEnd w:id="5"/>
    </w:p>
    <w:p w:rsidR="00AC5F8F" w:rsidRPr="007334C5" w:rsidRDefault="00AC5F8F" w:rsidP="00F74EDA">
      <w:pPr>
        <w:spacing w:before="120" w:after="120" w:line="240" w:lineRule="auto"/>
        <w:rPr>
          <w:rFonts w:cstheme="minorHAnsi"/>
          <w:sz w:val="20"/>
          <w:szCs w:val="20"/>
        </w:rPr>
      </w:pPr>
      <w:r w:rsidRPr="007334C5">
        <w:rPr>
          <w:rFonts w:cstheme="minorHAnsi"/>
          <w:sz w:val="20"/>
          <w:szCs w:val="20"/>
        </w:rPr>
        <w:t xml:space="preserve">This review focuses on the </w:t>
      </w:r>
      <w:r w:rsidR="00AD3A6D" w:rsidRPr="007334C5">
        <w:rPr>
          <w:rFonts w:cstheme="minorHAnsi"/>
          <w:sz w:val="20"/>
          <w:szCs w:val="20"/>
        </w:rPr>
        <w:t xml:space="preserve">Basin Pipe </w:t>
      </w:r>
      <w:r w:rsidRPr="007334C5">
        <w:rPr>
          <w:rFonts w:cstheme="minorHAnsi"/>
          <w:sz w:val="20"/>
          <w:szCs w:val="20"/>
        </w:rPr>
        <w:t xml:space="preserve">State Priority Project </w:t>
      </w:r>
      <w:r w:rsidR="00EB350D" w:rsidRPr="007334C5">
        <w:rPr>
          <w:rFonts w:cstheme="minorHAnsi"/>
          <w:sz w:val="20"/>
          <w:szCs w:val="20"/>
        </w:rPr>
        <w:t>(</w:t>
      </w:r>
      <w:r w:rsidR="000700AC" w:rsidRPr="007334C5">
        <w:rPr>
          <w:rFonts w:cstheme="minorHAnsi"/>
          <w:sz w:val="20"/>
          <w:szCs w:val="20"/>
        </w:rPr>
        <w:t>Basin Pipe Project</w:t>
      </w:r>
      <w:r w:rsidR="00EB350D" w:rsidRPr="007334C5">
        <w:rPr>
          <w:rFonts w:cstheme="minorHAnsi"/>
          <w:sz w:val="20"/>
          <w:szCs w:val="20"/>
        </w:rPr>
        <w:t xml:space="preserve">) </w:t>
      </w:r>
      <w:r w:rsidR="00AD3A6D" w:rsidRPr="007334C5">
        <w:rPr>
          <w:rFonts w:cstheme="minorHAnsi"/>
          <w:sz w:val="20"/>
          <w:szCs w:val="20"/>
        </w:rPr>
        <w:t xml:space="preserve">administered by the New South Wales Government (NSW) Department of Industry – Water (DoI Water). The </w:t>
      </w:r>
      <w:r w:rsidR="000700AC" w:rsidRPr="007334C5">
        <w:rPr>
          <w:rFonts w:cstheme="minorHAnsi"/>
          <w:sz w:val="20"/>
          <w:szCs w:val="20"/>
        </w:rPr>
        <w:t>Basin Pipe Project</w:t>
      </w:r>
      <w:r w:rsidR="00C35364" w:rsidRPr="007334C5">
        <w:rPr>
          <w:rFonts w:cstheme="minorHAnsi"/>
          <w:sz w:val="20"/>
          <w:szCs w:val="20"/>
        </w:rPr>
        <w:t xml:space="preserve"> </w:t>
      </w:r>
      <w:r w:rsidR="00AD3A6D" w:rsidRPr="007334C5">
        <w:rPr>
          <w:rFonts w:cstheme="minorHAnsi"/>
          <w:sz w:val="20"/>
          <w:szCs w:val="20"/>
        </w:rPr>
        <w:t xml:space="preserve">is part of a series of State Priority Projects under the Sustainable Rural Water Use and Infrastructure Program administered by the Department of Agriculture and Water Resources (DAWR). </w:t>
      </w:r>
      <w:r w:rsidRPr="007334C5">
        <w:rPr>
          <w:rFonts w:cstheme="minorHAnsi"/>
          <w:sz w:val="20"/>
          <w:szCs w:val="20"/>
        </w:rPr>
        <w:t xml:space="preserve"> </w:t>
      </w:r>
    </w:p>
    <w:p w:rsidR="00AD3A6D" w:rsidRPr="007334C5" w:rsidRDefault="00AD3A6D" w:rsidP="00F74EDA">
      <w:pPr>
        <w:spacing w:before="120" w:after="120" w:line="240" w:lineRule="auto"/>
        <w:rPr>
          <w:rFonts w:cstheme="minorHAnsi"/>
          <w:sz w:val="20"/>
          <w:szCs w:val="20"/>
        </w:rPr>
      </w:pPr>
      <w:r w:rsidRPr="007334C5">
        <w:rPr>
          <w:rFonts w:cstheme="minorHAnsi"/>
          <w:sz w:val="20"/>
          <w:szCs w:val="20"/>
        </w:rPr>
        <w:t>This review assessed the governance, risk and control processes in place for the Basin Pipe Project to ensure effective use of Commonwealth funds. The review was conducted through a combination of document review, stakeholder consultation and on-ground inspection</w:t>
      </w:r>
      <w:r w:rsidR="00C35364" w:rsidRPr="007334C5">
        <w:rPr>
          <w:rFonts w:cstheme="minorHAnsi"/>
          <w:sz w:val="20"/>
          <w:szCs w:val="20"/>
        </w:rPr>
        <w:t>.</w:t>
      </w:r>
    </w:p>
    <w:p w:rsidR="00AC5F8F" w:rsidRPr="007334C5" w:rsidRDefault="00AD3A6D" w:rsidP="00F74EDA">
      <w:pPr>
        <w:spacing w:before="120" w:after="120" w:line="240" w:lineRule="auto"/>
        <w:rPr>
          <w:rFonts w:cstheme="minorHAnsi"/>
          <w:sz w:val="20"/>
          <w:szCs w:val="20"/>
        </w:rPr>
      </w:pPr>
      <w:r w:rsidRPr="007334C5">
        <w:rPr>
          <w:rFonts w:cstheme="minorHAnsi"/>
          <w:sz w:val="20"/>
          <w:szCs w:val="20"/>
        </w:rPr>
        <w:t>KPMG selected a sample of five</w:t>
      </w:r>
      <w:r w:rsidR="00AC5F8F" w:rsidRPr="007334C5">
        <w:rPr>
          <w:rFonts w:cstheme="minorHAnsi"/>
          <w:sz w:val="20"/>
          <w:szCs w:val="20"/>
        </w:rPr>
        <w:t xml:space="preserve"> approved </w:t>
      </w:r>
      <w:r w:rsidRPr="007334C5">
        <w:rPr>
          <w:rFonts w:cstheme="minorHAnsi"/>
          <w:sz w:val="20"/>
          <w:szCs w:val="20"/>
        </w:rPr>
        <w:t>water efficiency schemes (26</w:t>
      </w:r>
      <w:r w:rsidR="00AC5F8F" w:rsidRPr="007334C5">
        <w:rPr>
          <w:rFonts w:cstheme="minorHAnsi"/>
          <w:sz w:val="20"/>
          <w:szCs w:val="20"/>
        </w:rPr>
        <w:t xml:space="preserve">% of </w:t>
      </w:r>
      <w:r w:rsidR="00B817AE" w:rsidRPr="007334C5">
        <w:rPr>
          <w:rFonts w:cstheme="minorHAnsi"/>
          <w:sz w:val="20"/>
          <w:szCs w:val="20"/>
        </w:rPr>
        <w:t xml:space="preserve">all </w:t>
      </w:r>
      <w:r w:rsidRPr="007334C5">
        <w:rPr>
          <w:rFonts w:cstheme="minorHAnsi"/>
          <w:sz w:val="20"/>
          <w:szCs w:val="20"/>
        </w:rPr>
        <w:t>schemes</w:t>
      </w:r>
      <w:r w:rsidR="00B817AE" w:rsidRPr="007334C5">
        <w:rPr>
          <w:rFonts w:cstheme="minorHAnsi"/>
          <w:sz w:val="20"/>
          <w:szCs w:val="20"/>
        </w:rPr>
        <w:t xml:space="preserve">) </w:t>
      </w:r>
      <w:r w:rsidR="00AC5F8F" w:rsidRPr="007334C5">
        <w:rPr>
          <w:rFonts w:cstheme="minorHAnsi"/>
          <w:sz w:val="20"/>
          <w:szCs w:val="20"/>
        </w:rPr>
        <w:t>for desktop review</w:t>
      </w:r>
      <w:r w:rsidR="00CF5715" w:rsidRPr="007334C5">
        <w:rPr>
          <w:rFonts w:cstheme="minorHAnsi"/>
          <w:sz w:val="20"/>
          <w:szCs w:val="20"/>
        </w:rPr>
        <w:t>,</w:t>
      </w:r>
      <w:r w:rsidR="00AC5F8F" w:rsidRPr="007334C5">
        <w:rPr>
          <w:rFonts w:cstheme="minorHAnsi"/>
          <w:sz w:val="20"/>
          <w:szCs w:val="20"/>
        </w:rPr>
        <w:t xml:space="preserve"> and </w:t>
      </w:r>
      <w:r w:rsidR="006C712C" w:rsidRPr="007334C5">
        <w:rPr>
          <w:rFonts w:cstheme="minorHAnsi"/>
          <w:sz w:val="20"/>
          <w:szCs w:val="20"/>
        </w:rPr>
        <w:t xml:space="preserve">within this </w:t>
      </w:r>
      <w:r w:rsidR="00AC5F8F" w:rsidRPr="007334C5">
        <w:rPr>
          <w:rFonts w:cstheme="minorHAnsi"/>
          <w:sz w:val="20"/>
          <w:szCs w:val="20"/>
        </w:rPr>
        <w:t>sample</w:t>
      </w:r>
      <w:r w:rsidR="00C35364" w:rsidRPr="007334C5">
        <w:rPr>
          <w:rFonts w:cstheme="minorHAnsi"/>
          <w:sz w:val="20"/>
          <w:szCs w:val="20"/>
        </w:rPr>
        <w:t>,</w:t>
      </w:r>
      <w:r w:rsidR="00AC5F8F" w:rsidRPr="007334C5">
        <w:rPr>
          <w:rFonts w:cstheme="minorHAnsi"/>
          <w:sz w:val="20"/>
          <w:szCs w:val="20"/>
        </w:rPr>
        <w:t xml:space="preserve"> </w:t>
      </w:r>
      <w:r w:rsidRPr="007334C5">
        <w:rPr>
          <w:rFonts w:cstheme="minorHAnsi"/>
          <w:sz w:val="20"/>
          <w:szCs w:val="20"/>
        </w:rPr>
        <w:t>four</w:t>
      </w:r>
      <w:r w:rsidR="00AC5F8F" w:rsidRPr="007334C5">
        <w:rPr>
          <w:rFonts w:cstheme="minorHAnsi"/>
          <w:sz w:val="20"/>
          <w:szCs w:val="20"/>
        </w:rPr>
        <w:t xml:space="preserve"> </w:t>
      </w:r>
      <w:r w:rsidRPr="007334C5">
        <w:rPr>
          <w:rFonts w:cstheme="minorHAnsi"/>
          <w:sz w:val="20"/>
          <w:szCs w:val="20"/>
        </w:rPr>
        <w:t>schemes</w:t>
      </w:r>
      <w:r w:rsidR="00AC5F8F" w:rsidRPr="007334C5">
        <w:rPr>
          <w:rFonts w:cstheme="minorHAnsi"/>
          <w:sz w:val="20"/>
          <w:szCs w:val="20"/>
        </w:rPr>
        <w:t xml:space="preserve"> were selected for on-</w:t>
      </w:r>
      <w:r w:rsidRPr="007334C5">
        <w:rPr>
          <w:rFonts w:cstheme="minorHAnsi"/>
          <w:sz w:val="20"/>
          <w:szCs w:val="20"/>
        </w:rPr>
        <w:t>ground</w:t>
      </w:r>
      <w:r w:rsidR="00AC5F8F" w:rsidRPr="007334C5">
        <w:rPr>
          <w:rFonts w:cstheme="minorHAnsi"/>
          <w:sz w:val="20"/>
          <w:szCs w:val="20"/>
        </w:rPr>
        <w:t xml:space="preserve"> verification. </w:t>
      </w:r>
      <w:r w:rsidRPr="007334C5">
        <w:rPr>
          <w:rFonts w:cstheme="minorHAnsi"/>
          <w:sz w:val="20"/>
          <w:szCs w:val="20"/>
        </w:rPr>
        <w:t>The sample covered projects ranging in total funding from $300,000 to</w:t>
      </w:r>
      <w:r w:rsidR="00C35364" w:rsidRPr="007334C5">
        <w:rPr>
          <w:rFonts w:cstheme="minorHAnsi"/>
          <w:sz w:val="20"/>
          <w:szCs w:val="20"/>
        </w:rPr>
        <w:t xml:space="preserve"> over $8</w:t>
      </w:r>
      <w:r w:rsidRPr="007334C5">
        <w:rPr>
          <w:rFonts w:cstheme="minorHAnsi"/>
          <w:sz w:val="20"/>
          <w:szCs w:val="20"/>
        </w:rPr>
        <w:t xml:space="preserve"> million, covering 31 properties in the Murrumbidgee and Gwydir river valleys.</w:t>
      </w:r>
    </w:p>
    <w:p w:rsidR="00F92E16" w:rsidRPr="007334C5" w:rsidRDefault="009B2084" w:rsidP="00C35364">
      <w:pPr>
        <w:spacing w:before="120" w:after="120" w:line="240" w:lineRule="auto"/>
        <w:rPr>
          <w:rFonts w:cstheme="minorHAnsi"/>
          <w:sz w:val="20"/>
          <w:szCs w:val="20"/>
        </w:rPr>
      </w:pPr>
      <w:r w:rsidRPr="007334C5">
        <w:rPr>
          <w:rFonts w:cstheme="minorHAnsi"/>
          <w:sz w:val="20"/>
          <w:szCs w:val="20"/>
        </w:rPr>
        <w:t>The review did not identify any instances of non-compliance with key provisions of the Water Management Partnership Agreement (WMPA) between NSW and the Commonwealth. T</w:t>
      </w:r>
      <w:r w:rsidR="00AC5F8F" w:rsidRPr="007334C5">
        <w:rPr>
          <w:rFonts w:cstheme="minorHAnsi"/>
          <w:sz w:val="20"/>
          <w:szCs w:val="20"/>
        </w:rPr>
        <w:t>he</w:t>
      </w:r>
      <w:r w:rsidR="00E93E78" w:rsidRPr="007334C5">
        <w:rPr>
          <w:rFonts w:cstheme="minorHAnsi"/>
          <w:sz w:val="20"/>
          <w:szCs w:val="20"/>
        </w:rPr>
        <w:t xml:space="preserve"> r</w:t>
      </w:r>
      <w:r w:rsidR="00AC5F8F" w:rsidRPr="007334C5">
        <w:rPr>
          <w:rFonts w:cstheme="minorHAnsi"/>
          <w:sz w:val="20"/>
          <w:szCs w:val="20"/>
        </w:rPr>
        <w:t>eview</w:t>
      </w:r>
      <w:r w:rsidRPr="007334C5">
        <w:rPr>
          <w:rFonts w:cstheme="minorHAnsi"/>
          <w:sz w:val="20"/>
          <w:szCs w:val="20"/>
        </w:rPr>
        <w:t xml:space="preserve"> </w:t>
      </w:r>
      <w:r w:rsidR="00AC5F8F" w:rsidRPr="007334C5">
        <w:rPr>
          <w:rFonts w:cstheme="minorHAnsi"/>
          <w:sz w:val="20"/>
          <w:szCs w:val="20"/>
        </w:rPr>
        <w:t xml:space="preserve">found that </w:t>
      </w:r>
      <w:r w:rsidR="00412E6A" w:rsidRPr="007334C5">
        <w:rPr>
          <w:rFonts w:cstheme="minorHAnsi"/>
          <w:sz w:val="20"/>
          <w:szCs w:val="20"/>
        </w:rPr>
        <w:t>DoI</w:t>
      </w:r>
      <w:r w:rsidRPr="007334C5">
        <w:rPr>
          <w:rFonts w:cstheme="minorHAnsi"/>
          <w:sz w:val="20"/>
          <w:szCs w:val="20"/>
        </w:rPr>
        <w:t xml:space="preserve"> Water</w:t>
      </w:r>
      <w:r w:rsidR="00F74EDA" w:rsidRPr="007334C5">
        <w:rPr>
          <w:rFonts w:cstheme="minorHAnsi"/>
          <w:sz w:val="20"/>
          <w:szCs w:val="20"/>
        </w:rPr>
        <w:t xml:space="preserve"> </w:t>
      </w:r>
      <w:r w:rsidR="00C35364" w:rsidRPr="007334C5">
        <w:rPr>
          <w:rFonts w:cstheme="minorHAnsi"/>
          <w:sz w:val="20"/>
          <w:szCs w:val="20"/>
        </w:rPr>
        <w:t xml:space="preserve">had </w:t>
      </w:r>
      <w:r w:rsidR="00F74EDA" w:rsidRPr="007334C5">
        <w:rPr>
          <w:rFonts w:cstheme="minorHAnsi"/>
          <w:sz w:val="20"/>
          <w:szCs w:val="20"/>
        </w:rPr>
        <w:t>developed and implemented</w:t>
      </w:r>
      <w:r w:rsidR="00AC5F8F" w:rsidRPr="007334C5">
        <w:rPr>
          <w:rFonts w:cstheme="minorHAnsi"/>
          <w:sz w:val="20"/>
          <w:szCs w:val="20"/>
        </w:rPr>
        <w:t xml:space="preserve"> </w:t>
      </w:r>
      <w:r w:rsidR="00412E6A" w:rsidRPr="007334C5">
        <w:rPr>
          <w:rFonts w:cstheme="minorHAnsi"/>
          <w:sz w:val="20"/>
          <w:szCs w:val="20"/>
        </w:rPr>
        <w:t xml:space="preserve">a number of </w:t>
      </w:r>
      <w:r w:rsidR="00AC5F8F" w:rsidRPr="007334C5">
        <w:rPr>
          <w:rFonts w:cstheme="minorHAnsi"/>
          <w:sz w:val="20"/>
          <w:szCs w:val="20"/>
        </w:rPr>
        <w:t xml:space="preserve">controls, processes and structures to assist in the administration of the </w:t>
      </w:r>
      <w:r w:rsidR="000700AC" w:rsidRPr="007334C5">
        <w:rPr>
          <w:rFonts w:cstheme="minorHAnsi"/>
          <w:sz w:val="20"/>
          <w:szCs w:val="20"/>
        </w:rPr>
        <w:t>Basin Pipe Project</w:t>
      </w:r>
      <w:r w:rsidR="006A7603" w:rsidRPr="007334C5">
        <w:rPr>
          <w:rFonts w:cstheme="minorHAnsi"/>
          <w:sz w:val="20"/>
          <w:szCs w:val="20"/>
        </w:rPr>
        <w:t xml:space="preserve">, however </w:t>
      </w:r>
      <w:r w:rsidR="00AB0646" w:rsidRPr="007334C5">
        <w:rPr>
          <w:rFonts w:cstheme="minorHAnsi"/>
          <w:sz w:val="20"/>
          <w:szCs w:val="20"/>
        </w:rPr>
        <w:t xml:space="preserve">some </w:t>
      </w:r>
      <w:r w:rsidR="006A7603" w:rsidRPr="007334C5">
        <w:rPr>
          <w:rFonts w:cstheme="minorHAnsi"/>
          <w:sz w:val="20"/>
          <w:szCs w:val="20"/>
        </w:rPr>
        <w:t>gaps in the project’s control environment were identified</w:t>
      </w:r>
      <w:r w:rsidR="00AB0646" w:rsidRPr="007334C5">
        <w:rPr>
          <w:rFonts w:cstheme="minorHAnsi"/>
          <w:sz w:val="20"/>
          <w:szCs w:val="20"/>
        </w:rPr>
        <w:t xml:space="preserve"> relating</w:t>
      </w:r>
      <w:r w:rsidR="008E4AC2" w:rsidRPr="007334C5">
        <w:rPr>
          <w:rFonts w:cstheme="minorHAnsi"/>
          <w:sz w:val="20"/>
          <w:szCs w:val="20"/>
        </w:rPr>
        <w:t xml:space="preserve"> </w:t>
      </w:r>
      <w:r w:rsidR="006A7603" w:rsidRPr="007334C5">
        <w:rPr>
          <w:rFonts w:cstheme="minorHAnsi"/>
          <w:sz w:val="20"/>
          <w:szCs w:val="20"/>
        </w:rPr>
        <w:t xml:space="preserve">primarily to document management and maintenance of appropriate supporting evidence. These issues did not indicate inappropriate use of Commonwealth funds however, </w:t>
      </w:r>
      <w:r w:rsidR="00AB0646" w:rsidRPr="007334C5">
        <w:rPr>
          <w:rFonts w:cstheme="minorHAnsi"/>
          <w:sz w:val="20"/>
          <w:szCs w:val="20"/>
        </w:rPr>
        <w:t>present an opportunity to strengthen</w:t>
      </w:r>
      <w:r w:rsidR="006A7603" w:rsidRPr="007334C5">
        <w:rPr>
          <w:rFonts w:cstheme="minorHAnsi"/>
          <w:sz w:val="20"/>
          <w:szCs w:val="20"/>
        </w:rPr>
        <w:t xml:space="preserve"> the project’s control environment and improve future project activity.</w:t>
      </w:r>
      <w:r w:rsidR="00F92E16" w:rsidRPr="007334C5">
        <w:rPr>
          <w:rFonts w:cstheme="minorHAnsi"/>
          <w:sz w:val="20"/>
          <w:szCs w:val="20"/>
        </w:rPr>
        <w:t xml:space="preserve"> </w:t>
      </w:r>
    </w:p>
    <w:p w:rsidR="00412E6A" w:rsidRPr="007334C5" w:rsidRDefault="00412E6A" w:rsidP="00412E6A">
      <w:pPr>
        <w:spacing w:before="120" w:after="120" w:line="240" w:lineRule="auto"/>
        <w:rPr>
          <w:rFonts w:cstheme="minorHAnsi"/>
          <w:sz w:val="20"/>
          <w:szCs w:val="20"/>
        </w:rPr>
      </w:pPr>
    </w:p>
    <w:p w:rsidR="00412E6A" w:rsidRPr="007334C5" w:rsidRDefault="00412E6A" w:rsidP="00F74EDA">
      <w:pPr>
        <w:spacing w:before="120" w:after="120" w:line="240" w:lineRule="auto"/>
        <w:rPr>
          <w:rFonts w:cstheme="minorHAnsi"/>
          <w:sz w:val="20"/>
          <w:szCs w:val="20"/>
        </w:rPr>
      </w:pPr>
    </w:p>
    <w:p w:rsidR="003A5486" w:rsidRPr="007334C5" w:rsidRDefault="00AC5F8F" w:rsidP="007334C5">
      <w:pPr>
        <w:pStyle w:val="Heading1"/>
      </w:pPr>
      <w:bookmarkStart w:id="6" w:name="_Toc535401127"/>
      <w:bookmarkEnd w:id="4"/>
      <w:r w:rsidRPr="007334C5">
        <w:t>Introduction</w:t>
      </w:r>
      <w:bookmarkEnd w:id="6"/>
    </w:p>
    <w:p w:rsidR="005D70F5" w:rsidRPr="007334C5" w:rsidRDefault="00A07D24" w:rsidP="000722AF">
      <w:pPr>
        <w:pStyle w:val="Heading2"/>
        <w:rPr>
          <w:rFonts w:asciiTheme="minorHAnsi" w:hAnsiTheme="minorHAnsi" w:cstheme="minorHAnsi"/>
        </w:rPr>
      </w:pPr>
      <w:bookmarkStart w:id="7" w:name="_Toc515451808"/>
      <w:bookmarkStart w:id="8" w:name="_Toc535401128"/>
      <w:r w:rsidRPr="007334C5">
        <w:rPr>
          <w:rFonts w:asciiTheme="minorHAnsi" w:hAnsiTheme="minorHAnsi" w:cstheme="minorHAnsi"/>
        </w:rPr>
        <w:t>Background</w:t>
      </w:r>
      <w:bookmarkEnd w:id="7"/>
      <w:bookmarkEnd w:id="8"/>
    </w:p>
    <w:p w:rsidR="00607EED" w:rsidRPr="007334C5" w:rsidRDefault="00607EED" w:rsidP="00F74EDA">
      <w:pPr>
        <w:spacing w:before="120" w:after="120" w:line="240" w:lineRule="auto"/>
        <w:rPr>
          <w:rFonts w:cstheme="minorHAnsi"/>
          <w:sz w:val="20"/>
          <w:szCs w:val="20"/>
        </w:rPr>
      </w:pPr>
      <w:r w:rsidRPr="007334C5">
        <w:rPr>
          <w:rFonts w:cstheme="minorHAnsi"/>
          <w:sz w:val="20"/>
          <w:szCs w:val="20"/>
        </w:rPr>
        <w:t>DAWR has a number of programs that are administered by the States</w:t>
      </w:r>
      <w:r w:rsidR="0043469A" w:rsidRPr="007334C5">
        <w:rPr>
          <w:rFonts w:cstheme="minorHAnsi"/>
          <w:sz w:val="20"/>
          <w:szCs w:val="20"/>
        </w:rPr>
        <w:t xml:space="preserve"> through</w:t>
      </w:r>
      <w:r w:rsidR="00A14666" w:rsidRPr="007334C5">
        <w:rPr>
          <w:rFonts w:cstheme="minorHAnsi"/>
          <w:sz w:val="20"/>
          <w:szCs w:val="20"/>
        </w:rPr>
        <w:t xml:space="preserve"> </w:t>
      </w:r>
      <w:r w:rsidRPr="007334C5">
        <w:rPr>
          <w:rFonts w:cstheme="minorHAnsi"/>
          <w:sz w:val="20"/>
          <w:szCs w:val="20"/>
        </w:rPr>
        <w:t xml:space="preserve">the Sustainable Rural Water Use and Infrastructure Program </w:t>
      </w:r>
      <w:r w:rsidR="00643E0A" w:rsidRPr="007334C5">
        <w:rPr>
          <w:rFonts w:cstheme="minorHAnsi"/>
          <w:sz w:val="20"/>
          <w:szCs w:val="20"/>
        </w:rPr>
        <w:t xml:space="preserve">(the Program) </w:t>
      </w:r>
      <w:r w:rsidRPr="007334C5">
        <w:rPr>
          <w:rFonts w:cstheme="minorHAnsi"/>
          <w:sz w:val="20"/>
          <w:szCs w:val="20"/>
        </w:rPr>
        <w:t xml:space="preserve">established under Part Four of the </w:t>
      </w:r>
      <w:r w:rsidR="00A93C43" w:rsidRPr="007334C5">
        <w:rPr>
          <w:rFonts w:cstheme="minorHAnsi"/>
          <w:sz w:val="20"/>
          <w:szCs w:val="20"/>
        </w:rPr>
        <w:t xml:space="preserve">Intergovernmental </w:t>
      </w:r>
      <w:r w:rsidRPr="007334C5">
        <w:rPr>
          <w:rFonts w:cstheme="minorHAnsi"/>
          <w:sz w:val="20"/>
          <w:szCs w:val="20"/>
        </w:rPr>
        <w:t xml:space="preserve">Agreement (IGA) on the Murray-Darling Basin Reform. The IGA is an initiative </w:t>
      </w:r>
      <w:r w:rsidR="00EA2453" w:rsidRPr="007334C5">
        <w:rPr>
          <w:rFonts w:cstheme="minorHAnsi"/>
          <w:sz w:val="20"/>
          <w:szCs w:val="20"/>
        </w:rPr>
        <w:t xml:space="preserve">that </w:t>
      </w:r>
      <w:r w:rsidRPr="007334C5">
        <w:rPr>
          <w:rFonts w:cstheme="minorHAnsi"/>
          <w:sz w:val="20"/>
          <w:szCs w:val="20"/>
        </w:rPr>
        <w:t>seeks to increase the</w:t>
      </w:r>
      <w:r w:rsidR="006F7FF5" w:rsidRPr="007334C5">
        <w:rPr>
          <w:rFonts w:cstheme="minorHAnsi"/>
          <w:sz w:val="20"/>
          <w:szCs w:val="20"/>
        </w:rPr>
        <w:t xml:space="preserve"> productivity and efficiency of Australia’s</w:t>
      </w:r>
      <w:r w:rsidRPr="007334C5">
        <w:rPr>
          <w:rFonts w:cstheme="minorHAnsi"/>
          <w:sz w:val="20"/>
          <w:szCs w:val="20"/>
        </w:rPr>
        <w:t xml:space="preserve"> water use</w:t>
      </w:r>
      <w:r w:rsidR="00FF455B" w:rsidRPr="007334C5">
        <w:rPr>
          <w:rFonts w:cstheme="minorHAnsi"/>
          <w:sz w:val="20"/>
          <w:szCs w:val="20"/>
        </w:rPr>
        <w:t>.</w:t>
      </w:r>
    </w:p>
    <w:p w:rsidR="005D70F5" w:rsidRPr="007334C5" w:rsidRDefault="00643E0A" w:rsidP="00F74EDA">
      <w:pPr>
        <w:spacing w:before="120" w:after="120" w:line="240" w:lineRule="auto"/>
        <w:rPr>
          <w:rFonts w:cstheme="minorHAnsi"/>
          <w:sz w:val="20"/>
          <w:szCs w:val="20"/>
        </w:rPr>
      </w:pPr>
      <w:r w:rsidRPr="007334C5">
        <w:rPr>
          <w:rFonts w:cstheme="minorHAnsi"/>
          <w:sz w:val="20"/>
          <w:szCs w:val="20"/>
        </w:rPr>
        <w:t>The aim of the P</w:t>
      </w:r>
      <w:r w:rsidR="00607EED" w:rsidRPr="007334C5">
        <w:rPr>
          <w:rFonts w:cstheme="minorHAnsi"/>
          <w:sz w:val="20"/>
          <w:szCs w:val="20"/>
        </w:rPr>
        <w:t xml:space="preserve">rogram </w:t>
      </w:r>
      <w:r w:rsidR="00835348" w:rsidRPr="007334C5">
        <w:rPr>
          <w:rFonts w:cstheme="minorHAnsi"/>
          <w:sz w:val="20"/>
          <w:szCs w:val="20"/>
        </w:rPr>
        <w:t xml:space="preserve">is to ‘bridge the gap’ to the sustainable diversion limits </w:t>
      </w:r>
      <w:r w:rsidR="00607EED" w:rsidRPr="007334C5">
        <w:rPr>
          <w:rFonts w:cstheme="minorHAnsi"/>
          <w:sz w:val="20"/>
          <w:szCs w:val="20"/>
        </w:rPr>
        <w:t>by enabl</w:t>
      </w:r>
      <w:r w:rsidR="000A3C23" w:rsidRPr="007334C5">
        <w:rPr>
          <w:rFonts w:cstheme="minorHAnsi"/>
          <w:sz w:val="20"/>
          <w:szCs w:val="20"/>
        </w:rPr>
        <w:t>ing water reforms in the Murray-</w:t>
      </w:r>
      <w:r w:rsidR="00607EED" w:rsidRPr="007334C5">
        <w:rPr>
          <w:rFonts w:cstheme="minorHAnsi"/>
          <w:sz w:val="20"/>
          <w:szCs w:val="20"/>
        </w:rPr>
        <w:t>Dar</w:t>
      </w:r>
      <w:r w:rsidR="00305900" w:rsidRPr="007334C5">
        <w:rPr>
          <w:rFonts w:cstheme="minorHAnsi"/>
          <w:sz w:val="20"/>
          <w:szCs w:val="20"/>
        </w:rPr>
        <w:t>li</w:t>
      </w:r>
      <w:r w:rsidR="00607EED" w:rsidRPr="007334C5">
        <w:rPr>
          <w:rFonts w:cstheme="minorHAnsi"/>
          <w:sz w:val="20"/>
          <w:szCs w:val="20"/>
        </w:rPr>
        <w:t>ng Basin to deliver a sustainable cap on surface water and ground water divisions through a range of water recovery projects. The Program provides funds to State Priority Projects facilitated through Water Management Partnership Agreements (WMPA) with each of the Basin States.</w:t>
      </w:r>
    </w:p>
    <w:p w:rsidR="00811B0B" w:rsidRPr="007334C5" w:rsidRDefault="00811B0B" w:rsidP="00F74EDA">
      <w:pPr>
        <w:spacing w:before="120" w:after="120" w:line="240" w:lineRule="auto"/>
        <w:rPr>
          <w:rFonts w:cstheme="minorHAnsi"/>
          <w:b/>
          <w:bCs/>
          <w:szCs w:val="20"/>
        </w:rPr>
      </w:pPr>
      <w:r w:rsidRPr="007334C5">
        <w:rPr>
          <w:rFonts w:cstheme="minorHAnsi"/>
          <w:b/>
          <w:bCs/>
          <w:szCs w:val="20"/>
        </w:rPr>
        <w:t>New South Wales Basin Pipe Project</w:t>
      </w:r>
    </w:p>
    <w:p w:rsidR="00D72BB3" w:rsidRPr="007334C5" w:rsidRDefault="00811B0B" w:rsidP="00811B0B">
      <w:pPr>
        <w:spacing w:before="120" w:after="120" w:line="240" w:lineRule="auto"/>
        <w:rPr>
          <w:rFonts w:cstheme="minorHAnsi"/>
          <w:sz w:val="20"/>
          <w:szCs w:val="20"/>
        </w:rPr>
      </w:pPr>
      <w:r w:rsidRPr="007334C5">
        <w:rPr>
          <w:rFonts w:cstheme="minorHAnsi"/>
          <w:sz w:val="20"/>
          <w:szCs w:val="20"/>
        </w:rPr>
        <w:t xml:space="preserve">The Basin Pipe Project involves working with Stock and Domestic (S&amp;D) water license holders across the inland valleys of New South Wales. Approved </w:t>
      </w:r>
      <w:r w:rsidR="00D72BB3" w:rsidRPr="007334C5">
        <w:rPr>
          <w:rFonts w:cstheme="minorHAnsi"/>
          <w:sz w:val="20"/>
          <w:szCs w:val="20"/>
        </w:rPr>
        <w:t>landholders</w:t>
      </w:r>
      <w:r w:rsidRPr="007334C5">
        <w:rPr>
          <w:rFonts w:cstheme="minorHAnsi"/>
          <w:sz w:val="20"/>
          <w:szCs w:val="20"/>
        </w:rPr>
        <w:t xml:space="preserve"> </w:t>
      </w:r>
      <w:r w:rsidR="00A178A2" w:rsidRPr="007334C5">
        <w:rPr>
          <w:rFonts w:cstheme="minorHAnsi"/>
          <w:sz w:val="20"/>
          <w:szCs w:val="20"/>
        </w:rPr>
        <w:t>are</w:t>
      </w:r>
      <w:r w:rsidR="00D72BB3" w:rsidRPr="007334C5">
        <w:rPr>
          <w:rFonts w:cstheme="minorHAnsi"/>
          <w:sz w:val="20"/>
          <w:szCs w:val="20"/>
        </w:rPr>
        <w:t xml:space="preserve"> provided </w:t>
      </w:r>
      <w:r w:rsidRPr="007334C5">
        <w:rPr>
          <w:rFonts w:cstheme="minorHAnsi"/>
          <w:sz w:val="20"/>
          <w:szCs w:val="20"/>
        </w:rPr>
        <w:t xml:space="preserve">new on-farm water infrastructure </w:t>
      </w:r>
      <w:r w:rsidR="00C35364" w:rsidRPr="007334C5">
        <w:rPr>
          <w:rFonts w:cstheme="minorHAnsi"/>
          <w:sz w:val="20"/>
          <w:szCs w:val="20"/>
        </w:rPr>
        <w:t>– known as</w:t>
      </w:r>
      <w:r w:rsidR="0022344D" w:rsidRPr="007334C5">
        <w:rPr>
          <w:rFonts w:cstheme="minorHAnsi"/>
          <w:sz w:val="20"/>
          <w:szCs w:val="20"/>
        </w:rPr>
        <w:t xml:space="preserve"> water efficiency schemes (schemes)</w:t>
      </w:r>
      <w:r w:rsidR="00A178A2" w:rsidRPr="007334C5">
        <w:rPr>
          <w:rFonts w:cstheme="minorHAnsi"/>
          <w:sz w:val="20"/>
          <w:szCs w:val="20"/>
        </w:rPr>
        <w:t>. These schemes are designed</w:t>
      </w:r>
      <w:r w:rsidRPr="007334C5">
        <w:rPr>
          <w:rFonts w:cstheme="minorHAnsi"/>
          <w:sz w:val="20"/>
          <w:szCs w:val="20"/>
        </w:rPr>
        <w:t xml:space="preserve"> to preserve high security water and</w:t>
      </w:r>
      <w:r w:rsidR="00B41031" w:rsidRPr="007334C5">
        <w:rPr>
          <w:rFonts w:cstheme="minorHAnsi"/>
          <w:sz w:val="20"/>
          <w:szCs w:val="20"/>
        </w:rPr>
        <w:t xml:space="preserve"> increase water and land management efficiency by</w:t>
      </w:r>
      <w:r w:rsidRPr="007334C5">
        <w:rPr>
          <w:rFonts w:cstheme="minorHAnsi"/>
          <w:sz w:val="20"/>
          <w:szCs w:val="20"/>
        </w:rPr>
        <w:t xml:space="preserve"> improv</w:t>
      </w:r>
      <w:r w:rsidR="00B41031" w:rsidRPr="007334C5">
        <w:rPr>
          <w:rFonts w:cstheme="minorHAnsi"/>
          <w:sz w:val="20"/>
          <w:szCs w:val="20"/>
        </w:rPr>
        <w:t>ing</w:t>
      </w:r>
      <w:r w:rsidRPr="007334C5">
        <w:rPr>
          <w:rFonts w:cstheme="minorHAnsi"/>
          <w:sz w:val="20"/>
          <w:szCs w:val="20"/>
        </w:rPr>
        <w:t xml:space="preserve"> the reliability of S&amp;D water supplies. </w:t>
      </w:r>
      <w:r w:rsidR="0022344D" w:rsidRPr="007334C5">
        <w:rPr>
          <w:rFonts w:cstheme="minorHAnsi"/>
          <w:sz w:val="20"/>
          <w:szCs w:val="20"/>
        </w:rPr>
        <w:t xml:space="preserve">A scheme may include multiple landholders and is </w:t>
      </w:r>
      <w:r w:rsidR="003D76AE" w:rsidRPr="007334C5">
        <w:rPr>
          <w:rFonts w:cstheme="minorHAnsi"/>
          <w:sz w:val="20"/>
          <w:szCs w:val="20"/>
        </w:rPr>
        <w:t xml:space="preserve">generally </w:t>
      </w:r>
      <w:r w:rsidR="00493A1F" w:rsidRPr="007334C5">
        <w:rPr>
          <w:rFonts w:cstheme="minorHAnsi"/>
          <w:sz w:val="20"/>
          <w:szCs w:val="20"/>
        </w:rPr>
        <w:t>delivered</w:t>
      </w:r>
      <w:r w:rsidR="003D76AE" w:rsidRPr="007334C5">
        <w:rPr>
          <w:rFonts w:cstheme="minorHAnsi"/>
          <w:sz w:val="20"/>
          <w:szCs w:val="20"/>
        </w:rPr>
        <w:t xml:space="preserve"> through installing new water efficient pumps, pipes, tanks and troughs. </w:t>
      </w:r>
      <w:r w:rsidR="00A178A2" w:rsidRPr="007334C5">
        <w:rPr>
          <w:rFonts w:cstheme="minorHAnsi"/>
          <w:sz w:val="20"/>
          <w:szCs w:val="20"/>
        </w:rPr>
        <w:t xml:space="preserve">The Basin Pipe Project </w:t>
      </w:r>
      <w:r w:rsidR="00AD3A6D" w:rsidRPr="007334C5">
        <w:rPr>
          <w:rFonts w:cstheme="minorHAnsi"/>
          <w:sz w:val="20"/>
          <w:szCs w:val="20"/>
        </w:rPr>
        <w:t xml:space="preserve">is administered by </w:t>
      </w:r>
      <w:r w:rsidR="002A62AE" w:rsidRPr="007334C5">
        <w:rPr>
          <w:rFonts w:cstheme="minorHAnsi"/>
          <w:sz w:val="20"/>
          <w:szCs w:val="20"/>
        </w:rPr>
        <w:t>DoI Water.</w:t>
      </w:r>
      <w:r w:rsidRPr="007334C5">
        <w:rPr>
          <w:rFonts w:cstheme="minorHAnsi"/>
          <w:sz w:val="20"/>
          <w:szCs w:val="20"/>
        </w:rPr>
        <w:t xml:space="preserve"> </w:t>
      </w:r>
    </w:p>
    <w:p w:rsidR="0022344D" w:rsidRPr="007334C5" w:rsidRDefault="0022344D" w:rsidP="0022344D">
      <w:pPr>
        <w:spacing w:before="120" w:after="120" w:line="240" w:lineRule="auto"/>
        <w:rPr>
          <w:rFonts w:cstheme="minorHAnsi"/>
          <w:sz w:val="20"/>
          <w:szCs w:val="20"/>
        </w:rPr>
      </w:pPr>
      <w:r w:rsidRPr="007334C5">
        <w:rPr>
          <w:rFonts w:cstheme="minorHAnsi"/>
          <w:sz w:val="20"/>
          <w:szCs w:val="20"/>
        </w:rPr>
        <w:t xml:space="preserve">On agreement with relevant landholders, </w:t>
      </w:r>
      <w:r w:rsidR="002A62AE" w:rsidRPr="007334C5">
        <w:rPr>
          <w:rFonts w:cstheme="minorHAnsi"/>
          <w:sz w:val="20"/>
          <w:szCs w:val="20"/>
        </w:rPr>
        <w:t xml:space="preserve">DoI Water </w:t>
      </w:r>
      <w:r w:rsidRPr="007334C5">
        <w:rPr>
          <w:rFonts w:cstheme="minorHAnsi"/>
          <w:sz w:val="20"/>
          <w:szCs w:val="20"/>
        </w:rPr>
        <w:t>plan and implement on</w:t>
      </w:r>
      <w:r w:rsidR="00EA2453" w:rsidRPr="007334C5">
        <w:rPr>
          <w:rFonts w:cstheme="minorHAnsi"/>
          <w:sz w:val="20"/>
          <w:szCs w:val="20"/>
        </w:rPr>
        <w:t>-</w:t>
      </w:r>
      <w:r w:rsidRPr="007334C5">
        <w:rPr>
          <w:rFonts w:cstheme="minorHAnsi"/>
          <w:sz w:val="20"/>
          <w:szCs w:val="20"/>
        </w:rPr>
        <w:t>ground works to upgrade infrastructure in exchange for a proposed water saving. On the completion of works and the transfer of the relevant water savings, the infrastructure is formally handed over to the landholder(s) for ongo</w:t>
      </w:r>
      <w:r w:rsidR="000A3C23" w:rsidRPr="007334C5">
        <w:rPr>
          <w:rFonts w:cstheme="minorHAnsi"/>
          <w:sz w:val="20"/>
          <w:szCs w:val="20"/>
        </w:rPr>
        <w:t>ing management and maintenance.</w:t>
      </w:r>
    </w:p>
    <w:p w:rsidR="00D72BB3" w:rsidRPr="007334C5" w:rsidRDefault="00D72BB3" w:rsidP="00811B0B">
      <w:pPr>
        <w:spacing w:before="120" w:after="120" w:line="240" w:lineRule="auto"/>
        <w:rPr>
          <w:rFonts w:cstheme="minorHAnsi"/>
          <w:sz w:val="20"/>
          <w:szCs w:val="20"/>
        </w:rPr>
      </w:pPr>
      <w:r w:rsidRPr="007334C5">
        <w:rPr>
          <w:rFonts w:cstheme="minorHAnsi"/>
          <w:sz w:val="20"/>
          <w:szCs w:val="20"/>
        </w:rPr>
        <w:t xml:space="preserve">The project has two </w:t>
      </w:r>
      <w:r w:rsidR="003D76AE" w:rsidRPr="007334C5">
        <w:rPr>
          <w:rFonts w:cstheme="minorHAnsi"/>
          <w:sz w:val="20"/>
          <w:szCs w:val="20"/>
        </w:rPr>
        <w:t xml:space="preserve">primary </w:t>
      </w:r>
      <w:r w:rsidRPr="007334C5">
        <w:rPr>
          <w:rFonts w:cstheme="minorHAnsi"/>
          <w:sz w:val="20"/>
          <w:szCs w:val="20"/>
        </w:rPr>
        <w:t>components:</w:t>
      </w:r>
    </w:p>
    <w:p w:rsidR="00D72BB3" w:rsidRPr="007334C5" w:rsidRDefault="00D72BB3" w:rsidP="000F0AAC">
      <w:pPr>
        <w:pStyle w:val="ListParagraph"/>
        <w:numPr>
          <w:ilvl w:val="0"/>
          <w:numId w:val="10"/>
        </w:numPr>
        <w:autoSpaceDE w:val="0"/>
        <w:autoSpaceDN w:val="0"/>
        <w:adjustRightInd w:val="0"/>
        <w:spacing w:after="173" w:line="240" w:lineRule="auto"/>
        <w:rPr>
          <w:rFonts w:cstheme="minorHAnsi"/>
          <w:sz w:val="20"/>
          <w:szCs w:val="20"/>
        </w:rPr>
      </w:pPr>
      <w:r w:rsidRPr="007334C5">
        <w:rPr>
          <w:rFonts w:cstheme="minorHAnsi"/>
          <w:sz w:val="20"/>
          <w:szCs w:val="20"/>
        </w:rPr>
        <w:t>Stock and Domestic: This component of the project exchanges a portion of an existing S&amp;D water licence along the regulated inland rivers of NSW</w:t>
      </w:r>
      <w:r w:rsidR="00A178A2" w:rsidRPr="007334C5">
        <w:rPr>
          <w:rFonts w:cstheme="minorHAnsi"/>
          <w:sz w:val="20"/>
          <w:szCs w:val="20"/>
        </w:rPr>
        <w:t>,</w:t>
      </w:r>
      <w:r w:rsidRPr="007334C5">
        <w:rPr>
          <w:rFonts w:cstheme="minorHAnsi"/>
          <w:sz w:val="20"/>
          <w:szCs w:val="20"/>
        </w:rPr>
        <w:t xml:space="preserve"> for a new and modern pipeline scheme. Landholders apply to participate through an expression of interest process. </w:t>
      </w:r>
    </w:p>
    <w:p w:rsidR="00D72BB3" w:rsidRPr="007334C5" w:rsidRDefault="00D72BB3" w:rsidP="000F0AAC">
      <w:pPr>
        <w:pStyle w:val="ListParagraph"/>
        <w:numPr>
          <w:ilvl w:val="0"/>
          <w:numId w:val="10"/>
        </w:numPr>
        <w:autoSpaceDE w:val="0"/>
        <w:autoSpaceDN w:val="0"/>
        <w:adjustRightInd w:val="0"/>
        <w:spacing w:before="120" w:after="120" w:line="240" w:lineRule="auto"/>
        <w:rPr>
          <w:rFonts w:cstheme="minorHAnsi"/>
          <w:sz w:val="20"/>
          <w:szCs w:val="20"/>
        </w:rPr>
      </w:pPr>
      <w:r w:rsidRPr="007334C5">
        <w:rPr>
          <w:rFonts w:cstheme="minorHAnsi"/>
          <w:sz w:val="20"/>
          <w:szCs w:val="20"/>
        </w:rPr>
        <w:t>Replenishment: This component of the project target</w:t>
      </w:r>
      <w:r w:rsidR="00B41031" w:rsidRPr="007334C5">
        <w:rPr>
          <w:rFonts w:cstheme="minorHAnsi"/>
          <w:sz w:val="20"/>
          <w:szCs w:val="20"/>
        </w:rPr>
        <w:t>s</w:t>
      </w:r>
      <w:r w:rsidRPr="007334C5">
        <w:rPr>
          <w:rFonts w:cstheme="minorHAnsi"/>
          <w:sz w:val="20"/>
          <w:szCs w:val="20"/>
        </w:rPr>
        <w:t xml:space="preserve"> replenishment flow creeks</w:t>
      </w:r>
      <w:r w:rsidR="006F7FF5" w:rsidRPr="007334C5">
        <w:rPr>
          <w:rFonts w:cstheme="minorHAnsi"/>
          <w:sz w:val="20"/>
          <w:szCs w:val="20"/>
        </w:rPr>
        <w:t>,</w:t>
      </w:r>
      <w:r w:rsidRPr="007334C5">
        <w:rPr>
          <w:rFonts w:cstheme="minorHAnsi"/>
          <w:sz w:val="20"/>
          <w:szCs w:val="20"/>
        </w:rPr>
        <w:t xml:space="preserve"> which are used to deliver replenishment flow orders along the length of the creek. </w:t>
      </w:r>
    </w:p>
    <w:p w:rsidR="00D72BB3" w:rsidRPr="007334C5" w:rsidRDefault="00D72BB3" w:rsidP="00D72BB3">
      <w:pPr>
        <w:spacing w:before="120" w:after="120" w:line="240" w:lineRule="auto"/>
        <w:rPr>
          <w:rFonts w:cstheme="minorHAnsi"/>
          <w:sz w:val="20"/>
          <w:szCs w:val="20"/>
        </w:rPr>
      </w:pPr>
      <w:r w:rsidRPr="007334C5">
        <w:rPr>
          <w:rFonts w:cstheme="minorHAnsi"/>
          <w:sz w:val="20"/>
          <w:szCs w:val="20"/>
        </w:rPr>
        <w:t xml:space="preserve">The </w:t>
      </w:r>
      <w:r w:rsidR="00442413" w:rsidRPr="007334C5">
        <w:rPr>
          <w:rFonts w:cstheme="minorHAnsi"/>
          <w:sz w:val="20"/>
          <w:szCs w:val="20"/>
        </w:rPr>
        <w:t xml:space="preserve">maximum available funding for this project amounts </w:t>
      </w:r>
      <w:r w:rsidRPr="007334C5">
        <w:rPr>
          <w:rFonts w:cstheme="minorHAnsi"/>
          <w:sz w:val="20"/>
          <w:szCs w:val="20"/>
        </w:rPr>
        <w:t>to $13</w:t>
      </w:r>
      <w:r w:rsidR="00AD6003" w:rsidRPr="007334C5">
        <w:rPr>
          <w:rFonts w:cstheme="minorHAnsi"/>
          <w:sz w:val="20"/>
          <w:szCs w:val="20"/>
        </w:rPr>
        <w:t>7</w:t>
      </w:r>
      <w:r w:rsidRPr="007334C5">
        <w:rPr>
          <w:rFonts w:cstheme="minorHAnsi"/>
          <w:sz w:val="20"/>
          <w:szCs w:val="20"/>
        </w:rPr>
        <w:t xml:space="preserve"> million, as per the Commonwealth’s Sustainable Rural Water Use and Infrastructure Program. At the time of the review, the Basin Pipe </w:t>
      </w:r>
      <w:r w:rsidR="00F937F1" w:rsidRPr="007334C5">
        <w:rPr>
          <w:rFonts w:cstheme="minorHAnsi"/>
          <w:sz w:val="20"/>
          <w:szCs w:val="20"/>
        </w:rPr>
        <w:t xml:space="preserve">Project </w:t>
      </w:r>
      <w:r w:rsidRPr="007334C5">
        <w:rPr>
          <w:rFonts w:cstheme="minorHAnsi"/>
          <w:sz w:val="20"/>
          <w:szCs w:val="20"/>
        </w:rPr>
        <w:t xml:space="preserve">had 19 approved schemes, representing approximately 12 </w:t>
      </w:r>
      <w:r w:rsidR="00A178A2" w:rsidRPr="007334C5">
        <w:rPr>
          <w:rFonts w:cstheme="minorHAnsi"/>
          <w:sz w:val="20"/>
          <w:szCs w:val="20"/>
        </w:rPr>
        <w:t>gigalitre</w:t>
      </w:r>
      <w:r w:rsidR="00B86CC2" w:rsidRPr="007334C5">
        <w:rPr>
          <w:rFonts w:cstheme="minorHAnsi"/>
          <w:sz w:val="20"/>
          <w:szCs w:val="20"/>
        </w:rPr>
        <w:t>s</w:t>
      </w:r>
      <w:r w:rsidR="00A178A2" w:rsidRPr="007334C5">
        <w:rPr>
          <w:rFonts w:cstheme="minorHAnsi"/>
          <w:sz w:val="20"/>
          <w:szCs w:val="20"/>
        </w:rPr>
        <w:t xml:space="preserve"> (</w:t>
      </w:r>
      <w:r w:rsidRPr="007334C5">
        <w:rPr>
          <w:rFonts w:cstheme="minorHAnsi"/>
          <w:sz w:val="20"/>
          <w:szCs w:val="20"/>
        </w:rPr>
        <w:t>GL</w:t>
      </w:r>
      <w:r w:rsidR="00A178A2" w:rsidRPr="007334C5">
        <w:rPr>
          <w:rFonts w:cstheme="minorHAnsi"/>
          <w:sz w:val="20"/>
          <w:szCs w:val="20"/>
        </w:rPr>
        <w:t>)</w:t>
      </w:r>
      <w:r w:rsidRPr="007334C5">
        <w:rPr>
          <w:rFonts w:cstheme="minorHAnsi"/>
          <w:sz w:val="20"/>
          <w:szCs w:val="20"/>
        </w:rPr>
        <w:t xml:space="preserve"> of</w:t>
      </w:r>
      <w:r w:rsidR="0022344D" w:rsidRPr="007334C5">
        <w:rPr>
          <w:rFonts w:cstheme="minorHAnsi"/>
          <w:sz w:val="20"/>
          <w:szCs w:val="20"/>
        </w:rPr>
        <w:t xml:space="preserve"> potential</w:t>
      </w:r>
      <w:r w:rsidRPr="007334C5">
        <w:rPr>
          <w:rFonts w:cstheme="minorHAnsi"/>
          <w:sz w:val="20"/>
          <w:szCs w:val="20"/>
        </w:rPr>
        <w:t xml:space="preserve"> water savings and more than $4</w:t>
      </w:r>
      <w:r w:rsidR="00AD6003" w:rsidRPr="007334C5">
        <w:rPr>
          <w:rFonts w:cstheme="minorHAnsi"/>
          <w:sz w:val="20"/>
          <w:szCs w:val="20"/>
        </w:rPr>
        <w:t>5</w:t>
      </w:r>
      <w:r w:rsidRPr="007334C5">
        <w:rPr>
          <w:rFonts w:cstheme="minorHAnsi"/>
          <w:sz w:val="20"/>
          <w:szCs w:val="20"/>
        </w:rPr>
        <w:t xml:space="preserve"> million in Commonwealth funding.</w:t>
      </w:r>
      <w:r w:rsidR="00BD775B" w:rsidRPr="007334C5">
        <w:rPr>
          <w:rFonts w:cstheme="minorHAnsi"/>
          <w:sz w:val="20"/>
          <w:szCs w:val="20"/>
        </w:rPr>
        <w:t xml:space="preserve"> The approved schemes are in the process of being implemented</w:t>
      </w:r>
      <w:r w:rsidR="00F937F1" w:rsidRPr="007334C5">
        <w:rPr>
          <w:rFonts w:cstheme="minorHAnsi"/>
          <w:sz w:val="20"/>
          <w:szCs w:val="20"/>
        </w:rPr>
        <w:t xml:space="preserve"> and</w:t>
      </w:r>
      <w:r w:rsidR="00BD775B" w:rsidRPr="007334C5">
        <w:rPr>
          <w:rFonts w:cstheme="minorHAnsi"/>
          <w:sz w:val="20"/>
          <w:szCs w:val="20"/>
        </w:rPr>
        <w:t xml:space="preserve"> no additional schemes are planned to be considered under this project.</w:t>
      </w:r>
    </w:p>
    <w:p w:rsidR="00D72BB3" w:rsidRPr="007334C5" w:rsidRDefault="00D72BB3" w:rsidP="00D72BB3">
      <w:pPr>
        <w:spacing w:before="120" w:after="120" w:line="240" w:lineRule="auto"/>
        <w:rPr>
          <w:rFonts w:cstheme="minorHAnsi"/>
          <w:sz w:val="20"/>
          <w:szCs w:val="20"/>
        </w:rPr>
      </w:pPr>
      <w:r w:rsidRPr="007334C5">
        <w:rPr>
          <w:rFonts w:cstheme="minorHAnsi"/>
          <w:sz w:val="20"/>
          <w:szCs w:val="20"/>
        </w:rPr>
        <w:t>The project commenced in June 2012</w:t>
      </w:r>
      <w:r w:rsidR="001352AE" w:rsidRPr="007334C5">
        <w:rPr>
          <w:rFonts w:cstheme="minorHAnsi"/>
          <w:sz w:val="20"/>
          <w:szCs w:val="20"/>
        </w:rPr>
        <w:t xml:space="preserve">, with an original completion date of October 2017. </w:t>
      </w:r>
      <w:r w:rsidR="00AD6003" w:rsidRPr="007334C5">
        <w:rPr>
          <w:rFonts w:cstheme="minorHAnsi"/>
          <w:sz w:val="20"/>
          <w:szCs w:val="20"/>
        </w:rPr>
        <w:t>Following the completion of fieldwork</w:t>
      </w:r>
      <w:r w:rsidR="00FD5FC0" w:rsidRPr="007334C5">
        <w:rPr>
          <w:rFonts w:cstheme="minorHAnsi"/>
          <w:sz w:val="20"/>
          <w:szCs w:val="20"/>
        </w:rPr>
        <w:t>,</w:t>
      </w:r>
      <w:r w:rsidR="00AD6003" w:rsidRPr="007334C5">
        <w:rPr>
          <w:rFonts w:cstheme="minorHAnsi"/>
          <w:sz w:val="20"/>
          <w:szCs w:val="20"/>
        </w:rPr>
        <w:t xml:space="preserve"> </w:t>
      </w:r>
      <w:r w:rsidR="00C85611" w:rsidRPr="007334C5">
        <w:rPr>
          <w:rFonts w:cstheme="minorHAnsi"/>
          <w:sz w:val="20"/>
          <w:szCs w:val="20"/>
        </w:rPr>
        <w:t>DoI Water and the Commonwealth</w:t>
      </w:r>
      <w:r w:rsidR="00E63C35" w:rsidRPr="007334C5">
        <w:rPr>
          <w:rFonts w:cstheme="minorHAnsi"/>
          <w:sz w:val="20"/>
          <w:szCs w:val="20"/>
        </w:rPr>
        <w:t xml:space="preserve"> agreed to vary the Basin P</w:t>
      </w:r>
      <w:r w:rsidR="00AD6003" w:rsidRPr="007334C5">
        <w:rPr>
          <w:rFonts w:cstheme="minorHAnsi"/>
          <w:sz w:val="20"/>
          <w:szCs w:val="20"/>
        </w:rPr>
        <w:t xml:space="preserve">ipe Schedule to the WMPA to </w:t>
      </w:r>
      <w:r w:rsidR="00C85611" w:rsidRPr="007334C5">
        <w:rPr>
          <w:rFonts w:cstheme="minorHAnsi"/>
          <w:sz w:val="20"/>
          <w:szCs w:val="20"/>
        </w:rPr>
        <w:t>reduce overall funding</w:t>
      </w:r>
      <w:r w:rsidR="00AD6003" w:rsidRPr="007334C5">
        <w:rPr>
          <w:rFonts w:cstheme="minorHAnsi"/>
          <w:sz w:val="20"/>
          <w:szCs w:val="20"/>
        </w:rPr>
        <w:t xml:space="preserve"> to $45.6 million</w:t>
      </w:r>
      <w:r w:rsidR="00C85611" w:rsidRPr="007334C5">
        <w:rPr>
          <w:rFonts w:cstheme="minorHAnsi"/>
          <w:sz w:val="20"/>
          <w:szCs w:val="20"/>
        </w:rPr>
        <w:t xml:space="preserve"> and extend </w:t>
      </w:r>
      <w:r w:rsidR="00AD6003" w:rsidRPr="007334C5">
        <w:rPr>
          <w:rFonts w:cstheme="minorHAnsi"/>
          <w:sz w:val="20"/>
          <w:szCs w:val="20"/>
        </w:rPr>
        <w:t xml:space="preserve">the </w:t>
      </w:r>
      <w:r w:rsidR="00C85611" w:rsidRPr="007334C5">
        <w:rPr>
          <w:rFonts w:cstheme="minorHAnsi"/>
          <w:sz w:val="20"/>
          <w:szCs w:val="20"/>
        </w:rPr>
        <w:t>completion</w:t>
      </w:r>
      <w:r w:rsidR="001352AE" w:rsidRPr="007334C5">
        <w:rPr>
          <w:rFonts w:cstheme="minorHAnsi"/>
          <w:sz w:val="20"/>
          <w:szCs w:val="20"/>
        </w:rPr>
        <w:t xml:space="preserve"> </w:t>
      </w:r>
      <w:r w:rsidR="00AD6003" w:rsidRPr="007334C5">
        <w:rPr>
          <w:rFonts w:cstheme="minorHAnsi"/>
          <w:sz w:val="20"/>
          <w:szCs w:val="20"/>
        </w:rPr>
        <w:t xml:space="preserve">to June </w:t>
      </w:r>
      <w:r w:rsidR="00C85611" w:rsidRPr="007334C5">
        <w:rPr>
          <w:rFonts w:cstheme="minorHAnsi"/>
          <w:sz w:val="20"/>
          <w:szCs w:val="20"/>
        </w:rPr>
        <w:t>2019</w:t>
      </w:r>
      <w:r w:rsidR="001352AE" w:rsidRPr="007334C5">
        <w:rPr>
          <w:rFonts w:cstheme="minorHAnsi"/>
          <w:sz w:val="20"/>
          <w:szCs w:val="20"/>
        </w:rPr>
        <w:t>.</w:t>
      </w:r>
    </w:p>
    <w:p w:rsidR="00E621EE" w:rsidRPr="007334C5" w:rsidRDefault="00E621EE" w:rsidP="00E621EE">
      <w:pPr>
        <w:pStyle w:val="Heading2"/>
        <w:rPr>
          <w:rFonts w:asciiTheme="minorHAnsi" w:hAnsiTheme="minorHAnsi" w:cstheme="minorHAnsi"/>
        </w:rPr>
      </w:pPr>
      <w:bookmarkStart w:id="9" w:name="_Toc535401129"/>
      <w:r w:rsidRPr="007334C5">
        <w:rPr>
          <w:rFonts w:asciiTheme="minorHAnsi" w:hAnsiTheme="minorHAnsi" w:cstheme="minorHAnsi"/>
        </w:rPr>
        <w:t>Purpose of this report</w:t>
      </w:r>
      <w:bookmarkEnd w:id="9"/>
    </w:p>
    <w:p w:rsidR="00643E0A" w:rsidRPr="007334C5" w:rsidRDefault="00643E0A" w:rsidP="00643E0A">
      <w:pPr>
        <w:spacing w:before="120" w:after="120" w:line="240" w:lineRule="auto"/>
        <w:rPr>
          <w:rFonts w:cstheme="minorHAnsi"/>
          <w:sz w:val="20"/>
          <w:szCs w:val="20"/>
        </w:rPr>
      </w:pPr>
      <w:r w:rsidRPr="007334C5">
        <w:rPr>
          <w:rFonts w:cstheme="minorHAnsi"/>
          <w:sz w:val="20"/>
          <w:szCs w:val="20"/>
        </w:rPr>
        <w:t xml:space="preserve">DAWR engaged KPMG to review the governance, risk and control processes for State Priority Projects administered through the Program to ensure effective use of Commonwealth funds. This engagement is limited to the Queensland </w:t>
      </w:r>
      <w:r w:rsidR="00412E6A" w:rsidRPr="007334C5">
        <w:rPr>
          <w:rFonts w:cstheme="minorHAnsi"/>
          <w:sz w:val="20"/>
          <w:szCs w:val="20"/>
        </w:rPr>
        <w:t xml:space="preserve">Healthy HeadWaters Water Use Efficiency </w:t>
      </w:r>
      <w:r w:rsidRPr="007334C5">
        <w:rPr>
          <w:rFonts w:cstheme="minorHAnsi"/>
          <w:sz w:val="20"/>
          <w:szCs w:val="20"/>
        </w:rPr>
        <w:t>Project, New South Wales Basin Pipe Project and New South Wales Irrigated Farm Modernisation State Priority Projects</w:t>
      </w:r>
      <w:r w:rsidR="009B3394" w:rsidRPr="007334C5">
        <w:rPr>
          <w:rFonts w:cstheme="minorHAnsi"/>
          <w:sz w:val="20"/>
          <w:szCs w:val="20"/>
        </w:rPr>
        <w:t>.</w:t>
      </w:r>
    </w:p>
    <w:p w:rsidR="00E621EE" w:rsidRPr="007334C5" w:rsidRDefault="00E621EE" w:rsidP="00C85611">
      <w:pPr>
        <w:keepNext/>
        <w:spacing w:before="120" w:after="120" w:line="240" w:lineRule="auto"/>
        <w:rPr>
          <w:rFonts w:cstheme="minorHAnsi"/>
          <w:sz w:val="20"/>
          <w:szCs w:val="20"/>
        </w:rPr>
      </w:pPr>
      <w:r w:rsidRPr="007334C5">
        <w:rPr>
          <w:rFonts w:cstheme="minorHAnsi"/>
          <w:sz w:val="20"/>
          <w:szCs w:val="20"/>
        </w:rPr>
        <w:t xml:space="preserve">This report presents findings and observations in relation to KPMG’s </w:t>
      </w:r>
      <w:r w:rsidR="00643E0A" w:rsidRPr="007334C5">
        <w:rPr>
          <w:rFonts w:cstheme="minorHAnsi"/>
          <w:sz w:val="20"/>
          <w:szCs w:val="20"/>
        </w:rPr>
        <w:t xml:space="preserve">assessment of the </w:t>
      </w:r>
      <w:r w:rsidR="00811B0B" w:rsidRPr="007334C5">
        <w:rPr>
          <w:rFonts w:cstheme="minorHAnsi"/>
          <w:sz w:val="20"/>
          <w:szCs w:val="20"/>
        </w:rPr>
        <w:t>Basin Pipe P</w:t>
      </w:r>
      <w:r w:rsidR="00643E0A" w:rsidRPr="007334C5">
        <w:rPr>
          <w:rFonts w:cstheme="minorHAnsi"/>
          <w:sz w:val="20"/>
          <w:szCs w:val="20"/>
        </w:rPr>
        <w:t>roject</w:t>
      </w:r>
      <w:r w:rsidR="00F937F1" w:rsidRPr="007334C5">
        <w:rPr>
          <w:rFonts w:cstheme="minorHAnsi"/>
          <w:sz w:val="20"/>
          <w:szCs w:val="20"/>
        </w:rPr>
        <w:t xml:space="preserve"> only</w:t>
      </w:r>
      <w:r w:rsidR="00BF165D" w:rsidRPr="007334C5">
        <w:rPr>
          <w:rFonts w:cstheme="minorHAnsi"/>
          <w:sz w:val="20"/>
          <w:szCs w:val="20"/>
        </w:rPr>
        <w:t>,</w:t>
      </w:r>
      <w:r w:rsidR="00643E0A" w:rsidRPr="007334C5">
        <w:rPr>
          <w:rFonts w:cstheme="minorHAnsi"/>
          <w:sz w:val="20"/>
          <w:szCs w:val="20"/>
        </w:rPr>
        <w:t xml:space="preserve"> the objective of which was to:</w:t>
      </w:r>
    </w:p>
    <w:p w:rsidR="00336886" w:rsidRPr="007334C5" w:rsidRDefault="00336886" w:rsidP="003E73C2">
      <w:pPr>
        <w:spacing w:before="120" w:after="120" w:line="240" w:lineRule="auto"/>
        <w:rPr>
          <w:rFonts w:cstheme="minorHAnsi"/>
          <w:i/>
          <w:sz w:val="20"/>
          <w:szCs w:val="20"/>
        </w:rPr>
      </w:pPr>
      <w:bookmarkStart w:id="10" w:name="_Toc522868839"/>
      <w:bookmarkStart w:id="11" w:name="_Toc522868840"/>
      <w:bookmarkEnd w:id="10"/>
      <w:bookmarkEnd w:id="11"/>
      <w:r w:rsidRPr="007334C5">
        <w:rPr>
          <w:rFonts w:cstheme="minorHAnsi"/>
          <w:i/>
          <w:sz w:val="20"/>
          <w:szCs w:val="20"/>
        </w:rPr>
        <w:t xml:space="preserve">Review the governance, risk and control processes for State Priority Projects administered through Sustainable Rural Water Use and Infrastructure Program to ensure effective use of Commonwealth funds. (Refer </w:t>
      </w:r>
      <w:r w:rsidRPr="007334C5">
        <w:rPr>
          <w:rFonts w:cstheme="minorHAnsi"/>
          <w:b/>
          <w:i/>
          <w:sz w:val="20"/>
          <w:szCs w:val="20"/>
        </w:rPr>
        <w:t>Appendix A</w:t>
      </w:r>
      <w:r w:rsidRPr="007334C5">
        <w:rPr>
          <w:rFonts w:cstheme="minorHAnsi"/>
          <w:i/>
          <w:sz w:val="20"/>
          <w:szCs w:val="20"/>
        </w:rPr>
        <w:t xml:space="preserve"> for further de</w:t>
      </w:r>
      <w:r w:rsidR="00515B4E" w:rsidRPr="007334C5">
        <w:rPr>
          <w:rFonts w:cstheme="minorHAnsi"/>
          <w:i/>
          <w:sz w:val="20"/>
          <w:szCs w:val="20"/>
        </w:rPr>
        <w:t>tails on the scope</w:t>
      </w:r>
      <w:r w:rsidRPr="007334C5">
        <w:rPr>
          <w:rFonts w:cstheme="minorHAnsi"/>
          <w:i/>
          <w:sz w:val="20"/>
          <w:szCs w:val="20"/>
        </w:rPr>
        <w:t>).</w:t>
      </w:r>
      <w:r w:rsidR="006F49F1" w:rsidRPr="007334C5">
        <w:rPr>
          <w:rFonts w:cstheme="minorHAnsi"/>
          <w:i/>
          <w:sz w:val="20"/>
          <w:szCs w:val="20"/>
        </w:rPr>
        <w:t xml:space="preserve"> </w:t>
      </w:r>
    </w:p>
    <w:p w:rsidR="009B3394" w:rsidRPr="007334C5" w:rsidRDefault="009B3394" w:rsidP="003E73C2">
      <w:pPr>
        <w:spacing w:before="120" w:after="120" w:line="240" w:lineRule="auto"/>
        <w:rPr>
          <w:rFonts w:cstheme="minorHAnsi"/>
          <w:sz w:val="20"/>
          <w:szCs w:val="20"/>
        </w:rPr>
      </w:pPr>
      <w:r w:rsidRPr="007334C5">
        <w:rPr>
          <w:rFonts w:cstheme="minorHAnsi"/>
          <w:sz w:val="20"/>
          <w:szCs w:val="20"/>
        </w:rPr>
        <w:t xml:space="preserve">Separate reports </w:t>
      </w:r>
      <w:r w:rsidR="00F937F1" w:rsidRPr="007334C5">
        <w:rPr>
          <w:rFonts w:cstheme="minorHAnsi"/>
          <w:sz w:val="20"/>
          <w:szCs w:val="20"/>
        </w:rPr>
        <w:t>have been</w:t>
      </w:r>
      <w:r w:rsidRPr="007334C5">
        <w:rPr>
          <w:rFonts w:cstheme="minorHAnsi"/>
          <w:sz w:val="20"/>
          <w:szCs w:val="20"/>
        </w:rPr>
        <w:t xml:space="preserve"> produced for the </w:t>
      </w:r>
      <w:r w:rsidR="00412E6A" w:rsidRPr="007334C5">
        <w:rPr>
          <w:rFonts w:cstheme="minorHAnsi"/>
          <w:sz w:val="20"/>
          <w:szCs w:val="20"/>
        </w:rPr>
        <w:t xml:space="preserve">Queensland Healthy HeadWaters Water Use Efficiency </w:t>
      </w:r>
      <w:r w:rsidRPr="007334C5">
        <w:rPr>
          <w:rFonts w:cstheme="minorHAnsi"/>
          <w:sz w:val="20"/>
          <w:szCs w:val="20"/>
        </w:rPr>
        <w:t xml:space="preserve">and </w:t>
      </w:r>
      <w:r w:rsidR="00BF165D" w:rsidRPr="007334C5">
        <w:rPr>
          <w:rFonts w:cstheme="minorHAnsi"/>
          <w:sz w:val="20"/>
          <w:szCs w:val="20"/>
        </w:rPr>
        <w:t xml:space="preserve">New South Wales </w:t>
      </w:r>
      <w:r w:rsidRPr="007334C5">
        <w:rPr>
          <w:rFonts w:cstheme="minorHAnsi"/>
          <w:sz w:val="20"/>
          <w:szCs w:val="20"/>
        </w:rPr>
        <w:t>Irrigated Farm Modernisation State Priority Projects.</w:t>
      </w:r>
    </w:p>
    <w:p w:rsidR="006F49F1" w:rsidRPr="007334C5" w:rsidRDefault="006F49F1" w:rsidP="00F74EDA">
      <w:pPr>
        <w:pStyle w:val="Heading2"/>
        <w:keepNext/>
        <w:rPr>
          <w:rFonts w:asciiTheme="minorHAnsi" w:hAnsiTheme="minorHAnsi" w:cstheme="minorHAnsi"/>
        </w:rPr>
      </w:pPr>
      <w:bookmarkStart w:id="12" w:name="_Toc535401130"/>
      <w:r w:rsidRPr="007334C5">
        <w:rPr>
          <w:rFonts w:asciiTheme="minorHAnsi" w:hAnsiTheme="minorHAnsi" w:cstheme="minorHAnsi"/>
        </w:rPr>
        <w:t>Approach to this review</w:t>
      </w:r>
      <w:bookmarkEnd w:id="12"/>
    </w:p>
    <w:p w:rsidR="006F49F1" w:rsidRPr="007334C5" w:rsidRDefault="00432EE5" w:rsidP="00F74EDA">
      <w:pPr>
        <w:spacing w:before="120" w:after="120" w:line="240" w:lineRule="auto"/>
        <w:rPr>
          <w:rFonts w:cstheme="minorHAnsi"/>
          <w:sz w:val="20"/>
          <w:szCs w:val="20"/>
        </w:rPr>
      </w:pPr>
      <w:r w:rsidRPr="007334C5">
        <w:rPr>
          <w:rFonts w:cstheme="minorHAnsi"/>
          <w:sz w:val="20"/>
          <w:szCs w:val="20"/>
        </w:rPr>
        <w:t>KPMG assessed</w:t>
      </w:r>
      <w:r w:rsidR="00814A03" w:rsidRPr="007334C5">
        <w:rPr>
          <w:rFonts w:cstheme="minorHAnsi"/>
          <w:sz w:val="20"/>
          <w:szCs w:val="20"/>
        </w:rPr>
        <w:t xml:space="preserve"> the</w:t>
      </w:r>
      <w:r w:rsidRPr="007334C5">
        <w:rPr>
          <w:rFonts w:cstheme="minorHAnsi"/>
          <w:sz w:val="20"/>
          <w:szCs w:val="20"/>
        </w:rPr>
        <w:t xml:space="preserve"> systems, processes and controls </w:t>
      </w:r>
      <w:r w:rsidR="00E621EE" w:rsidRPr="007334C5">
        <w:rPr>
          <w:rFonts w:cstheme="minorHAnsi"/>
          <w:sz w:val="20"/>
          <w:szCs w:val="20"/>
        </w:rPr>
        <w:t xml:space="preserve">established </w:t>
      </w:r>
      <w:r w:rsidRPr="007334C5">
        <w:rPr>
          <w:rFonts w:cstheme="minorHAnsi"/>
          <w:sz w:val="20"/>
          <w:szCs w:val="20"/>
        </w:rPr>
        <w:t xml:space="preserve">for the governance and administration of the </w:t>
      </w:r>
      <w:r w:rsidR="000700AC" w:rsidRPr="007334C5">
        <w:rPr>
          <w:rFonts w:cstheme="minorHAnsi"/>
          <w:sz w:val="20"/>
          <w:szCs w:val="20"/>
        </w:rPr>
        <w:t>Basin Pipe Project</w:t>
      </w:r>
      <w:r w:rsidR="00E621EE" w:rsidRPr="007334C5">
        <w:rPr>
          <w:rFonts w:cstheme="minorHAnsi"/>
          <w:sz w:val="20"/>
          <w:szCs w:val="20"/>
        </w:rPr>
        <w:t xml:space="preserve"> against </w:t>
      </w:r>
      <w:r w:rsidR="000B2AF6" w:rsidRPr="007334C5">
        <w:rPr>
          <w:rFonts w:cstheme="minorHAnsi"/>
          <w:sz w:val="20"/>
          <w:szCs w:val="20"/>
        </w:rPr>
        <w:t xml:space="preserve">key program </w:t>
      </w:r>
      <w:r w:rsidR="00E621EE" w:rsidRPr="007334C5">
        <w:rPr>
          <w:rFonts w:cstheme="minorHAnsi"/>
          <w:sz w:val="20"/>
          <w:szCs w:val="20"/>
        </w:rPr>
        <w:t xml:space="preserve">management </w:t>
      </w:r>
      <w:r w:rsidR="000B2AF6" w:rsidRPr="007334C5">
        <w:rPr>
          <w:rFonts w:cstheme="minorHAnsi"/>
          <w:sz w:val="20"/>
          <w:szCs w:val="20"/>
        </w:rPr>
        <w:t xml:space="preserve">areas (as </w:t>
      </w:r>
      <w:r w:rsidR="00FF455B" w:rsidRPr="007334C5">
        <w:rPr>
          <w:rFonts w:cstheme="minorHAnsi"/>
          <w:sz w:val="20"/>
          <w:szCs w:val="20"/>
        </w:rPr>
        <w:t>outlined</w:t>
      </w:r>
      <w:r w:rsidR="000B2AF6" w:rsidRPr="007334C5">
        <w:rPr>
          <w:rFonts w:cstheme="minorHAnsi"/>
          <w:sz w:val="20"/>
          <w:szCs w:val="20"/>
        </w:rPr>
        <w:t xml:space="preserve"> in engagement scope) </w:t>
      </w:r>
      <w:r w:rsidR="00E621EE" w:rsidRPr="007334C5">
        <w:rPr>
          <w:rFonts w:cstheme="minorHAnsi"/>
          <w:sz w:val="20"/>
          <w:szCs w:val="20"/>
        </w:rPr>
        <w:t xml:space="preserve">and key requirements of the WMPA. </w:t>
      </w:r>
      <w:r w:rsidRPr="007334C5">
        <w:rPr>
          <w:rFonts w:cstheme="minorHAnsi"/>
          <w:sz w:val="20"/>
          <w:szCs w:val="20"/>
        </w:rPr>
        <w:t xml:space="preserve"> This included governance mechanisms, risk management</w:t>
      </w:r>
      <w:r w:rsidR="00C85611" w:rsidRPr="007334C5">
        <w:rPr>
          <w:rFonts w:cstheme="minorHAnsi"/>
          <w:sz w:val="20"/>
          <w:szCs w:val="20"/>
        </w:rPr>
        <w:t xml:space="preserve"> activity</w:t>
      </w:r>
      <w:r w:rsidRPr="007334C5">
        <w:rPr>
          <w:rFonts w:cstheme="minorHAnsi"/>
          <w:sz w:val="20"/>
          <w:szCs w:val="20"/>
        </w:rPr>
        <w:t xml:space="preserve">, financial management processes and monitoring activities. </w:t>
      </w:r>
      <w:r w:rsidR="00E621EE" w:rsidRPr="007334C5">
        <w:rPr>
          <w:rFonts w:cstheme="minorHAnsi"/>
          <w:sz w:val="20"/>
          <w:szCs w:val="20"/>
        </w:rPr>
        <w:t xml:space="preserve">This was undertaken through a combination of stakeholder consultation, document </w:t>
      </w:r>
      <w:r w:rsidR="006C712C" w:rsidRPr="007334C5">
        <w:rPr>
          <w:rFonts w:cstheme="minorHAnsi"/>
          <w:sz w:val="20"/>
          <w:szCs w:val="20"/>
        </w:rPr>
        <w:t>review and on-ground inspection.</w:t>
      </w:r>
    </w:p>
    <w:p w:rsidR="006F49F1" w:rsidRPr="007334C5" w:rsidRDefault="00432EE5" w:rsidP="00D60F37">
      <w:pPr>
        <w:spacing w:before="120" w:after="120" w:line="240" w:lineRule="auto"/>
        <w:rPr>
          <w:rFonts w:cstheme="minorHAnsi"/>
          <w:sz w:val="20"/>
          <w:szCs w:val="20"/>
          <w:highlight w:val="lightGray"/>
        </w:rPr>
      </w:pPr>
      <w:r w:rsidRPr="007334C5">
        <w:rPr>
          <w:rFonts w:cstheme="minorHAnsi"/>
          <w:sz w:val="20"/>
          <w:szCs w:val="20"/>
        </w:rPr>
        <w:t>As p</w:t>
      </w:r>
      <w:r w:rsidR="00E621EE" w:rsidRPr="007334C5">
        <w:rPr>
          <w:rFonts w:cstheme="minorHAnsi"/>
          <w:sz w:val="20"/>
          <w:szCs w:val="20"/>
        </w:rPr>
        <w:t>art of the review,</w:t>
      </w:r>
      <w:r w:rsidRPr="007334C5">
        <w:rPr>
          <w:rFonts w:cstheme="minorHAnsi"/>
          <w:sz w:val="20"/>
          <w:szCs w:val="20"/>
        </w:rPr>
        <w:t xml:space="preserve"> </w:t>
      </w:r>
      <w:r w:rsidR="00643E0A" w:rsidRPr="007334C5">
        <w:rPr>
          <w:rFonts w:cstheme="minorHAnsi"/>
          <w:sz w:val="20"/>
          <w:szCs w:val="20"/>
        </w:rPr>
        <w:t xml:space="preserve">KPMG selected a sample of </w:t>
      </w:r>
      <w:r w:rsidR="00811B0B" w:rsidRPr="007334C5">
        <w:rPr>
          <w:rFonts w:cstheme="minorHAnsi"/>
          <w:sz w:val="20"/>
          <w:szCs w:val="20"/>
        </w:rPr>
        <w:t xml:space="preserve">five approved schemes </w:t>
      </w:r>
      <w:r w:rsidR="00D60F37" w:rsidRPr="007334C5">
        <w:rPr>
          <w:rFonts w:cstheme="minorHAnsi"/>
          <w:sz w:val="20"/>
          <w:szCs w:val="20"/>
        </w:rPr>
        <w:t xml:space="preserve">under the project </w:t>
      </w:r>
      <w:r w:rsidR="00811B0B" w:rsidRPr="007334C5">
        <w:rPr>
          <w:rFonts w:cstheme="minorHAnsi"/>
          <w:sz w:val="20"/>
          <w:szCs w:val="20"/>
        </w:rPr>
        <w:t>(26</w:t>
      </w:r>
      <w:r w:rsidR="00643E0A" w:rsidRPr="007334C5">
        <w:rPr>
          <w:rFonts w:cstheme="minorHAnsi"/>
          <w:sz w:val="20"/>
          <w:szCs w:val="20"/>
        </w:rPr>
        <w:t xml:space="preserve">% of all </w:t>
      </w:r>
      <w:r w:rsidR="00811B0B" w:rsidRPr="007334C5">
        <w:rPr>
          <w:rFonts w:cstheme="minorHAnsi"/>
          <w:sz w:val="20"/>
          <w:szCs w:val="20"/>
        </w:rPr>
        <w:t>schemes</w:t>
      </w:r>
      <w:r w:rsidR="00643E0A" w:rsidRPr="007334C5">
        <w:rPr>
          <w:rFonts w:cstheme="minorHAnsi"/>
          <w:sz w:val="20"/>
          <w:szCs w:val="20"/>
        </w:rPr>
        <w:t>) for desktop review</w:t>
      </w:r>
      <w:r w:rsidR="0069576D" w:rsidRPr="007334C5">
        <w:rPr>
          <w:rFonts w:cstheme="minorHAnsi"/>
          <w:sz w:val="20"/>
          <w:szCs w:val="20"/>
        </w:rPr>
        <w:t>,</w:t>
      </w:r>
      <w:r w:rsidR="00643E0A" w:rsidRPr="007334C5">
        <w:rPr>
          <w:rFonts w:cstheme="minorHAnsi"/>
          <w:sz w:val="20"/>
          <w:szCs w:val="20"/>
        </w:rPr>
        <w:t xml:space="preserve"> and of this</w:t>
      </w:r>
      <w:r w:rsidR="0069576D" w:rsidRPr="007334C5">
        <w:rPr>
          <w:rFonts w:cstheme="minorHAnsi"/>
          <w:sz w:val="20"/>
          <w:szCs w:val="20"/>
        </w:rPr>
        <w:t>,</w:t>
      </w:r>
      <w:r w:rsidR="00643E0A" w:rsidRPr="007334C5">
        <w:rPr>
          <w:rFonts w:cstheme="minorHAnsi"/>
          <w:sz w:val="20"/>
          <w:szCs w:val="20"/>
        </w:rPr>
        <w:t xml:space="preserve"> a sample of </w:t>
      </w:r>
      <w:r w:rsidR="00C85611" w:rsidRPr="007334C5">
        <w:rPr>
          <w:rFonts w:cstheme="minorHAnsi"/>
          <w:sz w:val="20"/>
          <w:szCs w:val="20"/>
        </w:rPr>
        <w:t>four</w:t>
      </w:r>
      <w:r w:rsidR="00643E0A" w:rsidRPr="007334C5">
        <w:rPr>
          <w:rFonts w:cstheme="minorHAnsi"/>
          <w:sz w:val="20"/>
          <w:szCs w:val="20"/>
        </w:rPr>
        <w:t xml:space="preserve"> </w:t>
      </w:r>
      <w:r w:rsidR="00D60F37" w:rsidRPr="007334C5">
        <w:rPr>
          <w:rFonts w:cstheme="minorHAnsi"/>
          <w:sz w:val="20"/>
          <w:szCs w:val="20"/>
        </w:rPr>
        <w:t>schemes</w:t>
      </w:r>
      <w:r w:rsidR="00643E0A" w:rsidRPr="007334C5">
        <w:rPr>
          <w:rFonts w:cstheme="minorHAnsi"/>
          <w:sz w:val="20"/>
          <w:szCs w:val="20"/>
        </w:rPr>
        <w:t xml:space="preserve"> were selected for on-</w:t>
      </w:r>
      <w:r w:rsidR="00C85611" w:rsidRPr="007334C5">
        <w:rPr>
          <w:rFonts w:cstheme="minorHAnsi"/>
          <w:sz w:val="20"/>
          <w:szCs w:val="20"/>
        </w:rPr>
        <w:t>ground</w:t>
      </w:r>
      <w:r w:rsidR="00643E0A" w:rsidRPr="007334C5">
        <w:rPr>
          <w:rFonts w:cstheme="minorHAnsi"/>
          <w:sz w:val="20"/>
          <w:szCs w:val="20"/>
        </w:rPr>
        <w:t xml:space="preserve"> </w:t>
      </w:r>
      <w:r w:rsidR="00C85611" w:rsidRPr="007334C5">
        <w:rPr>
          <w:rFonts w:cstheme="minorHAnsi"/>
          <w:sz w:val="20"/>
          <w:szCs w:val="20"/>
        </w:rPr>
        <w:t>inspection</w:t>
      </w:r>
      <w:r w:rsidR="00643E0A" w:rsidRPr="007334C5">
        <w:rPr>
          <w:rFonts w:cstheme="minorHAnsi"/>
          <w:sz w:val="20"/>
          <w:szCs w:val="20"/>
        </w:rPr>
        <w:t xml:space="preserve">. The sample covered projects ranging in total </w:t>
      </w:r>
      <w:r w:rsidR="00D60F37" w:rsidRPr="007334C5">
        <w:rPr>
          <w:rFonts w:cstheme="minorHAnsi"/>
          <w:sz w:val="20"/>
          <w:szCs w:val="20"/>
        </w:rPr>
        <w:t>funding</w:t>
      </w:r>
      <w:r w:rsidR="00643E0A" w:rsidRPr="007334C5">
        <w:rPr>
          <w:rFonts w:cstheme="minorHAnsi"/>
          <w:sz w:val="20"/>
          <w:szCs w:val="20"/>
        </w:rPr>
        <w:t xml:space="preserve"> from </w:t>
      </w:r>
      <w:r w:rsidR="00D60F37" w:rsidRPr="007334C5">
        <w:rPr>
          <w:rFonts w:cstheme="minorHAnsi"/>
          <w:sz w:val="20"/>
          <w:szCs w:val="20"/>
        </w:rPr>
        <w:t>$300,000 to</w:t>
      </w:r>
      <w:r w:rsidR="00C35364" w:rsidRPr="007334C5">
        <w:rPr>
          <w:rFonts w:cstheme="minorHAnsi"/>
          <w:sz w:val="20"/>
          <w:szCs w:val="20"/>
        </w:rPr>
        <w:t xml:space="preserve"> over $8</w:t>
      </w:r>
      <w:r w:rsidR="00D60F37" w:rsidRPr="007334C5">
        <w:rPr>
          <w:rFonts w:cstheme="minorHAnsi"/>
          <w:sz w:val="20"/>
          <w:szCs w:val="20"/>
        </w:rPr>
        <w:t xml:space="preserve"> million</w:t>
      </w:r>
      <w:r w:rsidR="00C54C6E" w:rsidRPr="007334C5">
        <w:rPr>
          <w:rFonts w:cstheme="minorHAnsi"/>
          <w:sz w:val="20"/>
          <w:szCs w:val="20"/>
        </w:rPr>
        <w:t>, covering 31 properties</w:t>
      </w:r>
      <w:r w:rsidR="00D60F37" w:rsidRPr="007334C5">
        <w:rPr>
          <w:rFonts w:cstheme="minorHAnsi"/>
          <w:sz w:val="20"/>
          <w:szCs w:val="20"/>
        </w:rPr>
        <w:t xml:space="preserve"> in the Murrumbidgee and Gwydir</w:t>
      </w:r>
      <w:r w:rsidR="00773871" w:rsidRPr="007334C5">
        <w:rPr>
          <w:rFonts w:cstheme="minorHAnsi"/>
          <w:sz w:val="20"/>
          <w:szCs w:val="20"/>
        </w:rPr>
        <w:t xml:space="preserve"> river</w:t>
      </w:r>
      <w:r w:rsidR="00D60F37" w:rsidRPr="007334C5">
        <w:rPr>
          <w:rFonts w:cstheme="minorHAnsi"/>
          <w:sz w:val="20"/>
          <w:szCs w:val="20"/>
        </w:rPr>
        <w:t xml:space="preserve"> valleys. </w:t>
      </w:r>
    </w:p>
    <w:p w:rsidR="0069576D" w:rsidRPr="007334C5" w:rsidRDefault="0069576D" w:rsidP="00390576">
      <w:pPr>
        <w:spacing w:before="120" w:after="120" w:line="240" w:lineRule="auto"/>
        <w:ind w:right="68"/>
        <w:rPr>
          <w:rFonts w:cstheme="minorHAnsi"/>
          <w:sz w:val="20"/>
          <w:szCs w:val="20"/>
        </w:rPr>
      </w:pPr>
      <w:r w:rsidRPr="007334C5">
        <w:rPr>
          <w:rFonts w:cstheme="minorHAnsi"/>
          <w:sz w:val="20"/>
          <w:szCs w:val="20"/>
        </w:rPr>
        <w:t>On-</w:t>
      </w:r>
      <w:r w:rsidR="00C85611" w:rsidRPr="007334C5">
        <w:rPr>
          <w:rFonts w:cstheme="minorHAnsi"/>
          <w:sz w:val="20"/>
          <w:szCs w:val="20"/>
        </w:rPr>
        <w:t>ground</w:t>
      </w:r>
      <w:r w:rsidRPr="007334C5">
        <w:rPr>
          <w:rFonts w:cstheme="minorHAnsi"/>
          <w:sz w:val="20"/>
          <w:szCs w:val="20"/>
        </w:rPr>
        <w:t xml:space="preserve"> verification undertaken as part of this review </w:t>
      </w:r>
      <w:r w:rsidR="00E621EE" w:rsidRPr="007334C5">
        <w:rPr>
          <w:rFonts w:cstheme="minorHAnsi"/>
          <w:sz w:val="20"/>
          <w:szCs w:val="20"/>
        </w:rPr>
        <w:t>did not include a detailed technical assessment of the quality and effectiveness of water infrastructure works. It provide</w:t>
      </w:r>
      <w:r w:rsidR="004816BD" w:rsidRPr="007334C5">
        <w:rPr>
          <w:rFonts w:cstheme="minorHAnsi"/>
          <w:sz w:val="20"/>
          <w:szCs w:val="20"/>
        </w:rPr>
        <w:t>d</w:t>
      </w:r>
      <w:r w:rsidR="00E621EE" w:rsidRPr="007334C5">
        <w:rPr>
          <w:rFonts w:cstheme="minorHAnsi"/>
          <w:sz w:val="20"/>
          <w:szCs w:val="20"/>
        </w:rPr>
        <w:t xml:space="preserve"> an assessment of progress of works against reported outcomes and</w:t>
      </w:r>
      <w:r w:rsidR="005B2E4E" w:rsidRPr="007334C5">
        <w:rPr>
          <w:rFonts w:cstheme="minorHAnsi"/>
          <w:sz w:val="20"/>
          <w:szCs w:val="20"/>
        </w:rPr>
        <w:t xml:space="preserve"> non-technical</w:t>
      </w:r>
      <w:r w:rsidR="00E621EE" w:rsidRPr="007334C5">
        <w:rPr>
          <w:rFonts w:cstheme="minorHAnsi"/>
          <w:sz w:val="20"/>
          <w:szCs w:val="20"/>
        </w:rPr>
        <w:t xml:space="preserve"> verification of the engineer's reports against on-</w:t>
      </w:r>
      <w:r w:rsidR="00C85611" w:rsidRPr="007334C5">
        <w:rPr>
          <w:rFonts w:cstheme="minorHAnsi"/>
          <w:sz w:val="20"/>
          <w:szCs w:val="20"/>
        </w:rPr>
        <w:t>ground</w:t>
      </w:r>
      <w:r w:rsidR="00E621EE" w:rsidRPr="007334C5">
        <w:rPr>
          <w:rFonts w:cstheme="minorHAnsi"/>
          <w:sz w:val="20"/>
          <w:szCs w:val="20"/>
        </w:rPr>
        <w:t xml:space="preserve"> works. </w:t>
      </w:r>
    </w:p>
    <w:p w:rsidR="006F49F1" w:rsidRPr="007334C5" w:rsidRDefault="00C85611" w:rsidP="00D60F37">
      <w:pPr>
        <w:spacing w:before="120" w:after="120" w:line="240" w:lineRule="auto"/>
        <w:rPr>
          <w:rFonts w:cstheme="minorHAnsi"/>
          <w:sz w:val="20"/>
          <w:szCs w:val="20"/>
        </w:rPr>
      </w:pPr>
      <w:r w:rsidRPr="007334C5">
        <w:rPr>
          <w:rFonts w:cstheme="minorHAnsi"/>
          <w:sz w:val="20"/>
          <w:szCs w:val="20"/>
        </w:rPr>
        <w:t>The</w:t>
      </w:r>
      <w:r w:rsidR="002E7B93" w:rsidRPr="007334C5">
        <w:rPr>
          <w:rFonts w:cstheme="minorHAnsi"/>
          <w:sz w:val="20"/>
          <w:szCs w:val="20"/>
        </w:rPr>
        <w:t xml:space="preserve"> findings of the report are based on the sample of </w:t>
      </w:r>
      <w:r w:rsidRPr="007334C5">
        <w:rPr>
          <w:rFonts w:cstheme="minorHAnsi"/>
          <w:sz w:val="20"/>
          <w:szCs w:val="20"/>
        </w:rPr>
        <w:t>schemes</w:t>
      </w:r>
      <w:r w:rsidR="002E7B93" w:rsidRPr="007334C5">
        <w:rPr>
          <w:rFonts w:cstheme="minorHAnsi"/>
          <w:sz w:val="20"/>
          <w:szCs w:val="20"/>
        </w:rPr>
        <w:t xml:space="preserve"> reviewed. Accordingly</w:t>
      </w:r>
      <w:r w:rsidR="006F7FF5" w:rsidRPr="007334C5">
        <w:rPr>
          <w:rFonts w:cstheme="minorHAnsi"/>
          <w:sz w:val="20"/>
          <w:szCs w:val="20"/>
        </w:rPr>
        <w:t>,</w:t>
      </w:r>
      <w:r w:rsidR="002E7B93" w:rsidRPr="007334C5">
        <w:rPr>
          <w:rFonts w:cstheme="minorHAnsi"/>
          <w:sz w:val="20"/>
          <w:szCs w:val="20"/>
        </w:rPr>
        <w:t xml:space="preserve"> it is possible there may be instances of </w:t>
      </w:r>
      <w:r w:rsidR="002E7B93" w:rsidRPr="007334C5">
        <w:rPr>
          <w:rFonts w:cstheme="minorHAnsi"/>
          <w:sz w:val="20"/>
        </w:rPr>
        <w:t>fraud, error or non-compliance with laws and regulations within the project that have not be</w:t>
      </w:r>
      <w:r w:rsidR="005B2E4E" w:rsidRPr="007334C5">
        <w:rPr>
          <w:rFonts w:cstheme="minorHAnsi"/>
          <w:sz w:val="20"/>
        </w:rPr>
        <w:t>en</w:t>
      </w:r>
      <w:r w:rsidR="002E7B93" w:rsidRPr="007334C5">
        <w:rPr>
          <w:rFonts w:cstheme="minorHAnsi"/>
          <w:sz w:val="20"/>
        </w:rPr>
        <w:t xml:space="preserve"> identified by this </w:t>
      </w:r>
      <w:r w:rsidR="0069576D" w:rsidRPr="007334C5">
        <w:rPr>
          <w:rFonts w:cstheme="minorHAnsi"/>
          <w:sz w:val="20"/>
        </w:rPr>
        <w:t>r</w:t>
      </w:r>
      <w:r w:rsidR="002E7B93" w:rsidRPr="007334C5">
        <w:rPr>
          <w:rFonts w:cstheme="minorHAnsi"/>
          <w:sz w:val="20"/>
        </w:rPr>
        <w:t>eview.</w:t>
      </w:r>
      <w:r w:rsidR="002E7B93" w:rsidRPr="007334C5">
        <w:rPr>
          <w:rFonts w:cstheme="minorHAnsi"/>
          <w:sz w:val="20"/>
          <w:szCs w:val="20"/>
        </w:rPr>
        <w:t xml:space="preserve"> </w:t>
      </w:r>
      <w:r w:rsidR="00432EE5" w:rsidRPr="007334C5">
        <w:rPr>
          <w:rFonts w:cstheme="minorHAnsi"/>
          <w:sz w:val="20"/>
          <w:szCs w:val="20"/>
        </w:rPr>
        <w:t>R</w:t>
      </w:r>
      <w:r w:rsidR="006F49F1" w:rsidRPr="007334C5">
        <w:rPr>
          <w:rFonts w:cstheme="minorHAnsi"/>
          <w:sz w:val="20"/>
          <w:szCs w:val="20"/>
        </w:rPr>
        <w:t xml:space="preserve">efer to </w:t>
      </w:r>
      <w:r w:rsidR="006F49F1" w:rsidRPr="007334C5">
        <w:rPr>
          <w:rFonts w:cstheme="minorHAnsi"/>
          <w:b/>
          <w:sz w:val="20"/>
          <w:szCs w:val="20"/>
        </w:rPr>
        <w:t>Appendix B</w:t>
      </w:r>
      <w:r w:rsidR="006F49F1" w:rsidRPr="007334C5">
        <w:rPr>
          <w:rFonts w:cstheme="minorHAnsi"/>
          <w:sz w:val="20"/>
          <w:szCs w:val="20"/>
        </w:rPr>
        <w:t xml:space="preserve"> for further informat</w:t>
      </w:r>
      <w:r w:rsidR="00432EE5" w:rsidRPr="007334C5">
        <w:rPr>
          <w:rFonts w:cstheme="minorHAnsi"/>
          <w:sz w:val="20"/>
          <w:szCs w:val="20"/>
        </w:rPr>
        <w:t>ion on the engagement approach.</w:t>
      </w:r>
    </w:p>
    <w:p w:rsidR="00D14ECC" w:rsidRPr="007334C5" w:rsidRDefault="00D14ECC" w:rsidP="00D14ECC">
      <w:pPr>
        <w:pStyle w:val="Heading2"/>
        <w:keepNext/>
        <w:rPr>
          <w:rFonts w:asciiTheme="minorHAnsi" w:hAnsiTheme="minorHAnsi" w:cstheme="minorHAnsi"/>
        </w:rPr>
      </w:pPr>
      <w:bookmarkStart w:id="13" w:name="_Toc535401131"/>
      <w:r w:rsidRPr="007334C5">
        <w:rPr>
          <w:rFonts w:asciiTheme="minorHAnsi" w:hAnsiTheme="minorHAnsi" w:cstheme="minorHAnsi"/>
        </w:rPr>
        <w:t>Summary of assessment</w:t>
      </w:r>
      <w:bookmarkEnd w:id="13"/>
      <w:r w:rsidRPr="007334C5">
        <w:rPr>
          <w:rFonts w:asciiTheme="minorHAnsi" w:hAnsiTheme="minorHAnsi" w:cstheme="minorHAnsi"/>
        </w:rPr>
        <w:t xml:space="preserve"> </w:t>
      </w:r>
    </w:p>
    <w:p w:rsidR="00144C4F" w:rsidRPr="007334C5" w:rsidRDefault="00144C4F" w:rsidP="00144C4F">
      <w:pPr>
        <w:spacing w:before="120" w:after="120" w:line="240" w:lineRule="auto"/>
        <w:ind w:right="68"/>
        <w:rPr>
          <w:rFonts w:cstheme="minorHAnsi"/>
          <w:sz w:val="20"/>
          <w:szCs w:val="20"/>
        </w:rPr>
      </w:pPr>
      <w:r w:rsidRPr="007334C5">
        <w:rPr>
          <w:rFonts w:cstheme="minorHAnsi"/>
          <w:sz w:val="20"/>
          <w:szCs w:val="20"/>
        </w:rPr>
        <w:t>Ov</w:t>
      </w:r>
      <w:r w:rsidR="00412E6A" w:rsidRPr="007334C5">
        <w:rPr>
          <w:rFonts w:cstheme="minorHAnsi"/>
          <w:sz w:val="20"/>
          <w:szCs w:val="20"/>
        </w:rPr>
        <w:t xml:space="preserve">erall, KPMG’s assessment of the </w:t>
      </w:r>
      <w:r w:rsidR="000700AC" w:rsidRPr="007334C5">
        <w:rPr>
          <w:rFonts w:cstheme="minorHAnsi"/>
          <w:sz w:val="20"/>
          <w:szCs w:val="20"/>
        </w:rPr>
        <w:t>Basin Pipe Project</w:t>
      </w:r>
      <w:r w:rsidRPr="007334C5">
        <w:rPr>
          <w:rFonts w:cstheme="minorHAnsi"/>
          <w:sz w:val="20"/>
          <w:szCs w:val="20"/>
        </w:rPr>
        <w:t xml:space="preserve"> found</w:t>
      </w:r>
      <w:r w:rsidR="00C85611" w:rsidRPr="007334C5">
        <w:rPr>
          <w:rFonts w:cstheme="minorHAnsi"/>
          <w:sz w:val="20"/>
          <w:szCs w:val="20"/>
        </w:rPr>
        <w:t xml:space="preserve"> that</w:t>
      </w:r>
      <w:r w:rsidR="00412E6A" w:rsidRPr="007334C5">
        <w:rPr>
          <w:rFonts w:cstheme="minorHAnsi"/>
          <w:sz w:val="20"/>
          <w:szCs w:val="20"/>
        </w:rPr>
        <w:t xml:space="preserve"> DoI Water have implemented a number of controls, processes and structures to assist in the administration of the project. </w:t>
      </w:r>
      <w:r w:rsidR="006A7603" w:rsidRPr="007334C5">
        <w:rPr>
          <w:rFonts w:cstheme="minorHAnsi"/>
          <w:sz w:val="20"/>
          <w:szCs w:val="20"/>
        </w:rPr>
        <w:t>W</w:t>
      </w:r>
      <w:r w:rsidR="00412E6A" w:rsidRPr="007334C5">
        <w:rPr>
          <w:rFonts w:cstheme="minorHAnsi"/>
          <w:sz w:val="20"/>
          <w:szCs w:val="20"/>
        </w:rPr>
        <w:t>e noted</w:t>
      </w:r>
      <w:r w:rsidRPr="007334C5">
        <w:rPr>
          <w:rFonts w:cstheme="minorHAnsi"/>
          <w:sz w:val="20"/>
          <w:szCs w:val="20"/>
        </w:rPr>
        <w:t>:</w:t>
      </w:r>
    </w:p>
    <w:p w:rsidR="00144C4F" w:rsidRPr="007334C5" w:rsidRDefault="00144C4F" w:rsidP="000F0AAC">
      <w:pPr>
        <w:pStyle w:val="ListParagraph"/>
        <w:numPr>
          <w:ilvl w:val="0"/>
          <w:numId w:val="8"/>
        </w:numPr>
        <w:spacing w:before="120" w:after="120" w:line="240" w:lineRule="auto"/>
        <w:ind w:right="68"/>
        <w:rPr>
          <w:rFonts w:cstheme="minorHAnsi"/>
          <w:sz w:val="20"/>
          <w:szCs w:val="20"/>
        </w:rPr>
      </w:pPr>
      <w:r w:rsidRPr="007334C5">
        <w:rPr>
          <w:rFonts w:cstheme="minorHAnsi"/>
          <w:sz w:val="20"/>
          <w:szCs w:val="20"/>
        </w:rPr>
        <w:t>No instances of non-compliance with key provisions of the WMPA;</w:t>
      </w:r>
    </w:p>
    <w:p w:rsidR="006A7603" w:rsidRPr="007334C5" w:rsidRDefault="006A7603" w:rsidP="000F0AAC">
      <w:pPr>
        <w:pStyle w:val="ListParagraph"/>
        <w:numPr>
          <w:ilvl w:val="0"/>
          <w:numId w:val="8"/>
        </w:numPr>
        <w:spacing w:before="120" w:after="120" w:line="240" w:lineRule="auto"/>
        <w:ind w:right="68"/>
        <w:rPr>
          <w:rFonts w:cstheme="minorHAnsi"/>
          <w:sz w:val="20"/>
          <w:szCs w:val="20"/>
        </w:rPr>
      </w:pPr>
      <w:r w:rsidRPr="007334C5">
        <w:rPr>
          <w:rFonts w:cstheme="minorHAnsi"/>
          <w:sz w:val="20"/>
          <w:szCs w:val="20"/>
        </w:rPr>
        <w:t xml:space="preserve">Appropriate governance and reporting mechanisms had been established; </w:t>
      </w:r>
    </w:p>
    <w:p w:rsidR="006A7603" w:rsidRPr="007334C5" w:rsidRDefault="006A7603" w:rsidP="000F0AAC">
      <w:pPr>
        <w:pStyle w:val="ListParagraph"/>
        <w:numPr>
          <w:ilvl w:val="0"/>
          <w:numId w:val="8"/>
        </w:numPr>
        <w:spacing w:before="120" w:after="120" w:line="240" w:lineRule="auto"/>
        <w:ind w:right="68"/>
        <w:rPr>
          <w:rFonts w:cstheme="minorHAnsi"/>
          <w:sz w:val="20"/>
          <w:szCs w:val="20"/>
        </w:rPr>
      </w:pPr>
      <w:r w:rsidRPr="007334C5">
        <w:rPr>
          <w:rFonts w:cstheme="minorHAnsi"/>
          <w:sz w:val="20"/>
          <w:szCs w:val="20"/>
        </w:rPr>
        <w:t>Strong procurement practices were demonstrated; and</w:t>
      </w:r>
    </w:p>
    <w:p w:rsidR="00144C4F" w:rsidRPr="007334C5" w:rsidRDefault="00144C4F" w:rsidP="0066336A">
      <w:pPr>
        <w:pStyle w:val="ListParagraph"/>
        <w:numPr>
          <w:ilvl w:val="0"/>
          <w:numId w:val="8"/>
        </w:numPr>
        <w:spacing w:before="120" w:after="120" w:line="240" w:lineRule="auto"/>
        <w:ind w:right="68"/>
        <w:rPr>
          <w:rFonts w:cstheme="minorHAnsi"/>
          <w:sz w:val="20"/>
          <w:szCs w:val="20"/>
        </w:rPr>
      </w:pPr>
      <w:r w:rsidRPr="007334C5">
        <w:rPr>
          <w:rFonts w:cstheme="minorHAnsi"/>
          <w:sz w:val="20"/>
          <w:szCs w:val="20"/>
        </w:rPr>
        <w:t>All proponent projects visually</w:t>
      </w:r>
      <w:r w:rsidR="00905EBA" w:rsidRPr="007334C5">
        <w:rPr>
          <w:rFonts w:cstheme="minorHAnsi"/>
          <w:sz w:val="20"/>
          <w:szCs w:val="20"/>
        </w:rPr>
        <w:t xml:space="preserve"> inspected</w:t>
      </w:r>
      <w:r w:rsidRPr="007334C5">
        <w:rPr>
          <w:rFonts w:cstheme="minorHAnsi"/>
          <w:sz w:val="20"/>
          <w:szCs w:val="20"/>
        </w:rPr>
        <w:t xml:space="preserve"> appeared to correspond with scope and progress reported and </w:t>
      </w:r>
      <w:r w:rsidR="00CD7145" w:rsidRPr="007334C5">
        <w:rPr>
          <w:rFonts w:cstheme="minorHAnsi"/>
          <w:sz w:val="20"/>
          <w:szCs w:val="20"/>
        </w:rPr>
        <w:t>maintained</w:t>
      </w:r>
      <w:r w:rsidR="00412E6A" w:rsidRPr="007334C5">
        <w:rPr>
          <w:rFonts w:cstheme="minorHAnsi"/>
          <w:sz w:val="20"/>
          <w:szCs w:val="20"/>
        </w:rPr>
        <w:t xml:space="preserve"> with </w:t>
      </w:r>
      <w:r w:rsidR="00C85611" w:rsidRPr="007334C5">
        <w:rPr>
          <w:rFonts w:cstheme="minorHAnsi"/>
          <w:sz w:val="20"/>
          <w:szCs w:val="20"/>
        </w:rPr>
        <w:t xml:space="preserve">only </w:t>
      </w:r>
      <w:r w:rsidR="00412E6A" w:rsidRPr="007334C5">
        <w:rPr>
          <w:rFonts w:cstheme="minorHAnsi"/>
          <w:sz w:val="20"/>
          <w:szCs w:val="20"/>
        </w:rPr>
        <w:t>minor variations noted</w:t>
      </w:r>
      <w:r w:rsidR="006A7603" w:rsidRPr="007334C5">
        <w:rPr>
          <w:rFonts w:cstheme="minorHAnsi"/>
          <w:sz w:val="20"/>
          <w:szCs w:val="20"/>
        </w:rPr>
        <w:t>.</w:t>
      </w:r>
      <w:r w:rsidR="00412E6A" w:rsidRPr="007334C5">
        <w:rPr>
          <w:rFonts w:cstheme="minorHAnsi"/>
          <w:sz w:val="20"/>
          <w:szCs w:val="20"/>
        </w:rPr>
        <w:t xml:space="preserve"> </w:t>
      </w:r>
    </w:p>
    <w:p w:rsidR="00412E6A" w:rsidRPr="007334C5" w:rsidRDefault="00144C4F" w:rsidP="003E73C2">
      <w:pPr>
        <w:spacing w:before="120" w:after="120" w:line="240" w:lineRule="auto"/>
        <w:rPr>
          <w:rFonts w:cstheme="minorHAnsi"/>
          <w:sz w:val="20"/>
          <w:szCs w:val="20"/>
        </w:rPr>
      </w:pPr>
      <w:r w:rsidRPr="007334C5">
        <w:rPr>
          <w:rFonts w:cstheme="minorHAnsi"/>
          <w:sz w:val="20"/>
          <w:szCs w:val="20"/>
        </w:rPr>
        <w:t>Notwithstanding</w:t>
      </w:r>
      <w:r w:rsidR="0082024B" w:rsidRPr="007334C5">
        <w:rPr>
          <w:rFonts w:cstheme="minorHAnsi"/>
          <w:sz w:val="20"/>
          <w:szCs w:val="20"/>
        </w:rPr>
        <w:t xml:space="preserve"> </w:t>
      </w:r>
      <w:r w:rsidR="00412E6A" w:rsidRPr="007334C5">
        <w:rPr>
          <w:rFonts w:cstheme="minorHAnsi"/>
          <w:sz w:val="20"/>
          <w:szCs w:val="20"/>
        </w:rPr>
        <w:t>the above</w:t>
      </w:r>
      <w:r w:rsidRPr="007334C5">
        <w:rPr>
          <w:rFonts w:cstheme="minorHAnsi"/>
          <w:sz w:val="20"/>
          <w:szCs w:val="20"/>
        </w:rPr>
        <w:t xml:space="preserve">, opportunities for </w:t>
      </w:r>
      <w:r w:rsidR="007E564A" w:rsidRPr="007334C5">
        <w:rPr>
          <w:rFonts w:cstheme="minorHAnsi"/>
          <w:sz w:val="20"/>
          <w:szCs w:val="20"/>
        </w:rPr>
        <w:t>improvement</w:t>
      </w:r>
      <w:r w:rsidRPr="007334C5">
        <w:rPr>
          <w:rFonts w:cstheme="minorHAnsi"/>
          <w:sz w:val="20"/>
          <w:szCs w:val="20"/>
        </w:rPr>
        <w:t xml:space="preserve"> were </w:t>
      </w:r>
      <w:r w:rsidR="007E564A" w:rsidRPr="007334C5">
        <w:rPr>
          <w:rFonts w:cstheme="minorHAnsi"/>
          <w:sz w:val="20"/>
          <w:szCs w:val="20"/>
        </w:rPr>
        <w:t>noted</w:t>
      </w:r>
      <w:r w:rsidR="002230B1" w:rsidRPr="007334C5">
        <w:rPr>
          <w:rFonts w:cstheme="minorHAnsi"/>
          <w:sz w:val="20"/>
          <w:szCs w:val="20"/>
        </w:rPr>
        <w:t xml:space="preserve"> </w:t>
      </w:r>
      <w:r w:rsidR="003A0938" w:rsidRPr="007334C5">
        <w:rPr>
          <w:rFonts w:cstheme="minorHAnsi"/>
          <w:sz w:val="20"/>
          <w:szCs w:val="20"/>
        </w:rPr>
        <w:t>in the following areas</w:t>
      </w:r>
      <w:r w:rsidR="00412E6A" w:rsidRPr="007334C5">
        <w:rPr>
          <w:rFonts w:cstheme="minorHAnsi"/>
          <w:sz w:val="20"/>
          <w:szCs w:val="20"/>
        </w:rPr>
        <w:t xml:space="preserve">, some of which were already known </w:t>
      </w:r>
      <w:r w:rsidR="00F937F1" w:rsidRPr="007334C5">
        <w:rPr>
          <w:rFonts w:cstheme="minorHAnsi"/>
          <w:sz w:val="20"/>
          <w:szCs w:val="20"/>
        </w:rPr>
        <w:t xml:space="preserve">to </w:t>
      </w:r>
      <w:r w:rsidR="00412E6A" w:rsidRPr="007334C5">
        <w:rPr>
          <w:rFonts w:cstheme="minorHAnsi"/>
          <w:sz w:val="20"/>
          <w:szCs w:val="20"/>
        </w:rPr>
        <w:t>DoI Water</w:t>
      </w:r>
      <w:r w:rsidRPr="007334C5">
        <w:rPr>
          <w:rFonts w:cstheme="minorHAnsi"/>
          <w:sz w:val="20"/>
          <w:szCs w:val="20"/>
        </w:rPr>
        <w:t xml:space="preserve">. </w:t>
      </w:r>
      <w:r w:rsidR="00412E6A" w:rsidRPr="007334C5">
        <w:rPr>
          <w:rFonts w:cstheme="minorHAnsi"/>
          <w:sz w:val="20"/>
          <w:szCs w:val="20"/>
        </w:rPr>
        <w:t>These</w:t>
      </w:r>
      <w:r w:rsidR="00C85611" w:rsidRPr="007334C5">
        <w:rPr>
          <w:rFonts w:cstheme="minorHAnsi"/>
          <w:sz w:val="20"/>
          <w:szCs w:val="20"/>
        </w:rPr>
        <w:t xml:space="preserve"> areas for improvement</w:t>
      </w:r>
      <w:r w:rsidR="005920AB" w:rsidRPr="007334C5">
        <w:rPr>
          <w:rFonts w:cstheme="minorHAnsi"/>
          <w:sz w:val="20"/>
          <w:szCs w:val="20"/>
        </w:rPr>
        <w:t xml:space="preserve"> related to</w:t>
      </w:r>
      <w:r w:rsidR="00412E6A" w:rsidRPr="007334C5">
        <w:rPr>
          <w:rFonts w:cstheme="minorHAnsi"/>
          <w:sz w:val="20"/>
          <w:szCs w:val="20"/>
        </w:rPr>
        <w:t>:</w:t>
      </w:r>
    </w:p>
    <w:p w:rsidR="00144C4F" w:rsidRPr="007334C5" w:rsidRDefault="00412E6A" w:rsidP="00412E6A">
      <w:pPr>
        <w:pStyle w:val="ListParagraph"/>
        <w:numPr>
          <w:ilvl w:val="0"/>
          <w:numId w:val="26"/>
        </w:numPr>
        <w:spacing w:before="120" w:after="120" w:line="240" w:lineRule="auto"/>
        <w:rPr>
          <w:rFonts w:cstheme="minorHAnsi"/>
          <w:sz w:val="20"/>
          <w:szCs w:val="20"/>
        </w:rPr>
      </w:pPr>
      <w:r w:rsidRPr="007334C5">
        <w:rPr>
          <w:rFonts w:cstheme="minorHAnsi"/>
          <w:sz w:val="20"/>
          <w:szCs w:val="20"/>
        </w:rPr>
        <w:t>Improving the transparency of project status reporting;</w:t>
      </w:r>
    </w:p>
    <w:p w:rsidR="00412E6A" w:rsidRPr="007334C5" w:rsidRDefault="00412E6A" w:rsidP="00412E6A">
      <w:pPr>
        <w:pStyle w:val="ListParagraph"/>
        <w:numPr>
          <w:ilvl w:val="0"/>
          <w:numId w:val="26"/>
        </w:numPr>
        <w:spacing w:before="120" w:after="120" w:line="240" w:lineRule="auto"/>
        <w:rPr>
          <w:rFonts w:cstheme="minorHAnsi"/>
          <w:sz w:val="20"/>
          <w:szCs w:val="20"/>
        </w:rPr>
      </w:pPr>
      <w:r w:rsidRPr="007334C5">
        <w:rPr>
          <w:rFonts w:cstheme="minorHAnsi"/>
          <w:sz w:val="20"/>
          <w:szCs w:val="20"/>
        </w:rPr>
        <w:t xml:space="preserve">Strengthening controls around the acquittal </w:t>
      </w:r>
      <w:r w:rsidR="00F937F1" w:rsidRPr="007334C5">
        <w:rPr>
          <w:rFonts w:cstheme="minorHAnsi"/>
          <w:sz w:val="20"/>
          <w:szCs w:val="20"/>
        </w:rPr>
        <w:t xml:space="preserve">process </w:t>
      </w:r>
      <w:r w:rsidRPr="007334C5">
        <w:rPr>
          <w:rFonts w:cstheme="minorHAnsi"/>
          <w:sz w:val="20"/>
          <w:szCs w:val="20"/>
        </w:rPr>
        <w:t xml:space="preserve">and approval </w:t>
      </w:r>
      <w:r w:rsidR="00C85611" w:rsidRPr="007334C5">
        <w:rPr>
          <w:rFonts w:cstheme="minorHAnsi"/>
          <w:sz w:val="20"/>
          <w:szCs w:val="20"/>
        </w:rPr>
        <w:t xml:space="preserve">of </w:t>
      </w:r>
      <w:r w:rsidRPr="007334C5">
        <w:rPr>
          <w:rFonts w:cstheme="minorHAnsi"/>
          <w:sz w:val="20"/>
          <w:szCs w:val="20"/>
        </w:rPr>
        <w:t>contractor payments</w:t>
      </w:r>
      <w:r w:rsidR="001264EF" w:rsidRPr="007334C5">
        <w:rPr>
          <w:rFonts w:cstheme="minorHAnsi"/>
          <w:sz w:val="20"/>
          <w:szCs w:val="20"/>
        </w:rPr>
        <w:t xml:space="preserve"> to ensure appropriate </w:t>
      </w:r>
      <w:r w:rsidR="005920AB" w:rsidRPr="007334C5">
        <w:rPr>
          <w:rFonts w:cstheme="minorHAnsi"/>
          <w:sz w:val="20"/>
          <w:szCs w:val="20"/>
        </w:rPr>
        <w:t>supporting</w:t>
      </w:r>
      <w:r w:rsidR="001264EF" w:rsidRPr="007334C5">
        <w:rPr>
          <w:rFonts w:cstheme="minorHAnsi"/>
          <w:sz w:val="20"/>
          <w:szCs w:val="20"/>
        </w:rPr>
        <w:t xml:space="preserve"> evidence is maintained</w:t>
      </w:r>
      <w:r w:rsidRPr="007334C5">
        <w:rPr>
          <w:rFonts w:cstheme="minorHAnsi"/>
          <w:sz w:val="20"/>
          <w:szCs w:val="20"/>
        </w:rPr>
        <w:t>;</w:t>
      </w:r>
    </w:p>
    <w:p w:rsidR="00412E6A" w:rsidRPr="007334C5" w:rsidRDefault="00412E6A" w:rsidP="00412E6A">
      <w:pPr>
        <w:pStyle w:val="ListParagraph"/>
        <w:numPr>
          <w:ilvl w:val="0"/>
          <w:numId w:val="26"/>
        </w:numPr>
        <w:spacing w:before="120" w:after="120" w:line="240" w:lineRule="auto"/>
        <w:rPr>
          <w:rFonts w:cstheme="minorHAnsi"/>
          <w:sz w:val="20"/>
          <w:szCs w:val="20"/>
        </w:rPr>
      </w:pPr>
      <w:r w:rsidRPr="007334C5">
        <w:rPr>
          <w:rFonts w:cstheme="minorHAnsi"/>
          <w:sz w:val="20"/>
          <w:szCs w:val="20"/>
        </w:rPr>
        <w:t>Reviewing record keeping</w:t>
      </w:r>
      <w:r w:rsidR="006A7603" w:rsidRPr="007334C5">
        <w:rPr>
          <w:rFonts w:cstheme="minorHAnsi"/>
          <w:sz w:val="20"/>
          <w:szCs w:val="20"/>
        </w:rPr>
        <w:t xml:space="preserve"> practices</w:t>
      </w:r>
      <w:r w:rsidRPr="007334C5">
        <w:rPr>
          <w:rFonts w:cstheme="minorHAnsi"/>
          <w:sz w:val="20"/>
          <w:szCs w:val="20"/>
        </w:rPr>
        <w:t xml:space="preserve"> for schemes completed earlier in the project; and</w:t>
      </w:r>
    </w:p>
    <w:p w:rsidR="00412E6A" w:rsidRPr="007334C5" w:rsidRDefault="00412E6A" w:rsidP="00412E6A">
      <w:pPr>
        <w:pStyle w:val="ListParagraph"/>
        <w:numPr>
          <w:ilvl w:val="0"/>
          <w:numId w:val="26"/>
        </w:numPr>
        <w:spacing w:before="120" w:after="120" w:line="240" w:lineRule="auto"/>
        <w:rPr>
          <w:rFonts w:cstheme="minorHAnsi"/>
          <w:sz w:val="20"/>
          <w:szCs w:val="20"/>
        </w:rPr>
      </w:pPr>
      <w:r w:rsidRPr="007334C5">
        <w:rPr>
          <w:rFonts w:cstheme="minorHAnsi"/>
          <w:sz w:val="20"/>
          <w:szCs w:val="20"/>
        </w:rPr>
        <w:t>The development of more detailed guidance</w:t>
      </w:r>
      <w:r w:rsidR="006A7603" w:rsidRPr="007334C5">
        <w:rPr>
          <w:rFonts w:cstheme="minorHAnsi"/>
          <w:sz w:val="20"/>
          <w:szCs w:val="20"/>
        </w:rPr>
        <w:t xml:space="preserve"> / process documentation</w:t>
      </w:r>
      <w:r w:rsidRPr="007334C5">
        <w:rPr>
          <w:rFonts w:cstheme="minorHAnsi"/>
          <w:sz w:val="20"/>
          <w:szCs w:val="20"/>
        </w:rPr>
        <w:t xml:space="preserve"> for project staff. </w:t>
      </w:r>
    </w:p>
    <w:p w:rsidR="005920AB" w:rsidRPr="007334C5" w:rsidRDefault="005920AB" w:rsidP="005920AB">
      <w:pPr>
        <w:spacing w:before="120" w:after="120" w:line="240" w:lineRule="auto"/>
        <w:rPr>
          <w:rFonts w:cstheme="minorHAnsi"/>
          <w:sz w:val="20"/>
          <w:szCs w:val="20"/>
        </w:rPr>
      </w:pPr>
      <w:r w:rsidRPr="007334C5">
        <w:rPr>
          <w:rFonts w:cstheme="minorHAnsi"/>
          <w:sz w:val="20"/>
          <w:szCs w:val="20"/>
        </w:rPr>
        <w:t>Refer to Section 4 for further details.</w:t>
      </w:r>
    </w:p>
    <w:p w:rsidR="00BF165D" w:rsidRPr="007334C5" w:rsidRDefault="00BF165D" w:rsidP="00BF165D">
      <w:pPr>
        <w:spacing w:before="120" w:after="120" w:line="240" w:lineRule="auto"/>
        <w:rPr>
          <w:rFonts w:cstheme="minorHAnsi"/>
          <w:sz w:val="20"/>
          <w:szCs w:val="20"/>
        </w:rPr>
      </w:pPr>
      <w:r w:rsidRPr="007334C5">
        <w:rPr>
          <w:rFonts w:cstheme="minorHAnsi"/>
          <w:sz w:val="20"/>
          <w:szCs w:val="20"/>
        </w:rPr>
        <w:t xml:space="preserve">These issues did not indicate inappropriate use of Commonwealth funds however, provide a basis to strengthen the project’s control environment and improve future project activity. </w:t>
      </w:r>
    </w:p>
    <w:p w:rsidR="00AD44B2" w:rsidRPr="007334C5" w:rsidRDefault="00AD44B2" w:rsidP="0069576D">
      <w:pPr>
        <w:spacing w:before="120" w:after="120" w:line="240" w:lineRule="auto"/>
        <w:ind w:right="68"/>
        <w:rPr>
          <w:rFonts w:cstheme="minorHAnsi"/>
          <w:sz w:val="20"/>
          <w:szCs w:val="20"/>
        </w:rPr>
      </w:pPr>
    </w:p>
    <w:p w:rsidR="00D14ECC" w:rsidRPr="007334C5" w:rsidRDefault="00144C4F" w:rsidP="00576A25">
      <w:pPr>
        <w:keepNext/>
        <w:pageBreakBefore/>
        <w:spacing w:before="120" w:after="120" w:line="240" w:lineRule="auto"/>
        <w:ind w:right="68"/>
        <w:rPr>
          <w:rFonts w:cstheme="minorHAnsi"/>
          <w:sz w:val="20"/>
          <w:szCs w:val="20"/>
        </w:rPr>
      </w:pPr>
      <w:r w:rsidRPr="007334C5">
        <w:rPr>
          <w:rFonts w:cstheme="minorHAnsi"/>
          <w:sz w:val="20"/>
          <w:szCs w:val="20"/>
        </w:rPr>
        <w:t>This</w:t>
      </w:r>
      <w:r w:rsidR="00D14ECC" w:rsidRPr="007334C5">
        <w:rPr>
          <w:rFonts w:cstheme="minorHAnsi"/>
          <w:sz w:val="20"/>
          <w:szCs w:val="20"/>
        </w:rPr>
        <w:t xml:space="preserve"> report has been structured around the </w:t>
      </w:r>
      <w:r w:rsidR="00D12980" w:rsidRPr="007334C5">
        <w:rPr>
          <w:rFonts w:cstheme="minorHAnsi"/>
          <w:sz w:val="20"/>
          <w:szCs w:val="20"/>
        </w:rPr>
        <w:t>key program management elements</w:t>
      </w:r>
      <w:r w:rsidR="00F937F1" w:rsidRPr="007334C5">
        <w:rPr>
          <w:rFonts w:cstheme="minorHAnsi"/>
          <w:sz w:val="20"/>
          <w:szCs w:val="20"/>
        </w:rPr>
        <w:t xml:space="preserve"> identified by KPMG</w:t>
      </w:r>
      <w:r w:rsidR="00D12980" w:rsidRPr="007334C5">
        <w:rPr>
          <w:rFonts w:cstheme="minorHAnsi"/>
          <w:sz w:val="20"/>
          <w:szCs w:val="20"/>
        </w:rPr>
        <w:t>. A</w:t>
      </w:r>
      <w:r w:rsidRPr="007334C5">
        <w:rPr>
          <w:rFonts w:cstheme="minorHAnsi"/>
          <w:sz w:val="20"/>
          <w:szCs w:val="20"/>
        </w:rPr>
        <w:t xml:space="preserve"> summary of</w:t>
      </w:r>
      <w:r w:rsidR="006C712C" w:rsidRPr="007334C5">
        <w:rPr>
          <w:rFonts w:cstheme="minorHAnsi"/>
          <w:sz w:val="20"/>
          <w:szCs w:val="20"/>
        </w:rPr>
        <w:t xml:space="preserve"> our</w:t>
      </w:r>
      <w:r w:rsidRPr="007334C5">
        <w:rPr>
          <w:rFonts w:cstheme="minorHAnsi"/>
          <w:sz w:val="20"/>
          <w:szCs w:val="20"/>
        </w:rPr>
        <w:t xml:space="preserve"> </w:t>
      </w:r>
      <w:r w:rsidR="00D12980" w:rsidRPr="007334C5">
        <w:rPr>
          <w:rFonts w:cstheme="minorHAnsi"/>
          <w:sz w:val="20"/>
          <w:szCs w:val="20"/>
        </w:rPr>
        <w:t xml:space="preserve">overall assessment against these elements is captured in the table </w:t>
      </w:r>
      <w:r w:rsidR="005920AB" w:rsidRPr="007334C5">
        <w:rPr>
          <w:rFonts w:cstheme="minorHAnsi"/>
          <w:sz w:val="20"/>
          <w:szCs w:val="20"/>
        </w:rPr>
        <w:t>below</w:t>
      </w:r>
      <w:r w:rsidR="00D12980" w:rsidRPr="007334C5">
        <w:rPr>
          <w:rFonts w:cstheme="minorHAnsi"/>
          <w:sz w:val="20"/>
          <w:szCs w:val="20"/>
        </w:rPr>
        <w:t>.</w:t>
      </w:r>
    </w:p>
    <w:tbl>
      <w:tblPr>
        <w:tblStyle w:val="TableGrid"/>
        <w:tblW w:w="99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38"/>
        <w:gridCol w:w="8080"/>
      </w:tblGrid>
      <w:tr w:rsidR="00F52F5B" w:rsidRPr="007334C5" w:rsidTr="00FF455B">
        <w:trPr>
          <w:tblHeader/>
        </w:trPr>
        <w:tc>
          <w:tcPr>
            <w:tcW w:w="1838" w:type="dxa"/>
            <w:shd w:val="clear" w:color="auto" w:fill="0070C0"/>
          </w:tcPr>
          <w:p w:rsidR="00F52F5B" w:rsidRPr="007334C5" w:rsidRDefault="00F52F5B" w:rsidP="00576A25">
            <w:pPr>
              <w:keepNext/>
              <w:spacing w:before="120" w:after="120"/>
              <w:ind w:right="68"/>
              <w:rPr>
                <w:rFonts w:cstheme="minorHAnsi"/>
                <w:b/>
                <w:color w:val="FFFFFF" w:themeColor="background1"/>
                <w:sz w:val="20"/>
                <w:szCs w:val="20"/>
              </w:rPr>
            </w:pPr>
            <w:r w:rsidRPr="007334C5">
              <w:rPr>
                <w:rFonts w:cstheme="minorHAnsi"/>
                <w:b/>
                <w:color w:val="FFFFFF" w:themeColor="background1"/>
                <w:sz w:val="20"/>
                <w:szCs w:val="20"/>
              </w:rPr>
              <w:t>Area of Focus</w:t>
            </w:r>
          </w:p>
        </w:tc>
        <w:tc>
          <w:tcPr>
            <w:tcW w:w="8080" w:type="dxa"/>
            <w:shd w:val="clear" w:color="auto" w:fill="0070C0"/>
          </w:tcPr>
          <w:p w:rsidR="00F52F5B" w:rsidRPr="007334C5" w:rsidRDefault="00F52F5B" w:rsidP="00576A25">
            <w:pPr>
              <w:keepNext/>
              <w:spacing w:before="120" w:after="120"/>
              <w:ind w:right="68"/>
              <w:rPr>
                <w:rFonts w:cstheme="minorHAnsi"/>
                <w:b/>
                <w:color w:val="FFFFFF" w:themeColor="background1"/>
                <w:sz w:val="20"/>
                <w:szCs w:val="20"/>
              </w:rPr>
            </w:pPr>
            <w:r w:rsidRPr="007334C5">
              <w:rPr>
                <w:rFonts w:cstheme="minorHAnsi"/>
                <w:b/>
                <w:color w:val="FFFFFF" w:themeColor="background1"/>
                <w:sz w:val="20"/>
                <w:szCs w:val="20"/>
              </w:rPr>
              <w:t xml:space="preserve">Key observations </w:t>
            </w:r>
          </w:p>
        </w:tc>
      </w:tr>
      <w:tr w:rsidR="00F52F5B" w:rsidRPr="007334C5" w:rsidTr="00FF455B">
        <w:tc>
          <w:tcPr>
            <w:tcW w:w="1838" w:type="dxa"/>
          </w:tcPr>
          <w:p w:rsidR="00F52F5B" w:rsidRPr="007334C5" w:rsidRDefault="00F52F5B" w:rsidP="0044719A">
            <w:pPr>
              <w:spacing w:before="120" w:after="120"/>
              <w:rPr>
                <w:rFonts w:cstheme="minorHAnsi"/>
                <w:sz w:val="20"/>
                <w:szCs w:val="20"/>
              </w:rPr>
            </w:pPr>
            <w:r w:rsidRPr="007334C5">
              <w:rPr>
                <w:rFonts w:cstheme="minorHAnsi"/>
                <w:sz w:val="20"/>
                <w:szCs w:val="20"/>
              </w:rPr>
              <w:t xml:space="preserve">Governance and </w:t>
            </w:r>
            <w:r w:rsidR="00F75869" w:rsidRPr="007334C5">
              <w:rPr>
                <w:rFonts w:cstheme="minorHAnsi"/>
                <w:sz w:val="20"/>
                <w:szCs w:val="20"/>
              </w:rPr>
              <w:t>r</w:t>
            </w:r>
            <w:r w:rsidRPr="007334C5">
              <w:rPr>
                <w:rFonts w:cstheme="minorHAnsi"/>
                <w:sz w:val="20"/>
                <w:szCs w:val="20"/>
              </w:rPr>
              <w:t xml:space="preserve">eporting </w:t>
            </w:r>
          </w:p>
        </w:tc>
        <w:tc>
          <w:tcPr>
            <w:tcW w:w="8080" w:type="dxa"/>
            <w:shd w:val="clear" w:color="auto" w:fill="auto"/>
          </w:tcPr>
          <w:p w:rsidR="00F52F5B" w:rsidRPr="007334C5" w:rsidRDefault="0031631F" w:rsidP="005920AB">
            <w:pPr>
              <w:spacing w:before="120" w:after="120"/>
              <w:ind w:right="68"/>
              <w:rPr>
                <w:rFonts w:cstheme="minorHAnsi"/>
                <w:sz w:val="20"/>
                <w:szCs w:val="20"/>
              </w:rPr>
            </w:pPr>
            <w:r w:rsidRPr="007334C5">
              <w:rPr>
                <w:rFonts w:cstheme="minorHAnsi"/>
                <w:sz w:val="20"/>
                <w:szCs w:val="20"/>
              </w:rPr>
              <w:t xml:space="preserve">DoI Water have established </w:t>
            </w:r>
            <w:r w:rsidR="005920AB" w:rsidRPr="007334C5">
              <w:rPr>
                <w:rFonts w:cstheme="minorHAnsi"/>
                <w:sz w:val="20"/>
                <w:szCs w:val="20"/>
              </w:rPr>
              <w:t>appropriate</w:t>
            </w:r>
            <w:r w:rsidRPr="007334C5">
              <w:rPr>
                <w:rFonts w:cstheme="minorHAnsi"/>
                <w:sz w:val="20"/>
                <w:szCs w:val="20"/>
              </w:rPr>
              <w:t xml:space="preserve"> governance arrangements and have demonstrated regular and fit</w:t>
            </w:r>
            <w:r w:rsidR="002230B1" w:rsidRPr="007334C5">
              <w:rPr>
                <w:rFonts w:cstheme="minorHAnsi"/>
                <w:sz w:val="20"/>
                <w:szCs w:val="20"/>
              </w:rPr>
              <w:t>-</w:t>
            </w:r>
            <w:r w:rsidRPr="007334C5">
              <w:rPr>
                <w:rFonts w:cstheme="minorHAnsi"/>
                <w:sz w:val="20"/>
                <w:szCs w:val="20"/>
              </w:rPr>
              <w:t>for</w:t>
            </w:r>
            <w:r w:rsidR="002230B1" w:rsidRPr="007334C5">
              <w:rPr>
                <w:rFonts w:cstheme="minorHAnsi"/>
                <w:sz w:val="20"/>
                <w:szCs w:val="20"/>
              </w:rPr>
              <w:t>-</w:t>
            </w:r>
            <w:r w:rsidRPr="007334C5">
              <w:rPr>
                <w:rFonts w:cstheme="minorHAnsi"/>
                <w:sz w:val="20"/>
                <w:szCs w:val="20"/>
              </w:rPr>
              <w:t>purpose project reporting.</w:t>
            </w:r>
          </w:p>
        </w:tc>
      </w:tr>
      <w:tr w:rsidR="00F52F5B" w:rsidRPr="007334C5" w:rsidTr="0031631F">
        <w:tc>
          <w:tcPr>
            <w:tcW w:w="1838" w:type="dxa"/>
            <w:shd w:val="clear" w:color="auto" w:fill="auto"/>
          </w:tcPr>
          <w:p w:rsidR="00F52F5B" w:rsidRPr="007334C5" w:rsidRDefault="0031631F" w:rsidP="0044719A">
            <w:pPr>
              <w:spacing w:before="120" w:after="120"/>
              <w:rPr>
                <w:rFonts w:cstheme="minorHAnsi"/>
                <w:sz w:val="20"/>
                <w:szCs w:val="20"/>
              </w:rPr>
            </w:pPr>
            <w:r w:rsidRPr="007334C5">
              <w:rPr>
                <w:rFonts w:cstheme="minorHAnsi"/>
                <w:sz w:val="20"/>
                <w:szCs w:val="20"/>
              </w:rPr>
              <w:t>Scheme design and approval</w:t>
            </w:r>
          </w:p>
        </w:tc>
        <w:tc>
          <w:tcPr>
            <w:tcW w:w="8080" w:type="dxa"/>
            <w:shd w:val="clear" w:color="auto" w:fill="auto"/>
          </w:tcPr>
          <w:p w:rsidR="00F52F5B" w:rsidRPr="007334C5" w:rsidRDefault="000D10B1" w:rsidP="0044719A">
            <w:pPr>
              <w:spacing w:before="120" w:after="120"/>
              <w:ind w:right="68"/>
              <w:rPr>
                <w:rFonts w:cstheme="minorHAnsi"/>
                <w:sz w:val="20"/>
                <w:szCs w:val="20"/>
              </w:rPr>
            </w:pPr>
            <w:r w:rsidRPr="007334C5">
              <w:rPr>
                <w:rFonts w:cstheme="minorHAnsi"/>
                <w:sz w:val="20"/>
                <w:szCs w:val="20"/>
              </w:rPr>
              <w:t xml:space="preserve">DoI Water has established appropriate processes and procedures to support the assessment and approval of schemes in accordance with the WMPA and Basin Pipe Project Schedule.  </w:t>
            </w:r>
          </w:p>
        </w:tc>
      </w:tr>
      <w:tr w:rsidR="00F52F5B" w:rsidRPr="007334C5" w:rsidTr="0031631F">
        <w:trPr>
          <w:trHeight w:val="798"/>
        </w:trPr>
        <w:tc>
          <w:tcPr>
            <w:tcW w:w="1838" w:type="dxa"/>
            <w:shd w:val="clear" w:color="auto" w:fill="auto"/>
          </w:tcPr>
          <w:p w:rsidR="00F52F5B" w:rsidRPr="007334C5" w:rsidRDefault="00F52F5B" w:rsidP="0044719A">
            <w:pPr>
              <w:spacing w:before="120" w:after="120"/>
              <w:rPr>
                <w:rFonts w:cstheme="minorHAnsi"/>
                <w:sz w:val="20"/>
                <w:szCs w:val="20"/>
              </w:rPr>
            </w:pPr>
            <w:r w:rsidRPr="007334C5">
              <w:rPr>
                <w:rFonts w:cstheme="minorHAnsi"/>
                <w:sz w:val="20"/>
                <w:szCs w:val="20"/>
              </w:rPr>
              <w:t>Risk and issue management</w:t>
            </w:r>
          </w:p>
        </w:tc>
        <w:tc>
          <w:tcPr>
            <w:tcW w:w="8080" w:type="dxa"/>
            <w:shd w:val="clear" w:color="auto" w:fill="auto"/>
          </w:tcPr>
          <w:p w:rsidR="00F52F5B" w:rsidRPr="007334C5" w:rsidRDefault="0031631F" w:rsidP="0044719A">
            <w:pPr>
              <w:spacing w:before="120" w:after="120"/>
              <w:ind w:right="68"/>
              <w:rPr>
                <w:rFonts w:cstheme="minorHAnsi"/>
                <w:sz w:val="20"/>
                <w:szCs w:val="20"/>
              </w:rPr>
            </w:pPr>
            <w:r w:rsidRPr="007334C5">
              <w:rPr>
                <w:rFonts w:cstheme="minorHAnsi"/>
                <w:sz w:val="20"/>
                <w:szCs w:val="20"/>
              </w:rPr>
              <w:t xml:space="preserve">DoI Water has a documented approach for identifying, assessing and communicating risks and issues. Key risks and issues appeared to </w:t>
            </w:r>
            <w:r w:rsidR="00FB5BBB" w:rsidRPr="007334C5">
              <w:rPr>
                <w:rFonts w:cstheme="minorHAnsi"/>
                <w:sz w:val="20"/>
                <w:szCs w:val="20"/>
              </w:rPr>
              <w:t xml:space="preserve">be </w:t>
            </w:r>
            <w:r w:rsidRPr="007334C5">
              <w:rPr>
                <w:rFonts w:cstheme="minorHAnsi"/>
                <w:sz w:val="20"/>
                <w:szCs w:val="20"/>
              </w:rPr>
              <w:t>regularly reviewed and reported to stakeholders.</w:t>
            </w:r>
          </w:p>
        </w:tc>
      </w:tr>
      <w:tr w:rsidR="00F52F5B" w:rsidRPr="007334C5" w:rsidTr="0031631F">
        <w:tc>
          <w:tcPr>
            <w:tcW w:w="1838" w:type="dxa"/>
            <w:shd w:val="clear" w:color="auto" w:fill="auto"/>
          </w:tcPr>
          <w:p w:rsidR="00F52F5B" w:rsidRPr="007334C5" w:rsidRDefault="00F52F5B" w:rsidP="0044719A">
            <w:pPr>
              <w:spacing w:before="120" w:after="120"/>
              <w:rPr>
                <w:rFonts w:cstheme="minorHAnsi"/>
                <w:sz w:val="20"/>
                <w:szCs w:val="20"/>
              </w:rPr>
            </w:pPr>
            <w:r w:rsidRPr="007334C5">
              <w:rPr>
                <w:rFonts w:cstheme="minorHAnsi"/>
                <w:sz w:val="20"/>
                <w:szCs w:val="20"/>
              </w:rPr>
              <w:t>Financial management</w:t>
            </w:r>
          </w:p>
        </w:tc>
        <w:tc>
          <w:tcPr>
            <w:tcW w:w="8080" w:type="dxa"/>
            <w:shd w:val="clear" w:color="auto" w:fill="auto"/>
          </w:tcPr>
          <w:p w:rsidR="00F52F5B" w:rsidRPr="007334C5" w:rsidRDefault="00E05A32" w:rsidP="005920AB">
            <w:pPr>
              <w:keepNext/>
              <w:spacing w:before="120" w:after="120"/>
              <w:rPr>
                <w:rFonts w:cstheme="minorHAnsi"/>
                <w:sz w:val="20"/>
                <w:szCs w:val="20"/>
              </w:rPr>
            </w:pPr>
            <w:r w:rsidRPr="007334C5">
              <w:rPr>
                <w:rFonts w:cstheme="minorHAnsi"/>
                <w:sz w:val="20"/>
                <w:szCs w:val="20"/>
              </w:rPr>
              <w:t xml:space="preserve">DoI Water have implemented a number of processes, controls and systems to manage </w:t>
            </w:r>
            <w:r w:rsidR="00146A71" w:rsidRPr="007334C5">
              <w:rPr>
                <w:rFonts w:cstheme="minorHAnsi"/>
                <w:sz w:val="20"/>
                <w:szCs w:val="20"/>
              </w:rPr>
              <w:t>and monitor project expenditure</w:t>
            </w:r>
            <w:r w:rsidRPr="007334C5">
              <w:rPr>
                <w:rFonts w:cstheme="minorHAnsi"/>
                <w:sz w:val="20"/>
                <w:szCs w:val="20"/>
              </w:rPr>
              <w:t xml:space="preserve"> however, processes could be improved to ensure</w:t>
            </w:r>
            <w:r w:rsidR="005920AB" w:rsidRPr="007334C5">
              <w:rPr>
                <w:rFonts w:cstheme="minorHAnsi"/>
                <w:sz w:val="20"/>
                <w:szCs w:val="20"/>
              </w:rPr>
              <w:t xml:space="preserve"> documentation supporting</w:t>
            </w:r>
            <w:r w:rsidRPr="007334C5">
              <w:rPr>
                <w:rFonts w:cstheme="minorHAnsi"/>
                <w:sz w:val="20"/>
                <w:szCs w:val="20"/>
              </w:rPr>
              <w:t xml:space="preserve"> individual scheme </w:t>
            </w:r>
            <w:r w:rsidR="005920AB" w:rsidRPr="007334C5">
              <w:rPr>
                <w:rFonts w:cstheme="minorHAnsi"/>
                <w:sz w:val="20"/>
                <w:szCs w:val="20"/>
              </w:rPr>
              <w:t>payments is retained and accessible</w:t>
            </w:r>
            <w:r w:rsidRPr="007334C5">
              <w:rPr>
                <w:rFonts w:cstheme="minorHAnsi"/>
                <w:sz w:val="20"/>
                <w:szCs w:val="20"/>
              </w:rPr>
              <w:t>.</w:t>
            </w:r>
          </w:p>
        </w:tc>
      </w:tr>
      <w:tr w:rsidR="00F52F5B" w:rsidRPr="007334C5" w:rsidTr="0031631F">
        <w:tc>
          <w:tcPr>
            <w:tcW w:w="1838" w:type="dxa"/>
            <w:shd w:val="clear" w:color="auto" w:fill="auto"/>
          </w:tcPr>
          <w:p w:rsidR="00F52F5B" w:rsidRPr="007334C5" w:rsidRDefault="00F52F5B" w:rsidP="0044719A">
            <w:pPr>
              <w:spacing w:before="120" w:after="120"/>
              <w:rPr>
                <w:rFonts w:cstheme="minorHAnsi"/>
                <w:sz w:val="20"/>
                <w:szCs w:val="20"/>
              </w:rPr>
            </w:pPr>
            <w:r w:rsidRPr="007334C5">
              <w:rPr>
                <w:rFonts w:cstheme="minorHAnsi"/>
                <w:sz w:val="20"/>
                <w:szCs w:val="20"/>
              </w:rPr>
              <w:t xml:space="preserve">Stakeholder engagement </w:t>
            </w:r>
          </w:p>
        </w:tc>
        <w:tc>
          <w:tcPr>
            <w:tcW w:w="8080" w:type="dxa"/>
            <w:shd w:val="clear" w:color="auto" w:fill="auto"/>
          </w:tcPr>
          <w:p w:rsidR="00F52F5B" w:rsidRPr="007334C5" w:rsidRDefault="0031631F" w:rsidP="001121AC">
            <w:pPr>
              <w:spacing w:before="120" w:after="120"/>
              <w:ind w:right="68"/>
              <w:rPr>
                <w:rFonts w:cstheme="minorHAnsi"/>
                <w:sz w:val="20"/>
                <w:szCs w:val="20"/>
              </w:rPr>
            </w:pPr>
            <w:r w:rsidRPr="007334C5">
              <w:rPr>
                <w:rFonts w:cstheme="minorHAnsi"/>
                <w:sz w:val="20"/>
                <w:szCs w:val="20"/>
              </w:rPr>
              <w:t xml:space="preserve">DoI Water established a number of </w:t>
            </w:r>
            <w:r w:rsidR="00FB5BBB" w:rsidRPr="007334C5">
              <w:rPr>
                <w:rFonts w:cstheme="minorHAnsi"/>
                <w:sz w:val="20"/>
                <w:szCs w:val="20"/>
              </w:rPr>
              <w:t xml:space="preserve">stakeholder </w:t>
            </w:r>
            <w:r w:rsidRPr="007334C5">
              <w:rPr>
                <w:rFonts w:cstheme="minorHAnsi"/>
                <w:sz w:val="20"/>
                <w:szCs w:val="20"/>
              </w:rPr>
              <w:t>engagement mechanisms</w:t>
            </w:r>
            <w:r w:rsidR="009A0815" w:rsidRPr="007334C5">
              <w:rPr>
                <w:rFonts w:cstheme="minorHAnsi"/>
                <w:sz w:val="20"/>
                <w:szCs w:val="20"/>
              </w:rPr>
              <w:t xml:space="preserve"> at the commencement of the project </w:t>
            </w:r>
            <w:r w:rsidR="006F7FF5" w:rsidRPr="007334C5">
              <w:rPr>
                <w:rFonts w:cstheme="minorHAnsi"/>
                <w:sz w:val="20"/>
                <w:szCs w:val="20"/>
              </w:rPr>
              <w:t xml:space="preserve">however, </w:t>
            </w:r>
            <w:r w:rsidR="0079352A" w:rsidRPr="007334C5">
              <w:rPr>
                <w:rFonts w:cstheme="minorHAnsi"/>
                <w:sz w:val="20"/>
                <w:szCs w:val="20"/>
              </w:rPr>
              <w:t xml:space="preserve">activity has been limited since 2016. DoI Water </w:t>
            </w:r>
            <w:r w:rsidR="009A0815" w:rsidRPr="007334C5">
              <w:rPr>
                <w:rFonts w:cstheme="minorHAnsi"/>
                <w:sz w:val="20"/>
                <w:szCs w:val="20"/>
              </w:rPr>
              <w:t>acknowledged</w:t>
            </w:r>
            <w:r w:rsidR="0079352A" w:rsidRPr="007334C5">
              <w:rPr>
                <w:rFonts w:cstheme="minorHAnsi"/>
                <w:sz w:val="20"/>
                <w:szCs w:val="20"/>
              </w:rPr>
              <w:t xml:space="preserve"> that the </w:t>
            </w:r>
            <w:r w:rsidR="009A0815" w:rsidRPr="007334C5">
              <w:rPr>
                <w:rFonts w:cstheme="minorHAnsi"/>
                <w:sz w:val="20"/>
                <w:szCs w:val="20"/>
              </w:rPr>
              <w:t xml:space="preserve">level of </w:t>
            </w:r>
            <w:r w:rsidR="0079352A" w:rsidRPr="007334C5">
              <w:rPr>
                <w:rFonts w:cstheme="minorHAnsi"/>
                <w:sz w:val="20"/>
                <w:szCs w:val="20"/>
              </w:rPr>
              <w:t>stakeholder engagement</w:t>
            </w:r>
            <w:r w:rsidR="009A0815" w:rsidRPr="007334C5">
              <w:rPr>
                <w:rFonts w:cstheme="minorHAnsi"/>
                <w:sz w:val="20"/>
                <w:szCs w:val="20"/>
              </w:rPr>
              <w:t xml:space="preserve"> was less than initially expected under the business case.</w:t>
            </w:r>
            <w:r w:rsidR="0079352A" w:rsidRPr="007334C5">
              <w:rPr>
                <w:rFonts w:cstheme="minorHAnsi"/>
                <w:sz w:val="20"/>
                <w:szCs w:val="20"/>
              </w:rPr>
              <w:t xml:space="preserve"> </w:t>
            </w:r>
            <w:r w:rsidR="003A0938" w:rsidRPr="007334C5">
              <w:rPr>
                <w:rFonts w:cstheme="minorHAnsi"/>
                <w:sz w:val="20"/>
                <w:szCs w:val="20"/>
              </w:rPr>
              <w:t>Noting the original timeframe for completion of the project, DoI Water</w:t>
            </w:r>
            <w:r w:rsidR="009A0815" w:rsidRPr="007334C5">
              <w:rPr>
                <w:rFonts w:cstheme="minorHAnsi"/>
                <w:sz w:val="20"/>
                <w:szCs w:val="20"/>
              </w:rPr>
              <w:t xml:space="preserve"> </w:t>
            </w:r>
            <w:r w:rsidRPr="007334C5">
              <w:rPr>
                <w:rFonts w:cstheme="minorHAnsi"/>
                <w:sz w:val="20"/>
                <w:szCs w:val="20"/>
              </w:rPr>
              <w:t xml:space="preserve">elected to focus on targeted communications and engagement with </w:t>
            </w:r>
            <w:r w:rsidR="009A0815" w:rsidRPr="007334C5">
              <w:rPr>
                <w:rFonts w:cstheme="minorHAnsi"/>
                <w:sz w:val="20"/>
                <w:szCs w:val="20"/>
              </w:rPr>
              <w:t xml:space="preserve">only </w:t>
            </w:r>
            <w:r w:rsidRPr="007334C5">
              <w:rPr>
                <w:rFonts w:cstheme="minorHAnsi"/>
                <w:sz w:val="20"/>
                <w:szCs w:val="20"/>
              </w:rPr>
              <w:t xml:space="preserve">interested stakeholders </w:t>
            </w:r>
            <w:r w:rsidR="009A0815" w:rsidRPr="007334C5">
              <w:rPr>
                <w:rFonts w:cstheme="minorHAnsi"/>
                <w:sz w:val="20"/>
                <w:szCs w:val="20"/>
              </w:rPr>
              <w:t xml:space="preserve">(rather than the broader community) </w:t>
            </w:r>
            <w:r w:rsidRPr="007334C5">
              <w:rPr>
                <w:rFonts w:cstheme="minorHAnsi"/>
                <w:sz w:val="20"/>
                <w:szCs w:val="20"/>
              </w:rPr>
              <w:t xml:space="preserve">to </w:t>
            </w:r>
            <w:r w:rsidR="009A0815" w:rsidRPr="007334C5">
              <w:rPr>
                <w:rFonts w:cstheme="minorHAnsi"/>
                <w:sz w:val="20"/>
                <w:szCs w:val="20"/>
              </w:rPr>
              <w:t>develop additional</w:t>
            </w:r>
            <w:r w:rsidRPr="007334C5">
              <w:rPr>
                <w:rFonts w:cstheme="minorHAnsi"/>
                <w:sz w:val="20"/>
                <w:szCs w:val="20"/>
              </w:rPr>
              <w:t xml:space="preserve"> Basin Pipe schemes</w:t>
            </w:r>
            <w:r w:rsidR="00F007C0" w:rsidRPr="007334C5">
              <w:rPr>
                <w:rFonts w:cstheme="minorHAnsi"/>
                <w:sz w:val="20"/>
                <w:szCs w:val="20"/>
              </w:rPr>
              <w:t xml:space="preserve"> within the time available</w:t>
            </w:r>
            <w:r w:rsidRPr="007334C5">
              <w:rPr>
                <w:rFonts w:cstheme="minorHAnsi"/>
                <w:sz w:val="20"/>
                <w:szCs w:val="20"/>
              </w:rPr>
              <w:t xml:space="preserve">. </w:t>
            </w:r>
          </w:p>
        </w:tc>
      </w:tr>
      <w:tr w:rsidR="00F52F5B" w:rsidRPr="007334C5" w:rsidTr="0031631F">
        <w:tc>
          <w:tcPr>
            <w:tcW w:w="1838" w:type="dxa"/>
            <w:shd w:val="clear" w:color="auto" w:fill="auto"/>
          </w:tcPr>
          <w:p w:rsidR="00F52F5B" w:rsidRPr="007334C5" w:rsidRDefault="00F52F5B" w:rsidP="0044719A">
            <w:pPr>
              <w:spacing w:before="120" w:after="120"/>
              <w:rPr>
                <w:rFonts w:cstheme="minorHAnsi"/>
                <w:sz w:val="20"/>
                <w:szCs w:val="20"/>
              </w:rPr>
            </w:pPr>
            <w:r w:rsidRPr="007334C5">
              <w:rPr>
                <w:rFonts w:cstheme="minorHAnsi"/>
                <w:sz w:val="20"/>
                <w:szCs w:val="20"/>
              </w:rPr>
              <w:t xml:space="preserve">Water </w:t>
            </w:r>
            <w:r w:rsidR="001121AC" w:rsidRPr="007334C5">
              <w:rPr>
                <w:rFonts w:cstheme="minorHAnsi"/>
                <w:sz w:val="20"/>
                <w:szCs w:val="20"/>
              </w:rPr>
              <w:t>t</w:t>
            </w:r>
            <w:r w:rsidRPr="007334C5">
              <w:rPr>
                <w:rFonts w:cstheme="minorHAnsi"/>
                <w:sz w:val="20"/>
                <w:szCs w:val="20"/>
              </w:rPr>
              <w:t>ransfer</w:t>
            </w:r>
          </w:p>
        </w:tc>
        <w:tc>
          <w:tcPr>
            <w:tcW w:w="8080" w:type="dxa"/>
            <w:shd w:val="clear" w:color="auto" w:fill="auto"/>
          </w:tcPr>
          <w:p w:rsidR="00F52F5B" w:rsidRPr="007334C5" w:rsidRDefault="0031631F" w:rsidP="0044719A">
            <w:pPr>
              <w:spacing w:before="120" w:after="120"/>
              <w:ind w:right="68"/>
              <w:rPr>
                <w:rFonts w:cstheme="minorHAnsi"/>
                <w:sz w:val="20"/>
                <w:szCs w:val="20"/>
              </w:rPr>
            </w:pPr>
            <w:r w:rsidRPr="007334C5">
              <w:rPr>
                <w:rFonts w:cstheme="minorHAnsi"/>
                <w:sz w:val="20"/>
                <w:szCs w:val="20"/>
              </w:rPr>
              <w:t xml:space="preserve">DoI Water have appropriate processes in place to support and coordinate the water transfer process between </w:t>
            </w:r>
            <w:r w:rsidR="00FB5BBB" w:rsidRPr="007334C5">
              <w:rPr>
                <w:rFonts w:cstheme="minorHAnsi"/>
                <w:sz w:val="20"/>
                <w:szCs w:val="20"/>
              </w:rPr>
              <w:t>landholders</w:t>
            </w:r>
            <w:r w:rsidRPr="007334C5">
              <w:rPr>
                <w:rFonts w:cstheme="minorHAnsi"/>
                <w:sz w:val="20"/>
                <w:szCs w:val="20"/>
              </w:rPr>
              <w:t xml:space="preserve"> and the Commonwealth.</w:t>
            </w:r>
          </w:p>
        </w:tc>
      </w:tr>
      <w:tr w:rsidR="00F52F5B" w:rsidRPr="007334C5" w:rsidTr="0031631F">
        <w:tc>
          <w:tcPr>
            <w:tcW w:w="1838" w:type="dxa"/>
            <w:shd w:val="clear" w:color="auto" w:fill="auto"/>
          </w:tcPr>
          <w:p w:rsidR="00F52F5B" w:rsidRPr="007334C5" w:rsidRDefault="0031631F" w:rsidP="0044719A">
            <w:pPr>
              <w:spacing w:before="120" w:after="120"/>
              <w:ind w:right="68"/>
              <w:rPr>
                <w:rFonts w:cstheme="minorHAnsi"/>
                <w:b/>
                <w:sz w:val="20"/>
                <w:szCs w:val="20"/>
              </w:rPr>
            </w:pPr>
            <w:r w:rsidRPr="007334C5">
              <w:rPr>
                <w:rFonts w:cstheme="minorHAnsi"/>
                <w:sz w:val="20"/>
                <w:szCs w:val="20"/>
              </w:rPr>
              <w:t>Scheme management</w:t>
            </w:r>
          </w:p>
        </w:tc>
        <w:tc>
          <w:tcPr>
            <w:tcW w:w="8080" w:type="dxa"/>
            <w:shd w:val="clear" w:color="auto" w:fill="auto"/>
          </w:tcPr>
          <w:p w:rsidR="00F52F5B" w:rsidRPr="007334C5" w:rsidRDefault="0031631F" w:rsidP="0044719A">
            <w:pPr>
              <w:spacing w:before="120" w:after="120"/>
              <w:ind w:right="68"/>
              <w:rPr>
                <w:rFonts w:cstheme="minorHAnsi"/>
                <w:sz w:val="20"/>
                <w:szCs w:val="20"/>
              </w:rPr>
            </w:pPr>
            <w:r w:rsidRPr="007334C5">
              <w:rPr>
                <w:rFonts w:cstheme="minorHAnsi"/>
                <w:sz w:val="20"/>
                <w:szCs w:val="20"/>
              </w:rPr>
              <w:t>DoI Water appear to have established a number of processes to assist in the managem</w:t>
            </w:r>
            <w:r w:rsidR="00146A71" w:rsidRPr="007334C5">
              <w:rPr>
                <w:rFonts w:cstheme="minorHAnsi"/>
                <w:sz w:val="20"/>
                <w:szCs w:val="20"/>
              </w:rPr>
              <w:t>ent of water efficiency schemes</w:t>
            </w:r>
            <w:r w:rsidRPr="007334C5">
              <w:rPr>
                <w:rFonts w:cstheme="minorHAnsi"/>
                <w:sz w:val="20"/>
                <w:szCs w:val="20"/>
              </w:rPr>
              <w:t xml:space="preserve"> however</w:t>
            </w:r>
            <w:r w:rsidR="006F7FF5" w:rsidRPr="007334C5">
              <w:rPr>
                <w:rFonts w:cstheme="minorHAnsi"/>
                <w:sz w:val="20"/>
                <w:szCs w:val="20"/>
              </w:rPr>
              <w:t>,</w:t>
            </w:r>
            <w:r w:rsidRPr="007334C5">
              <w:rPr>
                <w:rFonts w:cstheme="minorHAnsi"/>
                <w:sz w:val="20"/>
                <w:szCs w:val="20"/>
              </w:rPr>
              <w:t xml:space="preserve"> gaps were identified in the project</w:t>
            </w:r>
            <w:r w:rsidR="00C03162" w:rsidRPr="007334C5">
              <w:rPr>
                <w:rFonts w:cstheme="minorHAnsi"/>
                <w:sz w:val="20"/>
                <w:szCs w:val="20"/>
              </w:rPr>
              <w:t>’</w:t>
            </w:r>
            <w:r w:rsidRPr="007334C5">
              <w:rPr>
                <w:rFonts w:cstheme="minorHAnsi"/>
                <w:sz w:val="20"/>
                <w:szCs w:val="20"/>
              </w:rPr>
              <w:t>s document management protocols and guidance available to project staff.</w:t>
            </w:r>
          </w:p>
        </w:tc>
      </w:tr>
      <w:tr w:rsidR="00F52F5B" w:rsidRPr="007334C5" w:rsidTr="0031631F">
        <w:tc>
          <w:tcPr>
            <w:tcW w:w="1838" w:type="dxa"/>
            <w:shd w:val="clear" w:color="auto" w:fill="auto"/>
          </w:tcPr>
          <w:p w:rsidR="00F52F5B" w:rsidRPr="007334C5" w:rsidRDefault="00F52F5B" w:rsidP="0044719A">
            <w:pPr>
              <w:spacing w:before="120" w:after="120"/>
              <w:rPr>
                <w:rFonts w:cstheme="minorHAnsi"/>
                <w:sz w:val="20"/>
                <w:szCs w:val="20"/>
              </w:rPr>
            </w:pPr>
            <w:r w:rsidRPr="007334C5">
              <w:rPr>
                <w:rFonts w:cstheme="minorHAnsi"/>
                <w:sz w:val="20"/>
                <w:szCs w:val="20"/>
              </w:rPr>
              <w:t>On-ground verification</w:t>
            </w:r>
          </w:p>
        </w:tc>
        <w:tc>
          <w:tcPr>
            <w:tcW w:w="8080" w:type="dxa"/>
            <w:shd w:val="clear" w:color="auto" w:fill="auto"/>
          </w:tcPr>
          <w:p w:rsidR="00F52F5B" w:rsidRPr="007334C5" w:rsidRDefault="00D2667E" w:rsidP="00146A71">
            <w:pPr>
              <w:spacing w:before="120" w:after="120"/>
              <w:ind w:right="68"/>
              <w:rPr>
                <w:rFonts w:cstheme="minorHAnsi"/>
                <w:sz w:val="20"/>
                <w:szCs w:val="20"/>
              </w:rPr>
            </w:pPr>
            <w:r w:rsidRPr="007334C5">
              <w:rPr>
                <w:rFonts w:cstheme="minorHAnsi"/>
                <w:sz w:val="20"/>
                <w:szCs w:val="20"/>
              </w:rPr>
              <w:t>From visual inspection, installed works appeared to generally correspond with the documentation provided, and in particular, technical design documents and inspection reports. Minor variations from the original scope were noted however</w:t>
            </w:r>
            <w:r w:rsidR="000617FA" w:rsidRPr="007334C5">
              <w:rPr>
                <w:rFonts w:cstheme="minorHAnsi"/>
                <w:sz w:val="20"/>
                <w:szCs w:val="20"/>
              </w:rPr>
              <w:t>,</w:t>
            </w:r>
            <w:r w:rsidRPr="007334C5">
              <w:rPr>
                <w:rFonts w:cstheme="minorHAnsi"/>
                <w:sz w:val="20"/>
                <w:szCs w:val="20"/>
              </w:rPr>
              <w:t xml:space="preserve"> these were either considered improvements to the design or resulted in improved cost management.</w:t>
            </w:r>
          </w:p>
        </w:tc>
      </w:tr>
    </w:tbl>
    <w:p w:rsidR="0031631F" w:rsidRPr="007334C5" w:rsidRDefault="0031631F" w:rsidP="0031631F">
      <w:pPr>
        <w:spacing w:before="120" w:after="120" w:line="240" w:lineRule="auto"/>
        <w:rPr>
          <w:rFonts w:cstheme="minorHAnsi"/>
        </w:rPr>
      </w:pPr>
      <w:bookmarkStart w:id="14" w:name="_Toc522868860"/>
      <w:bookmarkStart w:id="15" w:name="_Toc522868861"/>
      <w:bookmarkEnd w:id="14"/>
      <w:bookmarkEnd w:id="15"/>
      <w:r w:rsidRPr="007334C5">
        <w:rPr>
          <w:rFonts w:cstheme="minorHAnsi"/>
          <w:sz w:val="20"/>
          <w:szCs w:val="20"/>
        </w:rPr>
        <w:t xml:space="preserve">Whilst this review was not designed to detect fraudulent activity, any activity warranting further investigation would be brought to the attention of management. Notwithstanding this, no instances of fraudulent transactions or behaviours were identified during the course of our fieldwork.  </w:t>
      </w:r>
    </w:p>
    <w:p w:rsidR="00816561" w:rsidRPr="007334C5" w:rsidRDefault="0097725F" w:rsidP="007334C5">
      <w:pPr>
        <w:pStyle w:val="Heading1"/>
      </w:pPr>
      <w:bookmarkStart w:id="16" w:name="_Toc535401132"/>
      <w:r w:rsidRPr="007334C5">
        <w:t xml:space="preserve">Findings and </w:t>
      </w:r>
      <w:r w:rsidR="004E6817" w:rsidRPr="007334C5">
        <w:t>o</w:t>
      </w:r>
      <w:r w:rsidRPr="007334C5">
        <w:t>bservations</w:t>
      </w:r>
      <w:bookmarkEnd w:id="16"/>
    </w:p>
    <w:p w:rsidR="00C42CBA" w:rsidRPr="007334C5" w:rsidRDefault="00C42CBA" w:rsidP="000722AF">
      <w:pPr>
        <w:pStyle w:val="Heading2"/>
        <w:rPr>
          <w:rFonts w:asciiTheme="minorHAnsi" w:hAnsiTheme="minorHAnsi" w:cstheme="minorHAnsi"/>
        </w:rPr>
      </w:pPr>
      <w:bookmarkStart w:id="17" w:name="_Toc535401133"/>
      <w:r w:rsidRPr="007334C5">
        <w:rPr>
          <w:rFonts w:asciiTheme="minorHAnsi" w:hAnsiTheme="minorHAnsi" w:cstheme="minorHAnsi"/>
        </w:rPr>
        <w:t>Governance and reporting</w:t>
      </w:r>
      <w:bookmarkEnd w:id="17"/>
    </w:p>
    <w:p w:rsidR="00AC5F8F" w:rsidRPr="007334C5" w:rsidRDefault="0031631F" w:rsidP="00F74EDA">
      <w:pPr>
        <w:shd w:val="clear" w:color="auto" w:fill="E7E6E6" w:themeFill="background2"/>
        <w:spacing w:before="120" w:after="120" w:line="240" w:lineRule="auto"/>
        <w:rPr>
          <w:rFonts w:cstheme="minorHAnsi"/>
          <w:sz w:val="20"/>
          <w:szCs w:val="20"/>
        </w:rPr>
      </w:pPr>
      <w:r w:rsidRPr="007334C5">
        <w:rPr>
          <w:rFonts w:cstheme="minorHAnsi"/>
          <w:i/>
          <w:sz w:val="20"/>
          <w:szCs w:val="20"/>
        </w:rPr>
        <w:t>DoI Water</w:t>
      </w:r>
      <w:r w:rsidR="00C54C6E" w:rsidRPr="007334C5">
        <w:rPr>
          <w:rFonts w:cstheme="minorHAnsi"/>
          <w:i/>
          <w:sz w:val="20"/>
          <w:szCs w:val="20"/>
        </w:rPr>
        <w:t xml:space="preserve"> have established </w:t>
      </w:r>
      <w:r w:rsidR="005920AB" w:rsidRPr="007334C5">
        <w:rPr>
          <w:rFonts w:cstheme="minorHAnsi"/>
          <w:i/>
          <w:sz w:val="20"/>
          <w:szCs w:val="20"/>
        </w:rPr>
        <w:t>appropriate</w:t>
      </w:r>
      <w:r w:rsidR="00C54C6E" w:rsidRPr="007334C5">
        <w:rPr>
          <w:rFonts w:cstheme="minorHAnsi"/>
          <w:i/>
          <w:sz w:val="20"/>
          <w:szCs w:val="20"/>
        </w:rPr>
        <w:t xml:space="preserve"> </w:t>
      </w:r>
      <w:r w:rsidR="00474DAB" w:rsidRPr="007334C5">
        <w:rPr>
          <w:rFonts w:cstheme="minorHAnsi"/>
          <w:i/>
          <w:sz w:val="20"/>
          <w:szCs w:val="20"/>
        </w:rPr>
        <w:t>governance arrangements</w:t>
      </w:r>
      <w:r w:rsidR="00C54C6E" w:rsidRPr="007334C5">
        <w:rPr>
          <w:rFonts w:cstheme="minorHAnsi"/>
          <w:i/>
          <w:sz w:val="20"/>
          <w:szCs w:val="20"/>
        </w:rPr>
        <w:t xml:space="preserve"> and have demonstrated regular and fit for purpose project reporting.</w:t>
      </w:r>
      <w:r w:rsidR="00474DAB" w:rsidRPr="007334C5">
        <w:rPr>
          <w:rFonts w:cstheme="minorHAnsi"/>
          <w:i/>
          <w:sz w:val="20"/>
          <w:szCs w:val="20"/>
        </w:rPr>
        <w:t xml:space="preserve"> </w:t>
      </w:r>
    </w:p>
    <w:p w:rsidR="00F955B8" w:rsidRPr="007334C5" w:rsidRDefault="00F955B8" w:rsidP="00F955B8">
      <w:pPr>
        <w:spacing w:before="120" w:after="120" w:line="240" w:lineRule="auto"/>
        <w:rPr>
          <w:rFonts w:cstheme="minorHAnsi"/>
          <w:sz w:val="20"/>
          <w:szCs w:val="20"/>
        </w:rPr>
      </w:pPr>
      <w:r w:rsidRPr="007334C5">
        <w:rPr>
          <w:rFonts w:cstheme="minorHAnsi"/>
          <w:sz w:val="20"/>
          <w:szCs w:val="20"/>
        </w:rPr>
        <w:t xml:space="preserve">KPMG considered the governance mechanisms established to manage and implement the </w:t>
      </w:r>
      <w:r w:rsidR="000700AC" w:rsidRPr="007334C5">
        <w:rPr>
          <w:rFonts w:cstheme="minorHAnsi"/>
          <w:sz w:val="20"/>
          <w:szCs w:val="20"/>
        </w:rPr>
        <w:t>Basin Pipe Project</w:t>
      </w:r>
      <w:r w:rsidRPr="007334C5">
        <w:rPr>
          <w:rFonts w:cstheme="minorHAnsi"/>
          <w:sz w:val="20"/>
          <w:szCs w:val="20"/>
        </w:rPr>
        <w:t>. This included:</w:t>
      </w:r>
    </w:p>
    <w:p w:rsidR="00F955B8" w:rsidRPr="007334C5" w:rsidRDefault="00F955B8" w:rsidP="000F0AAC">
      <w:pPr>
        <w:pStyle w:val="ListParagraph"/>
        <w:numPr>
          <w:ilvl w:val="0"/>
          <w:numId w:val="5"/>
        </w:numPr>
        <w:spacing w:before="120" w:after="120" w:line="240" w:lineRule="auto"/>
        <w:rPr>
          <w:rFonts w:cstheme="minorHAnsi"/>
          <w:sz w:val="20"/>
          <w:szCs w:val="20"/>
        </w:rPr>
      </w:pPr>
      <w:r w:rsidRPr="007334C5">
        <w:rPr>
          <w:rFonts w:cstheme="minorHAnsi"/>
          <w:sz w:val="20"/>
          <w:szCs w:val="20"/>
        </w:rPr>
        <w:t>Establishment of a clear governance structure</w:t>
      </w:r>
      <w:r w:rsidR="008774A5" w:rsidRPr="007334C5">
        <w:rPr>
          <w:rFonts w:cstheme="minorHAnsi"/>
          <w:sz w:val="20"/>
          <w:szCs w:val="20"/>
        </w:rPr>
        <w:t>.</w:t>
      </w:r>
      <w:r w:rsidRPr="007334C5">
        <w:rPr>
          <w:rFonts w:cstheme="minorHAnsi"/>
          <w:sz w:val="20"/>
          <w:szCs w:val="20"/>
        </w:rPr>
        <w:t xml:space="preserve"> </w:t>
      </w:r>
    </w:p>
    <w:p w:rsidR="00F955B8" w:rsidRPr="007334C5" w:rsidRDefault="00F955B8" w:rsidP="000F0AAC">
      <w:pPr>
        <w:pStyle w:val="ListParagraph"/>
        <w:numPr>
          <w:ilvl w:val="0"/>
          <w:numId w:val="5"/>
        </w:numPr>
        <w:spacing w:before="120" w:after="120" w:line="240" w:lineRule="auto"/>
        <w:rPr>
          <w:rFonts w:cstheme="minorHAnsi"/>
          <w:sz w:val="20"/>
          <w:szCs w:val="20"/>
        </w:rPr>
      </w:pPr>
      <w:r w:rsidRPr="007334C5">
        <w:rPr>
          <w:rFonts w:cstheme="minorHAnsi"/>
          <w:sz w:val="20"/>
          <w:szCs w:val="20"/>
        </w:rPr>
        <w:t>Defined roles and responsibilities</w:t>
      </w:r>
      <w:r w:rsidR="008774A5" w:rsidRPr="007334C5">
        <w:rPr>
          <w:rFonts w:cstheme="minorHAnsi"/>
          <w:sz w:val="20"/>
          <w:szCs w:val="20"/>
        </w:rPr>
        <w:t>.</w:t>
      </w:r>
    </w:p>
    <w:p w:rsidR="00FB5BBB" w:rsidRPr="007334C5" w:rsidRDefault="00FB5BBB" w:rsidP="00FB5BBB">
      <w:pPr>
        <w:pStyle w:val="ListParagraph"/>
        <w:numPr>
          <w:ilvl w:val="0"/>
          <w:numId w:val="5"/>
        </w:numPr>
        <w:spacing w:before="120" w:after="120" w:line="240" w:lineRule="auto"/>
        <w:ind w:left="357" w:hanging="357"/>
        <w:contextualSpacing w:val="0"/>
        <w:rPr>
          <w:rFonts w:cstheme="minorHAnsi"/>
          <w:sz w:val="20"/>
          <w:szCs w:val="20"/>
        </w:rPr>
      </w:pPr>
      <w:r w:rsidRPr="007334C5">
        <w:rPr>
          <w:rFonts w:cstheme="minorHAnsi"/>
          <w:sz w:val="20"/>
          <w:szCs w:val="20"/>
        </w:rPr>
        <w:t>Regular, timely and fit for purpose reporting.</w:t>
      </w:r>
    </w:p>
    <w:p w:rsidR="009B3394" w:rsidRPr="007334C5" w:rsidRDefault="009B3394" w:rsidP="009B3394">
      <w:pPr>
        <w:pStyle w:val="Heading3"/>
        <w:spacing w:before="120"/>
        <w:rPr>
          <w:rFonts w:asciiTheme="minorHAnsi" w:hAnsiTheme="minorHAnsi" w:cstheme="minorHAnsi"/>
          <w:sz w:val="20"/>
          <w:szCs w:val="20"/>
        </w:rPr>
      </w:pPr>
      <w:r w:rsidRPr="007334C5">
        <w:rPr>
          <w:rFonts w:asciiTheme="minorHAnsi" w:hAnsiTheme="minorHAnsi" w:cstheme="minorHAnsi"/>
          <w:sz w:val="20"/>
          <w:szCs w:val="20"/>
        </w:rPr>
        <w:t>Governance and oversight</w:t>
      </w:r>
    </w:p>
    <w:p w:rsidR="009B3394" w:rsidRPr="007334C5" w:rsidRDefault="009B3394" w:rsidP="009B3394">
      <w:pPr>
        <w:spacing w:before="120" w:after="120" w:line="240" w:lineRule="auto"/>
        <w:rPr>
          <w:rFonts w:cstheme="minorHAnsi"/>
          <w:sz w:val="20"/>
          <w:szCs w:val="20"/>
        </w:rPr>
      </w:pPr>
      <w:r w:rsidRPr="007334C5">
        <w:rPr>
          <w:rFonts w:cstheme="minorHAnsi"/>
          <w:sz w:val="20"/>
          <w:szCs w:val="20"/>
        </w:rPr>
        <w:t xml:space="preserve">The WMPA and the accompanying schedules between the NSW government and the Commonwealth (represented by DAWR) define the high-level contractual responsibilities of each </w:t>
      </w:r>
      <w:r w:rsidR="002868DF" w:rsidRPr="007334C5">
        <w:rPr>
          <w:rFonts w:cstheme="minorHAnsi"/>
          <w:sz w:val="20"/>
          <w:szCs w:val="20"/>
        </w:rPr>
        <w:t>entity</w:t>
      </w:r>
      <w:r w:rsidR="00C03162" w:rsidRPr="007334C5">
        <w:rPr>
          <w:rFonts w:cstheme="minorHAnsi"/>
          <w:sz w:val="20"/>
          <w:szCs w:val="20"/>
        </w:rPr>
        <w:t xml:space="preserve"> </w:t>
      </w:r>
      <w:r w:rsidRPr="007334C5">
        <w:rPr>
          <w:rFonts w:cstheme="minorHAnsi"/>
          <w:sz w:val="20"/>
          <w:szCs w:val="20"/>
        </w:rPr>
        <w:t>and outline key reporting and governance requirements. The WMPA project schedule was periodically updated, through contract variations, to reflect actual project delivery activity</w:t>
      </w:r>
      <w:r w:rsidR="00FB5BBB" w:rsidRPr="007334C5">
        <w:rPr>
          <w:rFonts w:cstheme="minorHAnsi"/>
          <w:sz w:val="20"/>
          <w:szCs w:val="20"/>
        </w:rPr>
        <w:t xml:space="preserve"> and changes</w:t>
      </w:r>
      <w:r w:rsidRPr="007334C5">
        <w:rPr>
          <w:rFonts w:cstheme="minorHAnsi"/>
          <w:sz w:val="20"/>
          <w:szCs w:val="20"/>
        </w:rPr>
        <w:t>.</w:t>
      </w:r>
    </w:p>
    <w:p w:rsidR="009B3394" w:rsidRPr="007334C5" w:rsidRDefault="009B3394" w:rsidP="009B3394">
      <w:pPr>
        <w:spacing w:before="120" w:after="120" w:line="240" w:lineRule="auto"/>
        <w:rPr>
          <w:rFonts w:cstheme="minorHAnsi"/>
          <w:sz w:val="20"/>
          <w:szCs w:val="20"/>
        </w:rPr>
      </w:pPr>
      <w:r w:rsidRPr="007334C5">
        <w:rPr>
          <w:rFonts w:cstheme="minorHAnsi"/>
          <w:sz w:val="20"/>
          <w:szCs w:val="20"/>
        </w:rPr>
        <w:t xml:space="preserve">The </w:t>
      </w:r>
      <w:r w:rsidR="000700AC" w:rsidRPr="007334C5">
        <w:rPr>
          <w:rFonts w:cstheme="minorHAnsi"/>
          <w:sz w:val="20"/>
          <w:szCs w:val="20"/>
        </w:rPr>
        <w:t>Basin Pipe Project</w:t>
      </w:r>
      <w:r w:rsidRPr="007334C5">
        <w:rPr>
          <w:rFonts w:cstheme="minorHAnsi"/>
          <w:sz w:val="20"/>
          <w:szCs w:val="20"/>
        </w:rPr>
        <w:t xml:space="preserve">’s key governance arrangements, roles, objectives, and implementation strategies are defined in the </w:t>
      </w:r>
      <w:r w:rsidR="007B6A5B" w:rsidRPr="007334C5">
        <w:rPr>
          <w:rFonts w:cstheme="minorHAnsi"/>
          <w:i/>
          <w:sz w:val="20"/>
          <w:szCs w:val="20"/>
        </w:rPr>
        <w:t>Basin Pipe</w:t>
      </w:r>
      <w:r w:rsidRPr="007334C5">
        <w:rPr>
          <w:rFonts w:cstheme="minorHAnsi"/>
          <w:i/>
          <w:sz w:val="20"/>
          <w:szCs w:val="20"/>
        </w:rPr>
        <w:t xml:space="preserve"> Implementation Plan</w:t>
      </w:r>
      <w:r w:rsidRPr="007334C5">
        <w:rPr>
          <w:rFonts w:cstheme="minorHAnsi"/>
          <w:sz w:val="20"/>
          <w:szCs w:val="20"/>
        </w:rPr>
        <w:t xml:space="preserve">. This document was developed in accordance with the WMPA and </w:t>
      </w:r>
      <w:r w:rsidR="002868DF" w:rsidRPr="007334C5">
        <w:rPr>
          <w:rFonts w:cstheme="minorHAnsi"/>
          <w:sz w:val="20"/>
          <w:szCs w:val="20"/>
        </w:rPr>
        <w:t>IGA</w:t>
      </w:r>
      <w:r w:rsidRPr="007334C5">
        <w:rPr>
          <w:rFonts w:cstheme="minorHAnsi"/>
          <w:sz w:val="20"/>
          <w:szCs w:val="20"/>
        </w:rPr>
        <w:t xml:space="preserve"> on Murray</w:t>
      </w:r>
      <w:r w:rsidR="00E70010" w:rsidRPr="007334C5">
        <w:rPr>
          <w:rFonts w:cstheme="minorHAnsi"/>
          <w:sz w:val="20"/>
          <w:szCs w:val="20"/>
        </w:rPr>
        <w:t>-</w:t>
      </w:r>
      <w:r w:rsidRPr="007334C5">
        <w:rPr>
          <w:rFonts w:cstheme="minorHAnsi"/>
          <w:sz w:val="20"/>
          <w:szCs w:val="20"/>
        </w:rPr>
        <w:t xml:space="preserve">Darling Basin Reform. It provides a basis for the implementation approach adopted by </w:t>
      </w:r>
      <w:r w:rsidR="002A62AE" w:rsidRPr="007334C5">
        <w:rPr>
          <w:rFonts w:cstheme="minorHAnsi"/>
          <w:sz w:val="20"/>
          <w:szCs w:val="20"/>
        </w:rPr>
        <w:t>DoI Water</w:t>
      </w:r>
      <w:r w:rsidRPr="007334C5">
        <w:rPr>
          <w:rFonts w:cstheme="minorHAnsi"/>
          <w:sz w:val="20"/>
          <w:szCs w:val="20"/>
        </w:rPr>
        <w:t xml:space="preserve">. </w:t>
      </w:r>
      <w:r w:rsidR="007C4263" w:rsidRPr="007334C5">
        <w:rPr>
          <w:rFonts w:cstheme="minorHAnsi"/>
          <w:sz w:val="20"/>
          <w:szCs w:val="20"/>
        </w:rPr>
        <w:t xml:space="preserve">Since its creation, </w:t>
      </w:r>
      <w:r w:rsidR="007B6A5B" w:rsidRPr="007334C5">
        <w:rPr>
          <w:rFonts w:cstheme="minorHAnsi"/>
          <w:sz w:val="20"/>
          <w:szCs w:val="20"/>
        </w:rPr>
        <w:t>elements of the initial plan have been amended and refined to accommodate the</w:t>
      </w:r>
      <w:r w:rsidRPr="007334C5">
        <w:rPr>
          <w:rFonts w:cstheme="minorHAnsi"/>
          <w:sz w:val="20"/>
          <w:szCs w:val="20"/>
        </w:rPr>
        <w:t xml:space="preserve"> needs of the project. </w:t>
      </w:r>
    </w:p>
    <w:p w:rsidR="00CD7B51" w:rsidRPr="007334C5" w:rsidRDefault="00CD7B51" w:rsidP="009B3394">
      <w:pPr>
        <w:spacing w:before="120" w:after="120" w:line="240" w:lineRule="auto"/>
        <w:rPr>
          <w:rFonts w:cstheme="minorHAnsi"/>
          <w:sz w:val="20"/>
          <w:szCs w:val="20"/>
        </w:rPr>
      </w:pPr>
      <w:r w:rsidRPr="007334C5">
        <w:rPr>
          <w:rFonts w:cstheme="minorHAnsi"/>
          <w:sz w:val="20"/>
          <w:szCs w:val="20"/>
        </w:rPr>
        <w:t>P</w:t>
      </w:r>
      <w:r w:rsidR="007B6A5B" w:rsidRPr="007334C5">
        <w:rPr>
          <w:rFonts w:cstheme="minorHAnsi"/>
          <w:sz w:val="20"/>
          <w:szCs w:val="20"/>
        </w:rPr>
        <w:t>rimary responsibility for managing the</w:t>
      </w:r>
      <w:r w:rsidRPr="007334C5">
        <w:rPr>
          <w:rFonts w:cstheme="minorHAnsi"/>
          <w:sz w:val="20"/>
          <w:szCs w:val="20"/>
        </w:rPr>
        <w:t xml:space="preserve"> </w:t>
      </w:r>
      <w:r w:rsidR="00FB5BBB" w:rsidRPr="007334C5">
        <w:rPr>
          <w:rFonts w:cstheme="minorHAnsi"/>
          <w:sz w:val="20"/>
          <w:szCs w:val="20"/>
        </w:rPr>
        <w:t>delivery of the project resides</w:t>
      </w:r>
      <w:r w:rsidR="007B6A5B" w:rsidRPr="007334C5">
        <w:rPr>
          <w:rFonts w:cstheme="minorHAnsi"/>
          <w:sz w:val="20"/>
          <w:szCs w:val="20"/>
        </w:rPr>
        <w:t xml:space="preserve"> with the Manager</w:t>
      </w:r>
      <w:r w:rsidR="00FB5BBB" w:rsidRPr="007334C5">
        <w:rPr>
          <w:rFonts w:cstheme="minorHAnsi"/>
          <w:sz w:val="20"/>
          <w:szCs w:val="20"/>
        </w:rPr>
        <w:t>,</w:t>
      </w:r>
      <w:r w:rsidR="007B6A5B" w:rsidRPr="007334C5">
        <w:rPr>
          <w:rFonts w:cstheme="minorHAnsi"/>
          <w:sz w:val="20"/>
          <w:szCs w:val="20"/>
        </w:rPr>
        <w:t xml:space="preserve"> Water </w:t>
      </w:r>
      <w:r w:rsidR="00FF4F9B" w:rsidRPr="007334C5">
        <w:rPr>
          <w:rFonts w:cstheme="minorHAnsi"/>
          <w:sz w:val="20"/>
          <w:szCs w:val="20"/>
        </w:rPr>
        <w:t>Efficiency</w:t>
      </w:r>
      <w:r w:rsidR="007B6A5B" w:rsidRPr="007334C5">
        <w:rPr>
          <w:rFonts w:cstheme="minorHAnsi"/>
          <w:sz w:val="20"/>
          <w:szCs w:val="20"/>
        </w:rPr>
        <w:t xml:space="preserve"> and Infrastructure</w:t>
      </w:r>
      <w:r w:rsidR="00FB5BBB" w:rsidRPr="007334C5">
        <w:rPr>
          <w:rFonts w:cstheme="minorHAnsi"/>
          <w:sz w:val="20"/>
          <w:szCs w:val="20"/>
        </w:rPr>
        <w:t xml:space="preserve"> (</w:t>
      </w:r>
      <w:r w:rsidR="000700AC" w:rsidRPr="007334C5">
        <w:rPr>
          <w:rFonts w:cstheme="minorHAnsi"/>
          <w:sz w:val="20"/>
          <w:szCs w:val="20"/>
        </w:rPr>
        <w:t>Project Manager</w:t>
      </w:r>
      <w:r w:rsidRPr="007334C5">
        <w:rPr>
          <w:rFonts w:cstheme="minorHAnsi"/>
          <w:sz w:val="20"/>
          <w:szCs w:val="20"/>
        </w:rPr>
        <w:t>) reporting to DoI</w:t>
      </w:r>
      <w:r w:rsidR="00FB5BBB" w:rsidRPr="007334C5">
        <w:rPr>
          <w:rFonts w:cstheme="minorHAnsi"/>
          <w:sz w:val="20"/>
          <w:szCs w:val="20"/>
        </w:rPr>
        <w:t xml:space="preserve"> Director, </w:t>
      </w:r>
      <w:r w:rsidRPr="007334C5">
        <w:rPr>
          <w:rFonts w:cstheme="minorHAnsi"/>
          <w:sz w:val="20"/>
          <w:szCs w:val="20"/>
        </w:rPr>
        <w:t xml:space="preserve">Water Programs and Performance as project sponsor. The </w:t>
      </w:r>
      <w:r w:rsidR="000700AC" w:rsidRPr="007334C5">
        <w:rPr>
          <w:rFonts w:cstheme="minorHAnsi"/>
          <w:sz w:val="20"/>
          <w:szCs w:val="20"/>
        </w:rPr>
        <w:t>Project Manager</w:t>
      </w:r>
      <w:r w:rsidR="00AD3A6D" w:rsidRPr="007334C5">
        <w:rPr>
          <w:rFonts w:cstheme="minorHAnsi"/>
          <w:sz w:val="20"/>
          <w:szCs w:val="20"/>
        </w:rPr>
        <w:t xml:space="preserve"> is supported by a </w:t>
      </w:r>
      <w:r w:rsidR="000700AC" w:rsidRPr="007334C5">
        <w:rPr>
          <w:rFonts w:cstheme="minorHAnsi"/>
          <w:sz w:val="20"/>
          <w:szCs w:val="20"/>
        </w:rPr>
        <w:t>Basin Pipe Project</w:t>
      </w:r>
      <w:r w:rsidRPr="007334C5">
        <w:rPr>
          <w:rFonts w:cstheme="minorHAnsi"/>
          <w:sz w:val="20"/>
          <w:szCs w:val="20"/>
        </w:rPr>
        <w:t xml:space="preserve"> team, with various implementation</w:t>
      </w:r>
      <w:r w:rsidR="00FB5BBB" w:rsidRPr="007334C5">
        <w:rPr>
          <w:rFonts w:cstheme="minorHAnsi"/>
          <w:sz w:val="20"/>
          <w:szCs w:val="20"/>
        </w:rPr>
        <w:t>,</w:t>
      </w:r>
      <w:r w:rsidRPr="007334C5">
        <w:rPr>
          <w:rFonts w:cstheme="minorHAnsi"/>
          <w:sz w:val="20"/>
          <w:szCs w:val="20"/>
        </w:rPr>
        <w:t xml:space="preserve"> </w:t>
      </w:r>
      <w:r w:rsidR="00063038" w:rsidRPr="007334C5">
        <w:rPr>
          <w:rFonts w:cstheme="minorHAnsi"/>
          <w:sz w:val="20"/>
          <w:szCs w:val="20"/>
        </w:rPr>
        <w:t xml:space="preserve">technical and administrative </w:t>
      </w:r>
      <w:r w:rsidR="007C4263" w:rsidRPr="007334C5">
        <w:rPr>
          <w:rFonts w:cstheme="minorHAnsi"/>
          <w:sz w:val="20"/>
          <w:szCs w:val="20"/>
        </w:rPr>
        <w:t>responsibilities</w:t>
      </w:r>
      <w:r w:rsidRPr="007334C5">
        <w:rPr>
          <w:rFonts w:cstheme="minorHAnsi"/>
          <w:sz w:val="20"/>
          <w:szCs w:val="20"/>
        </w:rPr>
        <w:t>. The team structure and make-up has been clearly defined and documented</w:t>
      </w:r>
      <w:r w:rsidR="00FF4F9B" w:rsidRPr="007334C5">
        <w:rPr>
          <w:rFonts w:cstheme="minorHAnsi"/>
          <w:sz w:val="20"/>
          <w:szCs w:val="20"/>
        </w:rPr>
        <w:t xml:space="preserve">. </w:t>
      </w:r>
      <w:r w:rsidRPr="007334C5">
        <w:rPr>
          <w:rFonts w:cstheme="minorHAnsi"/>
          <w:sz w:val="20"/>
          <w:szCs w:val="20"/>
        </w:rPr>
        <w:t xml:space="preserve">Key financial and contractual decisions are made in accordance with delegations, operating within the DoI Lands &amp; Water Group. KPMG found that all staff </w:t>
      </w:r>
      <w:r w:rsidR="00063038" w:rsidRPr="007334C5">
        <w:rPr>
          <w:rFonts w:cstheme="minorHAnsi"/>
          <w:sz w:val="20"/>
          <w:szCs w:val="20"/>
        </w:rPr>
        <w:t>consulted</w:t>
      </w:r>
      <w:r w:rsidRPr="007334C5">
        <w:rPr>
          <w:rFonts w:cstheme="minorHAnsi"/>
          <w:sz w:val="20"/>
          <w:szCs w:val="20"/>
        </w:rPr>
        <w:t xml:space="preserve"> had a good understanding of their roles and responsibilities and the operation of the project.</w:t>
      </w:r>
    </w:p>
    <w:p w:rsidR="009B3394" w:rsidRPr="007334C5" w:rsidRDefault="009B3394" w:rsidP="009B3394">
      <w:pPr>
        <w:spacing w:before="120" w:after="120" w:line="240" w:lineRule="auto"/>
        <w:rPr>
          <w:rFonts w:cstheme="minorHAnsi"/>
          <w:sz w:val="20"/>
          <w:szCs w:val="20"/>
        </w:rPr>
      </w:pPr>
      <w:r w:rsidRPr="007334C5">
        <w:rPr>
          <w:rFonts w:cstheme="minorHAnsi"/>
          <w:sz w:val="20"/>
          <w:szCs w:val="20"/>
        </w:rPr>
        <w:t xml:space="preserve">The project </w:t>
      </w:r>
      <w:r w:rsidR="007C4263" w:rsidRPr="007334C5">
        <w:rPr>
          <w:rFonts w:cstheme="minorHAnsi"/>
          <w:sz w:val="20"/>
          <w:szCs w:val="20"/>
        </w:rPr>
        <w:t xml:space="preserve">has two key </w:t>
      </w:r>
      <w:r w:rsidRPr="007334C5">
        <w:rPr>
          <w:rFonts w:cstheme="minorHAnsi"/>
          <w:sz w:val="20"/>
          <w:szCs w:val="20"/>
        </w:rPr>
        <w:t>governance and oversight bodies</w:t>
      </w:r>
      <w:r w:rsidR="007C4263" w:rsidRPr="007334C5">
        <w:rPr>
          <w:rFonts w:cstheme="minorHAnsi"/>
          <w:sz w:val="20"/>
          <w:szCs w:val="20"/>
        </w:rPr>
        <w:t xml:space="preserve">, </w:t>
      </w:r>
      <w:r w:rsidR="007768A4" w:rsidRPr="007334C5">
        <w:rPr>
          <w:rFonts w:cstheme="minorHAnsi"/>
          <w:sz w:val="20"/>
          <w:szCs w:val="20"/>
        </w:rPr>
        <w:t>summarised as follows</w:t>
      </w:r>
      <w:r w:rsidRPr="007334C5">
        <w:rPr>
          <w:rFonts w:cstheme="minorHAnsi"/>
          <w:sz w:val="20"/>
          <w:szCs w:val="20"/>
        </w:rPr>
        <w:t>:</w:t>
      </w:r>
    </w:p>
    <w:p w:rsidR="009B3394" w:rsidRPr="007334C5" w:rsidRDefault="009B3394" w:rsidP="000F0AAC">
      <w:pPr>
        <w:pStyle w:val="ListParagraph"/>
        <w:numPr>
          <w:ilvl w:val="0"/>
          <w:numId w:val="11"/>
        </w:numPr>
        <w:spacing w:before="120" w:after="120" w:line="240" w:lineRule="auto"/>
        <w:rPr>
          <w:rFonts w:cstheme="minorHAnsi"/>
          <w:sz w:val="20"/>
          <w:szCs w:val="20"/>
        </w:rPr>
      </w:pPr>
      <w:r w:rsidRPr="007334C5">
        <w:rPr>
          <w:rFonts w:cstheme="minorHAnsi"/>
          <w:i/>
          <w:sz w:val="20"/>
          <w:szCs w:val="20"/>
        </w:rPr>
        <w:t>Project Governance Group – NSW State Priority Projects (PGG):</w:t>
      </w:r>
      <w:r w:rsidRPr="007334C5">
        <w:rPr>
          <w:rFonts w:cstheme="minorHAnsi"/>
          <w:sz w:val="20"/>
          <w:szCs w:val="20"/>
        </w:rPr>
        <w:t xml:space="preserve"> This is the primary inter-agency forum for the management and monitoring of NSW State Priority Projects. It is intended to provide high level program and project direction and monitor implementation for the suite of NSW state priority projects funded through the Commonwealth, including the </w:t>
      </w:r>
      <w:r w:rsidR="00CD7B51" w:rsidRPr="007334C5">
        <w:rPr>
          <w:rFonts w:cstheme="minorHAnsi"/>
          <w:sz w:val="20"/>
          <w:szCs w:val="20"/>
        </w:rPr>
        <w:t>Basin Pipe</w:t>
      </w:r>
      <w:r w:rsidRPr="007334C5">
        <w:rPr>
          <w:rFonts w:cstheme="minorHAnsi"/>
          <w:sz w:val="20"/>
          <w:szCs w:val="20"/>
        </w:rPr>
        <w:t xml:space="preserve"> </w:t>
      </w:r>
      <w:r w:rsidR="007768A4" w:rsidRPr="007334C5">
        <w:rPr>
          <w:rFonts w:cstheme="minorHAnsi"/>
          <w:sz w:val="20"/>
          <w:szCs w:val="20"/>
        </w:rPr>
        <w:t>P</w:t>
      </w:r>
      <w:r w:rsidRPr="007334C5">
        <w:rPr>
          <w:rFonts w:cstheme="minorHAnsi"/>
          <w:sz w:val="20"/>
          <w:szCs w:val="20"/>
        </w:rPr>
        <w:t>roject. This quarterly mee</w:t>
      </w:r>
      <w:r w:rsidR="00E038DD" w:rsidRPr="007334C5">
        <w:rPr>
          <w:rFonts w:cstheme="minorHAnsi"/>
          <w:sz w:val="20"/>
          <w:szCs w:val="20"/>
        </w:rPr>
        <w:t>ting is chaired by the DoI Director</w:t>
      </w:r>
      <w:r w:rsidR="00412E6A" w:rsidRPr="007334C5">
        <w:rPr>
          <w:rFonts w:cstheme="minorHAnsi"/>
          <w:sz w:val="20"/>
          <w:szCs w:val="20"/>
        </w:rPr>
        <w:t xml:space="preserve">, </w:t>
      </w:r>
      <w:r w:rsidR="00FB5BBB" w:rsidRPr="007334C5">
        <w:rPr>
          <w:rFonts w:cstheme="minorHAnsi"/>
          <w:sz w:val="20"/>
          <w:szCs w:val="20"/>
        </w:rPr>
        <w:t xml:space="preserve">Water </w:t>
      </w:r>
      <w:r w:rsidR="00E038DD" w:rsidRPr="007334C5">
        <w:rPr>
          <w:rFonts w:cstheme="minorHAnsi"/>
          <w:sz w:val="20"/>
          <w:szCs w:val="20"/>
        </w:rPr>
        <w:t>Programs and Performance</w:t>
      </w:r>
      <w:r w:rsidR="00AD3A6D" w:rsidRPr="007334C5">
        <w:rPr>
          <w:rFonts w:cstheme="minorHAnsi"/>
          <w:sz w:val="20"/>
          <w:szCs w:val="20"/>
        </w:rPr>
        <w:t xml:space="preserve"> (</w:t>
      </w:r>
      <w:r w:rsidR="000700AC" w:rsidRPr="007334C5">
        <w:rPr>
          <w:rFonts w:cstheme="minorHAnsi"/>
          <w:sz w:val="20"/>
          <w:szCs w:val="20"/>
        </w:rPr>
        <w:t>Basin Pipe Project</w:t>
      </w:r>
      <w:r w:rsidR="00216320" w:rsidRPr="007334C5">
        <w:rPr>
          <w:rFonts w:cstheme="minorHAnsi"/>
          <w:sz w:val="20"/>
          <w:szCs w:val="20"/>
        </w:rPr>
        <w:t xml:space="preserve"> sponsor)</w:t>
      </w:r>
      <w:r w:rsidRPr="007334C5">
        <w:rPr>
          <w:rFonts w:cstheme="minorHAnsi"/>
          <w:sz w:val="20"/>
          <w:szCs w:val="20"/>
        </w:rPr>
        <w:t xml:space="preserve"> and consists of representatives from</w:t>
      </w:r>
      <w:r w:rsidR="00E70010" w:rsidRPr="007334C5">
        <w:rPr>
          <w:rFonts w:cstheme="minorHAnsi"/>
          <w:sz w:val="20"/>
          <w:szCs w:val="20"/>
        </w:rPr>
        <w:t xml:space="preserve"> </w:t>
      </w:r>
      <w:r w:rsidR="00953FCA" w:rsidRPr="007334C5">
        <w:rPr>
          <w:rFonts w:cstheme="minorHAnsi"/>
          <w:sz w:val="20"/>
          <w:szCs w:val="20"/>
        </w:rPr>
        <w:t xml:space="preserve">the Commonwealth Government (represented by </w:t>
      </w:r>
      <w:r w:rsidRPr="007334C5">
        <w:rPr>
          <w:rFonts w:cstheme="minorHAnsi"/>
          <w:sz w:val="20"/>
          <w:szCs w:val="20"/>
        </w:rPr>
        <w:t>DAWR</w:t>
      </w:r>
      <w:r w:rsidR="00953FCA" w:rsidRPr="007334C5">
        <w:rPr>
          <w:rFonts w:cstheme="minorHAnsi"/>
          <w:sz w:val="20"/>
          <w:szCs w:val="20"/>
        </w:rPr>
        <w:t>)</w:t>
      </w:r>
      <w:r w:rsidRPr="007334C5">
        <w:rPr>
          <w:rFonts w:cstheme="minorHAnsi"/>
          <w:sz w:val="20"/>
          <w:szCs w:val="20"/>
        </w:rPr>
        <w:t xml:space="preserve">, </w:t>
      </w:r>
      <w:r w:rsidR="00216320" w:rsidRPr="007334C5">
        <w:rPr>
          <w:rFonts w:cstheme="minorHAnsi"/>
          <w:sz w:val="20"/>
          <w:szCs w:val="20"/>
        </w:rPr>
        <w:t>NSW Department of Primary Industries</w:t>
      </w:r>
      <w:r w:rsidR="00FB5BBB" w:rsidRPr="007334C5">
        <w:rPr>
          <w:rFonts w:cstheme="minorHAnsi"/>
          <w:sz w:val="20"/>
          <w:szCs w:val="20"/>
        </w:rPr>
        <w:t xml:space="preserve"> (DPI)</w:t>
      </w:r>
      <w:r w:rsidR="00216320" w:rsidRPr="007334C5">
        <w:rPr>
          <w:rFonts w:cstheme="minorHAnsi"/>
          <w:sz w:val="20"/>
          <w:szCs w:val="20"/>
        </w:rPr>
        <w:t xml:space="preserve">, </w:t>
      </w:r>
      <w:r w:rsidRPr="007334C5">
        <w:rPr>
          <w:rFonts w:cstheme="minorHAnsi"/>
          <w:sz w:val="20"/>
          <w:szCs w:val="20"/>
        </w:rPr>
        <w:t xml:space="preserve">and </w:t>
      </w:r>
      <w:r w:rsidR="002A62AE" w:rsidRPr="007334C5">
        <w:rPr>
          <w:rFonts w:cstheme="minorHAnsi"/>
          <w:sz w:val="20"/>
          <w:szCs w:val="20"/>
        </w:rPr>
        <w:t>DoI Water</w:t>
      </w:r>
      <w:r w:rsidRPr="007334C5">
        <w:rPr>
          <w:rFonts w:cstheme="minorHAnsi"/>
          <w:sz w:val="20"/>
          <w:szCs w:val="20"/>
        </w:rPr>
        <w:t xml:space="preserve">. The PGG have an established terms of reference </w:t>
      </w:r>
      <w:r w:rsidR="00216320" w:rsidRPr="007334C5">
        <w:rPr>
          <w:rFonts w:cstheme="minorHAnsi"/>
          <w:sz w:val="20"/>
          <w:szCs w:val="20"/>
        </w:rPr>
        <w:t>and</w:t>
      </w:r>
      <w:r w:rsidRPr="007334C5">
        <w:rPr>
          <w:rFonts w:cstheme="minorHAnsi"/>
          <w:sz w:val="20"/>
          <w:szCs w:val="20"/>
        </w:rPr>
        <w:t xml:space="preserve"> all meetings</w:t>
      </w:r>
      <w:r w:rsidR="00216320" w:rsidRPr="007334C5">
        <w:rPr>
          <w:rFonts w:cstheme="minorHAnsi"/>
          <w:sz w:val="20"/>
          <w:szCs w:val="20"/>
        </w:rPr>
        <w:t xml:space="preserve"> are</w:t>
      </w:r>
      <w:r w:rsidRPr="007334C5">
        <w:rPr>
          <w:rFonts w:cstheme="minorHAnsi"/>
          <w:sz w:val="20"/>
          <w:szCs w:val="20"/>
        </w:rPr>
        <w:t xml:space="preserve"> minuted. </w:t>
      </w:r>
    </w:p>
    <w:p w:rsidR="009B3394" w:rsidRPr="007334C5" w:rsidRDefault="009B3394" w:rsidP="000F0AAC">
      <w:pPr>
        <w:pStyle w:val="ListParagraph"/>
        <w:numPr>
          <w:ilvl w:val="0"/>
          <w:numId w:val="11"/>
        </w:numPr>
        <w:autoSpaceDE w:val="0"/>
        <w:autoSpaceDN w:val="0"/>
        <w:adjustRightInd w:val="0"/>
        <w:spacing w:after="0" w:line="240" w:lineRule="auto"/>
        <w:rPr>
          <w:rFonts w:cstheme="minorHAnsi"/>
          <w:sz w:val="20"/>
          <w:szCs w:val="20"/>
        </w:rPr>
      </w:pPr>
      <w:r w:rsidRPr="007334C5">
        <w:rPr>
          <w:rFonts w:cstheme="minorHAnsi"/>
          <w:sz w:val="20"/>
          <w:szCs w:val="20"/>
        </w:rPr>
        <w:t xml:space="preserve">State Priority Projects (SPP) Management Committee: The SPP Management Committee has been established </w:t>
      </w:r>
      <w:r w:rsidR="00953FCA" w:rsidRPr="007334C5">
        <w:rPr>
          <w:rFonts w:cstheme="minorHAnsi"/>
          <w:sz w:val="20"/>
          <w:szCs w:val="20"/>
        </w:rPr>
        <w:t xml:space="preserve">by the NSW Government </w:t>
      </w:r>
      <w:r w:rsidRPr="007334C5">
        <w:rPr>
          <w:rFonts w:cstheme="minorHAnsi"/>
          <w:sz w:val="20"/>
          <w:szCs w:val="20"/>
        </w:rPr>
        <w:t>to manage and monitor the progress of all state priority projects coordinated by the NSW Government. The meeting is attended by all project leaders / managers of respective state priority projects and chaired by the SPP Coordinator</w:t>
      </w:r>
      <w:r w:rsidR="00216320" w:rsidRPr="007334C5">
        <w:rPr>
          <w:rFonts w:cstheme="minorHAnsi"/>
          <w:sz w:val="20"/>
          <w:szCs w:val="20"/>
        </w:rPr>
        <w:t xml:space="preserve"> (</w:t>
      </w:r>
      <w:r w:rsidR="00412E6A" w:rsidRPr="007334C5">
        <w:rPr>
          <w:rFonts w:cstheme="minorHAnsi"/>
          <w:sz w:val="20"/>
          <w:szCs w:val="20"/>
        </w:rPr>
        <w:t xml:space="preserve">DoI Director, </w:t>
      </w:r>
      <w:r w:rsidR="00216320" w:rsidRPr="007334C5">
        <w:rPr>
          <w:rFonts w:cstheme="minorHAnsi"/>
          <w:sz w:val="20"/>
          <w:szCs w:val="20"/>
        </w:rPr>
        <w:t xml:space="preserve">Water Programs and Performance) who is also the project sponsor for the </w:t>
      </w:r>
      <w:r w:rsidR="000700AC" w:rsidRPr="007334C5">
        <w:rPr>
          <w:rFonts w:cstheme="minorHAnsi"/>
          <w:sz w:val="20"/>
          <w:szCs w:val="20"/>
        </w:rPr>
        <w:t>Basin Pipe Project</w:t>
      </w:r>
      <w:r w:rsidRPr="007334C5">
        <w:rPr>
          <w:rFonts w:cstheme="minorHAnsi"/>
          <w:sz w:val="20"/>
          <w:szCs w:val="20"/>
        </w:rPr>
        <w:t xml:space="preserve">. </w:t>
      </w:r>
      <w:r w:rsidR="00953FCA" w:rsidRPr="007334C5">
        <w:rPr>
          <w:rFonts w:cstheme="minorHAnsi"/>
          <w:sz w:val="20"/>
          <w:szCs w:val="20"/>
        </w:rPr>
        <w:t>This is</w:t>
      </w:r>
      <w:r w:rsidR="001121AC" w:rsidRPr="007334C5">
        <w:rPr>
          <w:rFonts w:cstheme="minorHAnsi"/>
          <w:sz w:val="20"/>
          <w:szCs w:val="20"/>
        </w:rPr>
        <w:t xml:space="preserve"> a</w:t>
      </w:r>
      <w:r w:rsidR="00953FCA" w:rsidRPr="007334C5">
        <w:rPr>
          <w:rFonts w:cstheme="minorHAnsi"/>
          <w:sz w:val="20"/>
          <w:szCs w:val="20"/>
        </w:rPr>
        <w:t xml:space="preserve"> NSW Government forum and is not attended by the Commonwealth Government. </w:t>
      </w:r>
      <w:r w:rsidRPr="007334C5">
        <w:rPr>
          <w:rFonts w:cstheme="minorHAnsi"/>
          <w:sz w:val="20"/>
          <w:szCs w:val="20"/>
        </w:rPr>
        <w:t xml:space="preserve">The SPP Management Committee meets monthly where each project, including the </w:t>
      </w:r>
      <w:r w:rsidR="000700AC" w:rsidRPr="007334C5">
        <w:rPr>
          <w:rFonts w:cstheme="minorHAnsi"/>
          <w:sz w:val="20"/>
          <w:szCs w:val="20"/>
        </w:rPr>
        <w:t>Basin Pipe Project</w:t>
      </w:r>
      <w:r w:rsidRPr="007334C5">
        <w:rPr>
          <w:rFonts w:cstheme="minorHAnsi"/>
          <w:sz w:val="20"/>
          <w:szCs w:val="20"/>
        </w:rPr>
        <w:t xml:space="preserve">, provide formal status updates. All SPP meetings have formal minutes retained. </w:t>
      </w:r>
    </w:p>
    <w:p w:rsidR="009B3394" w:rsidRPr="007334C5" w:rsidRDefault="009B3394" w:rsidP="009B3394">
      <w:pPr>
        <w:spacing w:before="120" w:after="120" w:line="240" w:lineRule="auto"/>
        <w:rPr>
          <w:rFonts w:cstheme="minorHAnsi"/>
          <w:sz w:val="20"/>
          <w:szCs w:val="20"/>
        </w:rPr>
      </w:pPr>
      <w:r w:rsidRPr="007334C5">
        <w:rPr>
          <w:rFonts w:cstheme="minorHAnsi"/>
          <w:sz w:val="20"/>
          <w:szCs w:val="20"/>
        </w:rPr>
        <w:t xml:space="preserve">In addition to the above, </w:t>
      </w:r>
      <w:r w:rsidR="007768A4" w:rsidRPr="007334C5">
        <w:rPr>
          <w:rFonts w:cstheme="minorHAnsi"/>
          <w:sz w:val="20"/>
          <w:szCs w:val="20"/>
        </w:rPr>
        <w:t xml:space="preserve">the </w:t>
      </w:r>
      <w:r w:rsidR="000700AC" w:rsidRPr="007334C5">
        <w:rPr>
          <w:rFonts w:cstheme="minorHAnsi"/>
          <w:sz w:val="20"/>
          <w:szCs w:val="20"/>
        </w:rPr>
        <w:t>Basin Pipe Project</w:t>
      </w:r>
      <w:r w:rsidRPr="007334C5">
        <w:rPr>
          <w:rFonts w:cstheme="minorHAnsi"/>
          <w:sz w:val="20"/>
          <w:szCs w:val="20"/>
        </w:rPr>
        <w:t xml:space="preserve"> team hold</w:t>
      </w:r>
      <w:r w:rsidR="007768A4" w:rsidRPr="007334C5">
        <w:rPr>
          <w:rFonts w:cstheme="minorHAnsi"/>
          <w:sz w:val="20"/>
          <w:szCs w:val="20"/>
        </w:rPr>
        <w:t>s</w:t>
      </w:r>
      <w:r w:rsidRPr="007334C5">
        <w:rPr>
          <w:rFonts w:cstheme="minorHAnsi"/>
          <w:sz w:val="20"/>
          <w:szCs w:val="20"/>
        </w:rPr>
        <w:t xml:space="preserve"> fortnightly </w:t>
      </w:r>
      <w:r w:rsidR="000A3C23" w:rsidRPr="007334C5">
        <w:rPr>
          <w:rFonts w:cstheme="minorHAnsi"/>
          <w:sz w:val="20"/>
          <w:szCs w:val="20"/>
        </w:rPr>
        <w:t xml:space="preserve">internal </w:t>
      </w:r>
      <w:r w:rsidRPr="007334C5">
        <w:rPr>
          <w:rFonts w:cstheme="minorHAnsi"/>
          <w:sz w:val="20"/>
          <w:szCs w:val="20"/>
        </w:rPr>
        <w:t xml:space="preserve">team meetings </w:t>
      </w:r>
      <w:r w:rsidR="000A3C23" w:rsidRPr="007334C5">
        <w:rPr>
          <w:rFonts w:cstheme="minorHAnsi"/>
          <w:sz w:val="20"/>
          <w:szCs w:val="20"/>
        </w:rPr>
        <w:t>with Basin Pipe project staff</w:t>
      </w:r>
      <w:r w:rsidR="008E1DEF" w:rsidRPr="007334C5">
        <w:rPr>
          <w:rFonts w:cstheme="minorHAnsi"/>
          <w:sz w:val="20"/>
          <w:szCs w:val="20"/>
        </w:rPr>
        <w:t xml:space="preserve">, including project officers and administrative staff, </w:t>
      </w:r>
      <w:r w:rsidRPr="007334C5">
        <w:rPr>
          <w:rFonts w:cstheme="minorHAnsi"/>
          <w:sz w:val="20"/>
          <w:szCs w:val="20"/>
        </w:rPr>
        <w:t>to discuss progress of schemes and raise any risks or issues facing the project</w:t>
      </w:r>
      <w:r w:rsidR="00CD7B51" w:rsidRPr="007334C5">
        <w:rPr>
          <w:rFonts w:cstheme="minorHAnsi"/>
          <w:sz w:val="20"/>
          <w:szCs w:val="20"/>
        </w:rPr>
        <w:t>.</w:t>
      </w:r>
    </w:p>
    <w:p w:rsidR="009B3394" w:rsidRPr="007334C5" w:rsidRDefault="009B3394" w:rsidP="009B3394">
      <w:pPr>
        <w:pStyle w:val="Heading3"/>
        <w:spacing w:before="120"/>
        <w:rPr>
          <w:rFonts w:asciiTheme="minorHAnsi" w:hAnsiTheme="minorHAnsi" w:cstheme="minorHAnsi"/>
          <w:sz w:val="20"/>
          <w:szCs w:val="20"/>
        </w:rPr>
      </w:pPr>
      <w:r w:rsidRPr="007334C5">
        <w:rPr>
          <w:rFonts w:asciiTheme="minorHAnsi" w:hAnsiTheme="minorHAnsi" w:cstheme="minorHAnsi"/>
          <w:sz w:val="20"/>
          <w:szCs w:val="20"/>
        </w:rPr>
        <w:t>Reporting</w:t>
      </w:r>
    </w:p>
    <w:p w:rsidR="00DE4F89" w:rsidRPr="007334C5" w:rsidRDefault="009B3394" w:rsidP="009B3394">
      <w:pPr>
        <w:spacing w:before="120" w:after="120" w:line="240" w:lineRule="auto"/>
        <w:rPr>
          <w:rFonts w:cstheme="minorHAnsi"/>
          <w:sz w:val="20"/>
          <w:szCs w:val="20"/>
        </w:rPr>
      </w:pPr>
      <w:r w:rsidRPr="007334C5">
        <w:rPr>
          <w:rFonts w:cstheme="minorHAnsi"/>
          <w:sz w:val="20"/>
          <w:szCs w:val="20"/>
        </w:rPr>
        <w:t xml:space="preserve">In accordance with the WMPA project schedule, </w:t>
      </w:r>
      <w:r w:rsidR="002A62AE" w:rsidRPr="007334C5">
        <w:rPr>
          <w:rFonts w:cstheme="minorHAnsi"/>
          <w:sz w:val="20"/>
          <w:szCs w:val="20"/>
        </w:rPr>
        <w:t xml:space="preserve">DoI Water </w:t>
      </w:r>
      <w:r w:rsidRPr="007334C5">
        <w:rPr>
          <w:rFonts w:cstheme="minorHAnsi"/>
          <w:sz w:val="20"/>
          <w:szCs w:val="20"/>
        </w:rPr>
        <w:t xml:space="preserve">provides </w:t>
      </w:r>
      <w:r w:rsidR="007C4263" w:rsidRPr="007334C5">
        <w:rPr>
          <w:rFonts w:cstheme="minorHAnsi"/>
          <w:sz w:val="20"/>
          <w:szCs w:val="20"/>
        </w:rPr>
        <w:t xml:space="preserve">milestone </w:t>
      </w:r>
      <w:r w:rsidRPr="007334C5">
        <w:rPr>
          <w:rFonts w:cstheme="minorHAnsi"/>
          <w:sz w:val="20"/>
          <w:szCs w:val="20"/>
        </w:rPr>
        <w:t xml:space="preserve">progress reports to DAWR. These are provided in line with milestones outlined in the WMPA project schedule. </w:t>
      </w:r>
      <w:r w:rsidR="007C4263" w:rsidRPr="007334C5">
        <w:rPr>
          <w:rFonts w:cstheme="minorHAnsi"/>
          <w:sz w:val="20"/>
          <w:szCs w:val="20"/>
        </w:rPr>
        <w:t>In accordance with the WMPA</w:t>
      </w:r>
      <w:r w:rsidR="00E63760" w:rsidRPr="007334C5">
        <w:rPr>
          <w:rFonts w:cstheme="minorHAnsi"/>
          <w:sz w:val="20"/>
          <w:szCs w:val="20"/>
        </w:rPr>
        <w:t>,</w:t>
      </w:r>
      <w:r w:rsidR="007C4263" w:rsidRPr="007334C5">
        <w:rPr>
          <w:rFonts w:cstheme="minorHAnsi"/>
          <w:sz w:val="20"/>
          <w:szCs w:val="20"/>
        </w:rPr>
        <w:t xml:space="preserve"> these</w:t>
      </w:r>
      <w:r w:rsidRPr="007334C5">
        <w:rPr>
          <w:rFonts w:cstheme="minorHAnsi"/>
          <w:sz w:val="20"/>
          <w:szCs w:val="20"/>
        </w:rPr>
        <w:t xml:space="preserve"> reports provide a description of progress and performance in various aspects of project delivery including financial management, project management, stakeholder engagement and progress against milestones. </w:t>
      </w:r>
      <w:r w:rsidR="007C4263" w:rsidRPr="007334C5">
        <w:rPr>
          <w:rFonts w:cstheme="minorHAnsi"/>
          <w:sz w:val="20"/>
          <w:szCs w:val="20"/>
        </w:rPr>
        <w:t>These reports are provided in support of milestone payment claims.</w:t>
      </w:r>
    </w:p>
    <w:p w:rsidR="00832C0D" w:rsidRPr="007334C5" w:rsidRDefault="002A62AE" w:rsidP="009B3394">
      <w:pPr>
        <w:spacing w:before="120" w:after="120" w:line="240" w:lineRule="auto"/>
        <w:rPr>
          <w:rFonts w:cstheme="minorHAnsi"/>
          <w:sz w:val="20"/>
          <w:szCs w:val="20"/>
        </w:rPr>
      </w:pPr>
      <w:r w:rsidRPr="007334C5">
        <w:rPr>
          <w:rFonts w:cstheme="minorHAnsi"/>
          <w:sz w:val="20"/>
          <w:szCs w:val="20"/>
        </w:rPr>
        <w:t xml:space="preserve">DoI Water </w:t>
      </w:r>
      <w:r w:rsidR="009B3394" w:rsidRPr="007334C5">
        <w:rPr>
          <w:rFonts w:cstheme="minorHAnsi"/>
          <w:sz w:val="20"/>
          <w:szCs w:val="20"/>
        </w:rPr>
        <w:t>produce monthly highlight reports to be presented at monthly SPP Management Committee meetings. These provide a brief description of project progress</w:t>
      </w:r>
      <w:r w:rsidR="002868DF" w:rsidRPr="007334C5">
        <w:rPr>
          <w:rFonts w:cstheme="minorHAnsi"/>
          <w:sz w:val="20"/>
          <w:szCs w:val="20"/>
        </w:rPr>
        <w:t xml:space="preserve"> and</w:t>
      </w:r>
      <w:r w:rsidR="007C4263" w:rsidRPr="007334C5">
        <w:rPr>
          <w:rFonts w:cstheme="minorHAnsi"/>
          <w:sz w:val="20"/>
          <w:szCs w:val="20"/>
        </w:rPr>
        <w:t xml:space="preserve"> financial management</w:t>
      </w:r>
      <w:r w:rsidR="00B33512" w:rsidRPr="007334C5">
        <w:rPr>
          <w:rFonts w:cstheme="minorHAnsi"/>
          <w:sz w:val="20"/>
          <w:szCs w:val="20"/>
        </w:rPr>
        <w:t>,</w:t>
      </w:r>
      <w:r w:rsidR="00EF6B11" w:rsidRPr="007334C5">
        <w:rPr>
          <w:rFonts w:cstheme="minorHAnsi"/>
          <w:sz w:val="20"/>
          <w:szCs w:val="20"/>
        </w:rPr>
        <w:t xml:space="preserve"> as well as highlight</w:t>
      </w:r>
      <w:r w:rsidR="00071C2C" w:rsidRPr="007334C5">
        <w:rPr>
          <w:rFonts w:cstheme="minorHAnsi"/>
          <w:sz w:val="20"/>
          <w:szCs w:val="20"/>
        </w:rPr>
        <w:t>ing</w:t>
      </w:r>
      <w:r w:rsidR="00EF6B11" w:rsidRPr="007334C5">
        <w:rPr>
          <w:rFonts w:cstheme="minorHAnsi"/>
          <w:sz w:val="20"/>
          <w:szCs w:val="20"/>
        </w:rPr>
        <w:t xml:space="preserve"> any</w:t>
      </w:r>
      <w:r w:rsidR="009B3394" w:rsidRPr="007334C5">
        <w:rPr>
          <w:rFonts w:cstheme="minorHAnsi"/>
          <w:sz w:val="20"/>
          <w:szCs w:val="20"/>
        </w:rPr>
        <w:t xml:space="preserve"> key risks and issues to be considered. These reports are also presented at quarterly PGG meetings. In addition,</w:t>
      </w:r>
      <w:r w:rsidR="007C4263" w:rsidRPr="007334C5">
        <w:rPr>
          <w:rFonts w:cstheme="minorHAnsi"/>
          <w:sz w:val="20"/>
          <w:szCs w:val="20"/>
        </w:rPr>
        <w:t xml:space="preserve"> the Basin Pipe </w:t>
      </w:r>
      <w:r w:rsidR="000700AC" w:rsidRPr="007334C5">
        <w:rPr>
          <w:rFonts w:cstheme="minorHAnsi"/>
          <w:sz w:val="20"/>
          <w:szCs w:val="20"/>
        </w:rPr>
        <w:t>Project Manager</w:t>
      </w:r>
      <w:r w:rsidR="007C4263" w:rsidRPr="007334C5">
        <w:rPr>
          <w:rFonts w:cstheme="minorHAnsi"/>
          <w:sz w:val="20"/>
          <w:szCs w:val="20"/>
        </w:rPr>
        <w:t xml:space="preserve"> produces a </w:t>
      </w:r>
      <w:r w:rsidR="009B3394" w:rsidRPr="007334C5">
        <w:rPr>
          <w:rFonts w:cstheme="minorHAnsi"/>
          <w:sz w:val="20"/>
          <w:szCs w:val="20"/>
        </w:rPr>
        <w:t>monthly</w:t>
      </w:r>
      <w:r w:rsidR="007C4263" w:rsidRPr="007334C5">
        <w:rPr>
          <w:rFonts w:cstheme="minorHAnsi"/>
          <w:sz w:val="20"/>
          <w:szCs w:val="20"/>
        </w:rPr>
        <w:t xml:space="preserve"> summary progress report for </w:t>
      </w:r>
      <w:r w:rsidR="000A3C23" w:rsidRPr="007334C5">
        <w:rPr>
          <w:rFonts w:cstheme="minorHAnsi"/>
          <w:sz w:val="20"/>
          <w:szCs w:val="20"/>
        </w:rPr>
        <w:t xml:space="preserve">presentation to </w:t>
      </w:r>
      <w:r w:rsidR="001121AC" w:rsidRPr="007334C5">
        <w:rPr>
          <w:rFonts w:cstheme="minorHAnsi"/>
          <w:sz w:val="20"/>
          <w:szCs w:val="20"/>
        </w:rPr>
        <w:t>the</w:t>
      </w:r>
      <w:r w:rsidR="00EE5598" w:rsidRPr="007334C5">
        <w:rPr>
          <w:rFonts w:cstheme="minorHAnsi"/>
          <w:sz w:val="20"/>
          <w:szCs w:val="20"/>
        </w:rPr>
        <w:t xml:space="preserve"> </w:t>
      </w:r>
      <w:r w:rsidR="000A3C23" w:rsidRPr="007334C5">
        <w:rPr>
          <w:rFonts w:cstheme="minorHAnsi"/>
          <w:sz w:val="20"/>
          <w:szCs w:val="20"/>
        </w:rPr>
        <w:t>NSW Ex</w:t>
      </w:r>
      <w:r w:rsidR="007C4263" w:rsidRPr="007334C5">
        <w:rPr>
          <w:rFonts w:cstheme="minorHAnsi"/>
          <w:sz w:val="20"/>
          <w:szCs w:val="20"/>
        </w:rPr>
        <w:t xml:space="preserve">ecutive. This report includes a short description of the projects status and </w:t>
      </w:r>
      <w:r w:rsidR="00071C2C" w:rsidRPr="007334C5">
        <w:rPr>
          <w:rFonts w:cstheme="minorHAnsi"/>
          <w:sz w:val="20"/>
          <w:szCs w:val="20"/>
        </w:rPr>
        <w:t xml:space="preserve">outlines </w:t>
      </w:r>
      <w:r w:rsidR="007C4263" w:rsidRPr="007334C5">
        <w:rPr>
          <w:rFonts w:cstheme="minorHAnsi"/>
          <w:sz w:val="20"/>
          <w:szCs w:val="20"/>
        </w:rPr>
        <w:t xml:space="preserve">the top two risks or issues. </w:t>
      </w:r>
    </w:p>
    <w:p w:rsidR="00832C0D" w:rsidRPr="007334C5" w:rsidRDefault="00832C0D" w:rsidP="009B3394">
      <w:pPr>
        <w:spacing w:before="120" w:after="120" w:line="240" w:lineRule="auto"/>
        <w:rPr>
          <w:rFonts w:cstheme="minorHAnsi"/>
          <w:sz w:val="20"/>
          <w:szCs w:val="20"/>
        </w:rPr>
      </w:pPr>
      <w:r w:rsidRPr="007334C5">
        <w:rPr>
          <w:rFonts w:cstheme="minorHAnsi"/>
          <w:sz w:val="20"/>
          <w:szCs w:val="20"/>
        </w:rPr>
        <w:t>It was noted during fieldwork that the project had been experiencing risks</w:t>
      </w:r>
      <w:r w:rsidR="00EF6B11" w:rsidRPr="007334C5">
        <w:rPr>
          <w:rFonts w:cstheme="minorHAnsi"/>
          <w:sz w:val="20"/>
          <w:szCs w:val="20"/>
        </w:rPr>
        <w:t xml:space="preserve"> </w:t>
      </w:r>
      <w:r w:rsidRPr="007334C5">
        <w:rPr>
          <w:rFonts w:cstheme="minorHAnsi"/>
          <w:sz w:val="20"/>
          <w:szCs w:val="20"/>
        </w:rPr>
        <w:t>/</w:t>
      </w:r>
      <w:r w:rsidR="00EF6B11" w:rsidRPr="007334C5">
        <w:rPr>
          <w:rFonts w:cstheme="minorHAnsi"/>
          <w:sz w:val="20"/>
          <w:szCs w:val="20"/>
        </w:rPr>
        <w:t xml:space="preserve"> </w:t>
      </w:r>
      <w:r w:rsidRPr="007334C5">
        <w:rPr>
          <w:rFonts w:cstheme="minorHAnsi"/>
          <w:sz w:val="20"/>
          <w:szCs w:val="20"/>
        </w:rPr>
        <w:t>issues in relation to the timeframe for the delivery of the project</w:t>
      </w:r>
      <w:r w:rsidR="00660E9C" w:rsidRPr="007334C5">
        <w:rPr>
          <w:rFonts w:cstheme="minorHAnsi"/>
          <w:sz w:val="20"/>
          <w:szCs w:val="20"/>
        </w:rPr>
        <w:t>, costs</w:t>
      </w:r>
      <w:r w:rsidR="00DE4F89" w:rsidRPr="007334C5">
        <w:rPr>
          <w:rFonts w:cstheme="minorHAnsi"/>
          <w:sz w:val="20"/>
          <w:szCs w:val="20"/>
        </w:rPr>
        <w:t>, landholder participation</w:t>
      </w:r>
      <w:r w:rsidR="00B33512" w:rsidRPr="007334C5">
        <w:rPr>
          <w:rFonts w:cstheme="minorHAnsi"/>
          <w:sz w:val="20"/>
          <w:szCs w:val="20"/>
        </w:rPr>
        <w:t>,</w:t>
      </w:r>
      <w:r w:rsidRPr="007334C5">
        <w:rPr>
          <w:rFonts w:cstheme="minorHAnsi"/>
          <w:sz w:val="20"/>
          <w:szCs w:val="20"/>
        </w:rPr>
        <w:t xml:space="preserve"> and </w:t>
      </w:r>
      <w:r w:rsidR="00DE4F89" w:rsidRPr="007334C5">
        <w:rPr>
          <w:rFonts w:cstheme="minorHAnsi"/>
          <w:sz w:val="20"/>
          <w:szCs w:val="20"/>
        </w:rPr>
        <w:t>resourcing</w:t>
      </w:r>
      <w:r w:rsidRPr="007334C5">
        <w:rPr>
          <w:rFonts w:cstheme="minorHAnsi"/>
          <w:sz w:val="20"/>
          <w:szCs w:val="20"/>
        </w:rPr>
        <w:t>. These observations appeared to be accurately reported to relevant governance forums.</w:t>
      </w:r>
      <w:r w:rsidR="00660E9C" w:rsidRPr="007334C5">
        <w:rPr>
          <w:rFonts w:cstheme="minorHAnsi"/>
          <w:sz w:val="20"/>
          <w:szCs w:val="20"/>
        </w:rPr>
        <w:t xml:space="preserve"> Additionally, the project undertook a </w:t>
      </w:r>
      <w:r w:rsidR="00DE4F89" w:rsidRPr="007334C5">
        <w:rPr>
          <w:rFonts w:cstheme="minorHAnsi"/>
          <w:sz w:val="20"/>
          <w:szCs w:val="20"/>
        </w:rPr>
        <w:t xml:space="preserve">scoping </w:t>
      </w:r>
      <w:r w:rsidR="00A74D1F" w:rsidRPr="007334C5">
        <w:rPr>
          <w:rFonts w:cstheme="minorHAnsi"/>
          <w:sz w:val="20"/>
          <w:szCs w:val="20"/>
        </w:rPr>
        <w:t>review</w:t>
      </w:r>
      <w:r w:rsidR="00DE4F89" w:rsidRPr="007334C5">
        <w:rPr>
          <w:rFonts w:cstheme="minorHAnsi"/>
          <w:sz w:val="20"/>
          <w:szCs w:val="20"/>
        </w:rPr>
        <w:t xml:space="preserve"> exploring</w:t>
      </w:r>
      <w:r w:rsidR="00660E9C" w:rsidRPr="007334C5">
        <w:rPr>
          <w:rFonts w:cstheme="minorHAnsi"/>
          <w:sz w:val="20"/>
          <w:szCs w:val="20"/>
        </w:rPr>
        <w:t xml:space="preserve"> </w:t>
      </w:r>
      <w:r w:rsidR="00DE4F89" w:rsidRPr="007334C5">
        <w:rPr>
          <w:rFonts w:cstheme="minorHAnsi"/>
          <w:sz w:val="20"/>
          <w:szCs w:val="20"/>
        </w:rPr>
        <w:t>these</w:t>
      </w:r>
      <w:r w:rsidR="00660E9C" w:rsidRPr="007334C5">
        <w:rPr>
          <w:rFonts w:cstheme="minorHAnsi"/>
          <w:sz w:val="20"/>
          <w:szCs w:val="20"/>
        </w:rPr>
        <w:t xml:space="preserve"> </w:t>
      </w:r>
      <w:r w:rsidR="00DE4F89" w:rsidRPr="007334C5">
        <w:rPr>
          <w:rFonts w:cstheme="minorHAnsi"/>
          <w:sz w:val="20"/>
          <w:szCs w:val="20"/>
        </w:rPr>
        <w:t>risks (amongst others)</w:t>
      </w:r>
      <w:r w:rsidR="00660E9C" w:rsidRPr="007334C5">
        <w:rPr>
          <w:rFonts w:cstheme="minorHAnsi"/>
          <w:sz w:val="20"/>
          <w:szCs w:val="20"/>
        </w:rPr>
        <w:t xml:space="preserve"> </w:t>
      </w:r>
      <w:r w:rsidR="007768A4" w:rsidRPr="007334C5">
        <w:rPr>
          <w:rFonts w:cstheme="minorHAnsi"/>
          <w:sz w:val="20"/>
          <w:szCs w:val="20"/>
        </w:rPr>
        <w:t xml:space="preserve">which </w:t>
      </w:r>
      <w:r w:rsidR="00DE4F89" w:rsidRPr="007334C5">
        <w:rPr>
          <w:rFonts w:cstheme="minorHAnsi"/>
          <w:sz w:val="20"/>
          <w:szCs w:val="20"/>
        </w:rPr>
        <w:t xml:space="preserve">has since been utilised to support </w:t>
      </w:r>
      <w:r w:rsidR="00AD6003" w:rsidRPr="007334C5">
        <w:rPr>
          <w:rFonts w:cstheme="minorHAnsi"/>
          <w:sz w:val="20"/>
          <w:szCs w:val="20"/>
        </w:rPr>
        <w:t xml:space="preserve">the most recent </w:t>
      </w:r>
      <w:r w:rsidR="00DE4F89" w:rsidRPr="007334C5">
        <w:rPr>
          <w:rFonts w:cstheme="minorHAnsi"/>
          <w:sz w:val="20"/>
          <w:szCs w:val="20"/>
        </w:rPr>
        <w:t>variation</w:t>
      </w:r>
      <w:r w:rsidR="00EF6B11" w:rsidRPr="007334C5">
        <w:rPr>
          <w:rFonts w:cstheme="minorHAnsi"/>
          <w:sz w:val="20"/>
          <w:szCs w:val="20"/>
        </w:rPr>
        <w:t xml:space="preserve"> to the </w:t>
      </w:r>
      <w:r w:rsidR="008E1DEF" w:rsidRPr="007334C5">
        <w:rPr>
          <w:rFonts w:cstheme="minorHAnsi"/>
          <w:sz w:val="20"/>
          <w:szCs w:val="20"/>
        </w:rPr>
        <w:t xml:space="preserve">schedule of the </w:t>
      </w:r>
      <w:r w:rsidR="00EF6B11" w:rsidRPr="007334C5">
        <w:rPr>
          <w:rFonts w:cstheme="minorHAnsi"/>
          <w:sz w:val="20"/>
          <w:szCs w:val="20"/>
        </w:rPr>
        <w:t>WMPA</w:t>
      </w:r>
      <w:r w:rsidR="00DE4F89" w:rsidRPr="007334C5">
        <w:rPr>
          <w:rFonts w:cstheme="minorHAnsi"/>
          <w:sz w:val="20"/>
          <w:szCs w:val="20"/>
        </w:rPr>
        <w:t>.</w:t>
      </w:r>
      <w:r w:rsidRPr="007334C5">
        <w:rPr>
          <w:rFonts w:cstheme="minorHAnsi"/>
          <w:sz w:val="20"/>
          <w:szCs w:val="20"/>
        </w:rPr>
        <w:t xml:space="preserve"> Notwithstanding, KPMG noted</w:t>
      </w:r>
      <w:r w:rsidR="00EF6B11" w:rsidRPr="007334C5">
        <w:rPr>
          <w:rFonts w:cstheme="minorHAnsi"/>
          <w:sz w:val="20"/>
          <w:szCs w:val="20"/>
        </w:rPr>
        <w:t xml:space="preserve"> possible</w:t>
      </w:r>
      <w:r w:rsidRPr="007334C5">
        <w:rPr>
          <w:rFonts w:cstheme="minorHAnsi"/>
          <w:sz w:val="20"/>
          <w:szCs w:val="20"/>
        </w:rPr>
        <w:t xml:space="preserve"> improvements in relation to the reporting of </w:t>
      </w:r>
      <w:r w:rsidR="00EF6B11" w:rsidRPr="007334C5">
        <w:rPr>
          <w:rFonts w:cstheme="minorHAnsi"/>
          <w:sz w:val="20"/>
          <w:szCs w:val="20"/>
        </w:rPr>
        <w:t>progress reports</w:t>
      </w:r>
      <w:r w:rsidR="007768A4" w:rsidRPr="007334C5">
        <w:rPr>
          <w:rFonts w:cstheme="minorHAnsi"/>
          <w:sz w:val="20"/>
          <w:szCs w:val="20"/>
        </w:rPr>
        <w:t xml:space="preserve"> </w:t>
      </w:r>
      <w:r w:rsidR="0044719A" w:rsidRPr="007334C5">
        <w:rPr>
          <w:rFonts w:cstheme="minorHAnsi"/>
          <w:sz w:val="20"/>
          <w:szCs w:val="20"/>
        </w:rPr>
        <w:t>– refer</w:t>
      </w:r>
      <w:r w:rsidRPr="007334C5">
        <w:rPr>
          <w:rFonts w:cstheme="minorHAnsi"/>
          <w:sz w:val="20"/>
          <w:szCs w:val="20"/>
        </w:rPr>
        <w:t xml:space="preserve"> to Section 4.1 for further details.</w:t>
      </w:r>
    </w:p>
    <w:p w:rsidR="009B3394" w:rsidRPr="007334C5" w:rsidRDefault="009B3394" w:rsidP="009B3394">
      <w:pPr>
        <w:spacing w:before="120" w:after="120" w:line="240" w:lineRule="auto"/>
        <w:rPr>
          <w:rFonts w:cstheme="minorHAnsi"/>
          <w:sz w:val="20"/>
          <w:szCs w:val="20"/>
        </w:rPr>
      </w:pPr>
      <w:r w:rsidRPr="007334C5">
        <w:rPr>
          <w:rFonts w:cstheme="minorHAnsi"/>
          <w:sz w:val="20"/>
          <w:szCs w:val="20"/>
        </w:rPr>
        <w:t>All governance and reporting arrangements appeared to be operating as intended and no instances of non-compliance or significant control weaknesses were identified.</w:t>
      </w:r>
    </w:p>
    <w:p w:rsidR="003E345A" w:rsidRPr="007334C5" w:rsidRDefault="00C54C6E" w:rsidP="00606F0A">
      <w:pPr>
        <w:pStyle w:val="Heading2"/>
        <w:keepNext/>
        <w:keepLines/>
        <w:rPr>
          <w:rFonts w:asciiTheme="minorHAnsi" w:hAnsiTheme="minorHAnsi" w:cstheme="minorHAnsi"/>
        </w:rPr>
      </w:pPr>
      <w:bookmarkStart w:id="18" w:name="_Toc535401134"/>
      <w:r w:rsidRPr="007334C5">
        <w:rPr>
          <w:rFonts w:asciiTheme="minorHAnsi" w:hAnsiTheme="minorHAnsi" w:cstheme="minorHAnsi"/>
        </w:rPr>
        <w:t xml:space="preserve">Scheme </w:t>
      </w:r>
      <w:r w:rsidR="002A62AE" w:rsidRPr="007334C5">
        <w:rPr>
          <w:rFonts w:asciiTheme="minorHAnsi" w:hAnsiTheme="minorHAnsi" w:cstheme="minorHAnsi"/>
        </w:rPr>
        <w:t>design</w:t>
      </w:r>
      <w:r w:rsidRPr="007334C5">
        <w:rPr>
          <w:rFonts w:asciiTheme="minorHAnsi" w:hAnsiTheme="minorHAnsi" w:cstheme="minorHAnsi"/>
        </w:rPr>
        <w:t xml:space="preserve"> and </w:t>
      </w:r>
      <w:r w:rsidR="002A62AE" w:rsidRPr="007334C5">
        <w:rPr>
          <w:rFonts w:asciiTheme="minorHAnsi" w:hAnsiTheme="minorHAnsi" w:cstheme="minorHAnsi"/>
        </w:rPr>
        <w:t>a</w:t>
      </w:r>
      <w:r w:rsidRPr="007334C5">
        <w:rPr>
          <w:rFonts w:asciiTheme="minorHAnsi" w:hAnsiTheme="minorHAnsi" w:cstheme="minorHAnsi"/>
        </w:rPr>
        <w:t>pproval</w:t>
      </w:r>
      <w:bookmarkEnd w:id="18"/>
    </w:p>
    <w:p w:rsidR="00871FD3" w:rsidRPr="007334C5" w:rsidRDefault="00B378E4" w:rsidP="00F74EDA">
      <w:pPr>
        <w:keepNext/>
        <w:keepLines/>
        <w:shd w:val="clear" w:color="auto" w:fill="E7E6E6" w:themeFill="background2"/>
        <w:rPr>
          <w:rFonts w:cstheme="minorHAnsi"/>
          <w:i/>
          <w:sz w:val="20"/>
          <w:szCs w:val="20"/>
        </w:rPr>
      </w:pPr>
      <w:r w:rsidRPr="007334C5">
        <w:rPr>
          <w:rFonts w:cstheme="minorHAnsi"/>
          <w:i/>
          <w:sz w:val="20"/>
          <w:szCs w:val="20"/>
        </w:rPr>
        <w:t>DoI Water has established appropriate processes and procedures</w:t>
      </w:r>
      <w:r w:rsidR="00474DAB" w:rsidRPr="007334C5">
        <w:rPr>
          <w:rFonts w:cstheme="minorHAnsi"/>
          <w:i/>
          <w:sz w:val="20"/>
          <w:szCs w:val="20"/>
        </w:rPr>
        <w:t xml:space="preserve"> to support </w:t>
      </w:r>
      <w:r w:rsidR="003701E6" w:rsidRPr="007334C5">
        <w:rPr>
          <w:rFonts w:cstheme="minorHAnsi"/>
          <w:i/>
          <w:sz w:val="20"/>
          <w:szCs w:val="20"/>
        </w:rPr>
        <w:t>the</w:t>
      </w:r>
      <w:r w:rsidR="00474DAB" w:rsidRPr="007334C5">
        <w:rPr>
          <w:rFonts w:cstheme="minorHAnsi"/>
          <w:i/>
          <w:sz w:val="20"/>
          <w:szCs w:val="20"/>
        </w:rPr>
        <w:t xml:space="preserve"> </w:t>
      </w:r>
      <w:r w:rsidR="003701E6" w:rsidRPr="007334C5">
        <w:rPr>
          <w:rFonts w:cstheme="minorHAnsi"/>
          <w:i/>
          <w:sz w:val="20"/>
          <w:szCs w:val="20"/>
        </w:rPr>
        <w:t>a</w:t>
      </w:r>
      <w:r w:rsidR="00474DAB" w:rsidRPr="007334C5">
        <w:rPr>
          <w:rFonts w:cstheme="minorHAnsi"/>
          <w:i/>
          <w:sz w:val="20"/>
          <w:szCs w:val="20"/>
        </w:rPr>
        <w:t xml:space="preserve">ssessment </w:t>
      </w:r>
      <w:r w:rsidR="003701E6" w:rsidRPr="007334C5">
        <w:rPr>
          <w:rFonts w:cstheme="minorHAnsi"/>
          <w:i/>
          <w:sz w:val="20"/>
          <w:szCs w:val="20"/>
        </w:rPr>
        <w:t>and approval of schemes in accordance with the WMPA</w:t>
      </w:r>
      <w:r w:rsidR="008E1DEF" w:rsidRPr="007334C5">
        <w:rPr>
          <w:rFonts w:cstheme="minorHAnsi"/>
          <w:i/>
          <w:sz w:val="20"/>
          <w:szCs w:val="20"/>
        </w:rPr>
        <w:t xml:space="preserve"> and Basin Pipe Project Schedule</w:t>
      </w:r>
      <w:r w:rsidR="00474DAB" w:rsidRPr="007334C5">
        <w:rPr>
          <w:rFonts w:cstheme="minorHAnsi"/>
          <w:i/>
          <w:sz w:val="20"/>
          <w:szCs w:val="20"/>
        </w:rPr>
        <w:t>.</w:t>
      </w:r>
      <w:r w:rsidR="00410604" w:rsidRPr="007334C5">
        <w:rPr>
          <w:rFonts w:cstheme="minorHAnsi"/>
          <w:i/>
          <w:sz w:val="20"/>
          <w:szCs w:val="20"/>
        </w:rPr>
        <w:t xml:space="preserve">  </w:t>
      </w:r>
    </w:p>
    <w:p w:rsidR="002A62AE" w:rsidRPr="007334C5" w:rsidRDefault="002A62AE" w:rsidP="00F74EDA">
      <w:pPr>
        <w:spacing w:before="120" w:after="120" w:line="240" w:lineRule="auto"/>
        <w:rPr>
          <w:rFonts w:cstheme="minorHAnsi"/>
          <w:sz w:val="20"/>
          <w:szCs w:val="20"/>
        </w:rPr>
      </w:pPr>
      <w:r w:rsidRPr="007334C5">
        <w:rPr>
          <w:rFonts w:cstheme="minorHAnsi"/>
          <w:sz w:val="20"/>
          <w:szCs w:val="20"/>
        </w:rPr>
        <w:t xml:space="preserve">Landholders register their interest in participating in the Basin Pipe Project </w:t>
      </w:r>
      <w:r w:rsidR="00D01576" w:rsidRPr="007334C5">
        <w:rPr>
          <w:rFonts w:cstheme="minorHAnsi"/>
          <w:sz w:val="20"/>
          <w:szCs w:val="20"/>
        </w:rPr>
        <w:t>however</w:t>
      </w:r>
      <w:r w:rsidR="00071C2C" w:rsidRPr="007334C5">
        <w:rPr>
          <w:rFonts w:cstheme="minorHAnsi"/>
          <w:sz w:val="20"/>
          <w:szCs w:val="20"/>
        </w:rPr>
        <w:t>,</w:t>
      </w:r>
      <w:r w:rsidR="00D01576" w:rsidRPr="007334C5">
        <w:rPr>
          <w:rFonts w:cstheme="minorHAnsi"/>
          <w:sz w:val="20"/>
          <w:szCs w:val="20"/>
        </w:rPr>
        <w:t xml:space="preserve"> </w:t>
      </w:r>
      <w:r w:rsidRPr="007334C5">
        <w:rPr>
          <w:rFonts w:cstheme="minorHAnsi"/>
          <w:sz w:val="20"/>
          <w:szCs w:val="20"/>
        </w:rPr>
        <w:t xml:space="preserve">DoI Water is responsible for </w:t>
      </w:r>
      <w:r w:rsidR="000D10B1" w:rsidRPr="007334C5">
        <w:rPr>
          <w:rFonts w:cstheme="minorHAnsi"/>
          <w:sz w:val="20"/>
          <w:szCs w:val="20"/>
        </w:rPr>
        <w:t xml:space="preserve">undertaking a detailed technical assessment of works which includes </w:t>
      </w:r>
      <w:r w:rsidRPr="007334C5">
        <w:rPr>
          <w:rFonts w:cstheme="minorHAnsi"/>
          <w:sz w:val="20"/>
          <w:szCs w:val="20"/>
        </w:rPr>
        <w:t xml:space="preserve">designing and planning the works that will result in water savings. </w:t>
      </w:r>
      <w:r w:rsidR="000D10B1" w:rsidRPr="007334C5">
        <w:rPr>
          <w:rFonts w:cstheme="minorHAnsi"/>
          <w:sz w:val="20"/>
          <w:szCs w:val="20"/>
        </w:rPr>
        <w:t>Prior to entering into a funding agreement</w:t>
      </w:r>
      <w:r w:rsidR="00B33512" w:rsidRPr="007334C5">
        <w:rPr>
          <w:rFonts w:cstheme="minorHAnsi"/>
          <w:sz w:val="20"/>
          <w:szCs w:val="20"/>
        </w:rPr>
        <w:t>,</w:t>
      </w:r>
      <w:r w:rsidR="000D10B1" w:rsidRPr="007334C5">
        <w:rPr>
          <w:rFonts w:cstheme="minorHAnsi"/>
          <w:sz w:val="20"/>
          <w:szCs w:val="20"/>
        </w:rPr>
        <w:t xml:space="preserve"> </w:t>
      </w:r>
      <w:r w:rsidR="00D01576" w:rsidRPr="007334C5">
        <w:rPr>
          <w:rFonts w:cstheme="minorHAnsi"/>
          <w:sz w:val="20"/>
          <w:szCs w:val="20"/>
        </w:rPr>
        <w:t>DAWR</w:t>
      </w:r>
      <w:r w:rsidR="000D10B1" w:rsidRPr="007334C5">
        <w:rPr>
          <w:rFonts w:cstheme="minorHAnsi"/>
          <w:sz w:val="20"/>
          <w:szCs w:val="20"/>
        </w:rPr>
        <w:t>, will undertake a value for money assessment</w:t>
      </w:r>
      <w:r w:rsidR="005D268D" w:rsidRPr="007334C5">
        <w:rPr>
          <w:rFonts w:cstheme="minorHAnsi"/>
          <w:sz w:val="20"/>
          <w:szCs w:val="20"/>
        </w:rPr>
        <w:t xml:space="preserve"> (utilising the technical assessment undertaken by DoI Water)</w:t>
      </w:r>
      <w:r w:rsidR="000D10B1" w:rsidRPr="007334C5">
        <w:rPr>
          <w:rFonts w:cstheme="minorHAnsi"/>
          <w:sz w:val="20"/>
          <w:szCs w:val="20"/>
        </w:rPr>
        <w:t xml:space="preserve"> and </w:t>
      </w:r>
      <w:r w:rsidR="005D268D" w:rsidRPr="007334C5">
        <w:rPr>
          <w:rFonts w:cstheme="minorHAnsi"/>
          <w:sz w:val="20"/>
          <w:szCs w:val="20"/>
        </w:rPr>
        <w:t xml:space="preserve">provide </w:t>
      </w:r>
      <w:r w:rsidR="000D10B1" w:rsidRPr="007334C5">
        <w:rPr>
          <w:rFonts w:cstheme="minorHAnsi"/>
          <w:sz w:val="20"/>
          <w:szCs w:val="20"/>
        </w:rPr>
        <w:t xml:space="preserve">final scheme approval. </w:t>
      </w:r>
    </w:p>
    <w:p w:rsidR="0063026E" w:rsidRPr="007334C5" w:rsidRDefault="004C1729" w:rsidP="00F74EDA">
      <w:pPr>
        <w:spacing w:before="120" w:after="120" w:line="240" w:lineRule="auto"/>
        <w:rPr>
          <w:rFonts w:cstheme="minorHAnsi"/>
          <w:sz w:val="20"/>
          <w:szCs w:val="20"/>
        </w:rPr>
      </w:pPr>
      <w:r w:rsidRPr="007334C5">
        <w:rPr>
          <w:rFonts w:cstheme="minorHAnsi"/>
          <w:sz w:val="20"/>
          <w:szCs w:val="20"/>
        </w:rPr>
        <w:t xml:space="preserve">Relevant landholders have been able to register interest through an expression of interest form or via direct contact with DoI Water. </w:t>
      </w:r>
      <w:r w:rsidR="00D01576" w:rsidRPr="007334C5">
        <w:rPr>
          <w:rFonts w:cstheme="minorHAnsi"/>
          <w:sz w:val="20"/>
          <w:szCs w:val="20"/>
        </w:rPr>
        <w:t>Once interest has been registered, a preliminary</w:t>
      </w:r>
      <w:r w:rsidR="000D10B1" w:rsidRPr="007334C5">
        <w:rPr>
          <w:rFonts w:cstheme="minorHAnsi"/>
          <w:sz w:val="20"/>
          <w:szCs w:val="20"/>
        </w:rPr>
        <w:t xml:space="preserve"> technical </w:t>
      </w:r>
      <w:r w:rsidR="00D01576" w:rsidRPr="007334C5">
        <w:rPr>
          <w:rFonts w:cstheme="minorHAnsi"/>
          <w:sz w:val="20"/>
          <w:szCs w:val="20"/>
        </w:rPr>
        <w:t xml:space="preserve">investigation is undertaken by </w:t>
      </w:r>
      <w:r w:rsidR="002A62AE" w:rsidRPr="007334C5">
        <w:rPr>
          <w:rFonts w:cstheme="minorHAnsi"/>
          <w:sz w:val="20"/>
          <w:szCs w:val="20"/>
        </w:rPr>
        <w:t>DoI Water</w:t>
      </w:r>
      <w:r w:rsidR="00D01576" w:rsidRPr="007334C5">
        <w:rPr>
          <w:rFonts w:cstheme="minorHAnsi"/>
          <w:sz w:val="20"/>
          <w:szCs w:val="20"/>
        </w:rPr>
        <w:t>. During this phase</w:t>
      </w:r>
      <w:r w:rsidR="00071C2C" w:rsidRPr="007334C5">
        <w:rPr>
          <w:rFonts w:cstheme="minorHAnsi"/>
          <w:sz w:val="20"/>
          <w:szCs w:val="20"/>
        </w:rPr>
        <w:t>,</w:t>
      </w:r>
      <w:r w:rsidR="00D01576" w:rsidRPr="007334C5">
        <w:rPr>
          <w:rFonts w:cstheme="minorHAnsi"/>
          <w:sz w:val="20"/>
          <w:szCs w:val="20"/>
        </w:rPr>
        <w:t xml:space="preserve"> DoI Water </w:t>
      </w:r>
      <w:r w:rsidR="002A62AE" w:rsidRPr="007334C5">
        <w:rPr>
          <w:rFonts w:cstheme="minorHAnsi"/>
          <w:sz w:val="20"/>
          <w:szCs w:val="20"/>
        </w:rPr>
        <w:t>work</w:t>
      </w:r>
      <w:r w:rsidR="00EF6B11" w:rsidRPr="007334C5">
        <w:rPr>
          <w:rFonts w:cstheme="minorHAnsi"/>
          <w:sz w:val="20"/>
          <w:szCs w:val="20"/>
        </w:rPr>
        <w:t>s</w:t>
      </w:r>
      <w:r w:rsidR="002A62AE" w:rsidRPr="007334C5">
        <w:rPr>
          <w:rFonts w:cstheme="minorHAnsi"/>
          <w:sz w:val="20"/>
          <w:szCs w:val="20"/>
        </w:rPr>
        <w:t xml:space="preserve"> closely with the landholder(s) to determine if </w:t>
      </w:r>
      <w:r w:rsidR="00EF6B11" w:rsidRPr="007334C5">
        <w:rPr>
          <w:rFonts w:cstheme="minorHAnsi"/>
          <w:sz w:val="20"/>
          <w:szCs w:val="20"/>
        </w:rPr>
        <w:t>they</w:t>
      </w:r>
      <w:r w:rsidR="002A62AE" w:rsidRPr="007334C5">
        <w:rPr>
          <w:rFonts w:cstheme="minorHAnsi"/>
          <w:sz w:val="20"/>
          <w:szCs w:val="20"/>
        </w:rPr>
        <w:t xml:space="preserve"> </w:t>
      </w:r>
      <w:r w:rsidR="00D01576" w:rsidRPr="007334C5">
        <w:rPr>
          <w:rFonts w:cstheme="minorHAnsi"/>
          <w:sz w:val="20"/>
          <w:szCs w:val="20"/>
        </w:rPr>
        <w:t>meet project criteria</w:t>
      </w:r>
      <w:r w:rsidR="0063026E" w:rsidRPr="007334C5">
        <w:rPr>
          <w:rFonts w:cstheme="minorHAnsi"/>
          <w:sz w:val="20"/>
          <w:szCs w:val="20"/>
        </w:rPr>
        <w:t xml:space="preserve"> and </w:t>
      </w:r>
      <w:r w:rsidR="00D01576" w:rsidRPr="007334C5">
        <w:rPr>
          <w:rFonts w:cstheme="minorHAnsi"/>
          <w:sz w:val="20"/>
          <w:szCs w:val="20"/>
        </w:rPr>
        <w:t xml:space="preserve">develop </w:t>
      </w:r>
      <w:r w:rsidR="0063026E" w:rsidRPr="007334C5">
        <w:rPr>
          <w:rFonts w:cstheme="minorHAnsi"/>
          <w:sz w:val="20"/>
          <w:szCs w:val="20"/>
        </w:rPr>
        <w:t xml:space="preserve">a </w:t>
      </w:r>
      <w:r w:rsidR="00D01576" w:rsidRPr="007334C5">
        <w:rPr>
          <w:rFonts w:cstheme="minorHAnsi"/>
          <w:sz w:val="20"/>
          <w:szCs w:val="20"/>
        </w:rPr>
        <w:t>design for appropriate works</w:t>
      </w:r>
      <w:r w:rsidR="0063026E" w:rsidRPr="007334C5">
        <w:rPr>
          <w:rFonts w:cstheme="minorHAnsi"/>
          <w:sz w:val="20"/>
          <w:szCs w:val="20"/>
        </w:rPr>
        <w:t>. This process involves:</w:t>
      </w:r>
    </w:p>
    <w:p w:rsidR="0063026E" w:rsidRPr="007334C5" w:rsidRDefault="0063026E" w:rsidP="000F0AAC">
      <w:pPr>
        <w:pStyle w:val="ListParagraph"/>
        <w:numPr>
          <w:ilvl w:val="0"/>
          <w:numId w:val="15"/>
        </w:numPr>
        <w:spacing w:before="120" w:after="120" w:line="240" w:lineRule="auto"/>
        <w:rPr>
          <w:rFonts w:cstheme="minorHAnsi"/>
          <w:sz w:val="20"/>
          <w:szCs w:val="20"/>
        </w:rPr>
      </w:pPr>
      <w:r w:rsidRPr="007334C5">
        <w:rPr>
          <w:rFonts w:cstheme="minorHAnsi"/>
          <w:sz w:val="20"/>
          <w:szCs w:val="20"/>
        </w:rPr>
        <w:t xml:space="preserve">Reviewing and surveying of the site, existing infrastructure and </w:t>
      </w:r>
      <w:r w:rsidR="00EF6B11" w:rsidRPr="007334C5">
        <w:rPr>
          <w:rFonts w:cstheme="minorHAnsi"/>
          <w:sz w:val="20"/>
          <w:szCs w:val="20"/>
        </w:rPr>
        <w:t xml:space="preserve">available </w:t>
      </w:r>
      <w:r w:rsidRPr="007334C5">
        <w:rPr>
          <w:rFonts w:cstheme="minorHAnsi"/>
          <w:sz w:val="20"/>
          <w:szCs w:val="20"/>
        </w:rPr>
        <w:t>water products</w:t>
      </w:r>
      <w:r w:rsidR="00071C2C" w:rsidRPr="007334C5">
        <w:rPr>
          <w:rFonts w:cstheme="minorHAnsi"/>
          <w:sz w:val="20"/>
          <w:szCs w:val="20"/>
        </w:rPr>
        <w:t>;</w:t>
      </w:r>
      <w:r w:rsidRPr="007334C5">
        <w:rPr>
          <w:rFonts w:cstheme="minorHAnsi"/>
          <w:sz w:val="20"/>
          <w:szCs w:val="20"/>
        </w:rPr>
        <w:t xml:space="preserve"> </w:t>
      </w:r>
    </w:p>
    <w:p w:rsidR="0063026E" w:rsidRPr="007334C5" w:rsidRDefault="0063026E" w:rsidP="000F0AAC">
      <w:pPr>
        <w:pStyle w:val="ListParagraph"/>
        <w:numPr>
          <w:ilvl w:val="0"/>
          <w:numId w:val="15"/>
        </w:numPr>
        <w:spacing w:before="120" w:after="120" w:line="240" w:lineRule="auto"/>
        <w:rPr>
          <w:rFonts w:cstheme="minorHAnsi"/>
          <w:sz w:val="20"/>
          <w:szCs w:val="20"/>
        </w:rPr>
      </w:pPr>
      <w:r w:rsidRPr="007334C5">
        <w:rPr>
          <w:rFonts w:cstheme="minorHAnsi"/>
          <w:sz w:val="20"/>
          <w:szCs w:val="20"/>
        </w:rPr>
        <w:t>Working with the landholder to agree a conceptual design for works that meets project criteria</w:t>
      </w:r>
      <w:r w:rsidR="00071C2C" w:rsidRPr="007334C5">
        <w:rPr>
          <w:rFonts w:cstheme="minorHAnsi"/>
          <w:sz w:val="20"/>
          <w:szCs w:val="20"/>
        </w:rPr>
        <w:t>;</w:t>
      </w:r>
    </w:p>
    <w:p w:rsidR="005C3D97" w:rsidRPr="007334C5" w:rsidRDefault="0063026E" w:rsidP="000F0AAC">
      <w:pPr>
        <w:pStyle w:val="ListParagraph"/>
        <w:numPr>
          <w:ilvl w:val="0"/>
          <w:numId w:val="15"/>
        </w:numPr>
        <w:spacing w:before="120" w:after="120" w:line="240" w:lineRule="auto"/>
        <w:rPr>
          <w:rFonts w:cstheme="minorHAnsi"/>
          <w:sz w:val="20"/>
          <w:szCs w:val="20"/>
        </w:rPr>
      </w:pPr>
      <w:r w:rsidRPr="007334C5">
        <w:rPr>
          <w:rFonts w:cstheme="minorHAnsi"/>
          <w:sz w:val="20"/>
          <w:szCs w:val="20"/>
        </w:rPr>
        <w:t>Determining scheme fun</w:t>
      </w:r>
      <w:r w:rsidR="00AF792D" w:rsidRPr="007334C5">
        <w:rPr>
          <w:rFonts w:cstheme="minorHAnsi"/>
          <w:sz w:val="20"/>
          <w:szCs w:val="20"/>
        </w:rPr>
        <w:t>ding requirements</w:t>
      </w:r>
      <w:r w:rsidR="00071C2C" w:rsidRPr="007334C5">
        <w:rPr>
          <w:rFonts w:cstheme="minorHAnsi"/>
          <w:sz w:val="20"/>
          <w:szCs w:val="20"/>
        </w:rPr>
        <w:t>; and</w:t>
      </w:r>
      <w:r w:rsidRPr="007334C5">
        <w:rPr>
          <w:rFonts w:cstheme="minorHAnsi"/>
          <w:sz w:val="20"/>
          <w:szCs w:val="20"/>
        </w:rPr>
        <w:t xml:space="preserve"> </w:t>
      </w:r>
    </w:p>
    <w:p w:rsidR="0063026E" w:rsidRPr="007334C5" w:rsidRDefault="0063026E" w:rsidP="000F0AAC">
      <w:pPr>
        <w:pStyle w:val="ListParagraph"/>
        <w:numPr>
          <w:ilvl w:val="0"/>
          <w:numId w:val="15"/>
        </w:numPr>
        <w:spacing w:before="120" w:after="120" w:line="240" w:lineRule="auto"/>
        <w:rPr>
          <w:rFonts w:cstheme="minorHAnsi"/>
          <w:sz w:val="20"/>
          <w:szCs w:val="20"/>
        </w:rPr>
      </w:pPr>
      <w:r w:rsidRPr="007334C5">
        <w:rPr>
          <w:rFonts w:cstheme="minorHAnsi"/>
          <w:sz w:val="20"/>
          <w:szCs w:val="20"/>
        </w:rPr>
        <w:t xml:space="preserve">Obtaining landholder approval to proceed with the scheme. </w:t>
      </w:r>
    </w:p>
    <w:p w:rsidR="00871FD3" w:rsidRPr="007334C5" w:rsidRDefault="0063026E" w:rsidP="00F74EDA">
      <w:pPr>
        <w:spacing w:before="120" w:after="120" w:line="240" w:lineRule="auto"/>
        <w:rPr>
          <w:rFonts w:cstheme="minorHAnsi"/>
          <w:sz w:val="20"/>
          <w:szCs w:val="20"/>
        </w:rPr>
      </w:pPr>
      <w:r w:rsidRPr="007334C5">
        <w:rPr>
          <w:rFonts w:cstheme="minorHAnsi"/>
          <w:sz w:val="20"/>
          <w:szCs w:val="20"/>
        </w:rPr>
        <w:t>DoI Water</w:t>
      </w:r>
      <w:r w:rsidR="00EF6B11" w:rsidRPr="007334C5">
        <w:rPr>
          <w:rFonts w:cstheme="minorHAnsi"/>
          <w:sz w:val="20"/>
          <w:szCs w:val="20"/>
        </w:rPr>
        <w:t xml:space="preserve"> indicated that</w:t>
      </w:r>
      <w:r w:rsidRPr="007334C5">
        <w:rPr>
          <w:rFonts w:cstheme="minorHAnsi"/>
          <w:sz w:val="20"/>
          <w:szCs w:val="20"/>
        </w:rPr>
        <w:t xml:space="preserve"> </w:t>
      </w:r>
      <w:r w:rsidR="00EF6B11" w:rsidRPr="007334C5">
        <w:rPr>
          <w:rFonts w:cstheme="minorHAnsi"/>
          <w:sz w:val="20"/>
          <w:szCs w:val="20"/>
        </w:rPr>
        <w:t>relevant internal technical experts are general</w:t>
      </w:r>
      <w:r w:rsidR="007768A4" w:rsidRPr="007334C5">
        <w:rPr>
          <w:rFonts w:cstheme="minorHAnsi"/>
          <w:sz w:val="20"/>
          <w:szCs w:val="20"/>
        </w:rPr>
        <w:t>ly</w:t>
      </w:r>
      <w:r w:rsidR="00EF6B11" w:rsidRPr="007334C5">
        <w:rPr>
          <w:rFonts w:cstheme="minorHAnsi"/>
          <w:sz w:val="20"/>
          <w:szCs w:val="20"/>
        </w:rPr>
        <w:t xml:space="preserve"> utilised </w:t>
      </w:r>
      <w:r w:rsidRPr="007334C5">
        <w:rPr>
          <w:rFonts w:cstheme="minorHAnsi"/>
          <w:sz w:val="20"/>
          <w:szCs w:val="20"/>
        </w:rPr>
        <w:t>to undertake this phase. DoI Wate</w:t>
      </w:r>
      <w:r w:rsidR="00EF6B11" w:rsidRPr="007334C5">
        <w:rPr>
          <w:rFonts w:cstheme="minorHAnsi"/>
          <w:sz w:val="20"/>
          <w:szCs w:val="20"/>
        </w:rPr>
        <w:t>r may also</w:t>
      </w:r>
      <w:r w:rsidR="007768A4" w:rsidRPr="007334C5">
        <w:rPr>
          <w:rFonts w:cstheme="minorHAnsi"/>
          <w:sz w:val="20"/>
          <w:szCs w:val="20"/>
        </w:rPr>
        <w:t>,</w:t>
      </w:r>
      <w:r w:rsidR="00EF6B11" w:rsidRPr="007334C5">
        <w:rPr>
          <w:rFonts w:cstheme="minorHAnsi"/>
          <w:sz w:val="20"/>
          <w:szCs w:val="20"/>
        </w:rPr>
        <w:t xml:space="preserve"> in some circumstances</w:t>
      </w:r>
      <w:r w:rsidR="007768A4" w:rsidRPr="007334C5">
        <w:rPr>
          <w:rFonts w:cstheme="minorHAnsi"/>
          <w:sz w:val="20"/>
          <w:szCs w:val="20"/>
        </w:rPr>
        <w:t>,</w:t>
      </w:r>
      <w:r w:rsidR="00EF6B11" w:rsidRPr="007334C5">
        <w:rPr>
          <w:rFonts w:cstheme="minorHAnsi"/>
          <w:sz w:val="20"/>
          <w:szCs w:val="20"/>
        </w:rPr>
        <w:t xml:space="preserve"> leverage expertise from </w:t>
      </w:r>
      <w:r w:rsidRPr="007334C5">
        <w:rPr>
          <w:rFonts w:cstheme="minorHAnsi"/>
          <w:sz w:val="20"/>
          <w:szCs w:val="20"/>
        </w:rPr>
        <w:t>DPI or external providers w</w:t>
      </w:r>
      <w:r w:rsidR="007768A4" w:rsidRPr="007334C5">
        <w:rPr>
          <w:rFonts w:cstheme="minorHAnsi"/>
          <w:sz w:val="20"/>
          <w:szCs w:val="20"/>
        </w:rPr>
        <w:t>h</w:t>
      </w:r>
      <w:r w:rsidRPr="007334C5">
        <w:rPr>
          <w:rFonts w:cstheme="minorHAnsi"/>
          <w:sz w:val="20"/>
          <w:szCs w:val="20"/>
        </w:rPr>
        <w:t xml:space="preserve">ere internal staff are not available. </w:t>
      </w:r>
      <w:r w:rsidR="004C1729" w:rsidRPr="007334C5">
        <w:rPr>
          <w:rFonts w:cstheme="minorHAnsi"/>
          <w:sz w:val="20"/>
          <w:szCs w:val="20"/>
        </w:rPr>
        <w:t>The preliminary investigation informs the development of a project description</w:t>
      </w:r>
      <w:r w:rsidR="00071C2C" w:rsidRPr="007334C5">
        <w:rPr>
          <w:rFonts w:cstheme="minorHAnsi"/>
          <w:sz w:val="20"/>
          <w:szCs w:val="20"/>
        </w:rPr>
        <w:t>,</w:t>
      </w:r>
      <w:r w:rsidR="004C1729" w:rsidRPr="007334C5">
        <w:rPr>
          <w:rFonts w:cstheme="minorHAnsi"/>
          <w:sz w:val="20"/>
          <w:szCs w:val="20"/>
        </w:rPr>
        <w:t xml:space="preserve"> which is presented to the DAWR for review and approval prior to entering into a formal funding agreement with the landholder and commencing construction activities.</w:t>
      </w:r>
      <w:r w:rsidR="000D10B1" w:rsidRPr="007334C5">
        <w:rPr>
          <w:rFonts w:cstheme="minorHAnsi"/>
          <w:sz w:val="20"/>
          <w:szCs w:val="20"/>
        </w:rPr>
        <w:t xml:space="preserve"> </w:t>
      </w:r>
      <w:r w:rsidR="00B378E4" w:rsidRPr="007334C5">
        <w:rPr>
          <w:rFonts w:cstheme="minorHAnsi"/>
          <w:sz w:val="20"/>
          <w:szCs w:val="20"/>
        </w:rPr>
        <w:t xml:space="preserve">Each project description is reviewed and approved by the Basin Pipe </w:t>
      </w:r>
      <w:r w:rsidR="000700AC" w:rsidRPr="007334C5">
        <w:rPr>
          <w:rFonts w:cstheme="minorHAnsi"/>
          <w:sz w:val="20"/>
          <w:szCs w:val="20"/>
        </w:rPr>
        <w:t>Project Manager</w:t>
      </w:r>
      <w:r w:rsidR="00EF6B11" w:rsidRPr="007334C5">
        <w:rPr>
          <w:rFonts w:cstheme="minorHAnsi"/>
          <w:sz w:val="20"/>
          <w:szCs w:val="20"/>
        </w:rPr>
        <w:t xml:space="preserve"> prior to provision to DAWR</w:t>
      </w:r>
      <w:r w:rsidR="00B378E4" w:rsidRPr="007334C5">
        <w:rPr>
          <w:rFonts w:cstheme="minorHAnsi"/>
          <w:sz w:val="20"/>
          <w:szCs w:val="20"/>
        </w:rPr>
        <w:t xml:space="preserve">. </w:t>
      </w:r>
      <w:r w:rsidR="004C1729" w:rsidRPr="007334C5">
        <w:rPr>
          <w:rFonts w:cstheme="minorHAnsi"/>
          <w:sz w:val="20"/>
          <w:szCs w:val="20"/>
        </w:rPr>
        <w:t>As per the WMPA, the project description includes:</w:t>
      </w:r>
    </w:p>
    <w:p w:rsidR="004C1729" w:rsidRPr="007334C5" w:rsidRDefault="004C1729" w:rsidP="000F0AAC">
      <w:pPr>
        <w:pStyle w:val="ListParagraph"/>
        <w:numPr>
          <w:ilvl w:val="0"/>
          <w:numId w:val="16"/>
        </w:numPr>
        <w:spacing w:before="120" w:after="120" w:line="240" w:lineRule="auto"/>
        <w:rPr>
          <w:rFonts w:cstheme="minorHAnsi"/>
          <w:sz w:val="20"/>
          <w:szCs w:val="20"/>
        </w:rPr>
      </w:pPr>
      <w:r w:rsidRPr="007334C5">
        <w:rPr>
          <w:rFonts w:cstheme="minorHAnsi"/>
          <w:sz w:val="20"/>
          <w:szCs w:val="20"/>
        </w:rPr>
        <w:t>A conceptual design for proposed infrastructure;</w:t>
      </w:r>
    </w:p>
    <w:p w:rsidR="004C1729" w:rsidRPr="007334C5" w:rsidRDefault="004C1729" w:rsidP="000F0AAC">
      <w:pPr>
        <w:pStyle w:val="ListParagraph"/>
        <w:numPr>
          <w:ilvl w:val="0"/>
          <w:numId w:val="16"/>
        </w:numPr>
        <w:spacing w:before="120" w:after="120" w:line="240" w:lineRule="auto"/>
        <w:rPr>
          <w:rFonts w:cstheme="minorHAnsi"/>
          <w:sz w:val="20"/>
          <w:szCs w:val="20"/>
        </w:rPr>
      </w:pPr>
      <w:r w:rsidRPr="007334C5">
        <w:rPr>
          <w:rFonts w:cstheme="minorHAnsi"/>
          <w:sz w:val="20"/>
          <w:szCs w:val="20"/>
        </w:rPr>
        <w:t>A survey of existing works and</w:t>
      </w:r>
      <w:r w:rsidR="00B378E4" w:rsidRPr="007334C5">
        <w:rPr>
          <w:rFonts w:cstheme="minorHAnsi"/>
          <w:sz w:val="20"/>
          <w:szCs w:val="20"/>
        </w:rPr>
        <w:t xml:space="preserve"> description of</w:t>
      </w:r>
      <w:r w:rsidRPr="007334C5">
        <w:rPr>
          <w:rFonts w:cstheme="minorHAnsi"/>
          <w:sz w:val="20"/>
          <w:szCs w:val="20"/>
        </w:rPr>
        <w:t xml:space="preserve"> watering requirements;</w:t>
      </w:r>
    </w:p>
    <w:p w:rsidR="004C1729" w:rsidRPr="007334C5" w:rsidRDefault="004C1729" w:rsidP="000F0AAC">
      <w:pPr>
        <w:pStyle w:val="ListParagraph"/>
        <w:numPr>
          <w:ilvl w:val="0"/>
          <w:numId w:val="16"/>
        </w:numPr>
        <w:spacing w:before="120" w:after="120" w:line="240" w:lineRule="auto"/>
        <w:rPr>
          <w:rFonts w:cstheme="minorHAnsi"/>
          <w:sz w:val="20"/>
          <w:szCs w:val="20"/>
        </w:rPr>
      </w:pPr>
      <w:r w:rsidRPr="007334C5">
        <w:rPr>
          <w:rFonts w:cstheme="minorHAnsi"/>
          <w:sz w:val="20"/>
          <w:szCs w:val="20"/>
        </w:rPr>
        <w:t xml:space="preserve">An estimate of water savings; and </w:t>
      </w:r>
    </w:p>
    <w:p w:rsidR="004C1729" w:rsidRPr="007334C5" w:rsidRDefault="004C1729" w:rsidP="000F0AAC">
      <w:pPr>
        <w:pStyle w:val="ListParagraph"/>
        <w:numPr>
          <w:ilvl w:val="0"/>
          <w:numId w:val="16"/>
        </w:numPr>
        <w:spacing w:before="120" w:after="120" w:line="240" w:lineRule="auto"/>
        <w:rPr>
          <w:rFonts w:cstheme="minorHAnsi"/>
          <w:sz w:val="20"/>
          <w:szCs w:val="20"/>
        </w:rPr>
      </w:pPr>
      <w:r w:rsidRPr="007334C5">
        <w:rPr>
          <w:rFonts w:cstheme="minorHAnsi"/>
          <w:sz w:val="20"/>
          <w:szCs w:val="20"/>
        </w:rPr>
        <w:t xml:space="preserve">Details of funding requirements. </w:t>
      </w:r>
    </w:p>
    <w:p w:rsidR="004C1729" w:rsidRPr="007334C5" w:rsidRDefault="004C1729" w:rsidP="00F74EDA">
      <w:pPr>
        <w:pStyle w:val="BodyText"/>
        <w:spacing w:before="120" w:after="120" w:line="240" w:lineRule="auto"/>
        <w:rPr>
          <w:rFonts w:asciiTheme="minorHAnsi" w:hAnsiTheme="minorHAnsi" w:cstheme="minorHAnsi"/>
          <w:sz w:val="20"/>
        </w:rPr>
      </w:pPr>
      <w:r w:rsidRPr="007334C5">
        <w:rPr>
          <w:rFonts w:asciiTheme="minorHAnsi" w:hAnsiTheme="minorHAnsi" w:cstheme="minorHAnsi"/>
          <w:sz w:val="20"/>
        </w:rPr>
        <w:t xml:space="preserve">Sample testing found </w:t>
      </w:r>
      <w:r w:rsidR="002C6F9F" w:rsidRPr="007334C5">
        <w:rPr>
          <w:rFonts w:asciiTheme="minorHAnsi" w:hAnsiTheme="minorHAnsi" w:cstheme="minorHAnsi"/>
          <w:sz w:val="20"/>
        </w:rPr>
        <w:t xml:space="preserve">all </w:t>
      </w:r>
      <w:r w:rsidRPr="007334C5">
        <w:rPr>
          <w:rFonts w:asciiTheme="minorHAnsi" w:hAnsiTheme="minorHAnsi" w:cstheme="minorHAnsi"/>
          <w:sz w:val="20"/>
        </w:rPr>
        <w:t>project descriptions</w:t>
      </w:r>
      <w:r w:rsidR="00B378E4" w:rsidRPr="007334C5">
        <w:rPr>
          <w:rFonts w:asciiTheme="minorHAnsi" w:hAnsiTheme="minorHAnsi" w:cstheme="minorHAnsi"/>
          <w:sz w:val="20"/>
        </w:rPr>
        <w:t xml:space="preserve"> </w:t>
      </w:r>
      <w:r w:rsidR="005D268D" w:rsidRPr="007334C5">
        <w:rPr>
          <w:rFonts w:asciiTheme="minorHAnsi" w:hAnsiTheme="minorHAnsi" w:cstheme="minorHAnsi"/>
          <w:sz w:val="20"/>
        </w:rPr>
        <w:t xml:space="preserve">met </w:t>
      </w:r>
      <w:r w:rsidR="00B378E4" w:rsidRPr="007334C5">
        <w:rPr>
          <w:rFonts w:asciiTheme="minorHAnsi" w:hAnsiTheme="minorHAnsi" w:cstheme="minorHAnsi"/>
          <w:sz w:val="20"/>
        </w:rPr>
        <w:t>WM</w:t>
      </w:r>
      <w:r w:rsidR="00AF792D" w:rsidRPr="007334C5">
        <w:rPr>
          <w:rFonts w:asciiTheme="minorHAnsi" w:hAnsiTheme="minorHAnsi" w:cstheme="minorHAnsi"/>
          <w:sz w:val="20"/>
        </w:rPr>
        <w:t>P</w:t>
      </w:r>
      <w:r w:rsidR="00B378E4" w:rsidRPr="007334C5">
        <w:rPr>
          <w:rFonts w:asciiTheme="minorHAnsi" w:hAnsiTheme="minorHAnsi" w:cstheme="minorHAnsi"/>
          <w:sz w:val="20"/>
        </w:rPr>
        <w:t>A</w:t>
      </w:r>
      <w:r w:rsidR="00AF792D" w:rsidRPr="007334C5">
        <w:rPr>
          <w:rFonts w:asciiTheme="minorHAnsi" w:hAnsiTheme="minorHAnsi" w:cstheme="minorHAnsi"/>
          <w:sz w:val="20"/>
        </w:rPr>
        <w:t xml:space="preserve"> requirements</w:t>
      </w:r>
      <w:r w:rsidR="005D268D" w:rsidRPr="007334C5">
        <w:rPr>
          <w:rFonts w:asciiTheme="minorHAnsi" w:hAnsiTheme="minorHAnsi" w:cstheme="minorHAnsi"/>
          <w:sz w:val="20"/>
        </w:rPr>
        <w:t xml:space="preserve"> and</w:t>
      </w:r>
      <w:r w:rsidRPr="007334C5">
        <w:rPr>
          <w:rFonts w:asciiTheme="minorHAnsi" w:hAnsiTheme="minorHAnsi" w:cstheme="minorHAnsi"/>
          <w:sz w:val="20"/>
        </w:rPr>
        <w:t xml:space="preserve"> were </w:t>
      </w:r>
      <w:r w:rsidR="00B378E4" w:rsidRPr="007334C5">
        <w:rPr>
          <w:rFonts w:asciiTheme="minorHAnsi" w:hAnsiTheme="minorHAnsi" w:cstheme="minorHAnsi"/>
          <w:sz w:val="20"/>
        </w:rPr>
        <w:t xml:space="preserve">appropriately </w:t>
      </w:r>
      <w:r w:rsidRPr="007334C5">
        <w:rPr>
          <w:rFonts w:asciiTheme="minorHAnsi" w:hAnsiTheme="minorHAnsi" w:cstheme="minorHAnsi"/>
          <w:sz w:val="20"/>
        </w:rPr>
        <w:t xml:space="preserve">approved by DAWR prior to entering into funding agreements and commencing works. </w:t>
      </w:r>
    </w:p>
    <w:p w:rsidR="003E73C2" w:rsidRPr="007334C5" w:rsidRDefault="003E73C2" w:rsidP="00F74EDA">
      <w:pPr>
        <w:pStyle w:val="BodyText"/>
        <w:spacing w:before="120" w:after="120" w:line="240" w:lineRule="auto"/>
        <w:rPr>
          <w:rFonts w:asciiTheme="minorHAnsi" w:hAnsiTheme="minorHAnsi" w:cstheme="minorHAnsi"/>
          <w:sz w:val="20"/>
        </w:rPr>
      </w:pPr>
      <w:r w:rsidRPr="007334C5">
        <w:rPr>
          <w:rFonts w:asciiTheme="minorHAnsi" w:hAnsiTheme="minorHAnsi" w:cstheme="minorHAnsi"/>
          <w:sz w:val="20"/>
        </w:rPr>
        <w:t>KPMG did not identify any non-compliance or significant control weaknesses related</w:t>
      </w:r>
      <w:r w:rsidR="008774A5" w:rsidRPr="007334C5">
        <w:rPr>
          <w:rFonts w:asciiTheme="minorHAnsi" w:hAnsiTheme="minorHAnsi" w:cstheme="minorHAnsi"/>
          <w:sz w:val="20"/>
        </w:rPr>
        <w:t xml:space="preserve"> </w:t>
      </w:r>
      <w:r w:rsidR="002F7F17" w:rsidRPr="007334C5">
        <w:rPr>
          <w:rFonts w:asciiTheme="minorHAnsi" w:hAnsiTheme="minorHAnsi" w:cstheme="minorHAnsi"/>
          <w:sz w:val="20"/>
        </w:rPr>
        <w:t xml:space="preserve">to </w:t>
      </w:r>
      <w:r w:rsidR="008774A5" w:rsidRPr="007334C5">
        <w:rPr>
          <w:rFonts w:asciiTheme="minorHAnsi" w:hAnsiTheme="minorHAnsi" w:cstheme="minorHAnsi"/>
          <w:sz w:val="20"/>
        </w:rPr>
        <w:t>the</w:t>
      </w:r>
      <w:r w:rsidR="00B378E4" w:rsidRPr="007334C5">
        <w:rPr>
          <w:rFonts w:asciiTheme="minorHAnsi" w:hAnsiTheme="minorHAnsi" w:cstheme="minorHAnsi"/>
          <w:sz w:val="20"/>
        </w:rPr>
        <w:t xml:space="preserve"> scheme approval</w:t>
      </w:r>
      <w:r w:rsidR="008774A5" w:rsidRPr="007334C5">
        <w:rPr>
          <w:rFonts w:asciiTheme="minorHAnsi" w:hAnsiTheme="minorHAnsi" w:cstheme="minorHAnsi"/>
          <w:sz w:val="20"/>
        </w:rPr>
        <w:t xml:space="preserve"> process</w:t>
      </w:r>
      <w:r w:rsidRPr="007334C5">
        <w:rPr>
          <w:rFonts w:asciiTheme="minorHAnsi" w:hAnsiTheme="minorHAnsi" w:cstheme="minorHAnsi"/>
          <w:sz w:val="20"/>
        </w:rPr>
        <w:t>.</w:t>
      </w:r>
    </w:p>
    <w:p w:rsidR="003E345A" w:rsidRPr="007334C5" w:rsidRDefault="003E345A" w:rsidP="000722AF">
      <w:pPr>
        <w:pStyle w:val="Heading2"/>
        <w:rPr>
          <w:rFonts w:asciiTheme="minorHAnsi" w:hAnsiTheme="minorHAnsi" w:cstheme="minorHAnsi"/>
        </w:rPr>
      </w:pPr>
      <w:bookmarkStart w:id="19" w:name="_Toc535401135"/>
      <w:r w:rsidRPr="007334C5">
        <w:rPr>
          <w:rFonts w:asciiTheme="minorHAnsi" w:hAnsiTheme="minorHAnsi" w:cstheme="minorHAnsi"/>
        </w:rPr>
        <w:t>Risk and issue management</w:t>
      </w:r>
      <w:bookmarkEnd w:id="19"/>
      <w:r w:rsidRPr="007334C5">
        <w:rPr>
          <w:rFonts w:asciiTheme="minorHAnsi" w:hAnsiTheme="minorHAnsi" w:cstheme="minorHAnsi"/>
        </w:rPr>
        <w:t xml:space="preserve"> </w:t>
      </w:r>
    </w:p>
    <w:p w:rsidR="00066B61" w:rsidRPr="007334C5" w:rsidRDefault="00FB5BBB" w:rsidP="00F74EDA">
      <w:pPr>
        <w:shd w:val="clear" w:color="auto" w:fill="E7E6E6" w:themeFill="background2"/>
        <w:spacing w:before="120" w:after="120" w:line="240" w:lineRule="auto"/>
        <w:rPr>
          <w:rFonts w:cstheme="minorHAnsi"/>
          <w:i/>
          <w:sz w:val="20"/>
          <w:szCs w:val="20"/>
        </w:rPr>
      </w:pPr>
      <w:r w:rsidRPr="007334C5">
        <w:rPr>
          <w:rFonts w:cstheme="minorHAnsi"/>
          <w:i/>
          <w:sz w:val="20"/>
          <w:szCs w:val="20"/>
        </w:rPr>
        <w:t>DoI Water has a documented approach for identifying, assessing and communicating risks and issues. Key risks and issues appeared to be regularly reviewed and reported to stakeholders.</w:t>
      </w:r>
      <w:r w:rsidR="007744FC" w:rsidRPr="007334C5">
        <w:rPr>
          <w:rFonts w:cstheme="minorHAnsi"/>
          <w:i/>
          <w:sz w:val="20"/>
          <w:szCs w:val="20"/>
        </w:rPr>
        <w:t xml:space="preserve"> </w:t>
      </w:r>
    </w:p>
    <w:p w:rsidR="00660E9C" w:rsidRPr="007334C5" w:rsidRDefault="002A62AE" w:rsidP="00576A25">
      <w:pPr>
        <w:spacing w:before="120" w:after="120" w:line="240" w:lineRule="auto"/>
        <w:rPr>
          <w:rFonts w:cstheme="minorHAnsi"/>
          <w:sz w:val="20"/>
          <w:szCs w:val="20"/>
        </w:rPr>
      </w:pPr>
      <w:r w:rsidRPr="007334C5">
        <w:rPr>
          <w:rFonts w:cstheme="minorHAnsi"/>
          <w:sz w:val="20"/>
          <w:szCs w:val="20"/>
        </w:rPr>
        <w:t>DoI Water</w:t>
      </w:r>
      <w:r w:rsidR="00660E9C" w:rsidRPr="007334C5">
        <w:rPr>
          <w:rFonts w:cstheme="minorHAnsi"/>
          <w:sz w:val="20"/>
          <w:szCs w:val="20"/>
        </w:rPr>
        <w:t xml:space="preserve"> initially developed a </w:t>
      </w:r>
      <w:r w:rsidR="000700AC" w:rsidRPr="007334C5">
        <w:rPr>
          <w:rFonts w:cstheme="minorHAnsi"/>
          <w:sz w:val="20"/>
          <w:szCs w:val="20"/>
        </w:rPr>
        <w:t>Basin Pipe Project</w:t>
      </w:r>
      <w:r w:rsidR="00660E9C" w:rsidRPr="007334C5">
        <w:rPr>
          <w:rFonts w:cstheme="minorHAnsi"/>
          <w:sz w:val="20"/>
          <w:szCs w:val="20"/>
        </w:rPr>
        <w:t xml:space="preserve"> risk management plan as part of the business case supporting </w:t>
      </w:r>
      <w:r w:rsidR="00EF6B11" w:rsidRPr="007334C5">
        <w:rPr>
          <w:rFonts w:cstheme="minorHAnsi"/>
          <w:sz w:val="20"/>
          <w:szCs w:val="20"/>
        </w:rPr>
        <w:t xml:space="preserve">the </w:t>
      </w:r>
      <w:r w:rsidR="000700AC" w:rsidRPr="007334C5">
        <w:rPr>
          <w:rFonts w:cstheme="minorHAnsi"/>
          <w:sz w:val="20"/>
          <w:szCs w:val="20"/>
        </w:rPr>
        <w:t>Basin Pipe Project</w:t>
      </w:r>
      <w:r w:rsidR="00660E9C" w:rsidRPr="007334C5">
        <w:rPr>
          <w:rFonts w:cstheme="minorHAnsi"/>
          <w:sz w:val="20"/>
          <w:szCs w:val="20"/>
        </w:rPr>
        <w:t xml:space="preserve">. This </w:t>
      </w:r>
      <w:r w:rsidR="00EF6B11" w:rsidRPr="007334C5">
        <w:rPr>
          <w:rFonts w:cstheme="minorHAnsi"/>
          <w:sz w:val="20"/>
          <w:szCs w:val="20"/>
        </w:rPr>
        <w:t xml:space="preserve">plan </w:t>
      </w:r>
      <w:r w:rsidR="00660E9C" w:rsidRPr="007334C5">
        <w:rPr>
          <w:rFonts w:cstheme="minorHAnsi"/>
          <w:sz w:val="20"/>
          <w:szCs w:val="20"/>
        </w:rPr>
        <w:t xml:space="preserve">outlined the </w:t>
      </w:r>
      <w:r w:rsidR="00066B61" w:rsidRPr="007334C5">
        <w:rPr>
          <w:rFonts w:cstheme="minorHAnsi"/>
          <w:sz w:val="20"/>
          <w:szCs w:val="20"/>
        </w:rPr>
        <w:t xml:space="preserve">process by which </w:t>
      </w:r>
      <w:r w:rsidRPr="007334C5">
        <w:rPr>
          <w:rFonts w:cstheme="minorHAnsi"/>
          <w:sz w:val="20"/>
          <w:szCs w:val="20"/>
        </w:rPr>
        <w:t xml:space="preserve">DoI Water </w:t>
      </w:r>
      <w:r w:rsidR="00660E9C" w:rsidRPr="007334C5">
        <w:rPr>
          <w:rFonts w:cstheme="minorHAnsi"/>
          <w:sz w:val="20"/>
          <w:szCs w:val="20"/>
        </w:rPr>
        <w:t>would identify, assess</w:t>
      </w:r>
      <w:r w:rsidR="00066B61" w:rsidRPr="007334C5">
        <w:rPr>
          <w:rFonts w:cstheme="minorHAnsi"/>
          <w:sz w:val="20"/>
          <w:szCs w:val="20"/>
        </w:rPr>
        <w:t>, treat</w:t>
      </w:r>
      <w:r w:rsidR="00660E9C" w:rsidRPr="007334C5">
        <w:rPr>
          <w:rFonts w:cstheme="minorHAnsi"/>
          <w:sz w:val="20"/>
          <w:szCs w:val="20"/>
        </w:rPr>
        <w:t xml:space="preserve"> and monitor</w:t>
      </w:r>
      <w:r w:rsidR="00066B61" w:rsidRPr="007334C5">
        <w:rPr>
          <w:rFonts w:cstheme="minorHAnsi"/>
          <w:sz w:val="20"/>
          <w:szCs w:val="20"/>
        </w:rPr>
        <w:t xml:space="preserve"> risks - cons</w:t>
      </w:r>
      <w:r w:rsidR="00F35E34" w:rsidRPr="007334C5">
        <w:rPr>
          <w:rFonts w:cstheme="minorHAnsi"/>
          <w:sz w:val="20"/>
          <w:szCs w:val="20"/>
        </w:rPr>
        <w:t xml:space="preserve">istent with </w:t>
      </w:r>
      <w:r w:rsidR="00660E9C" w:rsidRPr="007334C5">
        <w:rPr>
          <w:rFonts w:cstheme="minorHAnsi"/>
          <w:sz w:val="20"/>
          <w:szCs w:val="20"/>
        </w:rPr>
        <w:t>relevant risk management standards. As part of the development of the risk management plan, a detailed risk register was created identifying potential risks to the project</w:t>
      </w:r>
      <w:r w:rsidR="00EF6B11" w:rsidRPr="007334C5">
        <w:rPr>
          <w:rFonts w:cstheme="minorHAnsi"/>
          <w:sz w:val="20"/>
          <w:szCs w:val="20"/>
        </w:rPr>
        <w:t>,</w:t>
      </w:r>
      <w:r w:rsidR="00660E9C" w:rsidRPr="007334C5">
        <w:rPr>
          <w:rFonts w:cstheme="minorHAnsi"/>
          <w:sz w:val="20"/>
          <w:szCs w:val="20"/>
        </w:rPr>
        <w:t xml:space="preserve"> should it be implemented. The risk register covered all key project risk areas, including but not limited to </w:t>
      </w:r>
      <w:r w:rsidR="00B33512" w:rsidRPr="007334C5">
        <w:rPr>
          <w:rFonts w:cstheme="minorHAnsi"/>
          <w:sz w:val="20"/>
          <w:szCs w:val="20"/>
        </w:rPr>
        <w:t xml:space="preserve">the </w:t>
      </w:r>
      <w:r w:rsidR="00660E9C" w:rsidRPr="007334C5">
        <w:rPr>
          <w:rFonts w:cstheme="minorHAnsi"/>
          <w:sz w:val="20"/>
          <w:szCs w:val="20"/>
        </w:rPr>
        <w:t xml:space="preserve">scope, project management and financial management.  </w:t>
      </w:r>
    </w:p>
    <w:p w:rsidR="00B70564" w:rsidRPr="007334C5" w:rsidRDefault="00DE4F89" w:rsidP="00576A25">
      <w:pPr>
        <w:spacing w:before="120" w:after="120" w:line="240" w:lineRule="auto"/>
        <w:rPr>
          <w:rFonts w:cstheme="minorHAnsi"/>
          <w:sz w:val="20"/>
          <w:szCs w:val="20"/>
        </w:rPr>
      </w:pPr>
      <w:r w:rsidRPr="007334C5">
        <w:rPr>
          <w:rFonts w:cstheme="minorHAnsi"/>
          <w:sz w:val="20"/>
          <w:szCs w:val="20"/>
        </w:rPr>
        <w:t>Following the approval of the business case, a risk management workshop was held to validate risks</w:t>
      </w:r>
      <w:r w:rsidR="00B70564" w:rsidRPr="007334C5">
        <w:rPr>
          <w:rFonts w:cstheme="minorHAnsi"/>
          <w:sz w:val="20"/>
          <w:szCs w:val="20"/>
        </w:rPr>
        <w:t xml:space="preserve"> identified during the business case</w:t>
      </w:r>
      <w:r w:rsidRPr="007334C5">
        <w:rPr>
          <w:rFonts w:cstheme="minorHAnsi"/>
          <w:sz w:val="20"/>
          <w:szCs w:val="20"/>
        </w:rPr>
        <w:t xml:space="preserve"> and identify additional project risks. This formed the </w:t>
      </w:r>
      <w:r w:rsidR="00B70564" w:rsidRPr="007334C5">
        <w:rPr>
          <w:rFonts w:cstheme="minorHAnsi"/>
          <w:sz w:val="20"/>
          <w:szCs w:val="20"/>
        </w:rPr>
        <w:t>basis</w:t>
      </w:r>
      <w:r w:rsidRPr="007334C5">
        <w:rPr>
          <w:rFonts w:cstheme="minorHAnsi"/>
          <w:sz w:val="20"/>
          <w:szCs w:val="20"/>
        </w:rPr>
        <w:t xml:space="preserve"> of the risk register </w:t>
      </w:r>
      <w:r w:rsidR="00B70564" w:rsidRPr="007334C5">
        <w:rPr>
          <w:rFonts w:cstheme="minorHAnsi"/>
          <w:sz w:val="20"/>
          <w:szCs w:val="20"/>
        </w:rPr>
        <w:t>maintained</w:t>
      </w:r>
      <w:r w:rsidRPr="007334C5">
        <w:rPr>
          <w:rFonts w:cstheme="minorHAnsi"/>
          <w:sz w:val="20"/>
          <w:szCs w:val="20"/>
        </w:rPr>
        <w:t xml:space="preserve"> for the</w:t>
      </w:r>
      <w:r w:rsidR="00B70564" w:rsidRPr="007334C5">
        <w:rPr>
          <w:rFonts w:cstheme="minorHAnsi"/>
          <w:sz w:val="20"/>
          <w:szCs w:val="20"/>
        </w:rPr>
        <w:t xml:space="preserve"> life of the </w:t>
      </w:r>
      <w:r w:rsidRPr="007334C5">
        <w:rPr>
          <w:rFonts w:cstheme="minorHAnsi"/>
          <w:sz w:val="20"/>
          <w:szCs w:val="20"/>
        </w:rPr>
        <w:t>project. The</w:t>
      </w:r>
      <w:r w:rsidR="00253854" w:rsidRPr="007334C5">
        <w:rPr>
          <w:rFonts w:cstheme="minorHAnsi"/>
          <w:sz w:val="20"/>
          <w:szCs w:val="20"/>
        </w:rPr>
        <w:t xml:space="preserve"> </w:t>
      </w:r>
      <w:r w:rsidR="00066B61" w:rsidRPr="007334C5">
        <w:rPr>
          <w:rFonts w:cstheme="minorHAnsi"/>
          <w:sz w:val="20"/>
          <w:szCs w:val="20"/>
        </w:rPr>
        <w:t>detailed</w:t>
      </w:r>
      <w:r w:rsidR="009E10EA" w:rsidRPr="007334C5">
        <w:rPr>
          <w:rFonts w:cstheme="minorHAnsi"/>
          <w:sz w:val="20"/>
          <w:szCs w:val="20"/>
        </w:rPr>
        <w:t xml:space="preserve"> project</w:t>
      </w:r>
      <w:r w:rsidR="00066B61" w:rsidRPr="007334C5">
        <w:rPr>
          <w:rFonts w:cstheme="minorHAnsi"/>
          <w:sz w:val="20"/>
          <w:szCs w:val="20"/>
        </w:rPr>
        <w:t xml:space="preserve"> risk register</w:t>
      </w:r>
      <w:r w:rsidR="00253854" w:rsidRPr="007334C5">
        <w:rPr>
          <w:rFonts w:cstheme="minorHAnsi"/>
          <w:sz w:val="20"/>
          <w:szCs w:val="20"/>
        </w:rPr>
        <w:t xml:space="preserve"> </w:t>
      </w:r>
      <w:r w:rsidR="009E10EA" w:rsidRPr="007334C5">
        <w:rPr>
          <w:rFonts w:cstheme="minorHAnsi"/>
          <w:sz w:val="20"/>
          <w:szCs w:val="20"/>
        </w:rPr>
        <w:t>covers</w:t>
      </w:r>
      <w:r w:rsidR="00066B61" w:rsidRPr="007334C5">
        <w:rPr>
          <w:rFonts w:cstheme="minorHAnsi"/>
          <w:sz w:val="20"/>
          <w:szCs w:val="20"/>
        </w:rPr>
        <w:t xml:space="preserve"> a broad range of </w:t>
      </w:r>
      <w:r w:rsidR="005D268D" w:rsidRPr="007334C5">
        <w:rPr>
          <w:rFonts w:cstheme="minorHAnsi"/>
          <w:sz w:val="20"/>
          <w:szCs w:val="20"/>
        </w:rPr>
        <w:t xml:space="preserve">administrative </w:t>
      </w:r>
      <w:r w:rsidR="00B70564" w:rsidRPr="007334C5">
        <w:rPr>
          <w:rFonts w:cstheme="minorHAnsi"/>
          <w:sz w:val="20"/>
          <w:szCs w:val="20"/>
        </w:rPr>
        <w:t>and delivery risks</w:t>
      </w:r>
      <w:r w:rsidR="00066B61" w:rsidRPr="007334C5">
        <w:rPr>
          <w:rFonts w:cstheme="minorHAnsi"/>
          <w:sz w:val="20"/>
          <w:szCs w:val="20"/>
        </w:rPr>
        <w:t xml:space="preserve">. Each risk is rated </w:t>
      </w:r>
      <w:r w:rsidR="00B70564" w:rsidRPr="007334C5">
        <w:rPr>
          <w:rFonts w:cstheme="minorHAnsi"/>
          <w:sz w:val="20"/>
          <w:szCs w:val="20"/>
        </w:rPr>
        <w:t xml:space="preserve">and </w:t>
      </w:r>
      <w:r w:rsidR="00066B61" w:rsidRPr="007334C5">
        <w:rPr>
          <w:rFonts w:cstheme="minorHAnsi"/>
          <w:sz w:val="20"/>
          <w:szCs w:val="20"/>
        </w:rPr>
        <w:t>provided a mitigation strategy.</w:t>
      </w:r>
      <w:r w:rsidR="00506E89" w:rsidRPr="007334C5">
        <w:rPr>
          <w:rFonts w:cstheme="minorHAnsi"/>
          <w:sz w:val="20"/>
          <w:szCs w:val="20"/>
        </w:rPr>
        <w:t xml:space="preserve"> </w:t>
      </w:r>
      <w:r w:rsidR="002A62AE" w:rsidRPr="007334C5">
        <w:rPr>
          <w:rFonts w:cstheme="minorHAnsi"/>
          <w:sz w:val="20"/>
          <w:szCs w:val="20"/>
        </w:rPr>
        <w:t xml:space="preserve">DoI Water </w:t>
      </w:r>
      <w:r w:rsidR="00832C0D" w:rsidRPr="007334C5">
        <w:rPr>
          <w:rFonts w:cstheme="minorHAnsi"/>
          <w:sz w:val="20"/>
          <w:szCs w:val="20"/>
        </w:rPr>
        <w:t xml:space="preserve">review and update the risk register at least </w:t>
      </w:r>
      <w:r w:rsidR="00CC7CB2" w:rsidRPr="007334C5">
        <w:rPr>
          <w:rFonts w:cstheme="minorHAnsi"/>
          <w:sz w:val="20"/>
          <w:szCs w:val="20"/>
        </w:rPr>
        <w:t>quarterly</w:t>
      </w:r>
      <w:r w:rsidR="00832C0D" w:rsidRPr="007334C5">
        <w:rPr>
          <w:rFonts w:cstheme="minorHAnsi"/>
          <w:sz w:val="20"/>
          <w:szCs w:val="20"/>
        </w:rPr>
        <w:t xml:space="preserve"> prior to </w:t>
      </w:r>
      <w:r w:rsidRPr="007334C5">
        <w:rPr>
          <w:rFonts w:cstheme="minorHAnsi"/>
          <w:sz w:val="20"/>
          <w:szCs w:val="20"/>
        </w:rPr>
        <w:t xml:space="preserve">each </w:t>
      </w:r>
      <w:r w:rsidR="00832C0D" w:rsidRPr="007334C5">
        <w:rPr>
          <w:rFonts w:cstheme="minorHAnsi"/>
          <w:sz w:val="20"/>
          <w:szCs w:val="20"/>
        </w:rPr>
        <w:t xml:space="preserve">PGG meeting. </w:t>
      </w:r>
    </w:p>
    <w:p w:rsidR="00B70564" w:rsidRPr="007334C5" w:rsidRDefault="00B70564" w:rsidP="00F74EDA">
      <w:pPr>
        <w:spacing w:before="120" w:after="120" w:line="240" w:lineRule="auto"/>
        <w:rPr>
          <w:rFonts w:cstheme="minorHAnsi"/>
          <w:sz w:val="20"/>
          <w:szCs w:val="20"/>
        </w:rPr>
      </w:pPr>
      <w:r w:rsidRPr="007334C5">
        <w:rPr>
          <w:rFonts w:cstheme="minorHAnsi"/>
          <w:sz w:val="20"/>
          <w:szCs w:val="20"/>
        </w:rPr>
        <w:t>Project risks and issues appeared to</w:t>
      </w:r>
      <w:r w:rsidR="0022344D" w:rsidRPr="007334C5">
        <w:rPr>
          <w:rFonts w:cstheme="minorHAnsi"/>
          <w:sz w:val="20"/>
          <w:szCs w:val="20"/>
        </w:rPr>
        <w:t xml:space="preserve"> be</w:t>
      </w:r>
      <w:r w:rsidRPr="007334C5">
        <w:rPr>
          <w:rFonts w:cstheme="minorHAnsi"/>
          <w:sz w:val="20"/>
          <w:szCs w:val="20"/>
        </w:rPr>
        <w:t xml:space="preserve"> regularly report</w:t>
      </w:r>
      <w:r w:rsidR="0022344D" w:rsidRPr="007334C5">
        <w:rPr>
          <w:rFonts w:cstheme="minorHAnsi"/>
          <w:sz w:val="20"/>
          <w:szCs w:val="20"/>
        </w:rPr>
        <w:t>ed</w:t>
      </w:r>
      <w:r w:rsidRPr="007334C5">
        <w:rPr>
          <w:rFonts w:cstheme="minorHAnsi"/>
          <w:sz w:val="20"/>
          <w:szCs w:val="20"/>
        </w:rPr>
        <w:t xml:space="preserve"> through various governance forums including the SPP Management Committee and PGG meetings</w:t>
      </w:r>
      <w:r w:rsidR="005D268D" w:rsidRPr="007334C5">
        <w:rPr>
          <w:rFonts w:cstheme="minorHAnsi"/>
          <w:sz w:val="20"/>
          <w:szCs w:val="20"/>
        </w:rPr>
        <w:t>,</w:t>
      </w:r>
      <w:r w:rsidR="0022344D" w:rsidRPr="007334C5">
        <w:rPr>
          <w:rFonts w:cstheme="minorHAnsi"/>
          <w:sz w:val="20"/>
          <w:szCs w:val="20"/>
        </w:rPr>
        <w:t xml:space="preserve"> as well as operational project meetings</w:t>
      </w:r>
      <w:r w:rsidRPr="007334C5">
        <w:rPr>
          <w:rFonts w:cstheme="minorHAnsi"/>
          <w:sz w:val="20"/>
          <w:szCs w:val="20"/>
        </w:rPr>
        <w:t xml:space="preserve">. </w:t>
      </w:r>
      <w:r w:rsidR="00063038" w:rsidRPr="007334C5">
        <w:rPr>
          <w:rFonts w:cstheme="minorHAnsi"/>
          <w:sz w:val="20"/>
          <w:szCs w:val="20"/>
        </w:rPr>
        <w:t>A summary of key risks</w:t>
      </w:r>
      <w:r w:rsidR="0022344D" w:rsidRPr="007334C5">
        <w:rPr>
          <w:rFonts w:cstheme="minorHAnsi"/>
          <w:sz w:val="20"/>
          <w:szCs w:val="20"/>
        </w:rPr>
        <w:t xml:space="preserve"> and issues</w:t>
      </w:r>
      <w:r w:rsidR="00063038" w:rsidRPr="007334C5">
        <w:rPr>
          <w:rFonts w:cstheme="minorHAnsi"/>
          <w:sz w:val="20"/>
          <w:szCs w:val="20"/>
        </w:rPr>
        <w:t xml:space="preserve"> </w:t>
      </w:r>
      <w:r w:rsidR="00E63C35" w:rsidRPr="007334C5">
        <w:rPr>
          <w:rFonts w:cstheme="minorHAnsi"/>
          <w:sz w:val="20"/>
          <w:szCs w:val="20"/>
        </w:rPr>
        <w:t>is</w:t>
      </w:r>
      <w:r w:rsidR="00063038" w:rsidRPr="007334C5">
        <w:rPr>
          <w:rFonts w:cstheme="minorHAnsi"/>
          <w:sz w:val="20"/>
          <w:szCs w:val="20"/>
        </w:rPr>
        <w:t xml:space="preserve"> included in each highlight report, with the detailed risk register attached for reference. </w:t>
      </w:r>
      <w:r w:rsidRPr="007334C5">
        <w:rPr>
          <w:rFonts w:cstheme="minorHAnsi"/>
          <w:sz w:val="20"/>
          <w:szCs w:val="20"/>
        </w:rPr>
        <w:t xml:space="preserve">Key risks and issues are also reported to </w:t>
      </w:r>
      <w:r w:rsidR="000D10B1" w:rsidRPr="007334C5">
        <w:rPr>
          <w:rFonts w:cstheme="minorHAnsi"/>
          <w:sz w:val="20"/>
          <w:szCs w:val="20"/>
        </w:rPr>
        <w:t>the NSW E</w:t>
      </w:r>
      <w:r w:rsidRPr="007334C5">
        <w:rPr>
          <w:rFonts w:cstheme="minorHAnsi"/>
          <w:sz w:val="20"/>
          <w:szCs w:val="20"/>
        </w:rPr>
        <w:t xml:space="preserve">xecutive through monthly project </w:t>
      </w:r>
      <w:r w:rsidR="0022344D" w:rsidRPr="007334C5">
        <w:rPr>
          <w:rFonts w:cstheme="minorHAnsi"/>
          <w:sz w:val="20"/>
          <w:szCs w:val="20"/>
        </w:rPr>
        <w:t xml:space="preserve">status </w:t>
      </w:r>
      <w:r w:rsidRPr="007334C5">
        <w:rPr>
          <w:rFonts w:cstheme="minorHAnsi"/>
          <w:sz w:val="20"/>
          <w:szCs w:val="20"/>
        </w:rPr>
        <w:t>reports.</w:t>
      </w:r>
    </w:p>
    <w:p w:rsidR="0022344D" w:rsidRPr="007334C5" w:rsidRDefault="0022344D" w:rsidP="00F74EDA">
      <w:pPr>
        <w:spacing w:before="120" w:after="120" w:line="240" w:lineRule="auto"/>
        <w:rPr>
          <w:rFonts w:cstheme="minorHAnsi"/>
          <w:sz w:val="20"/>
          <w:szCs w:val="20"/>
        </w:rPr>
      </w:pPr>
      <w:r w:rsidRPr="007334C5">
        <w:rPr>
          <w:rFonts w:cstheme="minorHAnsi"/>
          <w:sz w:val="20"/>
          <w:szCs w:val="20"/>
        </w:rPr>
        <w:t xml:space="preserve">As noted in Section 3.1, </w:t>
      </w:r>
      <w:r w:rsidR="002A62AE" w:rsidRPr="007334C5">
        <w:rPr>
          <w:rFonts w:cstheme="minorHAnsi"/>
          <w:sz w:val="20"/>
          <w:szCs w:val="20"/>
        </w:rPr>
        <w:t xml:space="preserve">DoI Water </w:t>
      </w:r>
      <w:r w:rsidRPr="007334C5">
        <w:rPr>
          <w:rFonts w:cstheme="minorHAnsi"/>
          <w:sz w:val="20"/>
          <w:szCs w:val="20"/>
        </w:rPr>
        <w:t>have</w:t>
      </w:r>
      <w:r w:rsidR="00E139DC" w:rsidRPr="007334C5">
        <w:rPr>
          <w:rFonts w:cstheme="minorHAnsi"/>
          <w:sz w:val="20"/>
          <w:szCs w:val="20"/>
        </w:rPr>
        <w:t xml:space="preserve"> also</w:t>
      </w:r>
      <w:r w:rsidRPr="007334C5">
        <w:rPr>
          <w:rFonts w:cstheme="minorHAnsi"/>
          <w:sz w:val="20"/>
          <w:szCs w:val="20"/>
        </w:rPr>
        <w:t xml:space="preserve"> completed a scoping </w:t>
      </w:r>
      <w:r w:rsidR="00A74D1F" w:rsidRPr="007334C5">
        <w:rPr>
          <w:rFonts w:cstheme="minorHAnsi"/>
          <w:sz w:val="20"/>
          <w:szCs w:val="20"/>
        </w:rPr>
        <w:t>review</w:t>
      </w:r>
      <w:r w:rsidR="00E139DC" w:rsidRPr="007334C5">
        <w:rPr>
          <w:rFonts w:cstheme="minorHAnsi"/>
          <w:sz w:val="20"/>
          <w:szCs w:val="20"/>
        </w:rPr>
        <w:t xml:space="preserve"> exploring risks impacting the project. This was</w:t>
      </w:r>
      <w:r w:rsidR="00E038DD" w:rsidRPr="007334C5">
        <w:rPr>
          <w:rFonts w:cstheme="minorHAnsi"/>
          <w:sz w:val="20"/>
          <w:szCs w:val="20"/>
        </w:rPr>
        <w:t xml:space="preserve"> </w:t>
      </w:r>
      <w:r w:rsidR="00E139DC" w:rsidRPr="007334C5">
        <w:rPr>
          <w:rFonts w:cstheme="minorHAnsi"/>
          <w:sz w:val="20"/>
          <w:szCs w:val="20"/>
        </w:rPr>
        <w:t xml:space="preserve">presented </w:t>
      </w:r>
      <w:r w:rsidR="00E038DD" w:rsidRPr="007334C5">
        <w:rPr>
          <w:rFonts w:cstheme="minorHAnsi"/>
          <w:sz w:val="20"/>
          <w:szCs w:val="20"/>
        </w:rPr>
        <w:t>to the Commonwealth</w:t>
      </w:r>
      <w:r w:rsidR="00E139DC" w:rsidRPr="007334C5">
        <w:rPr>
          <w:rFonts w:cstheme="minorHAnsi"/>
          <w:sz w:val="20"/>
          <w:szCs w:val="20"/>
        </w:rPr>
        <w:t xml:space="preserve"> (in draft) </w:t>
      </w:r>
      <w:r w:rsidRPr="007334C5">
        <w:rPr>
          <w:rFonts w:cstheme="minorHAnsi"/>
          <w:sz w:val="20"/>
          <w:szCs w:val="20"/>
        </w:rPr>
        <w:t xml:space="preserve">in </w:t>
      </w:r>
      <w:r w:rsidR="00E05A32" w:rsidRPr="007334C5">
        <w:rPr>
          <w:rFonts w:cstheme="minorHAnsi"/>
          <w:sz w:val="20"/>
          <w:szCs w:val="20"/>
        </w:rPr>
        <w:t>September 2017</w:t>
      </w:r>
      <w:r w:rsidR="00E139DC" w:rsidRPr="007334C5">
        <w:rPr>
          <w:rFonts w:cstheme="minorHAnsi"/>
          <w:sz w:val="20"/>
          <w:szCs w:val="20"/>
        </w:rPr>
        <w:t xml:space="preserve"> and finalised by DoI Water in May 2018</w:t>
      </w:r>
      <w:r w:rsidRPr="007334C5">
        <w:rPr>
          <w:rFonts w:cstheme="minorHAnsi"/>
          <w:sz w:val="20"/>
          <w:szCs w:val="20"/>
        </w:rPr>
        <w:t xml:space="preserve">.  </w:t>
      </w:r>
    </w:p>
    <w:p w:rsidR="00375BC3" w:rsidRPr="007334C5" w:rsidRDefault="009E10EA" w:rsidP="00F74EDA">
      <w:pPr>
        <w:spacing w:before="120" w:after="120" w:line="240" w:lineRule="auto"/>
        <w:rPr>
          <w:rFonts w:cstheme="minorHAnsi"/>
          <w:sz w:val="20"/>
          <w:szCs w:val="20"/>
        </w:rPr>
      </w:pPr>
      <w:r w:rsidRPr="007334C5">
        <w:rPr>
          <w:rFonts w:cstheme="minorHAnsi"/>
          <w:sz w:val="20"/>
          <w:szCs w:val="20"/>
        </w:rPr>
        <w:t xml:space="preserve">DoI Water </w:t>
      </w:r>
      <w:r w:rsidR="0022344D" w:rsidRPr="007334C5">
        <w:rPr>
          <w:rFonts w:cstheme="minorHAnsi"/>
          <w:sz w:val="20"/>
          <w:szCs w:val="20"/>
        </w:rPr>
        <w:t xml:space="preserve">appear to have </w:t>
      </w:r>
      <w:r w:rsidR="00B70564" w:rsidRPr="007334C5">
        <w:rPr>
          <w:rFonts w:cstheme="minorHAnsi"/>
          <w:sz w:val="20"/>
          <w:szCs w:val="20"/>
        </w:rPr>
        <w:t>established relevant risk management processes and controls to manage risks and issue</w:t>
      </w:r>
      <w:r w:rsidR="005D268D" w:rsidRPr="007334C5">
        <w:rPr>
          <w:rFonts w:cstheme="minorHAnsi"/>
          <w:sz w:val="20"/>
          <w:szCs w:val="20"/>
        </w:rPr>
        <w:t xml:space="preserve">s and </w:t>
      </w:r>
      <w:r w:rsidR="00B70564" w:rsidRPr="007334C5">
        <w:rPr>
          <w:rFonts w:cstheme="minorHAnsi"/>
          <w:sz w:val="20"/>
          <w:szCs w:val="20"/>
        </w:rPr>
        <w:t xml:space="preserve">reporting appeared to be regular and fit for purpose. </w:t>
      </w:r>
      <w:r w:rsidR="00B70564" w:rsidRPr="007334C5">
        <w:rPr>
          <w:rFonts w:cstheme="minorHAnsi"/>
          <w:sz w:val="20"/>
        </w:rPr>
        <w:t xml:space="preserve"> </w:t>
      </w:r>
    </w:p>
    <w:p w:rsidR="003E345A" w:rsidRPr="007334C5" w:rsidRDefault="003E345A" w:rsidP="006C78A9">
      <w:pPr>
        <w:pStyle w:val="Heading2"/>
        <w:rPr>
          <w:rFonts w:asciiTheme="minorHAnsi" w:hAnsiTheme="minorHAnsi" w:cstheme="minorHAnsi"/>
        </w:rPr>
      </w:pPr>
      <w:bookmarkStart w:id="20" w:name="_Toc535401136"/>
      <w:r w:rsidRPr="007334C5">
        <w:rPr>
          <w:rFonts w:asciiTheme="minorHAnsi" w:hAnsiTheme="minorHAnsi" w:cstheme="minorHAnsi"/>
        </w:rPr>
        <w:t>Financial management</w:t>
      </w:r>
      <w:bookmarkEnd w:id="20"/>
    </w:p>
    <w:p w:rsidR="00410604" w:rsidRPr="007334C5" w:rsidRDefault="005920AB" w:rsidP="00F74EDA">
      <w:pPr>
        <w:keepNext/>
        <w:shd w:val="clear" w:color="auto" w:fill="E7E6E6" w:themeFill="background2"/>
        <w:rPr>
          <w:rFonts w:cstheme="minorHAnsi"/>
          <w:i/>
          <w:color w:val="000000" w:themeColor="text1"/>
          <w:sz w:val="20"/>
          <w:szCs w:val="20"/>
        </w:rPr>
      </w:pPr>
      <w:r w:rsidRPr="007334C5">
        <w:rPr>
          <w:rFonts w:cstheme="minorHAnsi"/>
          <w:i/>
          <w:sz w:val="20"/>
          <w:szCs w:val="20"/>
        </w:rPr>
        <w:t>DoI Water have implemented a number of processes, controls and systems to manage and monitor project expenditure however, processes could be improved to ensure documentation supporting individual scheme payments is retained and accessible.</w:t>
      </w:r>
    </w:p>
    <w:p w:rsidR="004A4628" w:rsidRPr="007334C5" w:rsidRDefault="004A4628" w:rsidP="0031631F">
      <w:pPr>
        <w:spacing w:before="120" w:after="120" w:line="240" w:lineRule="auto"/>
        <w:rPr>
          <w:rFonts w:cstheme="minorHAnsi"/>
          <w:sz w:val="20"/>
          <w:szCs w:val="20"/>
        </w:rPr>
      </w:pPr>
      <w:r w:rsidRPr="007334C5">
        <w:rPr>
          <w:rFonts w:cstheme="minorHAnsi"/>
          <w:sz w:val="20"/>
          <w:szCs w:val="20"/>
        </w:rPr>
        <w:t>KPMG assessed the adequacy of key systems, processes and controls relating to the tracking of budgets, actual expenditure and project schedules as well as acquittal</w:t>
      </w:r>
      <w:r w:rsidR="00CF0070" w:rsidRPr="007334C5">
        <w:rPr>
          <w:rFonts w:cstheme="minorHAnsi"/>
          <w:sz w:val="20"/>
          <w:szCs w:val="20"/>
        </w:rPr>
        <w:t xml:space="preserve"> of funds</w:t>
      </w:r>
      <w:r w:rsidRPr="007334C5">
        <w:rPr>
          <w:rFonts w:cstheme="minorHAnsi"/>
          <w:sz w:val="20"/>
          <w:szCs w:val="20"/>
        </w:rPr>
        <w:t xml:space="preserve"> and milestone</w:t>
      </w:r>
      <w:r w:rsidR="00670892" w:rsidRPr="007334C5">
        <w:rPr>
          <w:rFonts w:cstheme="minorHAnsi"/>
          <w:sz w:val="20"/>
          <w:szCs w:val="20"/>
        </w:rPr>
        <w:t>s outlined in the Basin Pipe Schedule to the WMPA</w:t>
      </w:r>
      <w:r w:rsidRPr="007334C5">
        <w:rPr>
          <w:rFonts w:cstheme="minorHAnsi"/>
          <w:sz w:val="20"/>
          <w:szCs w:val="20"/>
        </w:rPr>
        <w:t>.</w:t>
      </w:r>
    </w:p>
    <w:p w:rsidR="004A4628" w:rsidRPr="007334C5" w:rsidRDefault="004A4628" w:rsidP="004A4628">
      <w:pPr>
        <w:pStyle w:val="Heading3"/>
        <w:spacing w:before="120"/>
        <w:rPr>
          <w:rFonts w:asciiTheme="minorHAnsi" w:hAnsiTheme="minorHAnsi" w:cstheme="minorHAnsi"/>
          <w:sz w:val="20"/>
          <w:szCs w:val="20"/>
        </w:rPr>
      </w:pPr>
      <w:r w:rsidRPr="007334C5">
        <w:rPr>
          <w:rFonts w:asciiTheme="minorHAnsi" w:hAnsiTheme="minorHAnsi" w:cstheme="minorHAnsi"/>
          <w:sz w:val="20"/>
          <w:szCs w:val="20"/>
        </w:rPr>
        <w:t>Basin Pipe</w:t>
      </w:r>
      <w:r w:rsidR="00D07FA4" w:rsidRPr="007334C5">
        <w:rPr>
          <w:rFonts w:asciiTheme="minorHAnsi" w:hAnsiTheme="minorHAnsi" w:cstheme="minorHAnsi"/>
          <w:sz w:val="20"/>
          <w:szCs w:val="20"/>
        </w:rPr>
        <w:t xml:space="preserve"> Project f</w:t>
      </w:r>
      <w:r w:rsidRPr="007334C5">
        <w:rPr>
          <w:rFonts w:asciiTheme="minorHAnsi" w:hAnsiTheme="minorHAnsi" w:cstheme="minorHAnsi"/>
          <w:sz w:val="20"/>
          <w:szCs w:val="20"/>
        </w:rPr>
        <w:t xml:space="preserve">inancial </w:t>
      </w:r>
      <w:r w:rsidR="00D07FA4" w:rsidRPr="007334C5">
        <w:rPr>
          <w:rFonts w:asciiTheme="minorHAnsi" w:hAnsiTheme="minorHAnsi" w:cstheme="minorHAnsi"/>
          <w:sz w:val="20"/>
          <w:szCs w:val="20"/>
        </w:rPr>
        <w:t>m</w:t>
      </w:r>
      <w:r w:rsidRPr="007334C5">
        <w:rPr>
          <w:rFonts w:asciiTheme="minorHAnsi" w:hAnsiTheme="minorHAnsi" w:cstheme="minorHAnsi"/>
          <w:sz w:val="20"/>
          <w:szCs w:val="20"/>
        </w:rPr>
        <w:t xml:space="preserve">anagement </w:t>
      </w:r>
    </w:p>
    <w:p w:rsidR="004A4628" w:rsidRPr="007334C5" w:rsidRDefault="004A4628" w:rsidP="004A4628">
      <w:pPr>
        <w:spacing w:before="120" w:after="120" w:line="240" w:lineRule="auto"/>
        <w:rPr>
          <w:rFonts w:cstheme="minorHAnsi"/>
          <w:sz w:val="20"/>
          <w:szCs w:val="20"/>
        </w:rPr>
      </w:pPr>
      <w:r w:rsidRPr="007334C5">
        <w:rPr>
          <w:rFonts w:cstheme="minorHAnsi"/>
          <w:sz w:val="20"/>
          <w:szCs w:val="20"/>
        </w:rPr>
        <w:t xml:space="preserve">DoI Water appears to have appropriate financial management controls in place to manage and monitor project expenditure and acquittal of funds to the Commonwealth. </w:t>
      </w:r>
    </w:p>
    <w:p w:rsidR="003C478C" w:rsidRPr="007334C5" w:rsidRDefault="00E620E1" w:rsidP="00576A25">
      <w:pPr>
        <w:spacing w:before="120" w:after="120" w:line="240" w:lineRule="auto"/>
        <w:rPr>
          <w:rFonts w:cstheme="minorHAnsi"/>
          <w:sz w:val="20"/>
          <w:szCs w:val="20"/>
        </w:rPr>
      </w:pPr>
      <w:r w:rsidRPr="007334C5">
        <w:rPr>
          <w:rFonts w:cstheme="minorHAnsi"/>
          <w:sz w:val="20"/>
          <w:szCs w:val="20"/>
        </w:rPr>
        <w:t>DoI Water</w:t>
      </w:r>
      <w:r w:rsidR="00442413" w:rsidRPr="007334C5">
        <w:rPr>
          <w:rFonts w:cstheme="minorHAnsi"/>
          <w:sz w:val="20"/>
          <w:szCs w:val="20"/>
        </w:rPr>
        <w:t xml:space="preserve"> claim payments from the Commonwealth based on milestones outlined in the </w:t>
      </w:r>
      <w:r w:rsidR="00670892" w:rsidRPr="007334C5">
        <w:rPr>
          <w:rFonts w:cstheme="minorHAnsi"/>
          <w:sz w:val="20"/>
          <w:szCs w:val="20"/>
        </w:rPr>
        <w:t>Basin Pipe Schedule to the WMPA</w:t>
      </w:r>
      <w:r w:rsidR="00442413" w:rsidRPr="007334C5">
        <w:rPr>
          <w:rFonts w:cstheme="minorHAnsi"/>
          <w:sz w:val="20"/>
          <w:szCs w:val="20"/>
        </w:rPr>
        <w:t>. The progress milestones claims are determined based on the value of an agreed proportion of water savings expected to be delivered through schemes and transferred to the Commonwealth.</w:t>
      </w:r>
      <w:r w:rsidR="003C478C" w:rsidRPr="007334C5">
        <w:rPr>
          <w:rFonts w:cstheme="minorHAnsi"/>
          <w:sz w:val="20"/>
          <w:szCs w:val="20"/>
        </w:rPr>
        <w:t xml:space="preserve"> Based on a review of a sample of payment claims, DoI Water appear to be claiming funds in accordance with </w:t>
      </w:r>
      <w:r w:rsidR="009E10EA" w:rsidRPr="007334C5">
        <w:rPr>
          <w:rFonts w:cstheme="minorHAnsi"/>
          <w:sz w:val="20"/>
          <w:szCs w:val="20"/>
        </w:rPr>
        <w:t xml:space="preserve">the </w:t>
      </w:r>
      <w:r w:rsidR="003C478C" w:rsidRPr="007334C5">
        <w:rPr>
          <w:rFonts w:cstheme="minorHAnsi"/>
          <w:sz w:val="20"/>
          <w:szCs w:val="20"/>
        </w:rPr>
        <w:t xml:space="preserve">WMPA. </w:t>
      </w:r>
    </w:p>
    <w:p w:rsidR="003C478C" w:rsidRPr="007334C5" w:rsidRDefault="003C478C" w:rsidP="00576A25">
      <w:pPr>
        <w:spacing w:before="120" w:after="120" w:line="240" w:lineRule="auto"/>
        <w:rPr>
          <w:rFonts w:cstheme="minorHAnsi"/>
          <w:color w:val="FF0000"/>
          <w:sz w:val="20"/>
          <w:szCs w:val="20"/>
        </w:rPr>
      </w:pPr>
      <w:r w:rsidRPr="007334C5">
        <w:rPr>
          <w:rFonts w:cstheme="minorHAnsi"/>
          <w:sz w:val="20"/>
          <w:szCs w:val="20"/>
        </w:rPr>
        <w:t xml:space="preserve">The Commonwealth funds provided are expected to </w:t>
      </w:r>
      <w:r w:rsidR="00820848" w:rsidRPr="007334C5">
        <w:rPr>
          <w:rFonts w:cstheme="minorHAnsi"/>
          <w:sz w:val="20"/>
          <w:szCs w:val="20"/>
        </w:rPr>
        <w:t>cover all aspects of the delivery of the project, inc</w:t>
      </w:r>
      <w:r w:rsidR="009E10EA" w:rsidRPr="007334C5">
        <w:rPr>
          <w:rFonts w:cstheme="minorHAnsi"/>
          <w:sz w:val="20"/>
          <w:szCs w:val="20"/>
        </w:rPr>
        <w:t xml:space="preserve">luding project administration </w:t>
      </w:r>
      <w:r w:rsidR="00CF0070" w:rsidRPr="007334C5">
        <w:rPr>
          <w:rFonts w:cstheme="minorHAnsi"/>
          <w:sz w:val="20"/>
          <w:szCs w:val="20"/>
        </w:rPr>
        <w:t xml:space="preserve">and the </w:t>
      </w:r>
      <w:r w:rsidR="00820848" w:rsidRPr="007334C5">
        <w:rPr>
          <w:rFonts w:cstheme="minorHAnsi"/>
          <w:sz w:val="20"/>
          <w:szCs w:val="20"/>
        </w:rPr>
        <w:t>planning</w:t>
      </w:r>
      <w:r w:rsidR="009E10EA" w:rsidRPr="007334C5">
        <w:rPr>
          <w:rFonts w:cstheme="minorHAnsi"/>
          <w:sz w:val="20"/>
          <w:szCs w:val="20"/>
        </w:rPr>
        <w:t xml:space="preserve"> and implementation</w:t>
      </w:r>
      <w:r w:rsidR="00820848" w:rsidRPr="007334C5">
        <w:rPr>
          <w:rFonts w:cstheme="minorHAnsi"/>
          <w:sz w:val="20"/>
          <w:szCs w:val="20"/>
        </w:rPr>
        <w:t xml:space="preserve"> </w:t>
      </w:r>
      <w:r w:rsidR="00CF0070" w:rsidRPr="007334C5">
        <w:rPr>
          <w:rFonts w:cstheme="minorHAnsi"/>
          <w:sz w:val="20"/>
          <w:szCs w:val="20"/>
        </w:rPr>
        <w:t xml:space="preserve">of </w:t>
      </w:r>
      <w:r w:rsidR="00820848" w:rsidRPr="007334C5">
        <w:rPr>
          <w:rFonts w:cstheme="minorHAnsi"/>
          <w:sz w:val="20"/>
          <w:szCs w:val="20"/>
        </w:rPr>
        <w:t xml:space="preserve">schemes. The DoI Water contribution to the </w:t>
      </w:r>
      <w:r w:rsidR="000700AC" w:rsidRPr="007334C5">
        <w:rPr>
          <w:rFonts w:cstheme="minorHAnsi"/>
          <w:sz w:val="20"/>
          <w:szCs w:val="20"/>
        </w:rPr>
        <w:t>Basin Pipe Project</w:t>
      </w:r>
      <w:r w:rsidR="00820848" w:rsidRPr="007334C5">
        <w:rPr>
          <w:rFonts w:cstheme="minorHAnsi"/>
          <w:sz w:val="20"/>
          <w:szCs w:val="20"/>
        </w:rPr>
        <w:t xml:space="preserve"> is made via additional water transfers to the Commonwealth. Any expenditure in excess of the Commonwealth funding provided must be covered by the NSW </w:t>
      </w:r>
      <w:r w:rsidR="00B33512" w:rsidRPr="007334C5">
        <w:rPr>
          <w:rFonts w:cstheme="minorHAnsi"/>
          <w:sz w:val="20"/>
          <w:szCs w:val="20"/>
        </w:rPr>
        <w:t>G</w:t>
      </w:r>
      <w:r w:rsidR="00820848" w:rsidRPr="007334C5">
        <w:rPr>
          <w:rFonts w:cstheme="minorHAnsi"/>
          <w:sz w:val="20"/>
          <w:szCs w:val="20"/>
        </w:rPr>
        <w:t>overnment.</w:t>
      </w:r>
    </w:p>
    <w:p w:rsidR="00442413" w:rsidRPr="007334C5" w:rsidRDefault="00442413" w:rsidP="00442413">
      <w:pPr>
        <w:spacing w:before="120" w:after="120" w:line="240" w:lineRule="auto"/>
        <w:rPr>
          <w:rFonts w:cstheme="minorHAnsi"/>
          <w:color w:val="000000" w:themeColor="text1"/>
          <w:sz w:val="20"/>
          <w:szCs w:val="20"/>
        </w:rPr>
      </w:pPr>
      <w:r w:rsidRPr="007334C5">
        <w:rPr>
          <w:rFonts w:cstheme="minorHAnsi"/>
          <w:color w:val="000000" w:themeColor="text1"/>
          <w:sz w:val="20"/>
          <w:szCs w:val="20"/>
        </w:rPr>
        <w:t>D</w:t>
      </w:r>
      <w:r w:rsidR="003C478C" w:rsidRPr="007334C5">
        <w:rPr>
          <w:rFonts w:cstheme="minorHAnsi"/>
          <w:color w:val="000000" w:themeColor="text1"/>
          <w:sz w:val="20"/>
          <w:szCs w:val="20"/>
        </w:rPr>
        <w:t>o</w:t>
      </w:r>
      <w:r w:rsidRPr="007334C5">
        <w:rPr>
          <w:rFonts w:cstheme="minorHAnsi"/>
          <w:color w:val="000000" w:themeColor="text1"/>
          <w:sz w:val="20"/>
          <w:szCs w:val="20"/>
        </w:rPr>
        <w:t xml:space="preserve">I Water highlighted that </w:t>
      </w:r>
      <w:r w:rsidR="003C478C" w:rsidRPr="007334C5">
        <w:rPr>
          <w:rFonts w:cstheme="minorHAnsi"/>
          <w:color w:val="000000" w:themeColor="text1"/>
          <w:sz w:val="20"/>
          <w:szCs w:val="20"/>
        </w:rPr>
        <w:t>there has been</w:t>
      </w:r>
      <w:r w:rsidRPr="007334C5">
        <w:rPr>
          <w:rFonts w:cstheme="minorHAnsi"/>
          <w:color w:val="000000" w:themeColor="text1"/>
          <w:sz w:val="20"/>
          <w:szCs w:val="20"/>
        </w:rPr>
        <w:t xml:space="preserve"> a significant reduction</w:t>
      </w:r>
      <w:r w:rsidR="0057069A" w:rsidRPr="007334C5">
        <w:rPr>
          <w:rFonts w:cstheme="minorHAnsi"/>
          <w:color w:val="000000" w:themeColor="text1"/>
          <w:sz w:val="20"/>
          <w:szCs w:val="20"/>
        </w:rPr>
        <w:t xml:space="preserve"> </w:t>
      </w:r>
      <w:r w:rsidR="00AC2E49" w:rsidRPr="007334C5">
        <w:rPr>
          <w:rFonts w:cstheme="minorHAnsi"/>
          <w:color w:val="000000" w:themeColor="text1"/>
          <w:sz w:val="20"/>
          <w:szCs w:val="20"/>
        </w:rPr>
        <w:t xml:space="preserve">to </w:t>
      </w:r>
      <w:r w:rsidRPr="007334C5">
        <w:rPr>
          <w:rFonts w:cstheme="minorHAnsi"/>
          <w:color w:val="000000" w:themeColor="text1"/>
          <w:sz w:val="20"/>
          <w:szCs w:val="20"/>
        </w:rPr>
        <w:t xml:space="preserve">the required </w:t>
      </w:r>
      <w:r w:rsidR="0057069A" w:rsidRPr="007334C5">
        <w:rPr>
          <w:rFonts w:cstheme="minorHAnsi"/>
          <w:color w:val="000000" w:themeColor="text1"/>
          <w:sz w:val="20"/>
          <w:szCs w:val="20"/>
        </w:rPr>
        <w:t>project funding</w:t>
      </w:r>
      <w:r w:rsidR="003C478C" w:rsidRPr="007334C5">
        <w:rPr>
          <w:rFonts w:cstheme="minorHAnsi"/>
          <w:color w:val="000000" w:themeColor="text1"/>
          <w:sz w:val="20"/>
          <w:szCs w:val="20"/>
        </w:rPr>
        <w:t xml:space="preserve"> due to scope changes</w:t>
      </w:r>
      <w:r w:rsidR="0057069A" w:rsidRPr="007334C5">
        <w:rPr>
          <w:rFonts w:cstheme="minorHAnsi"/>
          <w:color w:val="000000" w:themeColor="text1"/>
          <w:sz w:val="20"/>
          <w:szCs w:val="20"/>
        </w:rPr>
        <w:t xml:space="preserve">. </w:t>
      </w:r>
      <w:r w:rsidR="003C478C" w:rsidRPr="007334C5">
        <w:rPr>
          <w:rFonts w:cstheme="minorHAnsi"/>
          <w:color w:val="000000" w:themeColor="text1"/>
          <w:sz w:val="20"/>
          <w:szCs w:val="20"/>
        </w:rPr>
        <w:t>As a result</w:t>
      </w:r>
      <w:r w:rsidR="00AC2E49" w:rsidRPr="007334C5">
        <w:rPr>
          <w:rFonts w:cstheme="minorHAnsi"/>
          <w:color w:val="000000" w:themeColor="text1"/>
          <w:sz w:val="20"/>
          <w:szCs w:val="20"/>
        </w:rPr>
        <w:t>,</w:t>
      </w:r>
      <w:r w:rsidR="003C478C" w:rsidRPr="007334C5">
        <w:rPr>
          <w:rFonts w:cstheme="minorHAnsi"/>
          <w:color w:val="000000" w:themeColor="text1"/>
          <w:sz w:val="20"/>
          <w:szCs w:val="20"/>
        </w:rPr>
        <w:t xml:space="preserve"> </w:t>
      </w:r>
      <w:r w:rsidR="0057069A" w:rsidRPr="007334C5">
        <w:rPr>
          <w:rFonts w:cstheme="minorHAnsi"/>
          <w:color w:val="000000" w:themeColor="text1"/>
          <w:sz w:val="20"/>
          <w:szCs w:val="20"/>
        </w:rPr>
        <w:t xml:space="preserve">DoI Water </w:t>
      </w:r>
      <w:r w:rsidR="00AD6003" w:rsidRPr="007334C5">
        <w:rPr>
          <w:rFonts w:cstheme="minorHAnsi"/>
          <w:color w:val="000000" w:themeColor="text1"/>
          <w:sz w:val="20"/>
          <w:szCs w:val="20"/>
        </w:rPr>
        <w:t xml:space="preserve">and the Commonwealth have recently negotiated a variation to the Basin Pipe Schedule </w:t>
      </w:r>
      <w:r w:rsidR="0057069A" w:rsidRPr="007334C5">
        <w:rPr>
          <w:rFonts w:cstheme="minorHAnsi"/>
          <w:color w:val="000000" w:themeColor="text1"/>
          <w:sz w:val="20"/>
          <w:szCs w:val="20"/>
        </w:rPr>
        <w:t xml:space="preserve">to the WMPA to reflect this change in funding. </w:t>
      </w:r>
      <w:r w:rsidR="003C478C" w:rsidRPr="007334C5">
        <w:rPr>
          <w:rFonts w:cstheme="minorHAnsi"/>
          <w:color w:val="000000" w:themeColor="text1"/>
          <w:sz w:val="20"/>
          <w:szCs w:val="20"/>
        </w:rPr>
        <w:t>With the reduction in funding requirement</w:t>
      </w:r>
      <w:r w:rsidR="00AD6003" w:rsidRPr="007334C5">
        <w:rPr>
          <w:rFonts w:cstheme="minorHAnsi"/>
          <w:color w:val="000000" w:themeColor="text1"/>
          <w:sz w:val="20"/>
          <w:szCs w:val="20"/>
        </w:rPr>
        <w:t>s</w:t>
      </w:r>
      <w:r w:rsidR="003C478C" w:rsidRPr="007334C5">
        <w:rPr>
          <w:rFonts w:cstheme="minorHAnsi"/>
          <w:color w:val="000000" w:themeColor="text1"/>
          <w:sz w:val="20"/>
          <w:szCs w:val="20"/>
        </w:rPr>
        <w:t xml:space="preserve"> and payment claims </w:t>
      </w:r>
      <w:r w:rsidR="009E10EA" w:rsidRPr="007334C5">
        <w:rPr>
          <w:rFonts w:cstheme="minorHAnsi"/>
          <w:color w:val="000000" w:themeColor="text1"/>
          <w:sz w:val="20"/>
          <w:szCs w:val="20"/>
        </w:rPr>
        <w:t xml:space="preserve">being </w:t>
      </w:r>
      <w:r w:rsidR="003C478C" w:rsidRPr="007334C5">
        <w:rPr>
          <w:rFonts w:cstheme="minorHAnsi"/>
          <w:color w:val="000000" w:themeColor="text1"/>
          <w:sz w:val="20"/>
          <w:szCs w:val="20"/>
        </w:rPr>
        <w:t xml:space="preserve">made in advance, DoI Water has not required additional Commonwealth funds since FY2014/15. </w:t>
      </w:r>
      <w:r w:rsidR="00820848" w:rsidRPr="007334C5">
        <w:rPr>
          <w:rFonts w:cstheme="minorHAnsi"/>
          <w:color w:val="000000" w:themeColor="text1"/>
          <w:sz w:val="20"/>
          <w:szCs w:val="20"/>
        </w:rPr>
        <w:t xml:space="preserve">Funds </w:t>
      </w:r>
      <w:r w:rsidR="00AD6003" w:rsidRPr="007334C5">
        <w:rPr>
          <w:rFonts w:cstheme="minorHAnsi"/>
          <w:color w:val="000000" w:themeColor="text1"/>
          <w:sz w:val="20"/>
          <w:szCs w:val="20"/>
        </w:rPr>
        <w:t xml:space="preserve">have been </w:t>
      </w:r>
      <w:r w:rsidR="00820848" w:rsidRPr="007334C5">
        <w:rPr>
          <w:rFonts w:cstheme="minorHAnsi"/>
          <w:color w:val="000000" w:themeColor="text1"/>
          <w:sz w:val="20"/>
          <w:szCs w:val="20"/>
        </w:rPr>
        <w:t xml:space="preserve">held by the </w:t>
      </w:r>
      <w:r w:rsidR="00820848" w:rsidRPr="007334C5">
        <w:rPr>
          <w:rFonts w:cstheme="minorHAnsi"/>
          <w:sz w:val="20"/>
          <w:szCs w:val="20"/>
        </w:rPr>
        <w:t>NSW Treasury and drawn upon to meet expenditure needs</w:t>
      </w:r>
      <w:r w:rsidR="00820848" w:rsidRPr="007334C5">
        <w:rPr>
          <w:rFonts w:cstheme="minorHAnsi"/>
          <w:color w:val="000000" w:themeColor="text1"/>
          <w:sz w:val="20"/>
          <w:szCs w:val="20"/>
        </w:rPr>
        <w:t xml:space="preserve">. </w:t>
      </w:r>
      <w:r w:rsidR="00820848" w:rsidRPr="007334C5">
        <w:rPr>
          <w:rFonts w:cstheme="minorHAnsi"/>
          <w:sz w:val="20"/>
          <w:szCs w:val="20"/>
        </w:rPr>
        <w:t xml:space="preserve">As per the WMPA, any interest incurred from holding funds </w:t>
      </w:r>
      <w:r w:rsidR="009E10EA" w:rsidRPr="007334C5">
        <w:rPr>
          <w:rFonts w:cstheme="minorHAnsi"/>
          <w:sz w:val="20"/>
          <w:szCs w:val="20"/>
        </w:rPr>
        <w:t>is</w:t>
      </w:r>
      <w:r w:rsidR="00820848" w:rsidRPr="007334C5">
        <w:rPr>
          <w:rFonts w:cstheme="minorHAnsi"/>
          <w:sz w:val="20"/>
          <w:szCs w:val="20"/>
        </w:rPr>
        <w:t xml:space="preserve"> returned to the Commonwealth. A detailed breakdown of</w:t>
      </w:r>
      <w:r w:rsidR="009E10EA" w:rsidRPr="007334C5">
        <w:rPr>
          <w:rFonts w:cstheme="minorHAnsi"/>
          <w:sz w:val="20"/>
          <w:szCs w:val="20"/>
        </w:rPr>
        <w:t xml:space="preserve"> the</w:t>
      </w:r>
      <w:r w:rsidR="00820848" w:rsidRPr="007334C5">
        <w:rPr>
          <w:rFonts w:cstheme="minorHAnsi"/>
          <w:sz w:val="20"/>
          <w:szCs w:val="20"/>
        </w:rPr>
        <w:t xml:space="preserve"> interest earned estimate is provided to DAWR quarterly. </w:t>
      </w:r>
      <w:r w:rsidR="00820848" w:rsidRPr="007334C5">
        <w:rPr>
          <w:rFonts w:cstheme="minorHAnsi"/>
          <w:color w:val="000000" w:themeColor="text1"/>
          <w:sz w:val="20"/>
          <w:szCs w:val="20"/>
        </w:rPr>
        <w:t>DoI Water deduct an</w:t>
      </w:r>
      <w:r w:rsidR="009E10EA" w:rsidRPr="007334C5">
        <w:rPr>
          <w:rFonts w:cstheme="minorHAnsi"/>
          <w:color w:val="000000" w:themeColor="text1"/>
          <w:sz w:val="20"/>
          <w:szCs w:val="20"/>
        </w:rPr>
        <w:t>y</w:t>
      </w:r>
      <w:r w:rsidR="00820848" w:rsidRPr="007334C5">
        <w:rPr>
          <w:rFonts w:cstheme="minorHAnsi"/>
          <w:color w:val="000000" w:themeColor="text1"/>
          <w:sz w:val="20"/>
          <w:szCs w:val="20"/>
        </w:rPr>
        <w:t xml:space="preserve"> interest earned from the following milestone payment claim. Any residual funds will be returned to the Commonwealth at the conclusion of the project</w:t>
      </w:r>
      <w:r w:rsidR="000700AC" w:rsidRPr="007334C5">
        <w:rPr>
          <w:rFonts w:cstheme="minorHAnsi"/>
          <w:color w:val="000000" w:themeColor="text1"/>
          <w:sz w:val="20"/>
          <w:szCs w:val="20"/>
        </w:rPr>
        <w:t xml:space="preserve">, including any outstanding interest earned over the period. </w:t>
      </w:r>
      <w:r w:rsidR="00820848" w:rsidRPr="007334C5">
        <w:rPr>
          <w:rFonts w:cstheme="minorHAnsi"/>
          <w:color w:val="000000" w:themeColor="text1"/>
          <w:sz w:val="20"/>
          <w:szCs w:val="20"/>
        </w:rPr>
        <w:t xml:space="preserve">  </w:t>
      </w:r>
    </w:p>
    <w:p w:rsidR="00CF0070" w:rsidRPr="007334C5" w:rsidRDefault="00D07FA4" w:rsidP="00CF0070">
      <w:pPr>
        <w:pStyle w:val="Heading3"/>
        <w:spacing w:before="120"/>
        <w:rPr>
          <w:rFonts w:asciiTheme="minorHAnsi" w:hAnsiTheme="minorHAnsi" w:cstheme="minorHAnsi"/>
          <w:sz w:val="20"/>
          <w:szCs w:val="20"/>
        </w:rPr>
      </w:pPr>
      <w:r w:rsidRPr="007334C5">
        <w:rPr>
          <w:rFonts w:asciiTheme="minorHAnsi" w:hAnsiTheme="minorHAnsi" w:cstheme="minorHAnsi"/>
          <w:sz w:val="20"/>
          <w:szCs w:val="20"/>
        </w:rPr>
        <w:t>Financial m</w:t>
      </w:r>
      <w:r w:rsidR="00CF0070" w:rsidRPr="007334C5">
        <w:rPr>
          <w:rFonts w:asciiTheme="minorHAnsi" w:hAnsiTheme="minorHAnsi" w:cstheme="minorHAnsi"/>
          <w:sz w:val="20"/>
          <w:szCs w:val="20"/>
        </w:rPr>
        <w:t xml:space="preserve">anagement of </w:t>
      </w:r>
      <w:r w:rsidRPr="007334C5">
        <w:rPr>
          <w:rFonts w:asciiTheme="minorHAnsi" w:hAnsiTheme="minorHAnsi" w:cstheme="minorHAnsi"/>
          <w:sz w:val="20"/>
          <w:szCs w:val="20"/>
        </w:rPr>
        <w:t>s</w:t>
      </w:r>
      <w:r w:rsidR="00CF0070" w:rsidRPr="007334C5">
        <w:rPr>
          <w:rFonts w:asciiTheme="minorHAnsi" w:hAnsiTheme="minorHAnsi" w:cstheme="minorHAnsi"/>
          <w:sz w:val="20"/>
          <w:szCs w:val="20"/>
        </w:rPr>
        <w:t xml:space="preserve">chemes </w:t>
      </w:r>
    </w:p>
    <w:p w:rsidR="00AA5269" w:rsidRPr="007334C5" w:rsidRDefault="00AA5269" w:rsidP="0031631F">
      <w:pPr>
        <w:spacing w:before="120" w:after="120" w:line="240" w:lineRule="auto"/>
        <w:rPr>
          <w:rFonts w:cstheme="minorHAnsi"/>
          <w:color w:val="000000" w:themeColor="text1"/>
          <w:sz w:val="20"/>
          <w:szCs w:val="20"/>
        </w:rPr>
      </w:pPr>
      <w:r w:rsidRPr="007334C5">
        <w:rPr>
          <w:rFonts w:cstheme="minorHAnsi"/>
          <w:color w:val="000000" w:themeColor="text1"/>
          <w:sz w:val="20"/>
          <w:szCs w:val="20"/>
        </w:rPr>
        <w:t xml:space="preserve">As discussed earlier, </w:t>
      </w:r>
      <w:r w:rsidR="00CF0070" w:rsidRPr="007334C5">
        <w:rPr>
          <w:rFonts w:cstheme="minorHAnsi"/>
          <w:color w:val="000000" w:themeColor="text1"/>
          <w:sz w:val="20"/>
          <w:szCs w:val="20"/>
        </w:rPr>
        <w:t>DoI Water is responsible for</w:t>
      </w:r>
      <w:r w:rsidRPr="007334C5">
        <w:rPr>
          <w:rFonts w:cstheme="minorHAnsi"/>
          <w:color w:val="000000" w:themeColor="text1"/>
          <w:sz w:val="20"/>
          <w:szCs w:val="20"/>
        </w:rPr>
        <w:t xml:space="preserve"> </w:t>
      </w:r>
      <w:r w:rsidR="00667DD7" w:rsidRPr="007334C5">
        <w:rPr>
          <w:rFonts w:cstheme="minorHAnsi"/>
          <w:color w:val="000000" w:themeColor="text1"/>
          <w:sz w:val="20"/>
          <w:szCs w:val="20"/>
        </w:rPr>
        <w:t>managing all</w:t>
      </w:r>
      <w:r w:rsidRPr="007334C5">
        <w:rPr>
          <w:rFonts w:cstheme="minorHAnsi"/>
          <w:color w:val="000000" w:themeColor="text1"/>
          <w:sz w:val="20"/>
          <w:szCs w:val="20"/>
        </w:rPr>
        <w:t xml:space="preserve"> aspects of </w:t>
      </w:r>
      <w:r w:rsidR="0062586F" w:rsidRPr="007334C5">
        <w:rPr>
          <w:rFonts w:cstheme="minorHAnsi"/>
          <w:color w:val="000000" w:themeColor="text1"/>
          <w:sz w:val="20"/>
          <w:szCs w:val="20"/>
        </w:rPr>
        <w:t xml:space="preserve">scheme </w:t>
      </w:r>
      <w:r w:rsidR="009E10EA" w:rsidRPr="007334C5">
        <w:rPr>
          <w:rFonts w:cstheme="minorHAnsi"/>
          <w:color w:val="000000" w:themeColor="text1"/>
          <w:sz w:val="20"/>
          <w:szCs w:val="20"/>
        </w:rPr>
        <w:t xml:space="preserve">planning and </w:t>
      </w:r>
      <w:r w:rsidR="0062586F" w:rsidRPr="007334C5">
        <w:rPr>
          <w:rFonts w:cstheme="minorHAnsi"/>
          <w:color w:val="000000" w:themeColor="text1"/>
          <w:sz w:val="20"/>
          <w:szCs w:val="20"/>
        </w:rPr>
        <w:t xml:space="preserve">implementation, including financial and cost management. As part of the </w:t>
      </w:r>
      <w:r w:rsidR="009E10EA" w:rsidRPr="007334C5">
        <w:rPr>
          <w:rFonts w:cstheme="minorHAnsi"/>
          <w:color w:val="000000" w:themeColor="text1"/>
          <w:sz w:val="20"/>
          <w:szCs w:val="20"/>
        </w:rPr>
        <w:t xml:space="preserve">each </w:t>
      </w:r>
      <w:r w:rsidR="0062586F" w:rsidRPr="007334C5">
        <w:rPr>
          <w:rFonts w:cstheme="minorHAnsi"/>
          <w:color w:val="000000" w:themeColor="text1"/>
          <w:sz w:val="20"/>
          <w:szCs w:val="20"/>
        </w:rPr>
        <w:t xml:space="preserve">scheme project description provided to the Commonwealth, DoI Water prepare a scheme budget covering both internal staff costs and service provider costs. This is used as </w:t>
      </w:r>
      <w:r w:rsidR="004D34EB" w:rsidRPr="007334C5">
        <w:rPr>
          <w:rFonts w:cstheme="minorHAnsi"/>
          <w:color w:val="000000" w:themeColor="text1"/>
          <w:sz w:val="20"/>
          <w:szCs w:val="20"/>
        </w:rPr>
        <w:t xml:space="preserve">a </w:t>
      </w:r>
      <w:r w:rsidR="0062586F" w:rsidRPr="007334C5">
        <w:rPr>
          <w:rFonts w:cstheme="minorHAnsi"/>
          <w:color w:val="000000" w:themeColor="text1"/>
          <w:sz w:val="20"/>
          <w:szCs w:val="20"/>
        </w:rPr>
        <w:t>basis</w:t>
      </w:r>
      <w:r w:rsidR="00667DD7" w:rsidRPr="007334C5">
        <w:rPr>
          <w:rFonts w:cstheme="minorHAnsi"/>
          <w:color w:val="000000" w:themeColor="text1"/>
          <w:sz w:val="20"/>
          <w:szCs w:val="20"/>
        </w:rPr>
        <w:t xml:space="preserve"> to track scheme costs. The budget for particular aspects may be refined as detailed technica</w:t>
      </w:r>
      <w:r w:rsidR="00146A71" w:rsidRPr="007334C5">
        <w:rPr>
          <w:rFonts w:cstheme="minorHAnsi"/>
          <w:color w:val="000000" w:themeColor="text1"/>
          <w:sz w:val="20"/>
          <w:szCs w:val="20"/>
        </w:rPr>
        <w:t>l specifications are determined</w:t>
      </w:r>
      <w:r w:rsidR="00667DD7" w:rsidRPr="007334C5">
        <w:rPr>
          <w:rFonts w:cstheme="minorHAnsi"/>
          <w:color w:val="000000" w:themeColor="text1"/>
          <w:sz w:val="20"/>
          <w:szCs w:val="20"/>
        </w:rPr>
        <w:t xml:space="preserve"> however</w:t>
      </w:r>
      <w:r w:rsidR="00071C2C" w:rsidRPr="007334C5">
        <w:rPr>
          <w:rFonts w:cstheme="minorHAnsi"/>
          <w:color w:val="000000" w:themeColor="text1"/>
          <w:sz w:val="20"/>
          <w:szCs w:val="20"/>
        </w:rPr>
        <w:t>,</w:t>
      </w:r>
      <w:r w:rsidR="00667DD7" w:rsidRPr="007334C5">
        <w:rPr>
          <w:rFonts w:cstheme="minorHAnsi"/>
          <w:color w:val="000000" w:themeColor="text1"/>
          <w:sz w:val="20"/>
          <w:szCs w:val="20"/>
        </w:rPr>
        <w:t xml:space="preserve"> the </w:t>
      </w:r>
      <w:r w:rsidR="00670892" w:rsidRPr="007334C5">
        <w:rPr>
          <w:rFonts w:cstheme="minorHAnsi"/>
          <w:color w:val="000000" w:themeColor="text1"/>
          <w:sz w:val="20"/>
          <w:szCs w:val="20"/>
        </w:rPr>
        <w:t xml:space="preserve">funding limit </w:t>
      </w:r>
      <w:r w:rsidR="00667DD7" w:rsidRPr="007334C5">
        <w:rPr>
          <w:rFonts w:cstheme="minorHAnsi"/>
          <w:color w:val="000000" w:themeColor="text1"/>
          <w:sz w:val="20"/>
          <w:szCs w:val="20"/>
        </w:rPr>
        <w:t xml:space="preserve">for each is determined by the </w:t>
      </w:r>
      <w:r w:rsidR="00667DD7" w:rsidRPr="007334C5">
        <w:rPr>
          <w:rFonts w:cstheme="minorHAnsi"/>
          <w:sz w:val="20"/>
          <w:szCs w:val="20"/>
        </w:rPr>
        <w:t xml:space="preserve">value of </w:t>
      </w:r>
      <w:r w:rsidR="00AC6D64" w:rsidRPr="007334C5">
        <w:rPr>
          <w:rFonts w:cstheme="minorHAnsi"/>
          <w:sz w:val="20"/>
          <w:szCs w:val="20"/>
        </w:rPr>
        <w:t xml:space="preserve">the </w:t>
      </w:r>
      <w:r w:rsidR="00667DD7" w:rsidRPr="007334C5">
        <w:rPr>
          <w:rFonts w:cstheme="minorHAnsi"/>
          <w:sz w:val="20"/>
          <w:szCs w:val="20"/>
        </w:rPr>
        <w:t>agreed proportion of water savings expected to be delivered through schemes</w:t>
      </w:r>
      <w:r w:rsidR="00AC6D64" w:rsidRPr="007334C5">
        <w:rPr>
          <w:rFonts w:cstheme="minorHAnsi"/>
          <w:sz w:val="20"/>
          <w:szCs w:val="20"/>
        </w:rPr>
        <w:t xml:space="preserve"> and transferred to the Commonwealth</w:t>
      </w:r>
      <w:r w:rsidR="00667DD7" w:rsidRPr="007334C5">
        <w:rPr>
          <w:rFonts w:cstheme="minorHAnsi"/>
          <w:sz w:val="20"/>
          <w:szCs w:val="20"/>
        </w:rPr>
        <w:t xml:space="preserve">. </w:t>
      </w:r>
      <w:r w:rsidR="00667DD7" w:rsidRPr="007334C5">
        <w:rPr>
          <w:rFonts w:cstheme="minorHAnsi"/>
          <w:color w:val="000000" w:themeColor="text1"/>
          <w:sz w:val="20"/>
          <w:szCs w:val="20"/>
        </w:rPr>
        <w:t xml:space="preserve"> </w:t>
      </w:r>
    </w:p>
    <w:p w:rsidR="00B7132B" w:rsidRPr="007334C5" w:rsidRDefault="00667DD7" w:rsidP="0031631F">
      <w:pPr>
        <w:spacing w:before="120" w:after="120" w:line="240" w:lineRule="auto"/>
        <w:rPr>
          <w:rFonts w:cstheme="minorHAnsi"/>
          <w:color w:val="000000" w:themeColor="text1"/>
          <w:sz w:val="20"/>
          <w:szCs w:val="20"/>
        </w:rPr>
      </w:pPr>
      <w:r w:rsidRPr="007334C5">
        <w:rPr>
          <w:rFonts w:cstheme="minorHAnsi"/>
          <w:color w:val="000000" w:themeColor="text1"/>
          <w:sz w:val="20"/>
          <w:szCs w:val="20"/>
        </w:rPr>
        <w:t xml:space="preserve">The majority of </w:t>
      </w:r>
      <w:r w:rsidR="00AC6D64" w:rsidRPr="007334C5">
        <w:rPr>
          <w:rFonts w:cstheme="minorHAnsi"/>
          <w:color w:val="000000" w:themeColor="text1"/>
          <w:sz w:val="20"/>
          <w:szCs w:val="20"/>
        </w:rPr>
        <w:t>expenses</w:t>
      </w:r>
      <w:r w:rsidRPr="007334C5">
        <w:rPr>
          <w:rFonts w:cstheme="minorHAnsi"/>
          <w:color w:val="000000" w:themeColor="text1"/>
          <w:sz w:val="20"/>
          <w:szCs w:val="20"/>
        </w:rPr>
        <w:t xml:space="preserve"> for each scheme </w:t>
      </w:r>
      <w:r w:rsidR="00AC6D64" w:rsidRPr="007334C5">
        <w:rPr>
          <w:rFonts w:cstheme="minorHAnsi"/>
          <w:color w:val="000000" w:themeColor="text1"/>
          <w:sz w:val="20"/>
          <w:szCs w:val="20"/>
        </w:rPr>
        <w:t>is</w:t>
      </w:r>
      <w:r w:rsidRPr="007334C5">
        <w:rPr>
          <w:rFonts w:cstheme="minorHAnsi"/>
          <w:color w:val="000000" w:themeColor="text1"/>
          <w:sz w:val="20"/>
          <w:szCs w:val="20"/>
        </w:rPr>
        <w:t xml:space="preserve"> s</w:t>
      </w:r>
      <w:r w:rsidR="00AC6D64" w:rsidRPr="007334C5">
        <w:rPr>
          <w:rFonts w:cstheme="minorHAnsi"/>
          <w:color w:val="000000" w:themeColor="text1"/>
          <w:sz w:val="20"/>
          <w:szCs w:val="20"/>
        </w:rPr>
        <w:t>ervice provider costs. Contractors and consultants</w:t>
      </w:r>
      <w:r w:rsidRPr="007334C5">
        <w:rPr>
          <w:rFonts w:cstheme="minorHAnsi"/>
          <w:color w:val="000000" w:themeColor="text1"/>
          <w:sz w:val="20"/>
          <w:szCs w:val="20"/>
        </w:rPr>
        <w:t xml:space="preserve"> are engaged to undertake various aspect</w:t>
      </w:r>
      <w:r w:rsidR="004D34EB" w:rsidRPr="007334C5">
        <w:rPr>
          <w:rFonts w:cstheme="minorHAnsi"/>
          <w:color w:val="000000" w:themeColor="text1"/>
          <w:sz w:val="20"/>
          <w:szCs w:val="20"/>
        </w:rPr>
        <w:t>s</w:t>
      </w:r>
      <w:r w:rsidRPr="007334C5">
        <w:rPr>
          <w:rFonts w:cstheme="minorHAnsi"/>
          <w:color w:val="000000" w:themeColor="text1"/>
          <w:sz w:val="20"/>
          <w:szCs w:val="20"/>
        </w:rPr>
        <w:t xml:space="preserve"> of the planning an</w:t>
      </w:r>
      <w:r w:rsidR="009E10EA" w:rsidRPr="007334C5">
        <w:rPr>
          <w:rFonts w:cstheme="minorHAnsi"/>
          <w:color w:val="000000" w:themeColor="text1"/>
          <w:sz w:val="20"/>
          <w:szCs w:val="20"/>
        </w:rPr>
        <w:t>d</w:t>
      </w:r>
      <w:r w:rsidRPr="007334C5">
        <w:rPr>
          <w:rFonts w:cstheme="minorHAnsi"/>
          <w:color w:val="000000" w:themeColor="text1"/>
          <w:sz w:val="20"/>
          <w:szCs w:val="20"/>
        </w:rPr>
        <w:t xml:space="preserve"> implementation, including design, review of environmental factors, construction and contract supervision. </w:t>
      </w:r>
      <w:r w:rsidR="00AC6D64" w:rsidRPr="007334C5">
        <w:rPr>
          <w:rFonts w:cstheme="minorHAnsi"/>
          <w:color w:val="000000" w:themeColor="text1"/>
          <w:sz w:val="20"/>
          <w:szCs w:val="20"/>
        </w:rPr>
        <w:t>Each provider is engaged through a procurement process</w:t>
      </w:r>
      <w:r w:rsidR="00B7132B" w:rsidRPr="007334C5">
        <w:rPr>
          <w:rFonts w:cstheme="minorHAnsi"/>
          <w:color w:val="000000" w:themeColor="text1"/>
          <w:sz w:val="20"/>
          <w:szCs w:val="20"/>
        </w:rPr>
        <w:t xml:space="preserve"> (refer</w:t>
      </w:r>
      <w:r w:rsidR="00AC6D64" w:rsidRPr="007334C5">
        <w:rPr>
          <w:rFonts w:cstheme="minorHAnsi"/>
          <w:color w:val="000000" w:themeColor="text1"/>
          <w:sz w:val="20"/>
          <w:szCs w:val="20"/>
        </w:rPr>
        <w:t xml:space="preserve"> </w:t>
      </w:r>
      <w:r w:rsidR="00FC17FE" w:rsidRPr="007334C5">
        <w:rPr>
          <w:rFonts w:cstheme="minorHAnsi"/>
          <w:color w:val="000000" w:themeColor="text1"/>
          <w:sz w:val="20"/>
          <w:szCs w:val="20"/>
        </w:rPr>
        <w:t>to</w:t>
      </w:r>
      <w:r w:rsidR="00B7132B" w:rsidRPr="007334C5">
        <w:rPr>
          <w:rFonts w:cstheme="minorHAnsi"/>
          <w:color w:val="000000" w:themeColor="text1"/>
          <w:sz w:val="20"/>
          <w:szCs w:val="20"/>
        </w:rPr>
        <w:t xml:space="preserve"> </w:t>
      </w:r>
      <w:r w:rsidR="00AC6D64" w:rsidRPr="007334C5">
        <w:rPr>
          <w:rFonts w:cstheme="minorHAnsi"/>
          <w:color w:val="000000" w:themeColor="text1"/>
          <w:sz w:val="20"/>
          <w:szCs w:val="20"/>
        </w:rPr>
        <w:t>Section 3.</w:t>
      </w:r>
      <w:r w:rsidR="000A673F" w:rsidRPr="007334C5">
        <w:rPr>
          <w:rFonts w:cstheme="minorHAnsi"/>
          <w:color w:val="000000" w:themeColor="text1"/>
          <w:sz w:val="20"/>
          <w:szCs w:val="20"/>
        </w:rPr>
        <w:t>7</w:t>
      </w:r>
      <w:r w:rsidR="00B7132B" w:rsidRPr="007334C5">
        <w:rPr>
          <w:rFonts w:cstheme="minorHAnsi"/>
          <w:color w:val="000000" w:themeColor="text1"/>
          <w:sz w:val="20"/>
          <w:szCs w:val="20"/>
        </w:rPr>
        <w:t>)</w:t>
      </w:r>
      <w:r w:rsidR="00AC6D64" w:rsidRPr="007334C5">
        <w:rPr>
          <w:rFonts w:cstheme="minorHAnsi"/>
          <w:color w:val="000000" w:themeColor="text1"/>
          <w:sz w:val="20"/>
          <w:szCs w:val="20"/>
        </w:rPr>
        <w:t xml:space="preserve">. The relevant </w:t>
      </w:r>
      <w:r w:rsidR="00442413" w:rsidRPr="007334C5">
        <w:rPr>
          <w:rFonts w:cstheme="minorHAnsi"/>
          <w:color w:val="000000" w:themeColor="text1"/>
          <w:sz w:val="20"/>
          <w:szCs w:val="20"/>
        </w:rPr>
        <w:t xml:space="preserve">works contract or agreement </w:t>
      </w:r>
      <w:r w:rsidR="00B7132B" w:rsidRPr="007334C5">
        <w:rPr>
          <w:rFonts w:cstheme="minorHAnsi"/>
          <w:color w:val="000000" w:themeColor="text1"/>
          <w:sz w:val="20"/>
          <w:szCs w:val="20"/>
        </w:rPr>
        <w:t xml:space="preserve">specifies </w:t>
      </w:r>
      <w:r w:rsidR="00442413" w:rsidRPr="007334C5">
        <w:rPr>
          <w:rFonts w:cstheme="minorHAnsi"/>
          <w:color w:val="000000" w:themeColor="text1"/>
          <w:sz w:val="20"/>
          <w:szCs w:val="20"/>
        </w:rPr>
        <w:t xml:space="preserve">the </w:t>
      </w:r>
      <w:r w:rsidR="00AC6D64" w:rsidRPr="007334C5">
        <w:rPr>
          <w:rFonts w:cstheme="minorHAnsi"/>
          <w:color w:val="000000" w:themeColor="text1"/>
          <w:sz w:val="20"/>
          <w:szCs w:val="20"/>
        </w:rPr>
        <w:t xml:space="preserve">individual payment amounts and </w:t>
      </w:r>
      <w:r w:rsidR="00442413" w:rsidRPr="007334C5">
        <w:rPr>
          <w:rFonts w:cstheme="minorHAnsi"/>
          <w:color w:val="000000" w:themeColor="text1"/>
          <w:sz w:val="20"/>
          <w:szCs w:val="20"/>
        </w:rPr>
        <w:t>frequency</w:t>
      </w:r>
      <w:r w:rsidR="00AC6D64" w:rsidRPr="007334C5">
        <w:rPr>
          <w:rFonts w:cstheme="minorHAnsi"/>
          <w:color w:val="000000" w:themeColor="text1"/>
          <w:sz w:val="20"/>
          <w:szCs w:val="20"/>
        </w:rPr>
        <w:t>. This can be based on fix</w:t>
      </w:r>
      <w:r w:rsidR="00AC2E49" w:rsidRPr="007334C5">
        <w:rPr>
          <w:rFonts w:cstheme="minorHAnsi"/>
          <w:color w:val="000000" w:themeColor="text1"/>
          <w:sz w:val="20"/>
          <w:szCs w:val="20"/>
        </w:rPr>
        <w:t>ed</w:t>
      </w:r>
      <w:r w:rsidR="00AC6D64" w:rsidRPr="007334C5">
        <w:rPr>
          <w:rFonts w:cstheme="minorHAnsi"/>
          <w:color w:val="000000" w:themeColor="text1"/>
          <w:sz w:val="20"/>
          <w:szCs w:val="20"/>
        </w:rPr>
        <w:t xml:space="preserve"> fee,</w:t>
      </w:r>
      <w:r w:rsidR="009E10EA" w:rsidRPr="007334C5">
        <w:rPr>
          <w:rFonts w:cstheme="minorHAnsi"/>
          <w:color w:val="000000" w:themeColor="text1"/>
          <w:sz w:val="20"/>
          <w:szCs w:val="20"/>
        </w:rPr>
        <w:t xml:space="preserve"> defined</w:t>
      </w:r>
      <w:r w:rsidR="00AC6D64" w:rsidRPr="007334C5">
        <w:rPr>
          <w:rFonts w:cstheme="minorHAnsi"/>
          <w:color w:val="000000" w:themeColor="text1"/>
          <w:sz w:val="20"/>
          <w:szCs w:val="20"/>
        </w:rPr>
        <w:t xml:space="preserve"> deliverables or progress milestones</w:t>
      </w:r>
      <w:r w:rsidR="00FC17FE" w:rsidRPr="007334C5">
        <w:rPr>
          <w:rFonts w:cstheme="minorHAnsi"/>
          <w:color w:val="000000" w:themeColor="text1"/>
          <w:sz w:val="20"/>
          <w:szCs w:val="20"/>
        </w:rPr>
        <w:t>,</w:t>
      </w:r>
      <w:r w:rsidR="00AC6D64" w:rsidRPr="007334C5">
        <w:rPr>
          <w:rFonts w:cstheme="minorHAnsi"/>
          <w:color w:val="000000" w:themeColor="text1"/>
          <w:sz w:val="20"/>
          <w:szCs w:val="20"/>
        </w:rPr>
        <w:t xml:space="preserve"> depending on the service provided. </w:t>
      </w:r>
    </w:p>
    <w:p w:rsidR="00B20193" w:rsidRPr="007334C5" w:rsidRDefault="00B20193" w:rsidP="0031631F">
      <w:pPr>
        <w:spacing w:before="120" w:after="120" w:line="240" w:lineRule="auto"/>
        <w:rPr>
          <w:rFonts w:cstheme="minorHAnsi"/>
          <w:color w:val="000000" w:themeColor="text1"/>
          <w:sz w:val="20"/>
          <w:szCs w:val="20"/>
        </w:rPr>
      </w:pPr>
      <w:r w:rsidRPr="007334C5">
        <w:rPr>
          <w:rFonts w:cstheme="minorHAnsi"/>
          <w:color w:val="000000" w:themeColor="text1"/>
          <w:sz w:val="20"/>
          <w:szCs w:val="20"/>
        </w:rPr>
        <w:t xml:space="preserve">KPMG considered the </w:t>
      </w:r>
      <w:r w:rsidRPr="007334C5">
        <w:rPr>
          <w:rFonts w:cstheme="minorHAnsi"/>
          <w:sz w:val="20"/>
          <w:szCs w:val="20"/>
        </w:rPr>
        <w:t>financial management controls and processes for the processing of service provider payments. The accuracy or validity of information submitted as part of payment claims was not tested. The following financial</w:t>
      </w:r>
      <w:r w:rsidR="009E10EA" w:rsidRPr="007334C5">
        <w:rPr>
          <w:rFonts w:cstheme="minorHAnsi"/>
          <w:sz w:val="20"/>
          <w:szCs w:val="20"/>
        </w:rPr>
        <w:t xml:space="preserve"> controls</w:t>
      </w:r>
      <w:r w:rsidRPr="007334C5">
        <w:rPr>
          <w:rFonts w:cstheme="minorHAnsi"/>
          <w:sz w:val="20"/>
          <w:szCs w:val="20"/>
        </w:rPr>
        <w:t xml:space="preserve"> were noted:</w:t>
      </w:r>
    </w:p>
    <w:p w:rsidR="003E7778" w:rsidRPr="007334C5" w:rsidRDefault="00B20193" w:rsidP="000F0AAC">
      <w:pPr>
        <w:pStyle w:val="ListParagraph"/>
        <w:numPr>
          <w:ilvl w:val="0"/>
          <w:numId w:val="17"/>
        </w:numPr>
        <w:spacing w:before="120" w:after="120" w:line="240" w:lineRule="auto"/>
        <w:rPr>
          <w:rFonts w:cstheme="minorHAnsi"/>
          <w:color w:val="000000" w:themeColor="text1"/>
          <w:sz w:val="20"/>
          <w:szCs w:val="20"/>
        </w:rPr>
      </w:pPr>
      <w:r w:rsidRPr="007334C5">
        <w:rPr>
          <w:rFonts w:cstheme="minorHAnsi"/>
          <w:color w:val="000000" w:themeColor="text1"/>
          <w:sz w:val="20"/>
          <w:szCs w:val="20"/>
        </w:rPr>
        <w:t>Payment</w:t>
      </w:r>
      <w:r w:rsidR="009E10EA" w:rsidRPr="007334C5">
        <w:rPr>
          <w:rFonts w:cstheme="minorHAnsi"/>
          <w:color w:val="000000" w:themeColor="text1"/>
          <w:sz w:val="20"/>
          <w:szCs w:val="20"/>
        </w:rPr>
        <w:t xml:space="preserve">s </w:t>
      </w:r>
      <w:r w:rsidRPr="007334C5">
        <w:rPr>
          <w:rFonts w:cstheme="minorHAnsi"/>
          <w:color w:val="000000" w:themeColor="text1"/>
          <w:sz w:val="20"/>
          <w:szCs w:val="20"/>
        </w:rPr>
        <w:t xml:space="preserve">can only be made against an approved purchase order within the </w:t>
      </w:r>
      <w:r w:rsidR="00AC6D64" w:rsidRPr="007334C5">
        <w:rPr>
          <w:rFonts w:cstheme="minorHAnsi"/>
          <w:color w:val="000000" w:themeColor="text1"/>
          <w:sz w:val="20"/>
          <w:szCs w:val="20"/>
        </w:rPr>
        <w:t>DoI Water</w:t>
      </w:r>
      <w:r w:rsidRPr="007334C5">
        <w:rPr>
          <w:rFonts w:cstheme="minorHAnsi"/>
          <w:color w:val="000000" w:themeColor="text1"/>
          <w:sz w:val="20"/>
          <w:szCs w:val="20"/>
        </w:rPr>
        <w:t xml:space="preserve"> financial management system. Purchase </w:t>
      </w:r>
      <w:r w:rsidR="003E7778" w:rsidRPr="007334C5">
        <w:rPr>
          <w:rFonts w:cstheme="minorHAnsi"/>
          <w:color w:val="000000" w:themeColor="text1"/>
          <w:sz w:val="20"/>
          <w:szCs w:val="20"/>
        </w:rPr>
        <w:t>orders are</w:t>
      </w:r>
      <w:r w:rsidRPr="007334C5">
        <w:rPr>
          <w:rFonts w:cstheme="minorHAnsi"/>
          <w:color w:val="000000" w:themeColor="text1"/>
          <w:sz w:val="20"/>
          <w:szCs w:val="20"/>
        </w:rPr>
        <w:t xml:space="preserve"> approved by relevant financial delegates</w:t>
      </w:r>
      <w:r w:rsidR="003E7778" w:rsidRPr="007334C5">
        <w:rPr>
          <w:rFonts w:cstheme="minorHAnsi"/>
          <w:color w:val="000000" w:themeColor="text1"/>
          <w:sz w:val="20"/>
          <w:szCs w:val="20"/>
        </w:rPr>
        <w:t xml:space="preserve"> based on value. All relevant c</w:t>
      </w:r>
      <w:r w:rsidR="00AC6D64" w:rsidRPr="007334C5">
        <w:rPr>
          <w:rFonts w:cstheme="minorHAnsi"/>
          <w:color w:val="000000" w:themeColor="text1"/>
          <w:sz w:val="20"/>
          <w:szCs w:val="20"/>
        </w:rPr>
        <w:t xml:space="preserve">ontractual </w:t>
      </w:r>
      <w:r w:rsidR="003E7778" w:rsidRPr="007334C5">
        <w:rPr>
          <w:rFonts w:cstheme="minorHAnsi"/>
          <w:color w:val="000000" w:themeColor="text1"/>
          <w:sz w:val="20"/>
          <w:szCs w:val="20"/>
        </w:rPr>
        <w:t xml:space="preserve">approval </w:t>
      </w:r>
      <w:r w:rsidR="00AC6D64" w:rsidRPr="007334C5">
        <w:rPr>
          <w:rFonts w:cstheme="minorHAnsi"/>
          <w:color w:val="000000" w:themeColor="text1"/>
          <w:sz w:val="20"/>
          <w:szCs w:val="20"/>
        </w:rPr>
        <w:t xml:space="preserve">documentation </w:t>
      </w:r>
      <w:r w:rsidR="009B2084" w:rsidRPr="007334C5">
        <w:rPr>
          <w:rFonts w:cstheme="minorHAnsi"/>
          <w:color w:val="000000" w:themeColor="text1"/>
          <w:sz w:val="20"/>
          <w:szCs w:val="20"/>
        </w:rPr>
        <w:t xml:space="preserve">(including contract procurement approvals) </w:t>
      </w:r>
      <w:r w:rsidR="00AC6D64" w:rsidRPr="007334C5">
        <w:rPr>
          <w:rFonts w:cstheme="minorHAnsi"/>
          <w:color w:val="000000" w:themeColor="text1"/>
          <w:sz w:val="20"/>
          <w:szCs w:val="20"/>
        </w:rPr>
        <w:t xml:space="preserve">is stored in </w:t>
      </w:r>
      <w:r w:rsidR="003E7778" w:rsidRPr="007334C5">
        <w:rPr>
          <w:rFonts w:cstheme="minorHAnsi"/>
          <w:color w:val="000000" w:themeColor="text1"/>
          <w:sz w:val="20"/>
          <w:szCs w:val="20"/>
        </w:rPr>
        <w:t>a</w:t>
      </w:r>
      <w:r w:rsidR="00AC6D64" w:rsidRPr="007334C5">
        <w:rPr>
          <w:rFonts w:cstheme="minorHAnsi"/>
          <w:color w:val="000000" w:themeColor="text1"/>
          <w:sz w:val="20"/>
          <w:szCs w:val="20"/>
        </w:rPr>
        <w:t xml:space="preserve"> ‘procure to pay system’ for the financial </w:t>
      </w:r>
      <w:r w:rsidR="003E7778" w:rsidRPr="007334C5">
        <w:rPr>
          <w:rFonts w:cstheme="minorHAnsi"/>
          <w:color w:val="000000" w:themeColor="text1"/>
          <w:sz w:val="20"/>
          <w:szCs w:val="20"/>
        </w:rPr>
        <w:t>delegate</w:t>
      </w:r>
      <w:r w:rsidR="00AC6D64" w:rsidRPr="007334C5">
        <w:rPr>
          <w:rFonts w:cstheme="minorHAnsi"/>
          <w:color w:val="000000" w:themeColor="text1"/>
          <w:sz w:val="20"/>
          <w:szCs w:val="20"/>
        </w:rPr>
        <w:t xml:space="preserve"> </w:t>
      </w:r>
      <w:r w:rsidR="003E7778" w:rsidRPr="007334C5">
        <w:rPr>
          <w:rFonts w:cstheme="minorHAnsi"/>
          <w:color w:val="000000" w:themeColor="text1"/>
          <w:sz w:val="20"/>
          <w:szCs w:val="20"/>
        </w:rPr>
        <w:t>reference prior to purchase order approval</w:t>
      </w:r>
      <w:r w:rsidR="00AC6D64" w:rsidRPr="007334C5">
        <w:rPr>
          <w:rFonts w:cstheme="minorHAnsi"/>
          <w:color w:val="000000" w:themeColor="text1"/>
          <w:sz w:val="20"/>
          <w:szCs w:val="20"/>
        </w:rPr>
        <w:t xml:space="preserve">. </w:t>
      </w:r>
    </w:p>
    <w:p w:rsidR="00FF12B8" w:rsidRPr="007334C5" w:rsidRDefault="003E7778" w:rsidP="000F0AAC">
      <w:pPr>
        <w:pStyle w:val="ListParagraph"/>
        <w:numPr>
          <w:ilvl w:val="0"/>
          <w:numId w:val="17"/>
        </w:numPr>
        <w:spacing w:before="120" w:after="120" w:line="240" w:lineRule="auto"/>
        <w:rPr>
          <w:rFonts w:cstheme="minorHAnsi"/>
          <w:sz w:val="20"/>
          <w:szCs w:val="20"/>
        </w:rPr>
      </w:pPr>
      <w:r w:rsidRPr="007334C5">
        <w:rPr>
          <w:rFonts w:cstheme="minorHAnsi"/>
          <w:sz w:val="20"/>
          <w:szCs w:val="20"/>
        </w:rPr>
        <w:t>DoI Water have established a process w</w:t>
      </w:r>
      <w:r w:rsidR="00071C2C" w:rsidRPr="007334C5">
        <w:rPr>
          <w:rFonts w:cstheme="minorHAnsi"/>
          <w:sz w:val="20"/>
          <w:szCs w:val="20"/>
        </w:rPr>
        <w:t>h</w:t>
      </w:r>
      <w:r w:rsidRPr="007334C5">
        <w:rPr>
          <w:rFonts w:cstheme="minorHAnsi"/>
          <w:sz w:val="20"/>
          <w:szCs w:val="20"/>
        </w:rPr>
        <w:t>ere</w:t>
      </w:r>
      <w:r w:rsidR="00E63C35" w:rsidRPr="007334C5">
        <w:rPr>
          <w:rFonts w:cstheme="minorHAnsi"/>
          <w:sz w:val="20"/>
          <w:szCs w:val="20"/>
        </w:rPr>
        <w:t>-</w:t>
      </w:r>
      <w:r w:rsidR="005920AB" w:rsidRPr="007334C5">
        <w:rPr>
          <w:rFonts w:cstheme="minorHAnsi"/>
          <w:sz w:val="20"/>
          <w:szCs w:val="20"/>
        </w:rPr>
        <w:t>by</w:t>
      </w:r>
      <w:r w:rsidRPr="007334C5">
        <w:rPr>
          <w:rFonts w:cstheme="minorHAnsi"/>
          <w:sz w:val="20"/>
          <w:szCs w:val="20"/>
        </w:rPr>
        <w:t xml:space="preserve"> all service provider claims are reviewed and approved prior to payment</w:t>
      </w:r>
      <w:r w:rsidRPr="007334C5">
        <w:rPr>
          <w:rFonts w:cstheme="minorHAnsi"/>
          <w:color w:val="000000" w:themeColor="text1"/>
          <w:sz w:val="20"/>
          <w:szCs w:val="20"/>
        </w:rPr>
        <w:t xml:space="preserve">. Claims are reviewed and endorsed by </w:t>
      </w:r>
      <w:r w:rsidR="00FF12B8" w:rsidRPr="007334C5">
        <w:rPr>
          <w:rFonts w:cstheme="minorHAnsi"/>
          <w:color w:val="000000" w:themeColor="text1"/>
          <w:sz w:val="20"/>
          <w:szCs w:val="20"/>
        </w:rPr>
        <w:t>a</w:t>
      </w:r>
      <w:r w:rsidRPr="007334C5">
        <w:rPr>
          <w:rFonts w:cstheme="minorHAnsi"/>
          <w:color w:val="000000" w:themeColor="text1"/>
          <w:sz w:val="20"/>
          <w:szCs w:val="20"/>
        </w:rPr>
        <w:t xml:space="preserve"> scheme </w:t>
      </w:r>
      <w:r w:rsidR="009F776C" w:rsidRPr="007334C5">
        <w:rPr>
          <w:rFonts w:cstheme="minorHAnsi"/>
          <w:color w:val="000000" w:themeColor="text1"/>
          <w:sz w:val="20"/>
          <w:szCs w:val="20"/>
        </w:rPr>
        <w:t xml:space="preserve">Project Officer and Project Manager </w:t>
      </w:r>
      <w:r w:rsidR="00FF12B8" w:rsidRPr="007334C5">
        <w:rPr>
          <w:rFonts w:cstheme="minorHAnsi"/>
          <w:color w:val="000000" w:themeColor="text1"/>
          <w:sz w:val="20"/>
          <w:szCs w:val="20"/>
        </w:rPr>
        <w:t>to ensure good</w:t>
      </w:r>
      <w:r w:rsidR="00F15822" w:rsidRPr="007334C5">
        <w:rPr>
          <w:rFonts w:cstheme="minorHAnsi"/>
          <w:color w:val="000000" w:themeColor="text1"/>
          <w:sz w:val="20"/>
          <w:szCs w:val="20"/>
        </w:rPr>
        <w:t>s</w:t>
      </w:r>
      <w:r w:rsidR="00FF12B8" w:rsidRPr="007334C5">
        <w:rPr>
          <w:rFonts w:cstheme="minorHAnsi"/>
          <w:color w:val="000000" w:themeColor="text1"/>
          <w:sz w:val="20"/>
          <w:szCs w:val="20"/>
        </w:rPr>
        <w:t xml:space="preserve"> and services have been received in accordance with contractual terms. The claim is then</w:t>
      </w:r>
      <w:r w:rsidR="00AC6D64" w:rsidRPr="007334C5">
        <w:rPr>
          <w:rFonts w:cstheme="minorHAnsi"/>
          <w:color w:val="000000" w:themeColor="text1"/>
          <w:sz w:val="20"/>
          <w:szCs w:val="20"/>
        </w:rPr>
        <w:t xml:space="preserve"> </w:t>
      </w:r>
      <w:r w:rsidRPr="007334C5">
        <w:rPr>
          <w:rFonts w:cstheme="minorHAnsi"/>
          <w:color w:val="000000" w:themeColor="text1"/>
          <w:sz w:val="20"/>
          <w:szCs w:val="20"/>
        </w:rPr>
        <w:t xml:space="preserve">provided to the Basin Pipe </w:t>
      </w:r>
      <w:r w:rsidR="000700AC" w:rsidRPr="007334C5">
        <w:rPr>
          <w:rFonts w:cstheme="minorHAnsi"/>
          <w:color w:val="000000" w:themeColor="text1"/>
          <w:sz w:val="20"/>
          <w:szCs w:val="20"/>
        </w:rPr>
        <w:t>Project Manager</w:t>
      </w:r>
      <w:r w:rsidR="00AC6D64" w:rsidRPr="007334C5">
        <w:rPr>
          <w:rFonts w:cstheme="minorHAnsi"/>
          <w:color w:val="000000" w:themeColor="text1"/>
          <w:sz w:val="20"/>
          <w:szCs w:val="20"/>
        </w:rPr>
        <w:t xml:space="preserve"> </w:t>
      </w:r>
      <w:r w:rsidRPr="007334C5">
        <w:rPr>
          <w:rFonts w:cstheme="minorHAnsi"/>
          <w:color w:val="000000" w:themeColor="text1"/>
          <w:sz w:val="20"/>
          <w:szCs w:val="20"/>
        </w:rPr>
        <w:t>to</w:t>
      </w:r>
      <w:r w:rsidR="009E10EA" w:rsidRPr="007334C5">
        <w:rPr>
          <w:rFonts w:cstheme="minorHAnsi"/>
          <w:color w:val="000000" w:themeColor="text1"/>
          <w:sz w:val="20"/>
          <w:szCs w:val="20"/>
        </w:rPr>
        <w:t xml:space="preserve"> approve</w:t>
      </w:r>
      <w:r w:rsidR="00FF12B8" w:rsidRPr="007334C5">
        <w:rPr>
          <w:rFonts w:cstheme="minorHAnsi"/>
          <w:color w:val="000000" w:themeColor="text1"/>
          <w:sz w:val="20"/>
          <w:szCs w:val="20"/>
        </w:rPr>
        <w:t xml:space="preserve"> for payment</w:t>
      </w:r>
      <w:r w:rsidRPr="007334C5">
        <w:rPr>
          <w:rFonts w:cstheme="minorHAnsi"/>
          <w:color w:val="000000" w:themeColor="text1"/>
          <w:sz w:val="20"/>
          <w:szCs w:val="20"/>
        </w:rPr>
        <w:t>.</w:t>
      </w:r>
      <w:r w:rsidR="00FF12B8" w:rsidRPr="007334C5">
        <w:rPr>
          <w:rFonts w:cstheme="minorHAnsi"/>
          <w:color w:val="000000" w:themeColor="text1"/>
          <w:sz w:val="20"/>
          <w:szCs w:val="20"/>
        </w:rPr>
        <w:t xml:space="preserve"> This is subsequently provided to administrative staff for processing and payment</w:t>
      </w:r>
      <w:r w:rsidR="00FF12B8" w:rsidRPr="007334C5">
        <w:rPr>
          <w:rFonts w:cstheme="minorHAnsi"/>
          <w:sz w:val="20"/>
          <w:szCs w:val="20"/>
        </w:rPr>
        <w:t xml:space="preserve">. Relevant endorsement and approvals are recorded in email correspondence. </w:t>
      </w:r>
      <w:r w:rsidR="00193FBA" w:rsidRPr="007334C5">
        <w:rPr>
          <w:rFonts w:cstheme="minorHAnsi"/>
          <w:sz w:val="20"/>
          <w:szCs w:val="20"/>
        </w:rPr>
        <w:t>DoI Water indicated that this was an additional process implemented by the Basin Pipe project, and was not a require</w:t>
      </w:r>
      <w:r w:rsidR="004D34EB" w:rsidRPr="007334C5">
        <w:rPr>
          <w:rFonts w:cstheme="minorHAnsi"/>
          <w:sz w:val="20"/>
          <w:szCs w:val="20"/>
        </w:rPr>
        <w:t>ment</w:t>
      </w:r>
      <w:r w:rsidR="00193FBA" w:rsidRPr="007334C5">
        <w:rPr>
          <w:rFonts w:cstheme="minorHAnsi"/>
          <w:sz w:val="20"/>
          <w:szCs w:val="20"/>
        </w:rPr>
        <w:t xml:space="preserve"> under the standard acquittal process. </w:t>
      </w:r>
      <w:r w:rsidR="00FF12B8" w:rsidRPr="007334C5">
        <w:rPr>
          <w:rFonts w:cstheme="minorHAnsi"/>
          <w:sz w:val="20"/>
          <w:szCs w:val="20"/>
        </w:rPr>
        <w:t xml:space="preserve">Note, claims for payment related to construction services must also be endorsed by a </w:t>
      </w:r>
      <w:r w:rsidR="009E10EA" w:rsidRPr="007334C5">
        <w:rPr>
          <w:rFonts w:cstheme="minorHAnsi"/>
          <w:sz w:val="20"/>
          <w:szCs w:val="20"/>
        </w:rPr>
        <w:t>contract supervisor</w:t>
      </w:r>
      <w:r w:rsidR="00FF12B8" w:rsidRPr="007334C5">
        <w:rPr>
          <w:rFonts w:cstheme="minorHAnsi"/>
          <w:sz w:val="20"/>
          <w:szCs w:val="20"/>
        </w:rPr>
        <w:t xml:space="preserve"> and supported by an on-ground inspection of works. </w:t>
      </w:r>
    </w:p>
    <w:p w:rsidR="00AA5269" w:rsidRPr="007334C5" w:rsidRDefault="00AA5269" w:rsidP="000F0AAC">
      <w:pPr>
        <w:pStyle w:val="ListParagraph"/>
        <w:numPr>
          <w:ilvl w:val="0"/>
          <w:numId w:val="17"/>
        </w:numPr>
        <w:spacing w:before="120" w:after="120" w:line="240" w:lineRule="auto"/>
        <w:rPr>
          <w:rFonts w:cstheme="minorHAnsi"/>
          <w:sz w:val="20"/>
          <w:szCs w:val="20"/>
        </w:rPr>
      </w:pPr>
      <w:r w:rsidRPr="007334C5">
        <w:rPr>
          <w:rFonts w:cstheme="minorHAnsi"/>
          <w:sz w:val="20"/>
          <w:szCs w:val="20"/>
        </w:rPr>
        <w:t xml:space="preserve">Lead </w:t>
      </w:r>
      <w:r w:rsidR="00071C2C" w:rsidRPr="007334C5">
        <w:rPr>
          <w:rFonts w:cstheme="minorHAnsi"/>
          <w:sz w:val="20"/>
          <w:szCs w:val="20"/>
        </w:rPr>
        <w:t>P</w:t>
      </w:r>
      <w:r w:rsidRPr="007334C5">
        <w:rPr>
          <w:rFonts w:cstheme="minorHAnsi"/>
          <w:sz w:val="20"/>
          <w:szCs w:val="20"/>
        </w:rPr>
        <w:t xml:space="preserve">roject </w:t>
      </w:r>
      <w:r w:rsidR="00071C2C" w:rsidRPr="007334C5">
        <w:rPr>
          <w:rFonts w:cstheme="minorHAnsi"/>
          <w:sz w:val="20"/>
          <w:szCs w:val="20"/>
        </w:rPr>
        <w:t>O</w:t>
      </w:r>
      <w:r w:rsidRPr="007334C5">
        <w:rPr>
          <w:rFonts w:cstheme="minorHAnsi"/>
          <w:sz w:val="20"/>
          <w:szCs w:val="20"/>
        </w:rPr>
        <w:t>fficers for each scheme maintain a ‘</w:t>
      </w:r>
      <w:r w:rsidRPr="007334C5">
        <w:rPr>
          <w:rFonts w:cstheme="minorHAnsi"/>
          <w:i/>
          <w:iCs/>
          <w:sz w:val="20"/>
          <w:szCs w:val="20"/>
        </w:rPr>
        <w:t>contract audit spreadsheet’</w:t>
      </w:r>
      <w:r w:rsidRPr="007334C5">
        <w:rPr>
          <w:rFonts w:cstheme="minorHAnsi"/>
          <w:sz w:val="20"/>
          <w:szCs w:val="20"/>
        </w:rPr>
        <w:t xml:space="preserve">. The spreadsheet is used to track actual invoiced expenditure and </w:t>
      </w:r>
      <w:r w:rsidR="00905EBA" w:rsidRPr="007334C5">
        <w:rPr>
          <w:rFonts w:cstheme="minorHAnsi"/>
          <w:sz w:val="20"/>
          <w:szCs w:val="20"/>
        </w:rPr>
        <w:t>quantities</w:t>
      </w:r>
      <w:r w:rsidRPr="007334C5">
        <w:rPr>
          <w:rFonts w:cstheme="minorHAnsi"/>
          <w:sz w:val="20"/>
          <w:szCs w:val="20"/>
        </w:rPr>
        <w:t xml:space="preserve">, against contracted amounts (cost and bill of quantities). It provides a detailed breakdown and record of individual invoices for all scheme contracts and acts as a mechanism to track actual spend and progress. </w:t>
      </w:r>
      <w:r w:rsidR="00067514" w:rsidRPr="007334C5">
        <w:rPr>
          <w:rFonts w:cstheme="minorHAnsi"/>
          <w:sz w:val="20"/>
          <w:szCs w:val="20"/>
        </w:rPr>
        <w:t xml:space="preserve">A contract audit spreadsheet was sighted for all schemes sampled. </w:t>
      </w:r>
    </w:p>
    <w:p w:rsidR="00FF12B8" w:rsidRPr="007334C5" w:rsidRDefault="00A46CF7" w:rsidP="00FF12B8">
      <w:pPr>
        <w:spacing w:before="120" w:after="120" w:line="240" w:lineRule="auto"/>
        <w:rPr>
          <w:rFonts w:cstheme="minorHAnsi"/>
          <w:sz w:val="20"/>
          <w:szCs w:val="20"/>
        </w:rPr>
      </w:pPr>
      <w:r w:rsidRPr="007334C5">
        <w:rPr>
          <w:rFonts w:cstheme="minorHAnsi"/>
          <w:sz w:val="20"/>
          <w:szCs w:val="20"/>
        </w:rPr>
        <w:t xml:space="preserve">KPMG selected a sample of service provider </w:t>
      </w:r>
      <w:r w:rsidR="00067514" w:rsidRPr="007334C5">
        <w:rPr>
          <w:rFonts w:cstheme="minorHAnsi"/>
          <w:sz w:val="20"/>
          <w:szCs w:val="20"/>
        </w:rPr>
        <w:t xml:space="preserve">payment </w:t>
      </w:r>
      <w:r w:rsidRPr="007334C5">
        <w:rPr>
          <w:rFonts w:cstheme="minorHAnsi"/>
          <w:sz w:val="20"/>
          <w:szCs w:val="20"/>
        </w:rPr>
        <w:t>claims</w:t>
      </w:r>
      <w:r w:rsidR="00067514" w:rsidRPr="007334C5">
        <w:rPr>
          <w:rFonts w:cstheme="minorHAnsi"/>
          <w:sz w:val="20"/>
          <w:szCs w:val="20"/>
        </w:rPr>
        <w:t xml:space="preserve"> from each of the selected schemes for testing. Payment</w:t>
      </w:r>
      <w:r w:rsidR="00F2051D" w:rsidRPr="007334C5">
        <w:rPr>
          <w:rFonts w:cstheme="minorHAnsi"/>
          <w:sz w:val="20"/>
          <w:szCs w:val="20"/>
        </w:rPr>
        <w:t>s</w:t>
      </w:r>
      <w:r w:rsidR="00067514" w:rsidRPr="007334C5">
        <w:rPr>
          <w:rFonts w:cstheme="minorHAnsi"/>
          <w:sz w:val="20"/>
          <w:szCs w:val="20"/>
        </w:rPr>
        <w:t xml:space="preserve"> selected focused on</w:t>
      </w:r>
      <w:r w:rsidRPr="007334C5">
        <w:rPr>
          <w:rFonts w:cstheme="minorHAnsi"/>
          <w:sz w:val="20"/>
          <w:szCs w:val="20"/>
        </w:rPr>
        <w:t xml:space="preserve"> claims related to contract supervision and construction</w:t>
      </w:r>
      <w:r w:rsidR="00067514" w:rsidRPr="007334C5">
        <w:rPr>
          <w:rFonts w:cstheme="minorHAnsi"/>
          <w:sz w:val="20"/>
          <w:szCs w:val="20"/>
        </w:rPr>
        <w:t xml:space="preserve"> as these were generally the largest in value</w:t>
      </w:r>
      <w:r w:rsidRPr="007334C5">
        <w:rPr>
          <w:rFonts w:cstheme="minorHAnsi"/>
          <w:sz w:val="20"/>
          <w:szCs w:val="20"/>
        </w:rPr>
        <w:t xml:space="preserve">. Our observations are </w:t>
      </w:r>
      <w:r w:rsidR="00F15822" w:rsidRPr="007334C5">
        <w:rPr>
          <w:rFonts w:cstheme="minorHAnsi"/>
          <w:sz w:val="20"/>
          <w:szCs w:val="20"/>
        </w:rPr>
        <w:t>as follows</w:t>
      </w:r>
      <w:r w:rsidRPr="007334C5">
        <w:rPr>
          <w:rFonts w:cstheme="minorHAnsi"/>
          <w:sz w:val="20"/>
          <w:szCs w:val="20"/>
        </w:rPr>
        <w:t>:</w:t>
      </w:r>
    </w:p>
    <w:p w:rsidR="00A46CF7" w:rsidRPr="007334C5" w:rsidRDefault="00A46CF7" w:rsidP="000F0AAC">
      <w:pPr>
        <w:pStyle w:val="ListParagraph"/>
        <w:numPr>
          <w:ilvl w:val="0"/>
          <w:numId w:val="18"/>
        </w:numPr>
        <w:spacing w:before="120" w:after="120" w:line="240" w:lineRule="auto"/>
        <w:rPr>
          <w:rFonts w:cstheme="minorHAnsi"/>
          <w:sz w:val="20"/>
          <w:szCs w:val="20"/>
        </w:rPr>
      </w:pPr>
      <w:r w:rsidRPr="007334C5">
        <w:rPr>
          <w:rFonts w:cstheme="minorHAnsi"/>
          <w:sz w:val="20"/>
          <w:szCs w:val="20"/>
        </w:rPr>
        <w:t>An approved purchase order was sighted for all claims</w:t>
      </w:r>
      <w:r w:rsidR="00067514" w:rsidRPr="007334C5">
        <w:rPr>
          <w:rFonts w:cstheme="minorHAnsi"/>
          <w:sz w:val="20"/>
          <w:szCs w:val="20"/>
        </w:rPr>
        <w:t xml:space="preserve"> selected</w:t>
      </w:r>
      <w:r w:rsidRPr="007334C5">
        <w:rPr>
          <w:rFonts w:cstheme="minorHAnsi"/>
          <w:sz w:val="20"/>
          <w:szCs w:val="20"/>
        </w:rPr>
        <w:t xml:space="preserve">. </w:t>
      </w:r>
    </w:p>
    <w:p w:rsidR="00067514" w:rsidRPr="007334C5" w:rsidRDefault="00067514" w:rsidP="000F0AAC">
      <w:pPr>
        <w:pStyle w:val="ListParagraph"/>
        <w:numPr>
          <w:ilvl w:val="0"/>
          <w:numId w:val="18"/>
        </w:numPr>
        <w:spacing w:before="120" w:after="120" w:line="240" w:lineRule="auto"/>
        <w:rPr>
          <w:rFonts w:cstheme="minorHAnsi"/>
          <w:sz w:val="20"/>
          <w:szCs w:val="20"/>
        </w:rPr>
      </w:pPr>
      <w:r w:rsidRPr="007334C5">
        <w:rPr>
          <w:rFonts w:cstheme="minorHAnsi"/>
          <w:sz w:val="20"/>
          <w:szCs w:val="20"/>
        </w:rPr>
        <w:t>All payments amounts (as per SAP) agreed to the details and amount as per the purchase order</w:t>
      </w:r>
      <w:r w:rsidR="00A46CF7" w:rsidRPr="007334C5">
        <w:rPr>
          <w:rFonts w:cstheme="minorHAnsi"/>
          <w:sz w:val="20"/>
          <w:szCs w:val="20"/>
        </w:rPr>
        <w:t xml:space="preserve">. </w:t>
      </w:r>
    </w:p>
    <w:p w:rsidR="00A46CF7" w:rsidRPr="007334C5" w:rsidRDefault="00067514" w:rsidP="000F0AAC">
      <w:pPr>
        <w:pStyle w:val="ListParagraph"/>
        <w:numPr>
          <w:ilvl w:val="0"/>
          <w:numId w:val="18"/>
        </w:numPr>
        <w:spacing w:before="120" w:after="120" w:line="240" w:lineRule="auto"/>
        <w:rPr>
          <w:rFonts w:cstheme="minorHAnsi"/>
          <w:sz w:val="20"/>
          <w:szCs w:val="20"/>
        </w:rPr>
      </w:pPr>
      <w:r w:rsidRPr="007334C5">
        <w:rPr>
          <w:rFonts w:cstheme="minorHAnsi"/>
          <w:sz w:val="20"/>
          <w:szCs w:val="20"/>
        </w:rPr>
        <w:t>Approval or sign</w:t>
      </w:r>
      <w:r w:rsidR="006633F4" w:rsidRPr="007334C5">
        <w:rPr>
          <w:rFonts w:cstheme="minorHAnsi"/>
          <w:sz w:val="20"/>
          <w:szCs w:val="20"/>
        </w:rPr>
        <w:t>-</w:t>
      </w:r>
      <w:r w:rsidRPr="007334C5">
        <w:rPr>
          <w:rFonts w:cstheme="minorHAnsi"/>
          <w:sz w:val="20"/>
          <w:szCs w:val="20"/>
        </w:rPr>
        <w:t>off o</w:t>
      </w:r>
      <w:r w:rsidR="006633F4" w:rsidRPr="007334C5">
        <w:rPr>
          <w:rFonts w:cstheme="minorHAnsi"/>
          <w:sz w:val="20"/>
          <w:szCs w:val="20"/>
        </w:rPr>
        <w:t>n</w:t>
      </w:r>
      <w:r w:rsidRPr="007334C5">
        <w:rPr>
          <w:rFonts w:cstheme="minorHAnsi"/>
          <w:sz w:val="20"/>
          <w:szCs w:val="20"/>
        </w:rPr>
        <w:t xml:space="preserve"> goods and services received by </w:t>
      </w:r>
      <w:r w:rsidR="00071C2C" w:rsidRPr="007334C5">
        <w:rPr>
          <w:rFonts w:cstheme="minorHAnsi"/>
          <w:sz w:val="20"/>
          <w:szCs w:val="20"/>
        </w:rPr>
        <w:t xml:space="preserve">the </w:t>
      </w:r>
      <w:r w:rsidR="000700AC" w:rsidRPr="007334C5">
        <w:rPr>
          <w:rFonts w:cstheme="minorHAnsi"/>
          <w:sz w:val="20"/>
          <w:szCs w:val="20"/>
        </w:rPr>
        <w:t>Project Manager</w:t>
      </w:r>
      <w:r w:rsidRPr="007334C5">
        <w:rPr>
          <w:rFonts w:cstheme="minorHAnsi"/>
          <w:sz w:val="20"/>
          <w:szCs w:val="20"/>
        </w:rPr>
        <w:t xml:space="preserve"> prior to payment could not be sighted for the majority of payment</w:t>
      </w:r>
      <w:r w:rsidR="00194EA3" w:rsidRPr="007334C5">
        <w:rPr>
          <w:rFonts w:cstheme="minorHAnsi"/>
          <w:sz w:val="20"/>
          <w:szCs w:val="20"/>
        </w:rPr>
        <w:t>s</w:t>
      </w:r>
      <w:r w:rsidRPr="007334C5">
        <w:rPr>
          <w:rFonts w:cstheme="minorHAnsi"/>
          <w:sz w:val="20"/>
          <w:szCs w:val="20"/>
        </w:rPr>
        <w:t xml:space="preserve"> selected. </w:t>
      </w:r>
      <w:r w:rsidR="009B2084" w:rsidRPr="007334C5">
        <w:rPr>
          <w:rFonts w:cstheme="minorHAnsi"/>
          <w:sz w:val="20"/>
          <w:szCs w:val="20"/>
        </w:rPr>
        <w:t xml:space="preserve">DoI Water was able to provide examples of how this process occurred in practice. </w:t>
      </w:r>
      <w:r w:rsidRPr="007334C5">
        <w:rPr>
          <w:rFonts w:cstheme="minorHAnsi"/>
          <w:sz w:val="20"/>
          <w:szCs w:val="20"/>
        </w:rPr>
        <w:t>Discussion indicated that there is no current requirement to store</w:t>
      </w:r>
      <w:r w:rsidR="00AD6003" w:rsidRPr="007334C5">
        <w:rPr>
          <w:rFonts w:cstheme="minorHAnsi"/>
          <w:sz w:val="20"/>
          <w:szCs w:val="20"/>
        </w:rPr>
        <w:t xml:space="preserve"> the final</w:t>
      </w:r>
      <w:r w:rsidRPr="007334C5">
        <w:rPr>
          <w:rFonts w:cstheme="minorHAnsi"/>
          <w:sz w:val="20"/>
          <w:szCs w:val="20"/>
        </w:rPr>
        <w:t xml:space="preserve"> email approval on project files. Due to </w:t>
      </w:r>
      <w:r w:rsidR="00071C2C" w:rsidRPr="007334C5">
        <w:rPr>
          <w:rFonts w:cstheme="minorHAnsi"/>
          <w:sz w:val="20"/>
          <w:szCs w:val="20"/>
        </w:rPr>
        <w:t>staff turnover</w:t>
      </w:r>
      <w:r w:rsidRPr="007334C5">
        <w:rPr>
          <w:rFonts w:cstheme="minorHAnsi"/>
          <w:sz w:val="20"/>
          <w:szCs w:val="20"/>
        </w:rPr>
        <w:t xml:space="preserve"> and the lack of formal processes for recording this approval, these were not readily available</w:t>
      </w:r>
      <w:r w:rsidR="00F2051D" w:rsidRPr="007334C5">
        <w:rPr>
          <w:rFonts w:cstheme="minorHAnsi"/>
          <w:sz w:val="20"/>
          <w:szCs w:val="20"/>
        </w:rPr>
        <w:t xml:space="preserve"> for testing</w:t>
      </w:r>
      <w:r w:rsidRPr="007334C5">
        <w:rPr>
          <w:rFonts w:cstheme="minorHAnsi"/>
          <w:sz w:val="20"/>
          <w:szCs w:val="20"/>
        </w:rPr>
        <w:t>. Refer to Section 4.</w:t>
      </w:r>
      <w:r w:rsidR="003701E6" w:rsidRPr="007334C5">
        <w:rPr>
          <w:rFonts w:cstheme="minorHAnsi"/>
          <w:sz w:val="20"/>
          <w:szCs w:val="20"/>
        </w:rPr>
        <w:t xml:space="preserve">2 for further details. </w:t>
      </w:r>
    </w:p>
    <w:p w:rsidR="003E345A" w:rsidRPr="007334C5" w:rsidRDefault="003E345A" w:rsidP="00501DA8">
      <w:pPr>
        <w:pStyle w:val="Heading2"/>
        <w:keepNext/>
        <w:keepLines/>
        <w:rPr>
          <w:rFonts w:asciiTheme="minorHAnsi" w:hAnsiTheme="minorHAnsi" w:cstheme="minorHAnsi"/>
        </w:rPr>
      </w:pPr>
      <w:bookmarkStart w:id="21" w:name="_Toc535401137"/>
      <w:r w:rsidRPr="007334C5">
        <w:rPr>
          <w:rFonts w:asciiTheme="minorHAnsi" w:hAnsiTheme="minorHAnsi" w:cstheme="minorHAnsi"/>
        </w:rPr>
        <w:t>Stakeholder engagement</w:t>
      </w:r>
      <w:bookmarkEnd w:id="21"/>
      <w:r w:rsidRPr="007334C5">
        <w:rPr>
          <w:rFonts w:asciiTheme="minorHAnsi" w:hAnsiTheme="minorHAnsi" w:cstheme="minorHAnsi"/>
        </w:rPr>
        <w:t xml:space="preserve"> </w:t>
      </w:r>
    </w:p>
    <w:p w:rsidR="00D83A02" w:rsidRPr="007334C5" w:rsidRDefault="003A0938" w:rsidP="00501DA8">
      <w:pPr>
        <w:keepNext/>
        <w:keepLines/>
        <w:shd w:val="clear" w:color="auto" w:fill="E7E6E6" w:themeFill="background2"/>
        <w:rPr>
          <w:rFonts w:cstheme="minorHAnsi"/>
          <w:i/>
          <w:sz w:val="20"/>
          <w:szCs w:val="20"/>
        </w:rPr>
      </w:pPr>
      <w:r w:rsidRPr="007334C5">
        <w:rPr>
          <w:rFonts w:cstheme="minorHAnsi"/>
          <w:i/>
          <w:sz w:val="20"/>
          <w:szCs w:val="20"/>
        </w:rPr>
        <w:t>DoI Water established a number of stakeholder engagement mechanisms at the commencement of the project</w:t>
      </w:r>
      <w:r w:rsidR="006633F4" w:rsidRPr="007334C5">
        <w:rPr>
          <w:rFonts w:cstheme="minorHAnsi"/>
          <w:i/>
          <w:sz w:val="20"/>
          <w:szCs w:val="20"/>
        </w:rPr>
        <w:t xml:space="preserve"> </w:t>
      </w:r>
      <w:r w:rsidRPr="007334C5">
        <w:rPr>
          <w:rFonts w:cstheme="minorHAnsi"/>
          <w:i/>
          <w:sz w:val="20"/>
          <w:szCs w:val="20"/>
        </w:rPr>
        <w:t>however, activity has been limited since 2016. DoI Water acknowledged that the level of stakeholder engagement was less than initially expected under the business case. Noting the original timeframe for completion of the project, DoI Water elected to focus on targeted communications and engagement with only interested stakeholders (rather than the broader community) to develop additional Basin Pipe schemes</w:t>
      </w:r>
      <w:r w:rsidR="00F007C0" w:rsidRPr="007334C5">
        <w:rPr>
          <w:rFonts w:cstheme="minorHAnsi"/>
          <w:i/>
          <w:sz w:val="20"/>
          <w:szCs w:val="20"/>
        </w:rPr>
        <w:t xml:space="preserve"> </w:t>
      </w:r>
      <w:r w:rsidR="00F007C0" w:rsidRPr="007334C5">
        <w:rPr>
          <w:rFonts w:cstheme="minorHAnsi"/>
          <w:sz w:val="20"/>
          <w:szCs w:val="20"/>
        </w:rPr>
        <w:t>within the time available</w:t>
      </w:r>
      <w:r w:rsidRPr="007334C5">
        <w:rPr>
          <w:rFonts w:cstheme="minorHAnsi"/>
          <w:i/>
          <w:sz w:val="20"/>
          <w:szCs w:val="20"/>
        </w:rPr>
        <w:t>.</w:t>
      </w:r>
    </w:p>
    <w:p w:rsidR="007E055C" w:rsidRPr="007334C5" w:rsidRDefault="007E055C" w:rsidP="00576A25">
      <w:pPr>
        <w:spacing w:before="120" w:after="120" w:line="240" w:lineRule="auto"/>
        <w:rPr>
          <w:rFonts w:cstheme="minorHAnsi"/>
          <w:sz w:val="20"/>
          <w:szCs w:val="20"/>
        </w:rPr>
      </w:pPr>
      <w:r w:rsidRPr="007334C5">
        <w:rPr>
          <w:rFonts w:cstheme="minorHAnsi"/>
          <w:sz w:val="20"/>
          <w:szCs w:val="20"/>
        </w:rPr>
        <w:t>DoI Water established a stakeholder communications strategy at the commencement of the project. This defined key stakeholder groups and engagement mechanisms. DoI Water indicated that key communication channels utilised during the project included website communications, mail</w:t>
      </w:r>
      <w:r w:rsidR="006633F4" w:rsidRPr="007334C5">
        <w:rPr>
          <w:rFonts w:cstheme="minorHAnsi"/>
          <w:sz w:val="20"/>
          <w:szCs w:val="20"/>
        </w:rPr>
        <w:t>-</w:t>
      </w:r>
      <w:r w:rsidRPr="007334C5">
        <w:rPr>
          <w:rFonts w:cstheme="minorHAnsi"/>
          <w:sz w:val="20"/>
          <w:szCs w:val="20"/>
        </w:rPr>
        <w:t xml:space="preserve">outs and targeted consultations. The strategy is supported by communication and media protocols, which outline the agreed protocols between the Commonwealth and the NSW Government, including branding, templates and acknowledgements. </w:t>
      </w:r>
    </w:p>
    <w:p w:rsidR="007E055C" w:rsidRPr="007334C5" w:rsidRDefault="003A0938" w:rsidP="00576A25">
      <w:pPr>
        <w:spacing w:before="120" w:after="120" w:line="240" w:lineRule="auto"/>
        <w:rPr>
          <w:rFonts w:cstheme="minorHAnsi"/>
          <w:sz w:val="20"/>
          <w:szCs w:val="20"/>
        </w:rPr>
      </w:pPr>
      <w:r w:rsidRPr="007334C5">
        <w:rPr>
          <w:rFonts w:cstheme="minorHAnsi"/>
          <w:sz w:val="20"/>
          <w:szCs w:val="20"/>
        </w:rPr>
        <w:t>I</w:t>
      </w:r>
      <w:r w:rsidR="007E055C" w:rsidRPr="007334C5">
        <w:rPr>
          <w:rFonts w:cstheme="minorHAnsi"/>
          <w:sz w:val="20"/>
          <w:szCs w:val="20"/>
        </w:rPr>
        <w:t xml:space="preserve">t was indicated that the Basin Pipe </w:t>
      </w:r>
      <w:r w:rsidR="00E50A6B" w:rsidRPr="007334C5">
        <w:rPr>
          <w:rFonts w:cstheme="minorHAnsi"/>
          <w:sz w:val="20"/>
          <w:szCs w:val="20"/>
        </w:rPr>
        <w:t>P</w:t>
      </w:r>
      <w:r w:rsidR="007E055C" w:rsidRPr="007334C5">
        <w:rPr>
          <w:rFonts w:cstheme="minorHAnsi"/>
          <w:sz w:val="20"/>
          <w:szCs w:val="20"/>
        </w:rPr>
        <w:t>roject engagement activities focused largely on relevant licence holders in the in-scope valleys through mail</w:t>
      </w:r>
      <w:r w:rsidR="006633F4" w:rsidRPr="007334C5">
        <w:rPr>
          <w:rFonts w:cstheme="minorHAnsi"/>
          <w:sz w:val="20"/>
          <w:szCs w:val="20"/>
        </w:rPr>
        <w:t>-</w:t>
      </w:r>
      <w:r w:rsidR="007E055C" w:rsidRPr="007334C5">
        <w:rPr>
          <w:rFonts w:cstheme="minorHAnsi"/>
          <w:sz w:val="20"/>
          <w:szCs w:val="20"/>
        </w:rPr>
        <w:t>outs and direct engagement. A large targeted mail</w:t>
      </w:r>
      <w:r w:rsidR="006633F4" w:rsidRPr="007334C5">
        <w:rPr>
          <w:rFonts w:cstheme="minorHAnsi"/>
          <w:sz w:val="20"/>
          <w:szCs w:val="20"/>
        </w:rPr>
        <w:t>-o</w:t>
      </w:r>
      <w:r w:rsidR="007E055C" w:rsidRPr="007334C5">
        <w:rPr>
          <w:rFonts w:cstheme="minorHAnsi"/>
          <w:sz w:val="20"/>
          <w:szCs w:val="20"/>
        </w:rPr>
        <w:t>ut activity was undertaken during 2015 and 2016 in the Murray and Murrumbidgee valleys. These activities were used to gauge interest within the selected areas to then inform more focused and targeted consultations with any interested stakeholders.</w:t>
      </w:r>
      <w:r w:rsidRPr="007334C5">
        <w:rPr>
          <w:rFonts w:cstheme="minorHAnsi"/>
          <w:sz w:val="20"/>
          <w:szCs w:val="20"/>
        </w:rPr>
        <w:t xml:space="preserve"> Noting the original completion date of October 2017 for the project, </w:t>
      </w:r>
      <w:r w:rsidR="007E055C" w:rsidRPr="007334C5">
        <w:rPr>
          <w:rFonts w:cstheme="minorHAnsi"/>
          <w:sz w:val="20"/>
          <w:szCs w:val="20"/>
        </w:rPr>
        <w:t>DoI Water indicated that no further broad stakeholder engagement activity has occurred since the 2016 mail</w:t>
      </w:r>
      <w:r w:rsidR="006633F4" w:rsidRPr="007334C5">
        <w:rPr>
          <w:rFonts w:cstheme="minorHAnsi"/>
          <w:sz w:val="20"/>
          <w:szCs w:val="20"/>
        </w:rPr>
        <w:t>-</w:t>
      </w:r>
      <w:r w:rsidR="007E055C" w:rsidRPr="007334C5">
        <w:rPr>
          <w:rFonts w:cstheme="minorHAnsi"/>
          <w:sz w:val="20"/>
          <w:szCs w:val="20"/>
        </w:rPr>
        <w:t>out, other than general information and fact sheets. DoI Water elected to focus on direct consultation with interested landholders only, in order to develop these into viable Basin Pipe schemes</w:t>
      </w:r>
      <w:r w:rsidRPr="007334C5">
        <w:rPr>
          <w:rFonts w:cstheme="minorHAnsi"/>
          <w:sz w:val="20"/>
          <w:szCs w:val="20"/>
        </w:rPr>
        <w:t xml:space="preserve"> within original project timeframes</w:t>
      </w:r>
      <w:r w:rsidR="007E055C" w:rsidRPr="007334C5">
        <w:rPr>
          <w:rFonts w:cstheme="minorHAnsi"/>
          <w:sz w:val="20"/>
          <w:szCs w:val="20"/>
        </w:rPr>
        <w:t>. The project undertook consultations with the interested landholder(s) to develop conceptual designs</w:t>
      </w:r>
      <w:r w:rsidR="001264EF" w:rsidRPr="007334C5">
        <w:rPr>
          <w:rFonts w:cstheme="minorHAnsi"/>
          <w:sz w:val="20"/>
          <w:szCs w:val="20"/>
        </w:rPr>
        <w:t xml:space="preserve"> and</w:t>
      </w:r>
      <w:r w:rsidR="007E055C" w:rsidRPr="007334C5">
        <w:rPr>
          <w:rFonts w:cstheme="minorHAnsi"/>
          <w:sz w:val="20"/>
          <w:szCs w:val="20"/>
        </w:rPr>
        <w:t xml:space="preserve"> </w:t>
      </w:r>
      <w:r w:rsidR="004C6AD9" w:rsidRPr="007334C5">
        <w:rPr>
          <w:rFonts w:cstheme="minorHAnsi"/>
          <w:sz w:val="20"/>
          <w:szCs w:val="20"/>
        </w:rPr>
        <w:t xml:space="preserve">determine </w:t>
      </w:r>
      <w:r w:rsidR="007E055C" w:rsidRPr="007334C5">
        <w:rPr>
          <w:rFonts w:cstheme="minorHAnsi"/>
          <w:sz w:val="20"/>
          <w:szCs w:val="20"/>
        </w:rPr>
        <w:t xml:space="preserve">funding </w:t>
      </w:r>
      <w:r w:rsidR="004C6AD9" w:rsidRPr="007334C5">
        <w:rPr>
          <w:rFonts w:cstheme="minorHAnsi"/>
          <w:sz w:val="20"/>
          <w:szCs w:val="20"/>
        </w:rPr>
        <w:t>requirement</w:t>
      </w:r>
      <w:r w:rsidR="007E055C" w:rsidRPr="007334C5">
        <w:rPr>
          <w:rFonts w:cstheme="minorHAnsi"/>
          <w:sz w:val="20"/>
          <w:szCs w:val="20"/>
        </w:rPr>
        <w:t>. This process provided landholders with a detailed understanding of the project and benefits of potential works. More recently</w:t>
      </w:r>
      <w:r w:rsidR="006633F4" w:rsidRPr="007334C5">
        <w:rPr>
          <w:rFonts w:cstheme="minorHAnsi"/>
          <w:sz w:val="20"/>
          <w:szCs w:val="20"/>
        </w:rPr>
        <w:t>,</w:t>
      </w:r>
      <w:r w:rsidR="007E055C" w:rsidRPr="007334C5">
        <w:rPr>
          <w:rFonts w:cstheme="minorHAnsi"/>
          <w:sz w:val="20"/>
          <w:szCs w:val="20"/>
        </w:rPr>
        <w:t xml:space="preserve"> engagement and comm</w:t>
      </w:r>
      <w:r w:rsidR="00086220" w:rsidRPr="007334C5">
        <w:rPr>
          <w:rFonts w:cstheme="minorHAnsi"/>
          <w:sz w:val="20"/>
          <w:szCs w:val="20"/>
        </w:rPr>
        <w:t>u</w:t>
      </w:r>
      <w:r w:rsidR="007E055C" w:rsidRPr="007334C5">
        <w:rPr>
          <w:rFonts w:cstheme="minorHAnsi"/>
          <w:sz w:val="20"/>
          <w:szCs w:val="20"/>
        </w:rPr>
        <w:t>n</w:t>
      </w:r>
      <w:r w:rsidR="00086220" w:rsidRPr="007334C5">
        <w:rPr>
          <w:rFonts w:cstheme="minorHAnsi"/>
          <w:sz w:val="20"/>
          <w:szCs w:val="20"/>
        </w:rPr>
        <w:t>ic</w:t>
      </w:r>
      <w:r w:rsidR="007E055C" w:rsidRPr="007334C5">
        <w:rPr>
          <w:rFonts w:cstheme="minorHAnsi"/>
          <w:sz w:val="20"/>
          <w:szCs w:val="20"/>
        </w:rPr>
        <w:t>ation activity has been limited to delivery activities for approved schemes.</w:t>
      </w:r>
    </w:p>
    <w:p w:rsidR="007E055C" w:rsidRPr="007334C5" w:rsidRDefault="007E055C" w:rsidP="007E055C">
      <w:pPr>
        <w:spacing w:before="120" w:after="120" w:line="240" w:lineRule="auto"/>
        <w:rPr>
          <w:rFonts w:cstheme="minorHAnsi"/>
          <w:sz w:val="20"/>
          <w:szCs w:val="20"/>
        </w:rPr>
      </w:pPr>
      <w:r w:rsidRPr="007334C5">
        <w:rPr>
          <w:rFonts w:cstheme="minorHAnsi"/>
          <w:sz w:val="20"/>
          <w:szCs w:val="20"/>
        </w:rPr>
        <w:t>DoI Water also regularly engage with DAWR, as discussed in Section 3.1. This includes meeting with DAWR quarterly</w:t>
      </w:r>
      <w:r w:rsidR="006633F4" w:rsidRPr="007334C5">
        <w:rPr>
          <w:rFonts w:cstheme="minorHAnsi"/>
          <w:sz w:val="20"/>
          <w:szCs w:val="20"/>
        </w:rPr>
        <w:t>,</w:t>
      </w:r>
      <w:r w:rsidRPr="007334C5">
        <w:rPr>
          <w:rFonts w:cstheme="minorHAnsi"/>
          <w:sz w:val="20"/>
          <w:szCs w:val="20"/>
        </w:rPr>
        <w:t xml:space="preserve"> as well as regular ad hoc communication via phone and email. DAWR has recently established fortnightly meetings with the Basin Pipe </w:t>
      </w:r>
      <w:r w:rsidR="00E70010" w:rsidRPr="007334C5">
        <w:rPr>
          <w:rFonts w:cstheme="minorHAnsi"/>
          <w:sz w:val="20"/>
          <w:szCs w:val="20"/>
        </w:rPr>
        <w:t>P</w:t>
      </w:r>
      <w:r w:rsidRPr="007334C5">
        <w:rPr>
          <w:rFonts w:cstheme="minorHAnsi"/>
          <w:sz w:val="20"/>
          <w:szCs w:val="20"/>
        </w:rPr>
        <w:t xml:space="preserve">roject </w:t>
      </w:r>
      <w:r w:rsidR="00E70010" w:rsidRPr="007334C5">
        <w:rPr>
          <w:rFonts w:cstheme="minorHAnsi"/>
          <w:sz w:val="20"/>
          <w:szCs w:val="20"/>
        </w:rPr>
        <w:t>M</w:t>
      </w:r>
      <w:r w:rsidRPr="007334C5">
        <w:rPr>
          <w:rFonts w:cstheme="minorHAnsi"/>
          <w:sz w:val="20"/>
          <w:szCs w:val="20"/>
        </w:rPr>
        <w:t xml:space="preserve">anager to discuss </w:t>
      </w:r>
      <w:r w:rsidR="00670892" w:rsidRPr="007334C5">
        <w:rPr>
          <w:rFonts w:cstheme="minorHAnsi"/>
          <w:sz w:val="20"/>
          <w:szCs w:val="20"/>
        </w:rPr>
        <w:t xml:space="preserve">project </w:t>
      </w:r>
      <w:r w:rsidRPr="007334C5">
        <w:rPr>
          <w:rFonts w:cstheme="minorHAnsi"/>
          <w:sz w:val="20"/>
          <w:szCs w:val="20"/>
        </w:rPr>
        <w:t>progress</w:t>
      </w:r>
      <w:r w:rsidR="00670892" w:rsidRPr="007334C5">
        <w:rPr>
          <w:rFonts w:cstheme="minorHAnsi"/>
          <w:sz w:val="20"/>
          <w:szCs w:val="20"/>
        </w:rPr>
        <w:t>,</w:t>
      </w:r>
      <w:r w:rsidRPr="007334C5">
        <w:rPr>
          <w:rFonts w:cstheme="minorHAnsi"/>
          <w:sz w:val="20"/>
          <w:szCs w:val="20"/>
        </w:rPr>
        <w:t xml:space="preserve"> </w:t>
      </w:r>
      <w:r w:rsidR="00670892" w:rsidRPr="007334C5">
        <w:rPr>
          <w:rFonts w:cstheme="minorHAnsi"/>
          <w:sz w:val="20"/>
          <w:szCs w:val="20"/>
        </w:rPr>
        <w:t xml:space="preserve">and report on and manage schemes </w:t>
      </w:r>
      <w:r w:rsidR="006633F4" w:rsidRPr="007334C5">
        <w:rPr>
          <w:rFonts w:cstheme="minorHAnsi"/>
          <w:sz w:val="20"/>
          <w:szCs w:val="20"/>
        </w:rPr>
        <w:t xml:space="preserve">that are </w:t>
      </w:r>
      <w:r w:rsidR="00670892" w:rsidRPr="007334C5">
        <w:rPr>
          <w:rFonts w:cstheme="minorHAnsi"/>
          <w:sz w:val="20"/>
          <w:szCs w:val="20"/>
        </w:rPr>
        <w:t>considered high risk</w:t>
      </w:r>
      <w:r w:rsidRPr="007334C5">
        <w:rPr>
          <w:rFonts w:cstheme="minorHAnsi"/>
          <w:sz w:val="20"/>
          <w:szCs w:val="20"/>
        </w:rPr>
        <w:t>.</w:t>
      </w:r>
    </w:p>
    <w:p w:rsidR="00051F2D" w:rsidRPr="007334C5" w:rsidRDefault="007E055C" w:rsidP="007E055C">
      <w:pPr>
        <w:spacing w:before="120" w:after="120" w:line="240" w:lineRule="auto"/>
        <w:rPr>
          <w:rFonts w:cstheme="minorHAnsi"/>
          <w:sz w:val="20"/>
          <w:szCs w:val="20"/>
        </w:rPr>
      </w:pPr>
      <w:r w:rsidRPr="007334C5">
        <w:rPr>
          <w:rFonts w:cstheme="minorHAnsi"/>
          <w:sz w:val="20"/>
          <w:szCs w:val="20"/>
        </w:rPr>
        <w:t>Noting the limited broader stakeholder engagement activity, the Basin Pipe scoping review highlighted that the stakeholder engagement, to the extent that was expected under the business case</w:t>
      </w:r>
      <w:r w:rsidR="00D51FE1" w:rsidRPr="007334C5">
        <w:rPr>
          <w:rFonts w:cstheme="minorHAnsi"/>
          <w:sz w:val="20"/>
          <w:szCs w:val="20"/>
        </w:rPr>
        <w:t>,</w:t>
      </w:r>
      <w:r w:rsidRPr="007334C5">
        <w:rPr>
          <w:rFonts w:cstheme="minorHAnsi"/>
          <w:sz w:val="20"/>
          <w:szCs w:val="20"/>
        </w:rPr>
        <w:t xml:space="preserve"> was not undertaken. Basin Pipe scoping review notes</w:t>
      </w:r>
      <w:r w:rsidR="00086220" w:rsidRPr="007334C5">
        <w:rPr>
          <w:rFonts w:cstheme="minorHAnsi"/>
          <w:sz w:val="20"/>
          <w:szCs w:val="20"/>
        </w:rPr>
        <w:t xml:space="preserve"> that</w:t>
      </w:r>
      <w:r w:rsidRPr="007334C5">
        <w:rPr>
          <w:rFonts w:cstheme="minorHAnsi"/>
          <w:sz w:val="20"/>
          <w:szCs w:val="20"/>
        </w:rPr>
        <w:t xml:space="preserve"> a number of </w:t>
      </w:r>
      <w:r w:rsidR="00051F2D" w:rsidRPr="007334C5">
        <w:rPr>
          <w:rFonts w:cstheme="minorHAnsi"/>
          <w:sz w:val="20"/>
          <w:szCs w:val="20"/>
        </w:rPr>
        <w:t xml:space="preserve">other </w:t>
      </w:r>
      <w:r w:rsidRPr="007334C5">
        <w:rPr>
          <w:rFonts w:cstheme="minorHAnsi"/>
          <w:sz w:val="20"/>
          <w:szCs w:val="20"/>
        </w:rPr>
        <w:t>factors</w:t>
      </w:r>
      <w:r w:rsidR="00051F2D" w:rsidRPr="007334C5">
        <w:rPr>
          <w:rStyle w:val="FootnoteReference"/>
          <w:rFonts w:cstheme="minorHAnsi"/>
          <w:sz w:val="20"/>
          <w:szCs w:val="20"/>
        </w:rPr>
        <w:footnoteReference w:id="1"/>
      </w:r>
      <w:r w:rsidRPr="007334C5">
        <w:rPr>
          <w:rFonts w:cstheme="minorHAnsi"/>
          <w:sz w:val="20"/>
          <w:szCs w:val="20"/>
        </w:rPr>
        <w:t xml:space="preserve"> </w:t>
      </w:r>
      <w:r w:rsidR="00051F2D" w:rsidRPr="007334C5">
        <w:rPr>
          <w:rFonts w:cstheme="minorHAnsi"/>
          <w:sz w:val="20"/>
          <w:szCs w:val="20"/>
        </w:rPr>
        <w:t xml:space="preserve">may have </w:t>
      </w:r>
      <w:r w:rsidRPr="007334C5">
        <w:rPr>
          <w:rFonts w:cstheme="minorHAnsi"/>
          <w:sz w:val="20"/>
          <w:szCs w:val="20"/>
        </w:rPr>
        <w:t>influenced this</w:t>
      </w:r>
      <w:r w:rsidR="00051F2D" w:rsidRPr="007334C5">
        <w:rPr>
          <w:rFonts w:cstheme="minorHAnsi"/>
          <w:sz w:val="20"/>
          <w:szCs w:val="20"/>
        </w:rPr>
        <w:t>, including:</w:t>
      </w:r>
    </w:p>
    <w:p w:rsidR="00051F2D" w:rsidRPr="007334C5" w:rsidRDefault="00051F2D" w:rsidP="00576A25">
      <w:pPr>
        <w:pStyle w:val="ListParagraph"/>
        <w:numPr>
          <w:ilvl w:val="0"/>
          <w:numId w:val="27"/>
        </w:numPr>
        <w:spacing w:before="120" w:after="120" w:line="240" w:lineRule="auto"/>
        <w:rPr>
          <w:rFonts w:cstheme="minorHAnsi"/>
          <w:sz w:val="20"/>
          <w:szCs w:val="20"/>
        </w:rPr>
      </w:pPr>
      <w:r w:rsidRPr="007334C5">
        <w:rPr>
          <w:rFonts w:cstheme="minorHAnsi"/>
          <w:sz w:val="20"/>
          <w:szCs w:val="20"/>
        </w:rPr>
        <w:t xml:space="preserve">The achievement of and reduction </w:t>
      </w:r>
      <w:r w:rsidR="00E70010" w:rsidRPr="007334C5">
        <w:rPr>
          <w:rFonts w:cstheme="minorHAnsi"/>
          <w:sz w:val="20"/>
          <w:szCs w:val="20"/>
        </w:rPr>
        <w:t>in</w:t>
      </w:r>
      <w:r w:rsidRPr="007334C5">
        <w:rPr>
          <w:rFonts w:cstheme="minorHAnsi"/>
          <w:sz w:val="20"/>
          <w:szCs w:val="20"/>
        </w:rPr>
        <w:t xml:space="preserve"> water recovery targets in </w:t>
      </w:r>
      <w:r w:rsidR="00E70010" w:rsidRPr="007334C5">
        <w:rPr>
          <w:rFonts w:cstheme="minorHAnsi"/>
          <w:sz w:val="20"/>
          <w:szCs w:val="20"/>
        </w:rPr>
        <w:t xml:space="preserve">selected </w:t>
      </w:r>
      <w:r w:rsidR="00F75869" w:rsidRPr="007334C5">
        <w:rPr>
          <w:rFonts w:cstheme="minorHAnsi"/>
          <w:sz w:val="20"/>
          <w:szCs w:val="20"/>
        </w:rPr>
        <w:t>in-</w:t>
      </w:r>
      <w:r w:rsidR="00E70010" w:rsidRPr="007334C5">
        <w:rPr>
          <w:rFonts w:cstheme="minorHAnsi"/>
          <w:sz w:val="20"/>
          <w:szCs w:val="20"/>
        </w:rPr>
        <w:t xml:space="preserve">scope </w:t>
      </w:r>
      <w:r w:rsidRPr="007334C5">
        <w:rPr>
          <w:rFonts w:cstheme="minorHAnsi"/>
          <w:sz w:val="20"/>
          <w:szCs w:val="20"/>
        </w:rPr>
        <w:t>valleys;</w:t>
      </w:r>
      <w:r w:rsidR="00A5796B" w:rsidRPr="007334C5">
        <w:rPr>
          <w:rFonts w:cstheme="minorHAnsi"/>
          <w:sz w:val="20"/>
          <w:szCs w:val="20"/>
        </w:rPr>
        <w:t xml:space="preserve"> and</w:t>
      </w:r>
    </w:p>
    <w:p w:rsidR="00051F2D" w:rsidRPr="007334C5" w:rsidRDefault="004816BD" w:rsidP="00576A25">
      <w:pPr>
        <w:pStyle w:val="ListParagraph"/>
        <w:numPr>
          <w:ilvl w:val="0"/>
          <w:numId w:val="27"/>
        </w:numPr>
        <w:spacing w:before="120" w:after="120" w:line="240" w:lineRule="auto"/>
        <w:rPr>
          <w:rFonts w:cstheme="minorHAnsi"/>
          <w:sz w:val="20"/>
          <w:szCs w:val="20"/>
        </w:rPr>
      </w:pPr>
      <w:r w:rsidRPr="007334C5">
        <w:rPr>
          <w:rFonts w:cstheme="minorHAnsi"/>
          <w:sz w:val="20"/>
          <w:szCs w:val="20"/>
        </w:rPr>
        <w:t>Changes to</w:t>
      </w:r>
      <w:r w:rsidR="00E70010" w:rsidRPr="007334C5">
        <w:rPr>
          <w:rFonts w:cstheme="minorHAnsi"/>
          <w:sz w:val="20"/>
          <w:szCs w:val="20"/>
        </w:rPr>
        <w:t xml:space="preserve"> access to </w:t>
      </w:r>
      <w:r w:rsidR="00051F2D" w:rsidRPr="007334C5">
        <w:rPr>
          <w:rFonts w:cstheme="minorHAnsi"/>
          <w:sz w:val="20"/>
          <w:szCs w:val="20"/>
        </w:rPr>
        <w:t>replenishment flow</w:t>
      </w:r>
      <w:r w:rsidR="00E70010" w:rsidRPr="007334C5">
        <w:rPr>
          <w:rFonts w:cstheme="minorHAnsi"/>
          <w:sz w:val="20"/>
          <w:szCs w:val="20"/>
        </w:rPr>
        <w:t xml:space="preserve"> schemes due to change in water recovery targets</w:t>
      </w:r>
      <w:r w:rsidR="00A5796B" w:rsidRPr="007334C5">
        <w:rPr>
          <w:rFonts w:cstheme="minorHAnsi"/>
          <w:sz w:val="20"/>
          <w:szCs w:val="20"/>
        </w:rPr>
        <w:t>.</w:t>
      </w:r>
      <w:r w:rsidR="00051F2D" w:rsidRPr="007334C5">
        <w:rPr>
          <w:rFonts w:cstheme="minorHAnsi"/>
          <w:sz w:val="20"/>
          <w:szCs w:val="20"/>
        </w:rPr>
        <w:t xml:space="preserve"> </w:t>
      </w:r>
    </w:p>
    <w:p w:rsidR="00A5796B" w:rsidRPr="007334C5" w:rsidRDefault="00051F2D" w:rsidP="00576A25">
      <w:pPr>
        <w:spacing w:before="120" w:after="120" w:line="240" w:lineRule="auto"/>
        <w:rPr>
          <w:rFonts w:cstheme="minorHAnsi"/>
          <w:sz w:val="20"/>
          <w:szCs w:val="20"/>
        </w:rPr>
      </w:pPr>
      <w:r w:rsidRPr="007334C5">
        <w:rPr>
          <w:rFonts w:cstheme="minorHAnsi"/>
          <w:sz w:val="20"/>
          <w:szCs w:val="20"/>
        </w:rPr>
        <w:t>However</w:t>
      </w:r>
      <w:r w:rsidR="006633F4" w:rsidRPr="007334C5">
        <w:rPr>
          <w:rFonts w:cstheme="minorHAnsi"/>
          <w:sz w:val="20"/>
          <w:szCs w:val="20"/>
        </w:rPr>
        <w:t>,</w:t>
      </w:r>
      <w:r w:rsidRPr="007334C5">
        <w:rPr>
          <w:rFonts w:cstheme="minorHAnsi"/>
          <w:sz w:val="20"/>
          <w:szCs w:val="20"/>
        </w:rPr>
        <w:t xml:space="preserve"> the review </w:t>
      </w:r>
      <w:r w:rsidR="007E055C" w:rsidRPr="007334C5">
        <w:rPr>
          <w:rFonts w:cstheme="minorHAnsi"/>
          <w:sz w:val="20"/>
          <w:szCs w:val="20"/>
        </w:rPr>
        <w:t>recognises</w:t>
      </w:r>
      <w:r w:rsidRPr="007334C5">
        <w:rPr>
          <w:rFonts w:cstheme="minorHAnsi"/>
          <w:sz w:val="20"/>
          <w:szCs w:val="20"/>
        </w:rPr>
        <w:t xml:space="preserve"> that the lack of stakeholder engagement</w:t>
      </w:r>
      <w:r w:rsidR="007E055C" w:rsidRPr="007334C5">
        <w:rPr>
          <w:rFonts w:cstheme="minorHAnsi"/>
          <w:sz w:val="20"/>
          <w:szCs w:val="20"/>
        </w:rPr>
        <w:t xml:space="preserve"> </w:t>
      </w:r>
      <w:r w:rsidR="00A5796B" w:rsidRPr="007334C5">
        <w:rPr>
          <w:rFonts w:cstheme="minorHAnsi"/>
          <w:sz w:val="20"/>
          <w:szCs w:val="20"/>
        </w:rPr>
        <w:t>presented</w:t>
      </w:r>
      <w:r w:rsidR="007E055C" w:rsidRPr="007334C5">
        <w:rPr>
          <w:rFonts w:cstheme="minorHAnsi"/>
          <w:sz w:val="20"/>
          <w:szCs w:val="20"/>
        </w:rPr>
        <w:t xml:space="preserve"> a risk to the project</w:t>
      </w:r>
      <w:r w:rsidRPr="007334C5">
        <w:rPr>
          <w:rFonts w:cstheme="minorHAnsi"/>
          <w:sz w:val="20"/>
          <w:szCs w:val="20"/>
        </w:rPr>
        <w:t xml:space="preserve"> and warrants further analysis</w:t>
      </w:r>
      <w:r w:rsidR="007E055C" w:rsidRPr="007334C5">
        <w:rPr>
          <w:rFonts w:cstheme="minorHAnsi"/>
          <w:sz w:val="20"/>
          <w:szCs w:val="20"/>
        </w:rPr>
        <w:t xml:space="preserve">. </w:t>
      </w:r>
      <w:r w:rsidR="00A5796B" w:rsidRPr="007334C5">
        <w:rPr>
          <w:rFonts w:cstheme="minorHAnsi"/>
          <w:sz w:val="20"/>
          <w:szCs w:val="20"/>
        </w:rPr>
        <w:t xml:space="preserve">A key learning highlighted in the scoping review was the need for a detailed analysis by NSW of reasons why uptake did not met expectations. </w:t>
      </w:r>
    </w:p>
    <w:p w:rsidR="007E055C" w:rsidRPr="007334C5" w:rsidRDefault="007E055C" w:rsidP="00576A25">
      <w:pPr>
        <w:spacing w:before="120" w:after="120" w:line="240" w:lineRule="auto"/>
        <w:rPr>
          <w:rFonts w:cstheme="minorHAnsi"/>
          <w:sz w:val="20"/>
          <w:szCs w:val="20"/>
        </w:rPr>
      </w:pPr>
      <w:r w:rsidRPr="007334C5">
        <w:rPr>
          <w:rFonts w:cstheme="minorHAnsi"/>
          <w:sz w:val="20"/>
          <w:szCs w:val="20"/>
        </w:rPr>
        <w:t xml:space="preserve">KPMG have not recommended any further action in this area, noting DoI Water’s current focus on the delivery of remaining schemes and awareness of the stakeholder engagement issues. </w:t>
      </w:r>
    </w:p>
    <w:p w:rsidR="007E055C" w:rsidRPr="007334C5" w:rsidRDefault="007E055C" w:rsidP="007E055C">
      <w:pPr>
        <w:pStyle w:val="Heading2"/>
        <w:rPr>
          <w:rFonts w:asciiTheme="minorHAnsi" w:hAnsiTheme="minorHAnsi" w:cstheme="minorHAnsi"/>
        </w:rPr>
      </w:pPr>
      <w:bookmarkStart w:id="22" w:name="_Toc532457242"/>
      <w:bookmarkStart w:id="23" w:name="_Toc535401138"/>
      <w:r w:rsidRPr="007334C5">
        <w:rPr>
          <w:rFonts w:asciiTheme="minorHAnsi" w:hAnsiTheme="minorHAnsi" w:cstheme="minorHAnsi"/>
        </w:rPr>
        <w:t>Water transfer</w:t>
      </w:r>
      <w:bookmarkEnd w:id="22"/>
      <w:bookmarkEnd w:id="23"/>
    </w:p>
    <w:p w:rsidR="007E055C" w:rsidRPr="007334C5" w:rsidRDefault="007E055C" w:rsidP="007E055C">
      <w:pPr>
        <w:shd w:val="clear" w:color="auto" w:fill="E7E6E6" w:themeFill="background2"/>
        <w:spacing w:before="120" w:after="120" w:line="240" w:lineRule="auto"/>
        <w:ind w:right="68"/>
        <w:rPr>
          <w:rFonts w:cstheme="minorHAnsi"/>
          <w:i/>
          <w:sz w:val="20"/>
          <w:szCs w:val="20"/>
        </w:rPr>
      </w:pPr>
      <w:r w:rsidRPr="007334C5">
        <w:rPr>
          <w:rFonts w:cstheme="minorHAnsi"/>
          <w:i/>
          <w:sz w:val="20"/>
          <w:szCs w:val="20"/>
        </w:rPr>
        <w:t>DoI Water have appropriate processes in place to support and coordinate the water transfer process between landholders and the Commonwealth.</w:t>
      </w:r>
    </w:p>
    <w:p w:rsidR="007E055C" w:rsidRPr="007334C5" w:rsidRDefault="007E055C" w:rsidP="00576A25">
      <w:pPr>
        <w:spacing w:before="120" w:after="120" w:line="240" w:lineRule="auto"/>
        <w:rPr>
          <w:rFonts w:cstheme="minorHAnsi"/>
          <w:sz w:val="20"/>
          <w:szCs w:val="20"/>
        </w:rPr>
      </w:pPr>
      <w:r w:rsidRPr="007334C5">
        <w:rPr>
          <w:rFonts w:cstheme="minorHAnsi"/>
          <w:sz w:val="20"/>
          <w:szCs w:val="20"/>
        </w:rPr>
        <w:t xml:space="preserve">The Basin Pipe project delivers water to the environment through the transfer </w:t>
      </w:r>
      <w:r w:rsidR="00AD6003" w:rsidRPr="007334C5">
        <w:rPr>
          <w:rFonts w:cstheme="minorHAnsi"/>
          <w:sz w:val="20"/>
          <w:szCs w:val="20"/>
        </w:rPr>
        <w:t xml:space="preserve">an agreed proportion </w:t>
      </w:r>
      <w:r w:rsidRPr="007334C5">
        <w:rPr>
          <w:rFonts w:cstheme="minorHAnsi"/>
          <w:sz w:val="20"/>
          <w:szCs w:val="20"/>
        </w:rPr>
        <w:t>of proposed water savings (as agreed in the WMPA) to the Commonwealth achieved through on-ground works. The agreed proportion of water savings are outlined in the funding agreements with landholders and / or entitlement holders. Water entitlement holders transfer water savings to the NSW Government represented by the Water Administration Ministerial Corporation (WAMC). This in turn is transferred</w:t>
      </w:r>
      <w:r w:rsidR="00B20404" w:rsidRPr="007334C5">
        <w:rPr>
          <w:rFonts w:cstheme="minorHAnsi"/>
          <w:sz w:val="20"/>
          <w:szCs w:val="20"/>
        </w:rPr>
        <w:t xml:space="preserve"> </w:t>
      </w:r>
      <w:r w:rsidRPr="007334C5">
        <w:rPr>
          <w:rFonts w:cstheme="minorHAnsi"/>
          <w:sz w:val="20"/>
          <w:szCs w:val="20"/>
        </w:rPr>
        <w:t xml:space="preserve">to the Commonwealth. Transfer of a water entitlement is effected by either a s71Q transfer of the share component under the </w:t>
      </w:r>
      <w:r w:rsidRPr="007334C5">
        <w:rPr>
          <w:rFonts w:cstheme="minorHAnsi"/>
          <w:i/>
          <w:sz w:val="20"/>
          <w:szCs w:val="20"/>
        </w:rPr>
        <w:t>Water Management Act</w:t>
      </w:r>
      <w:r w:rsidRPr="007334C5">
        <w:rPr>
          <w:rFonts w:cstheme="minorHAnsi"/>
          <w:sz w:val="20"/>
          <w:szCs w:val="20"/>
        </w:rPr>
        <w:t xml:space="preserve"> from the NSW Government to the Commonwealth or a s71I correction or amendment to the water access register.</w:t>
      </w:r>
    </w:p>
    <w:p w:rsidR="007E055C" w:rsidRPr="007334C5" w:rsidRDefault="007E055C" w:rsidP="00576A25">
      <w:pPr>
        <w:spacing w:before="120" w:after="120" w:line="240" w:lineRule="auto"/>
        <w:rPr>
          <w:rFonts w:cstheme="minorHAnsi"/>
          <w:sz w:val="20"/>
          <w:szCs w:val="20"/>
        </w:rPr>
      </w:pPr>
      <w:r w:rsidRPr="007334C5">
        <w:rPr>
          <w:rFonts w:cstheme="minorHAnsi"/>
          <w:sz w:val="20"/>
          <w:szCs w:val="20"/>
        </w:rPr>
        <w:t>As per the WMPA, DoI Water is responsible for facilitating the transfer process, both to the NSW Government and the Commonwealth Government. The project team is not responsible for enacting the water transfer process however, it plays an important role in coordinating all parties involved. This includes monitoring progress and the completion and lodgement of relevant documentation. DoI Water have developed processes to support the transfer process. Some key process elements include:</w:t>
      </w:r>
    </w:p>
    <w:p w:rsidR="007E055C" w:rsidRPr="007334C5" w:rsidRDefault="007E055C" w:rsidP="007E055C">
      <w:pPr>
        <w:pStyle w:val="ListParagraph"/>
        <w:numPr>
          <w:ilvl w:val="0"/>
          <w:numId w:val="14"/>
        </w:numPr>
        <w:spacing w:before="120" w:after="120" w:line="240" w:lineRule="auto"/>
        <w:ind w:right="68"/>
        <w:rPr>
          <w:rFonts w:cstheme="minorHAnsi"/>
          <w:sz w:val="20"/>
          <w:szCs w:val="20"/>
        </w:rPr>
      </w:pPr>
      <w:r w:rsidRPr="007334C5">
        <w:rPr>
          <w:rFonts w:cstheme="minorHAnsi"/>
          <w:sz w:val="20"/>
          <w:szCs w:val="20"/>
        </w:rPr>
        <w:t>Initial title searches to confirm entitlement holder and relevant details.</w:t>
      </w:r>
    </w:p>
    <w:p w:rsidR="007E055C" w:rsidRPr="007334C5" w:rsidRDefault="007E055C" w:rsidP="007E055C">
      <w:pPr>
        <w:pStyle w:val="ListParagraph"/>
        <w:numPr>
          <w:ilvl w:val="0"/>
          <w:numId w:val="13"/>
        </w:numPr>
        <w:spacing w:before="120" w:after="120" w:line="240" w:lineRule="auto"/>
        <w:ind w:right="68"/>
        <w:rPr>
          <w:rFonts w:cstheme="minorHAnsi"/>
          <w:sz w:val="20"/>
          <w:szCs w:val="20"/>
        </w:rPr>
      </w:pPr>
      <w:r w:rsidRPr="007334C5">
        <w:rPr>
          <w:rFonts w:cstheme="minorHAnsi"/>
          <w:sz w:val="20"/>
          <w:szCs w:val="20"/>
        </w:rPr>
        <w:t>Coordinate completion, endorsement and lodgement of relevant applications for the subdivision</w:t>
      </w:r>
      <w:r w:rsidR="00B20404" w:rsidRPr="007334C5">
        <w:rPr>
          <w:rFonts w:cstheme="minorHAnsi"/>
          <w:sz w:val="20"/>
          <w:szCs w:val="20"/>
        </w:rPr>
        <w:t xml:space="preserve"> </w:t>
      </w:r>
      <w:r w:rsidRPr="007334C5">
        <w:rPr>
          <w:rFonts w:cstheme="minorHAnsi"/>
          <w:sz w:val="20"/>
          <w:szCs w:val="20"/>
        </w:rPr>
        <w:t xml:space="preserve">/ transfer of the applicable share of water entitlement to the WAMC. </w:t>
      </w:r>
    </w:p>
    <w:p w:rsidR="007E055C" w:rsidRPr="007334C5" w:rsidRDefault="007E055C" w:rsidP="007E055C">
      <w:pPr>
        <w:pStyle w:val="ListParagraph"/>
        <w:numPr>
          <w:ilvl w:val="0"/>
          <w:numId w:val="12"/>
        </w:numPr>
        <w:spacing w:before="120" w:after="120" w:line="240" w:lineRule="auto"/>
        <w:ind w:right="68"/>
        <w:rPr>
          <w:rFonts w:cstheme="minorHAnsi"/>
          <w:sz w:val="20"/>
          <w:szCs w:val="20"/>
        </w:rPr>
      </w:pPr>
      <w:r w:rsidRPr="007334C5">
        <w:rPr>
          <w:rFonts w:cstheme="minorHAnsi"/>
          <w:sz w:val="20"/>
          <w:szCs w:val="20"/>
        </w:rPr>
        <w:t xml:space="preserve">Notification to the Commonwealth, identifying the relevant entitlement held by WAMC which will require transfer and initiating the transfer process. </w:t>
      </w:r>
    </w:p>
    <w:p w:rsidR="007E055C" w:rsidRPr="007334C5" w:rsidRDefault="007E055C" w:rsidP="007E055C">
      <w:pPr>
        <w:pStyle w:val="ListParagraph"/>
        <w:numPr>
          <w:ilvl w:val="0"/>
          <w:numId w:val="12"/>
        </w:numPr>
        <w:spacing w:before="120" w:after="120" w:line="240" w:lineRule="auto"/>
        <w:ind w:right="68"/>
        <w:rPr>
          <w:rFonts w:cstheme="minorHAnsi"/>
          <w:sz w:val="20"/>
          <w:szCs w:val="20"/>
        </w:rPr>
      </w:pPr>
      <w:r w:rsidRPr="007334C5">
        <w:rPr>
          <w:rFonts w:cstheme="minorHAnsi"/>
          <w:sz w:val="20"/>
          <w:szCs w:val="20"/>
        </w:rPr>
        <w:t xml:space="preserve">Coordinating the completion and lodgement of water transfer applications on behalf of the NSW Government for the transfer of water to the Commonwealth. </w:t>
      </w:r>
    </w:p>
    <w:p w:rsidR="007E055C" w:rsidRPr="007334C5" w:rsidRDefault="007E055C" w:rsidP="00576A25">
      <w:pPr>
        <w:spacing w:before="120" w:after="120" w:line="240" w:lineRule="auto"/>
        <w:rPr>
          <w:rFonts w:cstheme="minorHAnsi"/>
          <w:sz w:val="20"/>
          <w:szCs w:val="20"/>
        </w:rPr>
      </w:pPr>
      <w:r w:rsidRPr="007334C5">
        <w:rPr>
          <w:rFonts w:cstheme="minorHAnsi"/>
          <w:sz w:val="20"/>
          <w:szCs w:val="20"/>
        </w:rPr>
        <w:t xml:space="preserve">DoI Water has </w:t>
      </w:r>
      <w:r w:rsidR="00BC7C5C" w:rsidRPr="007334C5">
        <w:rPr>
          <w:rFonts w:cstheme="minorHAnsi"/>
          <w:sz w:val="20"/>
          <w:szCs w:val="20"/>
        </w:rPr>
        <w:t xml:space="preserve">developed </w:t>
      </w:r>
      <w:r w:rsidRPr="007334C5">
        <w:rPr>
          <w:rFonts w:cstheme="minorHAnsi"/>
          <w:sz w:val="20"/>
          <w:szCs w:val="20"/>
        </w:rPr>
        <w:t xml:space="preserve">process documentation outlining key activities involved in the water transfer process. DoI Water have indicated that a dedicated officer is assigned to coordinate the water transfer process for each scheme. </w:t>
      </w:r>
    </w:p>
    <w:p w:rsidR="007E055C" w:rsidRPr="007334C5" w:rsidRDefault="007E055C" w:rsidP="00576A25">
      <w:pPr>
        <w:spacing w:before="120" w:after="120" w:line="240" w:lineRule="auto"/>
        <w:rPr>
          <w:rFonts w:cstheme="minorHAnsi"/>
          <w:sz w:val="20"/>
          <w:szCs w:val="20"/>
        </w:rPr>
      </w:pPr>
      <w:r w:rsidRPr="007334C5">
        <w:rPr>
          <w:rFonts w:cstheme="minorHAnsi"/>
          <w:sz w:val="20"/>
          <w:szCs w:val="20"/>
        </w:rPr>
        <w:t xml:space="preserve">The transfer of water savings to the NSW Government only occurs when the scheme is completed and commissioned (properly installed as designed, tested and maintained). DoI Water indicated that for more recent schemes, the project is seeking </w:t>
      </w:r>
      <w:r w:rsidR="00086220" w:rsidRPr="007334C5">
        <w:rPr>
          <w:rFonts w:cstheme="minorHAnsi"/>
          <w:sz w:val="20"/>
          <w:szCs w:val="20"/>
        </w:rPr>
        <w:t xml:space="preserve">to </w:t>
      </w:r>
      <w:r w:rsidRPr="007334C5">
        <w:rPr>
          <w:rFonts w:cstheme="minorHAnsi"/>
          <w:sz w:val="20"/>
          <w:szCs w:val="20"/>
        </w:rPr>
        <w:t xml:space="preserve">obtain entitlement holder’s approval to commence the transfer process prior to completion of works to meet project timeframes. </w:t>
      </w:r>
      <w:r w:rsidR="00D51FE1" w:rsidRPr="007334C5">
        <w:rPr>
          <w:rFonts w:cstheme="minorHAnsi"/>
          <w:sz w:val="20"/>
        </w:rPr>
        <w:t>KPMG did not identify any non-compliance or control weaknesses related to the water transfer process.</w:t>
      </w:r>
    </w:p>
    <w:p w:rsidR="00871FD3" w:rsidRPr="007334C5" w:rsidRDefault="0022344D" w:rsidP="000722AF">
      <w:pPr>
        <w:pStyle w:val="Heading2"/>
        <w:rPr>
          <w:rFonts w:asciiTheme="minorHAnsi" w:hAnsiTheme="minorHAnsi" w:cstheme="minorHAnsi"/>
        </w:rPr>
      </w:pPr>
      <w:bookmarkStart w:id="24" w:name="_Toc519850550"/>
      <w:bookmarkStart w:id="25" w:name="_Toc535401139"/>
      <w:r w:rsidRPr="007334C5">
        <w:rPr>
          <w:rFonts w:asciiTheme="minorHAnsi" w:hAnsiTheme="minorHAnsi" w:cstheme="minorHAnsi"/>
        </w:rPr>
        <w:t>Scheme</w:t>
      </w:r>
      <w:r w:rsidR="00871FD3" w:rsidRPr="007334C5">
        <w:rPr>
          <w:rFonts w:asciiTheme="minorHAnsi" w:hAnsiTheme="minorHAnsi" w:cstheme="minorHAnsi"/>
        </w:rPr>
        <w:t xml:space="preserve"> management</w:t>
      </w:r>
      <w:bookmarkEnd w:id="24"/>
      <w:bookmarkEnd w:id="25"/>
    </w:p>
    <w:p w:rsidR="00F43A4F" w:rsidRPr="007334C5" w:rsidRDefault="0031631F" w:rsidP="00F74EDA">
      <w:pPr>
        <w:pStyle w:val="Heading3"/>
        <w:shd w:val="clear" w:color="auto" w:fill="E7E6E6" w:themeFill="background2"/>
        <w:rPr>
          <w:rFonts w:asciiTheme="minorHAnsi" w:eastAsiaTheme="minorEastAsia" w:hAnsiTheme="minorHAnsi" w:cstheme="minorHAnsi"/>
          <w:i/>
          <w:color w:val="auto"/>
          <w:sz w:val="20"/>
          <w:szCs w:val="20"/>
          <w:highlight w:val="lightGray"/>
        </w:rPr>
      </w:pPr>
      <w:r w:rsidRPr="007334C5">
        <w:rPr>
          <w:rFonts w:asciiTheme="minorHAnsi" w:eastAsiaTheme="minorEastAsia" w:hAnsiTheme="minorHAnsi" w:cstheme="minorHAnsi"/>
          <w:i/>
          <w:color w:val="auto"/>
          <w:sz w:val="20"/>
          <w:szCs w:val="20"/>
        </w:rPr>
        <w:t>DoI Water</w:t>
      </w:r>
      <w:r w:rsidR="00474DAB" w:rsidRPr="007334C5">
        <w:rPr>
          <w:rFonts w:asciiTheme="minorHAnsi" w:eastAsiaTheme="minorEastAsia" w:hAnsiTheme="minorHAnsi" w:cstheme="minorHAnsi"/>
          <w:i/>
          <w:color w:val="auto"/>
          <w:sz w:val="20"/>
          <w:szCs w:val="20"/>
        </w:rPr>
        <w:t xml:space="preserve"> appear to have</w:t>
      </w:r>
      <w:r w:rsidRPr="007334C5">
        <w:rPr>
          <w:rFonts w:asciiTheme="minorHAnsi" w:eastAsiaTheme="minorEastAsia" w:hAnsiTheme="minorHAnsi" w:cstheme="minorHAnsi"/>
          <w:i/>
          <w:color w:val="auto"/>
          <w:sz w:val="20"/>
          <w:szCs w:val="20"/>
        </w:rPr>
        <w:t xml:space="preserve"> established</w:t>
      </w:r>
      <w:r w:rsidR="00474DAB" w:rsidRPr="007334C5">
        <w:rPr>
          <w:rFonts w:asciiTheme="minorHAnsi" w:eastAsiaTheme="minorEastAsia" w:hAnsiTheme="minorHAnsi" w:cstheme="minorHAnsi"/>
          <w:i/>
          <w:color w:val="auto"/>
          <w:sz w:val="20"/>
          <w:szCs w:val="20"/>
        </w:rPr>
        <w:t xml:space="preserve"> </w:t>
      </w:r>
      <w:r w:rsidRPr="007334C5">
        <w:rPr>
          <w:rFonts w:asciiTheme="minorHAnsi" w:eastAsiaTheme="minorEastAsia" w:hAnsiTheme="minorHAnsi" w:cstheme="minorHAnsi"/>
          <w:i/>
          <w:color w:val="auto"/>
          <w:sz w:val="20"/>
          <w:szCs w:val="20"/>
        </w:rPr>
        <w:t xml:space="preserve">a number of </w:t>
      </w:r>
      <w:r w:rsidR="00474DAB" w:rsidRPr="007334C5">
        <w:rPr>
          <w:rFonts w:asciiTheme="minorHAnsi" w:eastAsiaTheme="minorEastAsia" w:hAnsiTheme="minorHAnsi" w:cstheme="minorHAnsi"/>
          <w:i/>
          <w:color w:val="auto"/>
          <w:sz w:val="20"/>
          <w:szCs w:val="20"/>
        </w:rPr>
        <w:t xml:space="preserve">processes </w:t>
      </w:r>
      <w:r w:rsidRPr="007334C5">
        <w:rPr>
          <w:rFonts w:asciiTheme="minorHAnsi" w:eastAsiaTheme="minorEastAsia" w:hAnsiTheme="minorHAnsi" w:cstheme="minorHAnsi"/>
          <w:i/>
          <w:color w:val="auto"/>
          <w:sz w:val="20"/>
          <w:szCs w:val="20"/>
        </w:rPr>
        <w:t>to assist in the managem</w:t>
      </w:r>
      <w:r w:rsidR="00146A71" w:rsidRPr="007334C5">
        <w:rPr>
          <w:rFonts w:asciiTheme="minorHAnsi" w:eastAsiaTheme="minorEastAsia" w:hAnsiTheme="minorHAnsi" w:cstheme="minorHAnsi"/>
          <w:i/>
          <w:color w:val="auto"/>
          <w:sz w:val="20"/>
          <w:szCs w:val="20"/>
        </w:rPr>
        <w:t>ent of water efficiency schemes</w:t>
      </w:r>
      <w:r w:rsidRPr="007334C5">
        <w:rPr>
          <w:rFonts w:asciiTheme="minorHAnsi" w:eastAsiaTheme="minorEastAsia" w:hAnsiTheme="minorHAnsi" w:cstheme="minorHAnsi"/>
          <w:i/>
          <w:color w:val="auto"/>
          <w:sz w:val="20"/>
          <w:szCs w:val="20"/>
        </w:rPr>
        <w:t xml:space="preserve"> however</w:t>
      </w:r>
      <w:r w:rsidR="004556CE" w:rsidRPr="007334C5">
        <w:rPr>
          <w:rFonts w:asciiTheme="minorHAnsi" w:eastAsiaTheme="minorEastAsia" w:hAnsiTheme="minorHAnsi" w:cstheme="minorHAnsi"/>
          <w:i/>
          <w:color w:val="auto"/>
          <w:sz w:val="20"/>
          <w:szCs w:val="20"/>
        </w:rPr>
        <w:t>,</w:t>
      </w:r>
      <w:r w:rsidRPr="007334C5">
        <w:rPr>
          <w:rFonts w:asciiTheme="minorHAnsi" w:eastAsiaTheme="minorEastAsia" w:hAnsiTheme="minorHAnsi" w:cstheme="minorHAnsi"/>
          <w:i/>
          <w:color w:val="auto"/>
          <w:sz w:val="20"/>
          <w:szCs w:val="20"/>
        </w:rPr>
        <w:t xml:space="preserve"> gaps were identified in the projects document management protocols and guidance available to project staff</w:t>
      </w:r>
      <w:r w:rsidR="00474DAB" w:rsidRPr="007334C5">
        <w:rPr>
          <w:rFonts w:asciiTheme="minorHAnsi" w:eastAsiaTheme="minorEastAsia" w:hAnsiTheme="minorHAnsi" w:cstheme="minorHAnsi"/>
          <w:i/>
          <w:color w:val="auto"/>
          <w:sz w:val="20"/>
          <w:szCs w:val="20"/>
        </w:rPr>
        <w:t>.</w:t>
      </w:r>
    </w:p>
    <w:p w:rsidR="00540B20" w:rsidRPr="007334C5" w:rsidRDefault="00540B20" w:rsidP="0031631F">
      <w:pPr>
        <w:spacing w:before="120" w:after="120" w:line="240" w:lineRule="auto"/>
        <w:rPr>
          <w:rFonts w:cstheme="minorHAnsi"/>
          <w:sz w:val="20"/>
          <w:szCs w:val="20"/>
        </w:rPr>
      </w:pPr>
      <w:r w:rsidRPr="007334C5">
        <w:rPr>
          <w:rFonts w:cstheme="minorHAnsi"/>
          <w:sz w:val="20"/>
          <w:szCs w:val="20"/>
        </w:rPr>
        <w:t xml:space="preserve">As per the WMPA, </w:t>
      </w:r>
      <w:r w:rsidR="008A7EEF" w:rsidRPr="007334C5">
        <w:rPr>
          <w:rFonts w:cstheme="minorHAnsi"/>
          <w:sz w:val="20"/>
          <w:szCs w:val="20"/>
        </w:rPr>
        <w:t>DoI Water are re</w:t>
      </w:r>
      <w:r w:rsidRPr="007334C5">
        <w:rPr>
          <w:rFonts w:cstheme="minorHAnsi"/>
          <w:sz w:val="20"/>
          <w:szCs w:val="20"/>
        </w:rPr>
        <w:t>sponsible for planning and managing all aspects in the delivery of approved schemes. The key phases involved in the delivery of scheme</w:t>
      </w:r>
      <w:r w:rsidR="00344043" w:rsidRPr="007334C5">
        <w:rPr>
          <w:rFonts w:cstheme="minorHAnsi"/>
          <w:sz w:val="20"/>
          <w:szCs w:val="20"/>
        </w:rPr>
        <w:t>s</w:t>
      </w:r>
      <w:r w:rsidRPr="007334C5">
        <w:rPr>
          <w:rFonts w:cstheme="minorHAnsi"/>
          <w:sz w:val="20"/>
          <w:szCs w:val="20"/>
        </w:rPr>
        <w:t xml:space="preserve"> are briefly described below:</w:t>
      </w:r>
    </w:p>
    <w:p w:rsidR="008A7EEF" w:rsidRPr="007334C5" w:rsidRDefault="00540B20" w:rsidP="0031631F">
      <w:pPr>
        <w:pStyle w:val="ListParagraph"/>
        <w:numPr>
          <w:ilvl w:val="0"/>
          <w:numId w:val="19"/>
        </w:numPr>
        <w:spacing w:before="120" w:after="120" w:line="240" w:lineRule="auto"/>
        <w:rPr>
          <w:rFonts w:cstheme="minorHAnsi"/>
          <w:sz w:val="20"/>
          <w:szCs w:val="20"/>
        </w:rPr>
      </w:pPr>
      <w:r w:rsidRPr="007334C5">
        <w:rPr>
          <w:rFonts w:cstheme="minorHAnsi"/>
          <w:i/>
          <w:sz w:val="20"/>
          <w:szCs w:val="20"/>
        </w:rPr>
        <w:t>Preliminary investigation</w:t>
      </w:r>
      <w:r w:rsidRPr="007334C5">
        <w:rPr>
          <w:rFonts w:cstheme="minorHAnsi"/>
          <w:sz w:val="20"/>
          <w:szCs w:val="20"/>
        </w:rPr>
        <w:t xml:space="preserve">: Initial </w:t>
      </w:r>
      <w:r w:rsidR="003560D5" w:rsidRPr="007334C5">
        <w:rPr>
          <w:rFonts w:cstheme="minorHAnsi"/>
          <w:sz w:val="20"/>
          <w:szCs w:val="20"/>
        </w:rPr>
        <w:t>consultation and surveying</w:t>
      </w:r>
      <w:r w:rsidR="009068EF" w:rsidRPr="007334C5">
        <w:rPr>
          <w:rFonts w:cstheme="minorHAnsi"/>
          <w:sz w:val="20"/>
          <w:szCs w:val="20"/>
        </w:rPr>
        <w:t xml:space="preserve"> activity</w:t>
      </w:r>
      <w:r w:rsidR="003560D5" w:rsidRPr="007334C5">
        <w:rPr>
          <w:rFonts w:cstheme="minorHAnsi"/>
          <w:sz w:val="20"/>
          <w:szCs w:val="20"/>
        </w:rPr>
        <w:t xml:space="preserve"> with</w:t>
      </w:r>
      <w:r w:rsidR="001806C3" w:rsidRPr="007334C5">
        <w:rPr>
          <w:rFonts w:cstheme="minorHAnsi"/>
          <w:sz w:val="20"/>
          <w:szCs w:val="20"/>
        </w:rPr>
        <w:t xml:space="preserve"> the</w:t>
      </w:r>
      <w:r w:rsidR="003560D5" w:rsidRPr="007334C5">
        <w:rPr>
          <w:rFonts w:cstheme="minorHAnsi"/>
          <w:sz w:val="20"/>
          <w:szCs w:val="20"/>
        </w:rPr>
        <w:t xml:space="preserve"> landholder to</w:t>
      </w:r>
      <w:r w:rsidR="009068EF" w:rsidRPr="007334C5">
        <w:rPr>
          <w:rFonts w:cstheme="minorHAnsi"/>
          <w:sz w:val="20"/>
          <w:szCs w:val="20"/>
        </w:rPr>
        <w:t xml:space="preserve"> assess eligibility and</w:t>
      </w:r>
      <w:r w:rsidR="003560D5" w:rsidRPr="007334C5">
        <w:rPr>
          <w:rFonts w:cstheme="minorHAnsi"/>
          <w:sz w:val="20"/>
          <w:szCs w:val="20"/>
        </w:rPr>
        <w:t xml:space="preserve"> inform a concept</w:t>
      </w:r>
      <w:r w:rsidR="00F04C1A" w:rsidRPr="007334C5">
        <w:rPr>
          <w:rFonts w:cstheme="minorHAnsi"/>
          <w:sz w:val="20"/>
          <w:szCs w:val="20"/>
        </w:rPr>
        <w:t>ual</w:t>
      </w:r>
      <w:r w:rsidR="003560D5" w:rsidRPr="007334C5">
        <w:rPr>
          <w:rFonts w:cstheme="minorHAnsi"/>
          <w:sz w:val="20"/>
          <w:szCs w:val="20"/>
        </w:rPr>
        <w:t xml:space="preserve"> design for works.</w:t>
      </w:r>
      <w:r w:rsidR="009068EF" w:rsidRPr="007334C5">
        <w:rPr>
          <w:rFonts w:cstheme="minorHAnsi"/>
          <w:sz w:val="20"/>
          <w:szCs w:val="20"/>
        </w:rPr>
        <w:t xml:space="preserve"> Landholders will also provide in-principle agreement to continue</w:t>
      </w:r>
      <w:r w:rsidR="003560D5" w:rsidRPr="007334C5">
        <w:rPr>
          <w:rFonts w:cstheme="minorHAnsi"/>
          <w:sz w:val="20"/>
          <w:szCs w:val="20"/>
        </w:rPr>
        <w:t xml:space="preserve"> </w:t>
      </w:r>
      <w:r w:rsidR="00F85848" w:rsidRPr="007334C5">
        <w:rPr>
          <w:rFonts w:cstheme="minorHAnsi"/>
          <w:sz w:val="20"/>
          <w:szCs w:val="20"/>
        </w:rPr>
        <w:t xml:space="preserve">with </w:t>
      </w:r>
      <w:r w:rsidR="00313F28" w:rsidRPr="007334C5">
        <w:rPr>
          <w:rFonts w:cstheme="minorHAnsi"/>
          <w:sz w:val="20"/>
          <w:szCs w:val="20"/>
        </w:rPr>
        <w:t xml:space="preserve">the </w:t>
      </w:r>
      <w:r w:rsidR="00F85848" w:rsidRPr="007334C5">
        <w:rPr>
          <w:rFonts w:cstheme="minorHAnsi"/>
          <w:sz w:val="20"/>
          <w:szCs w:val="20"/>
        </w:rPr>
        <w:t xml:space="preserve">scheme. </w:t>
      </w:r>
    </w:p>
    <w:p w:rsidR="00540B20" w:rsidRPr="007334C5" w:rsidRDefault="00540B20" w:rsidP="0031631F">
      <w:pPr>
        <w:pStyle w:val="ListParagraph"/>
        <w:numPr>
          <w:ilvl w:val="0"/>
          <w:numId w:val="19"/>
        </w:numPr>
        <w:spacing w:before="120" w:after="120" w:line="240" w:lineRule="auto"/>
        <w:rPr>
          <w:rFonts w:cstheme="minorHAnsi"/>
          <w:b/>
          <w:sz w:val="20"/>
          <w:szCs w:val="20"/>
        </w:rPr>
      </w:pPr>
      <w:r w:rsidRPr="007334C5">
        <w:rPr>
          <w:rFonts w:cstheme="minorHAnsi"/>
          <w:i/>
          <w:sz w:val="20"/>
          <w:szCs w:val="20"/>
        </w:rPr>
        <w:t>Project description:</w:t>
      </w:r>
      <w:r w:rsidRPr="007334C5">
        <w:rPr>
          <w:rFonts w:cstheme="minorHAnsi"/>
          <w:b/>
          <w:sz w:val="20"/>
          <w:szCs w:val="20"/>
        </w:rPr>
        <w:t xml:space="preserve"> </w:t>
      </w:r>
      <w:r w:rsidR="00F85848" w:rsidRPr="007334C5">
        <w:rPr>
          <w:rFonts w:cstheme="minorHAnsi"/>
          <w:sz w:val="20"/>
          <w:szCs w:val="20"/>
        </w:rPr>
        <w:t xml:space="preserve">A project description is prepared for DAWR for review and </w:t>
      </w:r>
      <w:r w:rsidR="00BC7C5C" w:rsidRPr="007334C5">
        <w:rPr>
          <w:rFonts w:cstheme="minorHAnsi"/>
          <w:sz w:val="20"/>
          <w:szCs w:val="20"/>
        </w:rPr>
        <w:t>approve</w:t>
      </w:r>
      <w:r w:rsidR="00F85848" w:rsidRPr="007334C5">
        <w:rPr>
          <w:rFonts w:cstheme="minorHAnsi"/>
          <w:sz w:val="20"/>
          <w:szCs w:val="20"/>
        </w:rPr>
        <w:t>. This outlines the proposed works, proposed water savings</w:t>
      </w:r>
      <w:r w:rsidR="00770B84" w:rsidRPr="007334C5">
        <w:rPr>
          <w:rFonts w:cstheme="minorHAnsi"/>
          <w:sz w:val="20"/>
          <w:szCs w:val="20"/>
        </w:rPr>
        <w:t>,</w:t>
      </w:r>
      <w:r w:rsidR="00F85848" w:rsidRPr="007334C5">
        <w:rPr>
          <w:rFonts w:cstheme="minorHAnsi"/>
          <w:sz w:val="20"/>
          <w:szCs w:val="20"/>
        </w:rPr>
        <w:t xml:space="preserve"> and funding requirements</w:t>
      </w:r>
      <w:r w:rsidR="00F96BD6" w:rsidRPr="007334C5">
        <w:rPr>
          <w:rFonts w:cstheme="minorHAnsi"/>
          <w:sz w:val="20"/>
          <w:szCs w:val="20"/>
        </w:rPr>
        <w:t xml:space="preserve"> for the scheme</w:t>
      </w:r>
      <w:r w:rsidR="00F85848" w:rsidRPr="007334C5">
        <w:rPr>
          <w:rFonts w:cstheme="minorHAnsi"/>
          <w:sz w:val="20"/>
          <w:szCs w:val="20"/>
        </w:rPr>
        <w:t xml:space="preserve">. This document must be approved prior to </w:t>
      </w:r>
      <w:r w:rsidR="001806C3" w:rsidRPr="007334C5">
        <w:rPr>
          <w:rFonts w:cstheme="minorHAnsi"/>
          <w:sz w:val="20"/>
          <w:szCs w:val="20"/>
        </w:rPr>
        <w:t xml:space="preserve">establishing </w:t>
      </w:r>
      <w:r w:rsidR="00F85848" w:rsidRPr="007334C5">
        <w:rPr>
          <w:rFonts w:cstheme="minorHAnsi"/>
          <w:sz w:val="20"/>
          <w:szCs w:val="20"/>
        </w:rPr>
        <w:t xml:space="preserve">a formal funding agreement and </w:t>
      </w:r>
      <w:r w:rsidR="001806C3" w:rsidRPr="007334C5">
        <w:rPr>
          <w:rFonts w:cstheme="minorHAnsi"/>
          <w:sz w:val="20"/>
          <w:szCs w:val="20"/>
        </w:rPr>
        <w:t xml:space="preserve">the </w:t>
      </w:r>
      <w:r w:rsidR="00F85848" w:rsidRPr="007334C5">
        <w:rPr>
          <w:rFonts w:cstheme="minorHAnsi"/>
          <w:sz w:val="20"/>
          <w:szCs w:val="20"/>
        </w:rPr>
        <w:t>commenc</w:t>
      </w:r>
      <w:r w:rsidR="001806C3" w:rsidRPr="007334C5">
        <w:rPr>
          <w:rFonts w:cstheme="minorHAnsi"/>
          <w:sz w:val="20"/>
          <w:szCs w:val="20"/>
        </w:rPr>
        <w:t>ement</w:t>
      </w:r>
      <w:r w:rsidR="00F85848" w:rsidRPr="007334C5">
        <w:rPr>
          <w:rFonts w:cstheme="minorHAnsi"/>
          <w:sz w:val="20"/>
          <w:szCs w:val="20"/>
        </w:rPr>
        <w:t xml:space="preserve"> </w:t>
      </w:r>
      <w:r w:rsidR="001806C3" w:rsidRPr="007334C5">
        <w:rPr>
          <w:rFonts w:cstheme="minorHAnsi"/>
          <w:sz w:val="20"/>
          <w:szCs w:val="20"/>
        </w:rPr>
        <w:t xml:space="preserve">of </w:t>
      </w:r>
      <w:r w:rsidR="00F85848" w:rsidRPr="007334C5">
        <w:rPr>
          <w:rFonts w:cstheme="minorHAnsi"/>
          <w:sz w:val="20"/>
          <w:szCs w:val="20"/>
        </w:rPr>
        <w:t xml:space="preserve">construction activities. </w:t>
      </w:r>
    </w:p>
    <w:p w:rsidR="00F96BD6" w:rsidRPr="007334C5" w:rsidRDefault="00F96BD6" w:rsidP="0031631F">
      <w:pPr>
        <w:pStyle w:val="ListParagraph"/>
        <w:numPr>
          <w:ilvl w:val="0"/>
          <w:numId w:val="19"/>
        </w:numPr>
        <w:spacing w:before="120" w:after="120" w:line="240" w:lineRule="auto"/>
        <w:rPr>
          <w:rFonts w:cstheme="minorHAnsi"/>
          <w:b/>
          <w:sz w:val="20"/>
          <w:szCs w:val="20"/>
        </w:rPr>
      </w:pPr>
      <w:r w:rsidRPr="007334C5">
        <w:rPr>
          <w:rFonts w:cstheme="minorHAnsi"/>
          <w:i/>
          <w:sz w:val="20"/>
          <w:szCs w:val="20"/>
        </w:rPr>
        <w:t>Funding agreement:</w:t>
      </w:r>
      <w:r w:rsidRPr="007334C5">
        <w:rPr>
          <w:rFonts w:cstheme="minorHAnsi"/>
          <w:b/>
          <w:sz w:val="20"/>
          <w:szCs w:val="20"/>
        </w:rPr>
        <w:t xml:space="preserve"> </w:t>
      </w:r>
      <w:r w:rsidRPr="007334C5">
        <w:rPr>
          <w:rFonts w:cstheme="minorHAnsi"/>
          <w:sz w:val="20"/>
          <w:szCs w:val="20"/>
        </w:rPr>
        <w:t xml:space="preserve">A formal agreement is entered into by </w:t>
      </w:r>
      <w:r w:rsidR="00E620E1" w:rsidRPr="007334C5">
        <w:rPr>
          <w:rFonts w:cstheme="minorHAnsi"/>
          <w:sz w:val="20"/>
          <w:szCs w:val="20"/>
        </w:rPr>
        <w:t>DoI Water</w:t>
      </w:r>
      <w:r w:rsidRPr="007334C5">
        <w:rPr>
          <w:rFonts w:cstheme="minorHAnsi"/>
          <w:sz w:val="20"/>
          <w:szCs w:val="20"/>
        </w:rPr>
        <w:t xml:space="preserve"> and relevant landholders describing the infrastructure</w:t>
      </w:r>
      <w:r w:rsidR="00F04C1A" w:rsidRPr="007334C5">
        <w:rPr>
          <w:rFonts w:cstheme="minorHAnsi"/>
          <w:sz w:val="20"/>
          <w:szCs w:val="20"/>
        </w:rPr>
        <w:t xml:space="preserve"> to be built</w:t>
      </w:r>
      <w:r w:rsidRPr="007334C5">
        <w:rPr>
          <w:rFonts w:cstheme="minorHAnsi"/>
          <w:sz w:val="20"/>
          <w:szCs w:val="20"/>
        </w:rPr>
        <w:t>, details of funding limits</w:t>
      </w:r>
      <w:r w:rsidR="00313F28" w:rsidRPr="007334C5">
        <w:rPr>
          <w:rFonts w:cstheme="minorHAnsi"/>
          <w:sz w:val="20"/>
          <w:szCs w:val="20"/>
        </w:rPr>
        <w:t>,</w:t>
      </w:r>
      <w:r w:rsidRPr="007334C5">
        <w:rPr>
          <w:rFonts w:cstheme="minorHAnsi"/>
          <w:sz w:val="20"/>
          <w:szCs w:val="20"/>
        </w:rPr>
        <w:t xml:space="preserve"> and the amount of water to be exchanged.  A funding agreement must be entered into prior to construction occurring.</w:t>
      </w:r>
      <w:r w:rsidRPr="007334C5">
        <w:rPr>
          <w:rFonts w:cstheme="minorHAnsi"/>
          <w:b/>
          <w:sz w:val="20"/>
          <w:szCs w:val="20"/>
        </w:rPr>
        <w:t xml:space="preserve"> </w:t>
      </w:r>
    </w:p>
    <w:p w:rsidR="00540B20" w:rsidRPr="007334C5" w:rsidRDefault="00540B20" w:rsidP="0031631F">
      <w:pPr>
        <w:pStyle w:val="ListParagraph"/>
        <w:numPr>
          <w:ilvl w:val="0"/>
          <w:numId w:val="19"/>
        </w:numPr>
        <w:spacing w:before="120" w:after="120" w:line="240" w:lineRule="auto"/>
        <w:rPr>
          <w:rFonts w:cstheme="minorHAnsi"/>
          <w:sz w:val="20"/>
          <w:szCs w:val="20"/>
        </w:rPr>
      </w:pPr>
      <w:r w:rsidRPr="007334C5">
        <w:rPr>
          <w:rFonts w:cstheme="minorHAnsi"/>
          <w:i/>
          <w:sz w:val="20"/>
          <w:szCs w:val="20"/>
        </w:rPr>
        <w:t xml:space="preserve">Review of </w:t>
      </w:r>
      <w:r w:rsidR="00B02B88" w:rsidRPr="007334C5">
        <w:rPr>
          <w:rFonts w:cstheme="minorHAnsi"/>
          <w:i/>
          <w:sz w:val="20"/>
          <w:szCs w:val="20"/>
        </w:rPr>
        <w:t>Environmental F</w:t>
      </w:r>
      <w:r w:rsidRPr="007334C5">
        <w:rPr>
          <w:rFonts w:cstheme="minorHAnsi"/>
          <w:i/>
          <w:sz w:val="20"/>
          <w:szCs w:val="20"/>
        </w:rPr>
        <w:t>actors</w:t>
      </w:r>
      <w:r w:rsidR="00B02B88" w:rsidRPr="007334C5">
        <w:rPr>
          <w:rFonts w:cstheme="minorHAnsi"/>
          <w:i/>
          <w:sz w:val="20"/>
          <w:szCs w:val="20"/>
        </w:rPr>
        <w:t xml:space="preserve"> (REF) / Aboriginal Cultural Heritage Assessment (ACHA)</w:t>
      </w:r>
      <w:r w:rsidRPr="007334C5">
        <w:rPr>
          <w:rFonts w:cstheme="minorHAnsi"/>
          <w:i/>
          <w:sz w:val="20"/>
          <w:szCs w:val="20"/>
        </w:rPr>
        <w:t>:</w:t>
      </w:r>
      <w:r w:rsidR="009068EF" w:rsidRPr="007334C5">
        <w:rPr>
          <w:rFonts w:cstheme="minorHAnsi"/>
          <w:sz w:val="20"/>
          <w:szCs w:val="20"/>
        </w:rPr>
        <w:t xml:space="preserve"> </w:t>
      </w:r>
      <w:r w:rsidR="00B02B88" w:rsidRPr="007334C5">
        <w:rPr>
          <w:rFonts w:cstheme="minorHAnsi"/>
          <w:sz w:val="20"/>
          <w:szCs w:val="20"/>
        </w:rPr>
        <w:t>A REF/ACHA is prepared to provide an assessment of impacts of the proposed works</w:t>
      </w:r>
      <w:r w:rsidR="00344043" w:rsidRPr="007334C5">
        <w:rPr>
          <w:rFonts w:cstheme="minorHAnsi"/>
          <w:sz w:val="20"/>
          <w:szCs w:val="20"/>
        </w:rPr>
        <w:t xml:space="preserve"> on the environment and</w:t>
      </w:r>
      <w:r w:rsidR="00B02B88" w:rsidRPr="007334C5">
        <w:rPr>
          <w:rFonts w:cstheme="minorHAnsi"/>
          <w:sz w:val="20"/>
          <w:szCs w:val="20"/>
        </w:rPr>
        <w:t xml:space="preserve"> any potential </w:t>
      </w:r>
      <w:r w:rsidR="00344043" w:rsidRPr="007334C5">
        <w:rPr>
          <w:rFonts w:cstheme="minorHAnsi"/>
          <w:sz w:val="20"/>
          <w:szCs w:val="20"/>
        </w:rPr>
        <w:t xml:space="preserve">impact on </w:t>
      </w:r>
      <w:r w:rsidR="00E70010" w:rsidRPr="007334C5">
        <w:rPr>
          <w:rFonts w:cstheme="minorHAnsi"/>
          <w:sz w:val="20"/>
          <w:szCs w:val="20"/>
        </w:rPr>
        <w:t>a</w:t>
      </w:r>
      <w:r w:rsidR="00B02B88" w:rsidRPr="007334C5">
        <w:rPr>
          <w:rFonts w:cstheme="minorHAnsi"/>
          <w:sz w:val="20"/>
          <w:szCs w:val="20"/>
        </w:rPr>
        <w:t>boriginal heritage sites in the landscape. It determines whether referral</w:t>
      </w:r>
      <w:r w:rsidR="00F04C1A" w:rsidRPr="007334C5">
        <w:rPr>
          <w:rFonts w:cstheme="minorHAnsi"/>
          <w:sz w:val="20"/>
          <w:szCs w:val="20"/>
        </w:rPr>
        <w:t xml:space="preserve"> is</w:t>
      </w:r>
      <w:r w:rsidR="00B02B88" w:rsidRPr="007334C5">
        <w:rPr>
          <w:rFonts w:cstheme="minorHAnsi"/>
          <w:sz w:val="20"/>
          <w:szCs w:val="20"/>
        </w:rPr>
        <w:t xml:space="preserve"> required under the </w:t>
      </w:r>
      <w:r w:rsidR="00B02B88" w:rsidRPr="007334C5">
        <w:rPr>
          <w:rFonts w:cstheme="minorHAnsi"/>
          <w:i/>
          <w:sz w:val="20"/>
          <w:szCs w:val="20"/>
        </w:rPr>
        <w:t>Commonwealth Environment Protection and Biodiversity Conservation Act 1999</w:t>
      </w:r>
      <w:r w:rsidR="00B02B88" w:rsidRPr="007334C5">
        <w:rPr>
          <w:rFonts w:cstheme="minorHAnsi"/>
          <w:sz w:val="20"/>
          <w:szCs w:val="20"/>
        </w:rPr>
        <w:t xml:space="preserve"> (EPBC Act).</w:t>
      </w:r>
      <w:r w:rsidR="00F04C1A" w:rsidRPr="007334C5">
        <w:rPr>
          <w:rFonts w:cstheme="minorHAnsi"/>
          <w:sz w:val="20"/>
          <w:szCs w:val="20"/>
        </w:rPr>
        <w:t xml:space="preserve"> Results of this</w:t>
      </w:r>
      <w:r w:rsidR="00B02B88" w:rsidRPr="007334C5">
        <w:rPr>
          <w:rFonts w:cstheme="minorHAnsi"/>
          <w:sz w:val="20"/>
          <w:szCs w:val="20"/>
        </w:rPr>
        <w:t xml:space="preserve"> phase may</w:t>
      </w:r>
      <w:r w:rsidR="00344043" w:rsidRPr="007334C5">
        <w:rPr>
          <w:rFonts w:cstheme="minorHAnsi"/>
          <w:sz w:val="20"/>
          <w:szCs w:val="20"/>
        </w:rPr>
        <w:t xml:space="preserve"> also</w:t>
      </w:r>
      <w:r w:rsidR="00B02B88" w:rsidRPr="007334C5">
        <w:rPr>
          <w:rFonts w:cstheme="minorHAnsi"/>
          <w:sz w:val="20"/>
          <w:szCs w:val="20"/>
        </w:rPr>
        <w:t xml:space="preserve"> </w:t>
      </w:r>
      <w:r w:rsidR="00BC7C5C" w:rsidRPr="007334C5">
        <w:rPr>
          <w:rFonts w:cstheme="minorHAnsi"/>
          <w:sz w:val="20"/>
          <w:szCs w:val="20"/>
        </w:rPr>
        <w:t>lead to</w:t>
      </w:r>
      <w:r w:rsidR="00B02B88" w:rsidRPr="007334C5">
        <w:rPr>
          <w:rFonts w:cstheme="minorHAnsi"/>
          <w:sz w:val="20"/>
          <w:szCs w:val="20"/>
        </w:rPr>
        <w:t xml:space="preserve"> changes to</w:t>
      </w:r>
      <w:r w:rsidR="00F04C1A" w:rsidRPr="007334C5">
        <w:rPr>
          <w:rFonts w:cstheme="minorHAnsi"/>
          <w:sz w:val="20"/>
          <w:szCs w:val="20"/>
        </w:rPr>
        <w:t xml:space="preserve"> the</w:t>
      </w:r>
      <w:r w:rsidR="00B02B88" w:rsidRPr="007334C5">
        <w:rPr>
          <w:rFonts w:cstheme="minorHAnsi"/>
          <w:sz w:val="20"/>
          <w:szCs w:val="20"/>
        </w:rPr>
        <w:t xml:space="preserve"> proposed design. </w:t>
      </w:r>
      <w:r w:rsidR="00344043" w:rsidRPr="007334C5">
        <w:rPr>
          <w:rFonts w:cstheme="minorHAnsi"/>
          <w:sz w:val="20"/>
          <w:szCs w:val="20"/>
        </w:rPr>
        <w:t xml:space="preserve">This activity is undertaken by a suitably qualified service provider. </w:t>
      </w:r>
    </w:p>
    <w:p w:rsidR="00540B20" w:rsidRPr="007334C5" w:rsidRDefault="00540B20" w:rsidP="0031631F">
      <w:pPr>
        <w:pStyle w:val="ListParagraph"/>
        <w:numPr>
          <w:ilvl w:val="0"/>
          <w:numId w:val="19"/>
        </w:numPr>
        <w:spacing w:before="120" w:after="120" w:line="240" w:lineRule="auto"/>
        <w:rPr>
          <w:rFonts w:cstheme="minorHAnsi"/>
          <w:sz w:val="20"/>
          <w:szCs w:val="20"/>
        </w:rPr>
      </w:pPr>
      <w:r w:rsidRPr="007334C5">
        <w:rPr>
          <w:rFonts w:cstheme="minorHAnsi"/>
          <w:i/>
          <w:sz w:val="20"/>
          <w:szCs w:val="20"/>
        </w:rPr>
        <w:t xml:space="preserve">Survey: </w:t>
      </w:r>
      <w:r w:rsidR="00F96BD6" w:rsidRPr="007334C5">
        <w:rPr>
          <w:rFonts w:cstheme="minorHAnsi"/>
          <w:sz w:val="20"/>
          <w:szCs w:val="20"/>
        </w:rPr>
        <w:t>This phase involves undertaking</w:t>
      </w:r>
      <w:r w:rsidR="008A098F" w:rsidRPr="007334C5">
        <w:rPr>
          <w:rFonts w:cstheme="minorHAnsi"/>
          <w:sz w:val="20"/>
          <w:szCs w:val="20"/>
        </w:rPr>
        <w:t xml:space="preserve"> a detailed survey of the proposed works</w:t>
      </w:r>
      <w:r w:rsidR="00770B84" w:rsidRPr="007334C5">
        <w:rPr>
          <w:rFonts w:cstheme="minorHAnsi"/>
          <w:sz w:val="20"/>
          <w:szCs w:val="20"/>
        </w:rPr>
        <w:t>,</w:t>
      </w:r>
      <w:r w:rsidR="008A098F" w:rsidRPr="007334C5">
        <w:rPr>
          <w:rFonts w:cstheme="minorHAnsi"/>
          <w:sz w:val="20"/>
          <w:szCs w:val="20"/>
        </w:rPr>
        <w:t xml:space="preserve"> including proposed pipeline routes, landscape and associated infrastructure.</w:t>
      </w:r>
      <w:r w:rsidR="00F96BD6" w:rsidRPr="007334C5">
        <w:rPr>
          <w:rFonts w:cstheme="minorHAnsi"/>
          <w:sz w:val="20"/>
          <w:szCs w:val="20"/>
        </w:rPr>
        <w:t xml:space="preserve"> This activity may be undertaken by </w:t>
      </w:r>
      <w:r w:rsidR="00E620E1" w:rsidRPr="007334C5">
        <w:rPr>
          <w:rFonts w:cstheme="minorHAnsi"/>
          <w:sz w:val="20"/>
          <w:szCs w:val="20"/>
        </w:rPr>
        <w:t>DoI</w:t>
      </w:r>
      <w:r w:rsidR="00F96BD6" w:rsidRPr="007334C5">
        <w:rPr>
          <w:rFonts w:cstheme="minorHAnsi"/>
          <w:sz w:val="20"/>
          <w:szCs w:val="20"/>
        </w:rPr>
        <w:t xml:space="preserve"> Water or an outsourced service provider. </w:t>
      </w:r>
    </w:p>
    <w:p w:rsidR="00540B20" w:rsidRPr="007334C5" w:rsidRDefault="00540B20" w:rsidP="0031631F">
      <w:pPr>
        <w:pStyle w:val="ListParagraph"/>
        <w:numPr>
          <w:ilvl w:val="0"/>
          <w:numId w:val="19"/>
        </w:numPr>
        <w:spacing w:before="120" w:after="120" w:line="240" w:lineRule="auto"/>
        <w:rPr>
          <w:rFonts w:cstheme="minorHAnsi"/>
          <w:sz w:val="20"/>
          <w:szCs w:val="20"/>
        </w:rPr>
      </w:pPr>
      <w:r w:rsidRPr="007334C5">
        <w:rPr>
          <w:rFonts w:cstheme="minorHAnsi"/>
          <w:i/>
          <w:sz w:val="20"/>
          <w:szCs w:val="20"/>
        </w:rPr>
        <w:t>Design:</w:t>
      </w:r>
      <w:r w:rsidRPr="007334C5">
        <w:rPr>
          <w:rFonts w:cstheme="minorHAnsi"/>
          <w:sz w:val="20"/>
          <w:szCs w:val="20"/>
        </w:rPr>
        <w:t xml:space="preserve"> </w:t>
      </w:r>
      <w:r w:rsidR="008A098F" w:rsidRPr="007334C5">
        <w:rPr>
          <w:rFonts w:cstheme="minorHAnsi"/>
          <w:sz w:val="20"/>
          <w:szCs w:val="20"/>
        </w:rPr>
        <w:t>Informed by</w:t>
      </w:r>
      <w:r w:rsidR="00F04C1A" w:rsidRPr="007334C5">
        <w:rPr>
          <w:rFonts w:cstheme="minorHAnsi"/>
          <w:sz w:val="20"/>
          <w:szCs w:val="20"/>
        </w:rPr>
        <w:t xml:space="preserve"> the</w:t>
      </w:r>
      <w:r w:rsidR="008A098F" w:rsidRPr="007334C5">
        <w:rPr>
          <w:rFonts w:cstheme="minorHAnsi"/>
          <w:sz w:val="20"/>
          <w:szCs w:val="20"/>
        </w:rPr>
        <w:t xml:space="preserve"> surveying phase, a detailed design</w:t>
      </w:r>
      <w:r w:rsidR="00F04C1A" w:rsidRPr="007334C5">
        <w:rPr>
          <w:rFonts w:cstheme="minorHAnsi"/>
          <w:sz w:val="20"/>
          <w:szCs w:val="20"/>
        </w:rPr>
        <w:t xml:space="preserve"> of</w:t>
      </w:r>
      <w:r w:rsidR="008A098F" w:rsidRPr="007334C5">
        <w:rPr>
          <w:rFonts w:cstheme="minorHAnsi"/>
          <w:sz w:val="20"/>
          <w:szCs w:val="20"/>
        </w:rPr>
        <w:t xml:space="preserve"> infrastructure works is developed that meet</w:t>
      </w:r>
      <w:r w:rsidR="001806C3" w:rsidRPr="007334C5">
        <w:rPr>
          <w:rFonts w:cstheme="minorHAnsi"/>
          <w:sz w:val="20"/>
          <w:szCs w:val="20"/>
        </w:rPr>
        <w:t>s</w:t>
      </w:r>
      <w:r w:rsidR="008A098F" w:rsidRPr="007334C5">
        <w:rPr>
          <w:rFonts w:cstheme="minorHAnsi"/>
          <w:sz w:val="20"/>
          <w:szCs w:val="20"/>
        </w:rPr>
        <w:t xml:space="preserve"> project design criteria. </w:t>
      </w:r>
      <w:r w:rsidR="00F85848" w:rsidRPr="007334C5">
        <w:rPr>
          <w:rFonts w:cstheme="minorHAnsi"/>
          <w:sz w:val="20"/>
          <w:szCs w:val="20"/>
        </w:rPr>
        <w:t xml:space="preserve">This will include undertaking </w:t>
      </w:r>
      <w:r w:rsidR="00F04C1A" w:rsidRPr="007334C5">
        <w:rPr>
          <w:rFonts w:cstheme="minorHAnsi"/>
          <w:sz w:val="20"/>
          <w:szCs w:val="20"/>
        </w:rPr>
        <w:t>h</w:t>
      </w:r>
      <w:r w:rsidR="00F85848" w:rsidRPr="007334C5">
        <w:rPr>
          <w:rFonts w:cstheme="minorHAnsi"/>
          <w:sz w:val="20"/>
          <w:szCs w:val="20"/>
        </w:rPr>
        <w:t xml:space="preserve">ydraulic modelling of proposed design. This phase will also determine the type and quantity of materials/equipment required for </w:t>
      </w:r>
      <w:r w:rsidR="00F96BD6" w:rsidRPr="007334C5">
        <w:rPr>
          <w:rFonts w:cstheme="minorHAnsi"/>
          <w:sz w:val="20"/>
          <w:szCs w:val="20"/>
        </w:rPr>
        <w:t xml:space="preserve">the </w:t>
      </w:r>
      <w:r w:rsidR="00F85848" w:rsidRPr="007334C5">
        <w:rPr>
          <w:rFonts w:cstheme="minorHAnsi"/>
          <w:sz w:val="20"/>
          <w:szCs w:val="20"/>
        </w:rPr>
        <w:t xml:space="preserve">design. </w:t>
      </w:r>
      <w:r w:rsidR="00F96BD6" w:rsidRPr="007334C5">
        <w:rPr>
          <w:rFonts w:cstheme="minorHAnsi"/>
          <w:sz w:val="20"/>
          <w:szCs w:val="20"/>
        </w:rPr>
        <w:t xml:space="preserve">This activity may be undertaken by </w:t>
      </w:r>
      <w:r w:rsidR="00E620E1" w:rsidRPr="007334C5">
        <w:rPr>
          <w:rFonts w:cstheme="minorHAnsi"/>
          <w:sz w:val="20"/>
          <w:szCs w:val="20"/>
        </w:rPr>
        <w:t>DoI</w:t>
      </w:r>
      <w:r w:rsidR="00F96BD6" w:rsidRPr="007334C5">
        <w:rPr>
          <w:rFonts w:cstheme="minorHAnsi"/>
          <w:sz w:val="20"/>
          <w:szCs w:val="20"/>
        </w:rPr>
        <w:t xml:space="preserve"> Water or an outsourced service provider.</w:t>
      </w:r>
    </w:p>
    <w:p w:rsidR="00540B20" w:rsidRPr="007334C5" w:rsidRDefault="00540B20" w:rsidP="0031631F">
      <w:pPr>
        <w:pStyle w:val="ListParagraph"/>
        <w:numPr>
          <w:ilvl w:val="0"/>
          <w:numId w:val="19"/>
        </w:numPr>
        <w:spacing w:before="120" w:after="120" w:line="240" w:lineRule="auto"/>
        <w:rPr>
          <w:rFonts w:cstheme="minorHAnsi"/>
          <w:b/>
          <w:sz w:val="20"/>
          <w:szCs w:val="20"/>
        </w:rPr>
      </w:pPr>
      <w:r w:rsidRPr="007334C5">
        <w:rPr>
          <w:rFonts w:cstheme="minorHAnsi"/>
          <w:i/>
          <w:sz w:val="20"/>
          <w:szCs w:val="20"/>
        </w:rPr>
        <w:t>Construction:</w:t>
      </w:r>
      <w:r w:rsidR="00F85848" w:rsidRPr="007334C5">
        <w:rPr>
          <w:rFonts w:cstheme="minorHAnsi"/>
          <w:b/>
          <w:sz w:val="20"/>
          <w:szCs w:val="20"/>
        </w:rPr>
        <w:t xml:space="preserve"> </w:t>
      </w:r>
      <w:r w:rsidR="00F96BD6" w:rsidRPr="007334C5">
        <w:rPr>
          <w:rFonts w:cstheme="minorHAnsi"/>
          <w:sz w:val="20"/>
          <w:szCs w:val="20"/>
        </w:rPr>
        <w:t>This phase includes the tender, engagement and management</w:t>
      </w:r>
      <w:r w:rsidR="00B20404" w:rsidRPr="007334C5">
        <w:rPr>
          <w:rFonts w:cstheme="minorHAnsi"/>
          <w:sz w:val="20"/>
          <w:szCs w:val="20"/>
        </w:rPr>
        <w:t xml:space="preserve"> </w:t>
      </w:r>
      <w:r w:rsidR="00F96BD6" w:rsidRPr="007334C5">
        <w:rPr>
          <w:rFonts w:cstheme="minorHAnsi"/>
          <w:sz w:val="20"/>
          <w:szCs w:val="20"/>
        </w:rPr>
        <w:t>o</w:t>
      </w:r>
      <w:r w:rsidR="00344043" w:rsidRPr="007334C5">
        <w:rPr>
          <w:rFonts w:cstheme="minorHAnsi"/>
          <w:sz w:val="20"/>
          <w:szCs w:val="20"/>
        </w:rPr>
        <w:t>f</w:t>
      </w:r>
      <w:r w:rsidR="00F04C1A" w:rsidRPr="007334C5">
        <w:rPr>
          <w:rFonts w:cstheme="minorHAnsi"/>
          <w:sz w:val="20"/>
          <w:szCs w:val="20"/>
        </w:rPr>
        <w:t xml:space="preserve"> a</w:t>
      </w:r>
      <w:r w:rsidR="00344043" w:rsidRPr="007334C5">
        <w:rPr>
          <w:rFonts w:cstheme="minorHAnsi"/>
          <w:sz w:val="20"/>
          <w:szCs w:val="20"/>
        </w:rPr>
        <w:t xml:space="preserve"> suitable construction </w:t>
      </w:r>
      <w:r w:rsidR="009908A8" w:rsidRPr="007334C5">
        <w:rPr>
          <w:rFonts w:cstheme="minorHAnsi"/>
          <w:sz w:val="20"/>
          <w:szCs w:val="20"/>
        </w:rPr>
        <w:t>contractor</w:t>
      </w:r>
      <w:r w:rsidR="00F96BD6" w:rsidRPr="007334C5">
        <w:rPr>
          <w:rFonts w:cstheme="minorHAnsi"/>
          <w:sz w:val="20"/>
          <w:szCs w:val="20"/>
        </w:rPr>
        <w:t xml:space="preserve"> to deliver proposed works as designed. </w:t>
      </w:r>
      <w:r w:rsidR="009B3FC9" w:rsidRPr="007334C5">
        <w:rPr>
          <w:rFonts w:cstheme="minorHAnsi"/>
          <w:sz w:val="20"/>
          <w:szCs w:val="20"/>
        </w:rPr>
        <w:t xml:space="preserve">This </w:t>
      </w:r>
      <w:r w:rsidR="00305900" w:rsidRPr="007334C5">
        <w:rPr>
          <w:rFonts w:cstheme="minorHAnsi"/>
          <w:sz w:val="20"/>
          <w:szCs w:val="20"/>
        </w:rPr>
        <w:t xml:space="preserve">phase includes </w:t>
      </w:r>
      <w:r w:rsidR="009B3FC9" w:rsidRPr="007334C5">
        <w:rPr>
          <w:rFonts w:cstheme="minorHAnsi"/>
          <w:sz w:val="20"/>
          <w:szCs w:val="20"/>
        </w:rPr>
        <w:t xml:space="preserve">final commissioning </w:t>
      </w:r>
      <w:r w:rsidR="00770B84" w:rsidRPr="007334C5">
        <w:rPr>
          <w:rFonts w:cstheme="minorHAnsi"/>
          <w:sz w:val="20"/>
          <w:szCs w:val="20"/>
        </w:rPr>
        <w:t>reviews</w:t>
      </w:r>
      <w:r w:rsidR="009B3FC9" w:rsidRPr="007334C5">
        <w:rPr>
          <w:rFonts w:cstheme="minorHAnsi"/>
          <w:sz w:val="20"/>
          <w:szCs w:val="20"/>
        </w:rPr>
        <w:t xml:space="preserve"> of</w:t>
      </w:r>
      <w:r w:rsidR="003C331C" w:rsidRPr="007334C5">
        <w:rPr>
          <w:rFonts w:cstheme="minorHAnsi"/>
          <w:sz w:val="20"/>
          <w:szCs w:val="20"/>
        </w:rPr>
        <w:t xml:space="preserve"> </w:t>
      </w:r>
      <w:r w:rsidR="009B3FC9" w:rsidRPr="007334C5">
        <w:rPr>
          <w:rFonts w:cstheme="minorHAnsi"/>
          <w:sz w:val="20"/>
          <w:szCs w:val="20"/>
        </w:rPr>
        <w:t>infrastructure</w:t>
      </w:r>
      <w:r w:rsidR="00305900" w:rsidRPr="007334C5">
        <w:rPr>
          <w:rFonts w:cstheme="minorHAnsi"/>
          <w:sz w:val="20"/>
          <w:szCs w:val="20"/>
        </w:rPr>
        <w:t xml:space="preserve"> as well as a formal performance evaluation of the construction provider</w:t>
      </w:r>
      <w:r w:rsidR="003C331C" w:rsidRPr="007334C5">
        <w:rPr>
          <w:rFonts w:cstheme="minorHAnsi"/>
          <w:sz w:val="20"/>
          <w:szCs w:val="20"/>
        </w:rPr>
        <w:t xml:space="preserve"> at completion</w:t>
      </w:r>
      <w:r w:rsidR="009B3FC9" w:rsidRPr="007334C5">
        <w:rPr>
          <w:rFonts w:cstheme="minorHAnsi"/>
          <w:sz w:val="20"/>
          <w:szCs w:val="20"/>
        </w:rPr>
        <w:t>.</w:t>
      </w:r>
      <w:r w:rsidR="009B3FC9" w:rsidRPr="007334C5">
        <w:rPr>
          <w:rFonts w:cstheme="minorHAnsi"/>
          <w:b/>
          <w:sz w:val="20"/>
          <w:szCs w:val="20"/>
        </w:rPr>
        <w:t xml:space="preserve"> </w:t>
      </w:r>
    </w:p>
    <w:p w:rsidR="00540B20" w:rsidRPr="007334C5" w:rsidRDefault="00540B20" w:rsidP="0031631F">
      <w:pPr>
        <w:pStyle w:val="ListParagraph"/>
        <w:numPr>
          <w:ilvl w:val="0"/>
          <w:numId w:val="19"/>
        </w:numPr>
        <w:spacing w:before="120" w:after="120" w:line="240" w:lineRule="auto"/>
        <w:rPr>
          <w:rFonts w:cstheme="minorHAnsi"/>
          <w:b/>
          <w:sz w:val="20"/>
          <w:szCs w:val="20"/>
        </w:rPr>
      </w:pPr>
      <w:r w:rsidRPr="007334C5">
        <w:rPr>
          <w:rFonts w:cstheme="minorHAnsi"/>
          <w:i/>
          <w:sz w:val="20"/>
          <w:szCs w:val="20"/>
        </w:rPr>
        <w:t>Water transfer:</w:t>
      </w:r>
      <w:r w:rsidR="00F85848" w:rsidRPr="007334C5">
        <w:rPr>
          <w:rFonts w:cstheme="minorHAnsi"/>
          <w:b/>
          <w:sz w:val="20"/>
          <w:szCs w:val="20"/>
        </w:rPr>
        <w:t xml:space="preserve"> </w:t>
      </w:r>
      <w:r w:rsidR="00344043" w:rsidRPr="007334C5">
        <w:rPr>
          <w:rFonts w:cstheme="minorHAnsi"/>
          <w:sz w:val="20"/>
          <w:szCs w:val="20"/>
        </w:rPr>
        <w:t>The process of transferring</w:t>
      </w:r>
      <w:r w:rsidR="00770B84" w:rsidRPr="007334C5">
        <w:rPr>
          <w:rFonts w:cstheme="minorHAnsi"/>
          <w:sz w:val="20"/>
          <w:szCs w:val="20"/>
        </w:rPr>
        <w:t xml:space="preserve"> </w:t>
      </w:r>
      <w:r w:rsidR="00344043" w:rsidRPr="007334C5">
        <w:rPr>
          <w:rFonts w:cstheme="minorHAnsi"/>
          <w:sz w:val="20"/>
          <w:szCs w:val="20"/>
        </w:rPr>
        <w:t>/</w:t>
      </w:r>
      <w:r w:rsidR="00770B84" w:rsidRPr="007334C5">
        <w:rPr>
          <w:rFonts w:cstheme="minorHAnsi"/>
          <w:sz w:val="20"/>
          <w:szCs w:val="20"/>
        </w:rPr>
        <w:t xml:space="preserve"> </w:t>
      </w:r>
      <w:r w:rsidR="00344043" w:rsidRPr="007334C5">
        <w:rPr>
          <w:rFonts w:cstheme="minorHAnsi"/>
          <w:sz w:val="20"/>
          <w:szCs w:val="20"/>
        </w:rPr>
        <w:t xml:space="preserve">surrendering </w:t>
      </w:r>
      <w:r w:rsidR="00F43054" w:rsidRPr="007334C5">
        <w:rPr>
          <w:rFonts w:cstheme="minorHAnsi"/>
          <w:sz w:val="20"/>
          <w:szCs w:val="20"/>
        </w:rPr>
        <w:t xml:space="preserve">an </w:t>
      </w:r>
      <w:r w:rsidR="00344043" w:rsidRPr="007334C5">
        <w:rPr>
          <w:rFonts w:cstheme="minorHAnsi"/>
          <w:sz w:val="20"/>
          <w:szCs w:val="20"/>
        </w:rPr>
        <w:t xml:space="preserve">identified proportion of water savings to the NSW </w:t>
      </w:r>
      <w:r w:rsidR="00770B84" w:rsidRPr="007334C5">
        <w:rPr>
          <w:rFonts w:cstheme="minorHAnsi"/>
          <w:sz w:val="20"/>
          <w:szCs w:val="20"/>
        </w:rPr>
        <w:t>G</w:t>
      </w:r>
      <w:r w:rsidR="00344043" w:rsidRPr="007334C5">
        <w:rPr>
          <w:rFonts w:cstheme="minorHAnsi"/>
          <w:sz w:val="20"/>
          <w:szCs w:val="20"/>
        </w:rPr>
        <w:t>overnment.</w:t>
      </w:r>
      <w:r w:rsidR="00344043" w:rsidRPr="007334C5">
        <w:rPr>
          <w:rFonts w:cstheme="minorHAnsi"/>
          <w:b/>
          <w:sz w:val="20"/>
          <w:szCs w:val="20"/>
        </w:rPr>
        <w:t xml:space="preserve"> </w:t>
      </w:r>
      <w:r w:rsidR="001806C3" w:rsidRPr="007334C5">
        <w:rPr>
          <w:rFonts w:cstheme="minorHAnsi"/>
          <w:sz w:val="20"/>
          <w:szCs w:val="20"/>
        </w:rPr>
        <w:t>This g</w:t>
      </w:r>
      <w:r w:rsidR="00344043" w:rsidRPr="007334C5">
        <w:rPr>
          <w:rFonts w:cstheme="minorHAnsi"/>
          <w:sz w:val="20"/>
          <w:szCs w:val="20"/>
        </w:rPr>
        <w:t>enerally occurs following completion of works.</w:t>
      </w:r>
      <w:r w:rsidR="00344043" w:rsidRPr="007334C5">
        <w:rPr>
          <w:rFonts w:cstheme="minorHAnsi"/>
          <w:b/>
          <w:sz w:val="20"/>
          <w:szCs w:val="20"/>
        </w:rPr>
        <w:t xml:space="preserve"> </w:t>
      </w:r>
    </w:p>
    <w:p w:rsidR="00782D76" w:rsidRPr="007334C5" w:rsidRDefault="00782D76" w:rsidP="0031631F">
      <w:pPr>
        <w:pStyle w:val="Heading3"/>
        <w:keepNext w:val="0"/>
        <w:keepLines w:val="0"/>
        <w:spacing w:before="120"/>
        <w:rPr>
          <w:rFonts w:asciiTheme="minorHAnsi" w:hAnsiTheme="minorHAnsi" w:cstheme="minorHAnsi"/>
          <w:sz w:val="20"/>
          <w:szCs w:val="20"/>
        </w:rPr>
      </w:pPr>
      <w:r w:rsidRPr="007334C5">
        <w:rPr>
          <w:rFonts w:asciiTheme="minorHAnsi" w:eastAsiaTheme="minorEastAsia" w:hAnsiTheme="minorHAnsi" w:cstheme="minorHAnsi"/>
          <w:color w:val="auto"/>
          <w:sz w:val="20"/>
          <w:szCs w:val="20"/>
        </w:rPr>
        <w:t>KPMG considered the processes and controls in place to manage</w:t>
      </w:r>
      <w:r w:rsidR="00474DAB" w:rsidRPr="007334C5">
        <w:rPr>
          <w:rFonts w:asciiTheme="minorHAnsi" w:eastAsiaTheme="minorEastAsia" w:hAnsiTheme="minorHAnsi" w:cstheme="minorHAnsi"/>
          <w:color w:val="auto"/>
          <w:sz w:val="20"/>
          <w:szCs w:val="20"/>
        </w:rPr>
        <w:t xml:space="preserve"> and monitor </w:t>
      </w:r>
      <w:r w:rsidR="00344043" w:rsidRPr="007334C5">
        <w:rPr>
          <w:rFonts w:asciiTheme="minorHAnsi" w:eastAsiaTheme="minorEastAsia" w:hAnsiTheme="minorHAnsi" w:cstheme="minorHAnsi"/>
          <w:color w:val="auto"/>
          <w:sz w:val="20"/>
          <w:szCs w:val="20"/>
        </w:rPr>
        <w:t xml:space="preserve">key phases of </w:t>
      </w:r>
      <w:r w:rsidR="002A62AE" w:rsidRPr="007334C5">
        <w:rPr>
          <w:rFonts w:asciiTheme="minorHAnsi" w:eastAsiaTheme="minorEastAsia" w:hAnsiTheme="minorHAnsi" w:cstheme="minorHAnsi"/>
          <w:color w:val="auto"/>
          <w:sz w:val="20"/>
          <w:szCs w:val="20"/>
        </w:rPr>
        <w:t>water efficiency schemes</w:t>
      </w:r>
      <w:r w:rsidR="00474DAB" w:rsidRPr="007334C5">
        <w:rPr>
          <w:rFonts w:asciiTheme="minorHAnsi" w:eastAsiaTheme="minorEastAsia" w:hAnsiTheme="minorHAnsi" w:cstheme="minorHAnsi"/>
          <w:color w:val="auto"/>
          <w:sz w:val="20"/>
          <w:szCs w:val="20"/>
        </w:rPr>
        <w:t xml:space="preserve">. Key areas of focus are discussed in this section. </w:t>
      </w:r>
    </w:p>
    <w:p w:rsidR="00A8092D" w:rsidRPr="007334C5" w:rsidRDefault="00A8092D" w:rsidP="00A8092D">
      <w:pPr>
        <w:pStyle w:val="Heading3"/>
        <w:spacing w:before="120"/>
        <w:rPr>
          <w:rFonts w:asciiTheme="minorHAnsi" w:hAnsiTheme="minorHAnsi" w:cstheme="minorHAnsi"/>
          <w:sz w:val="20"/>
          <w:szCs w:val="20"/>
        </w:rPr>
      </w:pPr>
      <w:r w:rsidRPr="007334C5">
        <w:rPr>
          <w:rFonts w:asciiTheme="minorHAnsi" w:hAnsiTheme="minorHAnsi" w:cstheme="minorHAnsi"/>
          <w:sz w:val="20"/>
          <w:szCs w:val="20"/>
        </w:rPr>
        <w:t xml:space="preserve">Management and monitoring of </w:t>
      </w:r>
      <w:r w:rsidR="004A18C9" w:rsidRPr="007334C5">
        <w:rPr>
          <w:rFonts w:asciiTheme="minorHAnsi" w:hAnsiTheme="minorHAnsi" w:cstheme="minorHAnsi"/>
          <w:sz w:val="20"/>
          <w:szCs w:val="20"/>
        </w:rPr>
        <w:t>schemes</w:t>
      </w:r>
    </w:p>
    <w:p w:rsidR="00A8092D" w:rsidRPr="007334C5" w:rsidRDefault="00A8092D" w:rsidP="00D07FA4">
      <w:pPr>
        <w:rPr>
          <w:rFonts w:cstheme="minorHAnsi"/>
          <w:sz w:val="20"/>
          <w:szCs w:val="20"/>
        </w:rPr>
      </w:pPr>
      <w:r w:rsidRPr="007334C5">
        <w:rPr>
          <w:rFonts w:cstheme="minorHAnsi"/>
          <w:sz w:val="20"/>
          <w:szCs w:val="20"/>
        </w:rPr>
        <w:t xml:space="preserve">Multiple </w:t>
      </w:r>
      <w:r w:rsidR="000700AC" w:rsidRPr="007334C5">
        <w:rPr>
          <w:rFonts w:cstheme="minorHAnsi"/>
          <w:sz w:val="20"/>
          <w:szCs w:val="20"/>
        </w:rPr>
        <w:t>Basin Pipe Project</w:t>
      </w:r>
      <w:r w:rsidRPr="007334C5">
        <w:rPr>
          <w:rFonts w:cstheme="minorHAnsi"/>
          <w:sz w:val="20"/>
          <w:szCs w:val="20"/>
        </w:rPr>
        <w:t xml:space="preserve"> staff are involved in </w:t>
      </w:r>
      <w:r w:rsidR="004A18C9" w:rsidRPr="007334C5">
        <w:rPr>
          <w:rFonts w:cstheme="minorHAnsi"/>
          <w:sz w:val="20"/>
          <w:szCs w:val="20"/>
        </w:rPr>
        <w:t>various aspects</w:t>
      </w:r>
      <w:r w:rsidR="00BC7C5C" w:rsidRPr="007334C5">
        <w:rPr>
          <w:rFonts w:cstheme="minorHAnsi"/>
          <w:sz w:val="20"/>
          <w:szCs w:val="20"/>
        </w:rPr>
        <w:t xml:space="preserve"> of</w:t>
      </w:r>
      <w:r w:rsidR="004A18C9" w:rsidRPr="007334C5">
        <w:rPr>
          <w:rFonts w:cstheme="minorHAnsi"/>
          <w:sz w:val="20"/>
          <w:szCs w:val="20"/>
        </w:rPr>
        <w:t xml:space="preserve"> the</w:t>
      </w:r>
      <w:r w:rsidRPr="007334C5">
        <w:rPr>
          <w:rFonts w:cstheme="minorHAnsi"/>
          <w:sz w:val="20"/>
          <w:szCs w:val="20"/>
        </w:rPr>
        <w:t xml:space="preserve"> delivery of a scheme</w:t>
      </w:r>
      <w:r w:rsidR="001806C3" w:rsidRPr="007334C5">
        <w:rPr>
          <w:rFonts w:cstheme="minorHAnsi"/>
          <w:sz w:val="20"/>
          <w:szCs w:val="20"/>
        </w:rPr>
        <w:t>. A</w:t>
      </w:r>
      <w:r w:rsidR="004A18C9" w:rsidRPr="007334C5">
        <w:rPr>
          <w:rFonts w:cstheme="minorHAnsi"/>
          <w:sz w:val="20"/>
          <w:szCs w:val="20"/>
        </w:rPr>
        <w:t>s such</w:t>
      </w:r>
      <w:r w:rsidR="00770B84" w:rsidRPr="007334C5">
        <w:rPr>
          <w:rFonts w:cstheme="minorHAnsi"/>
          <w:sz w:val="20"/>
          <w:szCs w:val="20"/>
        </w:rPr>
        <w:t>,</w:t>
      </w:r>
      <w:r w:rsidRPr="007334C5">
        <w:rPr>
          <w:rFonts w:cstheme="minorHAnsi"/>
          <w:sz w:val="20"/>
          <w:szCs w:val="20"/>
        </w:rPr>
        <w:t xml:space="preserve"> DoI Water assign a lead </w:t>
      </w:r>
      <w:r w:rsidR="00313F28" w:rsidRPr="007334C5">
        <w:rPr>
          <w:rFonts w:cstheme="minorHAnsi"/>
          <w:sz w:val="20"/>
          <w:szCs w:val="20"/>
        </w:rPr>
        <w:t>P</w:t>
      </w:r>
      <w:r w:rsidRPr="007334C5">
        <w:rPr>
          <w:rFonts w:cstheme="minorHAnsi"/>
          <w:sz w:val="20"/>
          <w:szCs w:val="20"/>
        </w:rPr>
        <w:t xml:space="preserve">roject </w:t>
      </w:r>
      <w:r w:rsidR="00313F28" w:rsidRPr="007334C5">
        <w:rPr>
          <w:rFonts w:cstheme="minorHAnsi"/>
          <w:sz w:val="20"/>
          <w:szCs w:val="20"/>
        </w:rPr>
        <w:t>O</w:t>
      </w:r>
      <w:r w:rsidRPr="007334C5">
        <w:rPr>
          <w:rFonts w:cstheme="minorHAnsi"/>
          <w:sz w:val="20"/>
          <w:szCs w:val="20"/>
        </w:rPr>
        <w:t>ffice</w:t>
      </w:r>
      <w:r w:rsidR="00313F28" w:rsidRPr="007334C5">
        <w:rPr>
          <w:rFonts w:cstheme="minorHAnsi"/>
          <w:sz w:val="20"/>
          <w:szCs w:val="20"/>
        </w:rPr>
        <w:t>r</w:t>
      </w:r>
      <w:r w:rsidRPr="007334C5">
        <w:rPr>
          <w:rFonts w:cstheme="minorHAnsi"/>
          <w:sz w:val="20"/>
          <w:szCs w:val="20"/>
        </w:rPr>
        <w:t xml:space="preserve">, also known as a </w:t>
      </w:r>
      <w:r w:rsidR="00313F28" w:rsidRPr="007334C5">
        <w:rPr>
          <w:rFonts w:cstheme="minorHAnsi"/>
          <w:sz w:val="20"/>
          <w:szCs w:val="20"/>
        </w:rPr>
        <w:t>S</w:t>
      </w:r>
      <w:r w:rsidRPr="007334C5">
        <w:rPr>
          <w:rFonts w:cstheme="minorHAnsi"/>
          <w:sz w:val="20"/>
          <w:szCs w:val="20"/>
        </w:rPr>
        <w:t xml:space="preserve">cheme </w:t>
      </w:r>
      <w:r w:rsidR="00313F28" w:rsidRPr="007334C5">
        <w:rPr>
          <w:rFonts w:cstheme="minorHAnsi"/>
          <w:sz w:val="20"/>
          <w:szCs w:val="20"/>
        </w:rPr>
        <w:t>C</w:t>
      </w:r>
      <w:r w:rsidRPr="007334C5">
        <w:rPr>
          <w:rFonts w:cstheme="minorHAnsi"/>
          <w:sz w:val="20"/>
          <w:szCs w:val="20"/>
        </w:rPr>
        <w:t xml:space="preserve">o-ordinator, to manage and monitor all scheme activities across all phases. The lead </w:t>
      </w:r>
      <w:r w:rsidR="00313F28" w:rsidRPr="007334C5">
        <w:rPr>
          <w:rFonts w:cstheme="minorHAnsi"/>
          <w:sz w:val="20"/>
          <w:szCs w:val="20"/>
        </w:rPr>
        <w:t>P</w:t>
      </w:r>
      <w:r w:rsidRPr="007334C5">
        <w:rPr>
          <w:rFonts w:cstheme="minorHAnsi"/>
          <w:sz w:val="20"/>
          <w:szCs w:val="20"/>
        </w:rPr>
        <w:t xml:space="preserve">roject </w:t>
      </w:r>
      <w:r w:rsidR="00313F28" w:rsidRPr="007334C5">
        <w:rPr>
          <w:rFonts w:cstheme="minorHAnsi"/>
          <w:sz w:val="20"/>
          <w:szCs w:val="20"/>
        </w:rPr>
        <w:t>O</w:t>
      </w:r>
      <w:r w:rsidRPr="007334C5">
        <w:rPr>
          <w:rFonts w:cstheme="minorHAnsi"/>
          <w:sz w:val="20"/>
          <w:szCs w:val="20"/>
        </w:rPr>
        <w:t>fficer will</w:t>
      </w:r>
      <w:r w:rsidR="00F04C1A" w:rsidRPr="007334C5">
        <w:rPr>
          <w:rFonts w:cstheme="minorHAnsi"/>
          <w:sz w:val="20"/>
          <w:szCs w:val="20"/>
        </w:rPr>
        <w:t xml:space="preserve"> act</w:t>
      </w:r>
      <w:r w:rsidRPr="007334C5">
        <w:rPr>
          <w:rFonts w:cstheme="minorHAnsi"/>
          <w:sz w:val="20"/>
          <w:szCs w:val="20"/>
        </w:rPr>
        <w:t xml:space="preserve"> as </w:t>
      </w:r>
      <w:r w:rsidR="000E1915" w:rsidRPr="007334C5">
        <w:rPr>
          <w:rFonts w:cstheme="minorHAnsi"/>
          <w:sz w:val="20"/>
          <w:szCs w:val="20"/>
        </w:rPr>
        <w:t xml:space="preserve">a </w:t>
      </w:r>
      <w:r w:rsidRPr="007334C5">
        <w:rPr>
          <w:rFonts w:cstheme="minorHAnsi"/>
          <w:sz w:val="20"/>
          <w:szCs w:val="20"/>
        </w:rPr>
        <w:t xml:space="preserve">point of contact for scheme </w:t>
      </w:r>
      <w:r w:rsidR="00F04C1A" w:rsidRPr="007334C5">
        <w:rPr>
          <w:rFonts w:cstheme="minorHAnsi"/>
          <w:sz w:val="20"/>
          <w:szCs w:val="20"/>
        </w:rPr>
        <w:t>enquiries</w:t>
      </w:r>
      <w:r w:rsidRPr="007334C5">
        <w:rPr>
          <w:rFonts w:cstheme="minorHAnsi"/>
          <w:sz w:val="20"/>
          <w:szCs w:val="20"/>
        </w:rPr>
        <w:t xml:space="preserve">.   </w:t>
      </w:r>
    </w:p>
    <w:p w:rsidR="004A18C9" w:rsidRPr="007334C5" w:rsidRDefault="004A18C9" w:rsidP="00576A25">
      <w:pPr>
        <w:spacing w:before="120" w:after="120" w:line="240" w:lineRule="auto"/>
        <w:rPr>
          <w:rFonts w:cstheme="minorHAnsi"/>
          <w:sz w:val="20"/>
          <w:szCs w:val="20"/>
        </w:rPr>
      </w:pPr>
      <w:r w:rsidRPr="007334C5">
        <w:rPr>
          <w:rFonts w:cstheme="minorHAnsi"/>
          <w:sz w:val="20"/>
          <w:szCs w:val="20"/>
        </w:rPr>
        <w:t xml:space="preserve">DoI Water </w:t>
      </w:r>
      <w:r w:rsidR="00F04C1A" w:rsidRPr="007334C5">
        <w:rPr>
          <w:rFonts w:cstheme="minorHAnsi"/>
          <w:sz w:val="20"/>
          <w:szCs w:val="20"/>
        </w:rPr>
        <w:t xml:space="preserve">indicated that no mandated project management tool was in place for the </w:t>
      </w:r>
      <w:r w:rsidR="000700AC" w:rsidRPr="007334C5">
        <w:rPr>
          <w:rFonts w:cstheme="minorHAnsi"/>
          <w:sz w:val="20"/>
          <w:szCs w:val="20"/>
        </w:rPr>
        <w:t>Basin Pipe Project</w:t>
      </w:r>
      <w:r w:rsidR="00F04C1A" w:rsidRPr="007334C5">
        <w:rPr>
          <w:rFonts w:cstheme="minorHAnsi"/>
          <w:sz w:val="20"/>
          <w:szCs w:val="20"/>
        </w:rPr>
        <w:t xml:space="preserve">, </w:t>
      </w:r>
      <w:r w:rsidR="00313F28" w:rsidRPr="007334C5">
        <w:rPr>
          <w:rFonts w:cstheme="minorHAnsi"/>
          <w:sz w:val="20"/>
          <w:szCs w:val="20"/>
        </w:rPr>
        <w:t xml:space="preserve">and </w:t>
      </w:r>
      <w:r w:rsidR="00F04C1A" w:rsidRPr="007334C5">
        <w:rPr>
          <w:rFonts w:cstheme="minorHAnsi"/>
          <w:sz w:val="20"/>
          <w:szCs w:val="20"/>
        </w:rPr>
        <w:t>as such</w:t>
      </w:r>
      <w:r w:rsidR="00313F28" w:rsidRPr="007334C5">
        <w:rPr>
          <w:rFonts w:cstheme="minorHAnsi"/>
          <w:sz w:val="20"/>
          <w:szCs w:val="20"/>
        </w:rPr>
        <w:t>,</w:t>
      </w:r>
      <w:r w:rsidR="00F04C1A" w:rsidRPr="007334C5">
        <w:rPr>
          <w:rFonts w:cstheme="minorHAnsi"/>
          <w:sz w:val="20"/>
          <w:szCs w:val="20"/>
        </w:rPr>
        <w:t xml:space="preserve"> methods and tools used varied across schemes and project leads. I</w:t>
      </w:r>
      <w:r w:rsidR="00390B44" w:rsidRPr="007334C5">
        <w:rPr>
          <w:rFonts w:cstheme="minorHAnsi"/>
          <w:sz w:val="20"/>
          <w:szCs w:val="20"/>
        </w:rPr>
        <w:t>n mid-2017</w:t>
      </w:r>
      <w:r w:rsidRPr="007334C5">
        <w:rPr>
          <w:rFonts w:cstheme="minorHAnsi"/>
          <w:sz w:val="20"/>
          <w:szCs w:val="20"/>
        </w:rPr>
        <w:t xml:space="preserve"> </w:t>
      </w:r>
      <w:r w:rsidR="00F04C1A" w:rsidRPr="007334C5">
        <w:rPr>
          <w:rFonts w:cstheme="minorHAnsi"/>
          <w:sz w:val="20"/>
          <w:szCs w:val="20"/>
        </w:rPr>
        <w:t xml:space="preserve">DoI Water implemented </w:t>
      </w:r>
      <w:r w:rsidR="00BC7C5C" w:rsidRPr="007334C5">
        <w:rPr>
          <w:rFonts w:cstheme="minorHAnsi"/>
          <w:sz w:val="20"/>
          <w:szCs w:val="20"/>
        </w:rPr>
        <w:t>‘</w:t>
      </w:r>
      <w:r w:rsidR="00F04C1A" w:rsidRPr="007334C5">
        <w:rPr>
          <w:rFonts w:cstheme="minorHAnsi"/>
          <w:sz w:val="20"/>
          <w:szCs w:val="20"/>
        </w:rPr>
        <w:t>Asana</w:t>
      </w:r>
      <w:r w:rsidR="00BC7C5C" w:rsidRPr="007334C5">
        <w:rPr>
          <w:rFonts w:cstheme="minorHAnsi"/>
          <w:sz w:val="20"/>
          <w:szCs w:val="20"/>
        </w:rPr>
        <w:t>’</w:t>
      </w:r>
      <w:r w:rsidR="00F04C1A" w:rsidRPr="007334C5">
        <w:rPr>
          <w:rFonts w:cstheme="minorHAnsi"/>
          <w:sz w:val="20"/>
          <w:szCs w:val="20"/>
        </w:rPr>
        <w:t xml:space="preserve"> </w:t>
      </w:r>
      <w:r w:rsidRPr="007334C5">
        <w:rPr>
          <w:rFonts w:cstheme="minorHAnsi"/>
          <w:sz w:val="20"/>
          <w:szCs w:val="20"/>
        </w:rPr>
        <w:t>as</w:t>
      </w:r>
      <w:r w:rsidR="00390B44" w:rsidRPr="007334C5">
        <w:rPr>
          <w:rFonts w:cstheme="minorHAnsi"/>
          <w:sz w:val="20"/>
          <w:szCs w:val="20"/>
        </w:rPr>
        <w:t xml:space="preserve"> </w:t>
      </w:r>
      <w:r w:rsidRPr="007334C5">
        <w:rPr>
          <w:rFonts w:cstheme="minorHAnsi"/>
          <w:sz w:val="20"/>
          <w:szCs w:val="20"/>
        </w:rPr>
        <w:t xml:space="preserve">their </w:t>
      </w:r>
      <w:r w:rsidR="00F04C1A" w:rsidRPr="007334C5">
        <w:rPr>
          <w:rFonts w:cstheme="minorHAnsi"/>
          <w:sz w:val="20"/>
          <w:szCs w:val="20"/>
        </w:rPr>
        <w:t>primary project management tool</w:t>
      </w:r>
      <w:r w:rsidRPr="007334C5">
        <w:rPr>
          <w:rFonts w:cstheme="minorHAnsi"/>
          <w:sz w:val="20"/>
          <w:szCs w:val="20"/>
        </w:rPr>
        <w:t>. This software is</w:t>
      </w:r>
      <w:r w:rsidR="00F04C1A" w:rsidRPr="007334C5">
        <w:rPr>
          <w:rFonts w:cstheme="minorHAnsi"/>
          <w:sz w:val="20"/>
          <w:szCs w:val="20"/>
        </w:rPr>
        <w:t xml:space="preserve"> now</w:t>
      </w:r>
      <w:r w:rsidRPr="007334C5">
        <w:rPr>
          <w:rFonts w:cstheme="minorHAnsi"/>
          <w:sz w:val="20"/>
          <w:szCs w:val="20"/>
        </w:rPr>
        <w:t xml:space="preserve"> used to plan and monitor all key </w:t>
      </w:r>
      <w:r w:rsidR="00390B44" w:rsidRPr="007334C5">
        <w:rPr>
          <w:rFonts w:cstheme="minorHAnsi"/>
          <w:sz w:val="20"/>
          <w:szCs w:val="20"/>
        </w:rPr>
        <w:t>components</w:t>
      </w:r>
      <w:r w:rsidRPr="007334C5">
        <w:rPr>
          <w:rFonts w:cstheme="minorHAnsi"/>
          <w:sz w:val="20"/>
          <w:szCs w:val="20"/>
        </w:rPr>
        <w:t xml:space="preserve"> across </w:t>
      </w:r>
      <w:r w:rsidR="00390B44" w:rsidRPr="007334C5">
        <w:rPr>
          <w:rFonts w:cstheme="minorHAnsi"/>
          <w:sz w:val="20"/>
          <w:szCs w:val="20"/>
        </w:rPr>
        <w:t>individual</w:t>
      </w:r>
      <w:r w:rsidRPr="007334C5">
        <w:rPr>
          <w:rFonts w:cstheme="minorHAnsi"/>
          <w:sz w:val="20"/>
          <w:szCs w:val="20"/>
        </w:rPr>
        <w:t xml:space="preserve"> scheme</w:t>
      </w:r>
      <w:r w:rsidR="00390B44" w:rsidRPr="007334C5">
        <w:rPr>
          <w:rFonts w:cstheme="minorHAnsi"/>
          <w:sz w:val="20"/>
          <w:szCs w:val="20"/>
        </w:rPr>
        <w:t>s</w:t>
      </w:r>
      <w:r w:rsidRPr="007334C5">
        <w:rPr>
          <w:rFonts w:cstheme="minorHAnsi"/>
          <w:sz w:val="20"/>
          <w:szCs w:val="20"/>
        </w:rPr>
        <w:t xml:space="preserve">. It also provides the ability </w:t>
      </w:r>
      <w:r w:rsidR="00770B84" w:rsidRPr="007334C5">
        <w:rPr>
          <w:rFonts w:cstheme="minorHAnsi"/>
          <w:sz w:val="20"/>
          <w:szCs w:val="20"/>
        </w:rPr>
        <w:t>t</w:t>
      </w:r>
      <w:r w:rsidRPr="007334C5">
        <w:rPr>
          <w:rFonts w:cstheme="minorHAnsi"/>
          <w:sz w:val="20"/>
          <w:szCs w:val="20"/>
        </w:rPr>
        <w:t xml:space="preserve">o assign tasks to specific staff. KPMG were provided </w:t>
      </w:r>
      <w:r w:rsidR="00390B44" w:rsidRPr="007334C5">
        <w:rPr>
          <w:rFonts w:cstheme="minorHAnsi"/>
          <w:sz w:val="20"/>
          <w:szCs w:val="20"/>
        </w:rPr>
        <w:t>a walkthrough of the Asana tool</w:t>
      </w:r>
      <w:r w:rsidR="00F04C1A" w:rsidRPr="007334C5">
        <w:rPr>
          <w:rFonts w:cstheme="minorHAnsi"/>
          <w:sz w:val="20"/>
          <w:szCs w:val="20"/>
        </w:rPr>
        <w:t>, which appeared fit</w:t>
      </w:r>
      <w:r w:rsidR="00770B84" w:rsidRPr="007334C5">
        <w:rPr>
          <w:rFonts w:cstheme="minorHAnsi"/>
          <w:sz w:val="20"/>
          <w:szCs w:val="20"/>
        </w:rPr>
        <w:t>-</w:t>
      </w:r>
      <w:r w:rsidR="00F04C1A" w:rsidRPr="007334C5">
        <w:rPr>
          <w:rFonts w:cstheme="minorHAnsi"/>
          <w:sz w:val="20"/>
          <w:szCs w:val="20"/>
        </w:rPr>
        <w:t>for</w:t>
      </w:r>
      <w:r w:rsidR="00770B84" w:rsidRPr="007334C5">
        <w:rPr>
          <w:rFonts w:cstheme="minorHAnsi"/>
          <w:sz w:val="20"/>
          <w:szCs w:val="20"/>
        </w:rPr>
        <w:t>-</w:t>
      </w:r>
      <w:r w:rsidR="00F04C1A" w:rsidRPr="007334C5">
        <w:rPr>
          <w:rFonts w:cstheme="minorHAnsi"/>
          <w:sz w:val="20"/>
          <w:szCs w:val="20"/>
        </w:rPr>
        <w:t>purpose</w:t>
      </w:r>
      <w:r w:rsidR="00390B44" w:rsidRPr="007334C5">
        <w:rPr>
          <w:rFonts w:cstheme="minorHAnsi"/>
          <w:sz w:val="20"/>
          <w:szCs w:val="20"/>
        </w:rPr>
        <w:t xml:space="preserve">. </w:t>
      </w:r>
    </w:p>
    <w:p w:rsidR="00390B44" w:rsidRPr="007334C5" w:rsidRDefault="000E1915" w:rsidP="00576A25">
      <w:pPr>
        <w:spacing w:before="120" w:after="120" w:line="240" w:lineRule="auto"/>
        <w:rPr>
          <w:rFonts w:cstheme="minorHAnsi"/>
          <w:sz w:val="20"/>
          <w:szCs w:val="20"/>
        </w:rPr>
      </w:pPr>
      <w:r w:rsidRPr="007334C5">
        <w:rPr>
          <w:rFonts w:cstheme="minorHAnsi"/>
          <w:sz w:val="20"/>
          <w:szCs w:val="20"/>
        </w:rPr>
        <w:t>T</w:t>
      </w:r>
      <w:r w:rsidR="00AD3A6D" w:rsidRPr="007334C5">
        <w:rPr>
          <w:rFonts w:cstheme="minorHAnsi"/>
          <w:sz w:val="20"/>
          <w:szCs w:val="20"/>
        </w:rPr>
        <w:t>he Basin Pipe</w:t>
      </w:r>
      <w:r w:rsidR="00390B44" w:rsidRPr="007334C5">
        <w:rPr>
          <w:rFonts w:cstheme="minorHAnsi"/>
          <w:sz w:val="20"/>
          <w:szCs w:val="20"/>
        </w:rPr>
        <w:t xml:space="preserve"> </w:t>
      </w:r>
      <w:r w:rsidR="000700AC" w:rsidRPr="007334C5">
        <w:rPr>
          <w:rFonts w:cstheme="minorHAnsi"/>
          <w:sz w:val="20"/>
          <w:szCs w:val="20"/>
        </w:rPr>
        <w:t>Project Manager</w:t>
      </w:r>
      <w:r w:rsidR="00390B44" w:rsidRPr="007334C5">
        <w:rPr>
          <w:rFonts w:cstheme="minorHAnsi"/>
          <w:sz w:val="20"/>
          <w:szCs w:val="20"/>
        </w:rPr>
        <w:t xml:space="preserve"> maintains a scheme database, which captures summary information for all schemes. This is periodically updated by </w:t>
      </w:r>
      <w:r w:rsidR="00313F28" w:rsidRPr="007334C5">
        <w:rPr>
          <w:rFonts w:cstheme="minorHAnsi"/>
          <w:sz w:val="20"/>
          <w:szCs w:val="20"/>
        </w:rPr>
        <w:t>P</w:t>
      </w:r>
      <w:r w:rsidR="00352784" w:rsidRPr="007334C5">
        <w:rPr>
          <w:rFonts w:cstheme="minorHAnsi"/>
          <w:sz w:val="20"/>
          <w:szCs w:val="20"/>
        </w:rPr>
        <w:t xml:space="preserve">roject </w:t>
      </w:r>
      <w:r w:rsidR="00313F28" w:rsidRPr="007334C5">
        <w:rPr>
          <w:rFonts w:cstheme="minorHAnsi"/>
          <w:sz w:val="20"/>
          <w:szCs w:val="20"/>
        </w:rPr>
        <w:t>O</w:t>
      </w:r>
      <w:r w:rsidR="00352784" w:rsidRPr="007334C5">
        <w:rPr>
          <w:rFonts w:cstheme="minorHAnsi"/>
          <w:sz w:val="20"/>
          <w:szCs w:val="20"/>
        </w:rPr>
        <w:t>fficers to inform regular reporting activities</w:t>
      </w:r>
      <w:r w:rsidR="00390B44" w:rsidRPr="007334C5">
        <w:rPr>
          <w:rFonts w:cstheme="minorHAnsi"/>
          <w:sz w:val="20"/>
          <w:szCs w:val="20"/>
        </w:rPr>
        <w:t>.</w:t>
      </w:r>
    </w:p>
    <w:p w:rsidR="00871FD3" w:rsidRPr="007334C5" w:rsidRDefault="00871FD3" w:rsidP="00C70202">
      <w:pPr>
        <w:pStyle w:val="Heading3"/>
        <w:spacing w:before="120"/>
        <w:rPr>
          <w:rFonts w:asciiTheme="minorHAnsi" w:hAnsiTheme="minorHAnsi" w:cstheme="minorHAnsi"/>
          <w:sz w:val="20"/>
          <w:szCs w:val="20"/>
        </w:rPr>
      </w:pPr>
      <w:r w:rsidRPr="007334C5">
        <w:rPr>
          <w:rFonts w:asciiTheme="minorHAnsi" w:hAnsiTheme="minorHAnsi" w:cstheme="minorHAnsi"/>
          <w:sz w:val="20"/>
          <w:szCs w:val="20"/>
        </w:rPr>
        <w:t xml:space="preserve">Record keeping </w:t>
      </w:r>
    </w:p>
    <w:p w:rsidR="00352784" w:rsidRPr="007334C5" w:rsidRDefault="00352784" w:rsidP="00576A25">
      <w:pPr>
        <w:spacing w:before="120" w:after="120" w:line="240" w:lineRule="auto"/>
        <w:rPr>
          <w:rFonts w:cstheme="minorHAnsi"/>
          <w:sz w:val="20"/>
          <w:szCs w:val="20"/>
        </w:rPr>
      </w:pPr>
      <w:r w:rsidRPr="007334C5">
        <w:rPr>
          <w:rFonts w:cstheme="minorHAnsi"/>
          <w:sz w:val="20"/>
          <w:szCs w:val="20"/>
        </w:rPr>
        <w:t xml:space="preserve">DoI </w:t>
      </w:r>
      <w:r w:rsidR="00331DF4" w:rsidRPr="007334C5">
        <w:rPr>
          <w:rFonts w:cstheme="minorHAnsi"/>
          <w:sz w:val="20"/>
          <w:szCs w:val="20"/>
        </w:rPr>
        <w:t xml:space="preserve">Water </w:t>
      </w:r>
      <w:r w:rsidRPr="007334C5">
        <w:rPr>
          <w:rFonts w:cstheme="minorHAnsi"/>
          <w:sz w:val="20"/>
          <w:szCs w:val="20"/>
        </w:rPr>
        <w:t xml:space="preserve">utilises an electronic records management system (CM9) to maintain and store documentation related to the </w:t>
      </w:r>
      <w:r w:rsidR="000700AC" w:rsidRPr="007334C5">
        <w:rPr>
          <w:rFonts w:cstheme="minorHAnsi"/>
          <w:sz w:val="20"/>
          <w:szCs w:val="20"/>
        </w:rPr>
        <w:t>Basin Pipe Project</w:t>
      </w:r>
      <w:r w:rsidRPr="007334C5">
        <w:rPr>
          <w:rFonts w:cstheme="minorHAnsi"/>
          <w:sz w:val="20"/>
          <w:szCs w:val="20"/>
        </w:rPr>
        <w:t>. CM9 serves as the official r</w:t>
      </w:r>
      <w:r w:rsidR="00F04C1A" w:rsidRPr="007334C5">
        <w:rPr>
          <w:rFonts w:cstheme="minorHAnsi"/>
          <w:sz w:val="20"/>
          <w:szCs w:val="20"/>
        </w:rPr>
        <w:t>ecord management system for DoI</w:t>
      </w:r>
      <w:r w:rsidR="00331DF4" w:rsidRPr="007334C5">
        <w:rPr>
          <w:rFonts w:cstheme="minorHAnsi"/>
          <w:sz w:val="20"/>
          <w:szCs w:val="20"/>
        </w:rPr>
        <w:t xml:space="preserve"> Water</w:t>
      </w:r>
      <w:r w:rsidR="0086355D" w:rsidRPr="007334C5">
        <w:rPr>
          <w:rFonts w:cstheme="minorHAnsi"/>
          <w:sz w:val="20"/>
          <w:szCs w:val="20"/>
        </w:rPr>
        <w:t>,</w:t>
      </w:r>
      <w:r w:rsidR="00F04C1A" w:rsidRPr="007334C5">
        <w:rPr>
          <w:rFonts w:cstheme="minorHAnsi"/>
          <w:sz w:val="20"/>
          <w:szCs w:val="20"/>
        </w:rPr>
        <w:t xml:space="preserve"> and a</w:t>
      </w:r>
      <w:r w:rsidRPr="007334C5">
        <w:rPr>
          <w:rFonts w:cstheme="minorHAnsi"/>
          <w:sz w:val="20"/>
          <w:szCs w:val="20"/>
        </w:rPr>
        <w:t>ll documentation relevant to the project is intended to be recorded on CM9.</w:t>
      </w:r>
    </w:p>
    <w:p w:rsidR="004F6C89" w:rsidRPr="007334C5" w:rsidRDefault="00352784" w:rsidP="00576A25">
      <w:pPr>
        <w:spacing w:before="120" w:after="120" w:line="240" w:lineRule="auto"/>
        <w:rPr>
          <w:rFonts w:cstheme="minorHAnsi"/>
          <w:sz w:val="20"/>
          <w:szCs w:val="20"/>
        </w:rPr>
      </w:pPr>
      <w:r w:rsidRPr="007334C5">
        <w:rPr>
          <w:rFonts w:cstheme="minorHAnsi"/>
          <w:sz w:val="20"/>
          <w:szCs w:val="20"/>
        </w:rPr>
        <w:t>During sample testing, KPMG noted a number of instances where project documentation could not be located or was not readily available.</w:t>
      </w:r>
      <w:r w:rsidR="00730979" w:rsidRPr="007334C5">
        <w:rPr>
          <w:rFonts w:cstheme="minorHAnsi"/>
          <w:sz w:val="20"/>
          <w:szCs w:val="20"/>
        </w:rPr>
        <w:t xml:space="preserve"> </w:t>
      </w:r>
      <w:r w:rsidR="00DE739D" w:rsidRPr="007334C5">
        <w:rPr>
          <w:rFonts w:cstheme="minorHAnsi"/>
          <w:sz w:val="20"/>
          <w:szCs w:val="20"/>
        </w:rPr>
        <w:t xml:space="preserve">The missing documentation related to schemes commenced early in the project. </w:t>
      </w:r>
      <w:r w:rsidR="004F6C89" w:rsidRPr="007334C5">
        <w:rPr>
          <w:rFonts w:cstheme="minorHAnsi"/>
          <w:sz w:val="20"/>
          <w:szCs w:val="20"/>
        </w:rPr>
        <w:t>These documents included</w:t>
      </w:r>
      <w:r w:rsidR="00127212" w:rsidRPr="007334C5">
        <w:rPr>
          <w:rFonts w:cstheme="minorHAnsi"/>
          <w:sz w:val="20"/>
          <w:szCs w:val="20"/>
        </w:rPr>
        <w:t xml:space="preserve"> the following</w:t>
      </w:r>
      <w:r w:rsidR="004F6C89" w:rsidRPr="007334C5">
        <w:rPr>
          <w:rFonts w:cstheme="minorHAnsi"/>
          <w:sz w:val="20"/>
          <w:szCs w:val="20"/>
        </w:rPr>
        <w:t>:</w:t>
      </w:r>
    </w:p>
    <w:p w:rsidR="009F3F6E" w:rsidRPr="007334C5" w:rsidRDefault="009908A8" w:rsidP="000F0AAC">
      <w:pPr>
        <w:pStyle w:val="ListParagraph"/>
        <w:numPr>
          <w:ilvl w:val="0"/>
          <w:numId w:val="20"/>
        </w:numPr>
        <w:spacing w:before="120" w:after="120" w:line="240" w:lineRule="auto"/>
        <w:rPr>
          <w:rFonts w:cstheme="minorHAnsi"/>
          <w:sz w:val="20"/>
          <w:szCs w:val="20"/>
        </w:rPr>
      </w:pPr>
      <w:r w:rsidRPr="007334C5">
        <w:rPr>
          <w:rFonts w:cstheme="minorHAnsi"/>
          <w:sz w:val="20"/>
          <w:szCs w:val="20"/>
        </w:rPr>
        <w:t>Two instances where the c</w:t>
      </w:r>
      <w:r w:rsidR="009F3F6E" w:rsidRPr="007334C5">
        <w:rPr>
          <w:rFonts w:cstheme="minorHAnsi"/>
          <w:sz w:val="20"/>
          <w:szCs w:val="20"/>
        </w:rPr>
        <w:t xml:space="preserve">onstruction contractor evaluation report </w:t>
      </w:r>
      <w:r w:rsidRPr="007334C5">
        <w:rPr>
          <w:rFonts w:cstheme="minorHAnsi"/>
          <w:sz w:val="20"/>
          <w:szCs w:val="20"/>
        </w:rPr>
        <w:t>could not be sighted</w:t>
      </w:r>
      <w:r w:rsidR="00DE739D" w:rsidRPr="007334C5">
        <w:rPr>
          <w:rFonts w:cstheme="minorHAnsi"/>
          <w:sz w:val="20"/>
          <w:szCs w:val="20"/>
        </w:rPr>
        <w:t>;</w:t>
      </w:r>
    </w:p>
    <w:p w:rsidR="004F6C89" w:rsidRPr="007334C5" w:rsidRDefault="009908A8" w:rsidP="000F0AAC">
      <w:pPr>
        <w:pStyle w:val="ListParagraph"/>
        <w:numPr>
          <w:ilvl w:val="0"/>
          <w:numId w:val="20"/>
        </w:numPr>
        <w:spacing w:before="120" w:after="120" w:line="240" w:lineRule="auto"/>
        <w:rPr>
          <w:rFonts w:cstheme="minorHAnsi"/>
          <w:sz w:val="20"/>
          <w:szCs w:val="20"/>
        </w:rPr>
      </w:pPr>
      <w:r w:rsidRPr="007334C5">
        <w:rPr>
          <w:rFonts w:cstheme="minorHAnsi"/>
          <w:sz w:val="20"/>
          <w:szCs w:val="20"/>
        </w:rPr>
        <w:t>Two instances</w:t>
      </w:r>
      <w:r w:rsidR="00F04C1A" w:rsidRPr="007334C5">
        <w:rPr>
          <w:rFonts w:cstheme="minorHAnsi"/>
          <w:sz w:val="20"/>
          <w:szCs w:val="20"/>
        </w:rPr>
        <w:t>,</w:t>
      </w:r>
      <w:r w:rsidRPr="007334C5">
        <w:rPr>
          <w:rFonts w:cstheme="minorHAnsi"/>
          <w:sz w:val="20"/>
          <w:szCs w:val="20"/>
        </w:rPr>
        <w:t xml:space="preserve"> for the same scheme</w:t>
      </w:r>
      <w:r w:rsidR="00F04C1A" w:rsidRPr="007334C5">
        <w:rPr>
          <w:rFonts w:cstheme="minorHAnsi"/>
          <w:sz w:val="20"/>
          <w:szCs w:val="20"/>
        </w:rPr>
        <w:t>,</w:t>
      </w:r>
      <w:r w:rsidRPr="007334C5">
        <w:rPr>
          <w:rFonts w:cstheme="minorHAnsi"/>
          <w:sz w:val="20"/>
          <w:szCs w:val="20"/>
        </w:rPr>
        <w:t xml:space="preserve"> where the t</w:t>
      </w:r>
      <w:r w:rsidR="004F6C89" w:rsidRPr="007334C5">
        <w:rPr>
          <w:rFonts w:cstheme="minorHAnsi"/>
          <w:sz w:val="20"/>
          <w:szCs w:val="20"/>
        </w:rPr>
        <w:t xml:space="preserve">ender assessment/recommendation </w:t>
      </w:r>
      <w:r w:rsidRPr="007334C5">
        <w:rPr>
          <w:rFonts w:cstheme="minorHAnsi"/>
          <w:sz w:val="20"/>
          <w:szCs w:val="20"/>
        </w:rPr>
        <w:t>could not be sighted</w:t>
      </w:r>
      <w:r w:rsidR="00DE739D" w:rsidRPr="007334C5">
        <w:rPr>
          <w:rFonts w:cstheme="minorHAnsi"/>
          <w:sz w:val="20"/>
          <w:szCs w:val="20"/>
        </w:rPr>
        <w:t>; and</w:t>
      </w:r>
    </w:p>
    <w:p w:rsidR="00DE739D" w:rsidRPr="007334C5" w:rsidRDefault="00DE739D" w:rsidP="000F0AAC">
      <w:pPr>
        <w:pStyle w:val="ListParagraph"/>
        <w:numPr>
          <w:ilvl w:val="0"/>
          <w:numId w:val="20"/>
        </w:numPr>
        <w:spacing w:before="120" w:after="120" w:line="240" w:lineRule="auto"/>
        <w:rPr>
          <w:rFonts w:cstheme="minorHAnsi"/>
          <w:sz w:val="20"/>
          <w:szCs w:val="20"/>
        </w:rPr>
      </w:pPr>
      <w:r w:rsidRPr="007334C5">
        <w:rPr>
          <w:rFonts w:cstheme="minorHAnsi"/>
          <w:sz w:val="20"/>
          <w:szCs w:val="20"/>
        </w:rPr>
        <w:t>For one scheme</w:t>
      </w:r>
      <w:r w:rsidR="00770B84" w:rsidRPr="007334C5">
        <w:rPr>
          <w:rFonts w:cstheme="minorHAnsi"/>
          <w:sz w:val="20"/>
          <w:szCs w:val="20"/>
        </w:rPr>
        <w:t>,</w:t>
      </w:r>
      <w:r w:rsidRPr="007334C5">
        <w:rPr>
          <w:rFonts w:cstheme="minorHAnsi"/>
          <w:sz w:val="20"/>
          <w:szCs w:val="20"/>
        </w:rPr>
        <w:t xml:space="preserve"> construction progress </w:t>
      </w:r>
      <w:r w:rsidR="009908A8" w:rsidRPr="007334C5">
        <w:rPr>
          <w:rFonts w:cstheme="minorHAnsi"/>
          <w:sz w:val="20"/>
          <w:szCs w:val="20"/>
        </w:rPr>
        <w:t xml:space="preserve">meeting minutes </w:t>
      </w:r>
      <w:r w:rsidRPr="007334C5">
        <w:rPr>
          <w:rFonts w:cstheme="minorHAnsi"/>
          <w:sz w:val="20"/>
          <w:szCs w:val="20"/>
        </w:rPr>
        <w:t xml:space="preserve">and inspection reports </w:t>
      </w:r>
      <w:r w:rsidR="0086355D" w:rsidRPr="007334C5">
        <w:rPr>
          <w:rFonts w:cstheme="minorHAnsi"/>
          <w:sz w:val="20"/>
          <w:szCs w:val="20"/>
        </w:rPr>
        <w:t xml:space="preserve">could </w:t>
      </w:r>
      <w:r w:rsidRPr="007334C5">
        <w:rPr>
          <w:rFonts w:cstheme="minorHAnsi"/>
          <w:sz w:val="20"/>
          <w:szCs w:val="20"/>
        </w:rPr>
        <w:t xml:space="preserve">not be </w:t>
      </w:r>
      <w:r w:rsidR="009908A8" w:rsidRPr="007334C5">
        <w:rPr>
          <w:rFonts w:cstheme="minorHAnsi"/>
          <w:sz w:val="20"/>
          <w:szCs w:val="20"/>
        </w:rPr>
        <w:t>sighted.</w:t>
      </w:r>
    </w:p>
    <w:p w:rsidR="00DE739D" w:rsidRPr="007334C5" w:rsidRDefault="009B2084" w:rsidP="00F74EDA">
      <w:pPr>
        <w:spacing w:before="120" w:after="120" w:line="240" w:lineRule="auto"/>
        <w:rPr>
          <w:rFonts w:cstheme="minorHAnsi"/>
          <w:sz w:val="20"/>
          <w:szCs w:val="20"/>
        </w:rPr>
      </w:pPr>
      <w:r w:rsidRPr="007334C5">
        <w:rPr>
          <w:rFonts w:cstheme="minorHAnsi"/>
          <w:sz w:val="20"/>
          <w:szCs w:val="20"/>
        </w:rPr>
        <w:t xml:space="preserve">While </w:t>
      </w:r>
      <w:r w:rsidR="00DE739D" w:rsidRPr="007334C5">
        <w:rPr>
          <w:rFonts w:cstheme="minorHAnsi"/>
          <w:sz w:val="20"/>
          <w:szCs w:val="20"/>
        </w:rPr>
        <w:t xml:space="preserve">the above documents </w:t>
      </w:r>
      <w:r w:rsidRPr="007334C5">
        <w:rPr>
          <w:rFonts w:cstheme="minorHAnsi"/>
          <w:sz w:val="20"/>
          <w:szCs w:val="20"/>
        </w:rPr>
        <w:t xml:space="preserve">did not </w:t>
      </w:r>
      <w:r w:rsidR="00DE739D" w:rsidRPr="007334C5">
        <w:rPr>
          <w:rFonts w:cstheme="minorHAnsi"/>
          <w:sz w:val="20"/>
          <w:szCs w:val="20"/>
        </w:rPr>
        <w:t>relate to key contractual or decision making documents</w:t>
      </w:r>
      <w:r w:rsidR="00D314AE" w:rsidRPr="007334C5">
        <w:rPr>
          <w:rFonts w:cstheme="minorHAnsi"/>
          <w:sz w:val="20"/>
          <w:szCs w:val="20"/>
        </w:rPr>
        <w:t>,</w:t>
      </w:r>
      <w:r w:rsidR="00DE739D" w:rsidRPr="007334C5">
        <w:rPr>
          <w:rFonts w:cstheme="minorHAnsi"/>
          <w:sz w:val="20"/>
          <w:szCs w:val="20"/>
        </w:rPr>
        <w:t xml:space="preserve"> such as project descriptions, funding agreements o</w:t>
      </w:r>
      <w:r w:rsidR="00F04C1A" w:rsidRPr="007334C5">
        <w:rPr>
          <w:rFonts w:cstheme="minorHAnsi"/>
          <w:sz w:val="20"/>
          <w:szCs w:val="20"/>
        </w:rPr>
        <w:t>r</w:t>
      </w:r>
      <w:r w:rsidR="00DE739D" w:rsidRPr="007334C5">
        <w:rPr>
          <w:rFonts w:cstheme="minorHAnsi"/>
          <w:sz w:val="20"/>
          <w:szCs w:val="20"/>
        </w:rPr>
        <w:t xml:space="preserve"> third party contracts</w:t>
      </w:r>
      <w:r w:rsidR="00B20404" w:rsidRPr="007334C5">
        <w:rPr>
          <w:rFonts w:cstheme="minorHAnsi"/>
          <w:sz w:val="20"/>
          <w:szCs w:val="20"/>
        </w:rPr>
        <w:t xml:space="preserve">, </w:t>
      </w:r>
      <w:r w:rsidRPr="007334C5">
        <w:rPr>
          <w:rFonts w:cstheme="minorHAnsi"/>
          <w:sz w:val="20"/>
          <w:szCs w:val="20"/>
        </w:rPr>
        <w:t xml:space="preserve">this </w:t>
      </w:r>
      <w:r w:rsidR="00B20404" w:rsidRPr="007334C5">
        <w:rPr>
          <w:rFonts w:cstheme="minorHAnsi"/>
          <w:sz w:val="20"/>
          <w:szCs w:val="20"/>
        </w:rPr>
        <w:t xml:space="preserve">still </w:t>
      </w:r>
      <w:r w:rsidR="00D314AE" w:rsidRPr="007334C5">
        <w:rPr>
          <w:rFonts w:cstheme="minorHAnsi"/>
          <w:sz w:val="20"/>
          <w:szCs w:val="20"/>
        </w:rPr>
        <w:t xml:space="preserve">presents </w:t>
      </w:r>
      <w:r w:rsidR="00B20404" w:rsidRPr="007334C5">
        <w:rPr>
          <w:rFonts w:cstheme="minorHAnsi"/>
          <w:sz w:val="20"/>
          <w:szCs w:val="20"/>
        </w:rPr>
        <w:t>a weakness in the project</w:t>
      </w:r>
      <w:r w:rsidRPr="007334C5">
        <w:rPr>
          <w:rFonts w:cstheme="minorHAnsi"/>
          <w:sz w:val="20"/>
          <w:szCs w:val="20"/>
        </w:rPr>
        <w:t>’s</w:t>
      </w:r>
      <w:r w:rsidR="00B20404" w:rsidRPr="007334C5">
        <w:rPr>
          <w:rFonts w:cstheme="minorHAnsi"/>
          <w:sz w:val="20"/>
          <w:szCs w:val="20"/>
        </w:rPr>
        <w:t xml:space="preserve"> document management controls. </w:t>
      </w:r>
    </w:p>
    <w:p w:rsidR="00352784" w:rsidRPr="007334C5" w:rsidRDefault="00352784" w:rsidP="0046219A">
      <w:pPr>
        <w:spacing w:before="120" w:after="120" w:line="240" w:lineRule="auto"/>
        <w:rPr>
          <w:rFonts w:cstheme="minorHAnsi"/>
          <w:sz w:val="20"/>
          <w:szCs w:val="20"/>
        </w:rPr>
      </w:pPr>
      <w:r w:rsidRPr="007334C5">
        <w:rPr>
          <w:rFonts w:cstheme="minorHAnsi"/>
          <w:sz w:val="20"/>
          <w:szCs w:val="20"/>
        </w:rPr>
        <w:t xml:space="preserve">Discussions with the </w:t>
      </w:r>
      <w:r w:rsidR="000700AC" w:rsidRPr="007334C5">
        <w:rPr>
          <w:rFonts w:cstheme="minorHAnsi"/>
          <w:sz w:val="20"/>
          <w:szCs w:val="20"/>
        </w:rPr>
        <w:t>Project Manager</w:t>
      </w:r>
      <w:r w:rsidRPr="007334C5">
        <w:rPr>
          <w:rFonts w:cstheme="minorHAnsi"/>
          <w:sz w:val="20"/>
          <w:szCs w:val="20"/>
        </w:rPr>
        <w:t xml:space="preserve"> indicated that the project did not</w:t>
      </w:r>
      <w:r w:rsidR="00730979" w:rsidRPr="007334C5">
        <w:rPr>
          <w:rFonts w:cstheme="minorHAnsi"/>
          <w:sz w:val="20"/>
          <w:szCs w:val="20"/>
        </w:rPr>
        <w:t xml:space="preserve"> initially</w:t>
      </w:r>
      <w:r w:rsidRPr="007334C5">
        <w:rPr>
          <w:rFonts w:cstheme="minorHAnsi"/>
          <w:sz w:val="20"/>
          <w:szCs w:val="20"/>
        </w:rPr>
        <w:t xml:space="preserve"> have strict document management protocols</w:t>
      </w:r>
      <w:r w:rsidR="00F04C1A" w:rsidRPr="007334C5">
        <w:rPr>
          <w:rFonts w:cstheme="minorHAnsi"/>
          <w:sz w:val="20"/>
          <w:szCs w:val="20"/>
        </w:rPr>
        <w:t xml:space="preserve"> in place</w:t>
      </w:r>
      <w:r w:rsidR="0086355D" w:rsidRPr="007334C5">
        <w:rPr>
          <w:rFonts w:cstheme="minorHAnsi"/>
          <w:sz w:val="20"/>
          <w:szCs w:val="20"/>
        </w:rPr>
        <w:t>,</w:t>
      </w:r>
      <w:r w:rsidRPr="007334C5">
        <w:rPr>
          <w:rFonts w:cstheme="minorHAnsi"/>
          <w:sz w:val="20"/>
          <w:szCs w:val="20"/>
        </w:rPr>
        <w:t xml:space="preserve"> and documentation was initially stored and managed on local servers. Since joining </w:t>
      </w:r>
      <w:r w:rsidR="0086355D" w:rsidRPr="007334C5">
        <w:rPr>
          <w:rFonts w:cstheme="minorHAnsi"/>
          <w:sz w:val="20"/>
          <w:szCs w:val="20"/>
        </w:rPr>
        <w:t xml:space="preserve">the </w:t>
      </w:r>
      <w:r w:rsidRPr="007334C5">
        <w:rPr>
          <w:rFonts w:cstheme="minorHAnsi"/>
          <w:sz w:val="20"/>
          <w:szCs w:val="20"/>
        </w:rPr>
        <w:t xml:space="preserve">project, the </w:t>
      </w:r>
      <w:r w:rsidR="00D314AE" w:rsidRPr="007334C5">
        <w:rPr>
          <w:rFonts w:cstheme="minorHAnsi"/>
          <w:sz w:val="20"/>
          <w:szCs w:val="20"/>
        </w:rPr>
        <w:t xml:space="preserve">current </w:t>
      </w:r>
      <w:r w:rsidR="000700AC" w:rsidRPr="007334C5">
        <w:rPr>
          <w:rFonts w:cstheme="minorHAnsi"/>
          <w:sz w:val="20"/>
          <w:szCs w:val="20"/>
        </w:rPr>
        <w:t>Project Manager</w:t>
      </w:r>
      <w:r w:rsidR="00F04C1A" w:rsidRPr="007334C5">
        <w:rPr>
          <w:rFonts w:cstheme="minorHAnsi"/>
          <w:sz w:val="20"/>
          <w:szCs w:val="20"/>
        </w:rPr>
        <w:t xml:space="preserve"> has</w:t>
      </w:r>
      <w:r w:rsidRPr="007334C5">
        <w:rPr>
          <w:rFonts w:cstheme="minorHAnsi"/>
          <w:sz w:val="20"/>
          <w:szCs w:val="20"/>
        </w:rPr>
        <w:t xml:space="preserve"> sought to improve document management</w:t>
      </w:r>
      <w:r w:rsidR="00D314AE" w:rsidRPr="007334C5">
        <w:rPr>
          <w:rFonts w:cstheme="minorHAnsi"/>
          <w:sz w:val="20"/>
          <w:szCs w:val="20"/>
        </w:rPr>
        <w:t xml:space="preserve"> processes</w:t>
      </w:r>
      <w:r w:rsidRPr="007334C5">
        <w:rPr>
          <w:rFonts w:cstheme="minorHAnsi"/>
          <w:sz w:val="20"/>
          <w:szCs w:val="20"/>
        </w:rPr>
        <w:t xml:space="preserve">. This has included promoting the use of CM9 as the primary records management system and the creation of a standard folder structures for all schemes. </w:t>
      </w:r>
      <w:r w:rsidR="00730979" w:rsidRPr="007334C5">
        <w:rPr>
          <w:rFonts w:cstheme="minorHAnsi"/>
          <w:sz w:val="20"/>
          <w:szCs w:val="20"/>
        </w:rPr>
        <w:t xml:space="preserve">The </w:t>
      </w:r>
      <w:r w:rsidR="00331DF4" w:rsidRPr="007334C5">
        <w:rPr>
          <w:rFonts w:cstheme="minorHAnsi"/>
          <w:sz w:val="20"/>
          <w:szCs w:val="20"/>
        </w:rPr>
        <w:t>P</w:t>
      </w:r>
      <w:r w:rsidR="00730979" w:rsidRPr="007334C5">
        <w:rPr>
          <w:rFonts w:cstheme="minorHAnsi"/>
          <w:sz w:val="20"/>
          <w:szCs w:val="20"/>
        </w:rPr>
        <w:t xml:space="preserve">roject </w:t>
      </w:r>
      <w:r w:rsidR="00331DF4" w:rsidRPr="007334C5">
        <w:rPr>
          <w:rFonts w:cstheme="minorHAnsi"/>
          <w:sz w:val="20"/>
          <w:szCs w:val="20"/>
        </w:rPr>
        <w:t>M</w:t>
      </w:r>
      <w:r w:rsidR="00730979" w:rsidRPr="007334C5">
        <w:rPr>
          <w:rFonts w:cstheme="minorHAnsi"/>
          <w:sz w:val="20"/>
          <w:szCs w:val="20"/>
        </w:rPr>
        <w:t xml:space="preserve">anager </w:t>
      </w:r>
      <w:r w:rsidR="004F6C89" w:rsidRPr="007334C5">
        <w:rPr>
          <w:rFonts w:cstheme="minorHAnsi"/>
          <w:sz w:val="20"/>
          <w:szCs w:val="20"/>
        </w:rPr>
        <w:t xml:space="preserve">indicated </w:t>
      </w:r>
      <w:r w:rsidR="00730979" w:rsidRPr="007334C5">
        <w:rPr>
          <w:rFonts w:cstheme="minorHAnsi"/>
          <w:sz w:val="20"/>
          <w:szCs w:val="20"/>
        </w:rPr>
        <w:t xml:space="preserve">however, that documentation related to earlier schemes </w:t>
      </w:r>
      <w:r w:rsidR="004F6C89" w:rsidRPr="007334C5">
        <w:rPr>
          <w:rFonts w:cstheme="minorHAnsi"/>
          <w:sz w:val="20"/>
          <w:szCs w:val="20"/>
        </w:rPr>
        <w:t xml:space="preserve">had not been fully transitioned to CM9 and </w:t>
      </w:r>
      <w:r w:rsidR="00F04C1A" w:rsidRPr="007334C5">
        <w:rPr>
          <w:rFonts w:cstheme="minorHAnsi"/>
          <w:sz w:val="20"/>
          <w:szCs w:val="20"/>
        </w:rPr>
        <w:t>were</w:t>
      </w:r>
      <w:r w:rsidR="004F6C89" w:rsidRPr="007334C5">
        <w:rPr>
          <w:rFonts w:cstheme="minorHAnsi"/>
          <w:sz w:val="20"/>
          <w:szCs w:val="20"/>
        </w:rPr>
        <w:t xml:space="preserve"> still</w:t>
      </w:r>
      <w:r w:rsidR="00F04C1A" w:rsidRPr="007334C5">
        <w:rPr>
          <w:rFonts w:cstheme="minorHAnsi"/>
          <w:sz w:val="20"/>
          <w:szCs w:val="20"/>
        </w:rPr>
        <w:t xml:space="preserve"> largely</w:t>
      </w:r>
      <w:r w:rsidR="004F6C89" w:rsidRPr="007334C5">
        <w:rPr>
          <w:rFonts w:cstheme="minorHAnsi"/>
          <w:sz w:val="20"/>
          <w:szCs w:val="20"/>
        </w:rPr>
        <w:t xml:space="preserve"> retained on local servers. Gaps in documentation were not full</w:t>
      </w:r>
      <w:r w:rsidR="0086355D" w:rsidRPr="007334C5">
        <w:rPr>
          <w:rFonts w:cstheme="minorHAnsi"/>
          <w:sz w:val="20"/>
          <w:szCs w:val="20"/>
        </w:rPr>
        <w:t>y</w:t>
      </w:r>
      <w:r w:rsidR="004F6C89" w:rsidRPr="007334C5">
        <w:rPr>
          <w:rFonts w:cstheme="minorHAnsi"/>
          <w:sz w:val="20"/>
          <w:szCs w:val="20"/>
        </w:rPr>
        <w:t xml:space="preserve"> known (refer to Section 4.</w:t>
      </w:r>
      <w:r w:rsidR="00E93428" w:rsidRPr="007334C5">
        <w:rPr>
          <w:rFonts w:cstheme="minorHAnsi"/>
          <w:sz w:val="20"/>
          <w:szCs w:val="20"/>
        </w:rPr>
        <w:t>3</w:t>
      </w:r>
      <w:r w:rsidR="004F6C89" w:rsidRPr="007334C5">
        <w:rPr>
          <w:rFonts w:cstheme="minorHAnsi"/>
          <w:sz w:val="20"/>
          <w:szCs w:val="20"/>
        </w:rPr>
        <w:t xml:space="preserve">). </w:t>
      </w:r>
      <w:r w:rsidR="00730979" w:rsidRPr="007334C5">
        <w:rPr>
          <w:rFonts w:cstheme="minorHAnsi"/>
          <w:sz w:val="20"/>
          <w:szCs w:val="20"/>
        </w:rPr>
        <w:t xml:space="preserve"> </w:t>
      </w:r>
    </w:p>
    <w:p w:rsidR="00871FD3" w:rsidRPr="007334C5" w:rsidRDefault="00871FD3" w:rsidP="00C70202">
      <w:pPr>
        <w:pStyle w:val="Heading3"/>
        <w:spacing w:before="120"/>
        <w:rPr>
          <w:rFonts w:asciiTheme="minorHAnsi" w:hAnsiTheme="minorHAnsi" w:cstheme="minorHAnsi"/>
          <w:sz w:val="20"/>
          <w:szCs w:val="20"/>
        </w:rPr>
      </w:pPr>
      <w:r w:rsidRPr="007334C5">
        <w:rPr>
          <w:rFonts w:asciiTheme="minorHAnsi" w:hAnsiTheme="minorHAnsi" w:cstheme="minorHAnsi"/>
          <w:sz w:val="20"/>
          <w:szCs w:val="20"/>
        </w:rPr>
        <w:t xml:space="preserve">Staff training and guidance </w:t>
      </w:r>
    </w:p>
    <w:p w:rsidR="002161FF" w:rsidRPr="007334C5" w:rsidRDefault="00E93428" w:rsidP="00576A25">
      <w:pPr>
        <w:spacing w:before="120" w:after="120" w:line="240" w:lineRule="auto"/>
        <w:rPr>
          <w:rFonts w:cstheme="minorHAnsi"/>
          <w:sz w:val="20"/>
          <w:szCs w:val="20"/>
        </w:rPr>
      </w:pPr>
      <w:r w:rsidRPr="007334C5">
        <w:rPr>
          <w:rFonts w:cstheme="minorHAnsi"/>
          <w:sz w:val="20"/>
          <w:szCs w:val="20"/>
        </w:rPr>
        <w:t>Discussions with DoI Water identified that all project staff have undertaken program management training, provided by an external service provider. DoI Water have also defined skill</w:t>
      </w:r>
      <w:r w:rsidR="00770B84" w:rsidRPr="007334C5">
        <w:rPr>
          <w:rFonts w:cstheme="minorHAnsi"/>
          <w:sz w:val="20"/>
          <w:szCs w:val="20"/>
        </w:rPr>
        <w:t xml:space="preserve"> </w:t>
      </w:r>
      <w:r w:rsidRPr="007334C5">
        <w:rPr>
          <w:rFonts w:cstheme="minorHAnsi"/>
          <w:sz w:val="20"/>
          <w:szCs w:val="20"/>
        </w:rPr>
        <w:t>/</w:t>
      </w:r>
      <w:r w:rsidR="00770B84" w:rsidRPr="007334C5">
        <w:rPr>
          <w:rFonts w:cstheme="minorHAnsi"/>
          <w:sz w:val="20"/>
          <w:szCs w:val="20"/>
        </w:rPr>
        <w:t xml:space="preserve"> </w:t>
      </w:r>
      <w:r w:rsidRPr="007334C5">
        <w:rPr>
          <w:rFonts w:cstheme="minorHAnsi"/>
          <w:sz w:val="20"/>
          <w:szCs w:val="20"/>
        </w:rPr>
        <w:t>qualification requirements for all roles within the team. Staff experience</w:t>
      </w:r>
      <w:r w:rsidR="00770B84" w:rsidRPr="007334C5">
        <w:rPr>
          <w:rFonts w:cstheme="minorHAnsi"/>
          <w:sz w:val="20"/>
          <w:szCs w:val="20"/>
        </w:rPr>
        <w:t xml:space="preserve"> </w:t>
      </w:r>
      <w:r w:rsidRPr="007334C5">
        <w:rPr>
          <w:rFonts w:cstheme="minorHAnsi"/>
          <w:sz w:val="20"/>
          <w:szCs w:val="20"/>
        </w:rPr>
        <w:t>included program management, procurement, financial management and</w:t>
      </w:r>
      <w:r w:rsidR="00770B84" w:rsidRPr="007334C5">
        <w:rPr>
          <w:rFonts w:cstheme="minorHAnsi"/>
          <w:sz w:val="20"/>
          <w:szCs w:val="20"/>
        </w:rPr>
        <w:t xml:space="preserve"> </w:t>
      </w:r>
      <w:r w:rsidRPr="007334C5">
        <w:rPr>
          <w:rFonts w:cstheme="minorHAnsi"/>
          <w:sz w:val="20"/>
          <w:szCs w:val="20"/>
        </w:rPr>
        <w:t>/</w:t>
      </w:r>
      <w:r w:rsidR="00770B84" w:rsidRPr="007334C5">
        <w:rPr>
          <w:rFonts w:cstheme="minorHAnsi"/>
          <w:sz w:val="20"/>
          <w:szCs w:val="20"/>
        </w:rPr>
        <w:t xml:space="preserve"> </w:t>
      </w:r>
      <w:r w:rsidRPr="007334C5">
        <w:rPr>
          <w:rFonts w:cstheme="minorHAnsi"/>
          <w:sz w:val="20"/>
          <w:szCs w:val="20"/>
        </w:rPr>
        <w:t>or engineering</w:t>
      </w:r>
      <w:r w:rsidR="00770B84" w:rsidRPr="007334C5">
        <w:rPr>
          <w:rFonts w:cstheme="minorHAnsi"/>
          <w:sz w:val="20"/>
          <w:szCs w:val="20"/>
        </w:rPr>
        <w:t>,</w:t>
      </w:r>
      <w:r w:rsidRPr="007334C5">
        <w:rPr>
          <w:rFonts w:cstheme="minorHAnsi"/>
          <w:sz w:val="20"/>
          <w:szCs w:val="20"/>
        </w:rPr>
        <w:t xml:space="preserve"> as well as experience in other water infrastructure projects or similar works. </w:t>
      </w:r>
      <w:r w:rsidR="002161FF" w:rsidRPr="007334C5">
        <w:rPr>
          <w:rFonts w:cstheme="minorHAnsi"/>
          <w:sz w:val="20"/>
          <w:szCs w:val="20"/>
        </w:rPr>
        <w:t xml:space="preserve">Where specific technical knowledge or skills </w:t>
      </w:r>
      <w:r w:rsidR="0089090B" w:rsidRPr="007334C5">
        <w:rPr>
          <w:rFonts w:cstheme="minorHAnsi"/>
          <w:sz w:val="20"/>
          <w:szCs w:val="20"/>
        </w:rPr>
        <w:t>are</w:t>
      </w:r>
      <w:r w:rsidR="002161FF" w:rsidRPr="007334C5">
        <w:rPr>
          <w:rFonts w:cstheme="minorHAnsi"/>
          <w:sz w:val="20"/>
          <w:szCs w:val="20"/>
        </w:rPr>
        <w:t xml:space="preserve"> required or not available internally, DoI Water engage specialist providers </w:t>
      </w:r>
      <w:r w:rsidR="005B5BA2" w:rsidRPr="007334C5">
        <w:rPr>
          <w:rFonts w:cstheme="minorHAnsi"/>
          <w:sz w:val="20"/>
          <w:szCs w:val="20"/>
        </w:rPr>
        <w:t>e.g. for</w:t>
      </w:r>
      <w:r w:rsidR="002161FF" w:rsidRPr="007334C5">
        <w:rPr>
          <w:rFonts w:cstheme="minorHAnsi"/>
          <w:sz w:val="20"/>
          <w:szCs w:val="20"/>
        </w:rPr>
        <w:t xml:space="preserve"> REF/ACHC, survey and design</w:t>
      </w:r>
      <w:r w:rsidR="00D2667E" w:rsidRPr="007334C5">
        <w:rPr>
          <w:rFonts w:cstheme="minorHAnsi"/>
          <w:sz w:val="20"/>
          <w:szCs w:val="20"/>
        </w:rPr>
        <w:t xml:space="preserve"> activities</w:t>
      </w:r>
      <w:r w:rsidR="002161FF" w:rsidRPr="007334C5">
        <w:rPr>
          <w:rFonts w:cstheme="minorHAnsi"/>
          <w:sz w:val="20"/>
          <w:szCs w:val="20"/>
        </w:rPr>
        <w:t xml:space="preserve">. </w:t>
      </w:r>
    </w:p>
    <w:p w:rsidR="00E93428" w:rsidRPr="007334C5" w:rsidRDefault="0096528E" w:rsidP="00576A25">
      <w:pPr>
        <w:spacing w:before="120" w:after="120" w:line="240" w:lineRule="auto"/>
        <w:rPr>
          <w:rFonts w:cstheme="minorHAnsi"/>
          <w:sz w:val="20"/>
          <w:szCs w:val="20"/>
        </w:rPr>
      </w:pPr>
      <w:r w:rsidRPr="007334C5">
        <w:rPr>
          <w:rFonts w:cstheme="minorHAnsi"/>
          <w:sz w:val="20"/>
          <w:szCs w:val="20"/>
        </w:rPr>
        <w:t>DoI Water</w:t>
      </w:r>
      <w:r w:rsidR="00E93428" w:rsidRPr="007334C5">
        <w:rPr>
          <w:rFonts w:cstheme="minorHAnsi"/>
          <w:sz w:val="20"/>
          <w:szCs w:val="20"/>
        </w:rPr>
        <w:t xml:space="preserve"> have developed </w:t>
      </w:r>
      <w:r w:rsidRPr="007334C5">
        <w:rPr>
          <w:rFonts w:cstheme="minorHAnsi"/>
          <w:sz w:val="20"/>
          <w:szCs w:val="20"/>
        </w:rPr>
        <w:t>high-level guidelines</w:t>
      </w:r>
      <w:r w:rsidR="0017338C" w:rsidRPr="007334C5">
        <w:rPr>
          <w:rFonts w:cstheme="minorHAnsi"/>
          <w:sz w:val="20"/>
          <w:szCs w:val="20"/>
        </w:rPr>
        <w:t xml:space="preserve"> (without detailed process level information)</w:t>
      </w:r>
      <w:r w:rsidRPr="007334C5">
        <w:rPr>
          <w:rFonts w:cstheme="minorHAnsi"/>
          <w:sz w:val="20"/>
          <w:szCs w:val="20"/>
        </w:rPr>
        <w:t xml:space="preserve"> for the project, </w:t>
      </w:r>
      <w:r w:rsidR="005B5BA2" w:rsidRPr="007334C5">
        <w:rPr>
          <w:rFonts w:cstheme="minorHAnsi"/>
          <w:sz w:val="20"/>
          <w:szCs w:val="20"/>
        </w:rPr>
        <w:t>however</w:t>
      </w:r>
      <w:r w:rsidR="00770B84" w:rsidRPr="007334C5">
        <w:rPr>
          <w:rFonts w:cstheme="minorHAnsi"/>
          <w:sz w:val="20"/>
          <w:szCs w:val="20"/>
        </w:rPr>
        <w:t>,</w:t>
      </w:r>
      <w:r w:rsidRPr="007334C5">
        <w:rPr>
          <w:rFonts w:cstheme="minorHAnsi"/>
          <w:sz w:val="20"/>
          <w:szCs w:val="20"/>
        </w:rPr>
        <w:t xml:space="preserve"> these have not been reviewed since 2012. Standard templates for </w:t>
      </w:r>
      <w:r w:rsidR="0089090B" w:rsidRPr="007334C5">
        <w:rPr>
          <w:rFonts w:cstheme="minorHAnsi"/>
          <w:sz w:val="20"/>
          <w:szCs w:val="20"/>
        </w:rPr>
        <w:t xml:space="preserve">key </w:t>
      </w:r>
      <w:r w:rsidR="00146A71" w:rsidRPr="007334C5">
        <w:rPr>
          <w:rFonts w:cstheme="minorHAnsi"/>
          <w:sz w:val="20"/>
          <w:szCs w:val="20"/>
        </w:rPr>
        <w:t>documents such as contracts</w:t>
      </w:r>
      <w:r w:rsidR="00D314AE" w:rsidRPr="007334C5">
        <w:rPr>
          <w:rFonts w:cstheme="minorHAnsi"/>
          <w:sz w:val="20"/>
          <w:szCs w:val="20"/>
        </w:rPr>
        <w:t>,</w:t>
      </w:r>
      <w:r w:rsidRPr="007334C5">
        <w:rPr>
          <w:rFonts w:cstheme="minorHAnsi"/>
          <w:sz w:val="20"/>
          <w:szCs w:val="20"/>
        </w:rPr>
        <w:t xml:space="preserve"> funding agreements </w:t>
      </w:r>
      <w:r w:rsidR="008E0084" w:rsidRPr="007334C5">
        <w:rPr>
          <w:rFonts w:cstheme="minorHAnsi"/>
          <w:sz w:val="20"/>
          <w:szCs w:val="20"/>
        </w:rPr>
        <w:t xml:space="preserve">and </w:t>
      </w:r>
      <w:r w:rsidRPr="007334C5">
        <w:rPr>
          <w:rFonts w:cstheme="minorHAnsi"/>
          <w:sz w:val="20"/>
          <w:szCs w:val="20"/>
        </w:rPr>
        <w:t>project descriptions have also been developed and regularly used by staff</w:t>
      </w:r>
      <w:r w:rsidR="0089090B" w:rsidRPr="007334C5">
        <w:rPr>
          <w:rFonts w:cstheme="minorHAnsi"/>
          <w:sz w:val="20"/>
          <w:szCs w:val="20"/>
        </w:rPr>
        <w:t>. However,</w:t>
      </w:r>
      <w:r w:rsidR="0086355D" w:rsidRPr="007334C5">
        <w:rPr>
          <w:rFonts w:cstheme="minorHAnsi"/>
          <w:sz w:val="20"/>
          <w:szCs w:val="20"/>
        </w:rPr>
        <w:t xml:space="preserve"> KPMG</w:t>
      </w:r>
      <w:r w:rsidR="0089090B" w:rsidRPr="007334C5">
        <w:rPr>
          <w:rFonts w:cstheme="minorHAnsi"/>
          <w:sz w:val="20"/>
          <w:szCs w:val="20"/>
        </w:rPr>
        <w:t xml:space="preserve"> noted </w:t>
      </w:r>
      <w:r w:rsidR="00E620E1" w:rsidRPr="007334C5">
        <w:rPr>
          <w:rFonts w:cstheme="minorHAnsi"/>
          <w:sz w:val="20"/>
          <w:szCs w:val="20"/>
        </w:rPr>
        <w:t>DoI Water</w:t>
      </w:r>
      <w:r w:rsidR="0089090B" w:rsidRPr="007334C5">
        <w:rPr>
          <w:rFonts w:cstheme="minorHAnsi"/>
          <w:sz w:val="20"/>
          <w:szCs w:val="20"/>
        </w:rPr>
        <w:t xml:space="preserve"> had l</w:t>
      </w:r>
      <w:r w:rsidRPr="007334C5">
        <w:rPr>
          <w:rFonts w:cstheme="minorHAnsi"/>
          <w:sz w:val="20"/>
          <w:szCs w:val="20"/>
        </w:rPr>
        <w:t xml:space="preserve">imited </w:t>
      </w:r>
      <w:r w:rsidR="00E93428" w:rsidRPr="007334C5">
        <w:rPr>
          <w:rFonts w:cstheme="minorHAnsi"/>
          <w:sz w:val="20"/>
          <w:szCs w:val="20"/>
        </w:rPr>
        <w:t>standard operating procedures</w:t>
      </w:r>
      <w:r w:rsidRPr="007334C5">
        <w:rPr>
          <w:rFonts w:cstheme="minorHAnsi"/>
          <w:sz w:val="20"/>
          <w:szCs w:val="20"/>
        </w:rPr>
        <w:t xml:space="preserve"> or </w:t>
      </w:r>
      <w:r w:rsidR="0089090B" w:rsidRPr="007334C5">
        <w:rPr>
          <w:rFonts w:cstheme="minorHAnsi"/>
          <w:sz w:val="20"/>
          <w:szCs w:val="20"/>
        </w:rPr>
        <w:t xml:space="preserve">detailed </w:t>
      </w:r>
      <w:r w:rsidRPr="007334C5">
        <w:rPr>
          <w:rFonts w:cstheme="minorHAnsi"/>
          <w:sz w:val="20"/>
          <w:szCs w:val="20"/>
        </w:rPr>
        <w:t>guidance material available to staff</w:t>
      </w:r>
      <w:r w:rsidR="002D7E1C" w:rsidRPr="007334C5">
        <w:rPr>
          <w:rFonts w:cstheme="minorHAnsi"/>
          <w:sz w:val="20"/>
          <w:szCs w:val="20"/>
        </w:rPr>
        <w:t xml:space="preserve"> for day</w:t>
      </w:r>
      <w:r w:rsidR="00770B84" w:rsidRPr="007334C5">
        <w:rPr>
          <w:rFonts w:cstheme="minorHAnsi"/>
          <w:sz w:val="20"/>
          <w:szCs w:val="20"/>
        </w:rPr>
        <w:t>-</w:t>
      </w:r>
      <w:r w:rsidR="002D7E1C" w:rsidRPr="007334C5">
        <w:rPr>
          <w:rFonts w:cstheme="minorHAnsi"/>
          <w:sz w:val="20"/>
          <w:szCs w:val="20"/>
        </w:rPr>
        <w:t>to</w:t>
      </w:r>
      <w:r w:rsidR="00770B84" w:rsidRPr="007334C5">
        <w:rPr>
          <w:rFonts w:cstheme="minorHAnsi"/>
          <w:sz w:val="20"/>
          <w:szCs w:val="20"/>
        </w:rPr>
        <w:t>-</w:t>
      </w:r>
      <w:r w:rsidR="002D7E1C" w:rsidRPr="007334C5">
        <w:rPr>
          <w:rFonts w:cstheme="minorHAnsi"/>
          <w:sz w:val="20"/>
          <w:szCs w:val="20"/>
        </w:rPr>
        <w:t>day operations</w:t>
      </w:r>
      <w:r w:rsidR="0089090B" w:rsidRPr="007334C5">
        <w:rPr>
          <w:rFonts w:cstheme="minorHAnsi"/>
          <w:sz w:val="20"/>
          <w:szCs w:val="20"/>
        </w:rPr>
        <w:t xml:space="preserve"> (refer to Section 4.4 for further details)</w:t>
      </w:r>
      <w:r w:rsidRPr="007334C5">
        <w:rPr>
          <w:rFonts w:cstheme="minorHAnsi"/>
          <w:sz w:val="20"/>
          <w:szCs w:val="20"/>
        </w:rPr>
        <w:t>.</w:t>
      </w:r>
      <w:r w:rsidR="00E93428" w:rsidRPr="007334C5">
        <w:rPr>
          <w:rFonts w:cstheme="minorHAnsi"/>
          <w:sz w:val="20"/>
          <w:szCs w:val="20"/>
        </w:rPr>
        <w:t xml:space="preserve"> </w:t>
      </w:r>
    </w:p>
    <w:p w:rsidR="00871FD3" w:rsidRPr="007334C5" w:rsidRDefault="00540B20" w:rsidP="00C70202">
      <w:pPr>
        <w:pStyle w:val="Heading3"/>
        <w:spacing w:before="120"/>
        <w:rPr>
          <w:rFonts w:asciiTheme="minorHAnsi" w:hAnsiTheme="minorHAnsi" w:cstheme="minorHAnsi"/>
          <w:sz w:val="20"/>
          <w:szCs w:val="20"/>
        </w:rPr>
      </w:pPr>
      <w:r w:rsidRPr="007334C5">
        <w:rPr>
          <w:rFonts w:asciiTheme="minorHAnsi" w:hAnsiTheme="minorHAnsi" w:cstheme="minorHAnsi"/>
          <w:sz w:val="20"/>
          <w:szCs w:val="20"/>
        </w:rPr>
        <w:t xml:space="preserve">Procurement </w:t>
      </w:r>
    </w:p>
    <w:p w:rsidR="002F7183" w:rsidRPr="007334C5" w:rsidRDefault="00E620E1" w:rsidP="0031631F">
      <w:pPr>
        <w:spacing w:before="120" w:after="120" w:line="240" w:lineRule="auto"/>
        <w:rPr>
          <w:rFonts w:cstheme="minorHAnsi"/>
          <w:sz w:val="20"/>
          <w:szCs w:val="20"/>
        </w:rPr>
      </w:pPr>
      <w:r w:rsidRPr="007334C5">
        <w:rPr>
          <w:rFonts w:cstheme="minorHAnsi"/>
          <w:sz w:val="20"/>
          <w:szCs w:val="20"/>
        </w:rPr>
        <w:t>DoI Water</w:t>
      </w:r>
      <w:r w:rsidR="00B337EA" w:rsidRPr="007334C5">
        <w:rPr>
          <w:rFonts w:cstheme="minorHAnsi"/>
          <w:sz w:val="20"/>
          <w:szCs w:val="20"/>
        </w:rPr>
        <w:t xml:space="preserve"> may engage multiple </w:t>
      </w:r>
      <w:r w:rsidR="002F7183" w:rsidRPr="007334C5">
        <w:rPr>
          <w:rFonts w:cstheme="minorHAnsi"/>
          <w:sz w:val="20"/>
          <w:szCs w:val="20"/>
        </w:rPr>
        <w:t>providers</w:t>
      </w:r>
      <w:r w:rsidR="00B337EA" w:rsidRPr="007334C5">
        <w:rPr>
          <w:rFonts w:cstheme="minorHAnsi"/>
          <w:sz w:val="20"/>
          <w:szCs w:val="20"/>
        </w:rPr>
        <w:t xml:space="preserve"> </w:t>
      </w:r>
      <w:r w:rsidR="002F7183" w:rsidRPr="007334C5">
        <w:rPr>
          <w:rFonts w:cstheme="minorHAnsi"/>
          <w:sz w:val="20"/>
          <w:szCs w:val="20"/>
        </w:rPr>
        <w:t>to assist with various pha</w:t>
      </w:r>
      <w:r w:rsidR="00146A71" w:rsidRPr="007334C5">
        <w:rPr>
          <w:rFonts w:cstheme="minorHAnsi"/>
          <w:sz w:val="20"/>
          <w:szCs w:val="20"/>
        </w:rPr>
        <w:t>ses in the delivery of a scheme</w:t>
      </w:r>
      <w:r w:rsidR="002F7183" w:rsidRPr="007334C5">
        <w:rPr>
          <w:rFonts w:cstheme="minorHAnsi"/>
          <w:sz w:val="20"/>
          <w:szCs w:val="20"/>
        </w:rPr>
        <w:t xml:space="preserve"> however</w:t>
      </w:r>
      <w:r w:rsidR="0086355D" w:rsidRPr="007334C5">
        <w:rPr>
          <w:rFonts w:cstheme="minorHAnsi"/>
          <w:sz w:val="20"/>
          <w:szCs w:val="20"/>
        </w:rPr>
        <w:t>,</w:t>
      </w:r>
      <w:r w:rsidR="002F7183" w:rsidRPr="007334C5">
        <w:rPr>
          <w:rFonts w:cstheme="minorHAnsi"/>
          <w:sz w:val="20"/>
          <w:szCs w:val="20"/>
        </w:rPr>
        <w:t xml:space="preserve"> primarily engage third parties to undertake the following activities:</w:t>
      </w:r>
    </w:p>
    <w:p w:rsidR="002F7183" w:rsidRPr="007334C5" w:rsidRDefault="002F7183" w:rsidP="002F7183">
      <w:pPr>
        <w:pStyle w:val="ListParagraph"/>
        <w:numPr>
          <w:ilvl w:val="0"/>
          <w:numId w:val="22"/>
        </w:numPr>
        <w:spacing w:before="120" w:after="120" w:line="240" w:lineRule="auto"/>
        <w:rPr>
          <w:rFonts w:cstheme="minorHAnsi"/>
          <w:sz w:val="20"/>
          <w:szCs w:val="20"/>
        </w:rPr>
      </w:pPr>
      <w:r w:rsidRPr="007334C5">
        <w:rPr>
          <w:rFonts w:cstheme="minorHAnsi"/>
          <w:sz w:val="20"/>
          <w:szCs w:val="20"/>
        </w:rPr>
        <w:t xml:space="preserve">REF/ACHA – </w:t>
      </w:r>
      <w:r w:rsidR="005818D6" w:rsidRPr="007334C5">
        <w:rPr>
          <w:rFonts w:cstheme="minorHAnsi"/>
          <w:sz w:val="20"/>
          <w:szCs w:val="20"/>
        </w:rPr>
        <w:t>A specialist provider</w:t>
      </w:r>
      <w:r w:rsidRPr="007334C5">
        <w:rPr>
          <w:rFonts w:cstheme="minorHAnsi"/>
          <w:sz w:val="20"/>
          <w:szCs w:val="20"/>
        </w:rPr>
        <w:t xml:space="preserve"> </w:t>
      </w:r>
      <w:r w:rsidR="005818D6" w:rsidRPr="007334C5">
        <w:rPr>
          <w:rFonts w:cstheme="minorHAnsi"/>
          <w:sz w:val="20"/>
          <w:szCs w:val="20"/>
        </w:rPr>
        <w:t>is</w:t>
      </w:r>
      <w:r w:rsidRPr="007334C5">
        <w:rPr>
          <w:rFonts w:cstheme="minorHAnsi"/>
          <w:sz w:val="20"/>
          <w:szCs w:val="20"/>
        </w:rPr>
        <w:t xml:space="preserve"> required to undertake REF/ACHA</w:t>
      </w:r>
      <w:r w:rsidR="005818D6" w:rsidRPr="007334C5">
        <w:rPr>
          <w:rFonts w:cstheme="minorHAnsi"/>
          <w:sz w:val="20"/>
          <w:szCs w:val="20"/>
        </w:rPr>
        <w:t xml:space="preserve"> activities</w:t>
      </w:r>
      <w:r w:rsidRPr="007334C5">
        <w:rPr>
          <w:rFonts w:cstheme="minorHAnsi"/>
          <w:sz w:val="20"/>
          <w:szCs w:val="20"/>
        </w:rPr>
        <w:t>.</w:t>
      </w:r>
    </w:p>
    <w:p w:rsidR="002F7183" w:rsidRPr="007334C5" w:rsidRDefault="002F7183" w:rsidP="002F7183">
      <w:pPr>
        <w:pStyle w:val="ListParagraph"/>
        <w:numPr>
          <w:ilvl w:val="0"/>
          <w:numId w:val="22"/>
        </w:numPr>
        <w:spacing w:before="120" w:after="120" w:line="240" w:lineRule="auto"/>
        <w:rPr>
          <w:rFonts w:cstheme="minorHAnsi"/>
          <w:sz w:val="20"/>
          <w:szCs w:val="20"/>
        </w:rPr>
      </w:pPr>
      <w:r w:rsidRPr="007334C5">
        <w:rPr>
          <w:rFonts w:cstheme="minorHAnsi"/>
          <w:sz w:val="20"/>
          <w:szCs w:val="20"/>
        </w:rPr>
        <w:t>Construction – All construction of infrastru</w:t>
      </w:r>
      <w:r w:rsidR="00E63C35" w:rsidRPr="007334C5">
        <w:rPr>
          <w:rFonts w:cstheme="minorHAnsi"/>
          <w:sz w:val="20"/>
          <w:szCs w:val="20"/>
        </w:rPr>
        <w:t>cture is outsourced to suitably</w:t>
      </w:r>
      <w:r w:rsidRPr="007334C5">
        <w:rPr>
          <w:rFonts w:cstheme="minorHAnsi"/>
          <w:sz w:val="20"/>
          <w:szCs w:val="20"/>
        </w:rPr>
        <w:t xml:space="preserve"> skilled service providers. </w:t>
      </w:r>
    </w:p>
    <w:p w:rsidR="002F7183" w:rsidRPr="007334C5" w:rsidRDefault="002F7183" w:rsidP="002F7183">
      <w:pPr>
        <w:pStyle w:val="ListParagraph"/>
        <w:numPr>
          <w:ilvl w:val="0"/>
          <w:numId w:val="22"/>
        </w:numPr>
        <w:spacing w:before="120" w:after="120" w:line="240" w:lineRule="auto"/>
        <w:rPr>
          <w:rFonts w:cstheme="minorHAnsi"/>
          <w:sz w:val="20"/>
          <w:szCs w:val="20"/>
        </w:rPr>
      </w:pPr>
      <w:r w:rsidRPr="007334C5">
        <w:rPr>
          <w:rFonts w:cstheme="minorHAnsi"/>
          <w:sz w:val="20"/>
          <w:szCs w:val="20"/>
        </w:rPr>
        <w:t xml:space="preserve">Contract supervision – A provider is engaged to assist </w:t>
      </w:r>
      <w:r w:rsidR="00E620E1" w:rsidRPr="007334C5">
        <w:rPr>
          <w:rFonts w:cstheme="minorHAnsi"/>
          <w:sz w:val="20"/>
          <w:szCs w:val="20"/>
        </w:rPr>
        <w:t>DoI Water</w:t>
      </w:r>
      <w:r w:rsidRPr="007334C5">
        <w:rPr>
          <w:rFonts w:cstheme="minorHAnsi"/>
          <w:sz w:val="20"/>
          <w:szCs w:val="20"/>
        </w:rPr>
        <w:t xml:space="preserve"> with monitoring and managing </w:t>
      </w:r>
      <w:r w:rsidR="005818D6" w:rsidRPr="007334C5">
        <w:rPr>
          <w:rFonts w:cstheme="minorHAnsi"/>
          <w:sz w:val="20"/>
          <w:szCs w:val="20"/>
        </w:rPr>
        <w:t xml:space="preserve">the </w:t>
      </w:r>
      <w:r w:rsidRPr="007334C5">
        <w:rPr>
          <w:rFonts w:cstheme="minorHAnsi"/>
          <w:sz w:val="20"/>
          <w:szCs w:val="20"/>
        </w:rPr>
        <w:t>construction</w:t>
      </w:r>
      <w:r w:rsidR="005818D6" w:rsidRPr="007334C5">
        <w:rPr>
          <w:rFonts w:cstheme="minorHAnsi"/>
          <w:sz w:val="20"/>
          <w:szCs w:val="20"/>
        </w:rPr>
        <w:t xml:space="preserve"> contract, including undertaking inspection</w:t>
      </w:r>
      <w:r w:rsidR="002D7E1C" w:rsidRPr="007334C5">
        <w:rPr>
          <w:rFonts w:cstheme="minorHAnsi"/>
          <w:sz w:val="20"/>
          <w:szCs w:val="20"/>
        </w:rPr>
        <w:t>s</w:t>
      </w:r>
      <w:r w:rsidR="005818D6" w:rsidRPr="007334C5">
        <w:rPr>
          <w:rFonts w:cstheme="minorHAnsi"/>
          <w:sz w:val="20"/>
          <w:szCs w:val="20"/>
        </w:rPr>
        <w:t xml:space="preserve">, </w:t>
      </w:r>
      <w:r w:rsidRPr="007334C5">
        <w:rPr>
          <w:rFonts w:cstheme="minorHAnsi"/>
          <w:sz w:val="20"/>
          <w:szCs w:val="20"/>
        </w:rPr>
        <w:t>supporting construction payment claims</w:t>
      </w:r>
      <w:r w:rsidR="005818D6" w:rsidRPr="007334C5">
        <w:rPr>
          <w:rFonts w:cstheme="minorHAnsi"/>
          <w:sz w:val="20"/>
          <w:szCs w:val="20"/>
        </w:rPr>
        <w:t xml:space="preserve"> and </w:t>
      </w:r>
      <w:r w:rsidRPr="007334C5">
        <w:rPr>
          <w:rFonts w:cstheme="minorHAnsi"/>
          <w:sz w:val="20"/>
          <w:szCs w:val="20"/>
        </w:rPr>
        <w:t>verifying compliance to technical design and construction standards.</w:t>
      </w:r>
    </w:p>
    <w:p w:rsidR="002F7183" w:rsidRPr="007334C5" w:rsidRDefault="002F7183" w:rsidP="0031631F">
      <w:pPr>
        <w:spacing w:before="120" w:after="120" w:line="240" w:lineRule="auto"/>
        <w:rPr>
          <w:rFonts w:cstheme="minorHAnsi"/>
          <w:sz w:val="20"/>
          <w:szCs w:val="20"/>
        </w:rPr>
      </w:pPr>
      <w:r w:rsidRPr="007334C5">
        <w:rPr>
          <w:rFonts w:cstheme="minorHAnsi"/>
          <w:sz w:val="20"/>
          <w:szCs w:val="20"/>
        </w:rPr>
        <w:t xml:space="preserve">When undertaking any procurement, </w:t>
      </w:r>
      <w:r w:rsidR="00E620E1" w:rsidRPr="007334C5">
        <w:rPr>
          <w:rFonts w:cstheme="minorHAnsi"/>
          <w:sz w:val="20"/>
          <w:szCs w:val="20"/>
        </w:rPr>
        <w:t>DoI Water</w:t>
      </w:r>
      <w:r w:rsidRPr="007334C5">
        <w:rPr>
          <w:rFonts w:cstheme="minorHAnsi"/>
          <w:sz w:val="20"/>
          <w:szCs w:val="20"/>
        </w:rPr>
        <w:t xml:space="preserve"> indicated that the </w:t>
      </w:r>
      <w:r w:rsidR="000700AC" w:rsidRPr="007334C5">
        <w:rPr>
          <w:rFonts w:cstheme="minorHAnsi"/>
          <w:sz w:val="20"/>
          <w:szCs w:val="20"/>
        </w:rPr>
        <w:t>Basin Pipe Project</w:t>
      </w:r>
      <w:r w:rsidRPr="007334C5">
        <w:rPr>
          <w:rFonts w:cstheme="minorHAnsi"/>
          <w:sz w:val="20"/>
          <w:szCs w:val="20"/>
        </w:rPr>
        <w:t xml:space="preserve"> adheres to requirements of the DoI Procurement Policy and Procedures. </w:t>
      </w:r>
      <w:r w:rsidR="005818D6" w:rsidRPr="007334C5">
        <w:rPr>
          <w:rFonts w:cstheme="minorHAnsi"/>
          <w:sz w:val="20"/>
          <w:szCs w:val="20"/>
        </w:rPr>
        <w:t>Some k</w:t>
      </w:r>
      <w:r w:rsidRPr="007334C5">
        <w:rPr>
          <w:rFonts w:cstheme="minorHAnsi"/>
          <w:sz w:val="20"/>
          <w:szCs w:val="20"/>
        </w:rPr>
        <w:t xml:space="preserve">ey procurement processes and controls </w:t>
      </w:r>
      <w:r w:rsidR="002D7E1C" w:rsidRPr="007334C5">
        <w:rPr>
          <w:rFonts w:cstheme="minorHAnsi"/>
          <w:sz w:val="20"/>
          <w:szCs w:val="20"/>
        </w:rPr>
        <w:t xml:space="preserve">noted </w:t>
      </w:r>
      <w:r w:rsidRPr="007334C5">
        <w:rPr>
          <w:rFonts w:cstheme="minorHAnsi"/>
          <w:sz w:val="20"/>
          <w:szCs w:val="20"/>
        </w:rPr>
        <w:t>include:</w:t>
      </w:r>
    </w:p>
    <w:p w:rsidR="005818D6" w:rsidRPr="007334C5" w:rsidRDefault="005818D6" w:rsidP="005818D6">
      <w:pPr>
        <w:pStyle w:val="Default"/>
        <w:numPr>
          <w:ilvl w:val="0"/>
          <w:numId w:val="23"/>
        </w:numPr>
        <w:rPr>
          <w:rFonts w:asciiTheme="minorHAnsi" w:hAnsiTheme="minorHAnsi" w:cstheme="minorHAnsi"/>
          <w:color w:val="auto"/>
          <w:sz w:val="20"/>
          <w:szCs w:val="20"/>
        </w:rPr>
      </w:pPr>
      <w:r w:rsidRPr="007334C5">
        <w:rPr>
          <w:rFonts w:asciiTheme="minorHAnsi" w:hAnsiTheme="minorHAnsi" w:cstheme="minorHAnsi"/>
          <w:color w:val="auto"/>
          <w:sz w:val="20"/>
          <w:szCs w:val="20"/>
        </w:rPr>
        <w:t>At least one quote is required for procurements valued below $30,000 (ex GST).</w:t>
      </w:r>
    </w:p>
    <w:p w:rsidR="005818D6" w:rsidRPr="007334C5" w:rsidRDefault="005818D6" w:rsidP="0031631F">
      <w:pPr>
        <w:pStyle w:val="Default"/>
        <w:numPr>
          <w:ilvl w:val="0"/>
          <w:numId w:val="23"/>
        </w:numPr>
        <w:spacing w:after="5"/>
        <w:rPr>
          <w:rFonts w:asciiTheme="minorHAnsi" w:hAnsiTheme="minorHAnsi" w:cstheme="minorHAnsi"/>
          <w:color w:val="auto"/>
          <w:sz w:val="20"/>
          <w:szCs w:val="20"/>
        </w:rPr>
      </w:pPr>
      <w:r w:rsidRPr="007334C5">
        <w:rPr>
          <w:rFonts w:asciiTheme="minorHAnsi" w:hAnsiTheme="minorHAnsi" w:cstheme="minorHAnsi"/>
          <w:color w:val="auto"/>
          <w:sz w:val="20"/>
          <w:szCs w:val="20"/>
        </w:rPr>
        <w:t xml:space="preserve">At </w:t>
      </w:r>
      <w:r w:rsidR="002C7645" w:rsidRPr="007334C5">
        <w:rPr>
          <w:rFonts w:asciiTheme="minorHAnsi" w:hAnsiTheme="minorHAnsi" w:cstheme="minorHAnsi"/>
          <w:color w:val="auto"/>
          <w:sz w:val="20"/>
          <w:szCs w:val="20"/>
        </w:rPr>
        <w:t xml:space="preserve">least </w:t>
      </w:r>
      <w:r w:rsidRPr="007334C5">
        <w:rPr>
          <w:rFonts w:asciiTheme="minorHAnsi" w:hAnsiTheme="minorHAnsi" w:cstheme="minorHAnsi"/>
          <w:color w:val="auto"/>
          <w:sz w:val="20"/>
          <w:szCs w:val="20"/>
        </w:rPr>
        <w:t xml:space="preserve">three quotes and </w:t>
      </w:r>
      <w:r w:rsidR="0086355D" w:rsidRPr="007334C5">
        <w:rPr>
          <w:rFonts w:asciiTheme="minorHAnsi" w:hAnsiTheme="minorHAnsi" w:cstheme="minorHAnsi"/>
          <w:color w:val="auto"/>
          <w:sz w:val="20"/>
          <w:szCs w:val="20"/>
        </w:rPr>
        <w:t xml:space="preserve">a </w:t>
      </w:r>
      <w:r w:rsidRPr="007334C5">
        <w:rPr>
          <w:rFonts w:asciiTheme="minorHAnsi" w:hAnsiTheme="minorHAnsi" w:cstheme="minorHAnsi"/>
          <w:color w:val="auto"/>
          <w:sz w:val="20"/>
          <w:szCs w:val="20"/>
        </w:rPr>
        <w:t xml:space="preserve">simple evaluation plan </w:t>
      </w:r>
      <w:r w:rsidR="00770B84" w:rsidRPr="007334C5">
        <w:rPr>
          <w:rFonts w:asciiTheme="minorHAnsi" w:hAnsiTheme="minorHAnsi" w:cstheme="minorHAnsi"/>
          <w:color w:val="auto"/>
          <w:sz w:val="20"/>
          <w:szCs w:val="20"/>
        </w:rPr>
        <w:t>are</w:t>
      </w:r>
      <w:r w:rsidR="002C7645" w:rsidRPr="007334C5">
        <w:rPr>
          <w:rFonts w:asciiTheme="minorHAnsi" w:hAnsiTheme="minorHAnsi" w:cstheme="minorHAnsi"/>
          <w:color w:val="auto"/>
          <w:sz w:val="20"/>
          <w:szCs w:val="20"/>
        </w:rPr>
        <w:t xml:space="preserve"> required </w:t>
      </w:r>
      <w:r w:rsidRPr="007334C5">
        <w:rPr>
          <w:rFonts w:asciiTheme="minorHAnsi" w:hAnsiTheme="minorHAnsi" w:cstheme="minorHAnsi"/>
          <w:color w:val="auto"/>
          <w:sz w:val="20"/>
          <w:szCs w:val="20"/>
        </w:rPr>
        <w:t>for procurements valued between $30,000 (ex GST) and $150,000 (ex GST).</w:t>
      </w:r>
    </w:p>
    <w:p w:rsidR="002C7645" w:rsidRPr="007334C5" w:rsidRDefault="005818D6" w:rsidP="0031631F">
      <w:pPr>
        <w:pStyle w:val="Default"/>
        <w:numPr>
          <w:ilvl w:val="0"/>
          <w:numId w:val="23"/>
        </w:numPr>
        <w:spacing w:after="5"/>
        <w:rPr>
          <w:rFonts w:asciiTheme="minorHAnsi" w:hAnsiTheme="minorHAnsi" w:cstheme="minorHAnsi"/>
          <w:color w:val="auto"/>
          <w:sz w:val="20"/>
          <w:szCs w:val="20"/>
        </w:rPr>
      </w:pPr>
      <w:r w:rsidRPr="007334C5">
        <w:rPr>
          <w:rFonts w:asciiTheme="minorHAnsi" w:hAnsiTheme="minorHAnsi" w:cstheme="minorHAnsi"/>
          <w:color w:val="auto"/>
          <w:sz w:val="20"/>
          <w:szCs w:val="20"/>
        </w:rPr>
        <w:t xml:space="preserve">All procurements valued over $150,000 (ex GST) require a procurement strategy endorsed by the </w:t>
      </w:r>
      <w:r w:rsidR="0086355D" w:rsidRPr="007334C5">
        <w:rPr>
          <w:rFonts w:asciiTheme="minorHAnsi" w:hAnsiTheme="minorHAnsi" w:cstheme="minorHAnsi"/>
          <w:color w:val="auto"/>
          <w:sz w:val="20"/>
          <w:szCs w:val="20"/>
        </w:rPr>
        <w:t>C</w:t>
      </w:r>
      <w:r w:rsidRPr="007334C5">
        <w:rPr>
          <w:rFonts w:asciiTheme="minorHAnsi" w:hAnsiTheme="minorHAnsi" w:cstheme="minorHAnsi"/>
          <w:color w:val="auto"/>
          <w:sz w:val="20"/>
          <w:szCs w:val="20"/>
        </w:rPr>
        <w:t xml:space="preserve">hief </w:t>
      </w:r>
      <w:r w:rsidR="0086355D" w:rsidRPr="007334C5">
        <w:rPr>
          <w:rFonts w:asciiTheme="minorHAnsi" w:hAnsiTheme="minorHAnsi" w:cstheme="minorHAnsi"/>
          <w:color w:val="auto"/>
          <w:sz w:val="20"/>
          <w:szCs w:val="20"/>
        </w:rPr>
        <w:t>P</w:t>
      </w:r>
      <w:r w:rsidRPr="007334C5">
        <w:rPr>
          <w:rFonts w:asciiTheme="minorHAnsi" w:hAnsiTheme="minorHAnsi" w:cstheme="minorHAnsi"/>
          <w:color w:val="auto"/>
          <w:sz w:val="20"/>
          <w:szCs w:val="20"/>
        </w:rPr>
        <w:t xml:space="preserve">rocurement </w:t>
      </w:r>
      <w:r w:rsidR="0086355D" w:rsidRPr="007334C5">
        <w:rPr>
          <w:rFonts w:asciiTheme="minorHAnsi" w:hAnsiTheme="minorHAnsi" w:cstheme="minorHAnsi"/>
          <w:color w:val="auto"/>
          <w:sz w:val="20"/>
          <w:szCs w:val="20"/>
        </w:rPr>
        <w:t>O</w:t>
      </w:r>
      <w:r w:rsidRPr="007334C5">
        <w:rPr>
          <w:rFonts w:asciiTheme="minorHAnsi" w:hAnsiTheme="minorHAnsi" w:cstheme="minorHAnsi"/>
          <w:color w:val="auto"/>
          <w:sz w:val="20"/>
          <w:szCs w:val="20"/>
        </w:rPr>
        <w:t xml:space="preserve">fficer, </w:t>
      </w:r>
      <w:r w:rsidR="002C7645" w:rsidRPr="007334C5">
        <w:rPr>
          <w:rFonts w:asciiTheme="minorHAnsi" w:hAnsiTheme="minorHAnsi" w:cstheme="minorHAnsi"/>
          <w:color w:val="auto"/>
          <w:sz w:val="20"/>
          <w:szCs w:val="20"/>
        </w:rPr>
        <w:t>a tender e</w:t>
      </w:r>
      <w:r w:rsidRPr="007334C5">
        <w:rPr>
          <w:rFonts w:asciiTheme="minorHAnsi" w:hAnsiTheme="minorHAnsi" w:cstheme="minorHAnsi"/>
          <w:color w:val="auto"/>
          <w:sz w:val="20"/>
          <w:szCs w:val="20"/>
        </w:rPr>
        <w:t xml:space="preserve">valuation </w:t>
      </w:r>
      <w:r w:rsidR="002C7645" w:rsidRPr="007334C5">
        <w:rPr>
          <w:rFonts w:asciiTheme="minorHAnsi" w:hAnsiTheme="minorHAnsi" w:cstheme="minorHAnsi"/>
          <w:color w:val="auto"/>
          <w:sz w:val="20"/>
          <w:szCs w:val="20"/>
        </w:rPr>
        <w:t>plan and r</w:t>
      </w:r>
      <w:r w:rsidRPr="007334C5">
        <w:rPr>
          <w:rFonts w:asciiTheme="minorHAnsi" w:hAnsiTheme="minorHAnsi" w:cstheme="minorHAnsi"/>
          <w:color w:val="auto"/>
          <w:sz w:val="20"/>
          <w:szCs w:val="20"/>
        </w:rPr>
        <w:t>eport</w:t>
      </w:r>
      <w:r w:rsidR="002C7645" w:rsidRPr="007334C5">
        <w:rPr>
          <w:rFonts w:asciiTheme="minorHAnsi" w:hAnsiTheme="minorHAnsi" w:cstheme="minorHAnsi"/>
          <w:color w:val="auto"/>
          <w:sz w:val="20"/>
          <w:szCs w:val="20"/>
        </w:rPr>
        <w:t>,</w:t>
      </w:r>
      <w:r w:rsidRPr="007334C5">
        <w:rPr>
          <w:rFonts w:asciiTheme="minorHAnsi" w:hAnsiTheme="minorHAnsi" w:cstheme="minorHAnsi"/>
          <w:color w:val="auto"/>
          <w:sz w:val="20"/>
          <w:szCs w:val="20"/>
        </w:rPr>
        <w:t xml:space="preserve"> and a minimum of </w:t>
      </w:r>
      <w:r w:rsidR="0086355D" w:rsidRPr="007334C5">
        <w:rPr>
          <w:rFonts w:asciiTheme="minorHAnsi" w:hAnsiTheme="minorHAnsi" w:cstheme="minorHAnsi"/>
          <w:color w:val="auto"/>
          <w:sz w:val="20"/>
          <w:szCs w:val="20"/>
        </w:rPr>
        <w:t>three</w:t>
      </w:r>
      <w:r w:rsidRPr="007334C5">
        <w:rPr>
          <w:rFonts w:asciiTheme="minorHAnsi" w:hAnsiTheme="minorHAnsi" w:cstheme="minorHAnsi"/>
          <w:color w:val="auto"/>
          <w:sz w:val="20"/>
          <w:szCs w:val="20"/>
        </w:rPr>
        <w:t xml:space="preserve"> quotes if not </w:t>
      </w:r>
      <w:r w:rsidR="002D7E1C" w:rsidRPr="007334C5">
        <w:rPr>
          <w:rFonts w:asciiTheme="minorHAnsi" w:hAnsiTheme="minorHAnsi" w:cstheme="minorHAnsi"/>
          <w:color w:val="auto"/>
          <w:sz w:val="20"/>
          <w:szCs w:val="20"/>
        </w:rPr>
        <w:t xml:space="preserve">an </w:t>
      </w:r>
      <w:r w:rsidRPr="007334C5">
        <w:rPr>
          <w:rFonts w:asciiTheme="minorHAnsi" w:hAnsiTheme="minorHAnsi" w:cstheme="minorHAnsi"/>
          <w:color w:val="auto"/>
          <w:sz w:val="20"/>
          <w:szCs w:val="20"/>
        </w:rPr>
        <w:t>open tender.</w:t>
      </w:r>
    </w:p>
    <w:p w:rsidR="005818D6" w:rsidRPr="007334C5" w:rsidRDefault="002C7645" w:rsidP="0031631F">
      <w:pPr>
        <w:pStyle w:val="Default"/>
        <w:numPr>
          <w:ilvl w:val="0"/>
          <w:numId w:val="23"/>
        </w:numPr>
        <w:spacing w:after="5"/>
        <w:rPr>
          <w:rFonts w:asciiTheme="minorHAnsi" w:hAnsiTheme="minorHAnsi" w:cstheme="minorHAnsi"/>
          <w:color w:val="auto"/>
          <w:sz w:val="20"/>
          <w:szCs w:val="20"/>
        </w:rPr>
      </w:pPr>
      <w:r w:rsidRPr="007334C5">
        <w:rPr>
          <w:rFonts w:asciiTheme="minorHAnsi" w:hAnsiTheme="minorHAnsi" w:cstheme="minorHAnsi"/>
          <w:color w:val="auto"/>
          <w:sz w:val="20"/>
          <w:szCs w:val="20"/>
        </w:rPr>
        <w:t>For construction contracts</w:t>
      </w:r>
      <w:r w:rsidR="0086355D" w:rsidRPr="007334C5">
        <w:rPr>
          <w:rFonts w:asciiTheme="minorHAnsi" w:hAnsiTheme="minorHAnsi" w:cstheme="minorHAnsi"/>
          <w:color w:val="auto"/>
          <w:sz w:val="20"/>
          <w:szCs w:val="20"/>
        </w:rPr>
        <w:t>,</w:t>
      </w:r>
      <w:r w:rsidRPr="007334C5">
        <w:rPr>
          <w:rFonts w:asciiTheme="minorHAnsi" w:hAnsiTheme="minorHAnsi" w:cstheme="minorHAnsi"/>
          <w:color w:val="auto"/>
          <w:sz w:val="20"/>
          <w:szCs w:val="20"/>
        </w:rPr>
        <w:t xml:space="preserve"> DoI Water establish</w:t>
      </w:r>
      <w:r w:rsidR="005818D6" w:rsidRPr="007334C5">
        <w:rPr>
          <w:rFonts w:asciiTheme="minorHAnsi" w:hAnsiTheme="minorHAnsi" w:cstheme="minorHAnsi"/>
          <w:color w:val="auto"/>
          <w:sz w:val="20"/>
          <w:szCs w:val="20"/>
        </w:rPr>
        <w:t xml:space="preserve"> </w:t>
      </w:r>
      <w:r w:rsidRPr="007334C5">
        <w:rPr>
          <w:rFonts w:asciiTheme="minorHAnsi" w:hAnsiTheme="minorHAnsi" w:cstheme="minorHAnsi"/>
          <w:color w:val="auto"/>
          <w:sz w:val="20"/>
          <w:szCs w:val="20"/>
        </w:rPr>
        <w:t xml:space="preserve">a </w:t>
      </w:r>
      <w:r w:rsidR="0086355D" w:rsidRPr="007334C5">
        <w:rPr>
          <w:rFonts w:asciiTheme="minorHAnsi" w:hAnsiTheme="minorHAnsi" w:cstheme="minorHAnsi"/>
          <w:color w:val="auto"/>
          <w:sz w:val="20"/>
          <w:szCs w:val="20"/>
        </w:rPr>
        <w:t>T</w:t>
      </w:r>
      <w:r w:rsidRPr="007334C5">
        <w:rPr>
          <w:rFonts w:asciiTheme="minorHAnsi" w:hAnsiTheme="minorHAnsi" w:cstheme="minorHAnsi"/>
          <w:color w:val="auto"/>
          <w:sz w:val="20"/>
          <w:szCs w:val="20"/>
        </w:rPr>
        <w:t xml:space="preserve">ender </w:t>
      </w:r>
      <w:r w:rsidR="0086355D" w:rsidRPr="007334C5">
        <w:rPr>
          <w:rFonts w:asciiTheme="minorHAnsi" w:hAnsiTheme="minorHAnsi" w:cstheme="minorHAnsi"/>
          <w:color w:val="auto"/>
          <w:sz w:val="20"/>
          <w:szCs w:val="20"/>
        </w:rPr>
        <w:t>E</w:t>
      </w:r>
      <w:r w:rsidRPr="007334C5">
        <w:rPr>
          <w:rFonts w:asciiTheme="minorHAnsi" w:hAnsiTheme="minorHAnsi" w:cstheme="minorHAnsi"/>
          <w:color w:val="auto"/>
          <w:sz w:val="20"/>
          <w:szCs w:val="20"/>
        </w:rPr>
        <w:t xml:space="preserve">valuation </w:t>
      </w:r>
      <w:r w:rsidR="0086355D" w:rsidRPr="007334C5">
        <w:rPr>
          <w:rFonts w:asciiTheme="minorHAnsi" w:hAnsiTheme="minorHAnsi" w:cstheme="minorHAnsi"/>
          <w:color w:val="auto"/>
          <w:sz w:val="20"/>
          <w:szCs w:val="20"/>
        </w:rPr>
        <w:t>C</w:t>
      </w:r>
      <w:r w:rsidRPr="007334C5">
        <w:rPr>
          <w:rFonts w:asciiTheme="minorHAnsi" w:hAnsiTheme="minorHAnsi" w:cstheme="minorHAnsi"/>
          <w:color w:val="auto"/>
          <w:sz w:val="20"/>
          <w:szCs w:val="20"/>
        </w:rPr>
        <w:t>ommittee with suitably qualified staff from across D</w:t>
      </w:r>
      <w:r w:rsidR="002D7E1C" w:rsidRPr="007334C5">
        <w:rPr>
          <w:rFonts w:asciiTheme="minorHAnsi" w:hAnsiTheme="minorHAnsi" w:cstheme="minorHAnsi"/>
          <w:color w:val="auto"/>
          <w:sz w:val="20"/>
          <w:szCs w:val="20"/>
        </w:rPr>
        <w:t>o</w:t>
      </w:r>
      <w:r w:rsidRPr="007334C5">
        <w:rPr>
          <w:rFonts w:asciiTheme="minorHAnsi" w:hAnsiTheme="minorHAnsi" w:cstheme="minorHAnsi"/>
          <w:color w:val="auto"/>
          <w:sz w:val="20"/>
          <w:szCs w:val="20"/>
        </w:rPr>
        <w:t xml:space="preserve">I. </w:t>
      </w:r>
    </w:p>
    <w:p w:rsidR="002C7645" w:rsidRPr="007334C5" w:rsidRDefault="00BA22F0" w:rsidP="0031631F">
      <w:pPr>
        <w:pStyle w:val="Default"/>
        <w:numPr>
          <w:ilvl w:val="0"/>
          <w:numId w:val="23"/>
        </w:numPr>
        <w:spacing w:after="5"/>
        <w:rPr>
          <w:rFonts w:asciiTheme="minorHAnsi" w:hAnsiTheme="minorHAnsi" w:cstheme="minorHAnsi"/>
          <w:color w:val="auto"/>
          <w:sz w:val="20"/>
          <w:szCs w:val="20"/>
        </w:rPr>
      </w:pPr>
      <w:r w:rsidRPr="007334C5">
        <w:rPr>
          <w:rFonts w:asciiTheme="minorHAnsi" w:hAnsiTheme="minorHAnsi" w:cstheme="minorHAnsi"/>
          <w:color w:val="auto"/>
          <w:sz w:val="20"/>
          <w:szCs w:val="20"/>
        </w:rPr>
        <w:t>Procurement recommendations and c</w:t>
      </w:r>
      <w:r w:rsidR="002C7645" w:rsidRPr="007334C5">
        <w:rPr>
          <w:rFonts w:asciiTheme="minorHAnsi" w:hAnsiTheme="minorHAnsi" w:cstheme="minorHAnsi"/>
          <w:color w:val="auto"/>
          <w:sz w:val="20"/>
          <w:szCs w:val="20"/>
        </w:rPr>
        <w:t xml:space="preserve">ontracts must be executed in accordance with DoI financial delegations. </w:t>
      </w:r>
    </w:p>
    <w:p w:rsidR="00BA22F0" w:rsidRPr="007334C5" w:rsidRDefault="00E620E1" w:rsidP="0046219A">
      <w:pPr>
        <w:spacing w:before="120" w:after="120" w:line="240" w:lineRule="auto"/>
        <w:rPr>
          <w:rFonts w:cstheme="minorHAnsi"/>
          <w:sz w:val="20"/>
          <w:szCs w:val="20"/>
        </w:rPr>
      </w:pPr>
      <w:r w:rsidRPr="007334C5">
        <w:rPr>
          <w:rFonts w:cstheme="minorHAnsi"/>
          <w:sz w:val="20"/>
          <w:szCs w:val="20"/>
        </w:rPr>
        <w:t>DoI Water</w:t>
      </w:r>
      <w:r w:rsidR="002C7645" w:rsidRPr="007334C5">
        <w:rPr>
          <w:rFonts w:cstheme="minorHAnsi"/>
          <w:sz w:val="20"/>
          <w:szCs w:val="20"/>
        </w:rPr>
        <w:t xml:space="preserve"> have also established a dedicated </w:t>
      </w:r>
      <w:r w:rsidR="0086355D" w:rsidRPr="007334C5">
        <w:rPr>
          <w:rFonts w:cstheme="minorHAnsi"/>
          <w:sz w:val="20"/>
          <w:szCs w:val="20"/>
        </w:rPr>
        <w:t>P</w:t>
      </w:r>
      <w:r w:rsidR="002C7645" w:rsidRPr="007334C5">
        <w:rPr>
          <w:rFonts w:cstheme="minorHAnsi"/>
          <w:sz w:val="20"/>
          <w:szCs w:val="20"/>
        </w:rPr>
        <w:t xml:space="preserve">rocurement </w:t>
      </w:r>
      <w:r w:rsidR="0086355D" w:rsidRPr="007334C5">
        <w:rPr>
          <w:rFonts w:cstheme="minorHAnsi"/>
          <w:sz w:val="20"/>
          <w:szCs w:val="20"/>
        </w:rPr>
        <w:t>O</w:t>
      </w:r>
      <w:r w:rsidR="002C7645" w:rsidRPr="007334C5">
        <w:rPr>
          <w:rFonts w:cstheme="minorHAnsi"/>
          <w:sz w:val="20"/>
          <w:szCs w:val="20"/>
        </w:rPr>
        <w:t>fficer to co-ordinate and oversee all Basin Pipe procurement activity. This includes reviewing tender documentation and related procurement documents.</w:t>
      </w:r>
    </w:p>
    <w:p w:rsidR="002C7645" w:rsidRPr="007334C5" w:rsidRDefault="00BA22F0">
      <w:pPr>
        <w:spacing w:before="120" w:after="120" w:line="240" w:lineRule="auto"/>
        <w:rPr>
          <w:rFonts w:cstheme="minorHAnsi"/>
          <w:sz w:val="20"/>
          <w:szCs w:val="20"/>
        </w:rPr>
      </w:pPr>
      <w:r w:rsidRPr="007334C5">
        <w:rPr>
          <w:rFonts w:cstheme="minorHAnsi"/>
          <w:sz w:val="20"/>
          <w:szCs w:val="20"/>
        </w:rPr>
        <w:t>KPMG undertook sample testing focusing on procurements related to</w:t>
      </w:r>
      <w:r w:rsidR="002C7645" w:rsidRPr="007334C5">
        <w:rPr>
          <w:rFonts w:cstheme="minorHAnsi"/>
          <w:sz w:val="20"/>
          <w:szCs w:val="20"/>
        </w:rPr>
        <w:t xml:space="preserve"> </w:t>
      </w:r>
      <w:r w:rsidRPr="007334C5">
        <w:rPr>
          <w:rFonts w:cstheme="minorHAnsi"/>
          <w:sz w:val="20"/>
          <w:szCs w:val="20"/>
        </w:rPr>
        <w:t>REF/ACHA, construction and contract supervision for the sample of schemes selected. While an extensive review of all procurement and contract management activities was not undertaken, KPMG made the following observations:</w:t>
      </w:r>
    </w:p>
    <w:p w:rsidR="00BA22F0" w:rsidRPr="007334C5" w:rsidRDefault="00BA22F0" w:rsidP="00BA22F0">
      <w:pPr>
        <w:pStyle w:val="ListParagraph"/>
        <w:numPr>
          <w:ilvl w:val="0"/>
          <w:numId w:val="24"/>
        </w:numPr>
        <w:spacing w:before="120" w:after="120" w:line="240" w:lineRule="auto"/>
        <w:rPr>
          <w:rFonts w:cstheme="minorHAnsi"/>
          <w:sz w:val="20"/>
          <w:szCs w:val="20"/>
        </w:rPr>
      </w:pPr>
      <w:r w:rsidRPr="007334C5">
        <w:rPr>
          <w:rFonts w:cstheme="minorHAnsi"/>
          <w:sz w:val="20"/>
          <w:szCs w:val="20"/>
        </w:rPr>
        <w:t xml:space="preserve">All contracts sighted were appropriately executed prior to payment being made. </w:t>
      </w:r>
    </w:p>
    <w:p w:rsidR="00BA22F0" w:rsidRPr="007334C5" w:rsidRDefault="00BA22F0" w:rsidP="00BA22F0">
      <w:pPr>
        <w:pStyle w:val="ListParagraph"/>
        <w:numPr>
          <w:ilvl w:val="0"/>
          <w:numId w:val="24"/>
        </w:numPr>
        <w:spacing w:before="120" w:after="120" w:line="240" w:lineRule="auto"/>
        <w:rPr>
          <w:rFonts w:cstheme="minorHAnsi"/>
          <w:sz w:val="20"/>
          <w:szCs w:val="20"/>
        </w:rPr>
      </w:pPr>
      <w:r w:rsidRPr="007334C5">
        <w:rPr>
          <w:rFonts w:cstheme="minorHAnsi"/>
          <w:sz w:val="20"/>
          <w:szCs w:val="20"/>
        </w:rPr>
        <w:t xml:space="preserve">Where required, all procurement strategies and tender evaluation reports were completed in accordance </w:t>
      </w:r>
      <w:r w:rsidR="008E0084" w:rsidRPr="007334C5">
        <w:rPr>
          <w:rFonts w:cstheme="minorHAnsi"/>
          <w:sz w:val="20"/>
          <w:szCs w:val="20"/>
        </w:rPr>
        <w:t xml:space="preserve">with </w:t>
      </w:r>
      <w:r w:rsidRPr="007334C5">
        <w:rPr>
          <w:rFonts w:cstheme="minorHAnsi"/>
          <w:sz w:val="20"/>
          <w:szCs w:val="20"/>
        </w:rPr>
        <w:t>procurement policy.</w:t>
      </w:r>
    </w:p>
    <w:p w:rsidR="00BA22F0" w:rsidRPr="007334C5" w:rsidRDefault="00BA22F0" w:rsidP="00BA22F0">
      <w:pPr>
        <w:pStyle w:val="ListParagraph"/>
        <w:numPr>
          <w:ilvl w:val="0"/>
          <w:numId w:val="24"/>
        </w:numPr>
        <w:spacing w:before="120" w:after="120" w:line="240" w:lineRule="auto"/>
        <w:rPr>
          <w:rFonts w:cstheme="minorHAnsi"/>
          <w:sz w:val="20"/>
          <w:szCs w:val="20"/>
        </w:rPr>
      </w:pPr>
      <w:r w:rsidRPr="007334C5">
        <w:rPr>
          <w:rFonts w:cstheme="minorHAnsi"/>
          <w:sz w:val="20"/>
          <w:szCs w:val="20"/>
        </w:rPr>
        <w:t>As noted earlier in the report, two instances were identified where the tender assessment</w:t>
      </w:r>
      <w:r w:rsidR="00770B84" w:rsidRPr="007334C5">
        <w:rPr>
          <w:rFonts w:cstheme="minorHAnsi"/>
          <w:sz w:val="20"/>
          <w:szCs w:val="20"/>
        </w:rPr>
        <w:t xml:space="preserve"> </w:t>
      </w:r>
      <w:r w:rsidRPr="007334C5">
        <w:rPr>
          <w:rFonts w:cstheme="minorHAnsi"/>
          <w:sz w:val="20"/>
          <w:szCs w:val="20"/>
        </w:rPr>
        <w:t>/</w:t>
      </w:r>
      <w:r w:rsidR="009152C2" w:rsidRPr="007334C5">
        <w:rPr>
          <w:rFonts w:cstheme="minorHAnsi"/>
          <w:sz w:val="20"/>
          <w:szCs w:val="20"/>
        </w:rPr>
        <w:t xml:space="preserve"> </w:t>
      </w:r>
      <w:r w:rsidRPr="007334C5">
        <w:rPr>
          <w:rFonts w:cstheme="minorHAnsi"/>
          <w:sz w:val="20"/>
          <w:szCs w:val="20"/>
        </w:rPr>
        <w:t xml:space="preserve">recommendation could not be sighted. Both procurements were valued </w:t>
      </w:r>
      <w:r w:rsidR="008E0084" w:rsidRPr="007334C5">
        <w:rPr>
          <w:rFonts w:cstheme="minorHAnsi"/>
          <w:sz w:val="20"/>
          <w:szCs w:val="20"/>
        </w:rPr>
        <w:t xml:space="preserve">at </w:t>
      </w:r>
      <w:r w:rsidRPr="007334C5">
        <w:rPr>
          <w:rFonts w:cstheme="minorHAnsi"/>
          <w:sz w:val="20"/>
          <w:szCs w:val="20"/>
        </w:rPr>
        <w:t>less than $150,000.</w:t>
      </w:r>
    </w:p>
    <w:p w:rsidR="00BA22F0" w:rsidRPr="007334C5" w:rsidRDefault="00E620E1" w:rsidP="00BA22F0">
      <w:pPr>
        <w:spacing w:before="120" w:after="120" w:line="240" w:lineRule="auto"/>
        <w:rPr>
          <w:rFonts w:cstheme="minorHAnsi"/>
          <w:sz w:val="20"/>
          <w:szCs w:val="20"/>
        </w:rPr>
      </w:pPr>
      <w:r w:rsidRPr="007334C5">
        <w:rPr>
          <w:rFonts w:cstheme="minorHAnsi"/>
          <w:sz w:val="20"/>
          <w:szCs w:val="20"/>
        </w:rPr>
        <w:t>DoI Water</w:t>
      </w:r>
      <w:r w:rsidR="00BA22F0" w:rsidRPr="007334C5">
        <w:rPr>
          <w:rFonts w:cstheme="minorHAnsi"/>
          <w:sz w:val="20"/>
          <w:szCs w:val="20"/>
        </w:rPr>
        <w:t xml:space="preserve"> appear to have implemented strong procurement practices, with some improvements to document management noted (refer to Section 4.3). </w:t>
      </w:r>
    </w:p>
    <w:p w:rsidR="00F2051D" w:rsidRPr="007334C5" w:rsidRDefault="00F2051D" w:rsidP="00F2051D">
      <w:pPr>
        <w:pStyle w:val="Heading3"/>
        <w:spacing w:before="120"/>
        <w:rPr>
          <w:rFonts w:asciiTheme="minorHAnsi" w:hAnsiTheme="minorHAnsi" w:cstheme="minorHAnsi"/>
          <w:sz w:val="20"/>
          <w:szCs w:val="20"/>
        </w:rPr>
      </w:pPr>
      <w:r w:rsidRPr="007334C5">
        <w:rPr>
          <w:rFonts w:asciiTheme="minorHAnsi" w:hAnsiTheme="minorHAnsi" w:cstheme="minorHAnsi"/>
          <w:sz w:val="20"/>
          <w:szCs w:val="20"/>
        </w:rPr>
        <w:t xml:space="preserve">Contract </w:t>
      </w:r>
      <w:r w:rsidR="00D07FA4" w:rsidRPr="007334C5">
        <w:rPr>
          <w:rFonts w:asciiTheme="minorHAnsi" w:hAnsiTheme="minorHAnsi" w:cstheme="minorHAnsi"/>
          <w:sz w:val="20"/>
          <w:szCs w:val="20"/>
        </w:rPr>
        <w:t>s</w:t>
      </w:r>
      <w:r w:rsidR="00E15369" w:rsidRPr="007334C5">
        <w:rPr>
          <w:rFonts w:asciiTheme="minorHAnsi" w:hAnsiTheme="minorHAnsi" w:cstheme="minorHAnsi"/>
          <w:sz w:val="20"/>
          <w:szCs w:val="20"/>
        </w:rPr>
        <w:t xml:space="preserve">upervision </w:t>
      </w:r>
    </w:p>
    <w:p w:rsidR="00E15369" w:rsidRPr="007334C5" w:rsidRDefault="002D7E1C" w:rsidP="00576A25">
      <w:pPr>
        <w:spacing w:before="120" w:after="120" w:line="240" w:lineRule="auto"/>
        <w:rPr>
          <w:rFonts w:cstheme="minorHAnsi"/>
          <w:sz w:val="20"/>
          <w:szCs w:val="20"/>
        </w:rPr>
      </w:pPr>
      <w:r w:rsidRPr="007334C5">
        <w:rPr>
          <w:rFonts w:cstheme="minorHAnsi"/>
          <w:sz w:val="20"/>
          <w:szCs w:val="20"/>
        </w:rPr>
        <w:t>Contract supervisors play</w:t>
      </w:r>
      <w:r w:rsidR="00E15369" w:rsidRPr="007334C5">
        <w:rPr>
          <w:rFonts w:cstheme="minorHAnsi"/>
          <w:sz w:val="20"/>
          <w:szCs w:val="20"/>
        </w:rPr>
        <w:t xml:space="preserve"> an important role in managing and monitoring the progress of construction. Contract supervisors </w:t>
      </w:r>
      <w:r w:rsidRPr="007334C5">
        <w:rPr>
          <w:rFonts w:cstheme="minorHAnsi"/>
          <w:sz w:val="20"/>
          <w:szCs w:val="20"/>
        </w:rPr>
        <w:t>are</w:t>
      </w:r>
      <w:r w:rsidR="00E15369" w:rsidRPr="007334C5">
        <w:rPr>
          <w:rFonts w:cstheme="minorHAnsi"/>
          <w:sz w:val="20"/>
          <w:szCs w:val="20"/>
        </w:rPr>
        <w:t xml:space="preserve"> involved in key aspects of the administration of construction contracts, including requesting and reviewing management plans and attending </w:t>
      </w:r>
      <w:r w:rsidR="009908A8" w:rsidRPr="007334C5">
        <w:rPr>
          <w:rFonts w:cstheme="minorHAnsi"/>
          <w:sz w:val="20"/>
          <w:szCs w:val="20"/>
        </w:rPr>
        <w:t xml:space="preserve">construction </w:t>
      </w:r>
      <w:r w:rsidR="00E15369" w:rsidRPr="007334C5">
        <w:rPr>
          <w:rFonts w:cstheme="minorHAnsi"/>
          <w:sz w:val="20"/>
          <w:szCs w:val="20"/>
        </w:rPr>
        <w:t xml:space="preserve">start-up consultations. Importantly, contract supervisors also </w:t>
      </w:r>
      <w:r w:rsidRPr="007334C5">
        <w:rPr>
          <w:rFonts w:cstheme="minorHAnsi"/>
          <w:sz w:val="20"/>
          <w:szCs w:val="20"/>
        </w:rPr>
        <w:t>undertake</w:t>
      </w:r>
      <w:r w:rsidR="00E15369" w:rsidRPr="007334C5">
        <w:rPr>
          <w:rFonts w:cstheme="minorHAnsi"/>
          <w:sz w:val="20"/>
          <w:szCs w:val="20"/>
        </w:rPr>
        <w:t xml:space="preserve"> </w:t>
      </w:r>
      <w:r w:rsidR="009908A8" w:rsidRPr="007334C5">
        <w:rPr>
          <w:rFonts w:cstheme="minorHAnsi"/>
          <w:sz w:val="20"/>
          <w:szCs w:val="20"/>
        </w:rPr>
        <w:t>regular site</w:t>
      </w:r>
      <w:r w:rsidR="00E15369" w:rsidRPr="007334C5">
        <w:rPr>
          <w:rFonts w:cstheme="minorHAnsi"/>
          <w:sz w:val="20"/>
          <w:szCs w:val="20"/>
        </w:rPr>
        <w:t xml:space="preserve"> inspections to monitor the </w:t>
      </w:r>
      <w:r w:rsidR="0044719A" w:rsidRPr="007334C5">
        <w:rPr>
          <w:rFonts w:cstheme="minorHAnsi"/>
          <w:sz w:val="20"/>
          <w:szCs w:val="20"/>
        </w:rPr>
        <w:t>contractor</w:t>
      </w:r>
      <w:r w:rsidR="00770B84" w:rsidRPr="007334C5">
        <w:rPr>
          <w:rFonts w:cstheme="minorHAnsi"/>
          <w:sz w:val="20"/>
          <w:szCs w:val="20"/>
        </w:rPr>
        <w:t>’</w:t>
      </w:r>
      <w:r w:rsidR="0044719A" w:rsidRPr="007334C5">
        <w:rPr>
          <w:rFonts w:cstheme="minorHAnsi"/>
          <w:sz w:val="20"/>
          <w:szCs w:val="20"/>
        </w:rPr>
        <w:t>s</w:t>
      </w:r>
      <w:r w:rsidR="00E15369" w:rsidRPr="007334C5">
        <w:rPr>
          <w:rFonts w:cstheme="minorHAnsi"/>
          <w:sz w:val="20"/>
          <w:szCs w:val="20"/>
        </w:rPr>
        <w:t xml:space="preserve"> compliance with the technical and commercial conditions of contract. All inspection reports </w:t>
      </w:r>
      <w:r w:rsidRPr="007334C5">
        <w:rPr>
          <w:rFonts w:cstheme="minorHAnsi"/>
          <w:sz w:val="20"/>
          <w:szCs w:val="20"/>
        </w:rPr>
        <w:t>are</w:t>
      </w:r>
      <w:r w:rsidR="00E15369" w:rsidRPr="007334C5">
        <w:rPr>
          <w:rFonts w:cstheme="minorHAnsi"/>
          <w:sz w:val="20"/>
          <w:szCs w:val="20"/>
        </w:rPr>
        <w:t xml:space="preserve"> provided to </w:t>
      </w:r>
      <w:r w:rsidR="00E620E1" w:rsidRPr="007334C5">
        <w:rPr>
          <w:rFonts w:cstheme="minorHAnsi"/>
          <w:sz w:val="20"/>
          <w:szCs w:val="20"/>
        </w:rPr>
        <w:t>DoI Water</w:t>
      </w:r>
      <w:r w:rsidR="00E15369" w:rsidRPr="007334C5">
        <w:rPr>
          <w:rFonts w:cstheme="minorHAnsi"/>
          <w:sz w:val="20"/>
          <w:szCs w:val="20"/>
        </w:rPr>
        <w:t xml:space="preserve"> for review. </w:t>
      </w:r>
    </w:p>
    <w:p w:rsidR="009908A8" w:rsidRPr="007334C5" w:rsidRDefault="009908A8" w:rsidP="00576A25">
      <w:pPr>
        <w:spacing w:before="120" w:after="120" w:line="240" w:lineRule="auto"/>
        <w:rPr>
          <w:rFonts w:cstheme="minorHAnsi"/>
          <w:sz w:val="20"/>
          <w:szCs w:val="20"/>
        </w:rPr>
      </w:pPr>
      <w:r w:rsidRPr="007334C5">
        <w:rPr>
          <w:rFonts w:cstheme="minorHAnsi"/>
          <w:sz w:val="20"/>
          <w:szCs w:val="20"/>
        </w:rPr>
        <w:t xml:space="preserve">DoI Water hold monthly progress meetings with the construction contractor and contract supervisor. DoI Water indicated that </w:t>
      </w:r>
      <w:r w:rsidR="0086355D" w:rsidRPr="007334C5">
        <w:rPr>
          <w:rFonts w:cstheme="minorHAnsi"/>
          <w:sz w:val="20"/>
          <w:szCs w:val="20"/>
        </w:rPr>
        <w:t>P</w:t>
      </w:r>
      <w:r w:rsidRPr="007334C5">
        <w:rPr>
          <w:rFonts w:cstheme="minorHAnsi"/>
          <w:sz w:val="20"/>
          <w:szCs w:val="20"/>
        </w:rPr>
        <w:t xml:space="preserve">roject </w:t>
      </w:r>
      <w:r w:rsidR="0086355D" w:rsidRPr="007334C5">
        <w:rPr>
          <w:rFonts w:cstheme="minorHAnsi"/>
          <w:sz w:val="20"/>
          <w:szCs w:val="20"/>
        </w:rPr>
        <w:t>O</w:t>
      </w:r>
      <w:r w:rsidRPr="007334C5">
        <w:rPr>
          <w:rFonts w:cstheme="minorHAnsi"/>
          <w:sz w:val="20"/>
          <w:szCs w:val="20"/>
        </w:rPr>
        <w:t>ffi</w:t>
      </w:r>
      <w:r w:rsidR="002D7E1C" w:rsidRPr="007334C5">
        <w:rPr>
          <w:rFonts w:cstheme="minorHAnsi"/>
          <w:sz w:val="20"/>
          <w:szCs w:val="20"/>
        </w:rPr>
        <w:t>cers also undertake periodic</w:t>
      </w:r>
      <w:r w:rsidRPr="007334C5">
        <w:rPr>
          <w:rFonts w:cstheme="minorHAnsi"/>
          <w:sz w:val="20"/>
          <w:szCs w:val="20"/>
        </w:rPr>
        <w:t xml:space="preserve"> site visits to monitor progress</w:t>
      </w:r>
      <w:r w:rsidR="00B20404" w:rsidRPr="007334C5">
        <w:rPr>
          <w:rFonts w:cstheme="minorHAnsi"/>
          <w:sz w:val="20"/>
          <w:szCs w:val="20"/>
        </w:rPr>
        <w:t>. DoI Water indicated that site visits were generally</w:t>
      </w:r>
      <w:r w:rsidR="00270805" w:rsidRPr="007334C5">
        <w:rPr>
          <w:rFonts w:cstheme="minorHAnsi"/>
          <w:sz w:val="20"/>
          <w:szCs w:val="20"/>
        </w:rPr>
        <w:t xml:space="preserve"> conducted</w:t>
      </w:r>
      <w:r w:rsidR="00B20404" w:rsidRPr="007334C5">
        <w:rPr>
          <w:rFonts w:cstheme="minorHAnsi"/>
          <w:sz w:val="20"/>
          <w:szCs w:val="20"/>
        </w:rPr>
        <w:t xml:space="preserve"> monthly</w:t>
      </w:r>
      <w:r w:rsidR="00270805" w:rsidRPr="007334C5">
        <w:rPr>
          <w:rFonts w:cstheme="minorHAnsi"/>
          <w:sz w:val="20"/>
          <w:szCs w:val="20"/>
        </w:rPr>
        <w:t>,</w:t>
      </w:r>
      <w:r w:rsidR="00B20404" w:rsidRPr="007334C5">
        <w:rPr>
          <w:rFonts w:cstheme="minorHAnsi"/>
          <w:sz w:val="20"/>
          <w:szCs w:val="20"/>
        </w:rPr>
        <w:t xml:space="preserve"> but varied depending on site location</w:t>
      </w:r>
      <w:r w:rsidRPr="007334C5">
        <w:rPr>
          <w:rFonts w:cstheme="minorHAnsi"/>
          <w:sz w:val="20"/>
          <w:szCs w:val="20"/>
        </w:rPr>
        <w:t xml:space="preserve">. At the conclusion of construction, as per contractual requirements, a formal performance evaluation of the construction contractor </w:t>
      </w:r>
      <w:r w:rsidR="002D7E1C" w:rsidRPr="007334C5">
        <w:rPr>
          <w:rFonts w:cstheme="minorHAnsi"/>
          <w:sz w:val="20"/>
          <w:szCs w:val="20"/>
        </w:rPr>
        <w:t>is also undertaken</w:t>
      </w:r>
      <w:r w:rsidRPr="007334C5">
        <w:rPr>
          <w:rFonts w:cstheme="minorHAnsi"/>
          <w:sz w:val="20"/>
          <w:szCs w:val="20"/>
        </w:rPr>
        <w:t xml:space="preserve">. This </w:t>
      </w:r>
      <w:r w:rsidR="002D7E1C" w:rsidRPr="007334C5">
        <w:rPr>
          <w:rFonts w:cstheme="minorHAnsi"/>
          <w:sz w:val="20"/>
          <w:szCs w:val="20"/>
        </w:rPr>
        <w:t xml:space="preserve">is </w:t>
      </w:r>
      <w:r w:rsidRPr="007334C5">
        <w:rPr>
          <w:rFonts w:cstheme="minorHAnsi"/>
          <w:sz w:val="20"/>
          <w:szCs w:val="20"/>
        </w:rPr>
        <w:t xml:space="preserve">conducted in consultation with the contract supervisor.  </w:t>
      </w:r>
    </w:p>
    <w:p w:rsidR="009908A8" w:rsidRPr="007334C5" w:rsidRDefault="009908A8" w:rsidP="0031631F">
      <w:pPr>
        <w:spacing w:before="120" w:after="120" w:line="240" w:lineRule="auto"/>
        <w:rPr>
          <w:rFonts w:cstheme="minorHAnsi"/>
          <w:sz w:val="20"/>
          <w:szCs w:val="20"/>
        </w:rPr>
      </w:pPr>
      <w:r w:rsidRPr="007334C5">
        <w:rPr>
          <w:rFonts w:cstheme="minorHAnsi"/>
          <w:sz w:val="20"/>
          <w:szCs w:val="20"/>
        </w:rPr>
        <w:t xml:space="preserve">As noted earlier in this report, sample testing </w:t>
      </w:r>
      <w:r w:rsidR="009152C2" w:rsidRPr="007334C5">
        <w:rPr>
          <w:rFonts w:cstheme="minorHAnsi"/>
          <w:sz w:val="20"/>
          <w:szCs w:val="20"/>
        </w:rPr>
        <w:t xml:space="preserve">identified </w:t>
      </w:r>
      <w:r w:rsidRPr="007334C5">
        <w:rPr>
          <w:rFonts w:cstheme="minorHAnsi"/>
          <w:sz w:val="20"/>
          <w:szCs w:val="20"/>
        </w:rPr>
        <w:t>two instances where the construction contractor evaluation report could not be sighted</w:t>
      </w:r>
      <w:r w:rsidR="009152C2" w:rsidRPr="007334C5">
        <w:rPr>
          <w:rFonts w:cstheme="minorHAnsi"/>
          <w:sz w:val="20"/>
          <w:szCs w:val="20"/>
        </w:rPr>
        <w:t>,</w:t>
      </w:r>
      <w:r w:rsidRPr="007334C5">
        <w:rPr>
          <w:rFonts w:cstheme="minorHAnsi"/>
          <w:sz w:val="20"/>
          <w:szCs w:val="20"/>
        </w:rPr>
        <w:t xml:space="preserve"> and for one scheme</w:t>
      </w:r>
      <w:r w:rsidR="009152C2" w:rsidRPr="007334C5">
        <w:rPr>
          <w:rFonts w:cstheme="minorHAnsi"/>
          <w:sz w:val="20"/>
          <w:szCs w:val="20"/>
        </w:rPr>
        <w:t>,</w:t>
      </w:r>
      <w:r w:rsidRPr="007334C5">
        <w:rPr>
          <w:rFonts w:cstheme="minorHAnsi"/>
          <w:sz w:val="20"/>
          <w:szCs w:val="20"/>
        </w:rPr>
        <w:t xml:space="preserve"> construction progress meeting minutes and inspection reports could not be sighted (refer to Section 4.3). </w:t>
      </w:r>
    </w:p>
    <w:p w:rsidR="00BA22F0" w:rsidRPr="007334C5" w:rsidRDefault="00BA22F0" w:rsidP="00BA22F0">
      <w:pPr>
        <w:pStyle w:val="Heading3"/>
        <w:spacing w:before="120"/>
        <w:rPr>
          <w:rFonts w:asciiTheme="minorHAnsi" w:hAnsiTheme="minorHAnsi" w:cstheme="minorHAnsi"/>
          <w:sz w:val="20"/>
          <w:szCs w:val="20"/>
        </w:rPr>
      </w:pPr>
      <w:r w:rsidRPr="007334C5">
        <w:rPr>
          <w:rFonts w:asciiTheme="minorHAnsi" w:hAnsiTheme="minorHAnsi" w:cstheme="minorHAnsi"/>
          <w:sz w:val="20"/>
          <w:szCs w:val="20"/>
        </w:rPr>
        <w:t xml:space="preserve">Contract </w:t>
      </w:r>
      <w:r w:rsidR="00D07FA4" w:rsidRPr="007334C5">
        <w:rPr>
          <w:rFonts w:asciiTheme="minorHAnsi" w:hAnsiTheme="minorHAnsi" w:cstheme="minorHAnsi"/>
          <w:sz w:val="20"/>
          <w:szCs w:val="20"/>
        </w:rPr>
        <w:t>v</w:t>
      </w:r>
      <w:r w:rsidRPr="007334C5">
        <w:rPr>
          <w:rFonts w:asciiTheme="minorHAnsi" w:hAnsiTheme="minorHAnsi" w:cstheme="minorHAnsi"/>
          <w:sz w:val="20"/>
          <w:szCs w:val="20"/>
        </w:rPr>
        <w:t>ariations</w:t>
      </w:r>
    </w:p>
    <w:p w:rsidR="009C78C2" w:rsidRPr="007334C5" w:rsidRDefault="00F2051D" w:rsidP="00F74EDA">
      <w:pPr>
        <w:spacing w:before="120" w:after="120" w:line="240" w:lineRule="auto"/>
        <w:rPr>
          <w:rFonts w:cstheme="minorHAnsi"/>
          <w:sz w:val="20"/>
          <w:szCs w:val="20"/>
        </w:rPr>
      </w:pPr>
      <w:r w:rsidRPr="007334C5">
        <w:rPr>
          <w:rFonts w:cstheme="minorHAnsi"/>
          <w:sz w:val="20"/>
          <w:szCs w:val="20"/>
        </w:rPr>
        <w:t xml:space="preserve">Contract variations are proposed by </w:t>
      </w:r>
      <w:r w:rsidR="000F3E13" w:rsidRPr="007334C5">
        <w:rPr>
          <w:rFonts w:cstheme="minorHAnsi"/>
          <w:sz w:val="20"/>
          <w:szCs w:val="20"/>
        </w:rPr>
        <w:t>project officers</w:t>
      </w:r>
      <w:r w:rsidRPr="007334C5">
        <w:rPr>
          <w:rFonts w:cstheme="minorHAnsi"/>
          <w:sz w:val="20"/>
          <w:szCs w:val="20"/>
        </w:rPr>
        <w:t xml:space="preserve">, reviewed and endorsed by the Basin Pipe </w:t>
      </w:r>
      <w:r w:rsidR="000700AC" w:rsidRPr="007334C5">
        <w:rPr>
          <w:rFonts w:cstheme="minorHAnsi"/>
          <w:sz w:val="20"/>
          <w:szCs w:val="20"/>
        </w:rPr>
        <w:t>Project Manager</w:t>
      </w:r>
      <w:r w:rsidRPr="007334C5">
        <w:rPr>
          <w:rFonts w:cstheme="minorHAnsi"/>
          <w:sz w:val="20"/>
          <w:szCs w:val="20"/>
        </w:rPr>
        <w:t xml:space="preserve"> and executed by an appropriate delegate based on financial value. Where required, all other variations </w:t>
      </w:r>
      <w:r w:rsidR="002D7E1C" w:rsidRPr="007334C5">
        <w:rPr>
          <w:rFonts w:cstheme="minorHAnsi"/>
          <w:sz w:val="20"/>
          <w:szCs w:val="20"/>
        </w:rPr>
        <w:t xml:space="preserve">sighted </w:t>
      </w:r>
      <w:r w:rsidRPr="007334C5">
        <w:rPr>
          <w:rFonts w:cstheme="minorHAnsi"/>
          <w:sz w:val="20"/>
          <w:szCs w:val="20"/>
        </w:rPr>
        <w:t>within the sample of</w:t>
      </w:r>
      <w:r w:rsidR="00905EBA" w:rsidRPr="007334C5">
        <w:rPr>
          <w:rFonts w:cstheme="minorHAnsi"/>
          <w:sz w:val="20"/>
          <w:szCs w:val="20"/>
        </w:rPr>
        <w:t xml:space="preserve"> schemes</w:t>
      </w:r>
      <w:r w:rsidRPr="007334C5">
        <w:rPr>
          <w:rFonts w:cstheme="minorHAnsi"/>
          <w:sz w:val="20"/>
          <w:szCs w:val="20"/>
        </w:rPr>
        <w:t xml:space="preserve"> were executed in accordance with the established processes.   </w:t>
      </w:r>
    </w:p>
    <w:p w:rsidR="00871FD3" w:rsidRPr="007334C5" w:rsidRDefault="00871FD3" w:rsidP="00C70202">
      <w:pPr>
        <w:pStyle w:val="Heading3"/>
        <w:spacing w:before="120"/>
        <w:rPr>
          <w:rFonts w:asciiTheme="minorHAnsi" w:hAnsiTheme="minorHAnsi" w:cstheme="minorHAnsi"/>
          <w:sz w:val="20"/>
          <w:szCs w:val="20"/>
        </w:rPr>
      </w:pPr>
      <w:r w:rsidRPr="007334C5">
        <w:rPr>
          <w:rFonts w:asciiTheme="minorHAnsi" w:hAnsiTheme="minorHAnsi" w:cstheme="minorHAnsi"/>
          <w:sz w:val="20"/>
          <w:szCs w:val="20"/>
        </w:rPr>
        <w:t>Conflict of interest management</w:t>
      </w:r>
    </w:p>
    <w:p w:rsidR="00615D3D" w:rsidRPr="007334C5" w:rsidRDefault="00615D3D" w:rsidP="00576A25">
      <w:pPr>
        <w:spacing w:before="120" w:after="120" w:line="240" w:lineRule="auto"/>
        <w:rPr>
          <w:rFonts w:cstheme="minorHAnsi"/>
          <w:sz w:val="20"/>
          <w:szCs w:val="20"/>
        </w:rPr>
      </w:pPr>
      <w:r w:rsidRPr="007334C5">
        <w:rPr>
          <w:rFonts w:cstheme="minorHAnsi"/>
          <w:sz w:val="20"/>
          <w:szCs w:val="20"/>
        </w:rPr>
        <w:t>DoI Water apply DoI conflict of interest policy and procedures where all staff are required to complete general conflict of interest declarations. Additionally, DoI Water</w:t>
      </w:r>
      <w:r w:rsidR="00D633DC" w:rsidRPr="007334C5">
        <w:rPr>
          <w:rFonts w:cstheme="minorHAnsi"/>
          <w:sz w:val="20"/>
          <w:szCs w:val="20"/>
        </w:rPr>
        <w:t xml:space="preserve"> noted that they</w:t>
      </w:r>
      <w:r w:rsidRPr="007334C5">
        <w:rPr>
          <w:rFonts w:cstheme="minorHAnsi"/>
          <w:sz w:val="20"/>
          <w:szCs w:val="20"/>
        </w:rPr>
        <w:t xml:space="preserve"> apply strict conflict of interest processes during procurement and tendering activities. All staff involved must </w:t>
      </w:r>
      <w:r w:rsidR="00995A5A" w:rsidRPr="007334C5">
        <w:rPr>
          <w:rFonts w:cstheme="minorHAnsi"/>
          <w:sz w:val="20"/>
          <w:szCs w:val="20"/>
        </w:rPr>
        <w:t>declare</w:t>
      </w:r>
      <w:r w:rsidRPr="007334C5">
        <w:rPr>
          <w:rFonts w:cstheme="minorHAnsi"/>
          <w:sz w:val="20"/>
          <w:szCs w:val="20"/>
        </w:rPr>
        <w:t xml:space="preserve"> any conflicts prior to being involved in any procurement </w:t>
      </w:r>
      <w:r w:rsidR="00127212" w:rsidRPr="007334C5">
        <w:rPr>
          <w:rFonts w:cstheme="minorHAnsi"/>
          <w:sz w:val="20"/>
          <w:szCs w:val="20"/>
        </w:rPr>
        <w:t>activity</w:t>
      </w:r>
      <w:r w:rsidRPr="007334C5">
        <w:rPr>
          <w:rFonts w:cstheme="minorHAnsi"/>
          <w:sz w:val="20"/>
          <w:szCs w:val="20"/>
        </w:rPr>
        <w:t>. Additionally, large procurement activities (over $150,00</w:t>
      </w:r>
      <w:r w:rsidR="00127212" w:rsidRPr="007334C5">
        <w:rPr>
          <w:rFonts w:cstheme="minorHAnsi"/>
          <w:sz w:val="20"/>
          <w:szCs w:val="20"/>
        </w:rPr>
        <w:t>0</w:t>
      </w:r>
      <w:r w:rsidRPr="007334C5">
        <w:rPr>
          <w:rFonts w:cstheme="minorHAnsi"/>
          <w:sz w:val="20"/>
          <w:szCs w:val="20"/>
        </w:rPr>
        <w:t>) a</w:t>
      </w:r>
      <w:r w:rsidR="00127212" w:rsidRPr="007334C5">
        <w:rPr>
          <w:rFonts w:cstheme="minorHAnsi"/>
          <w:sz w:val="20"/>
          <w:szCs w:val="20"/>
        </w:rPr>
        <w:t>re over</w:t>
      </w:r>
      <w:r w:rsidRPr="007334C5">
        <w:rPr>
          <w:rFonts w:cstheme="minorHAnsi"/>
          <w:sz w:val="20"/>
          <w:szCs w:val="20"/>
        </w:rPr>
        <w:t xml:space="preserve">seen </w:t>
      </w:r>
      <w:r w:rsidR="00995A5A" w:rsidRPr="007334C5">
        <w:rPr>
          <w:rFonts w:cstheme="minorHAnsi"/>
          <w:sz w:val="20"/>
          <w:szCs w:val="20"/>
        </w:rPr>
        <w:t xml:space="preserve">and reviewed </w:t>
      </w:r>
      <w:r w:rsidRPr="007334C5">
        <w:rPr>
          <w:rFonts w:cstheme="minorHAnsi"/>
          <w:sz w:val="20"/>
          <w:szCs w:val="20"/>
        </w:rPr>
        <w:t xml:space="preserve">by a </w:t>
      </w:r>
      <w:r w:rsidR="0086355D" w:rsidRPr="007334C5">
        <w:rPr>
          <w:rFonts w:cstheme="minorHAnsi"/>
          <w:sz w:val="20"/>
          <w:szCs w:val="20"/>
        </w:rPr>
        <w:t>P</w:t>
      </w:r>
      <w:r w:rsidRPr="007334C5">
        <w:rPr>
          <w:rFonts w:cstheme="minorHAnsi"/>
          <w:sz w:val="20"/>
          <w:szCs w:val="20"/>
        </w:rPr>
        <w:t xml:space="preserve">rocurement </w:t>
      </w:r>
      <w:r w:rsidR="0086355D" w:rsidRPr="007334C5">
        <w:rPr>
          <w:rFonts w:cstheme="minorHAnsi"/>
          <w:sz w:val="20"/>
          <w:szCs w:val="20"/>
        </w:rPr>
        <w:t>O</w:t>
      </w:r>
      <w:r w:rsidRPr="007334C5">
        <w:rPr>
          <w:rFonts w:cstheme="minorHAnsi"/>
          <w:sz w:val="20"/>
          <w:szCs w:val="20"/>
        </w:rPr>
        <w:t xml:space="preserve">fficer </w:t>
      </w:r>
      <w:r w:rsidR="00995A5A" w:rsidRPr="007334C5">
        <w:rPr>
          <w:rFonts w:cstheme="minorHAnsi"/>
          <w:sz w:val="20"/>
          <w:szCs w:val="20"/>
        </w:rPr>
        <w:t>to ensure</w:t>
      </w:r>
      <w:r w:rsidR="002D7E1C" w:rsidRPr="007334C5">
        <w:rPr>
          <w:rFonts w:cstheme="minorHAnsi"/>
          <w:sz w:val="20"/>
          <w:szCs w:val="20"/>
        </w:rPr>
        <w:t xml:space="preserve"> the</w:t>
      </w:r>
      <w:r w:rsidR="00995A5A" w:rsidRPr="007334C5">
        <w:rPr>
          <w:rFonts w:cstheme="minorHAnsi"/>
          <w:sz w:val="20"/>
          <w:szCs w:val="20"/>
        </w:rPr>
        <w:t xml:space="preserve"> method of selecting tenderers complied with applicable procedures, including conflict of interest protocols. </w:t>
      </w:r>
    </w:p>
    <w:p w:rsidR="00127212" w:rsidRPr="007334C5" w:rsidRDefault="00127212" w:rsidP="00576A25">
      <w:pPr>
        <w:spacing w:before="120" w:after="120" w:line="240" w:lineRule="auto"/>
        <w:rPr>
          <w:rFonts w:cstheme="minorHAnsi"/>
          <w:sz w:val="20"/>
          <w:szCs w:val="20"/>
        </w:rPr>
      </w:pPr>
      <w:r w:rsidRPr="007334C5">
        <w:rPr>
          <w:rFonts w:cstheme="minorHAnsi"/>
          <w:sz w:val="20"/>
          <w:szCs w:val="20"/>
        </w:rPr>
        <w:t xml:space="preserve">As noted earlier, </w:t>
      </w:r>
      <w:r w:rsidR="00E620E1" w:rsidRPr="007334C5">
        <w:rPr>
          <w:rFonts w:cstheme="minorHAnsi"/>
          <w:sz w:val="20"/>
          <w:szCs w:val="20"/>
        </w:rPr>
        <w:t>DoI Water</w:t>
      </w:r>
      <w:r w:rsidRPr="007334C5">
        <w:rPr>
          <w:rFonts w:cstheme="minorHAnsi"/>
          <w:sz w:val="20"/>
          <w:szCs w:val="20"/>
        </w:rPr>
        <w:t xml:space="preserve"> engage a suitably qualified </w:t>
      </w:r>
      <w:r w:rsidR="00D633DC" w:rsidRPr="007334C5">
        <w:rPr>
          <w:rFonts w:cstheme="minorHAnsi"/>
          <w:sz w:val="20"/>
          <w:szCs w:val="20"/>
        </w:rPr>
        <w:t>contractor</w:t>
      </w:r>
      <w:r w:rsidRPr="007334C5">
        <w:rPr>
          <w:rFonts w:cstheme="minorHAnsi"/>
          <w:sz w:val="20"/>
          <w:szCs w:val="20"/>
        </w:rPr>
        <w:t xml:space="preserve"> to provide supervision services over construction </w:t>
      </w:r>
      <w:r w:rsidR="00D633DC" w:rsidRPr="007334C5">
        <w:rPr>
          <w:rFonts w:cstheme="minorHAnsi"/>
          <w:sz w:val="20"/>
          <w:szCs w:val="20"/>
        </w:rPr>
        <w:t>cont</w:t>
      </w:r>
      <w:r w:rsidR="00E63C35" w:rsidRPr="007334C5">
        <w:rPr>
          <w:rFonts w:cstheme="minorHAnsi"/>
          <w:sz w:val="20"/>
          <w:szCs w:val="20"/>
        </w:rPr>
        <w:t>r</w:t>
      </w:r>
      <w:r w:rsidR="00D633DC" w:rsidRPr="007334C5">
        <w:rPr>
          <w:rFonts w:cstheme="minorHAnsi"/>
          <w:sz w:val="20"/>
          <w:szCs w:val="20"/>
        </w:rPr>
        <w:t>acts</w:t>
      </w:r>
      <w:r w:rsidRPr="007334C5">
        <w:rPr>
          <w:rFonts w:cstheme="minorHAnsi"/>
          <w:sz w:val="20"/>
          <w:szCs w:val="20"/>
        </w:rPr>
        <w:t xml:space="preserve">. KPMG </w:t>
      </w:r>
      <w:r w:rsidR="008D2FCA" w:rsidRPr="007334C5">
        <w:rPr>
          <w:rFonts w:cstheme="minorHAnsi"/>
          <w:sz w:val="20"/>
          <w:szCs w:val="20"/>
        </w:rPr>
        <w:t>noted</w:t>
      </w:r>
      <w:r w:rsidR="00770B84" w:rsidRPr="007334C5">
        <w:rPr>
          <w:rFonts w:cstheme="minorHAnsi"/>
          <w:sz w:val="20"/>
          <w:szCs w:val="20"/>
        </w:rPr>
        <w:t>,</w:t>
      </w:r>
      <w:r w:rsidR="008D2FCA" w:rsidRPr="007334C5">
        <w:rPr>
          <w:rFonts w:cstheme="minorHAnsi"/>
          <w:sz w:val="20"/>
          <w:szCs w:val="20"/>
        </w:rPr>
        <w:t xml:space="preserve"> as part of the contractual agreement</w:t>
      </w:r>
      <w:r w:rsidR="00770B84" w:rsidRPr="007334C5">
        <w:rPr>
          <w:rFonts w:cstheme="minorHAnsi"/>
          <w:sz w:val="20"/>
          <w:szCs w:val="20"/>
        </w:rPr>
        <w:t>,</w:t>
      </w:r>
      <w:r w:rsidR="008E0084" w:rsidRPr="007334C5">
        <w:rPr>
          <w:rFonts w:cstheme="minorHAnsi"/>
          <w:sz w:val="20"/>
          <w:szCs w:val="20"/>
        </w:rPr>
        <w:t xml:space="preserve"> that</w:t>
      </w:r>
      <w:r w:rsidR="008D2FCA" w:rsidRPr="007334C5">
        <w:rPr>
          <w:rFonts w:cstheme="minorHAnsi"/>
          <w:sz w:val="20"/>
          <w:szCs w:val="20"/>
        </w:rPr>
        <w:t xml:space="preserve"> contract supervisor</w:t>
      </w:r>
      <w:r w:rsidR="00B337EA" w:rsidRPr="007334C5">
        <w:rPr>
          <w:rFonts w:cstheme="minorHAnsi"/>
          <w:sz w:val="20"/>
          <w:szCs w:val="20"/>
        </w:rPr>
        <w:t>s must</w:t>
      </w:r>
      <w:r w:rsidR="008D2FCA" w:rsidRPr="007334C5">
        <w:rPr>
          <w:rFonts w:cstheme="minorHAnsi"/>
          <w:sz w:val="20"/>
          <w:szCs w:val="20"/>
        </w:rPr>
        <w:t xml:space="preserve"> </w:t>
      </w:r>
      <w:r w:rsidR="002D7E1C" w:rsidRPr="007334C5">
        <w:rPr>
          <w:rFonts w:cstheme="minorHAnsi"/>
          <w:sz w:val="20"/>
          <w:szCs w:val="20"/>
        </w:rPr>
        <w:t xml:space="preserve">also </w:t>
      </w:r>
      <w:r w:rsidR="00DB4579" w:rsidRPr="007334C5">
        <w:rPr>
          <w:rFonts w:cstheme="minorHAnsi"/>
          <w:sz w:val="20"/>
          <w:szCs w:val="20"/>
        </w:rPr>
        <w:t xml:space="preserve">declare </w:t>
      </w:r>
      <w:r w:rsidR="008D2FCA" w:rsidRPr="007334C5">
        <w:rPr>
          <w:rFonts w:cstheme="minorHAnsi"/>
          <w:sz w:val="20"/>
          <w:szCs w:val="20"/>
        </w:rPr>
        <w:t xml:space="preserve">that </w:t>
      </w:r>
      <w:r w:rsidR="008E0084" w:rsidRPr="007334C5">
        <w:rPr>
          <w:rFonts w:cstheme="minorHAnsi"/>
          <w:sz w:val="20"/>
          <w:szCs w:val="20"/>
        </w:rPr>
        <w:t>they have</w:t>
      </w:r>
      <w:r w:rsidR="008D2FCA" w:rsidRPr="007334C5">
        <w:rPr>
          <w:rFonts w:cstheme="minorHAnsi"/>
          <w:sz w:val="20"/>
          <w:szCs w:val="20"/>
        </w:rPr>
        <w:t xml:space="preserve"> no conflict of interest and must immediately inform </w:t>
      </w:r>
      <w:r w:rsidR="00E620E1" w:rsidRPr="007334C5">
        <w:rPr>
          <w:rFonts w:cstheme="minorHAnsi"/>
          <w:sz w:val="20"/>
          <w:szCs w:val="20"/>
        </w:rPr>
        <w:t>DoI Water</w:t>
      </w:r>
      <w:r w:rsidR="008D2FCA" w:rsidRPr="007334C5">
        <w:rPr>
          <w:rFonts w:cstheme="minorHAnsi"/>
          <w:sz w:val="20"/>
          <w:szCs w:val="20"/>
        </w:rPr>
        <w:t xml:space="preserve"> in writing upon becoming aware</w:t>
      </w:r>
      <w:r w:rsidR="002D7E1C" w:rsidRPr="007334C5">
        <w:rPr>
          <w:rFonts w:cstheme="minorHAnsi"/>
          <w:sz w:val="20"/>
          <w:szCs w:val="20"/>
        </w:rPr>
        <w:t xml:space="preserve"> of any conflict</w:t>
      </w:r>
      <w:r w:rsidR="008D2FCA" w:rsidRPr="007334C5">
        <w:rPr>
          <w:rFonts w:cstheme="minorHAnsi"/>
          <w:sz w:val="20"/>
          <w:szCs w:val="20"/>
        </w:rPr>
        <w:t>.</w:t>
      </w:r>
    </w:p>
    <w:p w:rsidR="00871FD3" w:rsidRPr="007334C5" w:rsidRDefault="00E5034B" w:rsidP="00C70202">
      <w:pPr>
        <w:pStyle w:val="Heading3"/>
        <w:spacing w:before="120"/>
        <w:rPr>
          <w:rFonts w:asciiTheme="minorHAnsi" w:hAnsiTheme="minorHAnsi" w:cstheme="minorHAnsi"/>
          <w:sz w:val="20"/>
          <w:szCs w:val="20"/>
        </w:rPr>
      </w:pPr>
      <w:r w:rsidRPr="007334C5">
        <w:rPr>
          <w:rFonts w:asciiTheme="minorHAnsi" w:hAnsiTheme="minorHAnsi" w:cstheme="minorHAnsi"/>
          <w:sz w:val="20"/>
          <w:szCs w:val="20"/>
        </w:rPr>
        <w:t>Compliance m</w:t>
      </w:r>
      <w:r w:rsidR="00871FD3" w:rsidRPr="007334C5">
        <w:rPr>
          <w:rFonts w:asciiTheme="minorHAnsi" w:hAnsiTheme="minorHAnsi" w:cstheme="minorHAnsi"/>
          <w:sz w:val="20"/>
          <w:szCs w:val="20"/>
        </w:rPr>
        <w:t>anagement</w:t>
      </w:r>
    </w:p>
    <w:p w:rsidR="003E11BF" w:rsidRPr="007334C5" w:rsidRDefault="003E11BF" w:rsidP="004F3BD9">
      <w:pPr>
        <w:pStyle w:val="ListParagraph"/>
        <w:keepNext/>
        <w:keepLines/>
        <w:spacing w:before="120" w:after="120" w:line="240" w:lineRule="auto"/>
        <w:ind w:left="0"/>
        <w:contextualSpacing w:val="0"/>
        <w:rPr>
          <w:rFonts w:cstheme="minorHAnsi"/>
          <w:sz w:val="20"/>
          <w:szCs w:val="20"/>
        </w:rPr>
      </w:pPr>
      <w:r w:rsidRPr="007334C5">
        <w:rPr>
          <w:rFonts w:cstheme="minorHAnsi"/>
          <w:sz w:val="20"/>
          <w:szCs w:val="20"/>
        </w:rPr>
        <w:t xml:space="preserve">The onus of compliance with relevant legislation during construction of infrastructure rests with the construction contractor. </w:t>
      </w:r>
      <w:r w:rsidR="00E620E1" w:rsidRPr="007334C5">
        <w:rPr>
          <w:rFonts w:cstheme="minorHAnsi"/>
          <w:sz w:val="20"/>
          <w:szCs w:val="20"/>
        </w:rPr>
        <w:t>DoI Water</w:t>
      </w:r>
      <w:r w:rsidRPr="007334C5">
        <w:rPr>
          <w:rFonts w:cstheme="minorHAnsi"/>
          <w:sz w:val="20"/>
          <w:szCs w:val="20"/>
        </w:rPr>
        <w:t xml:space="preserve"> utilises </w:t>
      </w:r>
      <w:r w:rsidR="008E0084" w:rsidRPr="007334C5">
        <w:rPr>
          <w:rFonts w:cstheme="minorHAnsi"/>
          <w:sz w:val="20"/>
          <w:szCs w:val="20"/>
        </w:rPr>
        <w:t xml:space="preserve">the </w:t>
      </w:r>
      <w:r w:rsidRPr="007334C5">
        <w:rPr>
          <w:rFonts w:cstheme="minorHAnsi"/>
          <w:sz w:val="20"/>
          <w:szCs w:val="20"/>
        </w:rPr>
        <w:t>NSW standard contracting suite for construction contract</w:t>
      </w:r>
      <w:r w:rsidR="008E0084" w:rsidRPr="007334C5">
        <w:rPr>
          <w:rFonts w:cstheme="minorHAnsi"/>
          <w:sz w:val="20"/>
          <w:szCs w:val="20"/>
        </w:rPr>
        <w:t>s</w:t>
      </w:r>
      <w:r w:rsidRPr="007334C5">
        <w:rPr>
          <w:rFonts w:cstheme="minorHAnsi"/>
          <w:sz w:val="20"/>
          <w:szCs w:val="20"/>
        </w:rPr>
        <w:t>, specifically the GC-21 contract template. The contractor</w:t>
      </w:r>
      <w:r w:rsidR="00DA214E" w:rsidRPr="007334C5">
        <w:rPr>
          <w:rFonts w:cstheme="minorHAnsi"/>
          <w:sz w:val="20"/>
          <w:szCs w:val="20"/>
        </w:rPr>
        <w:t>’</w:t>
      </w:r>
      <w:r w:rsidRPr="007334C5">
        <w:rPr>
          <w:rFonts w:cstheme="minorHAnsi"/>
          <w:sz w:val="20"/>
          <w:szCs w:val="20"/>
        </w:rPr>
        <w:t xml:space="preserve">s responsibility for ensuring compliance with relevant NSW and Commonwealth legislation </w:t>
      </w:r>
      <w:r w:rsidR="008E0084" w:rsidRPr="007334C5">
        <w:rPr>
          <w:rFonts w:cstheme="minorHAnsi"/>
          <w:sz w:val="20"/>
          <w:szCs w:val="20"/>
        </w:rPr>
        <w:t xml:space="preserve">is </w:t>
      </w:r>
      <w:r w:rsidRPr="007334C5">
        <w:rPr>
          <w:rFonts w:cstheme="minorHAnsi"/>
          <w:sz w:val="20"/>
          <w:szCs w:val="20"/>
        </w:rPr>
        <w:t>clearly outlined</w:t>
      </w:r>
      <w:r w:rsidR="002D7E1C" w:rsidRPr="007334C5">
        <w:rPr>
          <w:rFonts w:cstheme="minorHAnsi"/>
          <w:sz w:val="20"/>
          <w:szCs w:val="20"/>
        </w:rPr>
        <w:t xml:space="preserve"> in the contract</w:t>
      </w:r>
      <w:r w:rsidRPr="007334C5">
        <w:rPr>
          <w:rFonts w:cstheme="minorHAnsi"/>
          <w:sz w:val="20"/>
          <w:szCs w:val="20"/>
        </w:rPr>
        <w:t>. Prospective tender</w:t>
      </w:r>
      <w:r w:rsidR="008E0084" w:rsidRPr="007334C5">
        <w:rPr>
          <w:rFonts w:cstheme="minorHAnsi"/>
          <w:sz w:val="20"/>
          <w:szCs w:val="20"/>
        </w:rPr>
        <w:t>er</w:t>
      </w:r>
      <w:r w:rsidRPr="007334C5">
        <w:rPr>
          <w:rFonts w:cstheme="minorHAnsi"/>
          <w:sz w:val="20"/>
          <w:szCs w:val="20"/>
        </w:rPr>
        <w:t>s are also required to demonstrate their ability to meet safety and relevant building code requirements as part of the tendering process. In addition to this, at contract agreement</w:t>
      </w:r>
      <w:r w:rsidR="00490A11" w:rsidRPr="007334C5">
        <w:rPr>
          <w:rFonts w:cstheme="minorHAnsi"/>
          <w:sz w:val="20"/>
          <w:szCs w:val="20"/>
        </w:rPr>
        <w:t xml:space="preserve"> stage</w:t>
      </w:r>
      <w:r w:rsidR="00DB4579" w:rsidRPr="007334C5">
        <w:rPr>
          <w:rFonts w:cstheme="minorHAnsi"/>
          <w:sz w:val="20"/>
          <w:szCs w:val="20"/>
        </w:rPr>
        <w:t>,</w:t>
      </w:r>
      <w:r w:rsidRPr="007334C5">
        <w:rPr>
          <w:rFonts w:cstheme="minorHAnsi"/>
          <w:sz w:val="20"/>
          <w:szCs w:val="20"/>
        </w:rPr>
        <w:t xml:space="preserve"> </w:t>
      </w:r>
      <w:r w:rsidR="00E620E1" w:rsidRPr="007334C5">
        <w:rPr>
          <w:rFonts w:cstheme="minorHAnsi"/>
          <w:sz w:val="20"/>
          <w:szCs w:val="20"/>
        </w:rPr>
        <w:t>DoI Water</w:t>
      </w:r>
      <w:r w:rsidRPr="007334C5">
        <w:rPr>
          <w:rFonts w:cstheme="minorHAnsi"/>
          <w:sz w:val="20"/>
          <w:szCs w:val="20"/>
        </w:rPr>
        <w:t xml:space="preserve"> provide</w:t>
      </w:r>
      <w:r w:rsidR="00DB4579" w:rsidRPr="007334C5">
        <w:rPr>
          <w:rFonts w:cstheme="minorHAnsi"/>
          <w:sz w:val="20"/>
          <w:szCs w:val="20"/>
        </w:rPr>
        <w:t>s</w:t>
      </w:r>
      <w:r w:rsidRPr="007334C5">
        <w:rPr>
          <w:rFonts w:cstheme="minorHAnsi"/>
          <w:sz w:val="20"/>
          <w:szCs w:val="20"/>
        </w:rPr>
        <w:t xml:space="preserve"> a summary of cont</w:t>
      </w:r>
      <w:r w:rsidR="00E63C35" w:rsidRPr="007334C5">
        <w:rPr>
          <w:rFonts w:cstheme="minorHAnsi"/>
          <w:sz w:val="20"/>
          <w:szCs w:val="20"/>
        </w:rPr>
        <w:t>r</w:t>
      </w:r>
      <w:r w:rsidRPr="007334C5">
        <w:rPr>
          <w:rFonts w:cstheme="minorHAnsi"/>
          <w:sz w:val="20"/>
          <w:szCs w:val="20"/>
        </w:rPr>
        <w:t>act requirements which details</w:t>
      </w:r>
      <w:r w:rsidR="002D7E1C" w:rsidRPr="007334C5">
        <w:rPr>
          <w:rFonts w:cstheme="minorHAnsi"/>
          <w:sz w:val="20"/>
          <w:szCs w:val="20"/>
        </w:rPr>
        <w:t xml:space="preserve"> the contractor</w:t>
      </w:r>
      <w:r w:rsidR="00DB4579" w:rsidRPr="007334C5">
        <w:rPr>
          <w:rFonts w:cstheme="minorHAnsi"/>
          <w:sz w:val="20"/>
          <w:szCs w:val="20"/>
        </w:rPr>
        <w:t>’</w:t>
      </w:r>
      <w:r w:rsidR="002D7E1C" w:rsidRPr="007334C5">
        <w:rPr>
          <w:rFonts w:cstheme="minorHAnsi"/>
          <w:sz w:val="20"/>
          <w:szCs w:val="20"/>
        </w:rPr>
        <w:t>s</w:t>
      </w:r>
      <w:r w:rsidRPr="007334C5">
        <w:rPr>
          <w:rFonts w:cstheme="minorHAnsi"/>
          <w:sz w:val="20"/>
          <w:szCs w:val="20"/>
        </w:rPr>
        <w:t xml:space="preserve"> legislative compliance requirements. Contract supervisors also undertake regular inspections on behalf of </w:t>
      </w:r>
      <w:r w:rsidR="00E620E1" w:rsidRPr="007334C5">
        <w:rPr>
          <w:rFonts w:cstheme="minorHAnsi"/>
          <w:sz w:val="20"/>
          <w:szCs w:val="20"/>
        </w:rPr>
        <w:t>DoI Water</w:t>
      </w:r>
      <w:r w:rsidRPr="007334C5">
        <w:rPr>
          <w:rFonts w:cstheme="minorHAnsi"/>
          <w:sz w:val="20"/>
          <w:szCs w:val="20"/>
        </w:rPr>
        <w:t xml:space="preserve"> </w:t>
      </w:r>
      <w:r w:rsidR="008D2FCA" w:rsidRPr="007334C5">
        <w:rPr>
          <w:rFonts w:cstheme="minorHAnsi"/>
          <w:sz w:val="20"/>
          <w:szCs w:val="20"/>
        </w:rPr>
        <w:t xml:space="preserve">to determine if </w:t>
      </w:r>
      <w:r w:rsidR="00D314AE" w:rsidRPr="007334C5">
        <w:rPr>
          <w:rFonts w:cstheme="minorHAnsi"/>
          <w:sz w:val="20"/>
          <w:szCs w:val="20"/>
        </w:rPr>
        <w:t xml:space="preserve">the </w:t>
      </w:r>
      <w:r w:rsidR="008D2FCA" w:rsidRPr="007334C5">
        <w:rPr>
          <w:rFonts w:cstheme="minorHAnsi"/>
          <w:sz w:val="20"/>
          <w:szCs w:val="20"/>
        </w:rPr>
        <w:t>construction meets technical specifications</w:t>
      </w:r>
      <w:r w:rsidR="00B337EA" w:rsidRPr="007334C5">
        <w:rPr>
          <w:rFonts w:cstheme="minorHAnsi"/>
          <w:sz w:val="20"/>
          <w:szCs w:val="20"/>
        </w:rPr>
        <w:t xml:space="preserve">. Inspections also identify compliance issues if they become apparent. </w:t>
      </w:r>
      <w:r w:rsidR="00E620E1" w:rsidRPr="007334C5">
        <w:rPr>
          <w:rFonts w:cstheme="minorHAnsi"/>
          <w:sz w:val="20"/>
          <w:szCs w:val="20"/>
        </w:rPr>
        <w:t>DoI Water</w:t>
      </w:r>
      <w:r w:rsidR="00B337EA" w:rsidRPr="007334C5">
        <w:rPr>
          <w:rFonts w:cstheme="minorHAnsi"/>
          <w:sz w:val="20"/>
          <w:szCs w:val="20"/>
        </w:rPr>
        <w:t xml:space="preserve"> obtain </w:t>
      </w:r>
      <w:r w:rsidR="00DB4579" w:rsidRPr="007334C5">
        <w:rPr>
          <w:rFonts w:cstheme="minorHAnsi"/>
          <w:sz w:val="20"/>
          <w:szCs w:val="20"/>
        </w:rPr>
        <w:t xml:space="preserve">the required </w:t>
      </w:r>
      <w:r w:rsidR="00B337EA" w:rsidRPr="007334C5">
        <w:rPr>
          <w:rFonts w:cstheme="minorHAnsi"/>
          <w:sz w:val="20"/>
          <w:szCs w:val="20"/>
        </w:rPr>
        <w:t xml:space="preserve">approvals prior to construction in order to undertake planning and design work. All other approvals must be obtained by the construction </w:t>
      </w:r>
      <w:r w:rsidR="009908A8" w:rsidRPr="007334C5">
        <w:rPr>
          <w:rFonts w:cstheme="minorHAnsi"/>
          <w:sz w:val="20"/>
          <w:szCs w:val="20"/>
        </w:rPr>
        <w:t>contractor</w:t>
      </w:r>
      <w:r w:rsidR="00B337EA" w:rsidRPr="007334C5">
        <w:rPr>
          <w:rFonts w:cstheme="minorHAnsi"/>
          <w:sz w:val="20"/>
          <w:szCs w:val="20"/>
        </w:rPr>
        <w:t>. This</w:t>
      </w:r>
      <w:r w:rsidR="002D7E1C" w:rsidRPr="007334C5">
        <w:rPr>
          <w:rFonts w:cstheme="minorHAnsi"/>
          <w:sz w:val="20"/>
          <w:szCs w:val="20"/>
        </w:rPr>
        <w:t xml:space="preserve"> also</w:t>
      </w:r>
      <w:r w:rsidR="00B337EA" w:rsidRPr="007334C5">
        <w:rPr>
          <w:rFonts w:cstheme="minorHAnsi"/>
          <w:sz w:val="20"/>
          <w:szCs w:val="20"/>
        </w:rPr>
        <w:t xml:space="preserve"> form</w:t>
      </w:r>
      <w:r w:rsidR="002D7E1C" w:rsidRPr="007334C5">
        <w:rPr>
          <w:rFonts w:cstheme="minorHAnsi"/>
          <w:sz w:val="20"/>
          <w:szCs w:val="20"/>
        </w:rPr>
        <w:t>s</w:t>
      </w:r>
      <w:r w:rsidR="00B337EA" w:rsidRPr="007334C5">
        <w:rPr>
          <w:rFonts w:cstheme="minorHAnsi"/>
          <w:sz w:val="20"/>
          <w:szCs w:val="20"/>
        </w:rPr>
        <w:t xml:space="preserve"> part of contractual requirements for the </w:t>
      </w:r>
      <w:r w:rsidR="009908A8" w:rsidRPr="007334C5">
        <w:rPr>
          <w:rFonts w:cstheme="minorHAnsi"/>
          <w:sz w:val="20"/>
          <w:szCs w:val="20"/>
        </w:rPr>
        <w:t>contractor</w:t>
      </w:r>
      <w:r w:rsidR="002D7E1C" w:rsidRPr="007334C5">
        <w:rPr>
          <w:rFonts w:cstheme="minorHAnsi"/>
          <w:sz w:val="20"/>
          <w:szCs w:val="20"/>
        </w:rPr>
        <w:t xml:space="preserve"> and is </w:t>
      </w:r>
      <w:r w:rsidR="009908A8" w:rsidRPr="007334C5">
        <w:rPr>
          <w:rFonts w:cstheme="minorHAnsi"/>
          <w:sz w:val="20"/>
          <w:szCs w:val="20"/>
        </w:rPr>
        <w:t>monitored by the contract supervisor.</w:t>
      </w:r>
      <w:r w:rsidRPr="007334C5">
        <w:rPr>
          <w:rFonts w:cstheme="minorHAnsi"/>
          <w:sz w:val="20"/>
          <w:szCs w:val="20"/>
        </w:rPr>
        <w:t xml:space="preserve">  </w:t>
      </w:r>
    </w:p>
    <w:p w:rsidR="002A20A1" w:rsidRPr="007334C5" w:rsidRDefault="002A20A1" w:rsidP="000722AF">
      <w:pPr>
        <w:pStyle w:val="Heading2"/>
        <w:rPr>
          <w:rFonts w:asciiTheme="minorHAnsi" w:hAnsiTheme="minorHAnsi" w:cstheme="minorHAnsi"/>
        </w:rPr>
      </w:pPr>
      <w:bookmarkStart w:id="26" w:name="_Toc535401140"/>
      <w:r w:rsidRPr="007334C5">
        <w:rPr>
          <w:rFonts w:asciiTheme="minorHAnsi" w:hAnsiTheme="minorHAnsi" w:cstheme="minorHAnsi"/>
        </w:rPr>
        <w:t>On-ground verification</w:t>
      </w:r>
      <w:bookmarkEnd w:id="26"/>
    </w:p>
    <w:p w:rsidR="00C9351F" w:rsidRPr="007334C5" w:rsidRDefault="00FB5BBB" w:rsidP="00C9351F">
      <w:pPr>
        <w:shd w:val="clear" w:color="auto" w:fill="E7E6E6" w:themeFill="background2"/>
        <w:rPr>
          <w:rFonts w:cstheme="minorHAnsi"/>
          <w:i/>
          <w:sz w:val="20"/>
          <w:szCs w:val="20"/>
        </w:rPr>
      </w:pPr>
      <w:r w:rsidRPr="007334C5">
        <w:rPr>
          <w:rFonts w:cstheme="minorHAnsi"/>
          <w:i/>
          <w:sz w:val="20"/>
          <w:szCs w:val="20"/>
        </w:rPr>
        <w:t xml:space="preserve">From visual inspection, installed works appeared to generally correspond with the documentation provided, </w:t>
      </w:r>
      <w:r w:rsidR="00DB4579" w:rsidRPr="007334C5">
        <w:rPr>
          <w:rFonts w:cstheme="minorHAnsi"/>
          <w:i/>
          <w:sz w:val="20"/>
          <w:szCs w:val="20"/>
        </w:rPr>
        <w:t>and in particular</w:t>
      </w:r>
      <w:r w:rsidRPr="007334C5">
        <w:rPr>
          <w:rFonts w:cstheme="minorHAnsi"/>
          <w:i/>
          <w:sz w:val="20"/>
          <w:szCs w:val="20"/>
        </w:rPr>
        <w:t>, technical design documents and inspection reports. Minor variations from the original scope were noted however</w:t>
      </w:r>
      <w:r w:rsidR="000D25AC" w:rsidRPr="007334C5">
        <w:rPr>
          <w:rFonts w:cstheme="minorHAnsi"/>
          <w:i/>
          <w:sz w:val="20"/>
          <w:szCs w:val="20"/>
        </w:rPr>
        <w:t>,</w:t>
      </w:r>
      <w:r w:rsidRPr="007334C5">
        <w:rPr>
          <w:rFonts w:cstheme="minorHAnsi"/>
          <w:i/>
          <w:sz w:val="20"/>
          <w:szCs w:val="20"/>
        </w:rPr>
        <w:t xml:space="preserve"> these were either considered improvements to the design or resulted in improved cost management.</w:t>
      </w:r>
    </w:p>
    <w:p w:rsidR="00C9351F" w:rsidRPr="007334C5" w:rsidRDefault="00C9351F" w:rsidP="00C9351F">
      <w:pPr>
        <w:spacing w:before="120" w:after="120"/>
        <w:rPr>
          <w:rFonts w:cstheme="minorHAnsi"/>
          <w:sz w:val="20"/>
          <w:szCs w:val="20"/>
        </w:rPr>
      </w:pPr>
      <w:r w:rsidRPr="007334C5">
        <w:rPr>
          <w:rFonts w:cstheme="minorHAnsi"/>
          <w:sz w:val="20"/>
          <w:szCs w:val="20"/>
        </w:rPr>
        <w:t xml:space="preserve">In addition to desktop and compliance testing, KPMG undertook on-ground verification of </w:t>
      </w:r>
      <w:r w:rsidR="002D7E1C" w:rsidRPr="007334C5">
        <w:rPr>
          <w:rFonts w:cstheme="minorHAnsi"/>
          <w:sz w:val="20"/>
          <w:szCs w:val="20"/>
        </w:rPr>
        <w:t>four</w:t>
      </w:r>
      <w:r w:rsidRPr="007334C5">
        <w:rPr>
          <w:rFonts w:cstheme="minorHAnsi"/>
          <w:sz w:val="20"/>
          <w:szCs w:val="20"/>
        </w:rPr>
        <w:t xml:space="preserve"> schemes (out of the sample of </w:t>
      </w:r>
      <w:r w:rsidR="002D7E1C" w:rsidRPr="007334C5">
        <w:rPr>
          <w:rFonts w:cstheme="minorHAnsi"/>
          <w:sz w:val="20"/>
          <w:szCs w:val="20"/>
        </w:rPr>
        <w:t>five</w:t>
      </w:r>
      <w:r w:rsidRPr="007334C5">
        <w:rPr>
          <w:rFonts w:cstheme="minorHAnsi"/>
          <w:sz w:val="20"/>
          <w:szCs w:val="20"/>
        </w:rPr>
        <w:t xml:space="preserve"> approved schemes). As part of this phase, a KPMG mechanical engineer was engaged as a specialist to assist with the assessment. The purpose of the site visits were to:</w:t>
      </w:r>
    </w:p>
    <w:p w:rsidR="00C9351F" w:rsidRPr="007334C5" w:rsidRDefault="00C9351F" w:rsidP="000F0AAC">
      <w:pPr>
        <w:pStyle w:val="ListParagraph"/>
        <w:numPr>
          <w:ilvl w:val="0"/>
          <w:numId w:val="7"/>
        </w:numPr>
        <w:rPr>
          <w:rFonts w:cstheme="minorHAnsi"/>
          <w:sz w:val="20"/>
          <w:szCs w:val="20"/>
        </w:rPr>
      </w:pPr>
      <w:r w:rsidRPr="007334C5">
        <w:rPr>
          <w:rFonts w:cstheme="minorHAnsi"/>
          <w:sz w:val="20"/>
          <w:szCs w:val="20"/>
        </w:rPr>
        <w:t>Undertake an assessment of the progress made in implementing on-</w:t>
      </w:r>
      <w:r w:rsidR="002A62AE" w:rsidRPr="007334C5">
        <w:rPr>
          <w:rFonts w:cstheme="minorHAnsi"/>
          <w:sz w:val="20"/>
          <w:szCs w:val="20"/>
        </w:rPr>
        <w:t>ground</w:t>
      </w:r>
      <w:r w:rsidRPr="007334C5">
        <w:rPr>
          <w:rFonts w:cstheme="minorHAnsi"/>
          <w:sz w:val="20"/>
          <w:szCs w:val="20"/>
        </w:rPr>
        <w:t xml:space="preserve"> works and verification of engineering reports and the information gathered during desktop review; and </w:t>
      </w:r>
    </w:p>
    <w:p w:rsidR="00C9351F" w:rsidRPr="007334C5" w:rsidRDefault="00C9351F" w:rsidP="000F0AAC">
      <w:pPr>
        <w:pStyle w:val="ListParagraph"/>
        <w:numPr>
          <w:ilvl w:val="0"/>
          <w:numId w:val="7"/>
        </w:numPr>
        <w:rPr>
          <w:rFonts w:cstheme="minorHAnsi"/>
          <w:sz w:val="20"/>
          <w:szCs w:val="20"/>
        </w:rPr>
      </w:pPr>
      <w:r w:rsidRPr="007334C5">
        <w:rPr>
          <w:rFonts w:cstheme="minorHAnsi"/>
          <w:sz w:val="20"/>
          <w:szCs w:val="20"/>
        </w:rPr>
        <w:t xml:space="preserve">Follow up any risks or gaps identified during desktop review. </w:t>
      </w:r>
    </w:p>
    <w:p w:rsidR="002D7E1C" w:rsidRPr="007334C5" w:rsidRDefault="00C9351F" w:rsidP="00576A25">
      <w:pPr>
        <w:spacing w:before="120" w:after="120" w:line="240" w:lineRule="auto"/>
        <w:rPr>
          <w:rFonts w:cstheme="minorHAnsi"/>
          <w:sz w:val="20"/>
          <w:szCs w:val="20"/>
        </w:rPr>
      </w:pPr>
      <w:r w:rsidRPr="007334C5">
        <w:rPr>
          <w:rFonts w:cstheme="minorHAnsi"/>
          <w:sz w:val="20"/>
          <w:szCs w:val="20"/>
        </w:rPr>
        <w:t>Noting the size and complexity of works, inspections focused on key and accessible infrastructure components. The inspections did not test the operating effectiveness of installed works.</w:t>
      </w:r>
    </w:p>
    <w:p w:rsidR="00C9351F" w:rsidRPr="007334C5" w:rsidRDefault="00C9351F" w:rsidP="00576A25">
      <w:pPr>
        <w:spacing w:before="120" w:after="120" w:line="240" w:lineRule="auto"/>
        <w:rPr>
          <w:rFonts w:cstheme="minorHAnsi"/>
        </w:rPr>
      </w:pPr>
      <w:r w:rsidRPr="007334C5">
        <w:rPr>
          <w:rFonts w:cstheme="minorHAnsi"/>
          <w:sz w:val="20"/>
          <w:szCs w:val="20"/>
        </w:rPr>
        <w:t>For</w:t>
      </w:r>
      <w:r w:rsidR="0057113D" w:rsidRPr="007334C5">
        <w:rPr>
          <w:rFonts w:cstheme="minorHAnsi"/>
          <w:sz w:val="20"/>
          <w:szCs w:val="20"/>
        </w:rPr>
        <w:t xml:space="preserve"> the</w:t>
      </w:r>
      <w:r w:rsidRPr="007334C5">
        <w:rPr>
          <w:rFonts w:cstheme="minorHAnsi"/>
          <w:sz w:val="20"/>
          <w:szCs w:val="20"/>
        </w:rPr>
        <w:t xml:space="preserve"> infrastructure inspected, on-ground works appeared to correlate with the reported project status and scope of works as agreed and recorded. Minor </w:t>
      </w:r>
      <w:r w:rsidR="002A62AE" w:rsidRPr="007334C5">
        <w:rPr>
          <w:rFonts w:cstheme="minorHAnsi"/>
          <w:sz w:val="20"/>
          <w:szCs w:val="20"/>
        </w:rPr>
        <w:t>deviations</w:t>
      </w:r>
      <w:r w:rsidRPr="007334C5">
        <w:rPr>
          <w:rFonts w:cstheme="minorHAnsi"/>
          <w:sz w:val="20"/>
          <w:szCs w:val="20"/>
        </w:rPr>
        <w:t xml:space="preserve"> </w:t>
      </w:r>
      <w:r w:rsidR="0012297C" w:rsidRPr="007334C5">
        <w:rPr>
          <w:rFonts w:cstheme="minorHAnsi"/>
          <w:sz w:val="20"/>
          <w:szCs w:val="20"/>
        </w:rPr>
        <w:t xml:space="preserve">from the </w:t>
      </w:r>
      <w:r w:rsidRPr="007334C5">
        <w:rPr>
          <w:rFonts w:cstheme="minorHAnsi"/>
          <w:sz w:val="20"/>
          <w:szCs w:val="20"/>
        </w:rPr>
        <w:t>original scope were noted however</w:t>
      </w:r>
      <w:r w:rsidR="000D25AC" w:rsidRPr="007334C5">
        <w:rPr>
          <w:rFonts w:cstheme="minorHAnsi"/>
          <w:sz w:val="20"/>
          <w:szCs w:val="20"/>
        </w:rPr>
        <w:t>,</w:t>
      </w:r>
      <w:r w:rsidR="002A62AE" w:rsidRPr="007334C5">
        <w:rPr>
          <w:rFonts w:cstheme="minorHAnsi"/>
          <w:sz w:val="20"/>
          <w:szCs w:val="20"/>
        </w:rPr>
        <w:t xml:space="preserve"> these</w:t>
      </w:r>
      <w:r w:rsidRPr="007334C5">
        <w:rPr>
          <w:rFonts w:cstheme="minorHAnsi"/>
          <w:sz w:val="20"/>
          <w:szCs w:val="20"/>
        </w:rPr>
        <w:t xml:space="preserve"> were either considered improvements to the design </w:t>
      </w:r>
      <w:r w:rsidR="0012297C" w:rsidRPr="007334C5">
        <w:rPr>
          <w:rFonts w:cstheme="minorHAnsi"/>
          <w:sz w:val="20"/>
          <w:szCs w:val="20"/>
        </w:rPr>
        <w:t xml:space="preserve">or </w:t>
      </w:r>
      <w:r w:rsidR="002A62AE" w:rsidRPr="007334C5">
        <w:rPr>
          <w:rFonts w:cstheme="minorHAnsi"/>
          <w:sz w:val="20"/>
          <w:szCs w:val="20"/>
        </w:rPr>
        <w:t xml:space="preserve">resulted in </w:t>
      </w:r>
      <w:r w:rsidR="0012297C" w:rsidRPr="007334C5">
        <w:rPr>
          <w:rFonts w:cstheme="minorHAnsi"/>
          <w:sz w:val="20"/>
          <w:szCs w:val="20"/>
        </w:rPr>
        <w:t xml:space="preserve">improved cost management. These </w:t>
      </w:r>
      <w:r w:rsidR="00953FCA" w:rsidRPr="007334C5">
        <w:rPr>
          <w:rFonts w:cstheme="minorHAnsi"/>
          <w:sz w:val="20"/>
          <w:szCs w:val="20"/>
        </w:rPr>
        <w:t xml:space="preserve">were not considered significant changes and </w:t>
      </w:r>
      <w:r w:rsidR="0012297C" w:rsidRPr="007334C5">
        <w:rPr>
          <w:rFonts w:cstheme="minorHAnsi"/>
          <w:sz w:val="20"/>
          <w:szCs w:val="20"/>
        </w:rPr>
        <w:t>did not appear to negatively impact the operation of the infrastructure</w:t>
      </w:r>
      <w:r w:rsidR="00953FCA" w:rsidRPr="007334C5">
        <w:rPr>
          <w:rFonts w:cstheme="minorHAnsi"/>
          <w:sz w:val="20"/>
          <w:szCs w:val="20"/>
        </w:rPr>
        <w:t xml:space="preserve"> or change intended outcomes</w:t>
      </w:r>
      <w:r w:rsidR="0012297C" w:rsidRPr="007334C5">
        <w:rPr>
          <w:rFonts w:cstheme="minorHAnsi"/>
          <w:sz w:val="20"/>
          <w:szCs w:val="20"/>
        </w:rPr>
        <w:t>. For one scheme inspected</w:t>
      </w:r>
      <w:r w:rsidR="002A62AE" w:rsidRPr="007334C5">
        <w:rPr>
          <w:rFonts w:cstheme="minorHAnsi"/>
          <w:sz w:val="20"/>
          <w:szCs w:val="20"/>
        </w:rPr>
        <w:t>,</w:t>
      </w:r>
      <w:r w:rsidR="0012297C" w:rsidRPr="007334C5">
        <w:rPr>
          <w:rFonts w:cstheme="minorHAnsi"/>
          <w:sz w:val="20"/>
          <w:szCs w:val="20"/>
        </w:rPr>
        <w:t xml:space="preserve"> with works still underway, we have suggested further action prior to completion of the scheme (refer to section 4.</w:t>
      </w:r>
      <w:r w:rsidR="00827EB1" w:rsidRPr="007334C5">
        <w:rPr>
          <w:rFonts w:cstheme="minorHAnsi"/>
          <w:sz w:val="20"/>
          <w:szCs w:val="20"/>
        </w:rPr>
        <w:t xml:space="preserve">5 </w:t>
      </w:r>
      <w:r w:rsidR="0012297C" w:rsidRPr="007334C5">
        <w:rPr>
          <w:rFonts w:cstheme="minorHAnsi"/>
          <w:sz w:val="20"/>
          <w:szCs w:val="20"/>
        </w:rPr>
        <w:t>for further details)</w:t>
      </w:r>
      <w:r w:rsidR="002A62AE" w:rsidRPr="007334C5">
        <w:rPr>
          <w:rFonts w:cstheme="minorHAnsi"/>
          <w:sz w:val="20"/>
          <w:szCs w:val="20"/>
        </w:rPr>
        <w:t>.</w:t>
      </w:r>
      <w:r w:rsidR="0012297C" w:rsidRPr="007334C5">
        <w:rPr>
          <w:rFonts w:cstheme="minorHAnsi"/>
          <w:sz w:val="20"/>
          <w:szCs w:val="20"/>
        </w:rPr>
        <w:t xml:space="preserve"> </w:t>
      </w:r>
    </w:p>
    <w:p w:rsidR="00871FD3" w:rsidRPr="007334C5" w:rsidRDefault="00155778" w:rsidP="007334C5">
      <w:pPr>
        <w:pStyle w:val="Heading1"/>
      </w:pPr>
      <w:bookmarkStart w:id="27" w:name="_Toc535401141"/>
      <w:r w:rsidRPr="007334C5">
        <w:t>Areas for improvement &amp; lessons learnt</w:t>
      </w:r>
      <w:bookmarkEnd w:id="27"/>
    </w:p>
    <w:p w:rsidR="005773AC" w:rsidRPr="007334C5" w:rsidRDefault="0031631F" w:rsidP="000722AF">
      <w:pPr>
        <w:pStyle w:val="Heading2"/>
        <w:rPr>
          <w:rFonts w:asciiTheme="minorHAnsi" w:hAnsiTheme="minorHAnsi" w:cstheme="minorHAnsi"/>
        </w:rPr>
      </w:pPr>
      <w:bookmarkStart w:id="28" w:name="_Toc535401142"/>
      <w:r w:rsidRPr="007334C5">
        <w:rPr>
          <w:rFonts w:asciiTheme="minorHAnsi" w:hAnsiTheme="minorHAnsi" w:cstheme="minorHAnsi"/>
        </w:rPr>
        <w:t>Project r</w:t>
      </w:r>
      <w:r w:rsidR="00677315" w:rsidRPr="007334C5">
        <w:rPr>
          <w:rFonts w:asciiTheme="minorHAnsi" w:hAnsiTheme="minorHAnsi" w:cstheme="minorHAnsi"/>
        </w:rPr>
        <w:t>eporting</w:t>
      </w:r>
      <w:bookmarkEnd w:id="28"/>
    </w:p>
    <w:p w:rsidR="00AA0E91" w:rsidRPr="007334C5" w:rsidRDefault="002A62AE" w:rsidP="00BE0C69">
      <w:pPr>
        <w:spacing w:before="120" w:after="120" w:line="240" w:lineRule="auto"/>
        <w:rPr>
          <w:rFonts w:cstheme="minorHAnsi"/>
          <w:sz w:val="20"/>
          <w:szCs w:val="20"/>
        </w:rPr>
      </w:pPr>
      <w:r w:rsidRPr="007334C5">
        <w:rPr>
          <w:rFonts w:cstheme="minorHAnsi"/>
          <w:sz w:val="20"/>
          <w:szCs w:val="20"/>
        </w:rPr>
        <w:t>D</w:t>
      </w:r>
      <w:r w:rsidR="0089090B" w:rsidRPr="007334C5">
        <w:rPr>
          <w:rFonts w:cstheme="minorHAnsi"/>
          <w:sz w:val="20"/>
          <w:szCs w:val="20"/>
        </w:rPr>
        <w:t>o</w:t>
      </w:r>
      <w:r w:rsidRPr="007334C5">
        <w:rPr>
          <w:rFonts w:cstheme="minorHAnsi"/>
          <w:sz w:val="20"/>
          <w:szCs w:val="20"/>
        </w:rPr>
        <w:t>I W</w:t>
      </w:r>
      <w:r w:rsidR="0089090B" w:rsidRPr="007334C5">
        <w:rPr>
          <w:rFonts w:cstheme="minorHAnsi"/>
          <w:sz w:val="20"/>
          <w:szCs w:val="20"/>
        </w:rPr>
        <w:t>ater</w:t>
      </w:r>
      <w:r w:rsidR="00AA0E91" w:rsidRPr="007334C5">
        <w:rPr>
          <w:rFonts w:cstheme="minorHAnsi"/>
          <w:sz w:val="20"/>
          <w:szCs w:val="20"/>
        </w:rPr>
        <w:t xml:space="preserve"> regularly report on the status of individual schemes, via monthly and quarterly highlight reports. These reports indicate the stage of each scheme and if there are any risks in relation to meeting any upcoming mil</w:t>
      </w:r>
      <w:r w:rsidR="005D3BAA" w:rsidRPr="007334C5">
        <w:rPr>
          <w:rFonts w:cstheme="minorHAnsi"/>
          <w:sz w:val="20"/>
          <w:szCs w:val="20"/>
        </w:rPr>
        <w:t>e</w:t>
      </w:r>
      <w:r w:rsidR="00AA0E91" w:rsidRPr="007334C5">
        <w:rPr>
          <w:rFonts w:cstheme="minorHAnsi"/>
          <w:sz w:val="20"/>
          <w:szCs w:val="20"/>
        </w:rPr>
        <w:t xml:space="preserve">stones. A scheme is reported as complete if construction of </w:t>
      </w:r>
      <w:r w:rsidR="002D7E1C" w:rsidRPr="007334C5">
        <w:rPr>
          <w:rFonts w:cstheme="minorHAnsi"/>
          <w:sz w:val="20"/>
          <w:szCs w:val="20"/>
        </w:rPr>
        <w:t>infrastructure</w:t>
      </w:r>
      <w:r w:rsidR="00AA0E91" w:rsidRPr="007334C5">
        <w:rPr>
          <w:rFonts w:cstheme="minorHAnsi"/>
          <w:sz w:val="20"/>
          <w:szCs w:val="20"/>
        </w:rPr>
        <w:t xml:space="preserve"> has been completed and water transfer has occurred. </w:t>
      </w:r>
    </w:p>
    <w:p w:rsidR="008166D7" w:rsidRPr="007334C5" w:rsidRDefault="00AA0E91" w:rsidP="00BE0C69">
      <w:pPr>
        <w:spacing w:before="120" w:after="120" w:line="240" w:lineRule="auto"/>
        <w:rPr>
          <w:rFonts w:cstheme="minorHAnsi"/>
          <w:sz w:val="20"/>
          <w:szCs w:val="20"/>
        </w:rPr>
      </w:pPr>
      <w:r w:rsidRPr="007334C5">
        <w:rPr>
          <w:rFonts w:cstheme="minorHAnsi"/>
          <w:sz w:val="20"/>
          <w:szCs w:val="20"/>
        </w:rPr>
        <w:t xml:space="preserve">During testing, </w:t>
      </w:r>
      <w:r w:rsidR="009454CF" w:rsidRPr="007334C5">
        <w:rPr>
          <w:rFonts w:cstheme="minorHAnsi"/>
          <w:sz w:val="20"/>
          <w:szCs w:val="20"/>
        </w:rPr>
        <w:t xml:space="preserve">KPMG </w:t>
      </w:r>
      <w:r w:rsidRPr="007334C5">
        <w:rPr>
          <w:rFonts w:cstheme="minorHAnsi"/>
          <w:sz w:val="20"/>
          <w:szCs w:val="20"/>
        </w:rPr>
        <w:t>identified two schemes</w:t>
      </w:r>
      <w:r w:rsidR="00146A71" w:rsidRPr="007334C5">
        <w:rPr>
          <w:rFonts w:cstheme="minorHAnsi"/>
          <w:sz w:val="20"/>
          <w:szCs w:val="20"/>
        </w:rPr>
        <w:t xml:space="preserve"> that were reported as complete</w:t>
      </w:r>
      <w:r w:rsidRPr="007334C5">
        <w:rPr>
          <w:rFonts w:cstheme="minorHAnsi"/>
          <w:sz w:val="20"/>
          <w:szCs w:val="20"/>
        </w:rPr>
        <w:t xml:space="preserve"> however</w:t>
      </w:r>
      <w:r w:rsidR="000D25AC" w:rsidRPr="007334C5">
        <w:rPr>
          <w:rFonts w:cstheme="minorHAnsi"/>
          <w:sz w:val="20"/>
          <w:szCs w:val="20"/>
        </w:rPr>
        <w:t>,</w:t>
      </w:r>
      <w:r w:rsidRPr="007334C5">
        <w:rPr>
          <w:rFonts w:cstheme="minorHAnsi"/>
          <w:sz w:val="20"/>
          <w:szCs w:val="20"/>
        </w:rPr>
        <w:t xml:space="preserve"> </w:t>
      </w:r>
      <w:r w:rsidR="009D6CE4" w:rsidRPr="007334C5">
        <w:rPr>
          <w:rFonts w:cstheme="minorHAnsi"/>
          <w:sz w:val="20"/>
          <w:szCs w:val="20"/>
        </w:rPr>
        <w:t xml:space="preserve">the </w:t>
      </w:r>
      <w:r w:rsidRPr="007334C5">
        <w:rPr>
          <w:rFonts w:cstheme="minorHAnsi"/>
          <w:sz w:val="20"/>
          <w:szCs w:val="20"/>
        </w:rPr>
        <w:t>formal handover of the infrastructure to landholders for ongoing management had not</w:t>
      </w:r>
      <w:r w:rsidR="0089090B" w:rsidRPr="007334C5">
        <w:rPr>
          <w:rFonts w:cstheme="minorHAnsi"/>
          <w:sz w:val="20"/>
          <w:szCs w:val="20"/>
        </w:rPr>
        <w:t xml:space="preserve"> yet</w:t>
      </w:r>
      <w:r w:rsidRPr="007334C5">
        <w:rPr>
          <w:rFonts w:cstheme="minorHAnsi"/>
          <w:sz w:val="20"/>
          <w:szCs w:val="20"/>
        </w:rPr>
        <w:t xml:space="preserve"> occurred. </w:t>
      </w:r>
      <w:r w:rsidR="008166D7" w:rsidRPr="007334C5">
        <w:rPr>
          <w:rFonts w:cstheme="minorHAnsi"/>
          <w:sz w:val="20"/>
          <w:szCs w:val="20"/>
        </w:rPr>
        <w:t xml:space="preserve">At the time of fieldwork, </w:t>
      </w:r>
      <w:r w:rsidR="002A62AE" w:rsidRPr="007334C5">
        <w:rPr>
          <w:rFonts w:cstheme="minorHAnsi"/>
          <w:sz w:val="20"/>
          <w:szCs w:val="20"/>
        </w:rPr>
        <w:t>DoI Water</w:t>
      </w:r>
      <w:r w:rsidR="008166D7" w:rsidRPr="007334C5">
        <w:rPr>
          <w:rFonts w:cstheme="minorHAnsi"/>
          <w:sz w:val="20"/>
          <w:szCs w:val="20"/>
        </w:rPr>
        <w:t xml:space="preserve"> was still responsible for the management of the infrastructure</w:t>
      </w:r>
      <w:r w:rsidR="002D7E1C" w:rsidRPr="007334C5">
        <w:rPr>
          <w:rFonts w:cstheme="minorHAnsi"/>
          <w:sz w:val="20"/>
          <w:szCs w:val="20"/>
        </w:rPr>
        <w:t xml:space="preserve"> for these two schemes</w:t>
      </w:r>
      <w:r w:rsidR="008166D7" w:rsidRPr="007334C5">
        <w:rPr>
          <w:rFonts w:cstheme="minorHAnsi"/>
          <w:sz w:val="20"/>
          <w:szCs w:val="20"/>
        </w:rPr>
        <w:t xml:space="preserve">. </w:t>
      </w:r>
      <w:r w:rsidRPr="007334C5">
        <w:rPr>
          <w:rFonts w:cstheme="minorHAnsi"/>
          <w:sz w:val="20"/>
          <w:szCs w:val="20"/>
        </w:rPr>
        <w:t xml:space="preserve">KPMG confirmed with </w:t>
      </w:r>
      <w:r w:rsidR="002A62AE" w:rsidRPr="007334C5">
        <w:rPr>
          <w:rFonts w:cstheme="minorHAnsi"/>
          <w:sz w:val="20"/>
          <w:szCs w:val="20"/>
        </w:rPr>
        <w:t xml:space="preserve">DoI Water </w:t>
      </w:r>
      <w:r w:rsidRPr="007334C5">
        <w:rPr>
          <w:rFonts w:cstheme="minorHAnsi"/>
          <w:sz w:val="20"/>
          <w:szCs w:val="20"/>
        </w:rPr>
        <w:t>that construction and water transfer were complete</w:t>
      </w:r>
      <w:r w:rsidR="00DA214E" w:rsidRPr="007334C5">
        <w:rPr>
          <w:rFonts w:cstheme="minorHAnsi"/>
          <w:sz w:val="20"/>
          <w:szCs w:val="20"/>
        </w:rPr>
        <w:t>.</w:t>
      </w:r>
      <w:r w:rsidRPr="007334C5">
        <w:rPr>
          <w:rFonts w:cstheme="minorHAnsi"/>
          <w:sz w:val="20"/>
          <w:szCs w:val="20"/>
        </w:rPr>
        <w:t xml:space="preserve"> </w:t>
      </w:r>
      <w:r w:rsidR="002A62AE" w:rsidRPr="007334C5">
        <w:rPr>
          <w:rFonts w:cstheme="minorHAnsi"/>
          <w:sz w:val="20"/>
          <w:szCs w:val="20"/>
        </w:rPr>
        <w:t xml:space="preserve">DoI Water </w:t>
      </w:r>
      <w:r w:rsidRPr="007334C5">
        <w:rPr>
          <w:rFonts w:cstheme="minorHAnsi"/>
          <w:sz w:val="20"/>
          <w:szCs w:val="20"/>
        </w:rPr>
        <w:t xml:space="preserve">indicated that minor contractual issues with service providers were still being </w:t>
      </w:r>
      <w:r w:rsidR="00E63C35" w:rsidRPr="007334C5">
        <w:rPr>
          <w:rFonts w:cstheme="minorHAnsi"/>
          <w:sz w:val="20"/>
          <w:szCs w:val="20"/>
        </w:rPr>
        <w:t>resolved</w:t>
      </w:r>
      <w:r w:rsidRPr="007334C5">
        <w:rPr>
          <w:rFonts w:cstheme="minorHAnsi"/>
          <w:sz w:val="20"/>
          <w:szCs w:val="20"/>
        </w:rPr>
        <w:t>. This has prevented formal handover from occurring.</w:t>
      </w:r>
      <w:r w:rsidR="008166D7" w:rsidRPr="007334C5">
        <w:rPr>
          <w:rFonts w:cstheme="minorHAnsi"/>
          <w:sz w:val="20"/>
          <w:szCs w:val="20"/>
        </w:rPr>
        <w:t xml:space="preserve"> </w:t>
      </w:r>
      <w:r w:rsidRPr="007334C5">
        <w:rPr>
          <w:rFonts w:cstheme="minorHAnsi"/>
          <w:sz w:val="20"/>
          <w:szCs w:val="20"/>
        </w:rPr>
        <w:t xml:space="preserve">Onsite </w:t>
      </w:r>
      <w:r w:rsidR="008166D7" w:rsidRPr="007334C5">
        <w:rPr>
          <w:rFonts w:cstheme="minorHAnsi"/>
          <w:sz w:val="20"/>
          <w:szCs w:val="20"/>
        </w:rPr>
        <w:t xml:space="preserve">inspection undertaken by KPMG confirmed that construction had been completed and </w:t>
      </w:r>
      <w:r w:rsidR="002D7E1C" w:rsidRPr="007334C5">
        <w:rPr>
          <w:rFonts w:cstheme="minorHAnsi"/>
          <w:sz w:val="20"/>
          <w:szCs w:val="20"/>
        </w:rPr>
        <w:t xml:space="preserve">infrastructure </w:t>
      </w:r>
      <w:r w:rsidR="008166D7" w:rsidRPr="007334C5">
        <w:rPr>
          <w:rFonts w:cstheme="minorHAnsi"/>
          <w:sz w:val="20"/>
          <w:szCs w:val="20"/>
        </w:rPr>
        <w:t>appeared operational.</w:t>
      </w:r>
    </w:p>
    <w:p w:rsidR="00AA0E91" w:rsidRPr="007334C5" w:rsidRDefault="008166D7" w:rsidP="00BE0C69">
      <w:pPr>
        <w:spacing w:before="120" w:after="120" w:line="240" w:lineRule="auto"/>
        <w:rPr>
          <w:rFonts w:cstheme="minorHAnsi"/>
          <w:sz w:val="20"/>
          <w:szCs w:val="20"/>
        </w:rPr>
      </w:pPr>
      <w:r w:rsidRPr="007334C5">
        <w:rPr>
          <w:rFonts w:cstheme="minorHAnsi"/>
          <w:sz w:val="20"/>
          <w:szCs w:val="20"/>
        </w:rPr>
        <w:t xml:space="preserve">To improve the accuracy and transparency of progress reporting, </w:t>
      </w:r>
      <w:r w:rsidR="002A62AE" w:rsidRPr="007334C5">
        <w:rPr>
          <w:rFonts w:cstheme="minorHAnsi"/>
          <w:sz w:val="20"/>
          <w:szCs w:val="20"/>
        </w:rPr>
        <w:t xml:space="preserve">DoI Water </w:t>
      </w:r>
      <w:r w:rsidRPr="007334C5">
        <w:rPr>
          <w:rFonts w:cstheme="minorHAnsi"/>
          <w:sz w:val="20"/>
          <w:szCs w:val="20"/>
        </w:rPr>
        <w:t xml:space="preserve">should consider expanding current reporting to include the </w:t>
      </w:r>
      <w:r w:rsidR="000700AC" w:rsidRPr="007334C5">
        <w:rPr>
          <w:rFonts w:cstheme="minorHAnsi"/>
          <w:sz w:val="20"/>
          <w:szCs w:val="20"/>
        </w:rPr>
        <w:t xml:space="preserve">notification of </w:t>
      </w:r>
      <w:r w:rsidRPr="007334C5">
        <w:rPr>
          <w:rFonts w:cstheme="minorHAnsi"/>
          <w:sz w:val="20"/>
          <w:szCs w:val="20"/>
        </w:rPr>
        <w:t xml:space="preserve">formal handover of infrastructure </w:t>
      </w:r>
      <w:r w:rsidR="000700AC" w:rsidRPr="007334C5">
        <w:rPr>
          <w:rFonts w:cstheme="minorHAnsi"/>
          <w:sz w:val="20"/>
          <w:szCs w:val="20"/>
        </w:rPr>
        <w:t xml:space="preserve">to </w:t>
      </w:r>
      <w:r w:rsidRPr="007334C5">
        <w:rPr>
          <w:rFonts w:cstheme="minorHAnsi"/>
          <w:sz w:val="20"/>
          <w:szCs w:val="20"/>
        </w:rPr>
        <w:t xml:space="preserve">landholders.  </w:t>
      </w:r>
      <w:r w:rsidR="00AA0E91" w:rsidRPr="007334C5">
        <w:rPr>
          <w:rFonts w:cstheme="minorHAnsi"/>
          <w:sz w:val="20"/>
          <w:szCs w:val="20"/>
        </w:rPr>
        <w:t xml:space="preserve"> </w:t>
      </w:r>
    </w:p>
    <w:p w:rsidR="003701E6" w:rsidRPr="007334C5" w:rsidRDefault="003701E6" w:rsidP="003701E6">
      <w:pPr>
        <w:pStyle w:val="Heading2"/>
        <w:rPr>
          <w:rFonts w:asciiTheme="minorHAnsi" w:hAnsiTheme="minorHAnsi" w:cstheme="minorHAnsi"/>
        </w:rPr>
      </w:pPr>
      <w:bookmarkStart w:id="29" w:name="_Toc535401143"/>
      <w:r w:rsidRPr="007334C5">
        <w:rPr>
          <w:rFonts w:asciiTheme="minorHAnsi" w:hAnsiTheme="minorHAnsi" w:cstheme="minorHAnsi"/>
        </w:rPr>
        <w:t>Financial approvals</w:t>
      </w:r>
      <w:bookmarkEnd w:id="29"/>
    </w:p>
    <w:p w:rsidR="00193FBA" w:rsidRPr="007334C5" w:rsidRDefault="00193FBA" w:rsidP="00576A25">
      <w:pPr>
        <w:spacing w:before="120" w:after="120" w:line="240" w:lineRule="auto"/>
        <w:rPr>
          <w:rFonts w:cstheme="minorHAnsi"/>
          <w:color w:val="000000" w:themeColor="text1"/>
          <w:sz w:val="20"/>
          <w:szCs w:val="20"/>
        </w:rPr>
      </w:pPr>
      <w:r w:rsidRPr="007334C5">
        <w:rPr>
          <w:rFonts w:cstheme="minorHAnsi"/>
          <w:sz w:val="20"/>
          <w:szCs w:val="20"/>
        </w:rPr>
        <w:t>DoI Water h</w:t>
      </w:r>
      <w:r w:rsidR="00E63C35" w:rsidRPr="007334C5">
        <w:rPr>
          <w:rFonts w:cstheme="minorHAnsi"/>
          <w:sz w:val="20"/>
          <w:szCs w:val="20"/>
        </w:rPr>
        <w:t>ave established a process where-</w:t>
      </w:r>
      <w:r w:rsidR="005920AB" w:rsidRPr="007334C5">
        <w:rPr>
          <w:rFonts w:cstheme="minorHAnsi"/>
          <w:sz w:val="20"/>
          <w:szCs w:val="20"/>
        </w:rPr>
        <w:t xml:space="preserve">by </w:t>
      </w:r>
      <w:r w:rsidRPr="007334C5">
        <w:rPr>
          <w:rFonts w:cstheme="minorHAnsi"/>
          <w:sz w:val="20"/>
          <w:szCs w:val="20"/>
        </w:rPr>
        <w:t>all service provider claims are reviewed and approved prior to payment</w:t>
      </w:r>
      <w:r w:rsidRPr="007334C5">
        <w:rPr>
          <w:rFonts w:cstheme="minorHAnsi"/>
          <w:color w:val="000000" w:themeColor="text1"/>
          <w:sz w:val="20"/>
          <w:szCs w:val="20"/>
        </w:rPr>
        <w:t>. Claims are reviewed and endorsed by a scheme Project Officer</w:t>
      </w:r>
      <w:r w:rsidR="009F776C" w:rsidRPr="007334C5">
        <w:rPr>
          <w:rFonts w:cstheme="minorHAnsi"/>
          <w:color w:val="000000" w:themeColor="text1"/>
          <w:sz w:val="20"/>
          <w:szCs w:val="20"/>
        </w:rPr>
        <w:t xml:space="preserve"> and Project Manager</w:t>
      </w:r>
      <w:r w:rsidRPr="007334C5">
        <w:rPr>
          <w:rFonts w:cstheme="minorHAnsi"/>
          <w:color w:val="000000" w:themeColor="text1"/>
          <w:sz w:val="20"/>
          <w:szCs w:val="20"/>
        </w:rPr>
        <w:t xml:space="preserve"> to ensure goods and services have been received in accordance with contractual terms. </w:t>
      </w:r>
      <w:r w:rsidRPr="007334C5">
        <w:rPr>
          <w:rFonts w:cstheme="minorHAnsi"/>
          <w:sz w:val="20"/>
          <w:szCs w:val="20"/>
        </w:rPr>
        <w:t>DoI Water indicated that this was an additional process implemented by the Basin Pipe project, and was not a require</w:t>
      </w:r>
      <w:r w:rsidR="000157AA" w:rsidRPr="007334C5">
        <w:rPr>
          <w:rFonts w:cstheme="minorHAnsi"/>
          <w:sz w:val="20"/>
          <w:szCs w:val="20"/>
        </w:rPr>
        <w:t>ment</w:t>
      </w:r>
      <w:r w:rsidRPr="007334C5">
        <w:rPr>
          <w:rFonts w:cstheme="minorHAnsi"/>
          <w:sz w:val="20"/>
          <w:szCs w:val="20"/>
        </w:rPr>
        <w:t xml:space="preserve"> under the standard acquittal process.</w:t>
      </w:r>
      <w:r w:rsidR="003701E6" w:rsidRPr="007334C5">
        <w:rPr>
          <w:rFonts w:cstheme="minorHAnsi"/>
          <w:color w:val="000000" w:themeColor="text1"/>
          <w:sz w:val="20"/>
          <w:szCs w:val="20"/>
        </w:rPr>
        <w:t xml:space="preserve"> </w:t>
      </w:r>
    </w:p>
    <w:p w:rsidR="002C6F9F" w:rsidRPr="007334C5" w:rsidRDefault="00193FBA" w:rsidP="00576A25">
      <w:pPr>
        <w:spacing w:before="120" w:after="120" w:line="240" w:lineRule="auto"/>
        <w:rPr>
          <w:rFonts w:cstheme="minorHAnsi"/>
          <w:color w:val="000000" w:themeColor="text1"/>
          <w:sz w:val="20"/>
          <w:szCs w:val="20"/>
        </w:rPr>
      </w:pPr>
      <w:r w:rsidRPr="007334C5">
        <w:rPr>
          <w:rFonts w:cstheme="minorHAnsi"/>
          <w:color w:val="000000" w:themeColor="text1"/>
          <w:sz w:val="20"/>
          <w:szCs w:val="20"/>
        </w:rPr>
        <w:t>I</w:t>
      </w:r>
      <w:r w:rsidR="00261329" w:rsidRPr="007334C5">
        <w:rPr>
          <w:rFonts w:cstheme="minorHAnsi"/>
          <w:color w:val="000000" w:themeColor="text1"/>
          <w:sz w:val="20"/>
          <w:szCs w:val="20"/>
        </w:rPr>
        <w:t>t was identified that</w:t>
      </w:r>
      <w:r w:rsidR="002C6F9F" w:rsidRPr="007334C5">
        <w:rPr>
          <w:rFonts w:cstheme="minorHAnsi"/>
          <w:color w:val="000000" w:themeColor="text1"/>
          <w:sz w:val="20"/>
          <w:szCs w:val="20"/>
        </w:rPr>
        <w:t xml:space="preserve"> </w:t>
      </w:r>
      <w:r w:rsidR="003701E6" w:rsidRPr="007334C5">
        <w:rPr>
          <w:rFonts w:cstheme="minorHAnsi"/>
          <w:color w:val="000000" w:themeColor="text1"/>
          <w:sz w:val="20"/>
          <w:szCs w:val="20"/>
        </w:rPr>
        <w:t xml:space="preserve">emails </w:t>
      </w:r>
      <w:r w:rsidR="002C6F9F" w:rsidRPr="007334C5">
        <w:rPr>
          <w:rFonts w:cstheme="minorHAnsi"/>
          <w:color w:val="000000" w:themeColor="text1"/>
          <w:sz w:val="20"/>
          <w:szCs w:val="20"/>
        </w:rPr>
        <w:t>evidencing the</w:t>
      </w:r>
      <w:r w:rsidR="009F776C" w:rsidRPr="007334C5">
        <w:rPr>
          <w:rFonts w:cstheme="minorHAnsi"/>
          <w:color w:val="000000" w:themeColor="text1"/>
          <w:sz w:val="20"/>
          <w:szCs w:val="20"/>
        </w:rPr>
        <w:t xml:space="preserve"> above </w:t>
      </w:r>
      <w:r w:rsidR="002C6F9F" w:rsidRPr="007334C5">
        <w:rPr>
          <w:rFonts w:cstheme="minorHAnsi"/>
          <w:color w:val="000000" w:themeColor="text1"/>
          <w:sz w:val="20"/>
          <w:szCs w:val="20"/>
        </w:rPr>
        <w:t xml:space="preserve">approval are </w:t>
      </w:r>
      <w:r w:rsidR="003701E6" w:rsidRPr="007334C5">
        <w:rPr>
          <w:rFonts w:cstheme="minorHAnsi"/>
          <w:color w:val="000000" w:themeColor="text1"/>
          <w:sz w:val="20"/>
          <w:szCs w:val="20"/>
        </w:rPr>
        <w:t xml:space="preserve">not actively recorded on project files as part of this process. </w:t>
      </w:r>
      <w:r w:rsidR="00DA214E" w:rsidRPr="007334C5">
        <w:rPr>
          <w:rFonts w:cstheme="minorHAnsi"/>
          <w:color w:val="000000" w:themeColor="text1"/>
          <w:sz w:val="20"/>
          <w:szCs w:val="20"/>
        </w:rPr>
        <w:t xml:space="preserve">While </w:t>
      </w:r>
      <w:r w:rsidR="002C6F9F" w:rsidRPr="007334C5">
        <w:rPr>
          <w:rFonts w:cstheme="minorHAnsi"/>
          <w:color w:val="000000" w:themeColor="text1"/>
          <w:sz w:val="20"/>
          <w:szCs w:val="20"/>
        </w:rPr>
        <w:t xml:space="preserve">DoI Water were able to provide examples of the approvals process, only one of the sampled payment </w:t>
      </w:r>
      <w:r w:rsidR="00261329" w:rsidRPr="007334C5">
        <w:rPr>
          <w:rFonts w:cstheme="minorHAnsi"/>
          <w:color w:val="000000" w:themeColor="text1"/>
          <w:sz w:val="20"/>
          <w:szCs w:val="20"/>
        </w:rPr>
        <w:t>approvals could be evidenced. KPMG notes</w:t>
      </w:r>
      <w:r w:rsidR="000F3BDE" w:rsidRPr="007334C5">
        <w:rPr>
          <w:rFonts w:cstheme="minorHAnsi"/>
          <w:color w:val="000000" w:themeColor="text1"/>
          <w:sz w:val="20"/>
          <w:szCs w:val="20"/>
        </w:rPr>
        <w:t>,</w:t>
      </w:r>
      <w:r w:rsidR="00261329" w:rsidRPr="007334C5">
        <w:rPr>
          <w:rFonts w:cstheme="minorHAnsi"/>
          <w:color w:val="000000" w:themeColor="text1"/>
          <w:sz w:val="20"/>
          <w:szCs w:val="20"/>
        </w:rPr>
        <w:t xml:space="preserve"> </w:t>
      </w:r>
      <w:r w:rsidR="005D3BAA" w:rsidRPr="007334C5">
        <w:rPr>
          <w:rFonts w:cstheme="minorHAnsi"/>
          <w:color w:val="000000" w:themeColor="text1"/>
          <w:sz w:val="20"/>
          <w:szCs w:val="20"/>
        </w:rPr>
        <w:t xml:space="preserve">that </w:t>
      </w:r>
      <w:r w:rsidR="00261329" w:rsidRPr="007334C5">
        <w:rPr>
          <w:rFonts w:cstheme="minorHAnsi"/>
          <w:color w:val="000000" w:themeColor="text1"/>
          <w:sz w:val="20"/>
          <w:szCs w:val="20"/>
        </w:rPr>
        <w:t>in the absence of system controls, the established process appears to be designed appropriately however</w:t>
      </w:r>
      <w:r w:rsidR="000D25AC" w:rsidRPr="007334C5">
        <w:rPr>
          <w:rFonts w:cstheme="minorHAnsi"/>
          <w:color w:val="000000" w:themeColor="text1"/>
          <w:sz w:val="20"/>
          <w:szCs w:val="20"/>
        </w:rPr>
        <w:t>,</w:t>
      </w:r>
      <w:r w:rsidR="00261329" w:rsidRPr="007334C5">
        <w:rPr>
          <w:rFonts w:cstheme="minorHAnsi"/>
          <w:color w:val="000000" w:themeColor="text1"/>
          <w:sz w:val="20"/>
          <w:szCs w:val="20"/>
        </w:rPr>
        <w:t xml:space="preserve"> </w:t>
      </w:r>
      <w:r w:rsidR="000157AA" w:rsidRPr="007334C5">
        <w:rPr>
          <w:rFonts w:cstheme="minorHAnsi"/>
          <w:color w:val="000000" w:themeColor="text1"/>
          <w:sz w:val="20"/>
          <w:szCs w:val="20"/>
        </w:rPr>
        <w:t xml:space="preserve">this </w:t>
      </w:r>
      <w:r w:rsidR="00261329" w:rsidRPr="007334C5">
        <w:rPr>
          <w:rFonts w:cstheme="minorHAnsi"/>
          <w:color w:val="000000" w:themeColor="text1"/>
          <w:sz w:val="20"/>
          <w:szCs w:val="20"/>
        </w:rPr>
        <w:t xml:space="preserve">could not be consistently verified as operating </w:t>
      </w:r>
      <w:r w:rsidR="00606E33" w:rsidRPr="007334C5">
        <w:rPr>
          <w:rFonts w:cstheme="minorHAnsi"/>
          <w:color w:val="000000" w:themeColor="text1"/>
          <w:sz w:val="20"/>
          <w:szCs w:val="20"/>
        </w:rPr>
        <w:t xml:space="preserve">effectively </w:t>
      </w:r>
      <w:r w:rsidR="00261329" w:rsidRPr="007334C5">
        <w:rPr>
          <w:rFonts w:cstheme="minorHAnsi"/>
          <w:color w:val="000000" w:themeColor="text1"/>
          <w:sz w:val="20"/>
          <w:szCs w:val="20"/>
        </w:rPr>
        <w:t xml:space="preserve">across the sample. Additionally, we noted that the process was not </w:t>
      </w:r>
      <w:r w:rsidR="005920AB" w:rsidRPr="007334C5">
        <w:rPr>
          <w:rFonts w:cstheme="minorHAnsi"/>
          <w:color w:val="000000" w:themeColor="text1"/>
          <w:sz w:val="20"/>
          <w:szCs w:val="20"/>
        </w:rPr>
        <w:t>formally</w:t>
      </w:r>
      <w:r w:rsidR="00261329" w:rsidRPr="007334C5">
        <w:rPr>
          <w:rFonts w:cstheme="minorHAnsi"/>
          <w:color w:val="000000" w:themeColor="text1"/>
          <w:sz w:val="20"/>
          <w:szCs w:val="20"/>
        </w:rPr>
        <w:t xml:space="preserve"> documented in </w:t>
      </w:r>
      <w:r w:rsidR="00606E33" w:rsidRPr="007334C5">
        <w:rPr>
          <w:rFonts w:cstheme="minorHAnsi"/>
          <w:color w:val="000000" w:themeColor="text1"/>
          <w:sz w:val="20"/>
          <w:szCs w:val="20"/>
        </w:rPr>
        <w:t xml:space="preserve">procedural </w:t>
      </w:r>
      <w:r w:rsidR="00261329" w:rsidRPr="007334C5">
        <w:rPr>
          <w:rFonts w:cstheme="minorHAnsi"/>
          <w:color w:val="000000" w:themeColor="text1"/>
          <w:sz w:val="20"/>
          <w:szCs w:val="20"/>
        </w:rPr>
        <w:t>or guidance documents (refer to Section 4.4).</w:t>
      </w:r>
    </w:p>
    <w:p w:rsidR="00910A7D" w:rsidRPr="007334C5" w:rsidRDefault="00606E33" w:rsidP="00576A25">
      <w:pPr>
        <w:spacing w:before="120" w:after="120" w:line="240" w:lineRule="auto"/>
        <w:rPr>
          <w:rFonts w:cstheme="minorHAnsi"/>
          <w:color w:val="000000" w:themeColor="text1"/>
          <w:sz w:val="20"/>
          <w:szCs w:val="20"/>
        </w:rPr>
      </w:pPr>
      <w:r w:rsidRPr="007334C5">
        <w:rPr>
          <w:rFonts w:cstheme="minorHAnsi"/>
          <w:color w:val="000000" w:themeColor="text1"/>
          <w:sz w:val="20"/>
          <w:szCs w:val="20"/>
        </w:rPr>
        <w:t>The</w:t>
      </w:r>
      <w:r w:rsidR="001C6CDD" w:rsidRPr="007334C5">
        <w:rPr>
          <w:rFonts w:cstheme="minorHAnsi"/>
          <w:color w:val="000000" w:themeColor="text1"/>
          <w:sz w:val="20"/>
          <w:szCs w:val="20"/>
        </w:rPr>
        <w:t xml:space="preserve"> </w:t>
      </w:r>
      <w:r w:rsidR="00910A7D" w:rsidRPr="007334C5">
        <w:rPr>
          <w:rFonts w:cstheme="minorHAnsi"/>
          <w:color w:val="000000" w:themeColor="text1"/>
          <w:sz w:val="20"/>
          <w:szCs w:val="20"/>
        </w:rPr>
        <w:t xml:space="preserve">approval to spend up to the contractual amount </w:t>
      </w:r>
      <w:r w:rsidR="009F776C" w:rsidRPr="007334C5">
        <w:rPr>
          <w:rFonts w:cstheme="minorHAnsi"/>
          <w:color w:val="000000" w:themeColor="text1"/>
          <w:sz w:val="20"/>
          <w:szCs w:val="20"/>
        </w:rPr>
        <w:t>was</w:t>
      </w:r>
      <w:r w:rsidR="00910A7D" w:rsidRPr="007334C5">
        <w:rPr>
          <w:rFonts w:cstheme="minorHAnsi"/>
          <w:color w:val="000000" w:themeColor="text1"/>
          <w:sz w:val="20"/>
          <w:szCs w:val="20"/>
        </w:rPr>
        <w:t xml:space="preserve"> obtained through the approval of a purchase order by a financial delegate</w:t>
      </w:r>
      <w:r w:rsidR="00193FBA" w:rsidRPr="007334C5">
        <w:rPr>
          <w:rFonts w:cstheme="minorHAnsi"/>
          <w:color w:val="000000" w:themeColor="text1"/>
          <w:sz w:val="20"/>
          <w:szCs w:val="20"/>
        </w:rPr>
        <w:t xml:space="preserve"> and was sighted during sample testing</w:t>
      </w:r>
      <w:r w:rsidR="00194EA3" w:rsidRPr="007334C5">
        <w:rPr>
          <w:rFonts w:cstheme="minorHAnsi"/>
          <w:color w:val="000000" w:themeColor="text1"/>
          <w:sz w:val="20"/>
          <w:szCs w:val="20"/>
        </w:rPr>
        <w:t xml:space="preserve"> h</w:t>
      </w:r>
      <w:r w:rsidR="00910A7D" w:rsidRPr="007334C5">
        <w:rPr>
          <w:rFonts w:cstheme="minorHAnsi"/>
          <w:color w:val="000000" w:themeColor="text1"/>
          <w:sz w:val="20"/>
          <w:szCs w:val="20"/>
        </w:rPr>
        <w:t>owever</w:t>
      </w:r>
      <w:r w:rsidR="000D25AC" w:rsidRPr="007334C5">
        <w:rPr>
          <w:rFonts w:cstheme="minorHAnsi"/>
          <w:color w:val="000000" w:themeColor="text1"/>
          <w:sz w:val="20"/>
          <w:szCs w:val="20"/>
        </w:rPr>
        <w:t>,</w:t>
      </w:r>
      <w:r w:rsidR="00194EA3" w:rsidRPr="007334C5">
        <w:rPr>
          <w:rFonts w:cstheme="minorHAnsi"/>
          <w:color w:val="000000" w:themeColor="text1"/>
          <w:sz w:val="20"/>
          <w:szCs w:val="20"/>
        </w:rPr>
        <w:t xml:space="preserve"> appropriate evidence to support </w:t>
      </w:r>
      <w:r w:rsidR="009F776C" w:rsidRPr="007334C5">
        <w:rPr>
          <w:rFonts w:cstheme="minorHAnsi"/>
          <w:color w:val="000000" w:themeColor="text1"/>
          <w:sz w:val="20"/>
          <w:szCs w:val="20"/>
        </w:rPr>
        <w:t xml:space="preserve">associated </w:t>
      </w:r>
      <w:r w:rsidR="005920AB" w:rsidRPr="007334C5">
        <w:rPr>
          <w:rFonts w:cstheme="minorHAnsi"/>
          <w:color w:val="000000" w:themeColor="text1"/>
          <w:sz w:val="20"/>
          <w:szCs w:val="20"/>
        </w:rPr>
        <w:t>payment</w:t>
      </w:r>
      <w:r w:rsidR="00194EA3" w:rsidRPr="007334C5">
        <w:rPr>
          <w:rFonts w:cstheme="minorHAnsi"/>
          <w:color w:val="000000" w:themeColor="text1"/>
          <w:sz w:val="20"/>
          <w:szCs w:val="20"/>
        </w:rPr>
        <w:t xml:space="preserve"> should </w:t>
      </w:r>
      <w:r w:rsidR="001C6CDD" w:rsidRPr="007334C5">
        <w:rPr>
          <w:rFonts w:cstheme="minorHAnsi"/>
          <w:color w:val="000000" w:themeColor="text1"/>
          <w:sz w:val="20"/>
          <w:szCs w:val="20"/>
        </w:rPr>
        <w:t xml:space="preserve">also </w:t>
      </w:r>
      <w:r w:rsidR="00194EA3" w:rsidRPr="007334C5">
        <w:rPr>
          <w:rFonts w:cstheme="minorHAnsi"/>
          <w:color w:val="000000" w:themeColor="text1"/>
          <w:sz w:val="20"/>
          <w:szCs w:val="20"/>
        </w:rPr>
        <w:t xml:space="preserve">be maintained. </w:t>
      </w:r>
      <w:r w:rsidR="00F3070B" w:rsidRPr="007334C5">
        <w:rPr>
          <w:rFonts w:cstheme="minorHAnsi"/>
          <w:color w:val="000000" w:themeColor="text1"/>
          <w:sz w:val="20"/>
          <w:szCs w:val="20"/>
        </w:rPr>
        <w:t xml:space="preserve">The </w:t>
      </w:r>
      <w:r w:rsidR="001C6CDD" w:rsidRPr="007334C5">
        <w:rPr>
          <w:rFonts w:cstheme="minorHAnsi"/>
          <w:color w:val="000000" w:themeColor="text1"/>
          <w:sz w:val="20"/>
          <w:szCs w:val="20"/>
        </w:rPr>
        <w:t xml:space="preserve">approval of </w:t>
      </w:r>
      <w:r w:rsidR="00F3070B" w:rsidRPr="007334C5">
        <w:rPr>
          <w:rFonts w:cstheme="minorHAnsi"/>
          <w:color w:val="000000" w:themeColor="text1"/>
          <w:sz w:val="20"/>
          <w:szCs w:val="20"/>
        </w:rPr>
        <w:t xml:space="preserve">goods and services received provides evidence that services have been </w:t>
      </w:r>
      <w:r w:rsidRPr="007334C5">
        <w:rPr>
          <w:rFonts w:cstheme="minorHAnsi"/>
          <w:color w:val="000000" w:themeColor="text1"/>
          <w:sz w:val="20"/>
          <w:szCs w:val="20"/>
        </w:rPr>
        <w:t xml:space="preserve">delivered </w:t>
      </w:r>
      <w:r w:rsidR="00F3070B" w:rsidRPr="007334C5">
        <w:rPr>
          <w:rFonts w:cstheme="minorHAnsi"/>
          <w:color w:val="000000" w:themeColor="text1"/>
          <w:sz w:val="20"/>
          <w:szCs w:val="20"/>
        </w:rPr>
        <w:t>as expected</w:t>
      </w:r>
      <w:r w:rsidRPr="007334C5">
        <w:rPr>
          <w:rFonts w:cstheme="minorHAnsi"/>
          <w:color w:val="000000" w:themeColor="text1"/>
          <w:sz w:val="20"/>
          <w:szCs w:val="20"/>
        </w:rPr>
        <w:t xml:space="preserve"> and</w:t>
      </w:r>
      <w:r w:rsidR="00B86CC2" w:rsidRPr="007334C5">
        <w:rPr>
          <w:rFonts w:cstheme="minorHAnsi"/>
          <w:color w:val="000000" w:themeColor="text1"/>
          <w:sz w:val="20"/>
          <w:szCs w:val="20"/>
        </w:rPr>
        <w:t xml:space="preserve"> </w:t>
      </w:r>
      <w:r w:rsidR="00F3070B" w:rsidRPr="007334C5">
        <w:rPr>
          <w:rFonts w:cstheme="minorHAnsi"/>
          <w:color w:val="000000" w:themeColor="text1"/>
          <w:sz w:val="20"/>
          <w:szCs w:val="20"/>
        </w:rPr>
        <w:t>in accordance with the original order or contract and can</w:t>
      </w:r>
      <w:r w:rsidRPr="007334C5">
        <w:rPr>
          <w:rFonts w:cstheme="minorHAnsi"/>
          <w:color w:val="000000" w:themeColor="text1"/>
          <w:sz w:val="20"/>
          <w:szCs w:val="20"/>
        </w:rPr>
        <w:t xml:space="preserve"> therefore</w:t>
      </w:r>
      <w:r w:rsidR="00F3070B" w:rsidRPr="007334C5">
        <w:rPr>
          <w:rFonts w:cstheme="minorHAnsi"/>
          <w:color w:val="000000" w:themeColor="text1"/>
          <w:sz w:val="20"/>
          <w:szCs w:val="20"/>
        </w:rPr>
        <w:t xml:space="preserve"> </w:t>
      </w:r>
      <w:r w:rsidRPr="007334C5">
        <w:rPr>
          <w:rFonts w:cstheme="minorHAnsi"/>
          <w:color w:val="000000" w:themeColor="text1"/>
          <w:sz w:val="20"/>
          <w:szCs w:val="20"/>
        </w:rPr>
        <w:t>be</w:t>
      </w:r>
      <w:r w:rsidR="00F3070B" w:rsidRPr="007334C5">
        <w:rPr>
          <w:rFonts w:cstheme="minorHAnsi"/>
          <w:color w:val="000000" w:themeColor="text1"/>
          <w:sz w:val="20"/>
          <w:szCs w:val="20"/>
        </w:rPr>
        <w:t xml:space="preserve"> paid. Additionally</w:t>
      </w:r>
      <w:r w:rsidR="00910A7D" w:rsidRPr="007334C5">
        <w:rPr>
          <w:rFonts w:cstheme="minorHAnsi"/>
          <w:color w:val="000000" w:themeColor="text1"/>
          <w:sz w:val="20"/>
          <w:szCs w:val="20"/>
        </w:rPr>
        <w:t>, as this relates to the expenditure of public monies</w:t>
      </w:r>
      <w:r w:rsidR="000F3BDE" w:rsidRPr="007334C5">
        <w:rPr>
          <w:rFonts w:cstheme="minorHAnsi"/>
          <w:color w:val="000000" w:themeColor="text1"/>
          <w:sz w:val="20"/>
          <w:szCs w:val="20"/>
        </w:rPr>
        <w:t>,</w:t>
      </w:r>
      <w:r w:rsidR="00910A7D" w:rsidRPr="007334C5">
        <w:rPr>
          <w:rFonts w:cstheme="minorHAnsi"/>
          <w:color w:val="000000" w:themeColor="text1"/>
          <w:sz w:val="20"/>
          <w:szCs w:val="20"/>
        </w:rPr>
        <w:t xml:space="preserve"> </w:t>
      </w:r>
      <w:r w:rsidRPr="007334C5">
        <w:rPr>
          <w:rFonts w:cstheme="minorHAnsi"/>
          <w:color w:val="000000" w:themeColor="text1"/>
          <w:sz w:val="20"/>
          <w:szCs w:val="20"/>
        </w:rPr>
        <w:t>further</w:t>
      </w:r>
      <w:r w:rsidR="00910A7D" w:rsidRPr="007334C5">
        <w:rPr>
          <w:rFonts w:cstheme="minorHAnsi"/>
          <w:color w:val="000000" w:themeColor="text1"/>
          <w:sz w:val="20"/>
          <w:szCs w:val="20"/>
        </w:rPr>
        <w:t xml:space="preserve"> layers of accountability and transparency </w:t>
      </w:r>
      <w:r w:rsidR="00194EA3" w:rsidRPr="007334C5">
        <w:rPr>
          <w:rFonts w:cstheme="minorHAnsi"/>
          <w:color w:val="000000" w:themeColor="text1"/>
          <w:sz w:val="20"/>
          <w:szCs w:val="20"/>
        </w:rPr>
        <w:t xml:space="preserve">should be </w:t>
      </w:r>
      <w:r w:rsidR="001C6CDD" w:rsidRPr="007334C5">
        <w:rPr>
          <w:rFonts w:cstheme="minorHAnsi"/>
          <w:color w:val="000000" w:themeColor="text1"/>
          <w:sz w:val="20"/>
          <w:szCs w:val="20"/>
        </w:rPr>
        <w:t>afforded</w:t>
      </w:r>
      <w:r w:rsidR="00910A7D" w:rsidRPr="007334C5">
        <w:rPr>
          <w:rFonts w:cstheme="minorHAnsi"/>
          <w:color w:val="000000" w:themeColor="text1"/>
          <w:sz w:val="20"/>
          <w:szCs w:val="20"/>
        </w:rPr>
        <w:t xml:space="preserve">. </w:t>
      </w:r>
    </w:p>
    <w:p w:rsidR="00194EA3" w:rsidRPr="007334C5" w:rsidRDefault="00194EA3" w:rsidP="00576A25">
      <w:pPr>
        <w:spacing w:before="120" w:after="120" w:line="240" w:lineRule="auto"/>
        <w:rPr>
          <w:rFonts w:cstheme="minorHAnsi"/>
          <w:color w:val="000000" w:themeColor="text1"/>
          <w:sz w:val="20"/>
          <w:szCs w:val="20"/>
        </w:rPr>
      </w:pPr>
      <w:r w:rsidRPr="007334C5">
        <w:rPr>
          <w:rFonts w:cstheme="minorHAnsi"/>
          <w:color w:val="000000" w:themeColor="text1"/>
          <w:sz w:val="20"/>
          <w:szCs w:val="20"/>
        </w:rPr>
        <w:t xml:space="preserve">DoI Water should update the invoice approval process to ensure requisite approvals and evidence are appropriately recorded </w:t>
      </w:r>
      <w:r w:rsidR="00606E33" w:rsidRPr="007334C5">
        <w:rPr>
          <w:rFonts w:cstheme="minorHAnsi"/>
          <w:color w:val="000000" w:themeColor="text1"/>
          <w:sz w:val="20"/>
          <w:szCs w:val="20"/>
        </w:rPr>
        <w:t xml:space="preserve">and stored </w:t>
      </w:r>
      <w:r w:rsidRPr="007334C5">
        <w:rPr>
          <w:rFonts w:cstheme="minorHAnsi"/>
          <w:color w:val="000000" w:themeColor="text1"/>
          <w:sz w:val="20"/>
          <w:szCs w:val="20"/>
        </w:rPr>
        <w:t>on project files. Additionally, DoI Water should consi</w:t>
      </w:r>
      <w:r w:rsidR="001C6CDD" w:rsidRPr="007334C5">
        <w:rPr>
          <w:rFonts w:cstheme="minorHAnsi"/>
          <w:color w:val="000000" w:themeColor="text1"/>
          <w:sz w:val="20"/>
          <w:szCs w:val="20"/>
        </w:rPr>
        <w:t>der</w:t>
      </w:r>
      <w:r w:rsidRPr="007334C5">
        <w:rPr>
          <w:rFonts w:cstheme="minorHAnsi"/>
          <w:color w:val="000000" w:themeColor="text1"/>
          <w:sz w:val="20"/>
          <w:szCs w:val="20"/>
        </w:rPr>
        <w:t xml:space="preserve"> documenting the approvals process and </w:t>
      </w:r>
      <w:r w:rsidR="00606E33" w:rsidRPr="007334C5">
        <w:rPr>
          <w:rFonts w:cstheme="minorHAnsi"/>
          <w:color w:val="000000" w:themeColor="text1"/>
          <w:sz w:val="20"/>
          <w:szCs w:val="20"/>
        </w:rPr>
        <w:t xml:space="preserve">formally </w:t>
      </w:r>
      <w:r w:rsidRPr="007334C5">
        <w:rPr>
          <w:rFonts w:cstheme="minorHAnsi"/>
          <w:color w:val="000000" w:themeColor="text1"/>
          <w:sz w:val="20"/>
          <w:szCs w:val="20"/>
        </w:rPr>
        <w:t xml:space="preserve">communicating it to relevant staff. </w:t>
      </w:r>
    </w:p>
    <w:p w:rsidR="003701E6" w:rsidRPr="007334C5" w:rsidRDefault="003701E6" w:rsidP="0044719A">
      <w:pPr>
        <w:pStyle w:val="Heading2"/>
        <w:pageBreakBefore/>
        <w:rPr>
          <w:rFonts w:asciiTheme="minorHAnsi" w:hAnsiTheme="minorHAnsi" w:cstheme="minorHAnsi"/>
        </w:rPr>
      </w:pPr>
      <w:bookmarkStart w:id="30" w:name="_Toc535401144"/>
      <w:r w:rsidRPr="007334C5">
        <w:rPr>
          <w:rFonts w:asciiTheme="minorHAnsi" w:hAnsiTheme="minorHAnsi" w:cstheme="minorHAnsi"/>
        </w:rPr>
        <w:t>Document management</w:t>
      </w:r>
      <w:bookmarkEnd w:id="30"/>
    </w:p>
    <w:p w:rsidR="000F0AAC" w:rsidRPr="007334C5" w:rsidRDefault="00F21960" w:rsidP="00576A25">
      <w:pPr>
        <w:spacing w:before="120" w:after="120" w:line="240" w:lineRule="auto"/>
        <w:rPr>
          <w:rFonts w:cstheme="minorHAnsi"/>
          <w:sz w:val="20"/>
          <w:szCs w:val="20"/>
        </w:rPr>
      </w:pPr>
      <w:r w:rsidRPr="007334C5">
        <w:rPr>
          <w:rFonts w:cstheme="minorHAnsi"/>
          <w:sz w:val="20"/>
          <w:szCs w:val="20"/>
        </w:rPr>
        <w:t>KPMG noted a number of instances where project documentation could not be located or was not readily available</w:t>
      </w:r>
      <w:r w:rsidR="00DE739D" w:rsidRPr="007334C5">
        <w:rPr>
          <w:rFonts w:cstheme="minorHAnsi"/>
          <w:sz w:val="20"/>
          <w:szCs w:val="20"/>
        </w:rPr>
        <w:t xml:space="preserve"> for the sample of schemes teste</w:t>
      </w:r>
      <w:r w:rsidR="00E620E1" w:rsidRPr="007334C5">
        <w:rPr>
          <w:rFonts w:cstheme="minorHAnsi"/>
          <w:sz w:val="20"/>
          <w:szCs w:val="20"/>
        </w:rPr>
        <w:t>d</w:t>
      </w:r>
      <w:r w:rsidR="000F3BDE" w:rsidRPr="007334C5">
        <w:rPr>
          <w:rFonts w:cstheme="minorHAnsi"/>
          <w:sz w:val="20"/>
          <w:szCs w:val="20"/>
        </w:rPr>
        <w:t>. T</w:t>
      </w:r>
      <w:r w:rsidRPr="007334C5">
        <w:rPr>
          <w:rFonts w:cstheme="minorHAnsi"/>
          <w:sz w:val="20"/>
          <w:szCs w:val="20"/>
        </w:rPr>
        <w:t>he</w:t>
      </w:r>
      <w:r w:rsidR="00DE739D" w:rsidRPr="007334C5">
        <w:rPr>
          <w:rFonts w:cstheme="minorHAnsi"/>
          <w:sz w:val="20"/>
          <w:szCs w:val="20"/>
        </w:rPr>
        <w:t xml:space="preserve">se </w:t>
      </w:r>
      <w:r w:rsidR="001C6CDD" w:rsidRPr="007334C5">
        <w:rPr>
          <w:rFonts w:cstheme="minorHAnsi"/>
          <w:sz w:val="20"/>
          <w:szCs w:val="20"/>
        </w:rPr>
        <w:t xml:space="preserve">instances </w:t>
      </w:r>
      <w:r w:rsidRPr="007334C5">
        <w:rPr>
          <w:rFonts w:cstheme="minorHAnsi"/>
          <w:sz w:val="20"/>
          <w:szCs w:val="20"/>
        </w:rPr>
        <w:t xml:space="preserve">related to schemes </w:t>
      </w:r>
      <w:r w:rsidR="001C6CDD" w:rsidRPr="007334C5">
        <w:rPr>
          <w:rFonts w:cstheme="minorHAnsi"/>
          <w:sz w:val="20"/>
          <w:szCs w:val="20"/>
        </w:rPr>
        <w:t>that had commenced earlier</w:t>
      </w:r>
      <w:r w:rsidRPr="007334C5">
        <w:rPr>
          <w:rFonts w:cstheme="minorHAnsi"/>
          <w:sz w:val="20"/>
          <w:szCs w:val="20"/>
        </w:rPr>
        <w:t xml:space="preserve"> in the project. </w:t>
      </w:r>
      <w:r w:rsidR="00DE739D" w:rsidRPr="007334C5">
        <w:rPr>
          <w:rFonts w:cstheme="minorHAnsi"/>
          <w:sz w:val="20"/>
          <w:szCs w:val="20"/>
        </w:rPr>
        <w:t xml:space="preserve">Discussions with the </w:t>
      </w:r>
      <w:r w:rsidR="000700AC" w:rsidRPr="007334C5">
        <w:rPr>
          <w:rFonts w:cstheme="minorHAnsi"/>
          <w:sz w:val="20"/>
          <w:szCs w:val="20"/>
        </w:rPr>
        <w:t>Project Manager</w:t>
      </w:r>
      <w:r w:rsidR="00DE739D" w:rsidRPr="007334C5">
        <w:rPr>
          <w:rFonts w:cstheme="minorHAnsi"/>
          <w:sz w:val="20"/>
          <w:szCs w:val="20"/>
        </w:rPr>
        <w:t xml:space="preserve"> indicated that the project documentation related to earlier schemes </w:t>
      </w:r>
      <w:r w:rsidR="000F3BDE" w:rsidRPr="007334C5">
        <w:rPr>
          <w:rFonts w:cstheme="minorHAnsi"/>
          <w:sz w:val="20"/>
          <w:szCs w:val="20"/>
        </w:rPr>
        <w:t xml:space="preserve">and </w:t>
      </w:r>
      <w:r w:rsidR="00DE739D" w:rsidRPr="007334C5">
        <w:rPr>
          <w:rFonts w:cstheme="minorHAnsi"/>
          <w:sz w:val="20"/>
          <w:szCs w:val="20"/>
        </w:rPr>
        <w:t xml:space="preserve">had not been fully transitioned to CM9 </w:t>
      </w:r>
      <w:r w:rsidR="000F3BDE" w:rsidRPr="007334C5">
        <w:rPr>
          <w:rFonts w:cstheme="minorHAnsi"/>
          <w:sz w:val="20"/>
          <w:szCs w:val="20"/>
        </w:rPr>
        <w:t xml:space="preserve">but </w:t>
      </w:r>
      <w:r w:rsidR="000F0AAC" w:rsidRPr="007334C5">
        <w:rPr>
          <w:rFonts w:cstheme="minorHAnsi"/>
          <w:sz w:val="20"/>
          <w:szCs w:val="20"/>
        </w:rPr>
        <w:t xml:space="preserve">were </w:t>
      </w:r>
      <w:r w:rsidR="00DE739D" w:rsidRPr="007334C5">
        <w:rPr>
          <w:rFonts w:cstheme="minorHAnsi"/>
          <w:sz w:val="20"/>
          <w:szCs w:val="20"/>
        </w:rPr>
        <w:t xml:space="preserve">still retained on local servers. </w:t>
      </w:r>
    </w:p>
    <w:p w:rsidR="000F0AAC" w:rsidRPr="007334C5" w:rsidRDefault="000F0AAC" w:rsidP="00576A25">
      <w:pPr>
        <w:spacing w:before="120" w:after="120" w:line="240" w:lineRule="auto"/>
        <w:rPr>
          <w:rFonts w:cstheme="minorHAnsi"/>
          <w:sz w:val="20"/>
          <w:szCs w:val="20"/>
        </w:rPr>
      </w:pPr>
      <w:r w:rsidRPr="007334C5">
        <w:rPr>
          <w:rFonts w:cstheme="minorHAnsi"/>
          <w:sz w:val="20"/>
          <w:szCs w:val="20"/>
        </w:rPr>
        <w:t>Prior to the form</w:t>
      </w:r>
      <w:r w:rsidR="00AD3A6D" w:rsidRPr="007334C5">
        <w:rPr>
          <w:rFonts w:cstheme="minorHAnsi"/>
          <w:sz w:val="20"/>
          <w:szCs w:val="20"/>
        </w:rPr>
        <w:t xml:space="preserve">al closure of the </w:t>
      </w:r>
      <w:r w:rsidR="000700AC" w:rsidRPr="007334C5">
        <w:rPr>
          <w:rFonts w:cstheme="minorHAnsi"/>
          <w:sz w:val="20"/>
          <w:szCs w:val="20"/>
        </w:rPr>
        <w:t>Basin Pipe Project</w:t>
      </w:r>
      <w:r w:rsidRPr="007334C5">
        <w:rPr>
          <w:rFonts w:cstheme="minorHAnsi"/>
          <w:sz w:val="20"/>
          <w:szCs w:val="20"/>
        </w:rPr>
        <w:t xml:space="preserve">, DoI Water should ensure all relevant project documentation is transitioned to CM9 with importance placed on evidence of key decisions. For any gaps identified, file notes should be prepared to provide an appropriate audit trail. </w:t>
      </w:r>
    </w:p>
    <w:p w:rsidR="00081A4B" w:rsidRPr="007334C5" w:rsidRDefault="0089090B" w:rsidP="008166D7">
      <w:pPr>
        <w:pStyle w:val="Heading2"/>
        <w:rPr>
          <w:rFonts w:asciiTheme="minorHAnsi" w:hAnsiTheme="minorHAnsi" w:cstheme="minorHAnsi"/>
        </w:rPr>
      </w:pPr>
      <w:bookmarkStart w:id="31" w:name="_Toc535401145"/>
      <w:r w:rsidRPr="007334C5">
        <w:rPr>
          <w:rFonts w:asciiTheme="minorHAnsi" w:hAnsiTheme="minorHAnsi" w:cstheme="minorHAnsi"/>
        </w:rPr>
        <w:t>Staff guidance</w:t>
      </w:r>
      <w:bookmarkEnd w:id="31"/>
      <w:r w:rsidR="00081A4B" w:rsidRPr="007334C5">
        <w:rPr>
          <w:rFonts w:asciiTheme="minorHAnsi" w:hAnsiTheme="minorHAnsi" w:cstheme="minorHAnsi"/>
        </w:rPr>
        <w:t xml:space="preserve"> </w:t>
      </w:r>
    </w:p>
    <w:p w:rsidR="000C4082" w:rsidRPr="007334C5" w:rsidRDefault="000C4082" w:rsidP="000C4082">
      <w:pPr>
        <w:spacing w:before="120" w:after="120" w:line="240" w:lineRule="auto"/>
        <w:rPr>
          <w:rFonts w:cstheme="minorHAnsi"/>
          <w:color w:val="000000" w:themeColor="text1"/>
          <w:sz w:val="20"/>
          <w:szCs w:val="20"/>
        </w:rPr>
      </w:pPr>
      <w:r w:rsidRPr="007334C5">
        <w:rPr>
          <w:rFonts w:cstheme="minorHAnsi"/>
          <w:color w:val="000000" w:themeColor="text1"/>
          <w:sz w:val="20"/>
          <w:szCs w:val="20"/>
        </w:rPr>
        <w:t>KPMG noted limited detailed guidance or standard operating procedures for staff. For example</w:t>
      </w:r>
      <w:r w:rsidR="000F3BDE" w:rsidRPr="007334C5">
        <w:rPr>
          <w:rFonts w:cstheme="minorHAnsi"/>
          <w:color w:val="000000" w:themeColor="text1"/>
          <w:sz w:val="20"/>
          <w:szCs w:val="20"/>
        </w:rPr>
        <w:t>,</w:t>
      </w:r>
      <w:r w:rsidRPr="007334C5">
        <w:rPr>
          <w:rFonts w:cstheme="minorHAnsi"/>
          <w:color w:val="000000" w:themeColor="text1"/>
          <w:sz w:val="20"/>
          <w:szCs w:val="20"/>
        </w:rPr>
        <w:t xml:space="preserve"> no specific </w:t>
      </w:r>
      <w:r w:rsidR="009B2084" w:rsidRPr="007334C5">
        <w:rPr>
          <w:rFonts w:cstheme="minorHAnsi"/>
          <w:color w:val="000000" w:themeColor="text1"/>
          <w:sz w:val="20"/>
          <w:szCs w:val="20"/>
        </w:rPr>
        <w:t xml:space="preserve">process level </w:t>
      </w:r>
      <w:r w:rsidRPr="007334C5">
        <w:rPr>
          <w:rFonts w:cstheme="minorHAnsi"/>
          <w:color w:val="000000" w:themeColor="text1"/>
          <w:sz w:val="20"/>
          <w:szCs w:val="20"/>
        </w:rPr>
        <w:t>guidance</w:t>
      </w:r>
      <w:r w:rsidR="009B2084" w:rsidRPr="007334C5">
        <w:rPr>
          <w:rFonts w:cstheme="minorHAnsi"/>
          <w:color w:val="000000" w:themeColor="text1"/>
          <w:sz w:val="20"/>
          <w:szCs w:val="20"/>
        </w:rPr>
        <w:t xml:space="preserve"> </w:t>
      </w:r>
      <w:r w:rsidR="00606E33" w:rsidRPr="007334C5">
        <w:rPr>
          <w:rFonts w:cstheme="minorHAnsi"/>
          <w:color w:val="000000" w:themeColor="text1"/>
          <w:sz w:val="20"/>
          <w:szCs w:val="20"/>
        </w:rPr>
        <w:t xml:space="preserve">or </w:t>
      </w:r>
      <w:r w:rsidR="009B2084" w:rsidRPr="007334C5">
        <w:rPr>
          <w:rFonts w:cstheme="minorHAnsi"/>
          <w:color w:val="000000" w:themeColor="text1"/>
          <w:sz w:val="20"/>
          <w:szCs w:val="20"/>
        </w:rPr>
        <w:t>standard operating procedures were available</w:t>
      </w:r>
      <w:r w:rsidRPr="007334C5">
        <w:rPr>
          <w:rFonts w:cstheme="minorHAnsi"/>
          <w:color w:val="000000" w:themeColor="text1"/>
          <w:sz w:val="20"/>
          <w:szCs w:val="20"/>
        </w:rPr>
        <w:t xml:space="preserve"> </w:t>
      </w:r>
      <w:r w:rsidR="00606E33" w:rsidRPr="007334C5">
        <w:rPr>
          <w:rFonts w:cstheme="minorHAnsi"/>
          <w:color w:val="000000" w:themeColor="text1"/>
          <w:sz w:val="20"/>
          <w:szCs w:val="20"/>
        </w:rPr>
        <w:t xml:space="preserve">to outline </w:t>
      </w:r>
      <w:r w:rsidR="00A5796B" w:rsidRPr="007334C5">
        <w:rPr>
          <w:rFonts w:cstheme="minorHAnsi"/>
          <w:color w:val="000000" w:themeColor="text1"/>
          <w:sz w:val="20"/>
          <w:szCs w:val="20"/>
        </w:rPr>
        <w:t>in detail</w:t>
      </w:r>
      <w:r w:rsidRPr="007334C5">
        <w:rPr>
          <w:rFonts w:cstheme="minorHAnsi"/>
          <w:color w:val="000000" w:themeColor="text1"/>
          <w:sz w:val="20"/>
          <w:szCs w:val="20"/>
        </w:rPr>
        <w:t>:</w:t>
      </w:r>
    </w:p>
    <w:p w:rsidR="00A5796B" w:rsidRPr="007334C5" w:rsidRDefault="000C4082" w:rsidP="00576A25">
      <w:pPr>
        <w:pStyle w:val="ListParagraph"/>
        <w:numPr>
          <w:ilvl w:val="0"/>
          <w:numId w:val="21"/>
        </w:numPr>
        <w:spacing w:before="120" w:after="120" w:line="240" w:lineRule="auto"/>
        <w:rPr>
          <w:rFonts w:cstheme="minorHAnsi"/>
          <w:color w:val="000000" w:themeColor="text1"/>
          <w:sz w:val="20"/>
          <w:szCs w:val="20"/>
        </w:rPr>
      </w:pPr>
      <w:r w:rsidRPr="007334C5">
        <w:rPr>
          <w:rFonts w:cstheme="minorHAnsi"/>
          <w:color w:val="000000" w:themeColor="text1"/>
          <w:sz w:val="20"/>
          <w:szCs w:val="20"/>
        </w:rPr>
        <w:t xml:space="preserve">Invoice acquittal and approval process; </w:t>
      </w:r>
    </w:p>
    <w:p w:rsidR="000C4082" w:rsidRPr="007334C5" w:rsidRDefault="00A5796B" w:rsidP="00576A25">
      <w:pPr>
        <w:pStyle w:val="ListParagraph"/>
        <w:numPr>
          <w:ilvl w:val="0"/>
          <w:numId w:val="21"/>
        </w:numPr>
        <w:spacing w:before="120" w:after="120" w:line="240" w:lineRule="auto"/>
        <w:rPr>
          <w:rFonts w:cstheme="minorHAnsi"/>
          <w:color w:val="000000" w:themeColor="text1"/>
          <w:sz w:val="20"/>
          <w:szCs w:val="20"/>
        </w:rPr>
      </w:pPr>
      <w:r w:rsidRPr="007334C5">
        <w:rPr>
          <w:rFonts w:cstheme="minorHAnsi"/>
          <w:color w:val="000000" w:themeColor="text1"/>
          <w:sz w:val="20"/>
          <w:szCs w:val="20"/>
        </w:rPr>
        <w:t xml:space="preserve">Scheme review and approvals process; </w:t>
      </w:r>
      <w:r w:rsidR="00606E33" w:rsidRPr="007334C5">
        <w:rPr>
          <w:rFonts w:cstheme="minorHAnsi"/>
          <w:color w:val="000000" w:themeColor="text1"/>
          <w:sz w:val="20"/>
          <w:szCs w:val="20"/>
        </w:rPr>
        <w:t>or</w:t>
      </w:r>
    </w:p>
    <w:p w:rsidR="000C4082" w:rsidRPr="007334C5" w:rsidRDefault="000C4082" w:rsidP="000F0AAC">
      <w:pPr>
        <w:pStyle w:val="ListParagraph"/>
        <w:numPr>
          <w:ilvl w:val="0"/>
          <w:numId w:val="21"/>
        </w:numPr>
        <w:spacing w:before="120" w:after="120" w:line="240" w:lineRule="auto"/>
        <w:rPr>
          <w:rFonts w:cstheme="minorHAnsi"/>
          <w:color w:val="000000" w:themeColor="text1"/>
          <w:sz w:val="20"/>
          <w:szCs w:val="20"/>
        </w:rPr>
      </w:pPr>
      <w:r w:rsidRPr="007334C5">
        <w:rPr>
          <w:rFonts w:cstheme="minorHAnsi"/>
          <w:color w:val="000000" w:themeColor="text1"/>
          <w:sz w:val="20"/>
          <w:szCs w:val="20"/>
        </w:rPr>
        <w:t xml:space="preserve">Ongoing </w:t>
      </w:r>
      <w:r w:rsidR="00B337EA" w:rsidRPr="007334C5">
        <w:rPr>
          <w:rFonts w:cstheme="minorHAnsi"/>
          <w:color w:val="000000" w:themeColor="text1"/>
          <w:sz w:val="20"/>
          <w:szCs w:val="20"/>
        </w:rPr>
        <w:t xml:space="preserve">document </w:t>
      </w:r>
      <w:r w:rsidRPr="007334C5">
        <w:rPr>
          <w:rFonts w:cstheme="minorHAnsi"/>
          <w:color w:val="000000" w:themeColor="text1"/>
          <w:sz w:val="20"/>
          <w:szCs w:val="20"/>
        </w:rPr>
        <w:t>management</w:t>
      </w:r>
      <w:r w:rsidR="001C6CDD" w:rsidRPr="007334C5">
        <w:rPr>
          <w:rFonts w:cstheme="minorHAnsi"/>
          <w:color w:val="000000" w:themeColor="text1"/>
          <w:sz w:val="20"/>
          <w:szCs w:val="20"/>
        </w:rPr>
        <w:t xml:space="preserve"> protocols</w:t>
      </w:r>
      <w:r w:rsidRPr="007334C5">
        <w:rPr>
          <w:rFonts w:cstheme="minorHAnsi"/>
          <w:color w:val="000000" w:themeColor="text1"/>
          <w:sz w:val="20"/>
          <w:szCs w:val="20"/>
        </w:rPr>
        <w:t xml:space="preserve">. </w:t>
      </w:r>
    </w:p>
    <w:p w:rsidR="0089090B" w:rsidRPr="007334C5" w:rsidRDefault="00A5796B" w:rsidP="00576A25">
      <w:pPr>
        <w:spacing w:before="120" w:after="120" w:line="240" w:lineRule="auto"/>
        <w:rPr>
          <w:rFonts w:cstheme="minorHAnsi"/>
          <w:sz w:val="20"/>
          <w:szCs w:val="20"/>
        </w:rPr>
      </w:pPr>
      <w:r w:rsidRPr="007334C5">
        <w:rPr>
          <w:rFonts w:cstheme="minorHAnsi"/>
          <w:sz w:val="20"/>
          <w:szCs w:val="20"/>
        </w:rPr>
        <w:t>While Basin Pipe staff consulted appeared to have a good understanding of key processes, an</w:t>
      </w:r>
      <w:r w:rsidR="000C4082" w:rsidRPr="007334C5">
        <w:rPr>
          <w:rFonts w:cstheme="minorHAnsi"/>
          <w:sz w:val="20"/>
          <w:szCs w:val="20"/>
        </w:rPr>
        <w:t xml:space="preserve"> important aspect of </w:t>
      </w:r>
      <w:r w:rsidRPr="007334C5">
        <w:rPr>
          <w:rFonts w:cstheme="minorHAnsi"/>
          <w:sz w:val="20"/>
          <w:szCs w:val="20"/>
        </w:rPr>
        <w:t xml:space="preserve">improving </w:t>
      </w:r>
      <w:r w:rsidR="000C4082" w:rsidRPr="007334C5">
        <w:rPr>
          <w:rFonts w:cstheme="minorHAnsi"/>
          <w:sz w:val="20"/>
          <w:szCs w:val="20"/>
        </w:rPr>
        <w:t xml:space="preserve">consistency and quality across processes is to ensure the team is </w:t>
      </w:r>
      <w:r w:rsidR="001C6CDD" w:rsidRPr="007334C5">
        <w:rPr>
          <w:rFonts w:cstheme="minorHAnsi"/>
          <w:sz w:val="20"/>
          <w:szCs w:val="20"/>
        </w:rPr>
        <w:t>operating from</w:t>
      </w:r>
      <w:r w:rsidR="000C4082" w:rsidRPr="007334C5">
        <w:rPr>
          <w:rFonts w:cstheme="minorHAnsi"/>
          <w:sz w:val="20"/>
          <w:szCs w:val="20"/>
        </w:rPr>
        <w:t xml:space="preserve"> formalised and agreed upon procedures. This is particularly important </w:t>
      </w:r>
      <w:r w:rsidR="00615D3D" w:rsidRPr="007334C5">
        <w:rPr>
          <w:rFonts w:cstheme="minorHAnsi"/>
          <w:sz w:val="20"/>
          <w:szCs w:val="20"/>
        </w:rPr>
        <w:t>where</w:t>
      </w:r>
      <w:r w:rsidR="000C4082" w:rsidRPr="007334C5">
        <w:rPr>
          <w:rFonts w:cstheme="minorHAnsi"/>
          <w:sz w:val="20"/>
          <w:szCs w:val="20"/>
        </w:rPr>
        <w:t xml:space="preserve"> the team is geographically dispersed like the Basin Pipe team. </w:t>
      </w:r>
      <w:r w:rsidR="00615D3D" w:rsidRPr="007334C5">
        <w:rPr>
          <w:rFonts w:cstheme="minorHAnsi"/>
          <w:sz w:val="20"/>
          <w:szCs w:val="20"/>
        </w:rPr>
        <w:t>Additionally, this assists with staff on</w:t>
      </w:r>
      <w:r w:rsidR="000F0AAC" w:rsidRPr="007334C5">
        <w:rPr>
          <w:rFonts w:cstheme="minorHAnsi"/>
          <w:sz w:val="20"/>
          <w:szCs w:val="20"/>
        </w:rPr>
        <w:t>-</w:t>
      </w:r>
      <w:r w:rsidR="00615D3D" w:rsidRPr="007334C5">
        <w:rPr>
          <w:rFonts w:cstheme="minorHAnsi"/>
          <w:sz w:val="20"/>
          <w:szCs w:val="20"/>
        </w:rPr>
        <w:t xml:space="preserve">boarding and knowledge management. </w:t>
      </w:r>
    </w:p>
    <w:p w:rsidR="000C4082" w:rsidRPr="007334C5" w:rsidRDefault="000C4082" w:rsidP="00576A25">
      <w:pPr>
        <w:pStyle w:val="ListParagraph"/>
        <w:spacing w:before="120" w:after="120" w:line="240" w:lineRule="auto"/>
        <w:ind w:left="0"/>
        <w:contextualSpacing w:val="0"/>
        <w:rPr>
          <w:rFonts w:cstheme="minorHAnsi"/>
          <w:sz w:val="20"/>
          <w:szCs w:val="20"/>
        </w:rPr>
      </w:pPr>
      <w:r w:rsidRPr="007334C5">
        <w:rPr>
          <w:rFonts w:cstheme="minorHAnsi"/>
          <w:sz w:val="20"/>
          <w:szCs w:val="20"/>
        </w:rPr>
        <w:t>For future projects</w:t>
      </w:r>
      <w:r w:rsidR="000D25AC" w:rsidRPr="007334C5">
        <w:rPr>
          <w:rFonts w:cstheme="minorHAnsi"/>
          <w:sz w:val="20"/>
          <w:szCs w:val="20"/>
        </w:rPr>
        <w:t>,</w:t>
      </w:r>
      <w:r w:rsidRPr="007334C5">
        <w:rPr>
          <w:rFonts w:cstheme="minorHAnsi"/>
          <w:sz w:val="20"/>
          <w:szCs w:val="20"/>
        </w:rPr>
        <w:t xml:space="preserve"> </w:t>
      </w:r>
      <w:r w:rsidR="00E620E1" w:rsidRPr="007334C5">
        <w:rPr>
          <w:rFonts w:cstheme="minorHAnsi"/>
          <w:sz w:val="20"/>
          <w:szCs w:val="20"/>
        </w:rPr>
        <w:t>DoI Water</w:t>
      </w:r>
      <w:r w:rsidRPr="007334C5">
        <w:rPr>
          <w:rFonts w:cstheme="minorHAnsi"/>
          <w:sz w:val="20"/>
          <w:szCs w:val="20"/>
        </w:rPr>
        <w:t xml:space="preserve"> should ensure detailed guidance</w:t>
      </w:r>
      <w:r w:rsidR="00615D3D" w:rsidRPr="007334C5">
        <w:rPr>
          <w:rFonts w:cstheme="minorHAnsi"/>
          <w:sz w:val="20"/>
          <w:szCs w:val="20"/>
        </w:rPr>
        <w:t xml:space="preserve"> </w:t>
      </w:r>
      <w:r w:rsidR="00606E33" w:rsidRPr="007334C5">
        <w:rPr>
          <w:rFonts w:cstheme="minorHAnsi"/>
          <w:sz w:val="20"/>
          <w:szCs w:val="20"/>
        </w:rPr>
        <w:t xml:space="preserve">and/or </w:t>
      </w:r>
      <w:r w:rsidR="00615D3D" w:rsidRPr="007334C5">
        <w:rPr>
          <w:rFonts w:cstheme="minorHAnsi"/>
          <w:sz w:val="20"/>
          <w:szCs w:val="20"/>
        </w:rPr>
        <w:t>standard operating procedures</w:t>
      </w:r>
      <w:r w:rsidRPr="007334C5">
        <w:rPr>
          <w:rFonts w:cstheme="minorHAnsi"/>
          <w:sz w:val="20"/>
          <w:szCs w:val="20"/>
        </w:rPr>
        <w:t xml:space="preserve"> covering key or recurring processes are developed and made available to staff. </w:t>
      </w:r>
    </w:p>
    <w:p w:rsidR="003650DE" w:rsidRPr="007334C5" w:rsidRDefault="00B54FA1" w:rsidP="00C95FF7">
      <w:pPr>
        <w:pStyle w:val="Heading2"/>
        <w:keepNext/>
        <w:rPr>
          <w:rFonts w:asciiTheme="minorHAnsi" w:hAnsiTheme="minorHAnsi" w:cstheme="minorHAnsi"/>
        </w:rPr>
      </w:pPr>
      <w:bookmarkStart w:id="32" w:name="_Toc522868881"/>
      <w:bookmarkStart w:id="33" w:name="_Toc522868885"/>
      <w:bookmarkStart w:id="34" w:name="_Toc535401146"/>
      <w:bookmarkEnd w:id="32"/>
      <w:bookmarkEnd w:id="33"/>
      <w:r w:rsidRPr="007334C5">
        <w:rPr>
          <w:rFonts w:asciiTheme="minorHAnsi" w:hAnsiTheme="minorHAnsi" w:cstheme="minorHAnsi"/>
        </w:rPr>
        <w:t>Inspection follow-up</w:t>
      </w:r>
      <w:bookmarkEnd w:id="34"/>
    </w:p>
    <w:p w:rsidR="003650DE" w:rsidRPr="007334C5" w:rsidRDefault="0012297C" w:rsidP="00576A25">
      <w:pPr>
        <w:spacing w:before="120" w:after="120" w:line="240" w:lineRule="auto"/>
        <w:rPr>
          <w:rFonts w:cstheme="minorHAnsi"/>
          <w:sz w:val="20"/>
          <w:szCs w:val="20"/>
        </w:rPr>
      </w:pPr>
      <w:r w:rsidRPr="007334C5">
        <w:rPr>
          <w:rFonts w:cstheme="minorHAnsi"/>
          <w:sz w:val="20"/>
          <w:szCs w:val="20"/>
        </w:rPr>
        <w:t xml:space="preserve">During on-site inspection, </w:t>
      </w:r>
      <w:r w:rsidR="001C6CDD" w:rsidRPr="007334C5">
        <w:rPr>
          <w:rFonts w:cstheme="minorHAnsi"/>
          <w:sz w:val="20"/>
          <w:szCs w:val="20"/>
        </w:rPr>
        <w:t xml:space="preserve">KPMG was </w:t>
      </w:r>
      <w:r w:rsidRPr="007334C5">
        <w:rPr>
          <w:rFonts w:cstheme="minorHAnsi"/>
          <w:sz w:val="20"/>
          <w:szCs w:val="20"/>
        </w:rPr>
        <w:t xml:space="preserve">unable to confirm whether actual capacity of tanks installed adjacent to </w:t>
      </w:r>
      <w:r w:rsidR="00116478" w:rsidRPr="007334C5">
        <w:rPr>
          <w:rFonts w:cstheme="minorHAnsi"/>
          <w:sz w:val="20"/>
          <w:szCs w:val="20"/>
        </w:rPr>
        <w:t xml:space="preserve">the </w:t>
      </w:r>
      <w:r w:rsidRPr="007334C5">
        <w:rPr>
          <w:rFonts w:cstheme="minorHAnsi"/>
          <w:sz w:val="20"/>
          <w:szCs w:val="20"/>
        </w:rPr>
        <w:t>supplementary pump station</w:t>
      </w:r>
      <w:r w:rsidR="00606E33" w:rsidRPr="007334C5">
        <w:rPr>
          <w:rFonts w:cstheme="minorHAnsi"/>
          <w:sz w:val="20"/>
          <w:szCs w:val="20"/>
        </w:rPr>
        <w:t>s</w:t>
      </w:r>
      <w:r w:rsidRPr="007334C5">
        <w:rPr>
          <w:rFonts w:cstheme="minorHAnsi"/>
          <w:sz w:val="20"/>
          <w:szCs w:val="20"/>
        </w:rPr>
        <w:t xml:space="preserve"> corresponded to</w:t>
      </w:r>
      <w:r w:rsidR="001C6CDD" w:rsidRPr="007334C5">
        <w:rPr>
          <w:rFonts w:cstheme="minorHAnsi"/>
          <w:sz w:val="20"/>
          <w:szCs w:val="20"/>
        </w:rPr>
        <w:t xml:space="preserve"> the</w:t>
      </w:r>
      <w:r w:rsidR="00B54FA1" w:rsidRPr="007334C5">
        <w:rPr>
          <w:rFonts w:cstheme="minorHAnsi"/>
          <w:sz w:val="20"/>
          <w:szCs w:val="20"/>
        </w:rPr>
        <w:t xml:space="preserve"> agreed design. </w:t>
      </w:r>
      <w:r w:rsidR="00D857E5" w:rsidRPr="007334C5">
        <w:rPr>
          <w:rFonts w:cstheme="minorHAnsi"/>
          <w:sz w:val="20"/>
          <w:szCs w:val="20"/>
        </w:rPr>
        <w:t>I</w:t>
      </w:r>
      <w:r w:rsidR="00B54FA1" w:rsidRPr="007334C5">
        <w:rPr>
          <w:rFonts w:cstheme="minorHAnsi"/>
          <w:sz w:val="20"/>
          <w:szCs w:val="20"/>
        </w:rPr>
        <w:t>nspection appear</w:t>
      </w:r>
      <w:r w:rsidR="001C6CDD" w:rsidRPr="007334C5">
        <w:rPr>
          <w:rFonts w:cstheme="minorHAnsi"/>
          <w:sz w:val="20"/>
          <w:szCs w:val="20"/>
        </w:rPr>
        <w:t>ed</w:t>
      </w:r>
      <w:r w:rsidR="00B54FA1" w:rsidRPr="007334C5">
        <w:rPr>
          <w:rFonts w:cstheme="minorHAnsi"/>
          <w:sz w:val="20"/>
          <w:szCs w:val="20"/>
        </w:rPr>
        <w:t xml:space="preserve"> to indicate capacity may differ to design</w:t>
      </w:r>
      <w:r w:rsidR="002A62AE" w:rsidRPr="007334C5">
        <w:rPr>
          <w:rFonts w:cstheme="minorHAnsi"/>
          <w:sz w:val="20"/>
          <w:szCs w:val="20"/>
        </w:rPr>
        <w:t xml:space="preserve"> however</w:t>
      </w:r>
      <w:r w:rsidR="000D25AC" w:rsidRPr="007334C5">
        <w:rPr>
          <w:rFonts w:cstheme="minorHAnsi"/>
          <w:sz w:val="20"/>
          <w:szCs w:val="20"/>
        </w:rPr>
        <w:t>,</w:t>
      </w:r>
      <w:r w:rsidR="002A62AE" w:rsidRPr="007334C5">
        <w:rPr>
          <w:rFonts w:cstheme="minorHAnsi"/>
          <w:sz w:val="20"/>
          <w:szCs w:val="20"/>
        </w:rPr>
        <w:t xml:space="preserve"> this could not be confirmed </w:t>
      </w:r>
      <w:r w:rsidR="00606E33" w:rsidRPr="007334C5">
        <w:rPr>
          <w:rFonts w:cstheme="minorHAnsi"/>
          <w:sz w:val="20"/>
          <w:szCs w:val="20"/>
        </w:rPr>
        <w:t xml:space="preserve">whilst </w:t>
      </w:r>
      <w:r w:rsidR="002A62AE" w:rsidRPr="007334C5">
        <w:rPr>
          <w:rFonts w:cstheme="minorHAnsi"/>
          <w:sz w:val="20"/>
          <w:szCs w:val="20"/>
        </w:rPr>
        <w:t>on site</w:t>
      </w:r>
      <w:r w:rsidR="00D857E5" w:rsidRPr="007334C5">
        <w:rPr>
          <w:rFonts w:cstheme="minorHAnsi"/>
          <w:sz w:val="20"/>
          <w:szCs w:val="20"/>
        </w:rPr>
        <w:t xml:space="preserve"> due to the visual nature of the inspection</w:t>
      </w:r>
      <w:r w:rsidR="00B54FA1" w:rsidRPr="007334C5">
        <w:rPr>
          <w:rFonts w:cstheme="minorHAnsi"/>
          <w:sz w:val="20"/>
          <w:szCs w:val="20"/>
        </w:rPr>
        <w:t xml:space="preserve">. Noting works on this scheme </w:t>
      </w:r>
      <w:r w:rsidR="00116478" w:rsidRPr="007334C5">
        <w:rPr>
          <w:rFonts w:cstheme="minorHAnsi"/>
          <w:sz w:val="20"/>
          <w:szCs w:val="20"/>
        </w:rPr>
        <w:t xml:space="preserve">are </w:t>
      </w:r>
      <w:r w:rsidR="00B54FA1" w:rsidRPr="007334C5">
        <w:rPr>
          <w:rFonts w:cstheme="minorHAnsi"/>
          <w:sz w:val="20"/>
          <w:szCs w:val="20"/>
        </w:rPr>
        <w:t xml:space="preserve">still underway and final inspection and commissioning has not yet occurred, no significant issues have been raised. </w:t>
      </w:r>
    </w:p>
    <w:p w:rsidR="00B54FA1" w:rsidRPr="007334C5" w:rsidRDefault="00B54FA1" w:rsidP="00576A25">
      <w:pPr>
        <w:spacing w:before="120" w:after="120" w:line="240" w:lineRule="auto"/>
        <w:rPr>
          <w:rFonts w:cstheme="minorHAnsi"/>
          <w:sz w:val="20"/>
          <w:szCs w:val="20"/>
        </w:rPr>
      </w:pPr>
      <w:r w:rsidRPr="007334C5">
        <w:rPr>
          <w:rFonts w:cstheme="minorHAnsi"/>
          <w:sz w:val="20"/>
          <w:szCs w:val="20"/>
        </w:rPr>
        <w:t xml:space="preserve">KPMG suggest </w:t>
      </w:r>
      <w:r w:rsidR="002A62AE" w:rsidRPr="007334C5">
        <w:rPr>
          <w:rFonts w:cstheme="minorHAnsi"/>
          <w:sz w:val="20"/>
          <w:szCs w:val="20"/>
        </w:rPr>
        <w:t>DoI Water</w:t>
      </w:r>
      <w:r w:rsidRPr="007334C5">
        <w:rPr>
          <w:rFonts w:cstheme="minorHAnsi"/>
          <w:sz w:val="20"/>
          <w:szCs w:val="20"/>
        </w:rPr>
        <w:t xml:space="preserve"> verify </w:t>
      </w:r>
      <w:r w:rsidR="001C6CDD" w:rsidRPr="007334C5">
        <w:rPr>
          <w:rFonts w:cstheme="minorHAnsi"/>
          <w:sz w:val="20"/>
          <w:szCs w:val="20"/>
        </w:rPr>
        <w:t xml:space="preserve">whether </w:t>
      </w:r>
      <w:r w:rsidRPr="007334C5">
        <w:rPr>
          <w:rFonts w:cstheme="minorHAnsi"/>
          <w:sz w:val="20"/>
          <w:szCs w:val="20"/>
        </w:rPr>
        <w:t xml:space="preserve">specified tanks still meet design requirements prior to completion of works and determine if a contract variation is required. Details of </w:t>
      </w:r>
      <w:r w:rsidR="00116478" w:rsidRPr="007334C5">
        <w:rPr>
          <w:rFonts w:cstheme="minorHAnsi"/>
          <w:sz w:val="20"/>
          <w:szCs w:val="20"/>
        </w:rPr>
        <w:t xml:space="preserve">the </w:t>
      </w:r>
      <w:r w:rsidRPr="007334C5">
        <w:rPr>
          <w:rFonts w:cstheme="minorHAnsi"/>
          <w:sz w:val="20"/>
          <w:szCs w:val="20"/>
        </w:rPr>
        <w:t xml:space="preserve">relevant tanks have been communicated to management.  </w:t>
      </w:r>
    </w:p>
    <w:p w:rsidR="00186640" w:rsidRPr="007334C5" w:rsidRDefault="00186640" w:rsidP="0093656A">
      <w:pPr>
        <w:pStyle w:val="ListParagraph"/>
        <w:spacing w:before="120" w:after="120" w:line="240" w:lineRule="auto"/>
        <w:ind w:left="0"/>
        <w:contextualSpacing w:val="0"/>
        <w:rPr>
          <w:rFonts w:cstheme="minorHAnsi"/>
          <w:sz w:val="20"/>
          <w:szCs w:val="20"/>
        </w:rPr>
      </w:pPr>
    </w:p>
    <w:p w:rsidR="00016BE6" w:rsidRPr="007334C5" w:rsidRDefault="00016BE6" w:rsidP="00871FD3">
      <w:pPr>
        <w:spacing w:before="120" w:after="120" w:line="240" w:lineRule="auto"/>
        <w:rPr>
          <w:rFonts w:cstheme="minorHAnsi"/>
          <w:sz w:val="20"/>
          <w:szCs w:val="20"/>
          <w:highlight w:val="yellow"/>
        </w:rPr>
        <w:sectPr w:rsidR="00016BE6" w:rsidRPr="007334C5" w:rsidSect="00501DA8">
          <w:headerReference w:type="default" r:id="rId16"/>
          <w:pgSz w:w="11906" w:h="16838"/>
          <w:pgMar w:top="1387" w:right="851" w:bottom="1418" w:left="1134" w:header="568" w:footer="315" w:gutter="0"/>
          <w:cols w:space="425"/>
          <w:docGrid w:linePitch="360"/>
        </w:sectPr>
      </w:pPr>
    </w:p>
    <w:p w:rsidR="00145FB8" w:rsidRPr="007334C5" w:rsidRDefault="00906E43" w:rsidP="007334C5">
      <w:pPr>
        <w:pStyle w:val="Heading1"/>
        <w:numPr>
          <w:ilvl w:val="0"/>
          <w:numId w:val="0"/>
        </w:numPr>
        <w:ind w:left="567"/>
      </w:pPr>
      <w:bookmarkStart w:id="35" w:name="_Toc515451817"/>
      <w:bookmarkStart w:id="36" w:name="_Toc535401147"/>
      <w:r w:rsidRPr="007334C5">
        <w:t>Appendices</w:t>
      </w:r>
      <w:bookmarkEnd w:id="35"/>
      <w:bookmarkEnd w:id="36"/>
    </w:p>
    <w:p w:rsidR="00681BCC" w:rsidRPr="007334C5" w:rsidRDefault="003B33AA" w:rsidP="00597060">
      <w:pPr>
        <w:pStyle w:val="Heading2"/>
        <w:numPr>
          <w:ilvl w:val="0"/>
          <w:numId w:val="2"/>
        </w:numPr>
        <w:ind w:left="426" w:hanging="426"/>
        <w:rPr>
          <w:rFonts w:asciiTheme="minorHAnsi" w:hAnsiTheme="minorHAnsi" w:cstheme="minorHAnsi"/>
        </w:rPr>
      </w:pPr>
      <w:bookmarkStart w:id="37" w:name="_Toc515451819"/>
      <w:bookmarkStart w:id="38" w:name="_Toc535401148"/>
      <w:r w:rsidRPr="007334C5">
        <w:rPr>
          <w:rFonts w:asciiTheme="minorHAnsi" w:hAnsiTheme="minorHAnsi" w:cstheme="minorHAnsi"/>
        </w:rPr>
        <w:t>Engagement objectives and s</w:t>
      </w:r>
      <w:r w:rsidR="00681BCC" w:rsidRPr="007334C5">
        <w:rPr>
          <w:rFonts w:asciiTheme="minorHAnsi" w:hAnsiTheme="minorHAnsi" w:cstheme="minorHAnsi"/>
        </w:rPr>
        <w:t>cope</w:t>
      </w:r>
      <w:bookmarkEnd w:id="37"/>
      <w:bookmarkEnd w:id="38"/>
    </w:p>
    <w:p w:rsidR="00681BCC" w:rsidRPr="007334C5" w:rsidRDefault="00681BCC" w:rsidP="00596C1C">
      <w:pPr>
        <w:spacing w:before="120" w:after="120"/>
        <w:rPr>
          <w:rFonts w:cstheme="minorHAnsi"/>
          <w:b/>
          <w:sz w:val="20"/>
          <w:szCs w:val="20"/>
        </w:rPr>
      </w:pPr>
      <w:r w:rsidRPr="007334C5">
        <w:rPr>
          <w:rFonts w:cstheme="minorHAnsi"/>
          <w:b/>
          <w:sz w:val="20"/>
          <w:szCs w:val="20"/>
        </w:rPr>
        <w:t>Objectives</w:t>
      </w:r>
    </w:p>
    <w:p w:rsidR="00C67FC8" w:rsidRPr="007334C5" w:rsidRDefault="00C67FC8" w:rsidP="00596C1C">
      <w:pPr>
        <w:spacing w:before="120" w:after="120" w:line="240" w:lineRule="auto"/>
        <w:rPr>
          <w:rFonts w:cstheme="minorHAnsi"/>
          <w:sz w:val="20"/>
          <w:szCs w:val="20"/>
        </w:rPr>
      </w:pPr>
      <w:r w:rsidRPr="007334C5">
        <w:rPr>
          <w:rFonts w:cstheme="minorHAnsi"/>
          <w:sz w:val="20"/>
          <w:szCs w:val="20"/>
        </w:rPr>
        <w:t>Review the governance, risk and control processes for State Priority Projects administered through Sustainable Rural Water Use and Infrastructure Program to ensure effective use of Commonwealth funds.</w:t>
      </w:r>
    </w:p>
    <w:p w:rsidR="00681BCC" w:rsidRPr="007334C5" w:rsidRDefault="00681BCC" w:rsidP="00596C1C">
      <w:pPr>
        <w:spacing w:before="120" w:after="120"/>
        <w:rPr>
          <w:rFonts w:cstheme="minorHAnsi"/>
          <w:b/>
          <w:sz w:val="20"/>
          <w:szCs w:val="20"/>
        </w:rPr>
      </w:pPr>
      <w:r w:rsidRPr="007334C5">
        <w:rPr>
          <w:rFonts w:cstheme="minorHAnsi"/>
          <w:b/>
          <w:sz w:val="20"/>
          <w:szCs w:val="20"/>
        </w:rPr>
        <w:t>Scope</w:t>
      </w:r>
    </w:p>
    <w:p w:rsidR="00C67FC8" w:rsidRPr="007334C5" w:rsidRDefault="00C67FC8" w:rsidP="00596C1C">
      <w:pPr>
        <w:spacing w:before="120" w:after="120" w:line="240" w:lineRule="auto"/>
        <w:rPr>
          <w:rFonts w:cstheme="minorHAnsi"/>
          <w:sz w:val="20"/>
          <w:szCs w:val="20"/>
        </w:rPr>
      </w:pPr>
      <w:r w:rsidRPr="007334C5">
        <w:rPr>
          <w:rFonts w:cstheme="minorHAnsi"/>
          <w:sz w:val="20"/>
          <w:szCs w:val="20"/>
        </w:rPr>
        <w:t xml:space="preserve">This engagement was limited to the </w:t>
      </w:r>
      <w:r w:rsidR="00576952" w:rsidRPr="007334C5">
        <w:rPr>
          <w:rFonts w:cstheme="minorHAnsi"/>
          <w:sz w:val="20"/>
          <w:szCs w:val="20"/>
        </w:rPr>
        <w:t>Queensland Healthy HeadWaters Water Use Efficiency Project</w:t>
      </w:r>
      <w:r w:rsidRPr="007334C5">
        <w:rPr>
          <w:rFonts w:cstheme="minorHAnsi"/>
          <w:sz w:val="20"/>
          <w:szCs w:val="20"/>
        </w:rPr>
        <w:t xml:space="preserve">, New South Wales </w:t>
      </w:r>
      <w:r w:rsidR="000700AC" w:rsidRPr="007334C5">
        <w:rPr>
          <w:rFonts w:cstheme="minorHAnsi"/>
          <w:sz w:val="20"/>
          <w:szCs w:val="20"/>
        </w:rPr>
        <w:t>Basin Pipe Project</w:t>
      </w:r>
      <w:r w:rsidRPr="007334C5">
        <w:rPr>
          <w:rFonts w:cstheme="minorHAnsi"/>
          <w:sz w:val="20"/>
          <w:szCs w:val="20"/>
        </w:rPr>
        <w:t xml:space="preserve"> and New South Wales Irrigated Farm Modernisation Project. The assessment focuses on the following areas:  </w:t>
      </w:r>
    </w:p>
    <w:p w:rsidR="005B56A2" w:rsidRPr="007334C5" w:rsidRDefault="005B56A2" w:rsidP="000F0AAC">
      <w:pPr>
        <w:pStyle w:val="ListParagraph"/>
        <w:numPr>
          <w:ilvl w:val="0"/>
          <w:numId w:val="3"/>
        </w:numPr>
        <w:spacing w:before="120" w:after="120" w:line="240" w:lineRule="auto"/>
        <w:rPr>
          <w:rFonts w:cstheme="minorHAnsi"/>
          <w:sz w:val="20"/>
          <w:szCs w:val="20"/>
        </w:rPr>
      </w:pPr>
      <w:r w:rsidRPr="007334C5">
        <w:rPr>
          <w:rFonts w:cstheme="minorHAnsi"/>
          <w:b/>
          <w:bCs/>
          <w:sz w:val="20"/>
          <w:szCs w:val="20"/>
        </w:rPr>
        <w:t>Program administration processes</w:t>
      </w:r>
      <w:r w:rsidRPr="007334C5">
        <w:rPr>
          <w:rFonts w:cstheme="minorHAnsi"/>
          <w:sz w:val="20"/>
          <w:szCs w:val="20"/>
        </w:rPr>
        <w:t>, including financial systems, governance arrangements, and risk management processes to ensure they are efficiently and consistently implemented.</w:t>
      </w:r>
    </w:p>
    <w:p w:rsidR="005B56A2" w:rsidRPr="007334C5" w:rsidRDefault="005B56A2" w:rsidP="000F0AAC">
      <w:pPr>
        <w:pStyle w:val="ListParagraph"/>
        <w:numPr>
          <w:ilvl w:val="0"/>
          <w:numId w:val="3"/>
        </w:numPr>
        <w:spacing w:before="120" w:after="120" w:line="240" w:lineRule="auto"/>
        <w:rPr>
          <w:rFonts w:cstheme="minorHAnsi"/>
          <w:sz w:val="20"/>
          <w:szCs w:val="20"/>
        </w:rPr>
      </w:pPr>
      <w:r w:rsidRPr="007334C5">
        <w:rPr>
          <w:rFonts w:cstheme="minorHAnsi"/>
          <w:b/>
          <w:bCs/>
          <w:sz w:val="20"/>
          <w:szCs w:val="20"/>
        </w:rPr>
        <w:t xml:space="preserve">Program processes </w:t>
      </w:r>
      <w:r w:rsidRPr="007334C5">
        <w:rPr>
          <w:rFonts w:cstheme="minorHAnsi"/>
          <w:sz w:val="20"/>
          <w:szCs w:val="20"/>
        </w:rPr>
        <w:t>in place to manage risks, and program compliance to ensure delivery of water contracted for recovery (including consideration of State involvement in the water entitlement transfer process), and the adequacy of controls to regularly review procedures and adjust as required.</w:t>
      </w:r>
    </w:p>
    <w:p w:rsidR="005B56A2" w:rsidRPr="007334C5" w:rsidRDefault="005B56A2" w:rsidP="000F0AAC">
      <w:pPr>
        <w:pStyle w:val="ListParagraph"/>
        <w:numPr>
          <w:ilvl w:val="0"/>
          <w:numId w:val="3"/>
        </w:numPr>
        <w:spacing w:before="120" w:after="120" w:line="240" w:lineRule="auto"/>
        <w:rPr>
          <w:rFonts w:cstheme="minorHAnsi"/>
          <w:sz w:val="20"/>
          <w:szCs w:val="20"/>
        </w:rPr>
      </w:pPr>
      <w:r w:rsidRPr="007334C5">
        <w:rPr>
          <w:rFonts w:cstheme="minorHAnsi"/>
          <w:b/>
          <w:bCs/>
          <w:sz w:val="20"/>
          <w:szCs w:val="20"/>
        </w:rPr>
        <w:t xml:space="preserve">A review of up to 25 per cent of projects </w:t>
      </w:r>
      <w:r w:rsidRPr="007334C5">
        <w:rPr>
          <w:rFonts w:cstheme="minorHAnsi"/>
          <w:sz w:val="20"/>
          <w:szCs w:val="20"/>
        </w:rPr>
        <w:t>to verify that the requirements stated under the respective Project Schedules and Works Agreements have been met. Sampling methodology for selecting these projects consider</w:t>
      </w:r>
      <w:r w:rsidR="00C67FC8" w:rsidRPr="007334C5">
        <w:rPr>
          <w:rFonts w:cstheme="minorHAnsi"/>
          <w:sz w:val="20"/>
          <w:szCs w:val="20"/>
        </w:rPr>
        <w:t>ed</w:t>
      </w:r>
      <w:r w:rsidRPr="007334C5">
        <w:rPr>
          <w:rFonts w:cstheme="minorHAnsi"/>
          <w:sz w:val="20"/>
          <w:szCs w:val="20"/>
        </w:rPr>
        <w:t xml:space="preserve"> funding rounds and catchment areas, as well as individual project size and scale. A random sample from the selected projects </w:t>
      </w:r>
      <w:r w:rsidR="00C67FC8" w:rsidRPr="007334C5">
        <w:rPr>
          <w:rFonts w:cstheme="minorHAnsi"/>
          <w:sz w:val="20"/>
          <w:szCs w:val="20"/>
        </w:rPr>
        <w:t>was</w:t>
      </w:r>
      <w:r w:rsidRPr="007334C5">
        <w:rPr>
          <w:rFonts w:cstheme="minorHAnsi"/>
          <w:sz w:val="20"/>
          <w:szCs w:val="20"/>
        </w:rPr>
        <w:t xml:space="preserve"> also be verified on-ground.</w:t>
      </w:r>
    </w:p>
    <w:p w:rsidR="00C67FC8" w:rsidRPr="007334C5" w:rsidRDefault="00C67FC8" w:rsidP="00596C1C">
      <w:pPr>
        <w:spacing w:before="120" w:after="120" w:line="240" w:lineRule="auto"/>
        <w:rPr>
          <w:rFonts w:cstheme="minorHAnsi"/>
          <w:sz w:val="20"/>
          <w:szCs w:val="20"/>
        </w:rPr>
      </w:pPr>
      <w:r w:rsidRPr="007334C5">
        <w:rPr>
          <w:rFonts w:cstheme="minorHAnsi"/>
          <w:sz w:val="20"/>
          <w:szCs w:val="20"/>
        </w:rPr>
        <w:t>This review did not include a detailed technical assessment of the quality and effectiveness of water infrastructure works. It provides an assessment of progress of works against reported outcomes and verification of the engineer's reports against on-ground works.</w:t>
      </w:r>
    </w:p>
    <w:p w:rsidR="00442413" w:rsidRPr="007334C5" w:rsidRDefault="00442413" w:rsidP="00596C1C">
      <w:pPr>
        <w:spacing w:before="120" w:after="120" w:line="240" w:lineRule="auto"/>
        <w:rPr>
          <w:rFonts w:cstheme="minorHAnsi"/>
          <w:sz w:val="20"/>
          <w:szCs w:val="20"/>
        </w:rPr>
      </w:pPr>
      <w:r w:rsidRPr="007334C5">
        <w:rPr>
          <w:rFonts w:cstheme="minorHAnsi"/>
          <w:sz w:val="20"/>
          <w:szCs w:val="20"/>
        </w:rPr>
        <w:t xml:space="preserve">The scope of this report is limited to the New South Wales </w:t>
      </w:r>
      <w:r w:rsidR="000700AC" w:rsidRPr="007334C5">
        <w:rPr>
          <w:rFonts w:cstheme="minorHAnsi"/>
          <w:sz w:val="20"/>
          <w:szCs w:val="20"/>
        </w:rPr>
        <w:t>Basin Pipe Project</w:t>
      </w:r>
      <w:r w:rsidR="00576952" w:rsidRPr="007334C5">
        <w:rPr>
          <w:rFonts w:cstheme="minorHAnsi"/>
          <w:sz w:val="20"/>
          <w:szCs w:val="20"/>
        </w:rPr>
        <w:t>.</w:t>
      </w:r>
    </w:p>
    <w:p w:rsidR="00681BCC" w:rsidRPr="007334C5" w:rsidRDefault="00596C1C" w:rsidP="00596C1C">
      <w:pPr>
        <w:spacing w:before="120" w:after="120" w:line="240" w:lineRule="auto"/>
        <w:rPr>
          <w:rFonts w:cstheme="minorHAnsi"/>
          <w:sz w:val="20"/>
          <w:szCs w:val="20"/>
        </w:rPr>
      </w:pPr>
      <w:r w:rsidRPr="007334C5">
        <w:rPr>
          <w:rFonts w:cstheme="minorHAnsi"/>
          <w:sz w:val="20"/>
          <w:szCs w:val="20"/>
        </w:rPr>
        <w:t>*</w:t>
      </w:r>
      <w:r w:rsidR="00C67FC8" w:rsidRPr="007334C5">
        <w:rPr>
          <w:rFonts w:cstheme="minorHAnsi"/>
          <w:sz w:val="20"/>
          <w:szCs w:val="20"/>
        </w:rPr>
        <w:t xml:space="preserve">Please refer to the </w:t>
      </w:r>
      <w:r w:rsidR="00C67FC8" w:rsidRPr="007334C5">
        <w:rPr>
          <w:rFonts w:cstheme="minorHAnsi"/>
          <w:i/>
          <w:iCs/>
          <w:sz w:val="20"/>
          <w:szCs w:val="20"/>
        </w:rPr>
        <w:t xml:space="preserve">Statement of Works including Terms of Reference, </w:t>
      </w:r>
      <w:r w:rsidR="00C67FC8" w:rsidRPr="007334C5">
        <w:rPr>
          <w:rFonts w:cstheme="minorHAnsi"/>
          <w:sz w:val="20"/>
          <w:szCs w:val="20"/>
        </w:rPr>
        <w:t>for further detail on the scope of work.</w:t>
      </w:r>
    </w:p>
    <w:p w:rsidR="00E05CAD" w:rsidRPr="007334C5" w:rsidRDefault="00E05CAD" w:rsidP="00597060">
      <w:pPr>
        <w:pStyle w:val="Heading2"/>
        <w:pageBreakBefore/>
        <w:numPr>
          <w:ilvl w:val="0"/>
          <w:numId w:val="2"/>
        </w:numPr>
        <w:ind w:left="425" w:hanging="425"/>
        <w:rPr>
          <w:rFonts w:asciiTheme="minorHAnsi" w:hAnsiTheme="minorHAnsi" w:cstheme="minorHAnsi"/>
        </w:rPr>
      </w:pPr>
      <w:bookmarkStart w:id="39" w:name="_Toc535401149"/>
      <w:r w:rsidRPr="007334C5">
        <w:rPr>
          <w:rFonts w:asciiTheme="minorHAnsi" w:hAnsiTheme="minorHAnsi" w:cstheme="minorHAnsi"/>
        </w:rPr>
        <w:t>Approach</w:t>
      </w:r>
      <w:bookmarkEnd w:id="39"/>
    </w:p>
    <w:p w:rsidR="00E05CAD" w:rsidRPr="007334C5" w:rsidRDefault="00E05CAD" w:rsidP="00F74EDA">
      <w:pPr>
        <w:spacing w:before="120" w:after="120" w:line="240" w:lineRule="auto"/>
        <w:rPr>
          <w:rFonts w:cstheme="minorHAnsi"/>
          <w:sz w:val="20"/>
          <w:szCs w:val="20"/>
        </w:rPr>
      </w:pPr>
      <w:r w:rsidRPr="007334C5">
        <w:rPr>
          <w:rFonts w:cstheme="minorHAnsi"/>
          <w:sz w:val="20"/>
          <w:szCs w:val="20"/>
        </w:rPr>
        <w:t>KPMG undertook the following activities in the conduct of this review.</w:t>
      </w:r>
    </w:p>
    <w:p w:rsidR="00E05CAD" w:rsidRPr="007334C5" w:rsidRDefault="00E05CAD" w:rsidP="0044489D">
      <w:pPr>
        <w:spacing w:before="120" w:after="120" w:line="240" w:lineRule="auto"/>
        <w:rPr>
          <w:rFonts w:cstheme="minorHAnsi"/>
          <w:b/>
          <w:sz w:val="20"/>
          <w:szCs w:val="20"/>
        </w:rPr>
      </w:pPr>
      <w:r w:rsidRPr="007334C5">
        <w:rPr>
          <w:rFonts w:cstheme="minorHAnsi"/>
          <w:b/>
          <w:sz w:val="20"/>
          <w:szCs w:val="20"/>
        </w:rPr>
        <w:t>Initiation</w:t>
      </w:r>
    </w:p>
    <w:p w:rsidR="00E05CAD" w:rsidRPr="007334C5" w:rsidRDefault="00E05CAD" w:rsidP="000F0AAC">
      <w:pPr>
        <w:pStyle w:val="ListParagraph"/>
        <w:numPr>
          <w:ilvl w:val="0"/>
          <w:numId w:val="4"/>
        </w:numPr>
        <w:spacing w:before="60" w:after="60" w:line="240" w:lineRule="auto"/>
        <w:ind w:left="357" w:hanging="357"/>
        <w:contextualSpacing w:val="0"/>
        <w:rPr>
          <w:rFonts w:cstheme="minorHAnsi"/>
          <w:sz w:val="20"/>
          <w:szCs w:val="20"/>
        </w:rPr>
      </w:pPr>
      <w:r w:rsidRPr="007334C5">
        <w:rPr>
          <w:rFonts w:cstheme="minorHAnsi"/>
          <w:sz w:val="20"/>
          <w:szCs w:val="20"/>
        </w:rPr>
        <w:t xml:space="preserve">Held an initial scoping meeting with the DAWR stakeholders, to inform the development of a project plan detailing approach, timeframes and governance arrangements for the review. </w:t>
      </w:r>
    </w:p>
    <w:p w:rsidR="00E05CAD" w:rsidRPr="007334C5" w:rsidRDefault="00C00556" w:rsidP="000F0AAC">
      <w:pPr>
        <w:pStyle w:val="ListParagraph"/>
        <w:numPr>
          <w:ilvl w:val="0"/>
          <w:numId w:val="4"/>
        </w:numPr>
        <w:spacing w:before="60" w:after="60" w:line="240" w:lineRule="auto"/>
        <w:contextualSpacing w:val="0"/>
        <w:rPr>
          <w:rFonts w:cstheme="minorHAnsi"/>
          <w:sz w:val="20"/>
          <w:szCs w:val="20"/>
        </w:rPr>
      </w:pPr>
      <w:r w:rsidRPr="007334C5">
        <w:rPr>
          <w:rFonts w:cstheme="minorHAnsi"/>
          <w:sz w:val="20"/>
          <w:szCs w:val="20"/>
        </w:rPr>
        <w:t xml:space="preserve">Provided the project plan to project stakeholders </w:t>
      </w:r>
      <w:r w:rsidR="006805C9" w:rsidRPr="007334C5">
        <w:rPr>
          <w:rFonts w:cstheme="minorHAnsi"/>
          <w:sz w:val="20"/>
          <w:szCs w:val="20"/>
        </w:rPr>
        <w:t xml:space="preserve">for </w:t>
      </w:r>
      <w:r w:rsidRPr="007334C5">
        <w:rPr>
          <w:rFonts w:cstheme="minorHAnsi"/>
          <w:sz w:val="20"/>
          <w:szCs w:val="20"/>
        </w:rPr>
        <w:t>review.</w:t>
      </w:r>
    </w:p>
    <w:p w:rsidR="00C00556" w:rsidRPr="007334C5" w:rsidRDefault="00C00556" w:rsidP="00AD3A6D">
      <w:pPr>
        <w:tabs>
          <w:tab w:val="left" w:pos="6280"/>
        </w:tabs>
        <w:spacing w:before="120" w:after="120" w:line="240" w:lineRule="auto"/>
        <w:rPr>
          <w:rFonts w:cstheme="minorHAnsi"/>
          <w:b/>
          <w:sz w:val="20"/>
          <w:szCs w:val="20"/>
        </w:rPr>
      </w:pPr>
      <w:r w:rsidRPr="007334C5">
        <w:rPr>
          <w:rFonts w:cstheme="minorHAnsi"/>
          <w:b/>
          <w:sz w:val="20"/>
          <w:szCs w:val="20"/>
        </w:rPr>
        <w:t>Fieldwork</w:t>
      </w:r>
      <w:r w:rsidR="00AD3A6D" w:rsidRPr="007334C5">
        <w:rPr>
          <w:rFonts w:cstheme="minorHAnsi"/>
          <w:b/>
          <w:sz w:val="20"/>
          <w:szCs w:val="20"/>
        </w:rPr>
        <w:tab/>
      </w:r>
    </w:p>
    <w:p w:rsidR="00C00556" w:rsidRPr="007334C5" w:rsidRDefault="00C00556" w:rsidP="000F0AAC">
      <w:pPr>
        <w:pStyle w:val="ListParagraph"/>
        <w:numPr>
          <w:ilvl w:val="0"/>
          <w:numId w:val="4"/>
        </w:numPr>
        <w:spacing w:before="60" w:after="60" w:line="240" w:lineRule="auto"/>
        <w:contextualSpacing w:val="0"/>
        <w:rPr>
          <w:rFonts w:cstheme="minorHAnsi"/>
          <w:sz w:val="20"/>
          <w:szCs w:val="20"/>
        </w:rPr>
      </w:pPr>
      <w:r w:rsidRPr="007334C5">
        <w:rPr>
          <w:rFonts w:cstheme="minorHAnsi"/>
          <w:sz w:val="20"/>
          <w:szCs w:val="20"/>
        </w:rPr>
        <w:t xml:space="preserve">Held an introductory discussion with </w:t>
      </w:r>
      <w:r w:rsidR="002A62AE" w:rsidRPr="007334C5">
        <w:rPr>
          <w:rFonts w:cstheme="minorHAnsi"/>
          <w:sz w:val="20"/>
          <w:szCs w:val="20"/>
        </w:rPr>
        <w:t>D</w:t>
      </w:r>
      <w:r w:rsidR="00AD3A6D" w:rsidRPr="007334C5">
        <w:rPr>
          <w:rFonts w:cstheme="minorHAnsi"/>
          <w:sz w:val="20"/>
          <w:szCs w:val="20"/>
        </w:rPr>
        <w:t>o</w:t>
      </w:r>
      <w:r w:rsidR="002A62AE" w:rsidRPr="007334C5">
        <w:rPr>
          <w:rFonts w:cstheme="minorHAnsi"/>
          <w:sz w:val="20"/>
          <w:szCs w:val="20"/>
        </w:rPr>
        <w:t xml:space="preserve">I </w:t>
      </w:r>
      <w:r w:rsidR="00AD3A6D" w:rsidRPr="007334C5">
        <w:rPr>
          <w:rFonts w:cstheme="minorHAnsi"/>
          <w:sz w:val="20"/>
          <w:szCs w:val="20"/>
        </w:rPr>
        <w:t>Water</w:t>
      </w:r>
      <w:r w:rsidR="006805C9" w:rsidRPr="007334C5">
        <w:rPr>
          <w:rFonts w:cstheme="minorHAnsi"/>
          <w:sz w:val="20"/>
          <w:szCs w:val="20"/>
        </w:rPr>
        <w:t xml:space="preserve"> </w:t>
      </w:r>
      <w:r w:rsidRPr="007334C5">
        <w:rPr>
          <w:rFonts w:cstheme="minorHAnsi"/>
          <w:sz w:val="20"/>
          <w:szCs w:val="20"/>
        </w:rPr>
        <w:t>staff and obtained documentation to gain an understanding of administration arrangements, eligibility criteria, funding conditions and requirements, reporting arrangements, performance monitoring and risk management.</w:t>
      </w:r>
    </w:p>
    <w:p w:rsidR="00C00556" w:rsidRPr="007334C5" w:rsidRDefault="00C00556" w:rsidP="000F0AAC">
      <w:pPr>
        <w:pStyle w:val="ListParagraph"/>
        <w:numPr>
          <w:ilvl w:val="0"/>
          <w:numId w:val="4"/>
        </w:numPr>
        <w:spacing w:before="60" w:after="60" w:line="240" w:lineRule="auto"/>
        <w:contextualSpacing w:val="0"/>
        <w:rPr>
          <w:rFonts w:cstheme="minorHAnsi"/>
          <w:sz w:val="20"/>
          <w:szCs w:val="20"/>
        </w:rPr>
      </w:pPr>
      <w:r w:rsidRPr="007334C5">
        <w:rPr>
          <w:rFonts w:cstheme="minorHAnsi"/>
          <w:sz w:val="20"/>
          <w:szCs w:val="20"/>
        </w:rPr>
        <w:t>Developed a</w:t>
      </w:r>
      <w:r w:rsidR="00DA5730" w:rsidRPr="007334C5">
        <w:rPr>
          <w:rFonts w:cstheme="minorHAnsi"/>
          <w:sz w:val="20"/>
          <w:szCs w:val="20"/>
        </w:rPr>
        <w:t xml:space="preserve"> testing</w:t>
      </w:r>
      <w:r w:rsidRPr="007334C5">
        <w:rPr>
          <w:rFonts w:cstheme="minorHAnsi"/>
          <w:sz w:val="20"/>
          <w:szCs w:val="20"/>
        </w:rPr>
        <w:t xml:space="preserve"> checklist </w:t>
      </w:r>
      <w:r w:rsidR="00DA5730" w:rsidRPr="007334C5">
        <w:rPr>
          <w:rFonts w:cstheme="minorHAnsi"/>
          <w:sz w:val="20"/>
          <w:szCs w:val="20"/>
        </w:rPr>
        <w:t xml:space="preserve">to support assessment of the </w:t>
      </w:r>
      <w:r w:rsidR="000700AC" w:rsidRPr="007334C5">
        <w:rPr>
          <w:rFonts w:cstheme="minorHAnsi"/>
          <w:sz w:val="20"/>
          <w:szCs w:val="20"/>
        </w:rPr>
        <w:t>Basin Pipe Project</w:t>
      </w:r>
      <w:r w:rsidR="00DA5730" w:rsidRPr="007334C5">
        <w:rPr>
          <w:rFonts w:cstheme="minorHAnsi"/>
          <w:sz w:val="20"/>
          <w:szCs w:val="20"/>
        </w:rPr>
        <w:t xml:space="preserve">. The checklist was based on </w:t>
      </w:r>
      <w:r w:rsidRPr="007334C5">
        <w:rPr>
          <w:rFonts w:cstheme="minorHAnsi"/>
          <w:sz w:val="20"/>
          <w:szCs w:val="20"/>
        </w:rPr>
        <w:t xml:space="preserve">better practice program management principles </w:t>
      </w:r>
      <w:r w:rsidR="00DA5730" w:rsidRPr="007334C5">
        <w:rPr>
          <w:rFonts w:cstheme="minorHAnsi"/>
          <w:sz w:val="20"/>
          <w:szCs w:val="20"/>
        </w:rPr>
        <w:t xml:space="preserve">and key program requirements, including the WMPA, </w:t>
      </w:r>
      <w:r w:rsidR="006805C9" w:rsidRPr="007334C5">
        <w:rPr>
          <w:rFonts w:cstheme="minorHAnsi"/>
          <w:sz w:val="20"/>
          <w:szCs w:val="20"/>
        </w:rPr>
        <w:t>BPP</w:t>
      </w:r>
      <w:r w:rsidR="00DA5730" w:rsidRPr="007334C5">
        <w:rPr>
          <w:rFonts w:cstheme="minorHAnsi"/>
          <w:sz w:val="20"/>
          <w:szCs w:val="20"/>
        </w:rPr>
        <w:t xml:space="preserve"> project guidelines and </w:t>
      </w:r>
      <w:r w:rsidR="006805C9" w:rsidRPr="007334C5">
        <w:rPr>
          <w:rFonts w:cstheme="minorHAnsi"/>
          <w:sz w:val="20"/>
          <w:szCs w:val="20"/>
        </w:rPr>
        <w:t>funding</w:t>
      </w:r>
      <w:r w:rsidR="00DA5730" w:rsidRPr="007334C5">
        <w:rPr>
          <w:rFonts w:cstheme="minorHAnsi"/>
          <w:sz w:val="20"/>
          <w:szCs w:val="20"/>
        </w:rPr>
        <w:t xml:space="preserve"> agreements.</w:t>
      </w:r>
    </w:p>
    <w:p w:rsidR="0044489D" w:rsidRPr="007334C5" w:rsidRDefault="00C00556" w:rsidP="000F0AAC">
      <w:pPr>
        <w:pStyle w:val="ListParagraph"/>
        <w:numPr>
          <w:ilvl w:val="0"/>
          <w:numId w:val="4"/>
        </w:numPr>
        <w:spacing w:before="60" w:after="60" w:line="240" w:lineRule="auto"/>
        <w:contextualSpacing w:val="0"/>
        <w:rPr>
          <w:rFonts w:cstheme="minorHAnsi"/>
          <w:sz w:val="20"/>
          <w:szCs w:val="20"/>
        </w:rPr>
      </w:pPr>
      <w:r w:rsidRPr="007334C5">
        <w:rPr>
          <w:rFonts w:cstheme="minorHAnsi"/>
          <w:sz w:val="20"/>
          <w:szCs w:val="20"/>
        </w:rPr>
        <w:t xml:space="preserve">Selected a judgemental sample of </w:t>
      </w:r>
      <w:r w:rsidR="001352AE" w:rsidRPr="007334C5">
        <w:rPr>
          <w:rFonts w:cstheme="minorHAnsi"/>
          <w:sz w:val="20"/>
          <w:szCs w:val="20"/>
        </w:rPr>
        <w:t>five</w:t>
      </w:r>
      <w:r w:rsidR="00A757B6" w:rsidRPr="007334C5">
        <w:rPr>
          <w:rFonts w:cstheme="minorHAnsi"/>
          <w:sz w:val="20"/>
          <w:szCs w:val="20"/>
        </w:rPr>
        <w:t xml:space="preserve"> (2</w:t>
      </w:r>
      <w:r w:rsidR="00C07E20" w:rsidRPr="007334C5">
        <w:rPr>
          <w:rFonts w:cstheme="minorHAnsi"/>
          <w:sz w:val="20"/>
          <w:szCs w:val="20"/>
        </w:rPr>
        <w:t>6</w:t>
      </w:r>
      <w:r w:rsidR="00A757B6" w:rsidRPr="007334C5">
        <w:rPr>
          <w:rFonts w:cstheme="minorHAnsi"/>
          <w:sz w:val="20"/>
          <w:szCs w:val="20"/>
        </w:rPr>
        <w:t>%)</w:t>
      </w:r>
      <w:r w:rsidRPr="007334C5">
        <w:rPr>
          <w:rFonts w:cstheme="minorHAnsi"/>
          <w:sz w:val="20"/>
          <w:szCs w:val="20"/>
        </w:rPr>
        <w:t xml:space="preserve"> approved </w:t>
      </w:r>
      <w:r w:rsidR="001352AE" w:rsidRPr="007334C5">
        <w:rPr>
          <w:rFonts w:cstheme="minorHAnsi"/>
          <w:sz w:val="20"/>
          <w:szCs w:val="20"/>
        </w:rPr>
        <w:t>schemes</w:t>
      </w:r>
      <w:r w:rsidRPr="007334C5">
        <w:rPr>
          <w:rFonts w:cstheme="minorHAnsi"/>
          <w:sz w:val="20"/>
          <w:szCs w:val="20"/>
        </w:rPr>
        <w:t xml:space="preserve"> for desktop assessment</w:t>
      </w:r>
      <w:r w:rsidR="00DA5730" w:rsidRPr="007334C5">
        <w:rPr>
          <w:rFonts w:cstheme="minorHAnsi"/>
          <w:sz w:val="20"/>
          <w:szCs w:val="20"/>
        </w:rPr>
        <w:t xml:space="preserve"> against the testing checklist</w:t>
      </w:r>
      <w:r w:rsidRPr="007334C5">
        <w:rPr>
          <w:rFonts w:cstheme="minorHAnsi"/>
          <w:sz w:val="20"/>
          <w:szCs w:val="20"/>
        </w:rPr>
        <w:t>. Sample selection took</w:t>
      </w:r>
      <w:r w:rsidR="00C35364" w:rsidRPr="007334C5">
        <w:rPr>
          <w:rFonts w:cstheme="minorHAnsi"/>
          <w:sz w:val="20"/>
          <w:szCs w:val="20"/>
        </w:rPr>
        <w:t xml:space="preserve"> into consideration size </w:t>
      </w:r>
      <w:r w:rsidRPr="007334C5">
        <w:rPr>
          <w:rFonts w:cstheme="minorHAnsi"/>
          <w:sz w:val="20"/>
          <w:szCs w:val="20"/>
        </w:rPr>
        <w:t>of works, catchment area, value of funding and proposed water savings</w:t>
      </w:r>
      <w:r w:rsidR="001352AE" w:rsidRPr="007334C5">
        <w:rPr>
          <w:rFonts w:cstheme="minorHAnsi"/>
          <w:sz w:val="20"/>
          <w:szCs w:val="20"/>
        </w:rPr>
        <w:t>.</w:t>
      </w:r>
      <w:r w:rsidR="00A757B6" w:rsidRPr="007334C5">
        <w:rPr>
          <w:rFonts w:cstheme="minorHAnsi"/>
          <w:sz w:val="20"/>
          <w:szCs w:val="20"/>
        </w:rPr>
        <w:t xml:space="preserve"> The resultant sample</w:t>
      </w:r>
      <w:r w:rsidR="001352AE" w:rsidRPr="007334C5">
        <w:rPr>
          <w:rFonts w:cstheme="minorHAnsi"/>
          <w:sz w:val="20"/>
          <w:szCs w:val="20"/>
        </w:rPr>
        <w:t xml:space="preserve"> covered schemes ranging in total f</w:t>
      </w:r>
      <w:r w:rsidR="00C35364" w:rsidRPr="007334C5">
        <w:rPr>
          <w:rFonts w:cstheme="minorHAnsi"/>
          <w:sz w:val="20"/>
          <w:szCs w:val="20"/>
        </w:rPr>
        <w:t>unding from $300,000 to over $8</w:t>
      </w:r>
      <w:r w:rsidR="001352AE" w:rsidRPr="007334C5">
        <w:rPr>
          <w:rFonts w:cstheme="minorHAnsi"/>
          <w:sz w:val="20"/>
          <w:szCs w:val="20"/>
        </w:rPr>
        <w:t xml:space="preserve"> million in the Murrumbidgee and Gwydir river valleys.</w:t>
      </w:r>
      <w:r w:rsidR="0044489D" w:rsidRPr="007334C5">
        <w:rPr>
          <w:rFonts w:cstheme="minorHAnsi"/>
          <w:sz w:val="20"/>
          <w:szCs w:val="20"/>
        </w:rPr>
        <w:t xml:space="preserve"> </w:t>
      </w:r>
    </w:p>
    <w:p w:rsidR="00C00556" w:rsidRPr="007334C5" w:rsidRDefault="00C00556" w:rsidP="000F0AAC">
      <w:pPr>
        <w:pStyle w:val="ListParagraph"/>
        <w:numPr>
          <w:ilvl w:val="0"/>
          <w:numId w:val="4"/>
        </w:numPr>
        <w:spacing w:before="60" w:after="60" w:line="240" w:lineRule="auto"/>
        <w:contextualSpacing w:val="0"/>
        <w:rPr>
          <w:rFonts w:cstheme="minorHAnsi"/>
          <w:sz w:val="20"/>
          <w:szCs w:val="20"/>
        </w:rPr>
      </w:pPr>
      <w:r w:rsidRPr="007334C5">
        <w:rPr>
          <w:rFonts w:cstheme="minorHAnsi"/>
          <w:sz w:val="20"/>
          <w:szCs w:val="20"/>
        </w:rPr>
        <w:t xml:space="preserve">Conducted a site visit </w:t>
      </w:r>
      <w:r w:rsidR="00867112" w:rsidRPr="007334C5">
        <w:rPr>
          <w:rFonts w:cstheme="minorHAnsi"/>
          <w:sz w:val="20"/>
          <w:szCs w:val="20"/>
        </w:rPr>
        <w:t xml:space="preserve">at the </w:t>
      </w:r>
      <w:r w:rsidR="006805C9" w:rsidRPr="007334C5">
        <w:rPr>
          <w:rFonts w:cstheme="minorHAnsi"/>
          <w:sz w:val="20"/>
          <w:szCs w:val="20"/>
        </w:rPr>
        <w:t>DoI</w:t>
      </w:r>
      <w:r w:rsidR="00AD3A6D" w:rsidRPr="007334C5">
        <w:rPr>
          <w:rFonts w:cstheme="minorHAnsi"/>
          <w:sz w:val="20"/>
          <w:szCs w:val="20"/>
        </w:rPr>
        <w:t xml:space="preserve"> Water</w:t>
      </w:r>
      <w:r w:rsidR="00A757B6" w:rsidRPr="007334C5" w:rsidDel="00A757B6">
        <w:rPr>
          <w:rFonts w:cstheme="minorHAnsi"/>
          <w:sz w:val="20"/>
          <w:szCs w:val="20"/>
        </w:rPr>
        <w:t xml:space="preserve"> </w:t>
      </w:r>
      <w:r w:rsidR="001352AE" w:rsidRPr="007334C5">
        <w:rPr>
          <w:rFonts w:cstheme="minorHAnsi"/>
          <w:sz w:val="20"/>
          <w:szCs w:val="20"/>
        </w:rPr>
        <w:t>Inverell</w:t>
      </w:r>
      <w:r w:rsidR="00A757B6" w:rsidRPr="007334C5">
        <w:rPr>
          <w:rFonts w:cstheme="minorHAnsi"/>
          <w:sz w:val="20"/>
          <w:szCs w:val="20"/>
        </w:rPr>
        <w:t xml:space="preserve"> state office</w:t>
      </w:r>
      <w:r w:rsidR="00432EE5" w:rsidRPr="007334C5">
        <w:rPr>
          <w:rFonts w:cstheme="minorHAnsi"/>
          <w:sz w:val="20"/>
          <w:szCs w:val="20"/>
        </w:rPr>
        <w:t>. Through a combination of stakeholder consultation and document review, KPMG</w:t>
      </w:r>
      <w:r w:rsidR="00867112" w:rsidRPr="007334C5">
        <w:rPr>
          <w:rFonts w:cstheme="minorHAnsi"/>
          <w:sz w:val="20"/>
          <w:szCs w:val="20"/>
        </w:rPr>
        <w:t>:</w:t>
      </w:r>
    </w:p>
    <w:p w:rsidR="003B7616" w:rsidRPr="007334C5" w:rsidRDefault="00D43892" w:rsidP="000F0AAC">
      <w:pPr>
        <w:pStyle w:val="ListParagraph"/>
        <w:numPr>
          <w:ilvl w:val="1"/>
          <w:numId w:val="4"/>
        </w:numPr>
        <w:spacing w:before="120" w:after="120" w:line="240" w:lineRule="auto"/>
        <w:ind w:left="1077" w:hanging="357"/>
        <w:rPr>
          <w:rFonts w:cstheme="minorHAnsi"/>
          <w:sz w:val="20"/>
          <w:szCs w:val="20"/>
        </w:rPr>
      </w:pPr>
      <w:r w:rsidRPr="007334C5">
        <w:rPr>
          <w:rFonts w:cstheme="minorHAnsi"/>
          <w:sz w:val="20"/>
          <w:szCs w:val="20"/>
        </w:rPr>
        <w:t>Underst</w:t>
      </w:r>
      <w:r w:rsidR="00DA5730" w:rsidRPr="007334C5">
        <w:rPr>
          <w:rFonts w:cstheme="minorHAnsi"/>
          <w:sz w:val="20"/>
          <w:szCs w:val="20"/>
        </w:rPr>
        <w:t>ood</w:t>
      </w:r>
      <w:r w:rsidRPr="007334C5">
        <w:rPr>
          <w:rFonts w:cstheme="minorHAnsi"/>
          <w:sz w:val="20"/>
          <w:szCs w:val="20"/>
        </w:rPr>
        <w:t xml:space="preserve"> and review</w:t>
      </w:r>
      <w:r w:rsidR="00DA5730" w:rsidRPr="007334C5">
        <w:rPr>
          <w:rFonts w:cstheme="minorHAnsi"/>
          <w:sz w:val="20"/>
          <w:szCs w:val="20"/>
        </w:rPr>
        <w:t>ed</w:t>
      </w:r>
      <w:r w:rsidRPr="007334C5">
        <w:rPr>
          <w:rFonts w:cstheme="minorHAnsi"/>
          <w:sz w:val="20"/>
          <w:szCs w:val="20"/>
        </w:rPr>
        <w:t xml:space="preserve"> systems, processes and controls for the governance and administration of the relevant program to ensure these have been appropriately designed and implemented, including governance mechanisms, risk management, monitoring activities.</w:t>
      </w:r>
    </w:p>
    <w:p w:rsidR="00C00556" w:rsidRPr="007334C5" w:rsidRDefault="00867112" w:rsidP="000F0AAC">
      <w:pPr>
        <w:pStyle w:val="ListParagraph"/>
        <w:numPr>
          <w:ilvl w:val="1"/>
          <w:numId w:val="4"/>
        </w:numPr>
        <w:spacing w:before="120" w:after="120" w:line="240" w:lineRule="auto"/>
        <w:ind w:left="1077" w:hanging="357"/>
        <w:rPr>
          <w:rFonts w:cstheme="minorHAnsi"/>
          <w:sz w:val="20"/>
          <w:szCs w:val="20"/>
        </w:rPr>
      </w:pPr>
      <w:r w:rsidRPr="007334C5">
        <w:rPr>
          <w:rFonts w:cstheme="minorHAnsi"/>
          <w:sz w:val="20"/>
          <w:szCs w:val="20"/>
        </w:rPr>
        <w:t>Review</w:t>
      </w:r>
      <w:r w:rsidR="00DA5730" w:rsidRPr="007334C5">
        <w:rPr>
          <w:rFonts w:cstheme="minorHAnsi"/>
          <w:sz w:val="20"/>
          <w:szCs w:val="20"/>
        </w:rPr>
        <w:t>ed</w:t>
      </w:r>
      <w:r w:rsidRPr="007334C5">
        <w:rPr>
          <w:rFonts w:cstheme="minorHAnsi"/>
          <w:sz w:val="20"/>
          <w:szCs w:val="20"/>
        </w:rPr>
        <w:t xml:space="preserve"> the selected </w:t>
      </w:r>
      <w:r w:rsidR="00C00556" w:rsidRPr="007334C5">
        <w:rPr>
          <w:rFonts w:cstheme="minorHAnsi"/>
          <w:sz w:val="20"/>
          <w:szCs w:val="20"/>
        </w:rPr>
        <w:t>sample of approved projects for compliance with requirements</w:t>
      </w:r>
      <w:r w:rsidR="00DA5730" w:rsidRPr="007334C5">
        <w:rPr>
          <w:rFonts w:cstheme="minorHAnsi"/>
          <w:sz w:val="20"/>
          <w:szCs w:val="20"/>
        </w:rPr>
        <w:t xml:space="preserve"> outlined in the testing checklist.</w:t>
      </w:r>
    </w:p>
    <w:p w:rsidR="00867112" w:rsidRPr="007334C5" w:rsidRDefault="00867112" w:rsidP="000F0AAC">
      <w:pPr>
        <w:pStyle w:val="ListParagraph"/>
        <w:numPr>
          <w:ilvl w:val="1"/>
          <w:numId w:val="4"/>
        </w:numPr>
        <w:spacing w:before="120" w:after="120" w:line="240" w:lineRule="auto"/>
        <w:ind w:left="1077" w:hanging="357"/>
        <w:contextualSpacing w:val="0"/>
        <w:rPr>
          <w:rFonts w:cstheme="minorHAnsi"/>
          <w:sz w:val="20"/>
          <w:szCs w:val="20"/>
        </w:rPr>
      </w:pPr>
      <w:r w:rsidRPr="007334C5">
        <w:rPr>
          <w:rFonts w:cstheme="minorHAnsi"/>
          <w:sz w:val="20"/>
          <w:szCs w:val="20"/>
        </w:rPr>
        <w:t>Select</w:t>
      </w:r>
      <w:r w:rsidR="00DA5730" w:rsidRPr="007334C5">
        <w:rPr>
          <w:rFonts w:cstheme="minorHAnsi"/>
          <w:sz w:val="20"/>
          <w:szCs w:val="20"/>
        </w:rPr>
        <w:t>ed a</w:t>
      </w:r>
      <w:r w:rsidRPr="007334C5">
        <w:rPr>
          <w:rFonts w:cstheme="minorHAnsi"/>
          <w:sz w:val="20"/>
          <w:szCs w:val="20"/>
        </w:rPr>
        <w:t xml:space="preserve"> refined sample of</w:t>
      </w:r>
      <w:r w:rsidR="00DA5730" w:rsidRPr="007334C5">
        <w:rPr>
          <w:rFonts w:cstheme="minorHAnsi"/>
          <w:sz w:val="20"/>
          <w:szCs w:val="20"/>
        </w:rPr>
        <w:t xml:space="preserve"> </w:t>
      </w:r>
      <w:r w:rsidR="001352AE" w:rsidRPr="007334C5">
        <w:rPr>
          <w:rFonts w:cstheme="minorHAnsi"/>
          <w:sz w:val="20"/>
          <w:szCs w:val="20"/>
        </w:rPr>
        <w:t>four</w:t>
      </w:r>
      <w:r w:rsidR="00DA5730" w:rsidRPr="007334C5">
        <w:rPr>
          <w:rFonts w:cstheme="minorHAnsi"/>
          <w:sz w:val="20"/>
          <w:szCs w:val="20"/>
        </w:rPr>
        <w:t xml:space="preserve"> </w:t>
      </w:r>
      <w:r w:rsidR="001352AE" w:rsidRPr="007334C5">
        <w:rPr>
          <w:rFonts w:cstheme="minorHAnsi"/>
          <w:sz w:val="20"/>
          <w:szCs w:val="20"/>
        </w:rPr>
        <w:t>schemes</w:t>
      </w:r>
      <w:r w:rsidRPr="007334C5">
        <w:rPr>
          <w:rFonts w:cstheme="minorHAnsi"/>
          <w:sz w:val="20"/>
          <w:szCs w:val="20"/>
        </w:rPr>
        <w:t xml:space="preserve"> for on-ground verification</w:t>
      </w:r>
      <w:r w:rsidR="00DA5730" w:rsidRPr="007334C5">
        <w:rPr>
          <w:rFonts w:cstheme="minorHAnsi"/>
          <w:sz w:val="20"/>
          <w:szCs w:val="20"/>
        </w:rPr>
        <w:t xml:space="preserve"> – a subset of the original sample.</w:t>
      </w:r>
    </w:p>
    <w:p w:rsidR="00867112" w:rsidRPr="007334C5" w:rsidRDefault="00867112" w:rsidP="000F0AAC">
      <w:pPr>
        <w:pStyle w:val="ListParagraph"/>
        <w:numPr>
          <w:ilvl w:val="0"/>
          <w:numId w:val="4"/>
        </w:numPr>
        <w:spacing w:before="60" w:after="60" w:line="240" w:lineRule="auto"/>
        <w:contextualSpacing w:val="0"/>
        <w:rPr>
          <w:rFonts w:cstheme="minorHAnsi"/>
          <w:sz w:val="20"/>
          <w:szCs w:val="20"/>
        </w:rPr>
      </w:pPr>
      <w:r w:rsidRPr="007334C5">
        <w:rPr>
          <w:rFonts w:cstheme="minorHAnsi"/>
          <w:sz w:val="20"/>
          <w:szCs w:val="20"/>
        </w:rPr>
        <w:t>Conducted site visits for</w:t>
      </w:r>
      <w:r w:rsidR="00DA5730" w:rsidRPr="007334C5">
        <w:rPr>
          <w:rFonts w:cstheme="minorHAnsi"/>
          <w:sz w:val="20"/>
          <w:szCs w:val="20"/>
        </w:rPr>
        <w:t xml:space="preserve"> </w:t>
      </w:r>
      <w:r w:rsidR="00432EE5" w:rsidRPr="007334C5">
        <w:rPr>
          <w:rFonts w:cstheme="minorHAnsi"/>
          <w:sz w:val="20"/>
          <w:szCs w:val="20"/>
        </w:rPr>
        <w:t xml:space="preserve">a </w:t>
      </w:r>
      <w:r w:rsidR="00DA5730" w:rsidRPr="007334C5">
        <w:rPr>
          <w:rFonts w:cstheme="minorHAnsi"/>
          <w:sz w:val="20"/>
          <w:szCs w:val="20"/>
        </w:rPr>
        <w:t>further</w:t>
      </w:r>
      <w:r w:rsidRPr="007334C5">
        <w:rPr>
          <w:rFonts w:cstheme="minorHAnsi"/>
          <w:sz w:val="20"/>
          <w:szCs w:val="20"/>
        </w:rPr>
        <w:t xml:space="preserve"> </w:t>
      </w:r>
      <w:r w:rsidR="006805C9" w:rsidRPr="007334C5">
        <w:rPr>
          <w:rFonts w:cstheme="minorHAnsi"/>
          <w:sz w:val="20"/>
          <w:szCs w:val="20"/>
        </w:rPr>
        <w:t>four</w:t>
      </w:r>
      <w:r w:rsidRPr="007334C5">
        <w:rPr>
          <w:rFonts w:cstheme="minorHAnsi"/>
          <w:sz w:val="20"/>
          <w:szCs w:val="20"/>
        </w:rPr>
        <w:t xml:space="preserve"> approved </w:t>
      </w:r>
      <w:r w:rsidR="006805C9" w:rsidRPr="007334C5">
        <w:rPr>
          <w:rFonts w:cstheme="minorHAnsi"/>
          <w:sz w:val="20"/>
          <w:szCs w:val="20"/>
        </w:rPr>
        <w:t>schemes</w:t>
      </w:r>
      <w:r w:rsidR="00DA5730" w:rsidRPr="007334C5">
        <w:rPr>
          <w:rFonts w:cstheme="minorHAnsi"/>
          <w:sz w:val="20"/>
          <w:szCs w:val="20"/>
        </w:rPr>
        <w:t xml:space="preserve"> and undertook the following:</w:t>
      </w:r>
      <w:r w:rsidRPr="007334C5">
        <w:rPr>
          <w:rFonts w:cstheme="minorHAnsi"/>
          <w:sz w:val="20"/>
          <w:szCs w:val="20"/>
        </w:rPr>
        <w:t xml:space="preserve"> </w:t>
      </w:r>
    </w:p>
    <w:p w:rsidR="003B7616" w:rsidRPr="007334C5" w:rsidRDefault="0044489D" w:rsidP="000F0AAC">
      <w:pPr>
        <w:pStyle w:val="ListParagraph"/>
        <w:numPr>
          <w:ilvl w:val="1"/>
          <w:numId w:val="4"/>
        </w:numPr>
        <w:spacing w:before="120" w:after="120" w:line="240" w:lineRule="auto"/>
        <w:ind w:left="1077" w:hanging="357"/>
        <w:rPr>
          <w:rFonts w:cstheme="minorHAnsi"/>
          <w:sz w:val="20"/>
          <w:szCs w:val="20"/>
        </w:rPr>
      </w:pPr>
      <w:r w:rsidRPr="007334C5">
        <w:rPr>
          <w:rFonts w:cstheme="minorHAnsi"/>
          <w:sz w:val="20"/>
          <w:szCs w:val="20"/>
        </w:rPr>
        <w:t>Gained an u</w:t>
      </w:r>
      <w:r w:rsidR="00D43892" w:rsidRPr="007334C5">
        <w:rPr>
          <w:rFonts w:cstheme="minorHAnsi"/>
          <w:sz w:val="20"/>
          <w:szCs w:val="20"/>
        </w:rPr>
        <w:t>nderstand</w:t>
      </w:r>
      <w:r w:rsidRPr="007334C5">
        <w:rPr>
          <w:rFonts w:cstheme="minorHAnsi"/>
          <w:sz w:val="20"/>
          <w:szCs w:val="20"/>
        </w:rPr>
        <w:t>ing</w:t>
      </w:r>
      <w:r w:rsidR="00D43892" w:rsidRPr="007334C5">
        <w:rPr>
          <w:rFonts w:cstheme="minorHAnsi"/>
          <w:sz w:val="20"/>
          <w:szCs w:val="20"/>
        </w:rPr>
        <w:t xml:space="preserve"> of the processes in place at the proponent / funding recipient to ensure they comply with the funding conditions.</w:t>
      </w:r>
    </w:p>
    <w:p w:rsidR="00867112" w:rsidRPr="007334C5" w:rsidRDefault="00867112" w:rsidP="000F0AAC">
      <w:pPr>
        <w:pStyle w:val="ListParagraph"/>
        <w:numPr>
          <w:ilvl w:val="1"/>
          <w:numId w:val="4"/>
        </w:numPr>
        <w:spacing w:before="120" w:after="120" w:line="240" w:lineRule="auto"/>
        <w:ind w:left="1077" w:hanging="357"/>
        <w:rPr>
          <w:rFonts w:cstheme="minorHAnsi"/>
          <w:sz w:val="20"/>
          <w:szCs w:val="20"/>
        </w:rPr>
      </w:pPr>
      <w:r w:rsidRPr="007334C5">
        <w:rPr>
          <w:rFonts w:cstheme="minorHAnsi"/>
          <w:sz w:val="20"/>
          <w:szCs w:val="20"/>
        </w:rPr>
        <w:t>Obtain</w:t>
      </w:r>
      <w:r w:rsidR="0044489D" w:rsidRPr="007334C5">
        <w:rPr>
          <w:rFonts w:cstheme="minorHAnsi"/>
          <w:sz w:val="20"/>
          <w:szCs w:val="20"/>
        </w:rPr>
        <w:t>ed</w:t>
      </w:r>
      <w:r w:rsidRPr="007334C5">
        <w:rPr>
          <w:rFonts w:cstheme="minorHAnsi"/>
          <w:sz w:val="20"/>
          <w:szCs w:val="20"/>
        </w:rPr>
        <w:t xml:space="preserve"> feedback from </w:t>
      </w:r>
      <w:r w:rsidR="001352AE" w:rsidRPr="007334C5">
        <w:rPr>
          <w:rFonts w:cstheme="minorHAnsi"/>
          <w:sz w:val="20"/>
          <w:szCs w:val="20"/>
        </w:rPr>
        <w:t>available landholders</w:t>
      </w:r>
      <w:r w:rsidRPr="007334C5">
        <w:rPr>
          <w:rFonts w:cstheme="minorHAnsi"/>
          <w:sz w:val="20"/>
          <w:szCs w:val="20"/>
        </w:rPr>
        <w:t xml:space="preserve"> on the project.</w:t>
      </w:r>
    </w:p>
    <w:p w:rsidR="00DA5730" w:rsidRPr="007334C5" w:rsidRDefault="0044489D" w:rsidP="000F0AAC">
      <w:pPr>
        <w:pStyle w:val="ListParagraph"/>
        <w:numPr>
          <w:ilvl w:val="1"/>
          <w:numId w:val="4"/>
        </w:numPr>
        <w:spacing w:before="120" w:after="120" w:line="240" w:lineRule="auto"/>
        <w:ind w:left="1077" w:hanging="357"/>
        <w:rPr>
          <w:rFonts w:cstheme="minorHAnsi"/>
          <w:sz w:val="20"/>
          <w:szCs w:val="20"/>
        </w:rPr>
      </w:pPr>
      <w:r w:rsidRPr="007334C5">
        <w:rPr>
          <w:rFonts w:cstheme="minorHAnsi"/>
          <w:sz w:val="20"/>
          <w:szCs w:val="20"/>
        </w:rPr>
        <w:t>Undertook</w:t>
      </w:r>
      <w:r w:rsidR="00D43892" w:rsidRPr="007334C5">
        <w:rPr>
          <w:rFonts w:cstheme="minorHAnsi"/>
          <w:sz w:val="20"/>
          <w:szCs w:val="20"/>
        </w:rPr>
        <w:t xml:space="preserve"> </w:t>
      </w:r>
      <w:r w:rsidR="00A757B6" w:rsidRPr="007334C5">
        <w:rPr>
          <w:rFonts w:cstheme="minorHAnsi"/>
          <w:sz w:val="20"/>
          <w:szCs w:val="20"/>
        </w:rPr>
        <w:t xml:space="preserve">an </w:t>
      </w:r>
      <w:r w:rsidR="00D43892" w:rsidRPr="007334C5">
        <w:rPr>
          <w:rFonts w:cstheme="minorHAnsi"/>
          <w:sz w:val="20"/>
          <w:szCs w:val="20"/>
        </w:rPr>
        <w:t>assessment of the progress made in implementing on-ground works and verification of engineering reports</w:t>
      </w:r>
      <w:r w:rsidR="00DA5730" w:rsidRPr="007334C5">
        <w:rPr>
          <w:rFonts w:cstheme="minorHAnsi"/>
          <w:sz w:val="20"/>
          <w:szCs w:val="20"/>
        </w:rPr>
        <w:t>, namely:</w:t>
      </w:r>
    </w:p>
    <w:p w:rsidR="00DA5730" w:rsidRPr="007334C5" w:rsidRDefault="00DA5730" w:rsidP="000F0AAC">
      <w:pPr>
        <w:pStyle w:val="ListParagraph"/>
        <w:numPr>
          <w:ilvl w:val="2"/>
          <w:numId w:val="4"/>
        </w:numPr>
        <w:spacing w:before="120" w:after="120" w:line="240" w:lineRule="auto"/>
        <w:rPr>
          <w:rFonts w:cstheme="minorHAnsi"/>
          <w:sz w:val="20"/>
          <w:szCs w:val="20"/>
        </w:rPr>
      </w:pPr>
      <w:r w:rsidRPr="007334C5">
        <w:rPr>
          <w:rFonts w:cstheme="minorHAnsi"/>
          <w:sz w:val="20"/>
          <w:szCs w:val="20"/>
        </w:rPr>
        <w:t>Scope of works in approved;</w:t>
      </w:r>
      <w:r w:rsidR="00C07E20" w:rsidRPr="007334C5">
        <w:rPr>
          <w:rFonts w:cstheme="minorHAnsi"/>
          <w:sz w:val="20"/>
          <w:szCs w:val="20"/>
        </w:rPr>
        <w:t xml:space="preserve"> and</w:t>
      </w:r>
    </w:p>
    <w:p w:rsidR="003B7616" w:rsidRPr="007334C5" w:rsidRDefault="0053539F" w:rsidP="000F0AAC">
      <w:pPr>
        <w:pStyle w:val="ListParagraph"/>
        <w:numPr>
          <w:ilvl w:val="2"/>
          <w:numId w:val="4"/>
        </w:numPr>
        <w:spacing w:before="120" w:after="120" w:line="240" w:lineRule="auto"/>
        <w:rPr>
          <w:rFonts w:cstheme="minorHAnsi"/>
          <w:sz w:val="18"/>
          <w:szCs w:val="18"/>
        </w:rPr>
      </w:pPr>
      <w:r w:rsidRPr="007334C5">
        <w:rPr>
          <w:rFonts w:cstheme="minorHAnsi"/>
          <w:sz w:val="20"/>
          <w:szCs w:val="20"/>
        </w:rPr>
        <w:t>I</w:t>
      </w:r>
      <w:r w:rsidR="00DA5730" w:rsidRPr="007334C5">
        <w:rPr>
          <w:rFonts w:cstheme="minorHAnsi"/>
          <w:sz w:val="20"/>
          <w:szCs w:val="20"/>
        </w:rPr>
        <w:t>nspection reports</w:t>
      </w:r>
      <w:r w:rsidR="00C07E20" w:rsidRPr="007334C5">
        <w:rPr>
          <w:rFonts w:cstheme="minorHAnsi"/>
          <w:sz w:val="20"/>
          <w:szCs w:val="20"/>
        </w:rPr>
        <w:t>.</w:t>
      </w:r>
      <w:r w:rsidR="00DA5730" w:rsidRPr="007334C5">
        <w:rPr>
          <w:rFonts w:cstheme="minorHAnsi"/>
          <w:sz w:val="18"/>
          <w:szCs w:val="18"/>
        </w:rPr>
        <w:t xml:space="preserve"> </w:t>
      </w:r>
    </w:p>
    <w:p w:rsidR="003B7616" w:rsidRPr="007334C5" w:rsidRDefault="00D43892" w:rsidP="000F0AAC">
      <w:pPr>
        <w:pStyle w:val="ListParagraph"/>
        <w:numPr>
          <w:ilvl w:val="1"/>
          <w:numId w:val="4"/>
        </w:numPr>
        <w:spacing w:before="120" w:after="120" w:line="240" w:lineRule="auto"/>
        <w:ind w:left="1077" w:hanging="357"/>
        <w:rPr>
          <w:rFonts w:cstheme="minorHAnsi"/>
          <w:sz w:val="20"/>
          <w:szCs w:val="20"/>
        </w:rPr>
      </w:pPr>
      <w:r w:rsidRPr="007334C5">
        <w:rPr>
          <w:rFonts w:cstheme="minorHAnsi"/>
          <w:sz w:val="20"/>
          <w:szCs w:val="20"/>
        </w:rPr>
        <w:t>Follow</w:t>
      </w:r>
      <w:r w:rsidR="00432EE5" w:rsidRPr="007334C5">
        <w:rPr>
          <w:rFonts w:cstheme="minorHAnsi"/>
          <w:sz w:val="20"/>
          <w:szCs w:val="20"/>
        </w:rPr>
        <w:t>ed</w:t>
      </w:r>
      <w:r w:rsidRPr="007334C5">
        <w:rPr>
          <w:rFonts w:cstheme="minorHAnsi"/>
          <w:sz w:val="20"/>
          <w:szCs w:val="20"/>
        </w:rPr>
        <w:t xml:space="preserve"> up any risks or gaps identified during desktop assessment.</w:t>
      </w:r>
    </w:p>
    <w:p w:rsidR="00867112" w:rsidRPr="007334C5" w:rsidRDefault="00867112" w:rsidP="0044489D">
      <w:pPr>
        <w:spacing w:before="120" w:after="120" w:line="240" w:lineRule="auto"/>
        <w:rPr>
          <w:rFonts w:cstheme="minorHAnsi"/>
          <w:b/>
          <w:sz w:val="20"/>
          <w:szCs w:val="20"/>
        </w:rPr>
      </w:pPr>
      <w:r w:rsidRPr="007334C5">
        <w:rPr>
          <w:rFonts w:cstheme="minorHAnsi"/>
          <w:b/>
          <w:sz w:val="20"/>
          <w:szCs w:val="20"/>
        </w:rPr>
        <w:t>Reporting</w:t>
      </w:r>
    </w:p>
    <w:p w:rsidR="00867112" w:rsidRPr="007334C5" w:rsidRDefault="007B612D" w:rsidP="000F0AAC">
      <w:pPr>
        <w:pStyle w:val="ListParagraph"/>
        <w:numPr>
          <w:ilvl w:val="0"/>
          <w:numId w:val="4"/>
        </w:numPr>
        <w:spacing w:before="60" w:after="60" w:line="240" w:lineRule="auto"/>
        <w:contextualSpacing w:val="0"/>
        <w:rPr>
          <w:rFonts w:cstheme="minorHAnsi"/>
          <w:sz w:val="20"/>
          <w:szCs w:val="20"/>
        </w:rPr>
      </w:pPr>
      <w:r w:rsidRPr="007334C5">
        <w:rPr>
          <w:rFonts w:cstheme="minorHAnsi"/>
          <w:sz w:val="20"/>
          <w:szCs w:val="20"/>
        </w:rPr>
        <w:t xml:space="preserve">Sought additional information and discussed </w:t>
      </w:r>
      <w:r w:rsidR="00867112" w:rsidRPr="007334C5">
        <w:rPr>
          <w:rFonts w:cstheme="minorHAnsi"/>
          <w:sz w:val="20"/>
          <w:szCs w:val="20"/>
        </w:rPr>
        <w:t>observation</w:t>
      </w:r>
      <w:r w:rsidR="00E621EE" w:rsidRPr="007334C5">
        <w:rPr>
          <w:rFonts w:cstheme="minorHAnsi"/>
          <w:sz w:val="20"/>
          <w:szCs w:val="20"/>
        </w:rPr>
        <w:t>s</w:t>
      </w:r>
      <w:r w:rsidR="00867112" w:rsidRPr="007334C5">
        <w:rPr>
          <w:rFonts w:cstheme="minorHAnsi"/>
          <w:sz w:val="20"/>
          <w:szCs w:val="20"/>
        </w:rPr>
        <w:t xml:space="preserve"> with the </w:t>
      </w:r>
      <w:r w:rsidR="00AD3A6D" w:rsidRPr="007334C5">
        <w:rPr>
          <w:rFonts w:cstheme="minorHAnsi"/>
          <w:sz w:val="20"/>
          <w:szCs w:val="20"/>
        </w:rPr>
        <w:t>Do</w:t>
      </w:r>
      <w:r w:rsidR="002A62AE" w:rsidRPr="007334C5">
        <w:rPr>
          <w:rFonts w:cstheme="minorHAnsi"/>
          <w:sz w:val="20"/>
          <w:szCs w:val="20"/>
        </w:rPr>
        <w:t xml:space="preserve">I </w:t>
      </w:r>
      <w:r w:rsidR="00AD3A6D" w:rsidRPr="007334C5">
        <w:rPr>
          <w:rFonts w:cstheme="minorHAnsi"/>
          <w:sz w:val="20"/>
          <w:szCs w:val="20"/>
        </w:rPr>
        <w:t>Water</w:t>
      </w:r>
      <w:r w:rsidRPr="007334C5">
        <w:rPr>
          <w:rFonts w:cstheme="minorHAnsi"/>
          <w:sz w:val="20"/>
          <w:szCs w:val="20"/>
        </w:rPr>
        <w:t xml:space="preserve"> and DAWR</w:t>
      </w:r>
      <w:r w:rsidR="00867112" w:rsidRPr="007334C5">
        <w:rPr>
          <w:rFonts w:cstheme="minorHAnsi"/>
          <w:sz w:val="20"/>
          <w:szCs w:val="20"/>
        </w:rPr>
        <w:t xml:space="preserve"> to confirm factual accuracy </w:t>
      </w:r>
      <w:r w:rsidR="00E621EE" w:rsidRPr="007334C5">
        <w:rPr>
          <w:rFonts w:cstheme="minorHAnsi"/>
          <w:sz w:val="20"/>
          <w:szCs w:val="20"/>
        </w:rPr>
        <w:t xml:space="preserve">of observations </w:t>
      </w:r>
      <w:r w:rsidR="00867112" w:rsidRPr="007334C5">
        <w:rPr>
          <w:rFonts w:cstheme="minorHAnsi"/>
          <w:sz w:val="20"/>
          <w:szCs w:val="20"/>
        </w:rPr>
        <w:t>prior to the Draft report.</w:t>
      </w:r>
    </w:p>
    <w:p w:rsidR="00867112" w:rsidRPr="007334C5" w:rsidRDefault="00867112" w:rsidP="000F0AAC">
      <w:pPr>
        <w:pStyle w:val="ListParagraph"/>
        <w:numPr>
          <w:ilvl w:val="0"/>
          <w:numId w:val="4"/>
        </w:numPr>
        <w:spacing w:before="60" w:after="60" w:line="240" w:lineRule="auto"/>
        <w:contextualSpacing w:val="0"/>
        <w:rPr>
          <w:rFonts w:cstheme="minorHAnsi"/>
          <w:sz w:val="20"/>
          <w:szCs w:val="20"/>
        </w:rPr>
      </w:pPr>
      <w:r w:rsidRPr="007334C5">
        <w:rPr>
          <w:rFonts w:cstheme="minorHAnsi"/>
          <w:sz w:val="20"/>
          <w:szCs w:val="20"/>
        </w:rPr>
        <w:t>Developed a draft report for circulation to relevant stakeholders.</w:t>
      </w:r>
    </w:p>
    <w:p w:rsidR="00D43892" w:rsidRPr="007334C5" w:rsidRDefault="00D43892" w:rsidP="000F0AAC">
      <w:pPr>
        <w:pStyle w:val="ListParagraph"/>
        <w:numPr>
          <w:ilvl w:val="0"/>
          <w:numId w:val="4"/>
        </w:numPr>
        <w:spacing w:before="60" w:after="60" w:line="240" w:lineRule="auto"/>
        <w:contextualSpacing w:val="0"/>
        <w:rPr>
          <w:rFonts w:cstheme="minorHAnsi"/>
          <w:sz w:val="20"/>
          <w:szCs w:val="20"/>
        </w:rPr>
      </w:pPr>
      <w:r w:rsidRPr="007334C5">
        <w:rPr>
          <w:rFonts w:cstheme="minorHAnsi"/>
          <w:sz w:val="20"/>
          <w:szCs w:val="20"/>
        </w:rPr>
        <w:t>Finalise</w:t>
      </w:r>
      <w:r w:rsidR="0044489D" w:rsidRPr="007334C5">
        <w:rPr>
          <w:rFonts w:cstheme="minorHAnsi"/>
          <w:sz w:val="20"/>
          <w:szCs w:val="20"/>
        </w:rPr>
        <w:t>d</w:t>
      </w:r>
      <w:r w:rsidRPr="007334C5">
        <w:rPr>
          <w:rFonts w:cstheme="minorHAnsi"/>
          <w:sz w:val="20"/>
          <w:szCs w:val="20"/>
        </w:rPr>
        <w:t xml:space="preserve"> report, based on consolidated feedback from the </w:t>
      </w:r>
      <w:r w:rsidR="00C57E81" w:rsidRPr="007334C5">
        <w:rPr>
          <w:rFonts w:cstheme="minorHAnsi"/>
          <w:sz w:val="20"/>
          <w:szCs w:val="20"/>
        </w:rPr>
        <w:t>DAWR</w:t>
      </w:r>
      <w:r w:rsidRPr="007334C5">
        <w:rPr>
          <w:rFonts w:cstheme="minorHAnsi"/>
          <w:sz w:val="20"/>
          <w:szCs w:val="20"/>
        </w:rPr>
        <w:t xml:space="preserve"> and </w:t>
      </w:r>
      <w:r w:rsidR="00AD3A6D" w:rsidRPr="007334C5">
        <w:rPr>
          <w:rFonts w:cstheme="minorHAnsi"/>
          <w:sz w:val="20"/>
          <w:szCs w:val="20"/>
        </w:rPr>
        <w:t>Do</w:t>
      </w:r>
      <w:r w:rsidR="002A62AE" w:rsidRPr="007334C5">
        <w:rPr>
          <w:rFonts w:cstheme="minorHAnsi"/>
          <w:sz w:val="20"/>
          <w:szCs w:val="20"/>
        </w:rPr>
        <w:t xml:space="preserve">I </w:t>
      </w:r>
      <w:r w:rsidR="00AD3A6D" w:rsidRPr="007334C5">
        <w:rPr>
          <w:rFonts w:cstheme="minorHAnsi"/>
          <w:sz w:val="20"/>
          <w:szCs w:val="20"/>
        </w:rPr>
        <w:t>Water</w:t>
      </w:r>
      <w:r w:rsidR="00A757B6" w:rsidRPr="007334C5">
        <w:rPr>
          <w:rFonts w:cstheme="minorHAnsi"/>
          <w:sz w:val="20"/>
          <w:szCs w:val="20"/>
        </w:rPr>
        <w:t xml:space="preserve"> </w:t>
      </w:r>
      <w:r w:rsidRPr="007334C5">
        <w:rPr>
          <w:rFonts w:cstheme="minorHAnsi"/>
          <w:sz w:val="20"/>
          <w:szCs w:val="20"/>
        </w:rPr>
        <w:t>stakeholders.</w:t>
      </w:r>
    </w:p>
    <w:p w:rsidR="00FC0C47" w:rsidRPr="007334C5" w:rsidRDefault="00FC0C47" w:rsidP="00597060">
      <w:pPr>
        <w:pStyle w:val="Heading2"/>
        <w:pageBreakBefore/>
        <w:numPr>
          <w:ilvl w:val="0"/>
          <w:numId w:val="2"/>
        </w:numPr>
        <w:ind w:left="425" w:hanging="425"/>
        <w:rPr>
          <w:rFonts w:asciiTheme="minorHAnsi" w:hAnsiTheme="minorHAnsi" w:cstheme="minorHAnsi"/>
        </w:rPr>
      </w:pPr>
      <w:bookmarkStart w:id="40" w:name="_Toc535401150"/>
      <w:r w:rsidRPr="007334C5">
        <w:rPr>
          <w:rFonts w:asciiTheme="minorHAnsi" w:hAnsiTheme="minorHAnsi" w:cstheme="minorHAnsi"/>
        </w:rPr>
        <w:t>Disclaimer</w:t>
      </w:r>
      <w:bookmarkEnd w:id="40"/>
    </w:p>
    <w:p w:rsidR="00273FB1" w:rsidRPr="007334C5" w:rsidRDefault="00273FB1" w:rsidP="00273FB1">
      <w:pPr>
        <w:rPr>
          <w:rFonts w:cstheme="minorHAnsi"/>
          <w:sz w:val="20"/>
        </w:rPr>
      </w:pPr>
      <w:r w:rsidRPr="007334C5">
        <w:rPr>
          <w:rFonts w:cstheme="minorHAnsi"/>
          <w:b/>
          <w:bCs/>
          <w:sz w:val="20"/>
        </w:rPr>
        <w:t>Inherent Limitations</w:t>
      </w:r>
    </w:p>
    <w:p w:rsidR="00273FB1" w:rsidRPr="007334C5" w:rsidRDefault="00273FB1" w:rsidP="00273FB1">
      <w:pPr>
        <w:spacing w:before="120" w:after="120" w:line="240" w:lineRule="auto"/>
        <w:rPr>
          <w:rFonts w:cstheme="minorHAnsi"/>
          <w:sz w:val="20"/>
        </w:rPr>
      </w:pPr>
      <w:r w:rsidRPr="007334C5">
        <w:rPr>
          <w:rFonts w:cstheme="minorHAnsi"/>
          <w:sz w:val="20"/>
        </w:rPr>
        <w:t>This report has been prepared as outlined in Appendix B of the report. The procedures outlined in the approach do not constitute a statutory audit nor a comprehensive review of operations.</w:t>
      </w:r>
    </w:p>
    <w:p w:rsidR="00273FB1" w:rsidRPr="007334C5" w:rsidRDefault="00273FB1" w:rsidP="00273FB1">
      <w:pPr>
        <w:spacing w:before="120" w:after="120" w:line="240" w:lineRule="auto"/>
        <w:rPr>
          <w:rFonts w:cstheme="minorHAnsi"/>
          <w:sz w:val="20"/>
        </w:rPr>
      </w:pPr>
      <w:r w:rsidRPr="007334C5">
        <w:rPr>
          <w:rFonts w:cstheme="minorHAnsi"/>
          <w:sz w:val="20"/>
        </w:rPr>
        <w:t>No warranty of completeness, accuracy or reliability is given by KPMG in relation to the statements and representations made by the department and client agencies, nor the information and documentation provided by the department and client agencies, as part of the process used in preparing this report.</w:t>
      </w:r>
    </w:p>
    <w:p w:rsidR="00273FB1" w:rsidRPr="007334C5" w:rsidRDefault="00273FB1" w:rsidP="00273FB1">
      <w:pPr>
        <w:spacing w:before="120" w:after="120" w:line="240" w:lineRule="auto"/>
        <w:rPr>
          <w:rFonts w:cstheme="minorHAnsi"/>
          <w:sz w:val="20"/>
        </w:rPr>
      </w:pPr>
      <w:r w:rsidRPr="007334C5">
        <w:rPr>
          <w:rFonts w:cstheme="minorHAnsi"/>
          <w:sz w:val="20"/>
        </w:rPr>
        <w:t>We have not sought to independently verify those sources unless otherwise noted within the report. KPMG is under no obligation in any circumstance to update this report, in either oral or written form, for events occurring after the report has been issued in final form. The findings in this report have been formed on the above basis.</w:t>
      </w:r>
    </w:p>
    <w:p w:rsidR="00273FB1" w:rsidRPr="007334C5" w:rsidRDefault="00273FB1" w:rsidP="00273FB1">
      <w:pPr>
        <w:spacing w:before="120" w:after="120" w:line="240" w:lineRule="auto"/>
        <w:rPr>
          <w:rFonts w:cstheme="minorHAnsi"/>
          <w:sz w:val="20"/>
        </w:rPr>
      </w:pPr>
      <w:r w:rsidRPr="007334C5">
        <w:rPr>
          <w:rFonts w:cstheme="minorHAnsi"/>
          <w:sz w:val="20"/>
        </w:rPr>
        <w:t xml:space="preserve">Due to the inherent limitations of any internal control structure, it is possible that fraud, error or non-compliance with laws and regulations may occur and not be detected. Further, the </w:t>
      </w:r>
      <w:r w:rsidR="000B2AF6" w:rsidRPr="007334C5">
        <w:rPr>
          <w:rFonts w:cstheme="minorHAnsi"/>
          <w:sz w:val="20"/>
        </w:rPr>
        <w:t>organisational control</w:t>
      </w:r>
      <w:r w:rsidRPr="007334C5">
        <w:rPr>
          <w:rFonts w:cstheme="minorHAnsi"/>
          <w:sz w:val="20"/>
        </w:rPr>
        <w:t xml:space="preserve"> structure, within which the </w:t>
      </w:r>
      <w:r w:rsidR="00C95FF7" w:rsidRPr="007334C5">
        <w:rPr>
          <w:rFonts w:cstheme="minorHAnsi"/>
          <w:sz w:val="20"/>
        </w:rPr>
        <w:t>State Priority Project operates</w:t>
      </w:r>
      <w:r w:rsidRPr="007334C5">
        <w:rPr>
          <w:rFonts w:cstheme="minorHAnsi"/>
          <w:sz w:val="20"/>
        </w:rPr>
        <w:t>, has not been reviewed in its entirety and, therefore, no opinion or view is expressed as to its effectiveness of th</w:t>
      </w:r>
      <w:r w:rsidR="000B2AF6" w:rsidRPr="007334C5">
        <w:rPr>
          <w:rFonts w:cstheme="minorHAnsi"/>
          <w:sz w:val="20"/>
        </w:rPr>
        <w:t>is</w:t>
      </w:r>
      <w:r w:rsidRPr="007334C5">
        <w:rPr>
          <w:rFonts w:cstheme="minorHAnsi"/>
          <w:sz w:val="20"/>
        </w:rPr>
        <w:t xml:space="preserve"> greater control structure. The procedures performed were not designed to detect all weaknesses in control procedures as they are not performed continuously throughout the period and the tests performed on the control procedures are on sample basis. Any projection of the evaluation of control procedures to future periods is subject to the risk that the procedures may become inadequate because of changes in conditions, or that the degree of compliance with them may deteriorate. ‘Review’ in this Report is not used in the context as outlined in the Australian Auditing Standard</w:t>
      </w:r>
      <w:r w:rsidR="003130C0" w:rsidRPr="007334C5">
        <w:rPr>
          <w:rFonts w:cstheme="minorHAnsi"/>
          <w:sz w:val="20"/>
        </w:rPr>
        <w:t>s</w:t>
      </w:r>
      <w:r w:rsidRPr="007334C5">
        <w:rPr>
          <w:rFonts w:cstheme="minorHAnsi"/>
          <w:sz w:val="20"/>
        </w:rPr>
        <w:t>.</w:t>
      </w:r>
    </w:p>
    <w:p w:rsidR="00273FB1" w:rsidRPr="007334C5" w:rsidRDefault="00273FB1" w:rsidP="00273FB1">
      <w:pPr>
        <w:spacing w:before="120" w:after="120" w:line="240" w:lineRule="auto"/>
        <w:rPr>
          <w:rFonts w:cstheme="minorHAnsi"/>
          <w:sz w:val="20"/>
        </w:rPr>
      </w:pPr>
      <w:r w:rsidRPr="007334C5">
        <w:rPr>
          <w:rFonts w:cstheme="minorHAnsi"/>
          <w:b/>
          <w:bCs/>
          <w:sz w:val="20"/>
        </w:rPr>
        <w:t>Third Party Reliance</w:t>
      </w:r>
    </w:p>
    <w:p w:rsidR="00273FB1" w:rsidRPr="007334C5" w:rsidRDefault="00273FB1" w:rsidP="00273FB1">
      <w:pPr>
        <w:spacing w:before="120" w:after="120" w:line="240" w:lineRule="auto"/>
        <w:rPr>
          <w:rFonts w:cstheme="minorHAnsi"/>
          <w:sz w:val="20"/>
        </w:rPr>
      </w:pPr>
      <w:r w:rsidRPr="007334C5">
        <w:rPr>
          <w:rFonts w:cstheme="minorHAnsi"/>
          <w:sz w:val="20"/>
        </w:rPr>
        <w:t>This report is solely for the purpose set out in Appendix A and for the DAWR’s information, and is not to be used for any other purpose or distributed to any other party without KPMG’s prior written consent.</w:t>
      </w:r>
    </w:p>
    <w:p w:rsidR="00273FB1" w:rsidRPr="007334C5" w:rsidRDefault="00273FB1" w:rsidP="00273FB1">
      <w:pPr>
        <w:tabs>
          <w:tab w:val="left" w:pos="7813"/>
        </w:tabs>
        <w:spacing w:before="120" w:after="120" w:line="240" w:lineRule="auto"/>
        <w:rPr>
          <w:rFonts w:cstheme="minorHAnsi"/>
          <w:sz w:val="20"/>
        </w:rPr>
      </w:pPr>
      <w:r w:rsidRPr="007334C5">
        <w:rPr>
          <w:rFonts w:cstheme="minorHAnsi"/>
          <w:sz w:val="20"/>
        </w:rPr>
        <w:t>This report has been prepared at the request of the department in accordance with the terms of KPMG’s work order dated 23 March 2018. Other than our responsibility to the department, neither KPMG nor any member or employee of KPMG undertakes responsibility arising in any way from reliance placed by a third party on this report. Any reliance placed is that party’s sole responsibility.</w:t>
      </w:r>
    </w:p>
    <w:p w:rsidR="003D1C3A" w:rsidRPr="007334C5" w:rsidRDefault="003D1C3A" w:rsidP="003D1C3A">
      <w:pPr>
        <w:spacing w:before="120" w:after="120" w:line="240" w:lineRule="auto"/>
        <w:rPr>
          <w:rFonts w:cstheme="minorHAnsi"/>
          <w:b/>
          <w:bCs/>
          <w:sz w:val="20"/>
        </w:rPr>
      </w:pPr>
      <w:r w:rsidRPr="007334C5">
        <w:rPr>
          <w:rFonts w:cstheme="minorHAnsi"/>
          <w:b/>
          <w:bCs/>
          <w:sz w:val="20"/>
        </w:rPr>
        <w:t>Accessibility</w:t>
      </w:r>
    </w:p>
    <w:p w:rsidR="003D1C3A" w:rsidRPr="007334C5" w:rsidRDefault="003D1C3A" w:rsidP="003D1C3A">
      <w:pPr>
        <w:tabs>
          <w:tab w:val="left" w:pos="7813"/>
        </w:tabs>
        <w:spacing w:before="120" w:after="120" w:line="240" w:lineRule="auto"/>
        <w:rPr>
          <w:rFonts w:cstheme="minorHAnsi"/>
          <w:sz w:val="20"/>
        </w:rPr>
      </w:pPr>
      <w:r w:rsidRPr="007334C5">
        <w:rPr>
          <w:rFonts w:cstheme="minorHAnsi"/>
          <w:sz w:val="20"/>
        </w:rPr>
        <w:t>To comply with the Commonwealth Government’s accessibility requirements, two versions of this Report are available: a KPMG-branded PDF version and an unbranded Microsoft Word version. The KPMG-branded PDF version of this Report remains the definitive version of this Report.</w:t>
      </w:r>
    </w:p>
    <w:p w:rsidR="00273FB1" w:rsidRPr="007334C5" w:rsidRDefault="00273FB1" w:rsidP="00273FB1">
      <w:pPr>
        <w:spacing w:before="120" w:after="120" w:line="240" w:lineRule="auto"/>
        <w:rPr>
          <w:rFonts w:cstheme="minorHAnsi"/>
        </w:rPr>
      </w:pPr>
    </w:p>
    <w:p w:rsidR="000A5790" w:rsidRPr="007334C5" w:rsidRDefault="000A5790" w:rsidP="00273FB1">
      <w:pPr>
        <w:spacing w:before="120" w:after="120"/>
        <w:rPr>
          <w:rFonts w:cstheme="minorHAnsi"/>
          <w:sz w:val="20"/>
          <w:szCs w:val="20"/>
        </w:rPr>
      </w:pPr>
    </w:p>
    <w:sectPr w:rsidR="000A5790" w:rsidRPr="007334C5" w:rsidSect="00597060">
      <w:headerReference w:type="default" r:id="rId17"/>
      <w:pgSz w:w="11906" w:h="16838"/>
      <w:pgMar w:top="1418" w:right="709" w:bottom="1843" w:left="1701" w:header="568" w:footer="70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AC3" w:rsidRDefault="00E85AC3" w:rsidP="00D649F6">
      <w:pPr>
        <w:spacing w:after="0" w:line="240" w:lineRule="auto"/>
      </w:pPr>
      <w:r>
        <w:separator/>
      </w:r>
    </w:p>
    <w:p w:rsidR="00E85AC3" w:rsidRDefault="00E85AC3"/>
  </w:endnote>
  <w:endnote w:type="continuationSeparator" w:id="0">
    <w:p w:rsidR="00E85AC3" w:rsidRDefault="00E85AC3" w:rsidP="00D649F6">
      <w:pPr>
        <w:spacing w:after="0" w:line="240" w:lineRule="auto"/>
      </w:pPr>
      <w:r>
        <w:continuationSeparator/>
      </w:r>
    </w:p>
    <w:p w:rsidR="00E85AC3" w:rsidRDefault="00E85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45 Light">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4C5" w:rsidRDefault="007334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672856"/>
      <w:docPartObj>
        <w:docPartGallery w:val="Page Numbers (Bottom of Page)"/>
        <w:docPartUnique/>
      </w:docPartObj>
    </w:sdtPr>
    <w:sdtEndPr>
      <w:rPr>
        <w:rFonts w:ascii="Univers 45 Light" w:hAnsi="Univers 45 Light"/>
        <w:noProof/>
      </w:rPr>
    </w:sdtEndPr>
    <w:sdtContent>
      <w:p w:rsidR="00305900" w:rsidRPr="000722AF" w:rsidRDefault="00305900">
        <w:pPr>
          <w:pStyle w:val="Footer"/>
          <w:jc w:val="right"/>
          <w:rPr>
            <w:rFonts w:ascii="Univers 45 Light" w:hAnsi="Univers 45 Light"/>
          </w:rPr>
        </w:pPr>
        <w:r w:rsidRPr="000722AF">
          <w:rPr>
            <w:rFonts w:ascii="Univers 45 Light" w:hAnsi="Univers 45 Light"/>
            <w:noProof/>
            <w:color w:val="6D2077"/>
            <w:lang w:eastAsia="en-AU"/>
          </w:rPr>
          <mc:AlternateContent>
            <mc:Choice Requires="wps">
              <w:drawing>
                <wp:anchor distT="0" distB="0" distL="114300" distR="114300" simplePos="0" relativeHeight="251702271" behindDoc="1" locked="0" layoutInCell="1" allowOverlap="1" wp14:anchorId="210C2669" wp14:editId="6A2A5884">
                  <wp:simplePos x="0" y="0"/>
                  <wp:positionH relativeFrom="margin">
                    <wp:align>center</wp:align>
                  </wp:positionH>
                  <wp:positionV relativeFrom="paragraph">
                    <wp:posOffset>-248530</wp:posOffset>
                  </wp:positionV>
                  <wp:extent cx="5531485" cy="560070"/>
                  <wp:effectExtent l="0" t="0" r="0" b="0"/>
                  <wp:wrapNone/>
                  <wp:docPr id="2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gray">
                          <a:xfrm>
                            <a:off x="0" y="0"/>
                            <a:ext cx="5531485" cy="560070"/>
                          </a:xfrm>
                          <a:prstGeom prst="rect">
                            <a:avLst/>
                          </a:prstGeom>
                          <a:solidFill>
                            <a:schemeClr val="bg1"/>
                          </a:solidFill>
                          <a:ln w="9525">
                            <a:noFill/>
                            <a:miter lim="800000"/>
                            <a:headEnd/>
                            <a:tailEnd/>
                          </a:ln>
                          <a:effectLst/>
                        </wps:spPr>
                        <wps:txbx>
                          <w:txbxContent>
                            <w:p w:rsidR="00305900" w:rsidRPr="00116812" w:rsidRDefault="00305900" w:rsidP="00135623">
                              <w:pPr>
                                <w:pStyle w:val="NormalWeb"/>
                                <w:spacing w:before="0" w:beforeAutospacing="0" w:after="0" w:afterAutospacing="0"/>
                                <w:jc w:val="center"/>
                                <w:rPr>
                                  <w:rFonts w:ascii="Univers 45 Light" w:hAnsi="Univers 45 Light"/>
                                </w:rPr>
                              </w:pPr>
                              <w:r w:rsidRPr="00116812">
                                <w:rPr>
                                  <w:rFonts w:ascii="Univers 45 Light" w:hAnsi="Univers 45 Light" w:cstheme="minorBidi"/>
                                  <w:color w:val="808080" w:themeColor="background1" w:themeShade="80"/>
                                  <w:kern w:val="24"/>
                                  <w:sz w:val="12"/>
                                  <w:szCs w:val="12"/>
                                </w:rPr>
                                <w:t>© 201</w:t>
                              </w:r>
                              <w:r>
                                <w:rPr>
                                  <w:rFonts w:ascii="Univers 45 Light" w:hAnsi="Univers 45 Light" w:cstheme="minorBidi"/>
                                  <w:color w:val="808080" w:themeColor="background1" w:themeShade="80"/>
                                  <w:kern w:val="24"/>
                                  <w:sz w:val="12"/>
                                  <w:szCs w:val="12"/>
                                </w:rPr>
                                <w:t>8</w:t>
                              </w:r>
                              <w:r w:rsidRPr="00116812">
                                <w:rPr>
                                  <w:rFonts w:ascii="Univers 45 Light" w:hAnsi="Univers 45 Light" w:cstheme="minorBidi"/>
                                  <w:color w:val="808080" w:themeColor="background1" w:themeShade="80"/>
                                  <w:kern w:val="24"/>
                                  <w:sz w:val="12"/>
                                  <w:szCs w:val="12"/>
                                </w:rPr>
                                <w:t xml:space="preserve"> KPMG, an Australian partnership and a member firm of the KPMG network of independent member firms affiliated with KPMG International Cooperative (“KPMG International”), a Swiss entity. All rights reserved. </w:t>
                              </w:r>
                              <w:r w:rsidRPr="00116812">
                                <w:rPr>
                                  <w:rFonts w:ascii="Univers 45 Light" w:hAnsi="Univers 45 Light" w:cstheme="minorBidi"/>
                                  <w:color w:val="808080" w:themeColor="background1" w:themeShade="80"/>
                                  <w:kern w:val="24"/>
                                  <w:sz w:val="12"/>
                                  <w:szCs w:val="12"/>
                                </w:rPr>
                                <w:br/>
                                <w:t>The KPMG name, logo and "cutting through complexity" are registered trademarks or trademarks of KPMG International. Liability limited by a scheme approved under Professional Standards Legislation.</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10C2669" id="_x0000_t202" coordsize="21600,21600" o:spt="202" path="m,l,21600r21600,l21600,xe">
                  <v:stroke joinstyle="miter"/>
                  <v:path gradientshapeok="t" o:connecttype="rect"/>
                </v:shapetype>
                <v:shape id="Text Box 8" o:spid="_x0000_s1027" type="#_x0000_t202" style="position:absolute;left:0;text-align:left;margin-left:0;margin-top:-19.55pt;width:435.55pt;height:44.1pt;z-index:-25161420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" fillcolor="white [3212]" stroked="f">
                  <v:textbox inset="0,0,0,0">
                    <w:txbxContent>
                      <w:p w:rsidR="00305900" w:rsidRPr="00116812" w:rsidRDefault="00305900" w:rsidP="00135623">
                        <w:pPr>
                          <w:pStyle w:val="NormalWeb"/>
                          <w:spacing w:before="0" w:beforeAutospacing="0" w:after="0" w:afterAutospacing="0"/>
                          <w:jc w:val="center"/>
                          <w:rPr>
                            <w:rFonts w:ascii="Univers 45 Light" w:hAnsi="Univers 45 Light"/>
                          </w:rPr>
                        </w:pPr>
                        <w:r w:rsidRPr="00116812">
                          <w:rPr>
                            <w:rFonts w:ascii="Univers 45 Light" w:hAnsi="Univers 45 Light" w:cstheme="minorBidi"/>
                            <w:color w:val="808080" w:themeColor="background1" w:themeShade="80"/>
                            <w:kern w:val="24"/>
                            <w:sz w:val="12"/>
                            <w:szCs w:val="12"/>
                          </w:rPr>
                          <w:t>© 201</w:t>
                        </w:r>
                        <w:r>
                          <w:rPr>
                            <w:rFonts w:ascii="Univers 45 Light" w:hAnsi="Univers 45 Light" w:cstheme="minorBidi"/>
                            <w:color w:val="808080" w:themeColor="background1" w:themeShade="80"/>
                            <w:kern w:val="24"/>
                            <w:sz w:val="12"/>
                            <w:szCs w:val="12"/>
                          </w:rPr>
                          <w:t>8</w:t>
                        </w:r>
                        <w:r w:rsidRPr="00116812">
                          <w:rPr>
                            <w:rFonts w:ascii="Univers 45 Light" w:hAnsi="Univers 45 Light" w:cstheme="minorBidi"/>
                            <w:color w:val="808080" w:themeColor="background1" w:themeShade="80"/>
                            <w:kern w:val="24"/>
                            <w:sz w:val="12"/>
                            <w:szCs w:val="12"/>
                          </w:rPr>
                          <w:t xml:space="preserve"> KPMG, an Australian partnership and a member firm of the KPMG network of independent member firms affiliated with KPMG International Cooperative (“KPMG International”), a Swiss entity. All rights reserved. </w:t>
                        </w:r>
                        <w:r w:rsidRPr="00116812">
                          <w:rPr>
                            <w:rFonts w:ascii="Univers 45 Light" w:hAnsi="Univers 45 Light" w:cstheme="minorBidi"/>
                            <w:color w:val="808080" w:themeColor="background1" w:themeShade="80"/>
                            <w:kern w:val="24"/>
                            <w:sz w:val="12"/>
                            <w:szCs w:val="12"/>
                          </w:rPr>
                          <w:br/>
                          <w:t>The KPMG name, logo and "cutting through complexity" are registered trademarks or trademarks of KPMG International. Liability limited by a scheme approved under Professional Standards Legislation.</w:t>
                        </w:r>
                      </w:p>
                    </w:txbxContent>
                  </v:textbox>
                  <w10:wrap anchorx="margin"/>
                </v:shape>
              </w:pict>
            </mc:Fallback>
          </mc:AlternateContent>
        </w:r>
      </w:p>
    </w:sdtContent>
  </w:sdt>
  <w:p w:rsidR="00305900" w:rsidRDefault="003059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4C5" w:rsidRDefault="007334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87894"/>
      <w:docPartObj>
        <w:docPartGallery w:val="Page Numbers (Bottom of Page)"/>
        <w:docPartUnique/>
      </w:docPartObj>
    </w:sdtPr>
    <w:sdtEndPr>
      <w:rPr>
        <w:rFonts w:cstheme="minorHAnsi"/>
        <w:noProof/>
      </w:rPr>
    </w:sdtEndPr>
    <w:sdtContent>
      <w:p w:rsidR="00305900" w:rsidRPr="007334C5" w:rsidRDefault="00305900">
        <w:pPr>
          <w:pStyle w:val="Footer"/>
          <w:jc w:val="right"/>
          <w:rPr>
            <w:rFonts w:cstheme="minorHAnsi"/>
          </w:rPr>
        </w:pPr>
        <w:r w:rsidRPr="007334C5">
          <w:rPr>
            <w:rFonts w:cstheme="minorHAnsi"/>
            <w:noProof/>
            <w:color w:val="6D2077"/>
            <w:lang w:eastAsia="en-AU"/>
          </w:rPr>
          <mc:AlternateContent>
            <mc:Choice Requires="wps">
              <w:drawing>
                <wp:anchor distT="0" distB="0" distL="114300" distR="114300" simplePos="0" relativeHeight="251737088" behindDoc="1" locked="0" layoutInCell="1" allowOverlap="1" wp14:anchorId="7431989D" wp14:editId="2DB8B43A">
                  <wp:simplePos x="0" y="0"/>
                  <wp:positionH relativeFrom="margin">
                    <wp:align>center</wp:align>
                  </wp:positionH>
                  <wp:positionV relativeFrom="paragraph">
                    <wp:posOffset>-248530</wp:posOffset>
                  </wp:positionV>
                  <wp:extent cx="5531485" cy="56007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gray">
                          <a:xfrm>
                            <a:off x="0" y="0"/>
                            <a:ext cx="5531485" cy="560070"/>
                          </a:xfrm>
                          <a:prstGeom prst="rect">
                            <a:avLst/>
                          </a:prstGeom>
                          <a:solidFill>
                            <a:schemeClr val="bg1"/>
                          </a:solidFill>
                          <a:ln w="9525">
                            <a:noFill/>
                            <a:miter lim="800000"/>
                            <a:headEnd/>
                            <a:tailEnd/>
                          </a:ln>
                          <a:effectLst/>
                        </wps:spPr>
                        <wps:txbx>
                          <w:txbxContent>
                            <w:p w:rsidR="00305900" w:rsidRPr="007334C5" w:rsidRDefault="00305900" w:rsidP="00135623">
                              <w:pPr>
                                <w:pStyle w:val="NormalWeb"/>
                                <w:spacing w:before="0" w:beforeAutospacing="0" w:after="0" w:afterAutospacing="0"/>
                                <w:jc w:val="center"/>
                                <w:rPr>
                                  <w:rFonts w:asciiTheme="minorHAnsi" w:hAnsiTheme="minorHAnsi" w:cstheme="minorHAnsi"/>
                                </w:rPr>
                              </w:pPr>
                              <w:r w:rsidRPr="007334C5">
                                <w:rPr>
                                  <w:rFonts w:asciiTheme="minorHAnsi" w:hAnsiTheme="minorHAnsi" w:cstheme="minorHAnsi"/>
                                  <w:color w:val="808080" w:themeColor="background1" w:themeShade="80"/>
                                  <w:kern w:val="24"/>
                                  <w:sz w:val="12"/>
                                  <w:szCs w:val="12"/>
                                </w:rPr>
                                <w:t>© 2019 KPMG, an Australian partnership and a member firm of the KPMG network of independent member firms affiliated with KPMG International Cooperative (“KPMG International”), a Swiss entity. All rights reserved.  The KPMG name, logo and "cutting through complexity" are registered trademarks or trademarks of KPMG International. Liability limited by a scheme approved under Professional Standards Legislation.</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431989D" id="_x0000_t202" coordsize="21600,21600" o:spt="202" path="m,l,21600r21600,l21600,xe">
                  <v:stroke joinstyle="miter"/>
                  <v:path gradientshapeok="t" o:connecttype="rect"/>
                </v:shapetype>
                <v:shape id="_x0000_s1028" type="#_x0000_t202" style="position:absolute;left:0;text-align:left;margin-left:0;margin-top:-19.55pt;width:435.55pt;height:44.1pt;z-index:-25157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" fillcolor="white [3212]" stroked="f">
                  <v:textbox inset="0,0,0,0">
                    <w:txbxContent>
                      <w:p w:rsidR="00305900" w:rsidRPr="007334C5" w:rsidRDefault="00305900" w:rsidP="00135623">
                        <w:pPr>
                          <w:pStyle w:val="NormalWeb"/>
                          <w:spacing w:before="0" w:beforeAutospacing="0" w:after="0" w:afterAutospacing="0"/>
                          <w:jc w:val="center"/>
                          <w:rPr>
                            <w:rFonts w:asciiTheme="minorHAnsi" w:hAnsiTheme="minorHAnsi" w:cstheme="minorHAnsi"/>
                          </w:rPr>
                        </w:pPr>
                        <w:r w:rsidRPr="007334C5">
                          <w:rPr>
                            <w:rFonts w:asciiTheme="minorHAnsi" w:hAnsiTheme="minorHAnsi" w:cstheme="minorHAnsi"/>
                            <w:color w:val="808080" w:themeColor="background1" w:themeShade="80"/>
                            <w:kern w:val="24"/>
                            <w:sz w:val="12"/>
                            <w:szCs w:val="12"/>
                          </w:rPr>
                          <w:t>© 2019 KPMG, an Australian partnership and a member firm of the KPMG network of independent member firms affiliated with KPMG International Cooperative (“KPMG International”), a Swiss entity. All rights reserved.  The KPMG name, logo and "cutting through complexity" are registered trademarks or trademarks of KPMG International. Liability limited by a scheme approved under Professional Standards Legislation.</w:t>
                        </w:r>
                      </w:p>
                    </w:txbxContent>
                  </v:textbox>
                  <w10:wrap anchorx="margin"/>
                </v:shape>
              </w:pict>
            </mc:Fallback>
          </mc:AlternateContent>
        </w:r>
        <w:r w:rsidRPr="007334C5">
          <w:rPr>
            <w:rFonts w:cstheme="minorHAnsi"/>
          </w:rPr>
          <w:fldChar w:fldCharType="begin"/>
        </w:r>
        <w:r w:rsidRPr="007334C5">
          <w:rPr>
            <w:rFonts w:cstheme="minorHAnsi"/>
          </w:rPr>
          <w:instrText xml:space="preserve"> PAGE   \* MERGEFORMAT </w:instrText>
        </w:r>
        <w:r w:rsidRPr="007334C5">
          <w:rPr>
            <w:rFonts w:cstheme="minorHAnsi"/>
          </w:rPr>
          <w:fldChar w:fldCharType="separate"/>
        </w:r>
        <w:r w:rsidR="00767016">
          <w:rPr>
            <w:rFonts w:cstheme="minorHAnsi"/>
            <w:noProof/>
          </w:rPr>
          <w:t>2</w:t>
        </w:r>
        <w:r w:rsidRPr="007334C5">
          <w:rPr>
            <w:rFonts w:cstheme="minorHAnsi"/>
            <w:noProof/>
          </w:rPr>
          <w:fldChar w:fldCharType="end"/>
        </w:r>
      </w:p>
    </w:sdtContent>
  </w:sdt>
  <w:p w:rsidR="00305900" w:rsidRDefault="00305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AC3" w:rsidRDefault="00E85AC3" w:rsidP="00D649F6">
      <w:pPr>
        <w:spacing w:after="0" w:line="240" w:lineRule="auto"/>
      </w:pPr>
      <w:r>
        <w:separator/>
      </w:r>
    </w:p>
    <w:p w:rsidR="00E85AC3" w:rsidRDefault="00E85AC3"/>
  </w:footnote>
  <w:footnote w:type="continuationSeparator" w:id="0">
    <w:p w:rsidR="00E85AC3" w:rsidRDefault="00E85AC3" w:rsidP="00D649F6">
      <w:pPr>
        <w:spacing w:after="0" w:line="240" w:lineRule="auto"/>
      </w:pPr>
      <w:r>
        <w:continuationSeparator/>
      </w:r>
    </w:p>
    <w:p w:rsidR="00E85AC3" w:rsidRDefault="00E85AC3"/>
  </w:footnote>
  <w:footnote w:id="1">
    <w:p w:rsidR="00305900" w:rsidRPr="00576A25" w:rsidRDefault="00305900">
      <w:pPr>
        <w:pStyle w:val="FootnoteText"/>
        <w:rPr>
          <w:lang w:val="en-US"/>
        </w:rPr>
      </w:pPr>
      <w:r>
        <w:rPr>
          <w:rStyle w:val="FootnoteReference"/>
        </w:rPr>
        <w:footnoteRef/>
      </w:r>
      <w:r>
        <w:t xml:space="preserve"> </w:t>
      </w:r>
      <w:r w:rsidRPr="00576A25">
        <w:rPr>
          <w:rFonts w:ascii="Univers 45 Light" w:hAnsi="Univers 45 Light"/>
          <w:szCs w:val="20"/>
        </w:rPr>
        <w:t>Note the factors includ</w:t>
      </w:r>
      <w:r>
        <w:rPr>
          <w:rFonts w:ascii="Univers 45 Light" w:hAnsi="Univers 45 Light"/>
          <w:szCs w:val="20"/>
        </w:rPr>
        <w:t>ed</w:t>
      </w:r>
      <w:r w:rsidRPr="00576A25">
        <w:rPr>
          <w:rFonts w:ascii="Univers 45 Light" w:hAnsi="Univers 45 Light"/>
          <w:szCs w:val="20"/>
        </w:rPr>
        <w:t xml:space="preserve"> in the Basin Pipe scoping review were not validated by KPMG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4C5" w:rsidRDefault="00733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900" w:rsidRDefault="007334C5" w:rsidP="007334C5">
    <w:pPr>
      <w:pStyle w:val="Header"/>
      <w:tabs>
        <w:tab w:val="clear" w:pos="4513"/>
        <w:tab w:val="clear" w:pos="9026"/>
        <w:tab w:val="left" w:pos="5328"/>
        <w:tab w:val="center" w:pos="6979"/>
      </w:tabs>
    </w:pPr>
    <w:r>
      <w:rPr>
        <w:noProof/>
        <w:lang w:eastAsia="en-AU"/>
      </w:rPr>
      <w:drawing>
        <wp:anchor distT="0" distB="0" distL="114300" distR="114300" simplePos="0" relativeHeight="251743232" behindDoc="1" locked="0" layoutInCell="1" allowOverlap="1" wp14:anchorId="478C7250" wp14:editId="720A350F">
          <wp:simplePos x="0" y="0"/>
          <wp:positionH relativeFrom="margin">
            <wp:align>left</wp:align>
          </wp:positionH>
          <wp:positionV relativeFrom="paragraph">
            <wp:posOffset>-343535</wp:posOffset>
          </wp:positionV>
          <wp:extent cx="7553325" cy="1109599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1095990"/>
                  </a:xfrm>
                  <a:prstGeom prst="rect">
                    <a:avLst/>
                  </a:prstGeom>
                  <a:noFill/>
                </pic:spPr>
              </pic:pic>
            </a:graphicData>
          </a:graphic>
          <wp14:sizeRelH relativeFrom="page">
            <wp14:pctWidth>0</wp14:pctWidth>
          </wp14:sizeRelH>
          <wp14:sizeRelV relativeFrom="page">
            <wp14:pctHeight>0</wp14:pctHeight>
          </wp14:sizeRelV>
        </wp:anchor>
      </w:drawing>
    </w:r>
    <w:r w:rsidR="00305900" w:rsidRPr="00FE5CC3">
      <w:t xml:space="preserve"> </w:t>
    </w:r>
    <w:r w:rsidR="00305900">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4C5" w:rsidRDefault="007334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900" w:rsidRPr="007334C5" w:rsidRDefault="00305900" w:rsidP="00A14666">
    <w:pPr>
      <w:pStyle w:val="Header"/>
      <w:jc w:val="right"/>
      <w:rPr>
        <w:rFonts w:cstheme="minorHAnsi"/>
        <w:i/>
        <w:sz w:val="16"/>
      </w:rPr>
    </w:pPr>
    <w:r w:rsidRPr="007334C5">
      <w:rPr>
        <w:rFonts w:cstheme="minorHAnsi"/>
        <w:noProof/>
        <w:color w:val="005EB8"/>
        <w:sz w:val="20"/>
        <w:lang w:eastAsia="en-AU"/>
      </w:rPr>
      <mc:AlternateContent>
        <mc:Choice Requires="wps">
          <w:drawing>
            <wp:anchor distT="0" distB="0" distL="114300" distR="114300" simplePos="0" relativeHeight="251706368" behindDoc="1" locked="0" layoutInCell="1" allowOverlap="1" wp14:anchorId="47362080" wp14:editId="02899BFB">
              <wp:simplePos x="0" y="0"/>
              <wp:positionH relativeFrom="page">
                <wp:align>left</wp:align>
              </wp:positionH>
              <wp:positionV relativeFrom="page">
                <wp:align>top</wp:align>
              </wp:positionV>
              <wp:extent cx="786809" cy="10671858"/>
              <wp:effectExtent l="0" t="0" r="0" b="0"/>
              <wp:wrapTight wrapText="bothSides">
                <wp:wrapPolygon edited="0">
                  <wp:start x="0" y="0"/>
                  <wp:lineTo x="0" y="21554"/>
                  <wp:lineTo x="20920" y="21554"/>
                  <wp:lineTo x="20920" y="0"/>
                  <wp:lineTo x="0" y="0"/>
                </wp:wrapPolygon>
              </wp:wrapTight>
              <wp:docPr id="30" name="Rectangle 30"/>
              <wp:cNvGraphicFramePr/>
              <a:graphic xmlns:a="http://schemas.openxmlformats.org/drawingml/2006/main">
                <a:graphicData uri="http://schemas.microsoft.com/office/word/2010/wordprocessingShape">
                  <wps:wsp>
                    <wps:cNvSpPr/>
                    <wps:spPr>
                      <a:xfrm>
                        <a:off x="0" y="0"/>
                        <a:ext cx="786809" cy="10671858"/>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2E2F6" id="Rectangle 30" o:spid="_x0000_s1026" style="position:absolute;margin-left:0;margin-top:0;width:61.95pt;height:840.3pt;z-index:-2516101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" fillcolor="#7030a0" stroked="f" strokeweight="1pt">
              <w10:wrap type="tight" anchorx="page" anchory="page"/>
            </v:rect>
          </w:pict>
        </mc:Fallback>
      </mc:AlternateContent>
    </w:r>
    <w:r w:rsidRPr="007334C5">
      <w:rPr>
        <w:rFonts w:cstheme="minorHAnsi"/>
        <w:i/>
        <w:sz w:val="16"/>
      </w:rPr>
      <w:t>Review of State Priority Projects – Basin Pipe Project</w:t>
    </w:r>
  </w:p>
  <w:p w:rsidR="00305900" w:rsidRPr="007334C5" w:rsidRDefault="00305900" w:rsidP="00A14666">
    <w:pPr>
      <w:pStyle w:val="Header"/>
      <w:jc w:val="right"/>
      <w:rPr>
        <w:rFonts w:cstheme="minorHAnsi"/>
        <w:i/>
        <w:sz w:val="16"/>
      </w:rPr>
    </w:pPr>
    <w:r w:rsidRPr="007334C5">
      <w:rPr>
        <w:rFonts w:cstheme="minorHAnsi"/>
        <w:i/>
        <w:sz w:val="16"/>
      </w:rPr>
      <w:t>Department of Agriculture and Water Resources</w:t>
    </w:r>
  </w:p>
  <w:p w:rsidR="00305900" w:rsidRPr="007334C5" w:rsidRDefault="00305900" w:rsidP="00A14666">
    <w:pPr>
      <w:pStyle w:val="Header"/>
      <w:jc w:val="right"/>
      <w:rPr>
        <w:rFonts w:cstheme="minorHAnsi"/>
      </w:rPr>
    </w:pPr>
    <w:r w:rsidRPr="007334C5">
      <w:rPr>
        <w:rFonts w:cstheme="minorHAnsi"/>
        <w:i/>
        <w:noProof/>
        <w:sz w:val="16"/>
        <w:lang w:eastAsia="en-AU"/>
      </w:rPr>
      <w:t>January</w:t>
    </w:r>
    <w:r w:rsidRPr="007334C5">
      <w:rPr>
        <w:rFonts w:cstheme="minorHAnsi"/>
        <w:i/>
        <w:sz w:val="16"/>
      </w:rPr>
      <w:t xml:space="preserve"> 2019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900" w:rsidRPr="007334C5" w:rsidRDefault="00305900" w:rsidP="00A14666">
    <w:pPr>
      <w:pStyle w:val="Header"/>
      <w:jc w:val="right"/>
      <w:rPr>
        <w:rFonts w:cstheme="minorHAnsi"/>
        <w:i/>
        <w:sz w:val="16"/>
      </w:rPr>
    </w:pPr>
    <w:r w:rsidRPr="007334C5">
      <w:rPr>
        <w:rFonts w:cstheme="minorHAnsi"/>
        <w:i/>
        <w:sz w:val="16"/>
      </w:rPr>
      <w:t>Review of State Priority Projects – Basin Pipe Project</w:t>
    </w:r>
  </w:p>
  <w:p w:rsidR="00305900" w:rsidRPr="007334C5" w:rsidRDefault="00305900" w:rsidP="00A14666">
    <w:pPr>
      <w:pStyle w:val="Header"/>
      <w:jc w:val="right"/>
      <w:rPr>
        <w:rFonts w:cstheme="minorHAnsi"/>
        <w:i/>
        <w:sz w:val="16"/>
      </w:rPr>
    </w:pPr>
    <w:r w:rsidRPr="007334C5">
      <w:rPr>
        <w:rFonts w:cstheme="minorHAnsi"/>
        <w:i/>
        <w:sz w:val="16"/>
      </w:rPr>
      <w:t>Department of Agriculture and Water Resources</w:t>
    </w:r>
  </w:p>
  <w:p w:rsidR="00305900" w:rsidRPr="007334C5" w:rsidRDefault="00305900" w:rsidP="00A14666">
    <w:pPr>
      <w:pStyle w:val="Header"/>
      <w:jc w:val="right"/>
      <w:rPr>
        <w:rFonts w:cstheme="minorHAnsi"/>
      </w:rPr>
    </w:pPr>
    <w:r w:rsidRPr="007334C5">
      <w:rPr>
        <w:rFonts w:cstheme="minorHAnsi"/>
        <w:i/>
        <w:sz w:val="16"/>
      </w:rPr>
      <w:t>January 2019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900" w:rsidRPr="00F24414" w:rsidRDefault="00305900" w:rsidP="00A14666">
    <w:pPr>
      <w:pStyle w:val="Header"/>
      <w:jc w:val="right"/>
      <w:rPr>
        <w:rFonts w:ascii="Univers 45 Light" w:hAnsi="Univers 45 Light"/>
        <w:i/>
        <w:sz w:val="16"/>
      </w:rPr>
    </w:pPr>
    <w:r w:rsidRPr="0000278E">
      <w:rPr>
        <w:noProof/>
        <w:color w:val="005EB8"/>
        <w:sz w:val="20"/>
        <w:lang w:eastAsia="en-AU"/>
      </w:rPr>
      <mc:AlternateContent>
        <mc:Choice Requires="wps">
          <w:drawing>
            <wp:anchor distT="0" distB="0" distL="114300" distR="114300" simplePos="0" relativeHeight="251703296" behindDoc="1" locked="0" layoutInCell="1" allowOverlap="1" wp14:anchorId="3D167EE2" wp14:editId="230E6DAF">
              <wp:simplePos x="0" y="0"/>
              <wp:positionH relativeFrom="page">
                <wp:align>left</wp:align>
              </wp:positionH>
              <wp:positionV relativeFrom="page">
                <wp:align>top</wp:align>
              </wp:positionV>
              <wp:extent cx="808074" cy="20307869"/>
              <wp:effectExtent l="0" t="0" r="0" b="0"/>
              <wp:wrapTight wrapText="bothSides">
                <wp:wrapPolygon edited="0">
                  <wp:start x="0" y="0"/>
                  <wp:lineTo x="0" y="21580"/>
                  <wp:lineTo x="20887" y="21580"/>
                  <wp:lineTo x="20887" y="0"/>
                  <wp:lineTo x="0" y="0"/>
                </wp:wrapPolygon>
              </wp:wrapTight>
              <wp:docPr id="8" name="Rectangle 8"/>
              <wp:cNvGraphicFramePr/>
              <a:graphic xmlns:a="http://schemas.openxmlformats.org/drawingml/2006/main">
                <a:graphicData uri="http://schemas.microsoft.com/office/word/2010/wordprocessingShape">
                  <wps:wsp>
                    <wps:cNvSpPr/>
                    <wps:spPr>
                      <a:xfrm>
                        <a:off x="0" y="0"/>
                        <a:ext cx="808074" cy="20307869"/>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978ED" id="Rectangle 8" o:spid="_x0000_s1026" style="position:absolute;margin-left:0;margin-top:0;width:63.65pt;height:1599.05pt;z-index:-25161318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" fillcolor="#0070c0" stroked="f" strokeweight="1pt">
              <w10:wrap type="tight" anchorx="page" anchory="page"/>
            </v:rect>
          </w:pict>
        </mc:Fallback>
      </mc:AlternateContent>
    </w:r>
    <w:r w:rsidRPr="00F24414">
      <w:rPr>
        <w:rFonts w:ascii="Univers 45 Light" w:hAnsi="Univers 45 Light"/>
        <w:i/>
        <w:sz w:val="16"/>
      </w:rPr>
      <w:t xml:space="preserve">Review of State Priority Projects – </w:t>
    </w:r>
    <w:r>
      <w:rPr>
        <w:rFonts w:ascii="Univers 45 Light" w:hAnsi="Univers 45 Light"/>
        <w:i/>
        <w:sz w:val="16"/>
      </w:rPr>
      <w:t>Basin Pipe Project</w:t>
    </w:r>
  </w:p>
  <w:p w:rsidR="00305900" w:rsidRPr="00F24414" w:rsidRDefault="00305900" w:rsidP="00A14666">
    <w:pPr>
      <w:pStyle w:val="Header"/>
      <w:jc w:val="right"/>
      <w:rPr>
        <w:rFonts w:ascii="Univers 45 Light" w:hAnsi="Univers 45 Light"/>
        <w:i/>
        <w:sz w:val="16"/>
      </w:rPr>
    </w:pPr>
    <w:r w:rsidRPr="00F24414">
      <w:rPr>
        <w:rFonts w:ascii="Univers 45 Light" w:hAnsi="Univers 45 Light"/>
        <w:i/>
        <w:sz w:val="16"/>
      </w:rPr>
      <w:t>Department of Agriculture and Water Resources</w:t>
    </w:r>
  </w:p>
  <w:p w:rsidR="00305900" w:rsidRPr="00F24414" w:rsidRDefault="00305900" w:rsidP="00A14666">
    <w:pPr>
      <w:pStyle w:val="Header"/>
      <w:jc w:val="right"/>
      <w:rPr>
        <w:rFonts w:ascii="Univers 45 Light" w:hAnsi="Univers 45 Light"/>
        <w:i/>
        <w:sz w:val="16"/>
      </w:rPr>
    </w:pPr>
    <w:r>
      <w:rPr>
        <w:rFonts w:ascii="Univers 45 Light" w:hAnsi="Univers 45 Light"/>
        <w:i/>
        <w:sz w:val="16"/>
      </w:rPr>
      <w:t>January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090D"/>
    <w:multiLevelType w:val="singleLevel"/>
    <w:tmpl w:val="DD9EAAA4"/>
    <w:lvl w:ilvl="0">
      <w:start w:val="1"/>
      <w:numFmt w:val="bullet"/>
      <w:lvlText w:val=""/>
      <w:lvlJc w:val="left"/>
      <w:pPr>
        <w:tabs>
          <w:tab w:val="num" w:pos="340"/>
        </w:tabs>
        <w:ind w:left="340" w:hanging="340"/>
      </w:pPr>
      <w:rPr>
        <w:rFonts w:ascii="Symbol" w:hAnsi="Symbol" w:hint="default"/>
        <w:color w:val="auto"/>
        <w:sz w:val="22"/>
      </w:rPr>
    </w:lvl>
  </w:abstractNum>
  <w:abstractNum w:abstractNumId="1" w15:restartNumberingAfterBreak="0">
    <w:nsid w:val="01432827"/>
    <w:multiLevelType w:val="singleLevel"/>
    <w:tmpl w:val="AF222732"/>
    <w:lvl w:ilvl="0">
      <w:start w:val="1"/>
      <w:numFmt w:val="bullet"/>
      <w:lvlText w:val=""/>
      <w:lvlJc w:val="left"/>
      <w:pPr>
        <w:tabs>
          <w:tab w:val="num" w:pos="340"/>
        </w:tabs>
        <w:ind w:left="340" w:hanging="340"/>
      </w:pPr>
      <w:rPr>
        <w:rFonts w:ascii="Symbol" w:hAnsi="Symbol" w:hint="default"/>
        <w:color w:val="auto"/>
        <w:sz w:val="22"/>
      </w:rPr>
    </w:lvl>
  </w:abstractNum>
  <w:abstractNum w:abstractNumId="2" w15:restartNumberingAfterBreak="0">
    <w:nsid w:val="028C5281"/>
    <w:multiLevelType w:val="singleLevel"/>
    <w:tmpl w:val="F3A0E3FE"/>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10D44526"/>
    <w:multiLevelType w:val="singleLevel"/>
    <w:tmpl w:val="0B26213A"/>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110C3CFD"/>
    <w:multiLevelType w:val="hybridMultilevel"/>
    <w:tmpl w:val="0F1C02F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452A78"/>
    <w:multiLevelType w:val="hybridMultilevel"/>
    <w:tmpl w:val="13F62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D4001A"/>
    <w:multiLevelType w:val="singleLevel"/>
    <w:tmpl w:val="E14E298C"/>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169578C2"/>
    <w:multiLevelType w:val="singleLevel"/>
    <w:tmpl w:val="DAF2F6F2"/>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2D74077E"/>
    <w:multiLevelType w:val="hybridMultilevel"/>
    <w:tmpl w:val="2D1A94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06B3407"/>
    <w:multiLevelType w:val="hybridMultilevel"/>
    <w:tmpl w:val="450C56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3FB6E36"/>
    <w:multiLevelType w:val="singleLevel"/>
    <w:tmpl w:val="81922178"/>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3C455FA9"/>
    <w:multiLevelType w:val="singleLevel"/>
    <w:tmpl w:val="56B26328"/>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42E62F86"/>
    <w:multiLevelType w:val="singleLevel"/>
    <w:tmpl w:val="7A80FC7A"/>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45CF4838"/>
    <w:multiLevelType w:val="singleLevel"/>
    <w:tmpl w:val="6A7E0358"/>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47571F50"/>
    <w:multiLevelType w:val="singleLevel"/>
    <w:tmpl w:val="C5C00C5C"/>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48797B56"/>
    <w:multiLevelType w:val="singleLevel"/>
    <w:tmpl w:val="B024F6EE"/>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4A8F10EB"/>
    <w:multiLevelType w:val="singleLevel"/>
    <w:tmpl w:val="59C698F0"/>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50F57B37"/>
    <w:multiLevelType w:val="singleLevel"/>
    <w:tmpl w:val="8A382C3E"/>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64735E22"/>
    <w:multiLevelType w:val="singleLevel"/>
    <w:tmpl w:val="A44C9FF4"/>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6606386F"/>
    <w:multiLevelType w:val="hybridMultilevel"/>
    <w:tmpl w:val="6A98BC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6075A96"/>
    <w:multiLevelType w:val="singleLevel"/>
    <w:tmpl w:val="FCACFDF8"/>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6B4631E1"/>
    <w:multiLevelType w:val="singleLevel"/>
    <w:tmpl w:val="FECA3D80"/>
    <w:lvl w:ilvl="0">
      <w:start w:val="1"/>
      <w:numFmt w:val="bullet"/>
      <w:lvlText w:val=""/>
      <w:lvlJc w:val="left"/>
      <w:pPr>
        <w:tabs>
          <w:tab w:val="num" w:pos="340"/>
        </w:tabs>
        <w:ind w:left="340" w:hanging="340"/>
      </w:pPr>
      <w:rPr>
        <w:rFonts w:ascii="Symbol" w:hAnsi="Symbol" w:hint="default"/>
        <w:color w:val="auto"/>
        <w:sz w:val="22"/>
      </w:rPr>
    </w:lvl>
  </w:abstractNum>
  <w:abstractNum w:abstractNumId="22" w15:restartNumberingAfterBreak="0">
    <w:nsid w:val="6E3947D7"/>
    <w:multiLevelType w:val="singleLevel"/>
    <w:tmpl w:val="6A84BD76"/>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71535D65"/>
    <w:multiLevelType w:val="singleLevel"/>
    <w:tmpl w:val="504CDAE4"/>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73D63CC1"/>
    <w:multiLevelType w:val="singleLevel"/>
    <w:tmpl w:val="30188B0C"/>
    <w:lvl w:ilvl="0">
      <w:start w:val="1"/>
      <w:numFmt w:val="bullet"/>
      <w:lvlText w:val=""/>
      <w:lvlJc w:val="left"/>
      <w:pPr>
        <w:tabs>
          <w:tab w:val="num" w:pos="340"/>
        </w:tabs>
        <w:ind w:left="340" w:hanging="340"/>
      </w:pPr>
      <w:rPr>
        <w:rFonts w:ascii="Symbol" w:hAnsi="Symbol" w:hint="default"/>
        <w:color w:val="auto"/>
        <w:sz w:val="22"/>
      </w:rPr>
    </w:lvl>
  </w:abstractNum>
  <w:abstractNum w:abstractNumId="25" w15:restartNumberingAfterBreak="0">
    <w:nsid w:val="75CE2F54"/>
    <w:multiLevelType w:val="singleLevel"/>
    <w:tmpl w:val="4C4A1BB8"/>
    <w:lvl w:ilvl="0">
      <w:start w:val="1"/>
      <w:numFmt w:val="bullet"/>
      <w:lvlText w:val=""/>
      <w:lvlJc w:val="left"/>
      <w:pPr>
        <w:tabs>
          <w:tab w:val="num" w:pos="340"/>
        </w:tabs>
        <w:ind w:left="340" w:hanging="340"/>
      </w:pPr>
      <w:rPr>
        <w:rFonts w:ascii="Symbol" w:hAnsi="Symbol" w:hint="default"/>
        <w:color w:val="auto"/>
        <w:sz w:val="22"/>
      </w:rPr>
    </w:lvl>
  </w:abstractNum>
  <w:abstractNum w:abstractNumId="26" w15:restartNumberingAfterBreak="0">
    <w:nsid w:val="75D834AA"/>
    <w:multiLevelType w:val="singleLevel"/>
    <w:tmpl w:val="9E523934"/>
    <w:lvl w:ilvl="0">
      <w:start w:val="1"/>
      <w:numFmt w:val="bullet"/>
      <w:lvlText w:val=""/>
      <w:lvlJc w:val="left"/>
      <w:pPr>
        <w:tabs>
          <w:tab w:val="num" w:pos="340"/>
        </w:tabs>
        <w:ind w:left="340" w:hanging="340"/>
      </w:pPr>
      <w:rPr>
        <w:rFonts w:ascii="Symbol" w:hAnsi="Symbol" w:hint="default"/>
        <w:color w:val="auto"/>
        <w:sz w:val="22"/>
      </w:rPr>
    </w:lvl>
  </w:abstractNum>
  <w:abstractNum w:abstractNumId="27" w15:restartNumberingAfterBreak="0">
    <w:nsid w:val="77B64108"/>
    <w:multiLevelType w:val="singleLevel"/>
    <w:tmpl w:val="E3B2DF88"/>
    <w:lvl w:ilvl="0">
      <w:start w:val="1"/>
      <w:numFmt w:val="bullet"/>
      <w:lvlText w:val=""/>
      <w:lvlJc w:val="left"/>
      <w:pPr>
        <w:tabs>
          <w:tab w:val="num" w:pos="340"/>
        </w:tabs>
        <w:ind w:left="340" w:hanging="340"/>
      </w:pPr>
      <w:rPr>
        <w:rFonts w:ascii="Symbol" w:hAnsi="Symbol" w:hint="default"/>
        <w:color w:val="auto"/>
        <w:sz w:val="22"/>
      </w:rPr>
    </w:lvl>
  </w:abstractNum>
  <w:abstractNum w:abstractNumId="28" w15:restartNumberingAfterBreak="0">
    <w:nsid w:val="7A6E20CD"/>
    <w:multiLevelType w:val="multilevel"/>
    <w:tmpl w:val="CD7A5B6E"/>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b/>
        <w:color w:val="005EB8"/>
      </w:rPr>
    </w:lvl>
    <w:lvl w:ilvl="2">
      <w:start w:val="1"/>
      <w:numFmt w:val="decimal"/>
      <w:lvlText w:val="%1.%2.%3"/>
      <w:lvlJc w:val="left"/>
      <w:pPr>
        <w:ind w:left="1077" w:hanging="51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8"/>
  </w:num>
  <w:num w:numId="2">
    <w:abstractNumId w:val="4"/>
  </w:num>
  <w:num w:numId="3">
    <w:abstractNumId w:val="18"/>
  </w:num>
  <w:num w:numId="4">
    <w:abstractNumId w:val="19"/>
  </w:num>
  <w:num w:numId="5">
    <w:abstractNumId w:val="5"/>
  </w:num>
  <w:num w:numId="6">
    <w:abstractNumId w:val="25"/>
  </w:num>
  <w:num w:numId="7">
    <w:abstractNumId w:val="9"/>
  </w:num>
  <w:num w:numId="8">
    <w:abstractNumId w:val="7"/>
  </w:num>
  <w:num w:numId="9">
    <w:abstractNumId w:val="0"/>
  </w:num>
  <w:num w:numId="10">
    <w:abstractNumId w:val="11"/>
  </w:num>
  <w:num w:numId="11">
    <w:abstractNumId w:val="17"/>
  </w:num>
  <w:num w:numId="12">
    <w:abstractNumId w:val="21"/>
  </w:num>
  <w:num w:numId="13">
    <w:abstractNumId w:val="3"/>
  </w:num>
  <w:num w:numId="14">
    <w:abstractNumId w:val="13"/>
  </w:num>
  <w:num w:numId="15">
    <w:abstractNumId w:val="1"/>
  </w:num>
  <w:num w:numId="16">
    <w:abstractNumId w:val="23"/>
  </w:num>
  <w:num w:numId="17">
    <w:abstractNumId w:val="26"/>
  </w:num>
  <w:num w:numId="18">
    <w:abstractNumId w:val="10"/>
  </w:num>
  <w:num w:numId="19">
    <w:abstractNumId w:val="22"/>
  </w:num>
  <w:num w:numId="20">
    <w:abstractNumId w:val="6"/>
  </w:num>
  <w:num w:numId="21">
    <w:abstractNumId w:val="12"/>
  </w:num>
  <w:num w:numId="22">
    <w:abstractNumId w:val="14"/>
  </w:num>
  <w:num w:numId="23">
    <w:abstractNumId w:val="20"/>
  </w:num>
  <w:num w:numId="24">
    <w:abstractNumId w:val="27"/>
  </w:num>
  <w:num w:numId="25">
    <w:abstractNumId w:val="8"/>
  </w:num>
  <w:num w:numId="26">
    <w:abstractNumId w:val="16"/>
  </w:num>
  <w:num w:numId="27">
    <w:abstractNumId w:val="2"/>
  </w:num>
  <w:num w:numId="28">
    <w:abstractNumId w:val="24"/>
  </w:num>
  <w:num w:numId="29">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embedSystemFonts/>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raftWatermark" w:val="0"/>
  </w:docVars>
  <w:rsids>
    <w:rsidRoot w:val="00F91CAC"/>
    <w:rsid w:val="0000278E"/>
    <w:rsid w:val="0000370F"/>
    <w:rsid w:val="00013A31"/>
    <w:rsid w:val="00014C8C"/>
    <w:rsid w:val="00015220"/>
    <w:rsid w:val="000157AA"/>
    <w:rsid w:val="0001694E"/>
    <w:rsid w:val="00016BE6"/>
    <w:rsid w:val="00022309"/>
    <w:rsid w:val="00026707"/>
    <w:rsid w:val="000267D1"/>
    <w:rsid w:val="000314AA"/>
    <w:rsid w:val="000338DB"/>
    <w:rsid w:val="00041A2E"/>
    <w:rsid w:val="00041E7F"/>
    <w:rsid w:val="00042292"/>
    <w:rsid w:val="00047959"/>
    <w:rsid w:val="00047CAE"/>
    <w:rsid w:val="00051F2D"/>
    <w:rsid w:val="000617FA"/>
    <w:rsid w:val="000629C7"/>
    <w:rsid w:val="00063038"/>
    <w:rsid w:val="00064CDC"/>
    <w:rsid w:val="00066B61"/>
    <w:rsid w:val="00067514"/>
    <w:rsid w:val="000700AC"/>
    <w:rsid w:val="00070162"/>
    <w:rsid w:val="00071C2C"/>
    <w:rsid w:val="000722AF"/>
    <w:rsid w:val="00072B97"/>
    <w:rsid w:val="00076563"/>
    <w:rsid w:val="00076C2D"/>
    <w:rsid w:val="00080070"/>
    <w:rsid w:val="00081A4B"/>
    <w:rsid w:val="0008509C"/>
    <w:rsid w:val="00086220"/>
    <w:rsid w:val="00090675"/>
    <w:rsid w:val="00090D42"/>
    <w:rsid w:val="00093FDC"/>
    <w:rsid w:val="000958AB"/>
    <w:rsid w:val="000A0B13"/>
    <w:rsid w:val="000A279D"/>
    <w:rsid w:val="000A3C23"/>
    <w:rsid w:val="000A5790"/>
    <w:rsid w:val="000A673F"/>
    <w:rsid w:val="000B01C4"/>
    <w:rsid w:val="000B2AF6"/>
    <w:rsid w:val="000B42EF"/>
    <w:rsid w:val="000C2EEA"/>
    <w:rsid w:val="000C4082"/>
    <w:rsid w:val="000C5D78"/>
    <w:rsid w:val="000D08A8"/>
    <w:rsid w:val="000D10B1"/>
    <w:rsid w:val="000D1D26"/>
    <w:rsid w:val="000D25AC"/>
    <w:rsid w:val="000E0840"/>
    <w:rsid w:val="000E1915"/>
    <w:rsid w:val="000E6F2D"/>
    <w:rsid w:val="000E717D"/>
    <w:rsid w:val="000F0AAC"/>
    <w:rsid w:val="000F3BDE"/>
    <w:rsid w:val="000F3E13"/>
    <w:rsid w:val="000F4D9D"/>
    <w:rsid w:val="000F5854"/>
    <w:rsid w:val="000F6ECA"/>
    <w:rsid w:val="0010334A"/>
    <w:rsid w:val="00107F77"/>
    <w:rsid w:val="00111262"/>
    <w:rsid w:val="00111754"/>
    <w:rsid w:val="001121AC"/>
    <w:rsid w:val="00116478"/>
    <w:rsid w:val="00116812"/>
    <w:rsid w:val="001178AC"/>
    <w:rsid w:val="0012297C"/>
    <w:rsid w:val="00123827"/>
    <w:rsid w:val="00125DE5"/>
    <w:rsid w:val="001264EF"/>
    <w:rsid w:val="00127212"/>
    <w:rsid w:val="001352AE"/>
    <w:rsid w:val="00135623"/>
    <w:rsid w:val="00141764"/>
    <w:rsid w:val="00144292"/>
    <w:rsid w:val="00144C4F"/>
    <w:rsid w:val="00145FB8"/>
    <w:rsid w:val="00146A71"/>
    <w:rsid w:val="00146D47"/>
    <w:rsid w:val="001474BD"/>
    <w:rsid w:val="00147CBD"/>
    <w:rsid w:val="00152AAA"/>
    <w:rsid w:val="00154055"/>
    <w:rsid w:val="001545C4"/>
    <w:rsid w:val="00155778"/>
    <w:rsid w:val="00160DC1"/>
    <w:rsid w:val="00165D4D"/>
    <w:rsid w:val="0016739A"/>
    <w:rsid w:val="0017330F"/>
    <w:rsid w:val="0017338C"/>
    <w:rsid w:val="00174365"/>
    <w:rsid w:val="001806C3"/>
    <w:rsid w:val="0018157C"/>
    <w:rsid w:val="0018257D"/>
    <w:rsid w:val="001861BF"/>
    <w:rsid w:val="00186640"/>
    <w:rsid w:val="001867D3"/>
    <w:rsid w:val="00187B3B"/>
    <w:rsid w:val="00193FBA"/>
    <w:rsid w:val="00194EA3"/>
    <w:rsid w:val="001957BD"/>
    <w:rsid w:val="001A3D2E"/>
    <w:rsid w:val="001A5845"/>
    <w:rsid w:val="001A7C14"/>
    <w:rsid w:val="001C57D5"/>
    <w:rsid w:val="001C6CDD"/>
    <w:rsid w:val="001C6EC2"/>
    <w:rsid w:val="001D096E"/>
    <w:rsid w:val="001D2044"/>
    <w:rsid w:val="001D20E7"/>
    <w:rsid w:val="001D2E55"/>
    <w:rsid w:val="001D4CEF"/>
    <w:rsid w:val="001E1907"/>
    <w:rsid w:val="001E452E"/>
    <w:rsid w:val="001F4140"/>
    <w:rsid w:val="001F64C4"/>
    <w:rsid w:val="00200890"/>
    <w:rsid w:val="00200DC3"/>
    <w:rsid w:val="00204C7F"/>
    <w:rsid w:val="00207128"/>
    <w:rsid w:val="002078DE"/>
    <w:rsid w:val="00207F99"/>
    <w:rsid w:val="00210F96"/>
    <w:rsid w:val="00211D92"/>
    <w:rsid w:val="00213C26"/>
    <w:rsid w:val="002161FF"/>
    <w:rsid w:val="00216320"/>
    <w:rsid w:val="0021771D"/>
    <w:rsid w:val="002230B1"/>
    <w:rsid w:val="0022344D"/>
    <w:rsid w:val="00223CC6"/>
    <w:rsid w:val="002277D8"/>
    <w:rsid w:val="00230008"/>
    <w:rsid w:val="0023168E"/>
    <w:rsid w:val="00232107"/>
    <w:rsid w:val="00232CDB"/>
    <w:rsid w:val="00234596"/>
    <w:rsid w:val="0023731B"/>
    <w:rsid w:val="00244339"/>
    <w:rsid w:val="00246CC8"/>
    <w:rsid w:val="0025268B"/>
    <w:rsid w:val="00253534"/>
    <w:rsid w:val="00253854"/>
    <w:rsid w:val="00261329"/>
    <w:rsid w:val="002639B4"/>
    <w:rsid w:val="002655C3"/>
    <w:rsid w:val="00270805"/>
    <w:rsid w:val="002724E8"/>
    <w:rsid w:val="00273FB1"/>
    <w:rsid w:val="00274C33"/>
    <w:rsid w:val="00276030"/>
    <w:rsid w:val="002807D5"/>
    <w:rsid w:val="002868DF"/>
    <w:rsid w:val="00292EF1"/>
    <w:rsid w:val="00293354"/>
    <w:rsid w:val="0029353C"/>
    <w:rsid w:val="002971A1"/>
    <w:rsid w:val="002974C6"/>
    <w:rsid w:val="002A0E52"/>
    <w:rsid w:val="002A20A1"/>
    <w:rsid w:val="002A2DEB"/>
    <w:rsid w:val="002A5766"/>
    <w:rsid w:val="002A62AE"/>
    <w:rsid w:val="002B3599"/>
    <w:rsid w:val="002B56F3"/>
    <w:rsid w:val="002B7589"/>
    <w:rsid w:val="002C0283"/>
    <w:rsid w:val="002C0CCA"/>
    <w:rsid w:val="002C275C"/>
    <w:rsid w:val="002C2AC4"/>
    <w:rsid w:val="002C38B2"/>
    <w:rsid w:val="002C533D"/>
    <w:rsid w:val="002C6F9F"/>
    <w:rsid w:val="002C7645"/>
    <w:rsid w:val="002C7803"/>
    <w:rsid w:val="002D1EE0"/>
    <w:rsid w:val="002D5D1E"/>
    <w:rsid w:val="002D6E2A"/>
    <w:rsid w:val="002D745B"/>
    <w:rsid w:val="002D7E1C"/>
    <w:rsid w:val="002E32BD"/>
    <w:rsid w:val="002E7B93"/>
    <w:rsid w:val="002F0DC2"/>
    <w:rsid w:val="002F0DF4"/>
    <w:rsid w:val="002F1163"/>
    <w:rsid w:val="002F1756"/>
    <w:rsid w:val="002F2358"/>
    <w:rsid w:val="002F2BCE"/>
    <w:rsid w:val="002F7183"/>
    <w:rsid w:val="002F7F17"/>
    <w:rsid w:val="00303666"/>
    <w:rsid w:val="00305900"/>
    <w:rsid w:val="00312242"/>
    <w:rsid w:val="00313005"/>
    <w:rsid w:val="003130C0"/>
    <w:rsid w:val="00313F28"/>
    <w:rsid w:val="0031631F"/>
    <w:rsid w:val="00317A29"/>
    <w:rsid w:val="00321179"/>
    <w:rsid w:val="00321356"/>
    <w:rsid w:val="00321418"/>
    <w:rsid w:val="00321AB3"/>
    <w:rsid w:val="00323904"/>
    <w:rsid w:val="00327AAA"/>
    <w:rsid w:val="003300E0"/>
    <w:rsid w:val="00331DF4"/>
    <w:rsid w:val="00336886"/>
    <w:rsid w:val="0034359D"/>
    <w:rsid w:val="00344043"/>
    <w:rsid w:val="0034707B"/>
    <w:rsid w:val="00352784"/>
    <w:rsid w:val="003560D5"/>
    <w:rsid w:val="003571EF"/>
    <w:rsid w:val="00357D3C"/>
    <w:rsid w:val="003650DE"/>
    <w:rsid w:val="00366A30"/>
    <w:rsid w:val="003676EE"/>
    <w:rsid w:val="003701E6"/>
    <w:rsid w:val="00375BC3"/>
    <w:rsid w:val="00376CEC"/>
    <w:rsid w:val="003828AA"/>
    <w:rsid w:val="00383C5C"/>
    <w:rsid w:val="00384C73"/>
    <w:rsid w:val="00386535"/>
    <w:rsid w:val="00387910"/>
    <w:rsid w:val="00390576"/>
    <w:rsid w:val="00390B44"/>
    <w:rsid w:val="0039433A"/>
    <w:rsid w:val="003954A2"/>
    <w:rsid w:val="003A0143"/>
    <w:rsid w:val="003A0938"/>
    <w:rsid w:val="003A1A57"/>
    <w:rsid w:val="003A5486"/>
    <w:rsid w:val="003A58B8"/>
    <w:rsid w:val="003A7245"/>
    <w:rsid w:val="003B0A0E"/>
    <w:rsid w:val="003B0CF2"/>
    <w:rsid w:val="003B281F"/>
    <w:rsid w:val="003B33AA"/>
    <w:rsid w:val="003B514E"/>
    <w:rsid w:val="003B7616"/>
    <w:rsid w:val="003C0D9D"/>
    <w:rsid w:val="003C20B1"/>
    <w:rsid w:val="003C30EB"/>
    <w:rsid w:val="003C331C"/>
    <w:rsid w:val="003C39EB"/>
    <w:rsid w:val="003C478C"/>
    <w:rsid w:val="003D1C3A"/>
    <w:rsid w:val="003D2277"/>
    <w:rsid w:val="003D76AE"/>
    <w:rsid w:val="003E11BF"/>
    <w:rsid w:val="003E2922"/>
    <w:rsid w:val="003E345A"/>
    <w:rsid w:val="003E73C2"/>
    <w:rsid w:val="003E7778"/>
    <w:rsid w:val="003F0F31"/>
    <w:rsid w:val="003F1A52"/>
    <w:rsid w:val="003F729E"/>
    <w:rsid w:val="004005A9"/>
    <w:rsid w:val="00410321"/>
    <w:rsid w:val="00410604"/>
    <w:rsid w:val="00410B2D"/>
    <w:rsid w:val="00411B0E"/>
    <w:rsid w:val="00412E6A"/>
    <w:rsid w:val="00413BDB"/>
    <w:rsid w:val="004229D1"/>
    <w:rsid w:val="00424255"/>
    <w:rsid w:val="00424437"/>
    <w:rsid w:val="004244AB"/>
    <w:rsid w:val="00424E41"/>
    <w:rsid w:val="00426BD6"/>
    <w:rsid w:val="00431199"/>
    <w:rsid w:val="004314F1"/>
    <w:rsid w:val="0043210B"/>
    <w:rsid w:val="00432EE5"/>
    <w:rsid w:val="0043469A"/>
    <w:rsid w:val="00442413"/>
    <w:rsid w:val="0044360A"/>
    <w:rsid w:val="0044368A"/>
    <w:rsid w:val="0044489D"/>
    <w:rsid w:val="00444DF8"/>
    <w:rsid w:val="0044719A"/>
    <w:rsid w:val="004556CE"/>
    <w:rsid w:val="004576E3"/>
    <w:rsid w:val="0046219A"/>
    <w:rsid w:val="00474DAB"/>
    <w:rsid w:val="0047601F"/>
    <w:rsid w:val="004763C5"/>
    <w:rsid w:val="0048011C"/>
    <w:rsid w:val="004816BD"/>
    <w:rsid w:val="004821B0"/>
    <w:rsid w:val="00485C69"/>
    <w:rsid w:val="00485D52"/>
    <w:rsid w:val="004866F9"/>
    <w:rsid w:val="00490A11"/>
    <w:rsid w:val="00491B11"/>
    <w:rsid w:val="00493A1F"/>
    <w:rsid w:val="00494777"/>
    <w:rsid w:val="004A18C9"/>
    <w:rsid w:val="004A2EFB"/>
    <w:rsid w:val="004A3434"/>
    <w:rsid w:val="004A4628"/>
    <w:rsid w:val="004A4B09"/>
    <w:rsid w:val="004A5F0B"/>
    <w:rsid w:val="004B65EE"/>
    <w:rsid w:val="004C1729"/>
    <w:rsid w:val="004C4D09"/>
    <w:rsid w:val="004C6AD9"/>
    <w:rsid w:val="004D0CF6"/>
    <w:rsid w:val="004D2E35"/>
    <w:rsid w:val="004D3484"/>
    <w:rsid w:val="004D34EB"/>
    <w:rsid w:val="004E1158"/>
    <w:rsid w:val="004E46AD"/>
    <w:rsid w:val="004E6777"/>
    <w:rsid w:val="004E6817"/>
    <w:rsid w:val="004E78C5"/>
    <w:rsid w:val="004F10BA"/>
    <w:rsid w:val="004F3BD9"/>
    <w:rsid w:val="004F6C89"/>
    <w:rsid w:val="004F71CA"/>
    <w:rsid w:val="0050199E"/>
    <w:rsid w:val="00501DA8"/>
    <w:rsid w:val="00502096"/>
    <w:rsid w:val="0050508D"/>
    <w:rsid w:val="005052EA"/>
    <w:rsid w:val="00506E89"/>
    <w:rsid w:val="00510322"/>
    <w:rsid w:val="00511156"/>
    <w:rsid w:val="00511553"/>
    <w:rsid w:val="005133A3"/>
    <w:rsid w:val="00513DB0"/>
    <w:rsid w:val="00515B4E"/>
    <w:rsid w:val="005253F2"/>
    <w:rsid w:val="00532A8E"/>
    <w:rsid w:val="005347B1"/>
    <w:rsid w:val="0053539F"/>
    <w:rsid w:val="00540B20"/>
    <w:rsid w:val="00544CF2"/>
    <w:rsid w:val="00547C74"/>
    <w:rsid w:val="005519D6"/>
    <w:rsid w:val="005529DB"/>
    <w:rsid w:val="00552A4E"/>
    <w:rsid w:val="00562CA8"/>
    <w:rsid w:val="005675C8"/>
    <w:rsid w:val="0057069A"/>
    <w:rsid w:val="00570754"/>
    <w:rsid w:val="00570827"/>
    <w:rsid w:val="00570AAB"/>
    <w:rsid w:val="0057113D"/>
    <w:rsid w:val="00572678"/>
    <w:rsid w:val="00576494"/>
    <w:rsid w:val="00576952"/>
    <w:rsid w:val="00576A25"/>
    <w:rsid w:val="00576F97"/>
    <w:rsid w:val="005773AC"/>
    <w:rsid w:val="005818D6"/>
    <w:rsid w:val="00582E73"/>
    <w:rsid w:val="005920AB"/>
    <w:rsid w:val="005944A3"/>
    <w:rsid w:val="00596C1C"/>
    <w:rsid w:val="00597060"/>
    <w:rsid w:val="00597902"/>
    <w:rsid w:val="005A26F6"/>
    <w:rsid w:val="005A5367"/>
    <w:rsid w:val="005B14F9"/>
    <w:rsid w:val="005B2695"/>
    <w:rsid w:val="005B2E4E"/>
    <w:rsid w:val="005B3805"/>
    <w:rsid w:val="005B56A2"/>
    <w:rsid w:val="005B5BA2"/>
    <w:rsid w:val="005C3D97"/>
    <w:rsid w:val="005C521E"/>
    <w:rsid w:val="005C56E1"/>
    <w:rsid w:val="005C74B3"/>
    <w:rsid w:val="005C7F2B"/>
    <w:rsid w:val="005D268D"/>
    <w:rsid w:val="005D2BA2"/>
    <w:rsid w:val="005D3BAA"/>
    <w:rsid w:val="005D4F7E"/>
    <w:rsid w:val="005D70F5"/>
    <w:rsid w:val="005E619B"/>
    <w:rsid w:val="005E6D40"/>
    <w:rsid w:val="005F105D"/>
    <w:rsid w:val="005F3CB8"/>
    <w:rsid w:val="005F649E"/>
    <w:rsid w:val="005F77A5"/>
    <w:rsid w:val="00603315"/>
    <w:rsid w:val="00606E33"/>
    <w:rsid w:val="00606F0A"/>
    <w:rsid w:val="00607EED"/>
    <w:rsid w:val="0061138A"/>
    <w:rsid w:val="00612054"/>
    <w:rsid w:val="0061211E"/>
    <w:rsid w:val="0061462F"/>
    <w:rsid w:val="00615CDC"/>
    <w:rsid w:val="00615D3D"/>
    <w:rsid w:val="0062586F"/>
    <w:rsid w:val="00625D86"/>
    <w:rsid w:val="0062645B"/>
    <w:rsid w:val="00627039"/>
    <w:rsid w:val="0063026E"/>
    <w:rsid w:val="00632799"/>
    <w:rsid w:val="00633FF2"/>
    <w:rsid w:val="00636E0C"/>
    <w:rsid w:val="00637B99"/>
    <w:rsid w:val="00643E0A"/>
    <w:rsid w:val="00644B79"/>
    <w:rsid w:val="0065132C"/>
    <w:rsid w:val="00652FF6"/>
    <w:rsid w:val="0065498F"/>
    <w:rsid w:val="00660C22"/>
    <w:rsid w:val="00660E9C"/>
    <w:rsid w:val="0066244A"/>
    <w:rsid w:val="0066336A"/>
    <w:rsid w:val="006633F4"/>
    <w:rsid w:val="00667BB8"/>
    <w:rsid w:val="00667DD7"/>
    <w:rsid w:val="00670892"/>
    <w:rsid w:val="006723AF"/>
    <w:rsid w:val="006724A6"/>
    <w:rsid w:val="00674A0D"/>
    <w:rsid w:val="00677067"/>
    <w:rsid w:val="00677315"/>
    <w:rsid w:val="006805C9"/>
    <w:rsid w:val="00681BCC"/>
    <w:rsid w:val="00685E91"/>
    <w:rsid w:val="00690029"/>
    <w:rsid w:val="006911F2"/>
    <w:rsid w:val="006915C8"/>
    <w:rsid w:val="006945D7"/>
    <w:rsid w:val="0069576D"/>
    <w:rsid w:val="006A7603"/>
    <w:rsid w:val="006B63A7"/>
    <w:rsid w:val="006B6579"/>
    <w:rsid w:val="006C0846"/>
    <w:rsid w:val="006C712C"/>
    <w:rsid w:val="006C78A9"/>
    <w:rsid w:val="006D2A95"/>
    <w:rsid w:val="006D4429"/>
    <w:rsid w:val="006D59C4"/>
    <w:rsid w:val="006E04E0"/>
    <w:rsid w:val="006E0AE5"/>
    <w:rsid w:val="006E31B5"/>
    <w:rsid w:val="006F170A"/>
    <w:rsid w:val="006F3236"/>
    <w:rsid w:val="006F49F1"/>
    <w:rsid w:val="006F5A11"/>
    <w:rsid w:val="006F6214"/>
    <w:rsid w:val="006F7FF5"/>
    <w:rsid w:val="00700674"/>
    <w:rsid w:val="007009CE"/>
    <w:rsid w:val="00707362"/>
    <w:rsid w:val="00710835"/>
    <w:rsid w:val="007174A1"/>
    <w:rsid w:val="00717E5B"/>
    <w:rsid w:val="00724860"/>
    <w:rsid w:val="00730979"/>
    <w:rsid w:val="00731FBF"/>
    <w:rsid w:val="007334C5"/>
    <w:rsid w:val="0073582E"/>
    <w:rsid w:val="00741E0D"/>
    <w:rsid w:val="007524BC"/>
    <w:rsid w:val="0075596E"/>
    <w:rsid w:val="00763913"/>
    <w:rsid w:val="00767016"/>
    <w:rsid w:val="00770B84"/>
    <w:rsid w:val="00771187"/>
    <w:rsid w:val="00771D63"/>
    <w:rsid w:val="00773871"/>
    <w:rsid w:val="007744FC"/>
    <w:rsid w:val="007763B2"/>
    <w:rsid w:val="007768A4"/>
    <w:rsid w:val="007819D3"/>
    <w:rsid w:val="0078289C"/>
    <w:rsid w:val="00782D76"/>
    <w:rsid w:val="00790B83"/>
    <w:rsid w:val="007914A1"/>
    <w:rsid w:val="0079352A"/>
    <w:rsid w:val="007941E9"/>
    <w:rsid w:val="00794B1E"/>
    <w:rsid w:val="00796C01"/>
    <w:rsid w:val="007A3A5E"/>
    <w:rsid w:val="007B612D"/>
    <w:rsid w:val="007B6A5B"/>
    <w:rsid w:val="007B6D49"/>
    <w:rsid w:val="007C0ABC"/>
    <w:rsid w:val="007C3992"/>
    <w:rsid w:val="007C4263"/>
    <w:rsid w:val="007C44B7"/>
    <w:rsid w:val="007C6858"/>
    <w:rsid w:val="007D1335"/>
    <w:rsid w:val="007D252D"/>
    <w:rsid w:val="007D6949"/>
    <w:rsid w:val="007E055C"/>
    <w:rsid w:val="007E300C"/>
    <w:rsid w:val="007E564A"/>
    <w:rsid w:val="007F2D97"/>
    <w:rsid w:val="007F43E2"/>
    <w:rsid w:val="007F711B"/>
    <w:rsid w:val="00804348"/>
    <w:rsid w:val="008058D1"/>
    <w:rsid w:val="00811B0B"/>
    <w:rsid w:val="00812E27"/>
    <w:rsid w:val="00814A03"/>
    <w:rsid w:val="00816561"/>
    <w:rsid w:val="008166D7"/>
    <w:rsid w:val="0082024B"/>
    <w:rsid w:val="00820848"/>
    <w:rsid w:val="00822C72"/>
    <w:rsid w:val="00825A38"/>
    <w:rsid w:val="00827EB1"/>
    <w:rsid w:val="00832C0D"/>
    <w:rsid w:val="00835348"/>
    <w:rsid w:val="008369D7"/>
    <w:rsid w:val="00837636"/>
    <w:rsid w:val="008401D4"/>
    <w:rsid w:val="00845254"/>
    <w:rsid w:val="008502FA"/>
    <w:rsid w:val="008526DB"/>
    <w:rsid w:val="00852E34"/>
    <w:rsid w:val="00856E05"/>
    <w:rsid w:val="00856EFC"/>
    <w:rsid w:val="0086355D"/>
    <w:rsid w:val="00864D75"/>
    <w:rsid w:val="00866FBA"/>
    <w:rsid w:val="00867112"/>
    <w:rsid w:val="0087006E"/>
    <w:rsid w:val="00871FD3"/>
    <w:rsid w:val="008774A5"/>
    <w:rsid w:val="008801FB"/>
    <w:rsid w:val="00880869"/>
    <w:rsid w:val="0088218A"/>
    <w:rsid w:val="00882ED2"/>
    <w:rsid w:val="008842B0"/>
    <w:rsid w:val="00886784"/>
    <w:rsid w:val="00887334"/>
    <w:rsid w:val="0089090B"/>
    <w:rsid w:val="0089180F"/>
    <w:rsid w:val="008A098F"/>
    <w:rsid w:val="008A1D3C"/>
    <w:rsid w:val="008A2589"/>
    <w:rsid w:val="008A53F8"/>
    <w:rsid w:val="008A65C0"/>
    <w:rsid w:val="008A7101"/>
    <w:rsid w:val="008A7EEF"/>
    <w:rsid w:val="008B0E49"/>
    <w:rsid w:val="008B2840"/>
    <w:rsid w:val="008B49FA"/>
    <w:rsid w:val="008C47E5"/>
    <w:rsid w:val="008C7796"/>
    <w:rsid w:val="008D2D6D"/>
    <w:rsid w:val="008D2FCA"/>
    <w:rsid w:val="008D421D"/>
    <w:rsid w:val="008D7A00"/>
    <w:rsid w:val="008E0084"/>
    <w:rsid w:val="008E1DEF"/>
    <w:rsid w:val="008E4AC2"/>
    <w:rsid w:val="008E74A1"/>
    <w:rsid w:val="008E7D59"/>
    <w:rsid w:val="008F2EC2"/>
    <w:rsid w:val="008F78B9"/>
    <w:rsid w:val="00901E39"/>
    <w:rsid w:val="00904182"/>
    <w:rsid w:val="00904571"/>
    <w:rsid w:val="00905D98"/>
    <w:rsid w:val="00905EBA"/>
    <w:rsid w:val="009068EF"/>
    <w:rsid w:val="00906E43"/>
    <w:rsid w:val="00910A7D"/>
    <w:rsid w:val="009152C2"/>
    <w:rsid w:val="0091794D"/>
    <w:rsid w:val="009211F7"/>
    <w:rsid w:val="0092381F"/>
    <w:rsid w:val="0092426E"/>
    <w:rsid w:val="009320DA"/>
    <w:rsid w:val="00934BB7"/>
    <w:rsid w:val="0093656A"/>
    <w:rsid w:val="00940897"/>
    <w:rsid w:val="0094383E"/>
    <w:rsid w:val="00944F60"/>
    <w:rsid w:val="009454CF"/>
    <w:rsid w:val="0094636B"/>
    <w:rsid w:val="009465C1"/>
    <w:rsid w:val="0094762B"/>
    <w:rsid w:val="00951D07"/>
    <w:rsid w:val="00953FCA"/>
    <w:rsid w:val="00964BB8"/>
    <w:rsid w:val="0096528E"/>
    <w:rsid w:val="009654BA"/>
    <w:rsid w:val="00965DCC"/>
    <w:rsid w:val="0097725F"/>
    <w:rsid w:val="00981BE5"/>
    <w:rsid w:val="00983763"/>
    <w:rsid w:val="00983ED5"/>
    <w:rsid w:val="00984023"/>
    <w:rsid w:val="009908A8"/>
    <w:rsid w:val="00993478"/>
    <w:rsid w:val="009947BB"/>
    <w:rsid w:val="00995298"/>
    <w:rsid w:val="00995A5A"/>
    <w:rsid w:val="009A07C7"/>
    <w:rsid w:val="009A0815"/>
    <w:rsid w:val="009B0BFD"/>
    <w:rsid w:val="009B2084"/>
    <w:rsid w:val="009B32E6"/>
    <w:rsid w:val="009B3394"/>
    <w:rsid w:val="009B3FC9"/>
    <w:rsid w:val="009B4F09"/>
    <w:rsid w:val="009C2DF3"/>
    <w:rsid w:val="009C5551"/>
    <w:rsid w:val="009C78C2"/>
    <w:rsid w:val="009C7D7D"/>
    <w:rsid w:val="009D0E55"/>
    <w:rsid w:val="009D1410"/>
    <w:rsid w:val="009D4EC4"/>
    <w:rsid w:val="009D6CE4"/>
    <w:rsid w:val="009E10EA"/>
    <w:rsid w:val="009E2EDB"/>
    <w:rsid w:val="009E6601"/>
    <w:rsid w:val="009F2D26"/>
    <w:rsid w:val="009F3F6E"/>
    <w:rsid w:val="009F4C50"/>
    <w:rsid w:val="009F6954"/>
    <w:rsid w:val="009F776C"/>
    <w:rsid w:val="00A01C03"/>
    <w:rsid w:val="00A023A2"/>
    <w:rsid w:val="00A026F3"/>
    <w:rsid w:val="00A05AE5"/>
    <w:rsid w:val="00A05DBA"/>
    <w:rsid w:val="00A07D24"/>
    <w:rsid w:val="00A115CB"/>
    <w:rsid w:val="00A14666"/>
    <w:rsid w:val="00A149BC"/>
    <w:rsid w:val="00A178A2"/>
    <w:rsid w:val="00A204DB"/>
    <w:rsid w:val="00A20A86"/>
    <w:rsid w:val="00A276FE"/>
    <w:rsid w:val="00A4168B"/>
    <w:rsid w:val="00A424A9"/>
    <w:rsid w:val="00A46CF7"/>
    <w:rsid w:val="00A46DDC"/>
    <w:rsid w:val="00A547DB"/>
    <w:rsid w:val="00A5796B"/>
    <w:rsid w:val="00A602B3"/>
    <w:rsid w:val="00A614E5"/>
    <w:rsid w:val="00A640C7"/>
    <w:rsid w:val="00A714A6"/>
    <w:rsid w:val="00A73D13"/>
    <w:rsid w:val="00A7425A"/>
    <w:rsid w:val="00A74D1F"/>
    <w:rsid w:val="00A757B6"/>
    <w:rsid w:val="00A76DF0"/>
    <w:rsid w:val="00A8092D"/>
    <w:rsid w:val="00A84C3A"/>
    <w:rsid w:val="00A86723"/>
    <w:rsid w:val="00A93C43"/>
    <w:rsid w:val="00A96B9F"/>
    <w:rsid w:val="00A974BF"/>
    <w:rsid w:val="00AA0243"/>
    <w:rsid w:val="00AA0CA7"/>
    <w:rsid w:val="00AA0E91"/>
    <w:rsid w:val="00AA43AC"/>
    <w:rsid w:val="00AA5269"/>
    <w:rsid w:val="00AA6B92"/>
    <w:rsid w:val="00AA6BC1"/>
    <w:rsid w:val="00AB0646"/>
    <w:rsid w:val="00AB2499"/>
    <w:rsid w:val="00AB3FF6"/>
    <w:rsid w:val="00AC2E49"/>
    <w:rsid w:val="00AC2EFB"/>
    <w:rsid w:val="00AC4D86"/>
    <w:rsid w:val="00AC5229"/>
    <w:rsid w:val="00AC588C"/>
    <w:rsid w:val="00AC5F8F"/>
    <w:rsid w:val="00AC6D64"/>
    <w:rsid w:val="00AD1877"/>
    <w:rsid w:val="00AD288F"/>
    <w:rsid w:val="00AD3789"/>
    <w:rsid w:val="00AD3A6D"/>
    <w:rsid w:val="00AD44B2"/>
    <w:rsid w:val="00AD52CC"/>
    <w:rsid w:val="00AD6003"/>
    <w:rsid w:val="00AD7E5A"/>
    <w:rsid w:val="00AE0C32"/>
    <w:rsid w:val="00AE3468"/>
    <w:rsid w:val="00AF2CED"/>
    <w:rsid w:val="00AF70FD"/>
    <w:rsid w:val="00AF792D"/>
    <w:rsid w:val="00B02B88"/>
    <w:rsid w:val="00B05B8A"/>
    <w:rsid w:val="00B06132"/>
    <w:rsid w:val="00B113DA"/>
    <w:rsid w:val="00B143DF"/>
    <w:rsid w:val="00B16CCF"/>
    <w:rsid w:val="00B20193"/>
    <w:rsid w:val="00B20404"/>
    <w:rsid w:val="00B26DC6"/>
    <w:rsid w:val="00B310F1"/>
    <w:rsid w:val="00B323FA"/>
    <w:rsid w:val="00B33512"/>
    <w:rsid w:val="00B337E0"/>
    <w:rsid w:val="00B337EA"/>
    <w:rsid w:val="00B34306"/>
    <w:rsid w:val="00B376D0"/>
    <w:rsid w:val="00B378E4"/>
    <w:rsid w:val="00B41031"/>
    <w:rsid w:val="00B410F5"/>
    <w:rsid w:val="00B435B8"/>
    <w:rsid w:val="00B443B2"/>
    <w:rsid w:val="00B50DDE"/>
    <w:rsid w:val="00B51882"/>
    <w:rsid w:val="00B54FA1"/>
    <w:rsid w:val="00B56D16"/>
    <w:rsid w:val="00B62165"/>
    <w:rsid w:val="00B65715"/>
    <w:rsid w:val="00B66292"/>
    <w:rsid w:val="00B70564"/>
    <w:rsid w:val="00B7132B"/>
    <w:rsid w:val="00B71619"/>
    <w:rsid w:val="00B72ECA"/>
    <w:rsid w:val="00B7311C"/>
    <w:rsid w:val="00B817AE"/>
    <w:rsid w:val="00B84491"/>
    <w:rsid w:val="00B86827"/>
    <w:rsid w:val="00B86CC2"/>
    <w:rsid w:val="00B87322"/>
    <w:rsid w:val="00B87C9E"/>
    <w:rsid w:val="00B90475"/>
    <w:rsid w:val="00B92ADF"/>
    <w:rsid w:val="00B94086"/>
    <w:rsid w:val="00B9793B"/>
    <w:rsid w:val="00BA19F2"/>
    <w:rsid w:val="00BA22F0"/>
    <w:rsid w:val="00BA7414"/>
    <w:rsid w:val="00BA7CC4"/>
    <w:rsid w:val="00BB2E78"/>
    <w:rsid w:val="00BB3003"/>
    <w:rsid w:val="00BB54A3"/>
    <w:rsid w:val="00BB57DE"/>
    <w:rsid w:val="00BB6789"/>
    <w:rsid w:val="00BC4FFF"/>
    <w:rsid w:val="00BC6602"/>
    <w:rsid w:val="00BC7C5C"/>
    <w:rsid w:val="00BD775B"/>
    <w:rsid w:val="00BD7CB2"/>
    <w:rsid w:val="00BE0C69"/>
    <w:rsid w:val="00BE1991"/>
    <w:rsid w:val="00BE2750"/>
    <w:rsid w:val="00BE384B"/>
    <w:rsid w:val="00BE5491"/>
    <w:rsid w:val="00BE5D6D"/>
    <w:rsid w:val="00BF165D"/>
    <w:rsid w:val="00BF716F"/>
    <w:rsid w:val="00C00556"/>
    <w:rsid w:val="00C02249"/>
    <w:rsid w:val="00C0251D"/>
    <w:rsid w:val="00C03162"/>
    <w:rsid w:val="00C04E28"/>
    <w:rsid w:val="00C07E20"/>
    <w:rsid w:val="00C138CE"/>
    <w:rsid w:val="00C3238D"/>
    <w:rsid w:val="00C32D36"/>
    <w:rsid w:val="00C35364"/>
    <w:rsid w:val="00C40FE6"/>
    <w:rsid w:val="00C42CBA"/>
    <w:rsid w:val="00C43679"/>
    <w:rsid w:val="00C54C6E"/>
    <w:rsid w:val="00C57E81"/>
    <w:rsid w:val="00C60159"/>
    <w:rsid w:val="00C6166A"/>
    <w:rsid w:val="00C65010"/>
    <w:rsid w:val="00C67FC8"/>
    <w:rsid w:val="00C70202"/>
    <w:rsid w:val="00C7182D"/>
    <w:rsid w:val="00C772FA"/>
    <w:rsid w:val="00C8136F"/>
    <w:rsid w:val="00C83E39"/>
    <w:rsid w:val="00C8451F"/>
    <w:rsid w:val="00C84582"/>
    <w:rsid w:val="00C85611"/>
    <w:rsid w:val="00C85CDF"/>
    <w:rsid w:val="00C90587"/>
    <w:rsid w:val="00C907DF"/>
    <w:rsid w:val="00C9351F"/>
    <w:rsid w:val="00C95FF7"/>
    <w:rsid w:val="00CA6223"/>
    <w:rsid w:val="00CA7D4D"/>
    <w:rsid w:val="00CB0055"/>
    <w:rsid w:val="00CB1A60"/>
    <w:rsid w:val="00CB71C0"/>
    <w:rsid w:val="00CB73AB"/>
    <w:rsid w:val="00CC4EF1"/>
    <w:rsid w:val="00CC5FEC"/>
    <w:rsid w:val="00CC69AF"/>
    <w:rsid w:val="00CC7CB2"/>
    <w:rsid w:val="00CD0D11"/>
    <w:rsid w:val="00CD1A8D"/>
    <w:rsid w:val="00CD217A"/>
    <w:rsid w:val="00CD5B67"/>
    <w:rsid w:val="00CD7145"/>
    <w:rsid w:val="00CD7B51"/>
    <w:rsid w:val="00CE1F9E"/>
    <w:rsid w:val="00CF0070"/>
    <w:rsid w:val="00CF54D6"/>
    <w:rsid w:val="00CF5715"/>
    <w:rsid w:val="00D01576"/>
    <w:rsid w:val="00D0493A"/>
    <w:rsid w:val="00D04EE0"/>
    <w:rsid w:val="00D07FA4"/>
    <w:rsid w:val="00D12980"/>
    <w:rsid w:val="00D14ECC"/>
    <w:rsid w:val="00D16900"/>
    <w:rsid w:val="00D17A05"/>
    <w:rsid w:val="00D17E61"/>
    <w:rsid w:val="00D2242A"/>
    <w:rsid w:val="00D23510"/>
    <w:rsid w:val="00D2667E"/>
    <w:rsid w:val="00D314AE"/>
    <w:rsid w:val="00D345D5"/>
    <w:rsid w:val="00D3585B"/>
    <w:rsid w:val="00D362D1"/>
    <w:rsid w:val="00D4243B"/>
    <w:rsid w:val="00D431F5"/>
    <w:rsid w:val="00D43892"/>
    <w:rsid w:val="00D51FE1"/>
    <w:rsid w:val="00D53442"/>
    <w:rsid w:val="00D55502"/>
    <w:rsid w:val="00D574C3"/>
    <w:rsid w:val="00D60F37"/>
    <w:rsid w:val="00D633DC"/>
    <w:rsid w:val="00D63571"/>
    <w:rsid w:val="00D649F6"/>
    <w:rsid w:val="00D66DD4"/>
    <w:rsid w:val="00D70AF9"/>
    <w:rsid w:val="00D72BB3"/>
    <w:rsid w:val="00D818E3"/>
    <w:rsid w:val="00D83A02"/>
    <w:rsid w:val="00D857E5"/>
    <w:rsid w:val="00D86F8C"/>
    <w:rsid w:val="00D955A1"/>
    <w:rsid w:val="00DA0057"/>
    <w:rsid w:val="00DA214E"/>
    <w:rsid w:val="00DA5730"/>
    <w:rsid w:val="00DB2290"/>
    <w:rsid w:val="00DB4579"/>
    <w:rsid w:val="00DB504B"/>
    <w:rsid w:val="00DC4570"/>
    <w:rsid w:val="00DD423A"/>
    <w:rsid w:val="00DE0096"/>
    <w:rsid w:val="00DE2909"/>
    <w:rsid w:val="00DE4F89"/>
    <w:rsid w:val="00DE739D"/>
    <w:rsid w:val="00DF1D02"/>
    <w:rsid w:val="00DF1D62"/>
    <w:rsid w:val="00DF1DED"/>
    <w:rsid w:val="00DF2281"/>
    <w:rsid w:val="00DF479F"/>
    <w:rsid w:val="00DF5DF1"/>
    <w:rsid w:val="00DF7FAA"/>
    <w:rsid w:val="00E038DD"/>
    <w:rsid w:val="00E05A32"/>
    <w:rsid w:val="00E05CAD"/>
    <w:rsid w:val="00E12DD5"/>
    <w:rsid w:val="00E135D7"/>
    <w:rsid w:val="00E139DC"/>
    <w:rsid w:val="00E15369"/>
    <w:rsid w:val="00E15761"/>
    <w:rsid w:val="00E17AC3"/>
    <w:rsid w:val="00E20066"/>
    <w:rsid w:val="00E20D21"/>
    <w:rsid w:val="00E23949"/>
    <w:rsid w:val="00E24E47"/>
    <w:rsid w:val="00E33EAE"/>
    <w:rsid w:val="00E347E7"/>
    <w:rsid w:val="00E40F8C"/>
    <w:rsid w:val="00E433B9"/>
    <w:rsid w:val="00E458F2"/>
    <w:rsid w:val="00E5034B"/>
    <w:rsid w:val="00E50A6B"/>
    <w:rsid w:val="00E5178E"/>
    <w:rsid w:val="00E51EF5"/>
    <w:rsid w:val="00E54DB3"/>
    <w:rsid w:val="00E56ECA"/>
    <w:rsid w:val="00E611F3"/>
    <w:rsid w:val="00E620E1"/>
    <w:rsid w:val="00E621EE"/>
    <w:rsid w:val="00E63760"/>
    <w:rsid w:val="00E63C35"/>
    <w:rsid w:val="00E673EA"/>
    <w:rsid w:val="00E70010"/>
    <w:rsid w:val="00E70668"/>
    <w:rsid w:val="00E728BB"/>
    <w:rsid w:val="00E72B52"/>
    <w:rsid w:val="00E76627"/>
    <w:rsid w:val="00E817C1"/>
    <w:rsid w:val="00E83EE2"/>
    <w:rsid w:val="00E84EBE"/>
    <w:rsid w:val="00E85AC3"/>
    <w:rsid w:val="00E85DCE"/>
    <w:rsid w:val="00E87EAE"/>
    <w:rsid w:val="00E9203C"/>
    <w:rsid w:val="00E93428"/>
    <w:rsid w:val="00E93E78"/>
    <w:rsid w:val="00E9569C"/>
    <w:rsid w:val="00EA1BAD"/>
    <w:rsid w:val="00EA2453"/>
    <w:rsid w:val="00EA3358"/>
    <w:rsid w:val="00EA59D1"/>
    <w:rsid w:val="00EB350D"/>
    <w:rsid w:val="00EB6534"/>
    <w:rsid w:val="00EC1CD5"/>
    <w:rsid w:val="00EC31DA"/>
    <w:rsid w:val="00ED0D9A"/>
    <w:rsid w:val="00ED4594"/>
    <w:rsid w:val="00ED4F28"/>
    <w:rsid w:val="00EE5598"/>
    <w:rsid w:val="00EF1F3E"/>
    <w:rsid w:val="00EF2789"/>
    <w:rsid w:val="00EF34B4"/>
    <w:rsid w:val="00EF6B11"/>
    <w:rsid w:val="00F007C0"/>
    <w:rsid w:val="00F012C4"/>
    <w:rsid w:val="00F02C94"/>
    <w:rsid w:val="00F03E1A"/>
    <w:rsid w:val="00F0476B"/>
    <w:rsid w:val="00F04C1A"/>
    <w:rsid w:val="00F056F5"/>
    <w:rsid w:val="00F06B48"/>
    <w:rsid w:val="00F07E57"/>
    <w:rsid w:val="00F15822"/>
    <w:rsid w:val="00F2051D"/>
    <w:rsid w:val="00F21960"/>
    <w:rsid w:val="00F21998"/>
    <w:rsid w:val="00F226AD"/>
    <w:rsid w:val="00F23E59"/>
    <w:rsid w:val="00F24414"/>
    <w:rsid w:val="00F24BB9"/>
    <w:rsid w:val="00F2529B"/>
    <w:rsid w:val="00F3070B"/>
    <w:rsid w:val="00F308AC"/>
    <w:rsid w:val="00F338D1"/>
    <w:rsid w:val="00F34327"/>
    <w:rsid w:val="00F34B97"/>
    <w:rsid w:val="00F35E34"/>
    <w:rsid w:val="00F364B3"/>
    <w:rsid w:val="00F43054"/>
    <w:rsid w:val="00F43A4F"/>
    <w:rsid w:val="00F52F5B"/>
    <w:rsid w:val="00F574F8"/>
    <w:rsid w:val="00F63F1A"/>
    <w:rsid w:val="00F64699"/>
    <w:rsid w:val="00F64C47"/>
    <w:rsid w:val="00F66F55"/>
    <w:rsid w:val="00F70315"/>
    <w:rsid w:val="00F70406"/>
    <w:rsid w:val="00F70E6A"/>
    <w:rsid w:val="00F742FD"/>
    <w:rsid w:val="00F74EDA"/>
    <w:rsid w:val="00F75869"/>
    <w:rsid w:val="00F76661"/>
    <w:rsid w:val="00F803FD"/>
    <w:rsid w:val="00F85848"/>
    <w:rsid w:val="00F85859"/>
    <w:rsid w:val="00F873B9"/>
    <w:rsid w:val="00F87F0F"/>
    <w:rsid w:val="00F914C2"/>
    <w:rsid w:val="00F91CAC"/>
    <w:rsid w:val="00F92371"/>
    <w:rsid w:val="00F92E16"/>
    <w:rsid w:val="00F937F1"/>
    <w:rsid w:val="00F955B8"/>
    <w:rsid w:val="00F96BD6"/>
    <w:rsid w:val="00FA4B85"/>
    <w:rsid w:val="00FA6314"/>
    <w:rsid w:val="00FB411D"/>
    <w:rsid w:val="00FB5BBB"/>
    <w:rsid w:val="00FB6467"/>
    <w:rsid w:val="00FC07DA"/>
    <w:rsid w:val="00FC0C47"/>
    <w:rsid w:val="00FC1427"/>
    <w:rsid w:val="00FC17FE"/>
    <w:rsid w:val="00FC4F98"/>
    <w:rsid w:val="00FC5F46"/>
    <w:rsid w:val="00FC77BA"/>
    <w:rsid w:val="00FC78CC"/>
    <w:rsid w:val="00FD146B"/>
    <w:rsid w:val="00FD37BD"/>
    <w:rsid w:val="00FD5FC0"/>
    <w:rsid w:val="00FE5CC3"/>
    <w:rsid w:val="00FE6289"/>
    <w:rsid w:val="00FE693B"/>
    <w:rsid w:val="00FF12B8"/>
    <w:rsid w:val="00FF1D32"/>
    <w:rsid w:val="00FF455B"/>
    <w:rsid w:val="00FF4ED0"/>
    <w:rsid w:val="00FF4F9B"/>
    <w:rsid w:val="00FF69E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34C5"/>
    <w:pPr>
      <w:pageBreakBefore/>
      <w:numPr>
        <w:numId w:val="1"/>
      </w:numPr>
      <w:spacing w:after="360" w:line="240" w:lineRule="auto"/>
      <w:outlineLvl w:val="0"/>
    </w:pPr>
    <w:rPr>
      <w:rFonts w:cstheme="minorHAnsi"/>
      <w:color w:val="005EB8"/>
      <w:sz w:val="72"/>
    </w:rPr>
  </w:style>
  <w:style w:type="paragraph" w:styleId="Heading2">
    <w:name w:val="heading 2"/>
    <w:basedOn w:val="Normal"/>
    <w:next w:val="Normal"/>
    <w:link w:val="Heading2Char"/>
    <w:uiPriority w:val="9"/>
    <w:unhideWhenUsed/>
    <w:qFormat/>
    <w:rsid w:val="000722AF"/>
    <w:pPr>
      <w:numPr>
        <w:ilvl w:val="1"/>
        <w:numId w:val="1"/>
      </w:numPr>
      <w:spacing w:before="240" w:after="120" w:line="240" w:lineRule="auto"/>
      <w:ind w:right="284"/>
      <w:outlineLvl w:val="1"/>
    </w:pPr>
    <w:rPr>
      <w:rFonts w:ascii="Univers 45 Light" w:hAnsi="Univers 45 Light"/>
      <w:b/>
      <w:color w:val="005EB8"/>
      <w:sz w:val="26"/>
      <w:szCs w:val="26"/>
    </w:rPr>
  </w:style>
  <w:style w:type="paragraph" w:styleId="Heading3">
    <w:name w:val="heading 3"/>
    <w:basedOn w:val="Normal"/>
    <w:next w:val="Normal"/>
    <w:link w:val="Heading3Char"/>
    <w:uiPriority w:val="9"/>
    <w:unhideWhenUsed/>
    <w:qFormat/>
    <w:rsid w:val="00C32D36"/>
    <w:pPr>
      <w:keepNext/>
      <w:keepLines/>
      <w:spacing w:before="240" w:after="120" w:line="240" w:lineRule="auto"/>
      <w:outlineLvl w:val="2"/>
    </w:pPr>
    <w:rPr>
      <w:rFonts w:ascii="Univers 45 Light" w:eastAsiaTheme="majorEastAsia" w:hAnsi="Univers 45 Light" w:cstheme="majorBidi"/>
      <w:color w:val="2E74B5" w:themeColor="accent1" w:themeShade="BF"/>
      <w:sz w:val="24"/>
      <w:szCs w:val="24"/>
    </w:rPr>
  </w:style>
  <w:style w:type="paragraph" w:styleId="Heading4">
    <w:name w:val="heading 4"/>
    <w:basedOn w:val="Normal"/>
    <w:next w:val="Normal"/>
    <w:link w:val="Heading4Char"/>
    <w:uiPriority w:val="9"/>
    <w:unhideWhenUsed/>
    <w:qFormat/>
    <w:rsid w:val="00871F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9F6"/>
  </w:style>
  <w:style w:type="paragraph" w:styleId="Footer">
    <w:name w:val="footer"/>
    <w:basedOn w:val="Normal"/>
    <w:link w:val="FooterChar"/>
    <w:uiPriority w:val="99"/>
    <w:unhideWhenUsed/>
    <w:rsid w:val="00D64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9F6"/>
  </w:style>
  <w:style w:type="table" w:styleId="TableGrid">
    <w:name w:val="Table Grid"/>
    <w:basedOn w:val="TableNormal"/>
    <w:uiPriority w:val="39"/>
    <w:rsid w:val="00145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947BB"/>
    <w:pPr>
      <w:ind w:left="720"/>
      <w:contextualSpacing/>
    </w:pPr>
  </w:style>
  <w:style w:type="paragraph" w:styleId="BodyText">
    <w:name w:val="Body Text"/>
    <w:aliases w:val="Body Text x,Appendix 2,bt,body text,t1,taten_body,block,b-heading 1/heading 2,bd,b,heading1body-heading2body,body,Body Text 1,NoticeText-List,Body text,Body,by,Cargo,heading3,NCDOT Body Text,Starbucks Body Text,3 indent,heading31,body text1,B"/>
    <w:basedOn w:val="Normal"/>
    <w:link w:val="BodyTextChar"/>
    <w:uiPriority w:val="99"/>
    <w:qFormat/>
    <w:rsid w:val="000A5790"/>
    <w:pPr>
      <w:spacing w:before="130" w:after="130" w:line="260" w:lineRule="atLeast"/>
    </w:pPr>
    <w:rPr>
      <w:rFonts w:ascii="Times New Roman" w:eastAsia="Batang" w:hAnsi="Times New Roman" w:cs="Times New Roman"/>
      <w:szCs w:val="20"/>
      <w:lang w:eastAsia="ko-KR"/>
    </w:rPr>
  </w:style>
  <w:style w:type="character" w:customStyle="1" w:styleId="BodyTextChar">
    <w:name w:val="Body Text Char"/>
    <w:aliases w:val="Body Text x Char,Appendix 2 Char,bt Char,body text Char,t1 Char,taten_body Char,block Char,b-heading 1/heading 2 Char,bd Char,b Char,heading1body-heading2body Char,body Char,Body Text 1 Char,NoticeText-List Char,Body text Char,Body Char"/>
    <w:basedOn w:val="DefaultParagraphFont"/>
    <w:link w:val="BodyText"/>
    <w:uiPriority w:val="99"/>
    <w:rsid w:val="000A5790"/>
    <w:rPr>
      <w:rFonts w:ascii="Times New Roman" w:eastAsia="Batang" w:hAnsi="Times New Roman" w:cs="Times New Roman"/>
      <w:szCs w:val="20"/>
      <w:lang w:eastAsia="ko-KR"/>
    </w:rPr>
  </w:style>
  <w:style w:type="paragraph" w:styleId="NormalWeb">
    <w:name w:val="Normal (Web)"/>
    <w:basedOn w:val="Normal"/>
    <w:uiPriority w:val="99"/>
    <w:unhideWhenUsed/>
    <w:rsid w:val="005D2BA2"/>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002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78E"/>
    <w:rPr>
      <w:rFonts w:ascii="Segoe UI" w:hAnsi="Segoe UI" w:cs="Segoe UI"/>
      <w:sz w:val="18"/>
      <w:szCs w:val="18"/>
    </w:rPr>
  </w:style>
  <w:style w:type="character" w:styleId="CommentReference">
    <w:name w:val="annotation reference"/>
    <w:basedOn w:val="DefaultParagraphFont"/>
    <w:uiPriority w:val="99"/>
    <w:semiHidden/>
    <w:unhideWhenUsed/>
    <w:rsid w:val="008058D1"/>
    <w:rPr>
      <w:sz w:val="16"/>
      <w:szCs w:val="16"/>
    </w:rPr>
  </w:style>
  <w:style w:type="paragraph" w:styleId="CommentText">
    <w:name w:val="annotation text"/>
    <w:basedOn w:val="Normal"/>
    <w:link w:val="CommentTextChar"/>
    <w:uiPriority w:val="99"/>
    <w:unhideWhenUsed/>
    <w:rsid w:val="008058D1"/>
    <w:pPr>
      <w:spacing w:line="240" w:lineRule="auto"/>
    </w:pPr>
    <w:rPr>
      <w:sz w:val="20"/>
      <w:szCs w:val="20"/>
    </w:rPr>
  </w:style>
  <w:style w:type="character" w:customStyle="1" w:styleId="CommentTextChar">
    <w:name w:val="Comment Text Char"/>
    <w:basedOn w:val="DefaultParagraphFont"/>
    <w:link w:val="CommentText"/>
    <w:uiPriority w:val="99"/>
    <w:rsid w:val="008058D1"/>
    <w:rPr>
      <w:sz w:val="20"/>
      <w:szCs w:val="20"/>
    </w:rPr>
  </w:style>
  <w:style w:type="paragraph" w:styleId="CommentSubject">
    <w:name w:val="annotation subject"/>
    <w:basedOn w:val="CommentText"/>
    <w:next w:val="CommentText"/>
    <w:link w:val="CommentSubjectChar"/>
    <w:uiPriority w:val="99"/>
    <w:semiHidden/>
    <w:unhideWhenUsed/>
    <w:rsid w:val="008058D1"/>
    <w:rPr>
      <w:b/>
      <w:bCs/>
    </w:rPr>
  </w:style>
  <w:style w:type="character" w:customStyle="1" w:styleId="CommentSubjectChar">
    <w:name w:val="Comment Subject Char"/>
    <w:basedOn w:val="CommentTextChar"/>
    <w:link w:val="CommentSubject"/>
    <w:uiPriority w:val="99"/>
    <w:semiHidden/>
    <w:rsid w:val="008058D1"/>
    <w:rPr>
      <w:b/>
      <w:bCs/>
      <w:sz w:val="20"/>
      <w:szCs w:val="20"/>
    </w:rPr>
  </w:style>
  <w:style w:type="character" w:customStyle="1" w:styleId="Heading1Char">
    <w:name w:val="Heading 1 Char"/>
    <w:basedOn w:val="DefaultParagraphFont"/>
    <w:link w:val="Heading1"/>
    <w:uiPriority w:val="9"/>
    <w:rsid w:val="007334C5"/>
    <w:rPr>
      <w:rFonts w:cstheme="minorHAnsi"/>
      <w:color w:val="005EB8"/>
      <w:sz w:val="72"/>
    </w:rPr>
  </w:style>
  <w:style w:type="paragraph" w:styleId="TOCHeading">
    <w:name w:val="TOC Heading"/>
    <w:basedOn w:val="Heading1"/>
    <w:next w:val="Normal"/>
    <w:uiPriority w:val="39"/>
    <w:unhideWhenUsed/>
    <w:qFormat/>
    <w:rsid w:val="00DF2281"/>
    <w:pPr>
      <w:outlineLvl w:val="9"/>
    </w:pPr>
    <w:rPr>
      <w:lang w:val="en-US" w:eastAsia="en-US"/>
    </w:rPr>
  </w:style>
  <w:style w:type="character" w:customStyle="1" w:styleId="Heading2Char">
    <w:name w:val="Heading 2 Char"/>
    <w:basedOn w:val="DefaultParagraphFont"/>
    <w:link w:val="Heading2"/>
    <w:uiPriority w:val="9"/>
    <w:rsid w:val="000722AF"/>
    <w:rPr>
      <w:rFonts w:ascii="Univers 45 Light" w:hAnsi="Univers 45 Light"/>
      <w:b/>
      <w:color w:val="005EB8"/>
      <w:sz w:val="26"/>
      <w:szCs w:val="26"/>
    </w:rPr>
  </w:style>
  <w:style w:type="paragraph" w:styleId="TOC1">
    <w:name w:val="toc 1"/>
    <w:basedOn w:val="Normal"/>
    <w:next w:val="Normal"/>
    <w:autoRedefine/>
    <w:uiPriority w:val="39"/>
    <w:unhideWhenUsed/>
    <w:rsid w:val="00DF2281"/>
    <w:pPr>
      <w:spacing w:after="100"/>
    </w:pPr>
    <w:rPr>
      <w:rFonts w:ascii="Univers 45 Light" w:hAnsi="Univers 45 Light"/>
      <w:b/>
      <w:sz w:val="24"/>
    </w:rPr>
  </w:style>
  <w:style w:type="paragraph" w:styleId="TOC2">
    <w:name w:val="toc 2"/>
    <w:basedOn w:val="Normal"/>
    <w:next w:val="Normal"/>
    <w:autoRedefine/>
    <w:uiPriority w:val="39"/>
    <w:unhideWhenUsed/>
    <w:rsid w:val="00DF2281"/>
    <w:pPr>
      <w:spacing w:after="100"/>
      <w:ind w:left="220"/>
    </w:pPr>
    <w:rPr>
      <w:rFonts w:ascii="Univers 45 Light" w:hAnsi="Univers 45 Light"/>
    </w:rPr>
  </w:style>
  <w:style w:type="character" w:styleId="Hyperlink">
    <w:name w:val="Hyperlink"/>
    <w:basedOn w:val="DefaultParagraphFont"/>
    <w:uiPriority w:val="99"/>
    <w:unhideWhenUsed/>
    <w:rsid w:val="00DF2281"/>
    <w:rPr>
      <w:color w:val="0563C1" w:themeColor="hyperlink"/>
      <w:u w:val="single"/>
    </w:rPr>
  </w:style>
  <w:style w:type="paragraph" w:customStyle="1" w:styleId="Default">
    <w:name w:val="Default"/>
    <w:rsid w:val="00576494"/>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99"/>
    <w:rsid w:val="006146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97725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97725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32D36"/>
    <w:rPr>
      <w:rFonts w:ascii="Univers 45 Light" w:eastAsiaTheme="majorEastAsia" w:hAnsi="Univers 45 Light" w:cstheme="majorBidi"/>
      <w:color w:val="2E74B5" w:themeColor="accent1" w:themeShade="BF"/>
      <w:sz w:val="24"/>
      <w:szCs w:val="24"/>
    </w:rPr>
  </w:style>
  <w:style w:type="paragraph" w:styleId="TOC3">
    <w:name w:val="toc 3"/>
    <w:basedOn w:val="Normal"/>
    <w:next w:val="Normal"/>
    <w:autoRedefine/>
    <w:uiPriority w:val="39"/>
    <w:unhideWhenUsed/>
    <w:rsid w:val="002A20A1"/>
    <w:pPr>
      <w:spacing w:after="100"/>
      <w:ind w:left="440"/>
    </w:pPr>
  </w:style>
  <w:style w:type="character" w:styleId="Emphasis">
    <w:name w:val="Emphasis"/>
    <w:basedOn w:val="DefaultParagraphFont"/>
    <w:uiPriority w:val="20"/>
    <w:qFormat/>
    <w:rsid w:val="000958AB"/>
    <w:rPr>
      <w:i/>
      <w:iCs/>
    </w:rPr>
  </w:style>
  <w:style w:type="paragraph" w:customStyle="1" w:styleId="Numbered">
    <w:name w:val="Numbered"/>
    <w:basedOn w:val="Normal"/>
    <w:link w:val="NumberedChar"/>
    <w:qFormat/>
    <w:rsid w:val="003A0143"/>
    <w:pPr>
      <w:widowControl w:val="0"/>
      <w:spacing w:before="160" w:line="240" w:lineRule="auto"/>
    </w:pPr>
    <w:rPr>
      <w:rFonts w:ascii="Arial" w:eastAsia="Times New Roman" w:hAnsi="Arial" w:cs="Arial"/>
      <w:bCs/>
      <w:iCs/>
      <w:lang w:eastAsia="en-US"/>
    </w:rPr>
  </w:style>
  <w:style w:type="character" w:customStyle="1" w:styleId="NumberedChar">
    <w:name w:val="Numbered Char"/>
    <w:basedOn w:val="DefaultParagraphFont"/>
    <w:link w:val="Numbered"/>
    <w:rsid w:val="003A0143"/>
    <w:rPr>
      <w:rFonts w:ascii="Arial" w:eastAsia="Times New Roman" w:hAnsi="Arial" w:cs="Arial"/>
      <w:bCs/>
      <w:iCs/>
      <w:lang w:eastAsia="en-US"/>
    </w:rPr>
  </w:style>
  <w:style w:type="character" w:customStyle="1" w:styleId="Heading4Char">
    <w:name w:val="Heading 4 Char"/>
    <w:basedOn w:val="DefaultParagraphFont"/>
    <w:link w:val="Heading4"/>
    <w:uiPriority w:val="9"/>
    <w:rsid w:val="00871FD3"/>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6F5A11"/>
    <w:pPr>
      <w:spacing w:before="120" w:after="0" w:line="260" w:lineRule="atLeast"/>
    </w:pPr>
    <w:rPr>
      <w:rFonts w:ascii="Times New Roman" w:eastAsiaTheme="minorHAnsi" w:hAnsi="Times New Roman" w:cs="Times New Roman"/>
      <w:sz w:val="18"/>
      <w:szCs w:val="18"/>
      <w:lang w:eastAsia="ko-KR"/>
    </w:rPr>
  </w:style>
  <w:style w:type="character" w:customStyle="1" w:styleId="FootnoteTextChar">
    <w:name w:val="Footnote Text Char"/>
    <w:basedOn w:val="DefaultParagraphFont"/>
    <w:link w:val="FootnoteText"/>
    <w:uiPriority w:val="99"/>
    <w:semiHidden/>
    <w:rsid w:val="006F5A11"/>
    <w:rPr>
      <w:rFonts w:ascii="Times New Roman" w:eastAsiaTheme="minorHAnsi" w:hAnsi="Times New Roman" w:cs="Times New Roman"/>
      <w:sz w:val="18"/>
      <w:szCs w:val="18"/>
      <w:lang w:eastAsia="ko-KR"/>
    </w:rPr>
  </w:style>
  <w:style w:type="character" w:styleId="FootnoteReference">
    <w:name w:val="footnote reference"/>
    <w:basedOn w:val="DefaultParagraphFont"/>
    <w:uiPriority w:val="99"/>
    <w:semiHidden/>
    <w:unhideWhenUsed/>
    <w:rsid w:val="006F5A11"/>
    <w:rPr>
      <w:vertAlign w:val="superscript"/>
    </w:rPr>
  </w:style>
  <w:style w:type="paragraph" w:styleId="Revision">
    <w:name w:val="Revision"/>
    <w:hidden/>
    <w:uiPriority w:val="99"/>
    <w:semiHidden/>
    <w:rsid w:val="003571EF"/>
    <w:pPr>
      <w:spacing w:after="0" w:line="240" w:lineRule="auto"/>
    </w:pPr>
  </w:style>
  <w:style w:type="paragraph" w:customStyle="1" w:styleId="BodyText1">
    <w:name w:val="Body Text1"/>
    <w:basedOn w:val="Normal"/>
    <w:link w:val="BodyText1Char"/>
    <w:qFormat/>
    <w:rsid w:val="003E11BF"/>
    <w:pPr>
      <w:spacing w:before="120" w:after="0" w:line="240" w:lineRule="auto"/>
    </w:pPr>
    <w:rPr>
      <w:rFonts w:ascii="Arial" w:eastAsia="Arial" w:hAnsi="Arial" w:cs="Arial"/>
      <w:lang w:eastAsia="en-US"/>
    </w:rPr>
  </w:style>
  <w:style w:type="character" w:customStyle="1" w:styleId="BodyText1Char">
    <w:name w:val="Body Text1 Char"/>
    <w:basedOn w:val="DefaultParagraphFont"/>
    <w:link w:val="BodyText1"/>
    <w:locked/>
    <w:rsid w:val="003E11BF"/>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47553">
      <w:bodyDiv w:val="1"/>
      <w:marLeft w:val="0"/>
      <w:marRight w:val="0"/>
      <w:marTop w:val="0"/>
      <w:marBottom w:val="0"/>
      <w:divBdr>
        <w:top w:val="none" w:sz="0" w:space="0" w:color="auto"/>
        <w:left w:val="none" w:sz="0" w:space="0" w:color="auto"/>
        <w:bottom w:val="none" w:sz="0" w:space="0" w:color="auto"/>
        <w:right w:val="none" w:sz="0" w:space="0" w:color="auto"/>
      </w:divBdr>
    </w:div>
    <w:div w:id="92283170">
      <w:bodyDiv w:val="1"/>
      <w:marLeft w:val="0"/>
      <w:marRight w:val="0"/>
      <w:marTop w:val="0"/>
      <w:marBottom w:val="0"/>
      <w:divBdr>
        <w:top w:val="none" w:sz="0" w:space="0" w:color="auto"/>
        <w:left w:val="none" w:sz="0" w:space="0" w:color="auto"/>
        <w:bottom w:val="none" w:sz="0" w:space="0" w:color="auto"/>
        <w:right w:val="none" w:sz="0" w:space="0" w:color="auto"/>
      </w:divBdr>
    </w:div>
    <w:div w:id="153375445">
      <w:bodyDiv w:val="1"/>
      <w:marLeft w:val="0"/>
      <w:marRight w:val="0"/>
      <w:marTop w:val="0"/>
      <w:marBottom w:val="0"/>
      <w:divBdr>
        <w:top w:val="none" w:sz="0" w:space="0" w:color="auto"/>
        <w:left w:val="none" w:sz="0" w:space="0" w:color="auto"/>
        <w:bottom w:val="none" w:sz="0" w:space="0" w:color="auto"/>
        <w:right w:val="none" w:sz="0" w:space="0" w:color="auto"/>
      </w:divBdr>
      <w:divsChild>
        <w:div w:id="1272976886">
          <w:marLeft w:val="144"/>
          <w:marRight w:val="0"/>
          <w:marTop w:val="0"/>
          <w:marBottom w:val="0"/>
          <w:divBdr>
            <w:top w:val="none" w:sz="0" w:space="0" w:color="auto"/>
            <w:left w:val="none" w:sz="0" w:space="0" w:color="auto"/>
            <w:bottom w:val="none" w:sz="0" w:space="0" w:color="auto"/>
            <w:right w:val="none" w:sz="0" w:space="0" w:color="auto"/>
          </w:divBdr>
        </w:div>
      </w:divsChild>
    </w:div>
    <w:div w:id="192302735">
      <w:bodyDiv w:val="1"/>
      <w:marLeft w:val="0"/>
      <w:marRight w:val="0"/>
      <w:marTop w:val="0"/>
      <w:marBottom w:val="0"/>
      <w:divBdr>
        <w:top w:val="none" w:sz="0" w:space="0" w:color="auto"/>
        <w:left w:val="none" w:sz="0" w:space="0" w:color="auto"/>
        <w:bottom w:val="none" w:sz="0" w:space="0" w:color="auto"/>
        <w:right w:val="none" w:sz="0" w:space="0" w:color="auto"/>
      </w:divBdr>
      <w:divsChild>
        <w:div w:id="149176505">
          <w:marLeft w:val="274"/>
          <w:marRight w:val="0"/>
          <w:marTop w:val="120"/>
          <w:marBottom w:val="120"/>
          <w:divBdr>
            <w:top w:val="none" w:sz="0" w:space="0" w:color="auto"/>
            <w:left w:val="none" w:sz="0" w:space="0" w:color="auto"/>
            <w:bottom w:val="none" w:sz="0" w:space="0" w:color="auto"/>
            <w:right w:val="none" w:sz="0" w:space="0" w:color="auto"/>
          </w:divBdr>
        </w:div>
      </w:divsChild>
    </w:div>
    <w:div w:id="202600950">
      <w:bodyDiv w:val="1"/>
      <w:marLeft w:val="0"/>
      <w:marRight w:val="0"/>
      <w:marTop w:val="0"/>
      <w:marBottom w:val="0"/>
      <w:divBdr>
        <w:top w:val="none" w:sz="0" w:space="0" w:color="auto"/>
        <w:left w:val="none" w:sz="0" w:space="0" w:color="auto"/>
        <w:bottom w:val="none" w:sz="0" w:space="0" w:color="auto"/>
        <w:right w:val="none" w:sz="0" w:space="0" w:color="auto"/>
      </w:divBdr>
      <w:divsChild>
        <w:div w:id="1530417091">
          <w:marLeft w:val="274"/>
          <w:marRight w:val="0"/>
          <w:marTop w:val="120"/>
          <w:marBottom w:val="120"/>
          <w:divBdr>
            <w:top w:val="none" w:sz="0" w:space="0" w:color="auto"/>
            <w:left w:val="none" w:sz="0" w:space="0" w:color="auto"/>
            <w:bottom w:val="none" w:sz="0" w:space="0" w:color="auto"/>
            <w:right w:val="none" w:sz="0" w:space="0" w:color="auto"/>
          </w:divBdr>
        </w:div>
      </w:divsChild>
    </w:div>
    <w:div w:id="345986386">
      <w:bodyDiv w:val="1"/>
      <w:marLeft w:val="0"/>
      <w:marRight w:val="0"/>
      <w:marTop w:val="0"/>
      <w:marBottom w:val="0"/>
      <w:divBdr>
        <w:top w:val="none" w:sz="0" w:space="0" w:color="auto"/>
        <w:left w:val="none" w:sz="0" w:space="0" w:color="auto"/>
        <w:bottom w:val="none" w:sz="0" w:space="0" w:color="auto"/>
        <w:right w:val="none" w:sz="0" w:space="0" w:color="auto"/>
      </w:divBdr>
    </w:div>
    <w:div w:id="654407717">
      <w:bodyDiv w:val="1"/>
      <w:marLeft w:val="0"/>
      <w:marRight w:val="0"/>
      <w:marTop w:val="0"/>
      <w:marBottom w:val="0"/>
      <w:divBdr>
        <w:top w:val="none" w:sz="0" w:space="0" w:color="auto"/>
        <w:left w:val="none" w:sz="0" w:space="0" w:color="auto"/>
        <w:bottom w:val="none" w:sz="0" w:space="0" w:color="auto"/>
        <w:right w:val="none" w:sz="0" w:space="0" w:color="auto"/>
      </w:divBdr>
    </w:div>
    <w:div w:id="691615459">
      <w:bodyDiv w:val="1"/>
      <w:marLeft w:val="0"/>
      <w:marRight w:val="0"/>
      <w:marTop w:val="0"/>
      <w:marBottom w:val="0"/>
      <w:divBdr>
        <w:top w:val="none" w:sz="0" w:space="0" w:color="auto"/>
        <w:left w:val="none" w:sz="0" w:space="0" w:color="auto"/>
        <w:bottom w:val="none" w:sz="0" w:space="0" w:color="auto"/>
        <w:right w:val="none" w:sz="0" w:space="0" w:color="auto"/>
      </w:divBdr>
      <w:divsChild>
        <w:div w:id="308290220">
          <w:marLeft w:val="144"/>
          <w:marRight w:val="0"/>
          <w:marTop w:val="0"/>
          <w:marBottom w:val="0"/>
          <w:divBdr>
            <w:top w:val="none" w:sz="0" w:space="0" w:color="auto"/>
            <w:left w:val="none" w:sz="0" w:space="0" w:color="auto"/>
            <w:bottom w:val="none" w:sz="0" w:space="0" w:color="auto"/>
            <w:right w:val="none" w:sz="0" w:space="0" w:color="auto"/>
          </w:divBdr>
        </w:div>
        <w:div w:id="1251692767">
          <w:marLeft w:val="144"/>
          <w:marRight w:val="0"/>
          <w:marTop w:val="0"/>
          <w:marBottom w:val="0"/>
          <w:divBdr>
            <w:top w:val="none" w:sz="0" w:space="0" w:color="auto"/>
            <w:left w:val="none" w:sz="0" w:space="0" w:color="auto"/>
            <w:bottom w:val="none" w:sz="0" w:space="0" w:color="auto"/>
            <w:right w:val="none" w:sz="0" w:space="0" w:color="auto"/>
          </w:divBdr>
        </w:div>
        <w:div w:id="1971862250">
          <w:marLeft w:val="144"/>
          <w:marRight w:val="0"/>
          <w:marTop w:val="0"/>
          <w:marBottom w:val="0"/>
          <w:divBdr>
            <w:top w:val="none" w:sz="0" w:space="0" w:color="auto"/>
            <w:left w:val="none" w:sz="0" w:space="0" w:color="auto"/>
            <w:bottom w:val="none" w:sz="0" w:space="0" w:color="auto"/>
            <w:right w:val="none" w:sz="0" w:space="0" w:color="auto"/>
          </w:divBdr>
        </w:div>
      </w:divsChild>
    </w:div>
    <w:div w:id="870609616">
      <w:bodyDiv w:val="1"/>
      <w:marLeft w:val="0"/>
      <w:marRight w:val="0"/>
      <w:marTop w:val="0"/>
      <w:marBottom w:val="0"/>
      <w:divBdr>
        <w:top w:val="none" w:sz="0" w:space="0" w:color="auto"/>
        <w:left w:val="none" w:sz="0" w:space="0" w:color="auto"/>
        <w:bottom w:val="none" w:sz="0" w:space="0" w:color="auto"/>
        <w:right w:val="none" w:sz="0" w:space="0" w:color="auto"/>
      </w:divBdr>
      <w:divsChild>
        <w:div w:id="512183694">
          <w:marLeft w:val="418"/>
          <w:marRight w:val="0"/>
          <w:marTop w:val="0"/>
          <w:marBottom w:val="0"/>
          <w:divBdr>
            <w:top w:val="none" w:sz="0" w:space="0" w:color="auto"/>
            <w:left w:val="none" w:sz="0" w:space="0" w:color="auto"/>
            <w:bottom w:val="none" w:sz="0" w:space="0" w:color="auto"/>
            <w:right w:val="none" w:sz="0" w:space="0" w:color="auto"/>
          </w:divBdr>
        </w:div>
        <w:div w:id="1243367544">
          <w:marLeft w:val="418"/>
          <w:marRight w:val="0"/>
          <w:marTop w:val="0"/>
          <w:marBottom w:val="0"/>
          <w:divBdr>
            <w:top w:val="none" w:sz="0" w:space="0" w:color="auto"/>
            <w:left w:val="none" w:sz="0" w:space="0" w:color="auto"/>
            <w:bottom w:val="none" w:sz="0" w:space="0" w:color="auto"/>
            <w:right w:val="none" w:sz="0" w:space="0" w:color="auto"/>
          </w:divBdr>
        </w:div>
        <w:div w:id="1893074593">
          <w:marLeft w:val="418"/>
          <w:marRight w:val="0"/>
          <w:marTop w:val="0"/>
          <w:marBottom w:val="0"/>
          <w:divBdr>
            <w:top w:val="none" w:sz="0" w:space="0" w:color="auto"/>
            <w:left w:val="none" w:sz="0" w:space="0" w:color="auto"/>
            <w:bottom w:val="none" w:sz="0" w:space="0" w:color="auto"/>
            <w:right w:val="none" w:sz="0" w:space="0" w:color="auto"/>
          </w:divBdr>
        </w:div>
        <w:div w:id="1969427808">
          <w:marLeft w:val="418"/>
          <w:marRight w:val="0"/>
          <w:marTop w:val="0"/>
          <w:marBottom w:val="0"/>
          <w:divBdr>
            <w:top w:val="none" w:sz="0" w:space="0" w:color="auto"/>
            <w:left w:val="none" w:sz="0" w:space="0" w:color="auto"/>
            <w:bottom w:val="none" w:sz="0" w:space="0" w:color="auto"/>
            <w:right w:val="none" w:sz="0" w:space="0" w:color="auto"/>
          </w:divBdr>
        </w:div>
      </w:divsChild>
    </w:div>
    <w:div w:id="957176985">
      <w:bodyDiv w:val="1"/>
      <w:marLeft w:val="0"/>
      <w:marRight w:val="0"/>
      <w:marTop w:val="0"/>
      <w:marBottom w:val="0"/>
      <w:divBdr>
        <w:top w:val="none" w:sz="0" w:space="0" w:color="auto"/>
        <w:left w:val="none" w:sz="0" w:space="0" w:color="auto"/>
        <w:bottom w:val="none" w:sz="0" w:space="0" w:color="auto"/>
        <w:right w:val="none" w:sz="0" w:space="0" w:color="auto"/>
      </w:divBdr>
      <w:divsChild>
        <w:div w:id="326831939">
          <w:marLeft w:val="274"/>
          <w:marRight w:val="0"/>
          <w:marTop w:val="60"/>
          <w:marBottom w:val="60"/>
          <w:divBdr>
            <w:top w:val="none" w:sz="0" w:space="0" w:color="auto"/>
            <w:left w:val="none" w:sz="0" w:space="0" w:color="auto"/>
            <w:bottom w:val="none" w:sz="0" w:space="0" w:color="auto"/>
            <w:right w:val="none" w:sz="0" w:space="0" w:color="auto"/>
          </w:divBdr>
        </w:div>
        <w:div w:id="538981706">
          <w:marLeft w:val="274"/>
          <w:marRight w:val="0"/>
          <w:marTop w:val="60"/>
          <w:marBottom w:val="60"/>
          <w:divBdr>
            <w:top w:val="none" w:sz="0" w:space="0" w:color="auto"/>
            <w:left w:val="none" w:sz="0" w:space="0" w:color="auto"/>
            <w:bottom w:val="none" w:sz="0" w:space="0" w:color="auto"/>
            <w:right w:val="none" w:sz="0" w:space="0" w:color="auto"/>
          </w:divBdr>
        </w:div>
        <w:div w:id="968125215">
          <w:marLeft w:val="274"/>
          <w:marRight w:val="0"/>
          <w:marTop w:val="60"/>
          <w:marBottom w:val="60"/>
          <w:divBdr>
            <w:top w:val="none" w:sz="0" w:space="0" w:color="auto"/>
            <w:left w:val="none" w:sz="0" w:space="0" w:color="auto"/>
            <w:bottom w:val="none" w:sz="0" w:space="0" w:color="auto"/>
            <w:right w:val="none" w:sz="0" w:space="0" w:color="auto"/>
          </w:divBdr>
        </w:div>
        <w:div w:id="1133711393">
          <w:marLeft w:val="274"/>
          <w:marRight w:val="0"/>
          <w:marTop w:val="60"/>
          <w:marBottom w:val="60"/>
          <w:divBdr>
            <w:top w:val="none" w:sz="0" w:space="0" w:color="auto"/>
            <w:left w:val="none" w:sz="0" w:space="0" w:color="auto"/>
            <w:bottom w:val="none" w:sz="0" w:space="0" w:color="auto"/>
            <w:right w:val="none" w:sz="0" w:space="0" w:color="auto"/>
          </w:divBdr>
        </w:div>
        <w:div w:id="1768691106">
          <w:marLeft w:val="274"/>
          <w:marRight w:val="0"/>
          <w:marTop w:val="60"/>
          <w:marBottom w:val="60"/>
          <w:divBdr>
            <w:top w:val="none" w:sz="0" w:space="0" w:color="auto"/>
            <w:left w:val="none" w:sz="0" w:space="0" w:color="auto"/>
            <w:bottom w:val="none" w:sz="0" w:space="0" w:color="auto"/>
            <w:right w:val="none" w:sz="0" w:space="0" w:color="auto"/>
          </w:divBdr>
        </w:div>
        <w:div w:id="2039118714">
          <w:marLeft w:val="274"/>
          <w:marRight w:val="0"/>
          <w:marTop w:val="60"/>
          <w:marBottom w:val="60"/>
          <w:divBdr>
            <w:top w:val="none" w:sz="0" w:space="0" w:color="auto"/>
            <w:left w:val="none" w:sz="0" w:space="0" w:color="auto"/>
            <w:bottom w:val="none" w:sz="0" w:space="0" w:color="auto"/>
            <w:right w:val="none" w:sz="0" w:space="0" w:color="auto"/>
          </w:divBdr>
        </w:div>
      </w:divsChild>
    </w:div>
    <w:div w:id="968902933">
      <w:bodyDiv w:val="1"/>
      <w:marLeft w:val="0"/>
      <w:marRight w:val="0"/>
      <w:marTop w:val="0"/>
      <w:marBottom w:val="0"/>
      <w:divBdr>
        <w:top w:val="none" w:sz="0" w:space="0" w:color="auto"/>
        <w:left w:val="none" w:sz="0" w:space="0" w:color="auto"/>
        <w:bottom w:val="none" w:sz="0" w:space="0" w:color="auto"/>
        <w:right w:val="none" w:sz="0" w:space="0" w:color="auto"/>
      </w:divBdr>
    </w:div>
    <w:div w:id="975598655">
      <w:bodyDiv w:val="1"/>
      <w:marLeft w:val="0"/>
      <w:marRight w:val="0"/>
      <w:marTop w:val="0"/>
      <w:marBottom w:val="0"/>
      <w:divBdr>
        <w:top w:val="none" w:sz="0" w:space="0" w:color="auto"/>
        <w:left w:val="none" w:sz="0" w:space="0" w:color="auto"/>
        <w:bottom w:val="none" w:sz="0" w:space="0" w:color="auto"/>
        <w:right w:val="none" w:sz="0" w:space="0" w:color="auto"/>
      </w:divBdr>
    </w:div>
    <w:div w:id="1200555294">
      <w:bodyDiv w:val="1"/>
      <w:marLeft w:val="0"/>
      <w:marRight w:val="0"/>
      <w:marTop w:val="0"/>
      <w:marBottom w:val="0"/>
      <w:divBdr>
        <w:top w:val="none" w:sz="0" w:space="0" w:color="auto"/>
        <w:left w:val="none" w:sz="0" w:space="0" w:color="auto"/>
        <w:bottom w:val="none" w:sz="0" w:space="0" w:color="auto"/>
        <w:right w:val="none" w:sz="0" w:space="0" w:color="auto"/>
      </w:divBdr>
    </w:div>
    <w:div w:id="1278416936">
      <w:bodyDiv w:val="1"/>
      <w:marLeft w:val="0"/>
      <w:marRight w:val="0"/>
      <w:marTop w:val="0"/>
      <w:marBottom w:val="0"/>
      <w:divBdr>
        <w:top w:val="none" w:sz="0" w:space="0" w:color="auto"/>
        <w:left w:val="none" w:sz="0" w:space="0" w:color="auto"/>
        <w:bottom w:val="none" w:sz="0" w:space="0" w:color="auto"/>
        <w:right w:val="none" w:sz="0" w:space="0" w:color="auto"/>
      </w:divBdr>
    </w:div>
    <w:div w:id="1363088791">
      <w:bodyDiv w:val="1"/>
      <w:marLeft w:val="0"/>
      <w:marRight w:val="0"/>
      <w:marTop w:val="0"/>
      <w:marBottom w:val="0"/>
      <w:divBdr>
        <w:top w:val="none" w:sz="0" w:space="0" w:color="auto"/>
        <w:left w:val="none" w:sz="0" w:space="0" w:color="auto"/>
        <w:bottom w:val="none" w:sz="0" w:space="0" w:color="auto"/>
        <w:right w:val="none" w:sz="0" w:space="0" w:color="auto"/>
      </w:divBdr>
    </w:div>
    <w:div w:id="1392725981">
      <w:bodyDiv w:val="1"/>
      <w:marLeft w:val="0"/>
      <w:marRight w:val="0"/>
      <w:marTop w:val="0"/>
      <w:marBottom w:val="0"/>
      <w:divBdr>
        <w:top w:val="none" w:sz="0" w:space="0" w:color="auto"/>
        <w:left w:val="none" w:sz="0" w:space="0" w:color="auto"/>
        <w:bottom w:val="none" w:sz="0" w:space="0" w:color="auto"/>
        <w:right w:val="none" w:sz="0" w:space="0" w:color="auto"/>
      </w:divBdr>
    </w:div>
    <w:div w:id="1513497978">
      <w:bodyDiv w:val="1"/>
      <w:marLeft w:val="0"/>
      <w:marRight w:val="0"/>
      <w:marTop w:val="0"/>
      <w:marBottom w:val="0"/>
      <w:divBdr>
        <w:top w:val="none" w:sz="0" w:space="0" w:color="auto"/>
        <w:left w:val="none" w:sz="0" w:space="0" w:color="auto"/>
        <w:bottom w:val="none" w:sz="0" w:space="0" w:color="auto"/>
        <w:right w:val="none" w:sz="0" w:space="0" w:color="auto"/>
      </w:divBdr>
    </w:div>
    <w:div w:id="1538854367">
      <w:bodyDiv w:val="1"/>
      <w:marLeft w:val="0"/>
      <w:marRight w:val="0"/>
      <w:marTop w:val="0"/>
      <w:marBottom w:val="0"/>
      <w:divBdr>
        <w:top w:val="none" w:sz="0" w:space="0" w:color="auto"/>
        <w:left w:val="none" w:sz="0" w:space="0" w:color="auto"/>
        <w:bottom w:val="none" w:sz="0" w:space="0" w:color="auto"/>
        <w:right w:val="none" w:sz="0" w:space="0" w:color="auto"/>
      </w:divBdr>
    </w:div>
    <w:div w:id="1607275046">
      <w:bodyDiv w:val="1"/>
      <w:marLeft w:val="0"/>
      <w:marRight w:val="0"/>
      <w:marTop w:val="0"/>
      <w:marBottom w:val="0"/>
      <w:divBdr>
        <w:top w:val="none" w:sz="0" w:space="0" w:color="auto"/>
        <w:left w:val="none" w:sz="0" w:space="0" w:color="auto"/>
        <w:bottom w:val="none" w:sz="0" w:space="0" w:color="auto"/>
        <w:right w:val="none" w:sz="0" w:space="0" w:color="auto"/>
      </w:divBdr>
    </w:div>
    <w:div w:id="1647586664">
      <w:bodyDiv w:val="1"/>
      <w:marLeft w:val="0"/>
      <w:marRight w:val="0"/>
      <w:marTop w:val="0"/>
      <w:marBottom w:val="0"/>
      <w:divBdr>
        <w:top w:val="none" w:sz="0" w:space="0" w:color="auto"/>
        <w:left w:val="none" w:sz="0" w:space="0" w:color="auto"/>
        <w:bottom w:val="none" w:sz="0" w:space="0" w:color="auto"/>
        <w:right w:val="none" w:sz="0" w:space="0" w:color="auto"/>
      </w:divBdr>
    </w:div>
    <w:div w:id="1705934521">
      <w:bodyDiv w:val="1"/>
      <w:marLeft w:val="0"/>
      <w:marRight w:val="0"/>
      <w:marTop w:val="0"/>
      <w:marBottom w:val="0"/>
      <w:divBdr>
        <w:top w:val="none" w:sz="0" w:space="0" w:color="auto"/>
        <w:left w:val="none" w:sz="0" w:space="0" w:color="auto"/>
        <w:bottom w:val="none" w:sz="0" w:space="0" w:color="auto"/>
        <w:right w:val="none" w:sz="0" w:space="0" w:color="auto"/>
      </w:divBdr>
    </w:div>
    <w:div w:id="2090499471">
      <w:bodyDiv w:val="1"/>
      <w:marLeft w:val="0"/>
      <w:marRight w:val="0"/>
      <w:marTop w:val="0"/>
      <w:marBottom w:val="0"/>
      <w:divBdr>
        <w:top w:val="none" w:sz="0" w:space="0" w:color="auto"/>
        <w:left w:val="none" w:sz="0" w:space="0" w:color="auto"/>
        <w:bottom w:val="none" w:sz="0" w:space="0" w:color="auto"/>
        <w:right w:val="none" w:sz="0" w:space="0" w:color="auto"/>
      </w:divBdr>
    </w:div>
    <w:div w:id="2117213071">
      <w:bodyDiv w:val="1"/>
      <w:marLeft w:val="0"/>
      <w:marRight w:val="0"/>
      <w:marTop w:val="0"/>
      <w:marBottom w:val="0"/>
      <w:divBdr>
        <w:top w:val="none" w:sz="0" w:space="0" w:color="auto"/>
        <w:left w:val="none" w:sz="0" w:space="0" w:color="auto"/>
        <w:bottom w:val="none" w:sz="0" w:space="0" w:color="auto"/>
        <w:right w:val="none" w:sz="0" w:space="0" w:color="auto"/>
      </w:divBdr>
    </w:div>
    <w:div w:id="211867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476A09C-E3C9-412D-BBF7-B86C44174AAB}"/>
</file>

<file path=customXml/itemProps2.xml><?xml version="1.0" encoding="utf-8"?>
<ds:datastoreItem xmlns:ds="http://schemas.openxmlformats.org/officeDocument/2006/customXml" ds:itemID="{76EEAEFB-6C26-4903-A3D4-FD3D1C09BAE3}"/>
</file>

<file path=customXml/itemProps3.xml><?xml version="1.0" encoding="utf-8"?>
<ds:datastoreItem xmlns:ds="http://schemas.openxmlformats.org/officeDocument/2006/customXml" ds:itemID="{C713BB2A-A274-40D2-9534-7501BEE82941}"/>
</file>

<file path=customXml/itemProps4.xml><?xml version="1.0" encoding="utf-8"?>
<ds:datastoreItem xmlns:ds="http://schemas.openxmlformats.org/officeDocument/2006/customXml" ds:itemID="{A38BEAA4-EA97-4AAB-B4C3-C51DA6C7B936}"/>
</file>

<file path=docProps/app.xml><?xml version="1.0" encoding="utf-8"?>
<Properties xmlns="http://schemas.openxmlformats.org/officeDocument/2006/extended-properties" xmlns:vt="http://schemas.openxmlformats.org/officeDocument/2006/docPropsVTypes">
  <Template>Normal</Template>
  <TotalTime>0</TotalTime>
  <Pages>20</Pages>
  <Words>9624</Words>
  <Characters>54863</Characters>
  <Application>Microsoft Office Word</Application>
  <DocSecurity>4</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2019-04-23T02:24:00Z</dcterms:created>
  <dcterms:modified xsi:type="dcterms:W3CDTF">2019-04-23T02:24:00Z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